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rPr>
          <w:rFonts w:asciiTheme="minorEastAsia" w:hAnsiTheme="minorEastAsia" w:eastAsiaTheme="minorEastAsia" w:cstheme="minorEastAsia"/>
        </w:rPr>
      </w:pPr>
      <w:bookmarkStart w:id="0" w:name="_Toc281574833"/>
    </w:p>
    <w:p>
      <w:pPr>
        <w:pStyle w:val="3"/>
        <w:rPr>
          <w:rFonts w:asciiTheme="minorEastAsia" w:hAnsiTheme="minorEastAsia" w:eastAsiaTheme="minorEastAsia" w:cstheme="minorEastAsia"/>
        </w:rPr>
      </w:pPr>
    </w:p>
    <w:p>
      <w:pPr>
        <w:spacing w:line="360" w:lineRule="auto"/>
        <w:jc w:val="center"/>
        <w:rPr>
          <w:rFonts w:hint="eastAsia" w:asciiTheme="minorEastAsia" w:hAnsiTheme="minorEastAsia" w:eastAsiaTheme="minorEastAsia" w:cstheme="minorEastAsia"/>
          <w:sz w:val="28"/>
          <w:lang w:eastAsia="zh-CN"/>
        </w:rPr>
      </w:pPr>
      <w:r>
        <w:rPr>
          <w:rFonts w:hint="eastAsia" w:asciiTheme="minorEastAsia" w:hAnsiTheme="minorEastAsia" w:eastAsiaTheme="minorEastAsia" w:cstheme="minorEastAsia"/>
          <w:b/>
          <w:bCs/>
          <w:sz w:val="44"/>
          <w:szCs w:val="44"/>
          <w:lang w:eastAsia="zh-CN"/>
        </w:rPr>
        <w:t>博爱县环豫视频监控系统采购项目</w:t>
      </w:r>
    </w:p>
    <w:p>
      <w:pPr>
        <w:pStyle w:val="95"/>
        <w:ind w:firstLine="210"/>
        <w:rPr>
          <w:rFonts w:asciiTheme="minorEastAsia" w:hAnsiTheme="minorEastAsia" w:eastAsiaTheme="minorEastAsia" w:cstheme="minorEastAsia"/>
          <w:highlight w:val="yellow"/>
        </w:rPr>
      </w:pPr>
    </w:p>
    <w:p>
      <w:pPr>
        <w:spacing w:line="360" w:lineRule="auto"/>
        <w:jc w:val="center"/>
        <w:rPr>
          <w:rFonts w:asciiTheme="minorEastAsia" w:hAnsiTheme="minorEastAsia" w:eastAsiaTheme="minorEastAsia" w:cstheme="minorEastAsia"/>
          <w:b/>
          <w:sz w:val="84"/>
          <w:szCs w:val="84"/>
        </w:rPr>
      </w:pPr>
    </w:p>
    <w:p>
      <w:pPr>
        <w:pStyle w:val="7"/>
      </w:pPr>
    </w:p>
    <w:p>
      <w:pPr>
        <w:spacing w:line="360" w:lineRule="auto"/>
        <w:jc w:val="center"/>
        <w:rPr>
          <w:rFonts w:asciiTheme="minorEastAsia" w:hAnsiTheme="minorEastAsia" w:eastAsiaTheme="minorEastAsia" w:cstheme="minorEastAsia"/>
          <w:b/>
          <w:sz w:val="120"/>
          <w:szCs w:val="120"/>
        </w:rPr>
      </w:pPr>
      <w:r>
        <w:rPr>
          <w:rFonts w:hint="eastAsia" w:asciiTheme="minorEastAsia" w:hAnsiTheme="minorEastAsia" w:eastAsiaTheme="minorEastAsia" w:cstheme="minorEastAsia"/>
          <w:b/>
          <w:sz w:val="120"/>
          <w:szCs w:val="120"/>
        </w:rPr>
        <w:t>招 标 文 件</w:t>
      </w:r>
    </w:p>
    <w:p>
      <w:pPr>
        <w:spacing w:line="360" w:lineRule="auto"/>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采购编号：博政采购(2021)</w:t>
      </w:r>
      <w:r>
        <w:rPr>
          <w:rFonts w:hint="eastAsia" w:asciiTheme="minorEastAsia" w:hAnsiTheme="minorEastAsia" w:eastAsiaTheme="minorEastAsia" w:cstheme="minorEastAsia"/>
          <w:b/>
          <w:bCs/>
          <w:sz w:val="36"/>
          <w:szCs w:val="36"/>
          <w:lang w:val="en-US" w:eastAsia="zh-CN"/>
        </w:rPr>
        <w:t>16</w:t>
      </w:r>
      <w:r>
        <w:rPr>
          <w:rFonts w:hint="eastAsia" w:asciiTheme="minorEastAsia" w:hAnsiTheme="minorEastAsia" w:eastAsiaTheme="minorEastAsia" w:cstheme="minorEastAsia"/>
          <w:b/>
          <w:bCs/>
          <w:sz w:val="36"/>
          <w:szCs w:val="36"/>
        </w:rPr>
        <w:t>号</w:t>
      </w:r>
    </w:p>
    <w:p>
      <w:pPr>
        <w:jc w:val="center"/>
        <w:rPr>
          <w:rFonts w:asciiTheme="minorEastAsia" w:hAnsiTheme="minorEastAsia" w:eastAsiaTheme="minorEastAsia" w:cstheme="minorEastAsia"/>
          <w:sz w:val="30"/>
        </w:rPr>
      </w:pPr>
    </w:p>
    <w:p>
      <w:pPr>
        <w:rPr>
          <w:rFonts w:asciiTheme="minorEastAsia" w:hAnsiTheme="minorEastAsia" w:eastAsiaTheme="minorEastAsia" w:cstheme="minorEastAsia"/>
          <w:sz w:val="30"/>
        </w:rPr>
      </w:pPr>
      <w:r>
        <w:rPr>
          <w:rFonts w:hint="eastAsia" w:asciiTheme="minorEastAsia" w:hAnsiTheme="minorEastAsia" w:eastAsiaTheme="minorEastAsia" w:cstheme="minorEastAsia"/>
          <w:sz w:val="30"/>
        </w:rPr>
        <w:t xml:space="preserve"> </w:t>
      </w:r>
    </w:p>
    <w:p>
      <w:pPr>
        <w:rPr>
          <w:rFonts w:asciiTheme="minorEastAsia" w:hAnsiTheme="minorEastAsia" w:eastAsiaTheme="minorEastAsia" w:cstheme="minorEastAsia"/>
        </w:rPr>
      </w:pP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ind w:firstLine="1928" w:firstLineChars="600"/>
        <w:rPr>
          <w:rFonts w:asciiTheme="minorEastAsia" w:hAnsiTheme="minorEastAsia" w:eastAsiaTheme="minorEastAsia" w:cstheme="minorEastAsia"/>
          <w:b/>
          <w:bCs/>
          <w:sz w:val="32"/>
          <w:szCs w:val="32"/>
        </w:rPr>
      </w:pPr>
    </w:p>
    <w:p>
      <w:pPr>
        <w:ind w:firstLine="1928" w:firstLineChars="600"/>
        <w:rPr>
          <w:rFonts w:asciiTheme="minorEastAsia" w:hAnsiTheme="minorEastAsia" w:eastAsiaTheme="minorEastAsia" w:cstheme="minorEastAsia"/>
          <w:b/>
          <w:bCs/>
          <w:sz w:val="32"/>
          <w:szCs w:val="32"/>
        </w:rPr>
      </w:pPr>
    </w:p>
    <w:p>
      <w:pPr>
        <w:ind w:firstLine="1928" w:firstLineChars="600"/>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rPr>
        <w:t>采 购 人：博爱县</w:t>
      </w:r>
      <w:r>
        <w:rPr>
          <w:rFonts w:hint="eastAsia" w:asciiTheme="minorEastAsia" w:hAnsiTheme="minorEastAsia" w:eastAsiaTheme="minorEastAsia" w:cstheme="minorEastAsia"/>
          <w:b/>
          <w:bCs/>
          <w:sz w:val="32"/>
          <w:szCs w:val="32"/>
          <w:lang w:val="en-US" w:eastAsia="zh-CN"/>
        </w:rPr>
        <w:t>公安局</w:t>
      </w:r>
    </w:p>
    <w:p>
      <w:pPr>
        <w:ind w:firstLine="1928" w:firstLineChars="6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代理机构：博爱县城市建设项目管理有限公司</w:t>
      </w:r>
    </w:p>
    <w:p>
      <w:pPr>
        <w:ind w:firstLine="1928" w:firstLineChars="600"/>
        <w:rPr>
          <w:rFonts w:asciiTheme="minorEastAsia" w:hAnsiTheme="minorEastAsia" w:eastAsiaTheme="minorEastAsia" w:cstheme="minorEastAsia"/>
          <w:b/>
          <w:bCs/>
          <w:sz w:val="32"/>
          <w:szCs w:val="32"/>
        </w:rPr>
        <w:sectPr>
          <w:footerReference r:id="rId4" w:type="first"/>
          <w:footerReference r:id="rId3" w:type="default"/>
          <w:pgSz w:w="11907" w:h="16840"/>
          <w:pgMar w:top="597" w:right="1116" w:bottom="1417" w:left="1331"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sz w:val="32"/>
          <w:szCs w:val="32"/>
        </w:rPr>
        <w:t xml:space="preserve">日 </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期：2021年</w:t>
      </w:r>
      <w:r>
        <w:rPr>
          <w:rFonts w:hint="eastAsia" w:asciiTheme="minorEastAsia" w:hAnsiTheme="minorEastAsia" w:eastAsiaTheme="minorEastAsia" w:cstheme="minorEastAsia"/>
          <w:b/>
          <w:bCs/>
          <w:sz w:val="32"/>
          <w:szCs w:val="32"/>
          <w:lang w:val="en-US" w:eastAsia="zh-CN"/>
        </w:rPr>
        <w:t>3</w:t>
      </w:r>
      <w:r>
        <w:rPr>
          <w:rFonts w:hint="eastAsia" w:asciiTheme="minorEastAsia" w:hAnsiTheme="minorEastAsia" w:eastAsiaTheme="minorEastAsia" w:cstheme="minorEastAsia"/>
          <w:b/>
          <w:bCs/>
          <w:sz w:val="32"/>
          <w:szCs w:val="32"/>
        </w:rPr>
        <w:t>月</w:t>
      </w:r>
    </w:p>
    <w:p>
      <w:p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目     录</w:t>
      </w:r>
    </w:p>
    <w:p>
      <w:pPr>
        <w:pStyle w:val="27"/>
        <w:tabs>
          <w:tab w:val="right" w:leader="dot" w:pos="9460"/>
        </w:tabs>
        <w:spacing w:line="520" w:lineRule="exact"/>
        <w:rPr>
          <w:b/>
          <w:bCs/>
        </w:rPr>
      </w:pPr>
      <w:r>
        <w:rPr>
          <w:rFonts w:hint="eastAsia" w:asciiTheme="minorEastAsia" w:hAnsiTheme="minorEastAsia" w:eastAsiaTheme="minorEastAsia" w:cstheme="minorEastAsia"/>
          <w:b/>
          <w:bCs/>
          <w:szCs w:val="21"/>
          <w:lang w:val="zh-CN"/>
        </w:rPr>
        <w:fldChar w:fldCharType="begin"/>
      </w:r>
      <w:r>
        <w:rPr>
          <w:rFonts w:hint="eastAsia" w:asciiTheme="minorEastAsia" w:hAnsiTheme="minorEastAsia" w:eastAsiaTheme="minorEastAsia" w:cstheme="minorEastAsia"/>
          <w:b/>
          <w:bCs/>
          <w:szCs w:val="21"/>
          <w:lang w:val="zh-CN"/>
        </w:rPr>
        <w:instrText xml:space="preserve"> TOC \o "1-3" \h \z \u </w:instrText>
      </w:r>
      <w:r>
        <w:rPr>
          <w:rFonts w:hint="eastAsia" w:asciiTheme="minorEastAsia" w:hAnsiTheme="minorEastAsia" w:eastAsiaTheme="minorEastAsia" w:cstheme="minorEastAsia"/>
          <w:b/>
          <w:bCs/>
          <w:szCs w:val="21"/>
          <w:lang w:val="zh-CN"/>
        </w:rPr>
        <w:fldChar w:fldCharType="separate"/>
      </w:r>
      <w:r>
        <w:fldChar w:fldCharType="begin"/>
      </w:r>
      <w:r>
        <w:instrText xml:space="preserve"> HYPERLINK \l "_Toc9243" </w:instrText>
      </w:r>
      <w:r>
        <w:fldChar w:fldCharType="separate"/>
      </w:r>
      <w:r>
        <w:rPr>
          <w:rFonts w:hint="eastAsia" w:asciiTheme="minorEastAsia" w:hAnsiTheme="minorEastAsia" w:eastAsiaTheme="minorEastAsia" w:cstheme="minorEastAsia"/>
          <w:b/>
          <w:bCs/>
        </w:rPr>
        <w:t>第一章   招标公告</w:t>
      </w:r>
      <w:r>
        <w:rPr>
          <w:b/>
          <w:bCs/>
        </w:rPr>
        <w:tab/>
      </w:r>
      <w:r>
        <w:rPr>
          <w:b/>
          <w:bCs/>
        </w:rPr>
        <w:fldChar w:fldCharType="begin"/>
      </w:r>
      <w:r>
        <w:rPr>
          <w:b/>
          <w:bCs/>
        </w:rPr>
        <w:instrText xml:space="preserve"> PAGEREF _Toc9243 </w:instrText>
      </w:r>
      <w:r>
        <w:rPr>
          <w:b/>
          <w:bCs/>
        </w:rPr>
        <w:fldChar w:fldCharType="separate"/>
      </w:r>
      <w:r>
        <w:rPr>
          <w:b/>
          <w:bCs/>
        </w:rPr>
        <w:t>- 3 -</w:t>
      </w:r>
      <w:r>
        <w:rPr>
          <w:b/>
          <w:bCs/>
        </w:rPr>
        <w:fldChar w:fldCharType="end"/>
      </w:r>
      <w:r>
        <w:rPr>
          <w:b/>
          <w:bCs/>
        </w:rPr>
        <w:fldChar w:fldCharType="end"/>
      </w:r>
    </w:p>
    <w:p>
      <w:pPr>
        <w:pStyle w:val="27"/>
        <w:tabs>
          <w:tab w:val="right" w:leader="dot" w:pos="9460"/>
        </w:tabs>
        <w:spacing w:line="520" w:lineRule="exact"/>
        <w:rPr>
          <w:b/>
          <w:bCs/>
        </w:rPr>
      </w:pPr>
      <w:r>
        <w:fldChar w:fldCharType="begin"/>
      </w:r>
      <w:r>
        <w:instrText xml:space="preserve"> HYPERLINK \l "_Toc25354" </w:instrText>
      </w:r>
      <w:r>
        <w:fldChar w:fldCharType="separate"/>
      </w:r>
      <w:r>
        <w:rPr>
          <w:rFonts w:hint="eastAsia" w:asciiTheme="minorEastAsia" w:hAnsiTheme="minorEastAsia" w:eastAsiaTheme="minorEastAsia" w:cstheme="minorEastAsia"/>
          <w:b/>
          <w:bCs/>
          <w:szCs w:val="32"/>
        </w:rPr>
        <w:t>第二章  供应商须知</w:t>
      </w:r>
      <w:r>
        <w:rPr>
          <w:b/>
          <w:bCs/>
        </w:rPr>
        <w:tab/>
      </w:r>
      <w:r>
        <w:rPr>
          <w:b/>
          <w:bCs/>
        </w:rPr>
        <w:fldChar w:fldCharType="begin"/>
      </w:r>
      <w:r>
        <w:rPr>
          <w:b/>
          <w:bCs/>
        </w:rPr>
        <w:instrText xml:space="preserve"> PAGEREF _Toc25354 </w:instrText>
      </w:r>
      <w:r>
        <w:rPr>
          <w:b/>
          <w:bCs/>
        </w:rPr>
        <w:fldChar w:fldCharType="separate"/>
      </w:r>
      <w:r>
        <w:rPr>
          <w:b/>
          <w:bCs/>
        </w:rPr>
        <w:t>- 5 -</w:t>
      </w:r>
      <w:r>
        <w:rPr>
          <w:b/>
          <w:bCs/>
        </w:rPr>
        <w:fldChar w:fldCharType="end"/>
      </w:r>
      <w:r>
        <w:rPr>
          <w:b/>
          <w:bCs/>
        </w:rPr>
        <w:fldChar w:fldCharType="end"/>
      </w:r>
    </w:p>
    <w:p>
      <w:pPr>
        <w:pStyle w:val="27"/>
        <w:tabs>
          <w:tab w:val="right" w:leader="dot" w:pos="9460"/>
        </w:tabs>
        <w:spacing w:line="520" w:lineRule="exact"/>
        <w:rPr>
          <w:b/>
          <w:bCs/>
        </w:rPr>
      </w:pPr>
      <w:r>
        <w:fldChar w:fldCharType="begin"/>
      </w:r>
      <w:r>
        <w:instrText xml:space="preserve"> HYPERLINK \l "_Toc1253" </w:instrText>
      </w:r>
      <w:r>
        <w:fldChar w:fldCharType="separate"/>
      </w:r>
      <w:r>
        <w:rPr>
          <w:rFonts w:asciiTheme="minorEastAsia" w:hAnsiTheme="minorEastAsia" w:eastAsiaTheme="minorEastAsia" w:cstheme="minorEastAsia"/>
          <w:b/>
          <w:bCs/>
          <w:szCs w:val="36"/>
        </w:rPr>
        <w:t xml:space="preserve">第三章 </w:t>
      </w:r>
      <w:r>
        <w:rPr>
          <w:rFonts w:hint="eastAsia" w:asciiTheme="minorEastAsia" w:hAnsiTheme="minorEastAsia" w:eastAsiaTheme="minorEastAsia" w:cstheme="minorEastAsia"/>
          <w:b/>
          <w:bCs/>
          <w:szCs w:val="36"/>
        </w:rPr>
        <w:t>评标办法（综合评分法）</w:t>
      </w:r>
      <w:r>
        <w:rPr>
          <w:b/>
          <w:bCs/>
        </w:rPr>
        <w:tab/>
      </w:r>
      <w:r>
        <w:rPr>
          <w:b/>
          <w:bCs/>
        </w:rPr>
        <w:fldChar w:fldCharType="begin"/>
      </w:r>
      <w:r>
        <w:rPr>
          <w:b/>
          <w:bCs/>
        </w:rPr>
        <w:instrText xml:space="preserve"> PAGEREF _Toc1253 </w:instrText>
      </w:r>
      <w:r>
        <w:rPr>
          <w:b/>
          <w:bCs/>
        </w:rPr>
        <w:fldChar w:fldCharType="separate"/>
      </w:r>
      <w:r>
        <w:rPr>
          <w:b/>
          <w:bCs/>
        </w:rPr>
        <w:t>- 17 -</w:t>
      </w:r>
      <w:r>
        <w:rPr>
          <w:b/>
          <w:bCs/>
        </w:rPr>
        <w:fldChar w:fldCharType="end"/>
      </w:r>
      <w:r>
        <w:rPr>
          <w:b/>
          <w:bCs/>
        </w:rPr>
        <w:fldChar w:fldCharType="end"/>
      </w:r>
    </w:p>
    <w:p>
      <w:pPr>
        <w:pStyle w:val="27"/>
        <w:tabs>
          <w:tab w:val="right" w:leader="dot" w:pos="9460"/>
        </w:tabs>
        <w:spacing w:line="520" w:lineRule="exact"/>
        <w:rPr>
          <w:b/>
          <w:bCs/>
        </w:rPr>
      </w:pPr>
      <w:r>
        <w:fldChar w:fldCharType="begin"/>
      </w:r>
      <w:r>
        <w:instrText xml:space="preserve"> HYPERLINK \l "_Toc955" </w:instrText>
      </w:r>
      <w:r>
        <w:fldChar w:fldCharType="separate"/>
      </w:r>
      <w:r>
        <w:rPr>
          <w:rFonts w:hint="eastAsia" w:asciiTheme="minorEastAsia" w:hAnsiTheme="minorEastAsia" w:eastAsiaTheme="minorEastAsia" w:cstheme="minorEastAsia"/>
          <w:b/>
          <w:bCs/>
          <w:szCs w:val="36"/>
        </w:rPr>
        <w:t>第四章  合同条款及格式</w:t>
      </w:r>
      <w:r>
        <w:rPr>
          <w:b/>
          <w:bCs/>
        </w:rPr>
        <w:tab/>
      </w:r>
      <w:r>
        <w:rPr>
          <w:b/>
          <w:bCs/>
        </w:rPr>
        <w:fldChar w:fldCharType="begin"/>
      </w:r>
      <w:r>
        <w:rPr>
          <w:b/>
          <w:bCs/>
        </w:rPr>
        <w:instrText xml:space="preserve"> PAGEREF _Toc955 </w:instrText>
      </w:r>
      <w:r>
        <w:rPr>
          <w:b/>
          <w:bCs/>
        </w:rPr>
        <w:fldChar w:fldCharType="separate"/>
      </w:r>
      <w:r>
        <w:rPr>
          <w:b/>
          <w:bCs/>
        </w:rPr>
        <w:t>- 21 -</w:t>
      </w:r>
      <w:r>
        <w:rPr>
          <w:b/>
          <w:bCs/>
        </w:rPr>
        <w:fldChar w:fldCharType="end"/>
      </w:r>
      <w:r>
        <w:rPr>
          <w:b/>
          <w:bCs/>
        </w:rPr>
        <w:fldChar w:fldCharType="end"/>
      </w:r>
    </w:p>
    <w:p>
      <w:pPr>
        <w:pStyle w:val="27"/>
        <w:tabs>
          <w:tab w:val="right" w:leader="dot" w:pos="9460"/>
        </w:tabs>
        <w:spacing w:line="520" w:lineRule="exact"/>
        <w:rPr>
          <w:rFonts w:asciiTheme="minorEastAsia" w:hAnsiTheme="minorEastAsia" w:eastAsiaTheme="minorEastAsia" w:cstheme="minorEastAsia"/>
          <w:b/>
          <w:bCs/>
          <w:caps/>
          <w:szCs w:val="21"/>
          <w:lang w:val="zh-CN"/>
        </w:rPr>
      </w:pPr>
      <w:r>
        <w:fldChar w:fldCharType="begin"/>
      </w:r>
      <w:r>
        <w:instrText xml:space="preserve"> HYPERLINK \l "_Toc26235" </w:instrText>
      </w:r>
      <w:r>
        <w:fldChar w:fldCharType="separate"/>
      </w:r>
      <w:r>
        <w:rPr>
          <w:rFonts w:hint="eastAsia" w:asciiTheme="minorEastAsia" w:hAnsiTheme="minorEastAsia" w:eastAsiaTheme="minorEastAsia" w:cstheme="minorEastAsia"/>
          <w:b/>
          <w:bCs/>
          <w:szCs w:val="36"/>
        </w:rPr>
        <w:t>第五章  采购内容及技术参数要求</w:t>
      </w:r>
      <w:r>
        <w:rPr>
          <w:b/>
          <w:bCs/>
        </w:rPr>
        <w:tab/>
      </w:r>
      <w:r>
        <w:rPr>
          <w:b/>
          <w:bCs/>
        </w:rPr>
        <w:fldChar w:fldCharType="begin"/>
      </w:r>
      <w:r>
        <w:rPr>
          <w:b/>
          <w:bCs/>
        </w:rPr>
        <w:instrText xml:space="preserve"> PAGEREF _Toc26235 </w:instrText>
      </w:r>
      <w:r>
        <w:rPr>
          <w:b/>
          <w:bCs/>
        </w:rPr>
        <w:fldChar w:fldCharType="separate"/>
      </w:r>
      <w:r>
        <w:rPr>
          <w:b/>
          <w:bCs/>
        </w:rPr>
        <w:t>- 30 -</w:t>
      </w:r>
      <w:r>
        <w:rPr>
          <w:b/>
          <w:bCs/>
        </w:rPr>
        <w:fldChar w:fldCharType="end"/>
      </w:r>
      <w:r>
        <w:rPr>
          <w:b/>
          <w:bCs/>
        </w:rPr>
        <w:fldChar w:fldCharType="end"/>
      </w:r>
    </w:p>
    <w:p>
      <w:pPr>
        <w:pStyle w:val="27"/>
        <w:tabs>
          <w:tab w:val="right" w:leader="dot" w:pos="9460"/>
        </w:tabs>
        <w:spacing w:line="520" w:lineRule="exact"/>
        <w:rPr>
          <w:b/>
          <w:bCs/>
        </w:rPr>
      </w:pPr>
      <w:r>
        <w:fldChar w:fldCharType="begin"/>
      </w:r>
      <w:r>
        <w:instrText xml:space="preserve"> HYPERLINK \l "_Toc26235" </w:instrText>
      </w:r>
      <w:r>
        <w:fldChar w:fldCharType="separate"/>
      </w:r>
      <w:r>
        <w:rPr>
          <w:rFonts w:hint="eastAsia" w:asciiTheme="minorEastAsia" w:hAnsiTheme="minorEastAsia" w:eastAsiaTheme="minorEastAsia" w:cstheme="minorEastAsia"/>
          <w:b/>
          <w:bCs/>
          <w:szCs w:val="36"/>
        </w:rPr>
        <w:t>第六章  投标文件格式</w:t>
      </w:r>
      <w:r>
        <w:rPr>
          <w:b/>
          <w:bCs/>
        </w:rPr>
        <w:tab/>
      </w:r>
      <w:r>
        <w:rPr>
          <w:b/>
          <w:bCs/>
        </w:rPr>
        <w:fldChar w:fldCharType="begin"/>
      </w:r>
      <w:r>
        <w:rPr>
          <w:b/>
          <w:bCs/>
        </w:rPr>
        <w:instrText xml:space="preserve"> PAGEREF _Toc26235 </w:instrText>
      </w:r>
      <w:r>
        <w:rPr>
          <w:b/>
          <w:bCs/>
        </w:rPr>
        <w:fldChar w:fldCharType="separate"/>
      </w:r>
      <w:r>
        <w:rPr>
          <w:b/>
          <w:bCs/>
        </w:rPr>
        <w:t>- 30 -</w:t>
      </w:r>
      <w:r>
        <w:rPr>
          <w:b/>
          <w:bCs/>
        </w:rPr>
        <w:fldChar w:fldCharType="end"/>
      </w:r>
      <w:r>
        <w:rPr>
          <w:b/>
          <w:bCs/>
        </w:rPr>
        <w:fldChar w:fldCharType="end"/>
      </w:r>
    </w:p>
    <w:p>
      <w:pPr>
        <w:spacing w:line="520" w:lineRule="exact"/>
        <w:rPr>
          <w:b/>
          <w:bCs/>
        </w:rPr>
      </w:pPr>
    </w:p>
    <w:p>
      <w:pPr>
        <w:spacing w:line="520" w:lineRule="exact"/>
        <w:ind w:right="-273" w:rightChars="-130"/>
        <w:rPr>
          <w:rFonts w:asciiTheme="minorEastAsia" w:hAnsiTheme="minorEastAsia" w:eastAsiaTheme="minorEastAsia" w:cstheme="minorEastAsia"/>
          <w:bCs/>
        </w:rPr>
      </w:pPr>
      <w:r>
        <w:rPr>
          <w:rFonts w:hint="eastAsia" w:asciiTheme="minorEastAsia" w:hAnsiTheme="minorEastAsia" w:eastAsiaTheme="minorEastAsia" w:cstheme="minorEastAsia"/>
          <w:b/>
          <w:bCs/>
          <w:caps/>
          <w:szCs w:val="21"/>
          <w:lang w:val="zh-CN"/>
        </w:rPr>
        <w:fldChar w:fldCharType="end"/>
      </w:r>
    </w:p>
    <w:p>
      <w:pPr>
        <w:pStyle w:val="35"/>
        <w:spacing w:line="360" w:lineRule="auto"/>
        <w:ind w:right="-63" w:rightChars="-30"/>
        <w:rPr>
          <w:rFonts w:asciiTheme="minorEastAsia" w:hAnsiTheme="minorEastAsia" w:eastAsiaTheme="minorEastAsia" w:cstheme="minorEastAsia"/>
          <w:bCs/>
        </w:rPr>
      </w:pPr>
      <w:bookmarkStart w:id="1" w:name="_Toc9243"/>
    </w:p>
    <w:p>
      <w:pPr>
        <w:pStyle w:val="35"/>
        <w:spacing w:line="360" w:lineRule="auto"/>
        <w:ind w:right="-63" w:rightChars="-30"/>
        <w:rPr>
          <w:rFonts w:asciiTheme="minorEastAsia" w:hAnsiTheme="minorEastAsia" w:eastAsiaTheme="minorEastAsia" w:cstheme="minorEastAsia"/>
          <w:bCs/>
        </w:rPr>
      </w:pPr>
    </w:p>
    <w:p>
      <w:pPr>
        <w:pStyle w:val="35"/>
        <w:spacing w:line="360" w:lineRule="auto"/>
        <w:ind w:right="-63" w:rightChars="-30"/>
        <w:rPr>
          <w:rFonts w:asciiTheme="minorEastAsia" w:hAnsiTheme="minorEastAsia" w:eastAsiaTheme="minorEastAsia" w:cstheme="minorEastAsia"/>
          <w:bCs/>
        </w:rPr>
      </w:pPr>
    </w:p>
    <w:p>
      <w:pPr>
        <w:pStyle w:val="35"/>
        <w:spacing w:line="360" w:lineRule="auto"/>
        <w:ind w:right="-63" w:rightChars="-30"/>
        <w:rPr>
          <w:rFonts w:asciiTheme="minorEastAsia" w:hAnsiTheme="minorEastAsia" w:eastAsiaTheme="minorEastAsia" w:cstheme="minorEastAsia"/>
          <w:bCs/>
        </w:rPr>
      </w:pPr>
    </w:p>
    <w:p>
      <w:pPr>
        <w:pStyle w:val="35"/>
        <w:spacing w:line="360" w:lineRule="auto"/>
        <w:ind w:right="-63" w:rightChars="-30"/>
        <w:rPr>
          <w:rFonts w:asciiTheme="minorEastAsia" w:hAnsiTheme="minorEastAsia" w:eastAsiaTheme="minorEastAsia" w:cstheme="minorEastAsia"/>
          <w:bCs/>
        </w:rPr>
      </w:pPr>
    </w:p>
    <w:p>
      <w:pPr>
        <w:pStyle w:val="35"/>
        <w:spacing w:line="360" w:lineRule="auto"/>
        <w:ind w:right="-63" w:rightChars="-30"/>
        <w:rPr>
          <w:rFonts w:asciiTheme="minorEastAsia" w:hAnsiTheme="minorEastAsia" w:eastAsiaTheme="minorEastAsia" w:cstheme="minorEastAsia"/>
          <w:bCs/>
        </w:rPr>
      </w:pPr>
    </w:p>
    <w:p>
      <w:pPr>
        <w:pStyle w:val="35"/>
        <w:spacing w:line="360" w:lineRule="auto"/>
        <w:ind w:right="-63" w:rightChars="-30"/>
        <w:rPr>
          <w:rFonts w:asciiTheme="minorEastAsia" w:hAnsiTheme="minorEastAsia" w:eastAsiaTheme="minorEastAsia" w:cstheme="minorEastAsia"/>
          <w:bCs/>
        </w:rPr>
      </w:pPr>
    </w:p>
    <w:p>
      <w:pPr>
        <w:pStyle w:val="35"/>
        <w:spacing w:line="360" w:lineRule="auto"/>
        <w:ind w:right="-63" w:rightChars="-30"/>
        <w:rPr>
          <w:rFonts w:asciiTheme="minorEastAsia" w:hAnsiTheme="minorEastAsia" w:eastAsiaTheme="minorEastAsia" w:cstheme="minorEastAsia"/>
          <w:bCs/>
        </w:rPr>
      </w:pPr>
    </w:p>
    <w:p>
      <w:pPr>
        <w:pStyle w:val="35"/>
        <w:spacing w:line="360" w:lineRule="auto"/>
        <w:ind w:right="-63" w:rightChars="-30"/>
        <w:jc w:val="both"/>
        <w:rPr>
          <w:rFonts w:asciiTheme="minorEastAsia" w:hAnsiTheme="minorEastAsia" w:eastAsiaTheme="minorEastAsia" w:cstheme="minorEastAsia"/>
          <w:bCs/>
        </w:rPr>
      </w:pPr>
    </w:p>
    <w:p>
      <w:pPr>
        <w:pStyle w:val="35"/>
        <w:spacing w:line="360" w:lineRule="auto"/>
        <w:ind w:right="-63" w:rightChars="-30"/>
        <w:rPr>
          <w:rFonts w:asciiTheme="minorEastAsia" w:hAnsiTheme="minorEastAsia" w:eastAsiaTheme="minorEastAsia" w:cstheme="minorEastAsia"/>
          <w:kern w:val="0"/>
        </w:rPr>
      </w:pPr>
      <w:r>
        <w:rPr>
          <w:rFonts w:hint="eastAsia" w:asciiTheme="minorEastAsia" w:hAnsiTheme="minorEastAsia" w:eastAsiaTheme="minorEastAsia" w:cstheme="minorEastAsia"/>
          <w:bCs/>
        </w:rPr>
        <w:t>第一章   招标公告</w:t>
      </w:r>
      <w:bookmarkEnd w:id="1"/>
    </w:p>
    <w:tbl>
      <w:tblPr>
        <w:tblStyle w:val="39"/>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sz w:val="24"/>
              </w:rPr>
            </w:pPr>
            <w:r>
              <w:rPr>
                <w:rFonts w:hint="eastAsia" w:ascii="宋体" w:hAnsi="宋体" w:eastAsia="宋体" w:cs="宋体"/>
                <w:kern w:val="2"/>
                <w:sz w:val="24"/>
                <w:szCs w:val="24"/>
                <w:lang w:val="en-US" w:eastAsia="zh-CN" w:bidi="ar-SA"/>
              </w:rPr>
              <w:t>项目概况：博爱县环豫视频监控系统采购项目的潜在供应</w:t>
            </w:r>
            <w:r>
              <w:rPr>
                <w:rFonts w:hint="eastAsia" w:ascii="宋体" w:hAnsi="宋体" w:cs="宋体"/>
                <w:sz w:val="24"/>
              </w:rPr>
              <w:t>商应在焦作市公共资源交易中心网站获取采购文件，并于</w:t>
            </w:r>
            <w:r>
              <w:rPr>
                <w:rFonts w:hint="eastAsia" w:ascii="宋体" w:hAnsi="宋体" w:cs="宋体"/>
                <w:sz w:val="24"/>
                <w:u w:val="single"/>
              </w:rPr>
              <w:t>2021年</w:t>
            </w:r>
            <w:r>
              <w:rPr>
                <w:rFonts w:hint="eastAsia" w:ascii="宋体" w:hAnsi="宋体" w:cs="宋体"/>
                <w:sz w:val="24"/>
                <w:u w:val="single"/>
                <w:lang w:val="en-US" w:eastAsia="zh-CN"/>
              </w:rPr>
              <w:t>4</w:t>
            </w:r>
            <w:r>
              <w:rPr>
                <w:rFonts w:hint="eastAsia" w:ascii="宋体" w:hAnsi="宋体" w:cs="宋体"/>
                <w:sz w:val="24"/>
                <w:u w:val="single"/>
              </w:rPr>
              <w:t>月</w:t>
            </w:r>
            <w:r>
              <w:rPr>
                <w:rFonts w:hint="eastAsia" w:ascii="宋体" w:hAnsi="宋体" w:cs="宋体"/>
                <w:sz w:val="24"/>
                <w:u w:val="single"/>
                <w:lang w:val="en-US" w:eastAsia="zh-CN"/>
              </w:rPr>
              <w:t>16</w:t>
            </w:r>
            <w:r>
              <w:rPr>
                <w:rFonts w:hint="eastAsia" w:ascii="宋体" w:hAnsi="宋体" w:cs="宋体"/>
                <w:sz w:val="24"/>
                <w:u w:val="single"/>
              </w:rPr>
              <w:t>日上午</w:t>
            </w:r>
            <w:r>
              <w:rPr>
                <w:rFonts w:hint="eastAsia" w:ascii="宋体" w:hAnsi="宋体" w:cs="宋体"/>
                <w:sz w:val="24"/>
                <w:u w:val="single"/>
                <w:lang w:val="en-US" w:eastAsia="zh-CN"/>
              </w:rPr>
              <w:t>10</w:t>
            </w:r>
            <w:r>
              <w:rPr>
                <w:rFonts w:hint="eastAsia" w:ascii="宋体" w:hAnsi="宋体" w:cs="宋体"/>
                <w:sz w:val="24"/>
                <w:u w:val="single"/>
              </w:rPr>
              <w:t>点00分（北京时间）</w:t>
            </w:r>
            <w:r>
              <w:rPr>
                <w:rFonts w:hint="eastAsia" w:ascii="宋体" w:hAnsi="宋体" w:cs="宋体"/>
                <w:sz w:val="24"/>
              </w:rPr>
              <w:t>前提交响应文件。</w:t>
            </w:r>
          </w:p>
        </w:tc>
      </w:tr>
    </w:tbl>
    <w:p>
      <w:pPr>
        <w:pStyle w:val="103"/>
        <w:spacing w:line="440" w:lineRule="exact"/>
        <w:ind w:left="0" w:leftChars="0" w:firstLine="0" w:firstLineChars="0"/>
        <w:rPr>
          <w:b/>
          <w:bCs/>
          <w:sz w:val="24"/>
          <w:lang w:eastAsia="zh-CN"/>
        </w:rPr>
      </w:pPr>
      <w:r>
        <w:rPr>
          <w:rFonts w:hint="eastAsia"/>
          <w:b/>
          <w:bCs/>
          <w:sz w:val="24"/>
          <w:lang w:eastAsia="zh-CN"/>
        </w:rPr>
        <w:t>一、项目基本情况</w:t>
      </w:r>
    </w:p>
    <w:p>
      <w:pPr>
        <w:pStyle w:val="103"/>
        <w:spacing w:line="440" w:lineRule="exact"/>
        <w:ind w:left="0" w:leftChars="0" w:firstLine="0" w:firstLineChars="0"/>
        <w:rPr>
          <w:sz w:val="24"/>
          <w:lang w:eastAsia="zh-CN"/>
        </w:rPr>
      </w:pPr>
      <w:r>
        <w:rPr>
          <w:rFonts w:hint="eastAsia"/>
          <w:sz w:val="24"/>
          <w:lang w:eastAsia="zh-CN"/>
        </w:rPr>
        <w:t>项目编号：博政采购（2021）</w:t>
      </w:r>
      <w:r>
        <w:rPr>
          <w:rFonts w:hint="eastAsia"/>
          <w:sz w:val="24"/>
          <w:lang w:val="en-US" w:eastAsia="zh-CN"/>
        </w:rPr>
        <w:t>16</w:t>
      </w:r>
      <w:r>
        <w:rPr>
          <w:rFonts w:hint="eastAsia"/>
          <w:sz w:val="24"/>
          <w:lang w:eastAsia="zh-CN"/>
        </w:rPr>
        <w:t>号</w:t>
      </w:r>
    </w:p>
    <w:p>
      <w:pPr>
        <w:pStyle w:val="103"/>
        <w:spacing w:line="440" w:lineRule="exact"/>
        <w:ind w:left="0" w:leftChars="0" w:firstLine="0" w:firstLineChars="0"/>
        <w:rPr>
          <w:sz w:val="24"/>
          <w:lang w:eastAsia="zh-CN"/>
        </w:rPr>
      </w:pPr>
      <w:r>
        <w:rPr>
          <w:rFonts w:hint="eastAsia"/>
          <w:sz w:val="24"/>
          <w:lang w:eastAsia="zh-CN"/>
        </w:rPr>
        <w:t>项目名称：</w:t>
      </w:r>
      <w:r>
        <w:rPr>
          <w:rFonts w:hint="eastAsia" w:ascii="宋体" w:hAnsi="宋体" w:eastAsia="宋体" w:cs="宋体"/>
          <w:kern w:val="2"/>
          <w:sz w:val="24"/>
          <w:szCs w:val="24"/>
          <w:lang w:val="en-US" w:eastAsia="zh-CN" w:bidi="ar-SA"/>
        </w:rPr>
        <w:t>博爱县环豫视频监控系统采购项目</w:t>
      </w:r>
    </w:p>
    <w:p>
      <w:pPr>
        <w:pStyle w:val="103"/>
        <w:spacing w:line="440" w:lineRule="exact"/>
        <w:ind w:left="0" w:firstLine="0"/>
        <w:rPr>
          <w:sz w:val="24"/>
          <w:lang w:eastAsia="zh-CN"/>
        </w:rPr>
      </w:pPr>
      <w:r>
        <w:rPr>
          <w:rFonts w:hint="eastAsia"/>
          <w:sz w:val="24"/>
          <w:lang w:eastAsia="zh-CN"/>
        </w:rPr>
        <w:t>采购方式：公开招标</w:t>
      </w:r>
    </w:p>
    <w:p>
      <w:pPr>
        <w:widowControl/>
        <w:spacing w:line="440" w:lineRule="exact"/>
        <w:jc w:val="left"/>
        <w:rPr>
          <w:rFonts w:ascii="宋体" w:hAnsi="宋体" w:cs="宋体"/>
          <w:kern w:val="0"/>
          <w:sz w:val="24"/>
        </w:rPr>
      </w:pPr>
      <w:r>
        <w:rPr>
          <w:rFonts w:hint="eastAsia" w:ascii="宋体" w:hAnsi="宋体" w:cs="宋体"/>
          <w:kern w:val="0"/>
          <w:sz w:val="24"/>
        </w:rPr>
        <w:t>预算金额：</w:t>
      </w:r>
      <w:r>
        <w:rPr>
          <w:rFonts w:hint="eastAsia" w:ascii="宋体" w:hAnsi="宋体" w:cs="宋体"/>
          <w:kern w:val="0"/>
          <w:sz w:val="24"/>
          <w:lang w:val="en-US" w:eastAsia="zh-CN"/>
        </w:rPr>
        <w:t>1013800</w:t>
      </w:r>
      <w:r>
        <w:rPr>
          <w:rFonts w:hint="eastAsia" w:ascii="宋体" w:hAnsi="宋体" w:cs="宋体"/>
          <w:kern w:val="0"/>
          <w:sz w:val="24"/>
        </w:rPr>
        <w:t>元</w:t>
      </w:r>
    </w:p>
    <w:p>
      <w:pPr>
        <w:widowControl/>
        <w:spacing w:line="440" w:lineRule="exact"/>
        <w:jc w:val="left"/>
        <w:rPr>
          <w:rFonts w:eastAsia="微软雅黑" w:asciiTheme="minorEastAsia" w:hAnsiTheme="minorEastAsia" w:cstheme="minorEastAsia"/>
          <w:kern w:val="0"/>
          <w:sz w:val="24"/>
        </w:rPr>
      </w:pPr>
      <w:r>
        <w:rPr>
          <w:rFonts w:hint="eastAsia" w:ascii="宋体" w:hAnsi="宋体" w:cs="宋体"/>
          <w:kern w:val="0"/>
          <w:sz w:val="24"/>
        </w:rPr>
        <w:t>采购内容</w:t>
      </w:r>
      <w:r>
        <w:rPr>
          <w:rFonts w:hint="eastAsia" w:ascii="宋体" w:hAnsi="宋体" w:cs="宋体"/>
          <w:kern w:val="0"/>
          <w:sz w:val="24"/>
          <w:lang w:eastAsia="zh-CN"/>
        </w:rPr>
        <w:t>：</w:t>
      </w:r>
      <w:r>
        <w:rPr>
          <w:rFonts w:hint="eastAsia" w:ascii="宋体" w:hAnsi="宋体" w:cs="宋体"/>
          <w:color w:val="auto"/>
          <w:kern w:val="0"/>
          <w:sz w:val="24"/>
          <w:highlight w:val="none"/>
          <w:lang w:val="en-US" w:eastAsia="zh-CN"/>
        </w:rPr>
        <w:t>采购网络摄像机15台、红外全景球机6台、全结构化双目摄像机11台、卡口抓拍单元2台等</w:t>
      </w:r>
      <w:r>
        <w:rPr>
          <w:rFonts w:hint="eastAsia" w:ascii="宋体" w:hAnsi="宋体" w:cs="宋体"/>
          <w:kern w:val="0"/>
          <w:sz w:val="24"/>
          <w:highlight w:val="none"/>
          <w:lang w:val="en-US" w:eastAsia="zh-CN"/>
        </w:rPr>
        <w:t>。</w:t>
      </w:r>
      <w:r>
        <w:rPr>
          <w:rFonts w:hint="eastAsia" w:ascii="宋体" w:hAnsi="宋体" w:cs="宋体"/>
          <w:kern w:val="0"/>
          <w:sz w:val="24"/>
          <w:szCs w:val="22"/>
          <w:highlight w:val="none"/>
        </w:rPr>
        <w:t>（</w:t>
      </w:r>
      <w:r>
        <w:rPr>
          <w:rFonts w:hint="eastAsia" w:ascii="宋体" w:hAnsi="宋体" w:cs="宋体"/>
          <w:kern w:val="0"/>
          <w:sz w:val="24"/>
          <w:szCs w:val="22"/>
        </w:rPr>
        <w:t>详见招标文件）</w:t>
      </w:r>
    </w:p>
    <w:p>
      <w:pPr>
        <w:widowControl/>
        <w:spacing w:line="440" w:lineRule="exact"/>
        <w:jc w:val="left"/>
        <w:rPr>
          <w:rFonts w:ascii="宋体" w:hAnsi="宋体" w:cs="宋体"/>
          <w:b w:val="0"/>
          <w:bCs w:val="0"/>
          <w:color w:val="121212"/>
          <w:sz w:val="24"/>
          <w:highlight w:val="none"/>
        </w:rPr>
      </w:pPr>
      <w:r>
        <w:rPr>
          <w:rFonts w:hint="eastAsia" w:ascii="宋体" w:hAnsi="宋体" w:cs="宋体"/>
          <w:b w:val="0"/>
          <w:bCs w:val="0"/>
          <w:color w:val="121212"/>
          <w:kern w:val="0"/>
          <w:sz w:val="24"/>
          <w:highlight w:val="none"/>
        </w:rPr>
        <w:t>供货</w:t>
      </w:r>
      <w:r>
        <w:rPr>
          <w:rFonts w:hint="eastAsia" w:ascii="宋体" w:hAnsi="宋体" w:cs="宋体"/>
          <w:b w:val="0"/>
          <w:bCs w:val="0"/>
          <w:color w:val="121212"/>
          <w:kern w:val="0"/>
          <w:sz w:val="24"/>
          <w:highlight w:val="none"/>
          <w:lang w:val="en-US" w:eastAsia="zh-CN"/>
        </w:rPr>
        <w:t>及安装</w:t>
      </w:r>
      <w:r>
        <w:rPr>
          <w:rFonts w:hint="eastAsia" w:ascii="宋体" w:hAnsi="宋体" w:cs="宋体"/>
          <w:b w:val="0"/>
          <w:bCs w:val="0"/>
          <w:color w:val="121212"/>
          <w:kern w:val="0"/>
          <w:sz w:val="24"/>
          <w:highlight w:val="none"/>
        </w:rPr>
        <w:t>期：</w:t>
      </w:r>
      <w:r>
        <w:rPr>
          <w:rFonts w:hint="eastAsia" w:ascii="宋体" w:hAnsi="宋体" w:cs="宋体"/>
          <w:b w:val="0"/>
          <w:bCs w:val="0"/>
          <w:color w:val="121212"/>
          <w:kern w:val="0"/>
          <w:sz w:val="24"/>
          <w:highlight w:val="none"/>
          <w:lang w:val="en-US" w:eastAsia="zh-CN"/>
        </w:rPr>
        <w:t>3</w:t>
      </w:r>
      <w:r>
        <w:rPr>
          <w:rFonts w:hint="eastAsia" w:ascii="宋体" w:hAnsi="宋体" w:cs="宋体"/>
          <w:b w:val="0"/>
          <w:bCs w:val="0"/>
          <w:color w:val="121212"/>
          <w:kern w:val="0"/>
          <w:sz w:val="24"/>
          <w:highlight w:val="none"/>
        </w:rPr>
        <w:t>0</w:t>
      </w:r>
      <w:r>
        <w:rPr>
          <w:rFonts w:hint="eastAsia" w:ascii="宋体" w:hAnsi="宋体" w:cs="宋体"/>
          <w:b w:val="0"/>
          <w:bCs w:val="0"/>
          <w:color w:val="121212"/>
          <w:kern w:val="0"/>
          <w:sz w:val="24"/>
          <w:highlight w:val="none"/>
          <w:lang w:val="en-US" w:eastAsia="zh-CN"/>
        </w:rPr>
        <w:t>日历</w:t>
      </w:r>
      <w:r>
        <w:rPr>
          <w:rFonts w:hint="eastAsia" w:ascii="宋体" w:hAnsi="宋体" w:cs="宋体"/>
          <w:b w:val="0"/>
          <w:bCs w:val="0"/>
          <w:color w:val="121212"/>
          <w:kern w:val="0"/>
          <w:sz w:val="24"/>
          <w:highlight w:val="none"/>
        </w:rPr>
        <w:t>天</w:t>
      </w:r>
    </w:p>
    <w:p>
      <w:pPr>
        <w:adjustRightInd w:val="0"/>
        <w:snapToGrid w:val="0"/>
        <w:spacing w:line="440" w:lineRule="exact"/>
        <w:rPr>
          <w:rFonts w:ascii="宋体" w:hAnsi="宋体" w:cs="宋体"/>
          <w:color w:val="121212"/>
          <w:kern w:val="0"/>
          <w:sz w:val="24"/>
        </w:rPr>
      </w:pPr>
      <w:r>
        <w:rPr>
          <w:rFonts w:hint="eastAsia" w:ascii="宋体" w:hAnsi="宋体" w:cs="宋体"/>
          <w:b/>
          <w:bCs/>
          <w:color w:val="121212"/>
          <w:kern w:val="0"/>
          <w:sz w:val="24"/>
        </w:rPr>
        <w:t>二、申请人资格要求：</w:t>
      </w:r>
    </w:p>
    <w:p>
      <w:pPr>
        <w:adjustRightInd w:val="0"/>
        <w:snapToGrid w:val="0"/>
        <w:spacing w:line="440" w:lineRule="exact"/>
        <w:ind w:firstLine="480" w:firstLineChars="200"/>
        <w:rPr>
          <w:rFonts w:ascii="宋体" w:hAnsi="宋体" w:cs="宋体"/>
          <w:kern w:val="0"/>
          <w:sz w:val="24"/>
        </w:rPr>
      </w:pPr>
      <w:r>
        <w:rPr>
          <w:rFonts w:hint="eastAsia" w:ascii="宋体" w:hAnsi="宋体" w:cs="宋体"/>
          <w:color w:val="121212"/>
          <w:kern w:val="0"/>
          <w:sz w:val="24"/>
        </w:rPr>
        <w:t>1、符合《中</w:t>
      </w:r>
      <w:r>
        <w:rPr>
          <w:rFonts w:hint="eastAsia" w:ascii="宋体" w:hAnsi="宋体" w:cs="宋体"/>
          <w:kern w:val="0"/>
          <w:sz w:val="24"/>
        </w:rPr>
        <w:t>华人民共和国政府采购法》第二十二条之规定；</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2、落实政府采购政策需满足的资格要求：促进中小企业和监狱企业发展扶持政策、政府强制采购节能产品、节能产品及环境标志产品优先采购。</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3、本项目的特定资格要求：</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3.1供应商</w:t>
      </w:r>
      <w:r>
        <w:rPr>
          <w:rFonts w:hint="eastAsia" w:ascii="宋体" w:hAnsi="宋体" w:cs="宋体"/>
          <w:sz w:val="24"/>
        </w:rPr>
        <w:t>须具有有效的营业执照,</w:t>
      </w:r>
      <w:r>
        <w:rPr>
          <w:rFonts w:hint="eastAsia" w:ascii="宋体" w:hAnsi="宋体" w:cs="宋体"/>
          <w:kern w:val="0"/>
          <w:sz w:val="24"/>
        </w:rPr>
        <w:t>，并具有实施完成本项目的经营实力和完善的售后服务体系；</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adjustRightInd w:val="0"/>
        <w:snapToGrid w:val="0"/>
        <w:spacing w:line="440" w:lineRule="exact"/>
        <w:ind w:firstLine="360" w:firstLineChars="150"/>
        <w:rPr>
          <w:rFonts w:ascii="宋体" w:hAnsi="宋体" w:cs="宋体"/>
          <w:kern w:val="0"/>
          <w:sz w:val="24"/>
        </w:rPr>
      </w:pPr>
      <w:r>
        <w:rPr>
          <w:rFonts w:hint="eastAsia" w:ascii="宋体" w:hAnsi="宋体" w:cs="宋体"/>
          <w:kern w:val="0"/>
          <w:sz w:val="24"/>
        </w:rPr>
        <w:t>3.3本项目不接受联合体投标；</w:t>
      </w:r>
    </w:p>
    <w:p>
      <w:pPr>
        <w:adjustRightInd w:val="0"/>
        <w:snapToGrid w:val="0"/>
        <w:spacing w:line="440" w:lineRule="exact"/>
        <w:ind w:firstLine="360" w:firstLineChars="150"/>
        <w:rPr>
          <w:rFonts w:ascii="宋体" w:hAnsi="宋体" w:cs="宋体"/>
          <w:kern w:val="0"/>
          <w:sz w:val="24"/>
        </w:rPr>
      </w:pPr>
      <w:r>
        <w:rPr>
          <w:rFonts w:hint="eastAsia" w:ascii="宋体" w:hAnsi="宋体" w:cs="宋体"/>
          <w:kern w:val="0"/>
          <w:sz w:val="24"/>
        </w:rPr>
        <w:t>3.4资格审查方式：资格后审。</w:t>
      </w:r>
    </w:p>
    <w:p>
      <w:pPr>
        <w:widowControl/>
        <w:spacing w:line="440" w:lineRule="exact"/>
        <w:jc w:val="left"/>
        <w:rPr>
          <w:rFonts w:ascii="宋体" w:hAnsi="宋体" w:cs="宋体"/>
          <w:b/>
          <w:bCs/>
          <w:kern w:val="0"/>
          <w:sz w:val="24"/>
        </w:rPr>
      </w:pPr>
      <w:r>
        <w:rPr>
          <w:rFonts w:hint="eastAsia" w:ascii="宋体" w:hAnsi="宋体" w:cs="宋体"/>
          <w:b/>
          <w:bCs/>
          <w:kern w:val="0"/>
          <w:sz w:val="24"/>
        </w:rPr>
        <w:t>三、获取采购文件</w:t>
      </w:r>
    </w:p>
    <w:p>
      <w:pPr>
        <w:pStyle w:val="34"/>
        <w:shd w:val="clear" w:color="auto" w:fill="FFFFFF"/>
        <w:autoSpaceDE w:val="0"/>
        <w:spacing w:before="0" w:beforeAutospacing="0" w:after="0" w:afterAutospacing="0" w:line="440" w:lineRule="atLeast"/>
        <w:ind w:firstLine="480" w:firstLineChars="200"/>
      </w:pPr>
      <w:r>
        <w:rPr>
          <w:rFonts w:hint="eastAsia"/>
        </w:rPr>
        <w:t>1.时间：2021年</w:t>
      </w:r>
      <w:r>
        <w:rPr>
          <w:rFonts w:hint="eastAsia"/>
          <w:lang w:val="en-US" w:eastAsia="zh-CN"/>
        </w:rPr>
        <w:t xml:space="preserve">3 </w:t>
      </w:r>
      <w:r>
        <w:rPr>
          <w:rFonts w:hint="eastAsia"/>
        </w:rPr>
        <w:t>月</w:t>
      </w:r>
      <w:r>
        <w:rPr>
          <w:rFonts w:hint="eastAsia"/>
          <w:lang w:val="en-US" w:eastAsia="zh-CN"/>
        </w:rPr>
        <w:t>26</w:t>
      </w:r>
      <w:r>
        <w:rPr>
          <w:rFonts w:hint="eastAsia"/>
        </w:rPr>
        <w:t>日</w:t>
      </w:r>
      <w:r>
        <w:rPr>
          <w:rFonts w:hint="eastAsia"/>
          <w:lang w:val="en-US" w:eastAsia="zh-CN"/>
        </w:rPr>
        <w:t xml:space="preserve"> </w:t>
      </w:r>
      <w:r>
        <w:rPr>
          <w:rFonts w:hint="eastAsia"/>
        </w:rPr>
        <w:t>至2021年</w:t>
      </w:r>
      <w:r>
        <w:rPr>
          <w:rFonts w:hint="eastAsia"/>
          <w:lang w:val="en-US" w:eastAsia="zh-CN"/>
        </w:rPr>
        <w:t>4</w:t>
      </w:r>
      <w:r>
        <w:rPr>
          <w:rFonts w:hint="eastAsia"/>
        </w:rPr>
        <w:t>月</w:t>
      </w:r>
      <w:r>
        <w:rPr>
          <w:rFonts w:hint="eastAsia"/>
          <w:lang w:val="en-US" w:eastAsia="zh-CN"/>
        </w:rPr>
        <w:t>1</w:t>
      </w:r>
      <w:r>
        <w:rPr>
          <w:rFonts w:hint="eastAsia"/>
        </w:rPr>
        <w:t>日</w:t>
      </w:r>
      <w:r>
        <w:rPr>
          <w:rFonts w:hint="eastAsia"/>
          <w:lang w:val="en-US" w:eastAsia="zh-CN"/>
        </w:rPr>
        <w:t xml:space="preserve"> </w:t>
      </w:r>
      <w:r>
        <w:rPr>
          <w:rFonts w:hint="eastAsia"/>
        </w:rPr>
        <w:t>（北京时间）；</w:t>
      </w:r>
      <w:r>
        <w:rPr>
          <w:rFonts w:hint="eastAsia"/>
        </w:rPr>
        <w:br w:type="textWrapping"/>
      </w:r>
      <w:r>
        <w:rPr>
          <w:rFonts w:hint="eastAsia"/>
        </w:rPr>
        <w:t>  2.地点：</w:t>
      </w:r>
      <w:r>
        <w:rPr>
          <w:rFonts w:hint="eastAsia"/>
          <w:shd w:val="clear" w:color="auto" w:fill="FFFFFF"/>
        </w:rPr>
        <w:t>凡有意参加投标者，请登陆焦作市公共资源交易中心网站会员系统进行网上下载。凡未在规定时间内完成下载文件者，视为无效。（联系电话：0391-3568920，QQ：232850725、361532918（群）；</w:t>
      </w:r>
    </w:p>
    <w:p>
      <w:pPr>
        <w:pStyle w:val="34"/>
        <w:shd w:val="clear" w:color="auto" w:fill="FFFFFF"/>
        <w:autoSpaceDE w:val="0"/>
        <w:spacing w:before="0" w:beforeAutospacing="0" w:after="0" w:afterAutospacing="0" w:line="440" w:lineRule="atLeast"/>
      </w:pPr>
      <w:r>
        <w:rPr>
          <w:rFonts w:hint="eastAsia"/>
        </w:rPr>
        <w:t>  3.方式：</w:t>
      </w:r>
      <w:r>
        <w:rPr>
          <w:rFonts w:hint="eastAsia"/>
          <w:shd w:val="clear" w:color="auto" w:fill="FFFFFF"/>
        </w:rPr>
        <w:t>网上下载；</w:t>
      </w:r>
    </w:p>
    <w:p>
      <w:pPr>
        <w:adjustRightInd w:val="0"/>
        <w:snapToGrid w:val="0"/>
        <w:spacing w:line="440" w:lineRule="exact"/>
        <w:rPr>
          <w:rFonts w:ascii="宋体" w:hAnsi="宋体" w:cs="宋体"/>
          <w:b/>
          <w:kern w:val="0"/>
          <w:sz w:val="24"/>
        </w:rPr>
      </w:pPr>
      <w:r>
        <w:rPr>
          <w:rFonts w:hint="eastAsia" w:ascii="宋体" w:hAnsi="宋体" w:cs="宋体"/>
          <w:b/>
          <w:kern w:val="0"/>
          <w:sz w:val="24"/>
        </w:rPr>
        <w:t>四、响应文件提交</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1、截止时间：2021年</w:t>
      </w:r>
      <w:r>
        <w:rPr>
          <w:rFonts w:hint="eastAsia" w:ascii="宋体" w:hAnsi="宋体" w:cs="宋体"/>
          <w:kern w:val="0"/>
          <w:sz w:val="24"/>
          <w:lang w:val="en-US" w:eastAsia="zh-CN"/>
        </w:rPr>
        <w:t>4</w:t>
      </w:r>
      <w:r>
        <w:rPr>
          <w:rFonts w:hint="eastAsia" w:ascii="宋体" w:hAnsi="宋体" w:cs="宋体"/>
          <w:kern w:val="0"/>
          <w:sz w:val="24"/>
        </w:rPr>
        <w:t>月</w:t>
      </w:r>
      <w:r>
        <w:rPr>
          <w:rFonts w:hint="eastAsia" w:ascii="宋体" w:hAnsi="宋体" w:cs="宋体"/>
          <w:kern w:val="0"/>
          <w:sz w:val="24"/>
          <w:lang w:val="en-US" w:eastAsia="zh-CN"/>
        </w:rPr>
        <w:t>16</w:t>
      </w:r>
      <w:r>
        <w:rPr>
          <w:rFonts w:hint="eastAsia" w:ascii="宋体" w:hAnsi="宋体" w:cs="宋体"/>
          <w:kern w:val="0"/>
          <w:sz w:val="24"/>
        </w:rPr>
        <w:t xml:space="preserve">日 </w:t>
      </w:r>
      <w:r>
        <w:rPr>
          <w:rFonts w:hint="eastAsia" w:ascii="宋体" w:hAnsi="宋体" w:cs="宋体"/>
          <w:kern w:val="0"/>
          <w:sz w:val="24"/>
          <w:lang w:val="en-US" w:eastAsia="zh-CN"/>
        </w:rPr>
        <w:t>10</w:t>
      </w:r>
      <w:r>
        <w:rPr>
          <w:rFonts w:hint="eastAsia" w:ascii="宋体" w:hAnsi="宋体" w:cs="宋体"/>
          <w:kern w:val="0"/>
          <w:sz w:val="24"/>
        </w:rPr>
        <w:t>点00分（北京时间）；</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2、地点：博爱县公共资源交易中心二楼第</w:t>
      </w:r>
      <w:r>
        <w:rPr>
          <w:rFonts w:hint="eastAsia" w:ascii="宋体" w:hAnsi="宋体" w:cs="宋体"/>
          <w:kern w:val="0"/>
          <w:sz w:val="24"/>
          <w:lang w:val="en-US" w:eastAsia="zh-CN"/>
        </w:rPr>
        <w:t>一</w:t>
      </w:r>
      <w:r>
        <w:rPr>
          <w:rFonts w:hint="eastAsia" w:ascii="宋体" w:hAnsi="宋体" w:cs="宋体"/>
          <w:kern w:val="0"/>
          <w:sz w:val="24"/>
        </w:rPr>
        <w:t>开标室。</w:t>
      </w:r>
    </w:p>
    <w:p>
      <w:pPr>
        <w:adjustRightInd w:val="0"/>
        <w:snapToGrid w:val="0"/>
        <w:spacing w:line="440" w:lineRule="exact"/>
        <w:rPr>
          <w:rFonts w:ascii="宋体" w:hAnsi="宋体" w:cs="宋体"/>
          <w:b/>
          <w:kern w:val="0"/>
          <w:sz w:val="24"/>
        </w:rPr>
      </w:pPr>
      <w:r>
        <w:rPr>
          <w:rFonts w:hint="eastAsia" w:ascii="宋体" w:hAnsi="宋体" w:cs="宋体"/>
          <w:b/>
          <w:kern w:val="0"/>
          <w:sz w:val="24"/>
        </w:rPr>
        <w:t>五、开启</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1、时间：2021年</w:t>
      </w:r>
      <w:r>
        <w:rPr>
          <w:rFonts w:hint="eastAsia" w:ascii="宋体" w:hAnsi="宋体" w:cs="宋体"/>
          <w:kern w:val="0"/>
          <w:sz w:val="24"/>
          <w:lang w:val="en-US" w:eastAsia="zh-CN"/>
        </w:rPr>
        <w:t>4</w:t>
      </w:r>
      <w:r>
        <w:rPr>
          <w:rFonts w:hint="eastAsia" w:ascii="宋体" w:hAnsi="宋体" w:cs="宋体"/>
          <w:kern w:val="0"/>
          <w:sz w:val="24"/>
        </w:rPr>
        <w:t>月</w:t>
      </w:r>
      <w:r>
        <w:rPr>
          <w:rFonts w:hint="eastAsia" w:ascii="宋体" w:hAnsi="宋体" w:cs="宋体"/>
          <w:kern w:val="0"/>
          <w:sz w:val="24"/>
          <w:lang w:val="en-US" w:eastAsia="zh-CN"/>
        </w:rPr>
        <w:t xml:space="preserve">16 </w:t>
      </w:r>
      <w:r>
        <w:rPr>
          <w:rFonts w:hint="eastAsia" w:ascii="宋体" w:hAnsi="宋体" w:cs="宋体"/>
          <w:kern w:val="0"/>
          <w:sz w:val="24"/>
        </w:rPr>
        <w:t>日</w:t>
      </w:r>
      <w:r>
        <w:rPr>
          <w:rFonts w:hint="eastAsia" w:ascii="宋体" w:hAnsi="宋体" w:cs="宋体"/>
          <w:kern w:val="0"/>
          <w:sz w:val="24"/>
          <w:lang w:val="en-US" w:eastAsia="zh-CN"/>
        </w:rPr>
        <w:t>10</w:t>
      </w:r>
      <w:r>
        <w:rPr>
          <w:rFonts w:hint="eastAsia" w:ascii="宋体" w:hAnsi="宋体" w:cs="宋体"/>
          <w:kern w:val="0"/>
          <w:sz w:val="24"/>
        </w:rPr>
        <w:t>点00分（北京时间）；</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2、地点：博爱县公共资源交易中心二楼第</w:t>
      </w:r>
      <w:r>
        <w:rPr>
          <w:rFonts w:hint="eastAsia" w:ascii="宋体" w:hAnsi="宋体" w:cs="宋体"/>
          <w:kern w:val="0"/>
          <w:sz w:val="24"/>
          <w:lang w:val="en-US" w:eastAsia="zh-CN"/>
        </w:rPr>
        <w:t>一</w:t>
      </w:r>
      <w:r>
        <w:rPr>
          <w:rFonts w:hint="eastAsia" w:ascii="宋体" w:hAnsi="宋体" w:cs="宋体"/>
          <w:kern w:val="0"/>
          <w:sz w:val="24"/>
        </w:rPr>
        <w:t>开标室。</w:t>
      </w:r>
    </w:p>
    <w:p>
      <w:pPr>
        <w:adjustRightInd w:val="0"/>
        <w:snapToGrid w:val="0"/>
        <w:spacing w:line="440" w:lineRule="exact"/>
        <w:rPr>
          <w:rFonts w:ascii="宋体" w:hAnsi="宋体" w:cs="宋体"/>
          <w:b/>
          <w:bCs/>
          <w:sz w:val="24"/>
        </w:rPr>
      </w:pPr>
      <w:r>
        <w:rPr>
          <w:rFonts w:hint="eastAsia" w:ascii="宋体" w:hAnsi="宋体" w:cs="宋体"/>
          <w:b/>
          <w:bCs/>
          <w:sz w:val="24"/>
        </w:rPr>
        <w:t>六、公告期限</w:t>
      </w:r>
    </w:p>
    <w:p>
      <w:pPr>
        <w:adjustRightInd w:val="0"/>
        <w:snapToGrid w:val="0"/>
        <w:spacing w:line="440" w:lineRule="exact"/>
        <w:ind w:firstLine="480" w:firstLineChars="200"/>
        <w:rPr>
          <w:rFonts w:ascii="宋体" w:hAnsi="宋体" w:cs="宋体"/>
          <w:kern w:val="0"/>
          <w:sz w:val="24"/>
        </w:rPr>
      </w:pPr>
      <w:r>
        <w:rPr>
          <w:rFonts w:hint="eastAsia" w:ascii="宋体" w:hAnsi="宋体" w:cs="宋体"/>
          <w:sz w:val="24"/>
        </w:rPr>
        <w:t>自本公告发布之</w:t>
      </w:r>
      <w:r>
        <w:rPr>
          <w:rFonts w:hint="eastAsia" w:ascii="宋体" w:hAnsi="宋体" w:cs="宋体"/>
          <w:kern w:val="0"/>
          <w:sz w:val="24"/>
        </w:rPr>
        <w:t>日起5个工作日。</w:t>
      </w:r>
    </w:p>
    <w:p>
      <w:pPr>
        <w:pStyle w:val="34"/>
        <w:shd w:val="clear" w:color="auto" w:fill="FFFFFF"/>
        <w:autoSpaceDE w:val="0"/>
        <w:spacing w:before="0" w:beforeAutospacing="0" w:after="0" w:afterAutospacing="0" w:line="440" w:lineRule="exact"/>
      </w:pPr>
      <w:r>
        <w:rPr>
          <w:rFonts w:hint="eastAsia"/>
          <w:b/>
          <w:shd w:val="clear" w:color="auto" w:fill="FFFFFF"/>
        </w:rPr>
        <w:t>七、其他补充事宜</w:t>
      </w:r>
    </w:p>
    <w:p>
      <w:pPr>
        <w:pStyle w:val="34"/>
        <w:shd w:val="clear" w:color="auto" w:fill="FFFFFF"/>
        <w:autoSpaceDE w:val="0"/>
        <w:spacing w:before="0" w:beforeAutospacing="0" w:after="0" w:afterAutospacing="0" w:line="440" w:lineRule="exact"/>
        <w:ind w:firstLine="480" w:firstLineChars="200"/>
        <w:rPr>
          <w:shd w:val="clear" w:color="auto" w:fill="FFFFFF"/>
        </w:rPr>
      </w:pPr>
      <w:r>
        <w:rPr>
          <w:rFonts w:hint="eastAsia"/>
          <w:shd w:val="clear" w:color="auto" w:fill="FFFFFF"/>
        </w:rPr>
        <w:t>本公告在</w:t>
      </w:r>
      <w:r>
        <w:rPr>
          <w:rFonts w:hint="eastAsia"/>
          <w:color w:val="auto"/>
          <w:shd w:val="clear" w:color="auto" w:fill="FFFFFF"/>
        </w:rPr>
        <w:t>《中国招标投标公共服务平台》</w:t>
      </w:r>
      <w:r>
        <w:rPr>
          <w:rFonts w:hint="eastAsia"/>
          <w:shd w:val="clear" w:color="auto" w:fill="FFFFFF"/>
        </w:rPr>
        <w:t>、《河南省政府采购网》、《焦作市政府采购网》、《焦作市公共资源交易中心网》、《博爱县人民政府网》、《博爱县公共资源交易中心网》上发布.</w:t>
      </w:r>
    </w:p>
    <w:p>
      <w:pPr>
        <w:adjustRightInd w:val="0"/>
        <w:snapToGrid w:val="0"/>
        <w:spacing w:line="440" w:lineRule="exact"/>
        <w:rPr>
          <w:rFonts w:ascii="宋体" w:hAnsi="宋体" w:cs="宋体"/>
          <w:b/>
          <w:kern w:val="0"/>
          <w:sz w:val="24"/>
        </w:rPr>
      </w:pPr>
      <w:r>
        <w:rPr>
          <w:rFonts w:hint="eastAsia" w:ascii="宋体" w:hAnsi="宋体" w:cs="宋体"/>
          <w:b/>
          <w:kern w:val="0"/>
          <w:sz w:val="24"/>
        </w:rPr>
        <w:t>八、</w:t>
      </w:r>
      <w:r>
        <w:rPr>
          <w:rFonts w:hint="eastAsia" w:ascii="宋体" w:hAnsi="宋体" w:cs="宋体"/>
          <w:b/>
          <w:sz w:val="24"/>
          <w:shd w:val="clear" w:color="auto" w:fill="FFFFFF"/>
        </w:rPr>
        <w:t>凡对本次采购提出询问，请按以下方式联系</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1、采购人信息：</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采购人：博爱县</w:t>
      </w:r>
      <w:r>
        <w:rPr>
          <w:rFonts w:hint="eastAsia" w:ascii="宋体" w:hAnsi="宋体" w:cs="宋体"/>
          <w:kern w:val="0"/>
          <w:sz w:val="24"/>
          <w:lang w:val="en-US" w:eastAsia="zh-CN"/>
        </w:rPr>
        <w:t>公安</w:t>
      </w:r>
      <w:r>
        <w:rPr>
          <w:rFonts w:hint="eastAsia" w:ascii="宋体" w:hAnsi="宋体" w:cs="宋体"/>
          <w:kern w:val="0"/>
          <w:sz w:val="24"/>
        </w:rPr>
        <w:t xml:space="preserve">局   </w:t>
      </w:r>
    </w:p>
    <w:p>
      <w:pPr>
        <w:adjustRightInd w:val="0"/>
        <w:snapToGrid w:val="0"/>
        <w:spacing w:line="440" w:lineRule="exact"/>
        <w:ind w:firstLine="480" w:firstLineChars="200"/>
        <w:rPr>
          <w:rFonts w:hint="default" w:ascii="宋体" w:hAnsi="宋体" w:eastAsia="宋体" w:cs="宋体"/>
          <w:kern w:val="0"/>
          <w:sz w:val="24"/>
          <w:highlight w:val="yellow"/>
          <w:lang w:val="en-US" w:eastAsia="zh-CN"/>
        </w:rPr>
      </w:pPr>
      <w:r>
        <w:rPr>
          <w:rFonts w:hint="eastAsia" w:ascii="宋体" w:hAnsi="宋体" w:cs="宋体"/>
          <w:kern w:val="0"/>
          <w:sz w:val="24"/>
        </w:rPr>
        <w:t>地址：</w:t>
      </w:r>
      <w:r>
        <w:rPr>
          <w:rFonts w:hint="eastAsia" w:ascii="宋体" w:hAnsi="宋体" w:cs="宋体"/>
          <w:kern w:val="0"/>
          <w:sz w:val="24"/>
          <w:highlight w:val="none"/>
          <w:lang w:val="en-US" w:eastAsia="zh-CN"/>
        </w:rPr>
        <w:t>博爱县海华路</w:t>
      </w:r>
    </w:p>
    <w:p>
      <w:pPr>
        <w:adjustRightInd w:val="0"/>
        <w:snapToGrid w:val="0"/>
        <w:spacing w:line="440" w:lineRule="exact"/>
        <w:ind w:firstLine="480" w:firstLineChars="200"/>
        <w:rPr>
          <w:rFonts w:hint="default" w:ascii="宋体" w:hAnsi="宋体" w:eastAsia="宋体" w:cs="宋体"/>
          <w:sz w:val="24"/>
          <w:lang w:val="en-US" w:eastAsia="zh-CN"/>
        </w:rPr>
      </w:pPr>
      <w:r>
        <w:rPr>
          <w:rFonts w:hint="eastAsia" w:ascii="宋体" w:hAnsi="宋体" w:cs="宋体"/>
          <w:kern w:val="0"/>
          <w:sz w:val="24"/>
        </w:rPr>
        <w:t>电话：</w:t>
      </w:r>
      <w:r>
        <w:rPr>
          <w:rFonts w:hint="eastAsia" w:ascii="宋体" w:hAnsi="宋体" w:cs="宋体"/>
          <w:sz w:val="24"/>
          <w:lang w:val="en-US" w:eastAsia="zh-CN"/>
        </w:rPr>
        <w:t>18339132667</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2、采购代理机构信息：</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 xml:space="preserve">名称：博爱县城市建设项目管理有限公司 </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地址：博爱县鸿昌街道办事处建设街12号</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电话：13839141133</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3、项目联系方式</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项目联系人：</w:t>
      </w:r>
      <w:r>
        <w:rPr>
          <w:rFonts w:hint="eastAsia" w:ascii="宋体" w:hAnsi="宋体" w:cs="宋体"/>
          <w:sz w:val="24"/>
          <w:lang w:val="en-US" w:eastAsia="zh-CN"/>
        </w:rPr>
        <w:t>胡</w:t>
      </w:r>
      <w:r>
        <w:rPr>
          <w:rFonts w:hint="eastAsia" w:ascii="宋体" w:hAnsi="宋体" w:cs="宋体"/>
          <w:sz w:val="24"/>
        </w:rPr>
        <w:t>先生</w:t>
      </w:r>
    </w:p>
    <w:p>
      <w:pPr>
        <w:adjustRightInd w:val="0"/>
        <w:snapToGrid w:val="0"/>
        <w:spacing w:line="440" w:lineRule="exact"/>
        <w:ind w:firstLine="480" w:firstLineChars="200"/>
        <w:rPr>
          <w:rFonts w:ascii="宋体" w:hAnsi="宋体" w:cs="宋体"/>
          <w:kern w:val="0"/>
          <w:sz w:val="24"/>
        </w:rPr>
      </w:pPr>
      <w:r>
        <w:rPr>
          <w:rFonts w:hint="eastAsia" w:ascii="宋体" w:hAnsi="宋体" w:cs="宋体"/>
          <w:sz w:val="24"/>
        </w:rPr>
        <w:t>电话：</w:t>
      </w:r>
      <w:r>
        <w:rPr>
          <w:rFonts w:hint="eastAsia" w:ascii="宋体" w:hAnsi="宋体" w:cs="宋体"/>
          <w:sz w:val="24"/>
          <w:lang w:val="en-US" w:eastAsia="zh-CN"/>
        </w:rPr>
        <w:t>18339132667</w:t>
      </w:r>
    </w:p>
    <w:p>
      <w:pPr>
        <w:pStyle w:val="14"/>
      </w:pPr>
    </w:p>
    <w:p>
      <w:pPr>
        <w:widowControl/>
        <w:spacing w:line="440" w:lineRule="exact"/>
        <w:ind w:left="2940" w:firstLine="420"/>
        <w:rPr>
          <w:rFonts w:ascii="宋体" w:hAnsi="宋体" w:cs="宋体"/>
          <w:color w:val="000000"/>
          <w:sz w:val="24"/>
          <w:shd w:val="clear" w:color="auto" w:fill="FFFFFF"/>
        </w:rPr>
      </w:pPr>
      <w:r>
        <w:rPr>
          <w:rFonts w:hint="eastAsia" w:ascii="宋体" w:hAnsi="宋体" w:cs="宋体"/>
          <w:sz w:val="24"/>
        </w:rPr>
        <w:t>采购人：</w:t>
      </w:r>
      <w:r>
        <w:rPr>
          <w:rFonts w:hint="eastAsia" w:ascii="宋体" w:hAnsi="宋体" w:cs="宋体"/>
          <w:color w:val="000000"/>
          <w:sz w:val="24"/>
          <w:shd w:val="clear" w:color="auto" w:fill="FFFFFF"/>
        </w:rPr>
        <w:t>博爱县</w:t>
      </w:r>
      <w:r>
        <w:rPr>
          <w:rFonts w:hint="eastAsia" w:ascii="宋体" w:hAnsi="宋体" w:cs="宋体"/>
          <w:color w:val="000000"/>
          <w:sz w:val="24"/>
          <w:shd w:val="clear" w:color="auto" w:fill="FFFFFF"/>
          <w:lang w:val="en-US" w:eastAsia="zh-CN"/>
        </w:rPr>
        <w:t>公安</w:t>
      </w:r>
      <w:r>
        <w:rPr>
          <w:rFonts w:hint="eastAsia" w:ascii="宋体" w:hAnsi="宋体" w:cs="宋体"/>
          <w:color w:val="000000"/>
          <w:sz w:val="24"/>
          <w:shd w:val="clear" w:color="auto" w:fill="FFFFFF"/>
        </w:rPr>
        <w:t xml:space="preserve">局  </w:t>
      </w:r>
    </w:p>
    <w:p>
      <w:pPr>
        <w:widowControl/>
        <w:spacing w:line="440" w:lineRule="exact"/>
        <w:ind w:firstLine="3360" w:firstLineChars="140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采购代理机构：博爱县城市建设项目管理有限公司</w:t>
      </w:r>
    </w:p>
    <w:p>
      <w:pPr>
        <w:widowControl/>
        <w:spacing w:line="440" w:lineRule="exact"/>
        <w:ind w:left="2940" w:firstLine="420"/>
      </w:pPr>
      <w:r>
        <w:rPr>
          <w:rFonts w:hint="eastAsia" w:ascii="宋体" w:hAnsi="宋体" w:cs="宋体"/>
          <w:sz w:val="24"/>
        </w:rPr>
        <w:t>发布时间：2021年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25</w:t>
      </w:r>
      <w:r>
        <w:rPr>
          <w:rFonts w:hint="eastAsia" w:ascii="宋体" w:hAnsi="宋体" w:cs="宋体"/>
          <w:sz w:val="24"/>
        </w:rPr>
        <w:t>日</w:t>
      </w:r>
    </w:p>
    <w:p>
      <w:pPr>
        <w:autoSpaceDE w:val="0"/>
        <w:autoSpaceDN w:val="0"/>
        <w:adjustRightInd w:val="0"/>
        <w:spacing w:line="360" w:lineRule="auto"/>
        <w:jc w:val="center"/>
        <w:outlineLvl w:val="0"/>
        <w:rPr>
          <w:rFonts w:asciiTheme="minorEastAsia" w:hAnsiTheme="minorEastAsia" w:eastAsiaTheme="minorEastAsia" w:cstheme="minorEastAsia"/>
          <w:b/>
          <w:sz w:val="32"/>
          <w:szCs w:val="32"/>
        </w:rPr>
      </w:pPr>
      <w:bookmarkStart w:id="2" w:name="_Toc25354"/>
    </w:p>
    <w:p>
      <w:pPr>
        <w:autoSpaceDE w:val="0"/>
        <w:autoSpaceDN w:val="0"/>
        <w:adjustRightInd w:val="0"/>
        <w:spacing w:line="360" w:lineRule="auto"/>
        <w:jc w:val="center"/>
        <w:outlineLvl w:val="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第二章  供应商须知</w:t>
      </w:r>
      <w:bookmarkEnd w:id="2"/>
    </w:p>
    <w:bookmarkEnd w:id="0"/>
    <w:p>
      <w:pPr>
        <w:pStyle w:val="35"/>
        <w:spacing w:before="0" w:after="0" w:line="360" w:lineRule="auto"/>
        <w:ind w:right="-23" w:rightChars="-11"/>
        <w:rPr>
          <w:rFonts w:asciiTheme="minorEastAsia" w:hAnsiTheme="minorEastAsia" w:eastAsiaTheme="minorEastAsia" w:cstheme="minorEastAsia"/>
          <w:sz w:val="30"/>
          <w:szCs w:val="30"/>
        </w:rPr>
      </w:pPr>
      <w:bookmarkStart w:id="3" w:name="_Toc9161"/>
      <w:bookmarkStart w:id="4" w:name="_Toc32497"/>
      <w:bookmarkStart w:id="5" w:name="_Toc426369478"/>
      <w:bookmarkStart w:id="6" w:name="_Toc403122490"/>
      <w:r>
        <w:rPr>
          <w:rFonts w:hint="eastAsia" w:asciiTheme="minorEastAsia" w:hAnsiTheme="minorEastAsia" w:eastAsiaTheme="minorEastAsia" w:cstheme="minorEastAsia"/>
          <w:sz w:val="30"/>
          <w:szCs w:val="30"/>
        </w:rPr>
        <w:t>供应商须知前附表</w:t>
      </w:r>
      <w:bookmarkEnd w:id="3"/>
      <w:bookmarkEnd w:id="4"/>
      <w:bookmarkEnd w:id="5"/>
      <w:bookmarkEnd w:id="6"/>
    </w:p>
    <w:tbl>
      <w:tblPr>
        <w:tblStyle w:val="39"/>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318"/>
        <w:gridCol w:w="6112"/>
      </w:tblGrid>
      <w:tr>
        <w:tblPrEx>
          <w:tblCellMar>
            <w:top w:w="0" w:type="dxa"/>
            <w:left w:w="108" w:type="dxa"/>
            <w:bottom w:w="0" w:type="dxa"/>
            <w:right w:w="108" w:type="dxa"/>
          </w:tblCellMar>
        </w:tblPrEx>
        <w:trPr>
          <w:trHeight w:val="454" w:hRule="atLeast"/>
          <w:jc w:val="center"/>
        </w:trPr>
        <w:tc>
          <w:tcPr>
            <w:tcW w:w="965" w:type="dxa"/>
            <w:vAlign w:val="center"/>
          </w:tcPr>
          <w:p>
            <w:pPr>
              <w:pStyle w:val="20"/>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条款号</w:t>
            </w:r>
          </w:p>
        </w:tc>
        <w:tc>
          <w:tcPr>
            <w:tcW w:w="2318" w:type="dxa"/>
            <w:vAlign w:val="center"/>
          </w:tcPr>
          <w:p>
            <w:pPr>
              <w:pStyle w:val="20"/>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条款名称</w:t>
            </w:r>
          </w:p>
        </w:tc>
        <w:tc>
          <w:tcPr>
            <w:tcW w:w="6112" w:type="dxa"/>
            <w:vAlign w:val="center"/>
          </w:tcPr>
          <w:p>
            <w:pPr>
              <w:pStyle w:val="20"/>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1.1.2</w:t>
            </w:r>
          </w:p>
        </w:tc>
        <w:tc>
          <w:tcPr>
            <w:tcW w:w="2318"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采购人</w:t>
            </w:r>
          </w:p>
        </w:tc>
        <w:tc>
          <w:tcPr>
            <w:tcW w:w="6112" w:type="dxa"/>
            <w:vAlign w:val="center"/>
          </w:tcPr>
          <w:p>
            <w:pPr>
              <w:pStyle w:val="2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名称：</w:t>
            </w:r>
            <w:r>
              <w:rPr>
                <w:rFonts w:hint="eastAsia" w:asciiTheme="minorEastAsia" w:hAnsiTheme="minorEastAsia" w:eastAsiaTheme="minorEastAsia" w:cstheme="minorEastAsia"/>
              </w:rPr>
              <w:t>博爱县</w:t>
            </w:r>
            <w:r>
              <w:rPr>
                <w:rFonts w:hint="eastAsia" w:asciiTheme="minorEastAsia" w:hAnsiTheme="minorEastAsia" w:eastAsiaTheme="minorEastAsia" w:cstheme="minorEastAsia"/>
                <w:lang w:val="en-US" w:eastAsia="zh-CN"/>
              </w:rPr>
              <w:t>公安</w:t>
            </w:r>
            <w:r>
              <w:rPr>
                <w:rFonts w:hint="eastAsia" w:asciiTheme="minorEastAsia" w:hAnsiTheme="minorEastAsia" w:eastAsiaTheme="minorEastAsia" w:cstheme="minorEastAsia"/>
              </w:rPr>
              <w:t xml:space="preserve">局 </w:t>
            </w:r>
          </w:p>
          <w:p>
            <w:pPr>
              <w:pStyle w:val="2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联系人：</w:t>
            </w:r>
            <w:r>
              <w:rPr>
                <w:rFonts w:hint="eastAsia" w:asciiTheme="minorEastAsia" w:hAnsiTheme="minorEastAsia" w:eastAsiaTheme="minorEastAsia" w:cstheme="minorEastAsia"/>
                <w:lang w:val="en-US" w:eastAsia="zh-CN"/>
              </w:rPr>
              <w:t>胡</w:t>
            </w:r>
            <w:r>
              <w:rPr>
                <w:rFonts w:hint="eastAsia" w:asciiTheme="minorEastAsia" w:hAnsiTheme="minorEastAsia" w:eastAsiaTheme="minorEastAsia" w:cstheme="minorEastAsia"/>
              </w:rPr>
              <w:t>先生</w:t>
            </w:r>
          </w:p>
          <w:p>
            <w:pPr>
              <w:pStyle w:val="2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电话：</w:t>
            </w:r>
            <w:r>
              <w:rPr>
                <w:rFonts w:hint="eastAsia" w:asciiTheme="minorEastAsia" w:hAnsiTheme="minorEastAsia" w:eastAsiaTheme="minorEastAsia" w:cstheme="minorEastAsia"/>
                <w:lang w:val="en-US" w:eastAsia="zh-CN"/>
              </w:rPr>
              <w:t>18339132667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1.1.3</w:t>
            </w:r>
          </w:p>
        </w:tc>
        <w:tc>
          <w:tcPr>
            <w:tcW w:w="2318"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采购代理机构</w:t>
            </w:r>
          </w:p>
        </w:tc>
        <w:tc>
          <w:tcPr>
            <w:tcW w:w="6112" w:type="dxa"/>
            <w:vAlign w:val="center"/>
          </w:tcPr>
          <w:p>
            <w:pPr>
              <w:pStyle w:val="2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 xml:space="preserve">采购代理机构：博爱县城市建设项目管理有限公司  </w:t>
            </w:r>
          </w:p>
          <w:p>
            <w:pPr>
              <w:pStyle w:val="20"/>
              <w:spacing w:line="360" w:lineRule="exact"/>
              <w:rPr>
                <w:rFonts w:hint="default" w:asciiTheme="minorEastAsia" w:hAnsiTheme="minorEastAsia" w:eastAsiaTheme="minorEastAsia" w:cstheme="minorEastAsia"/>
                <w:bCs/>
                <w:iCs/>
              </w:rPr>
            </w:pPr>
            <w:r>
              <w:rPr>
                <w:rFonts w:asciiTheme="minorEastAsia" w:hAnsiTheme="minorEastAsia" w:eastAsiaTheme="minorEastAsia" w:cstheme="minorEastAsia"/>
              </w:rPr>
              <w:t>联</w:t>
            </w:r>
            <w:r>
              <w:rPr>
                <w:rFonts w:asciiTheme="minorEastAsia" w:hAnsiTheme="minorEastAsia" w:eastAsiaTheme="minorEastAsia" w:cstheme="minorEastAsia"/>
                <w:bCs/>
                <w:iCs/>
              </w:rPr>
              <w:t xml:space="preserve">系人：张先生      </w:t>
            </w:r>
          </w:p>
          <w:p>
            <w:pPr>
              <w:pStyle w:val="2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bCs/>
                <w:iCs/>
              </w:rPr>
              <w:t>电话：13839141133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1.1.4</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6112" w:type="dxa"/>
            <w:vAlign w:val="center"/>
          </w:tcPr>
          <w:p>
            <w:pPr>
              <w:adjustRightInd w:val="0"/>
              <w:snapToGrid w:val="0"/>
              <w:spacing w:line="460" w:lineRule="exact"/>
              <w:rPr>
                <w:rFonts w:asciiTheme="minorEastAsia" w:hAnsiTheme="minorEastAsia" w:eastAsiaTheme="minorEastAsia" w:cstheme="minorEastAsia"/>
              </w:rPr>
            </w:pPr>
            <w:r>
              <w:rPr>
                <w:rFonts w:hint="eastAsia" w:asciiTheme="minorEastAsia" w:hAnsiTheme="minorEastAsia" w:eastAsiaTheme="minorEastAsia" w:cstheme="minorEastAsia"/>
                <w:kern w:val="2"/>
                <w:sz w:val="21"/>
                <w:szCs w:val="21"/>
                <w:lang w:val="en-US" w:eastAsia="zh-CN" w:bidi="ar-SA"/>
              </w:rPr>
              <w:t>博爱县环豫视频监控系统采购项目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1.1.5</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iCs/>
                <w:szCs w:val="21"/>
              </w:rPr>
              <w:t>项目地点</w:t>
            </w:r>
          </w:p>
        </w:tc>
        <w:tc>
          <w:tcPr>
            <w:tcW w:w="6112" w:type="dxa"/>
            <w:vAlign w:val="center"/>
          </w:tcPr>
          <w:p>
            <w:pPr>
              <w:pStyle w:val="2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1.2.1</w:t>
            </w:r>
          </w:p>
        </w:tc>
        <w:tc>
          <w:tcPr>
            <w:tcW w:w="2318"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资金来源</w:t>
            </w:r>
          </w:p>
        </w:tc>
        <w:tc>
          <w:tcPr>
            <w:tcW w:w="6112" w:type="dxa"/>
            <w:vAlign w:val="center"/>
          </w:tcPr>
          <w:p>
            <w:pPr>
              <w:pStyle w:val="2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1.2.2</w:t>
            </w:r>
          </w:p>
        </w:tc>
        <w:tc>
          <w:tcPr>
            <w:tcW w:w="2318"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资金落实情况</w:t>
            </w:r>
          </w:p>
        </w:tc>
        <w:tc>
          <w:tcPr>
            <w:tcW w:w="6112" w:type="dxa"/>
            <w:vAlign w:val="center"/>
          </w:tcPr>
          <w:p>
            <w:pPr>
              <w:pStyle w:val="2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1.3.1</w:t>
            </w:r>
          </w:p>
        </w:tc>
        <w:tc>
          <w:tcPr>
            <w:tcW w:w="2318" w:type="dxa"/>
            <w:vAlign w:val="center"/>
          </w:tcPr>
          <w:p>
            <w:pPr>
              <w:spacing w:line="3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采购内容</w:t>
            </w:r>
          </w:p>
        </w:tc>
        <w:tc>
          <w:tcPr>
            <w:tcW w:w="6112" w:type="dxa"/>
          </w:tcPr>
          <w:p>
            <w:pPr>
              <w:pStyle w:val="20"/>
              <w:spacing w:line="360" w:lineRule="exact"/>
              <w:rPr>
                <w:rFonts w:hint="default" w:asciiTheme="minorEastAsia" w:hAnsiTheme="minorEastAsia" w:eastAsiaTheme="minorEastAsia" w:cstheme="minorEastAsia"/>
                <w:color w:val="FF0000"/>
              </w:rPr>
            </w:pPr>
            <w:r>
              <w:rPr>
                <w:rFonts w:hint="eastAsia" w:asciiTheme="minorEastAsia" w:hAnsiTheme="minorEastAsia" w:eastAsiaTheme="minorEastAsia" w:cstheme="minorEastAsia"/>
                <w:lang w:val="en-US" w:eastAsia="zh-CN"/>
              </w:rPr>
              <w:t>采购网络摄像机15台、红外全景球机6台、全结构化双目摄像机11台、卡口抓拍单元2台等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65"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1.3.2</w:t>
            </w:r>
          </w:p>
        </w:tc>
        <w:tc>
          <w:tcPr>
            <w:tcW w:w="2318" w:type="dxa"/>
            <w:vAlign w:val="center"/>
          </w:tcPr>
          <w:p>
            <w:pPr>
              <w:pStyle w:val="20"/>
              <w:spacing w:line="360" w:lineRule="exact"/>
              <w:jc w:val="center"/>
              <w:rPr>
                <w:rFonts w:hint="default" w:asciiTheme="minorEastAsia" w:hAnsiTheme="minorEastAsia" w:eastAsiaTheme="minorEastAsia" w:cstheme="minorEastAsia"/>
                <w:color w:val="FF0000"/>
                <w:highlight w:val="none"/>
                <w:lang w:val="en-US" w:eastAsia="zh-CN"/>
              </w:rPr>
            </w:pPr>
            <w:r>
              <w:rPr>
                <w:rFonts w:asciiTheme="minorEastAsia" w:hAnsiTheme="minorEastAsia" w:eastAsiaTheme="minorEastAsia" w:cstheme="minorEastAsia"/>
                <w:iCs/>
                <w:color w:val="121212"/>
                <w:highlight w:val="none"/>
              </w:rPr>
              <w:t>供货</w:t>
            </w:r>
            <w:r>
              <w:rPr>
                <w:rFonts w:hint="eastAsia" w:asciiTheme="minorEastAsia" w:hAnsiTheme="minorEastAsia" w:eastAsiaTheme="minorEastAsia" w:cstheme="minorEastAsia"/>
                <w:iCs/>
                <w:color w:val="121212"/>
                <w:highlight w:val="none"/>
                <w:lang w:val="en-US" w:eastAsia="zh-CN"/>
              </w:rPr>
              <w:t>及安装期</w:t>
            </w:r>
          </w:p>
        </w:tc>
        <w:tc>
          <w:tcPr>
            <w:tcW w:w="6112" w:type="dxa"/>
            <w:vAlign w:val="center"/>
          </w:tcPr>
          <w:p>
            <w:pPr>
              <w:pStyle w:val="20"/>
              <w:spacing w:line="360" w:lineRule="exact"/>
              <w:jc w:val="left"/>
              <w:rPr>
                <w:rFonts w:hint="default" w:asciiTheme="minorEastAsia" w:hAnsiTheme="minorEastAsia" w:eastAsiaTheme="minorEastAsia" w:cstheme="minorEastAsia"/>
                <w:b/>
                <w:color w:val="FF0000"/>
                <w:highlight w:val="none"/>
              </w:rPr>
            </w:pPr>
            <w:r>
              <w:rPr>
                <w:rFonts w:hint="eastAsia" w:asciiTheme="minorEastAsia" w:hAnsiTheme="minorEastAsia" w:eastAsiaTheme="minorEastAsia" w:cstheme="minorEastAsia"/>
                <w:b/>
                <w:color w:val="121212"/>
                <w:highlight w:val="none"/>
                <w:lang w:val="en-US" w:eastAsia="zh-CN"/>
              </w:rPr>
              <w:t>3</w:t>
            </w:r>
            <w:r>
              <w:rPr>
                <w:rFonts w:asciiTheme="minorEastAsia" w:hAnsiTheme="minorEastAsia" w:eastAsiaTheme="minorEastAsia" w:cstheme="minorEastAsia"/>
                <w:b/>
                <w:color w:val="121212"/>
                <w:highlight w:val="none"/>
              </w:rPr>
              <w:t>0</w:t>
            </w:r>
            <w:r>
              <w:rPr>
                <w:rFonts w:asciiTheme="minorEastAsia" w:hAnsiTheme="minorEastAsia" w:eastAsiaTheme="minorEastAsia" w:cstheme="minorEastAsia"/>
                <w:b/>
                <w:color w:val="000000" w:themeColor="text1"/>
                <w:highlight w:val="none"/>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1.3.3</w:t>
            </w:r>
          </w:p>
        </w:tc>
        <w:tc>
          <w:tcPr>
            <w:tcW w:w="2318"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质量要求</w:t>
            </w:r>
          </w:p>
        </w:tc>
        <w:tc>
          <w:tcPr>
            <w:tcW w:w="6112" w:type="dxa"/>
            <w:vAlign w:val="center"/>
          </w:tcPr>
          <w:p>
            <w:pPr>
              <w:spacing w:line="40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符合国家相关行业标准。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65"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1.3.4</w:t>
            </w:r>
          </w:p>
        </w:tc>
        <w:tc>
          <w:tcPr>
            <w:tcW w:w="2318" w:type="dxa"/>
            <w:vAlign w:val="center"/>
          </w:tcPr>
          <w:p>
            <w:pPr>
              <w:pStyle w:val="20"/>
              <w:spacing w:line="360" w:lineRule="exact"/>
              <w:jc w:val="center"/>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质保期</w:t>
            </w:r>
          </w:p>
        </w:tc>
        <w:tc>
          <w:tcPr>
            <w:tcW w:w="6112" w:type="dxa"/>
            <w:vAlign w:val="center"/>
          </w:tcPr>
          <w:p>
            <w:pPr>
              <w:pStyle w:val="20"/>
              <w:spacing w:line="360" w:lineRule="exact"/>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自验收合格之日起共3年。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1.4.1</w:t>
            </w:r>
          </w:p>
        </w:tc>
        <w:tc>
          <w:tcPr>
            <w:tcW w:w="2318"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供应商资质条件</w:t>
            </w:r>
          </w:p>
        </w:tc>
        <w:tc>
          <w:tcPr>
            <w:tcW w:w="6112" w:type="dxa"/>
            <w:vAlign w:val="center"/>
          </w:tcPr>
          <w:p>
            <w:pPr>
              <w:widowControl/>
              <w:spacing w:line="44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rPr>
              <w:t>1、符合《中华人民共和国政府采购法》第二十二条之规定；</w:t>
            </w:r>
          </w:p>
          <w:p>
            <w:pPr>
              <w:widowControl/>
              <w:spacing w:line="44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rPr>
              <w:t>2、供应商须具有有效的营业执照，并具有实施完成本项目的经营实力和完善的售后服务体系； </w:t>
            </w:r>
          </w:p>
          <w:p>
            <w:pPr>
              <w:widowControl/>
              <w:spacing w:line="44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rPr>
              <w:t>3、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w:t>
            </w:r>
          </w:p>
          <w:p>
            <w:pPr>
              <w:widowControl/>
              <w:spacing w:line="44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rPr>
              <w:t>4、本项目不接受联合体投标；</w:t>
            </w:r>
          </w:p>
          <w:p>
            <w:pPr>
              <w:widowControl/>
              <w:spacing w:line="44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rPr>
              <w:t>5、资格审查方式：资格后审。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1.4.2</w:t>
            </w:r>
          </w:p>
        </w:tc>
        <w:tc>
          <w:tcPr>
            <w:tcW w:w="2318"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是否接受联合体</w:t>
            </w:r>
          </w:p>
        </w:tc>
        <w:tc>
          <w:tcPr>
            <w:tcW w:w="6112" w:type="dxa"/>
            <w:vAlign w:val="center"/>
          </w:tcPr>
          <w:p>
            <w:pPr>
              <w:pStyle w:val="2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1.10.1</w:t>
            </w:r>
          </w:p>
        </w:tc>
        <w:tc>
          <w:tcPr>
            <w:tcW w:w="2318"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投标预备会</w:t>
            </w:r>
          </w:p>
        </w:tc>
        <w:tc>
          <w:tcPr>
            <w:tcW w:w="6112" w:type="dxa"/>
            <w:vAlign w:val="center"/>
          </w:tcPr>
          <w:p>
            <w:pPr>
              <w:pStyle w:val="2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1.10.2</w:t>
            </w:r>
          </w:p>
        </w:tc>
        <w:tc>
          <w:tcPr>
            <w:tcW w:w="2318"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供应商提出问题的</w:t>
            </w:r>
          </w:p>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截止时间</w:t>
            </w:r>
          </w:p>
        </w:tc>
        <w:tc>
          <w:tcPr>
            <w:tcW w:w="6112" w:type="dxa"/>
            <w:vAlign w:val="center"/>
          </w:tcPr>
          <w:p>
            <w:pPr>
              <w:pStyle w:val="2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1.10.3</w:t>
            </w:r>
          </w:p>
        </w:tc>
        <w:tc>
          <w:tcPr>
            <w:tcW w:w="2318"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采购人说明澄清的时间</w:t>
            </w:r>
          </w:p>
        </w:tc>
        <w:tc>
          <w:tcPr>
            <w:tcW w:w="6112" w:type="dxa"/>
            <w:vAlign w:val="center"/>
          </w:tcPr>
          <w:p>
            <w:pPr>
              <w:pStyle w:val="2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1.11</w:t>
            </w:r>
          </w:p>
        </w:tc>
        <w:tc>
          <w:tcPr>
            <w:tcW w:w="2318"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分包</w:t>
            </w:r>
          </w:p>
        </w:tc>
        <w:tc>
          <w:tcPr>
            <w:tcW w:w="6112" w:type="dxa"/>
            <w:vAlign w:val="center"/>
          </w:tcPr>
          <w:p>
            <w:pPr>
              <w:pStyle w:val="2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65"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1.12</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2.2.1</w:t>
            </w:r>
          </w:p>
        </w:tc>
        <w:tc>
          <w:tcPr>
            <w:tcW w:w="2318"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供应商要求澄清招标文件的截止时间</w:t>
            </w:r>
          </w:p>
        </w:tc>
        <w:tc>
          <w:tcPr>
            <w:tcW w:w="6112" w:type="dxa"/>
            <w:vAlign w:val="center"/>
          </w:tcPr>
          <w:p>
            <w:pPr>
              <w:pStyle w:val="2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2.2.2</w:t>
            </w:r>
          </w:p>
        </w:tc>
        <w:tc>
          <w:tcPr>
            <w:tcW w:w="2318" w:type="dxa"/>
            <w:vAlign w:val="center"/>
          </w:tcPr>
          <w:p>
            <w:pPr>
              <w:pStyle w:val="20"/>
              <w:spacing w:line="360" w:lineRule="exact"/>
              <w:jc w:val="center"/>
              <w:rPr>
                <w:rFonts w:hint="default" w:asciiTheme="minorEastAsia" w:hAnsiTheme="minorEastAsia" w:eastAsiaTheme="minorEastAsia" w:cstheme="minorEastAsia"/>
                <w:b/>
                <w:bCs/>
              </w:rPr>
            </w:pPr>
            <w:r>
              <w:rPr>
                <w:rFonts w:asciiTheme="minorEastAsia" w:hAnsiTheme="minorEastAsia" w:eastAsiaTheme="minorEastAsia" w:cstheme="minorEastAsia"/>
                <w:b/>
                <w:bCs/>
              </w:rPr>
              <w:t>投标截止时间</w:t>
            </w:r>
          </w:p>
        </w:tc>
        <w:tc>
          <w:tcPr>
            <w:tcW w:w="6112" w:type="dxa"/>
            <w:vAlign w:val="center"/>
          </w:tcPr>
          <w:p>
            <w:pPr>
              <w:pStyle w:val="20"/>
              <w:spacing w:line="360" w:lineRule="exact"/>
              <w:rPr>
                <w:rFonts w:hint="default" w:asciiTheme="minorEastAsia" w:hAnsiTheme="minorEastAsia" w:eastAsiaTheme="minorEastAsia" w:cstheme="minorEastAsia"/>
                <w:b/>
                <w:bCs/>
              </w:rPr>
            </w:pPr>
            <w:r>
              <w:rPr>
                <w:rFonts w:asciiTheme="minorEastAsia" w:hAnsiTheme="minorEastAsia" w:eastAsiaTheme="minorEastAsia" w:cstheme="minorEastAsia"/>
                <w:b/>
                <w:bCs/>
              </w:rPr>
              <w:t>2021年</w:t>
            </w:r>
            <w:r>
              <w:rPr>
                <w:rFonts w:hint="eastAsia" w:asciiTheme="minorEastAsia" w:hAnsiTheme="minorEastAsia" w:eastAsiaTheme="minorEastAsia" w:cstheme="minorEastAsia"/>
                <w:b/>
                <w:bCs/>
                <w:lang w:val="en-US" w:eastAsia="zh-CN"/>
              </w:rPr>
              <w:t>4</w:t>
            </w:r>
            <w:r>
              <w:rPr>
                <w:rFonts w:asciiTheme="minorEastAsia" w:hAnsiTheme="minorEastAsia" w:eastAsiaTheme="minorEastAsia" w:cstheme="minorEastAsia"/>
                <w:b/>
                <w:bCs/>
              </w:rPr>
              <w:t>月</w:t>
            </w:r>
            <w:r>
              <w:rPr>
                <w:rFonts w:hint="eastAsia" w:asciiTheme="minorEastAsia" w:hAnsiTheme="minorEastAsia" w:eastAsiaTheme="minorEastAsia" w:cstheme="minorEastAsia"/>
                <w:b/>
                <w:bCs/>
                <w:lang w:val="en-US" w:eastAsia="zh-CN"/>
              </w:rPr>
              <w:t>16</w:t>
            </w:r>
            <w:r>
              <w:rPr>
                <w:rFonts w:asciiTheme="minorEastAsia" w:hAnsiTheme="minorEastAsia" w:eastAsiaTheme="minorEastAsia" w:cstheme="minorEastAsia"/>
                <w:b/>
                <w:bCs/>
              </w:rPr>
              <w:t>日</w:t>
            </w:r>
            <w:r>
              <w:rPr>
                <w:rFonts w:hint="eastAsia" w:asciiTheme="minorEastAsia" w:hAnsiTheme="minorEastAsia" w:eastAsiaTheme="minorEastAsia" w:cstheme="minorEastAsia"/>
                <w:b/>
                <w:bCs/>
                <w:lang w:val="en-US" w:eastAsia="zh-CN"/>
              </w:rPr>
              <w:t>10</w:t>
            </w:r>
            <w:r>
              <w:rPr>
                <w:rFonts w:asciiTheme="minorEastAsia" w:hAnsiTheme="minorEastAsia" w:eastAsiaTheme="minorEastAsia" w:cstheme="minorEastAsia"/>
                <w:b/>
                <w:bCs/>
              </w:rPr>
              <w:t>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2.2.3</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供应商确认收到招标文件澄清的时间</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招标文件澄清文件发出后4小时内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2.3.2</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供应商确认收到招标文件修改的时间</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招标文件修改文件发出后4小时内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构成投标文件的</w:t>
            </w:r>
          </w:p>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其他材料</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3.3.1</w:t>
            </w:r>
          </w:p>
        </w:tc>
        <w:tc>
          <w:tcPr>
            <w:tcW w:w="2318"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投标有效期</w:t>
            </w:r>
          </w:p>
        </w:tc>
        <w:tc>
          <w:tcPr>
            <w:tcW w:w="6112" w:type="dxa"/>
            <w:vAlign w:val="center"/>
          </w:tcPr>
          <w:p>
            <w:pPr>
              <w:pStyle w:val="20"/>
              <w:spacing w:line="360" w:lineRule="exact"/>
              <w:rPr>
                <w:rFonts w:hint="default" w:asciiTheme="minorEastAsia" w:hAnsiTheme="minorEastAsia" w:eastAsiaTheme="minorEastAsia" w:cstheme="minorEastAsia"/>
                <w:color w:val="FF0000"/>
              </w:rPr>
            </w:pPr>
            <w:r>
              <w:rPr>
                <w:rFonts w:asciiTheme="minorEastAsia" w:hAnsiTheme="minorEastAsia" w:eastAsiaTheme="minorEastAsia" w:cstheme="minorEastAsia"/>
                <w:color w:val="000000" w:themeColor="text1"/>
                <w14:textFill>
                  <w14:solidFill>
                    <w14:schemeClr w14:val="tx1"/>
                  </w14:solidFill>
                </w14:textFill>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3.6</w:t>
            </w:r>
          </w:p>
        </w:tc>
        <w:tc>
          <w:tcPr>
            <w:tcW w:w="2318"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是否允许递交备选</w:t>
            </w:r>
          </w:p>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投标方案</w:t>
            </w:r>
          </w:p>
        </w:tc>
        <w:tc>
          <w:tcPr>
            <w:tcW w:w="6112" w:type="dxa"/>
            <w:vAlign w:val="center"/>
          </w:tcPr>
          <w:p>
            <w:pPr>
              <w:pStyle w:val="2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3.7.3</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签字盖章要求</w:t>
            </w:r>
          </w:p>
        </w:tc>
        <w:tc>
          <w:tcPr>
            <w:tcW w:w="6112" w:type="dxa"/>
            <w:vAlign w:val="center"/>
          </w:tcPr>
          <w:p>
            <w:pPr>
              <w:pStyle w:val="2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见投标文件的编制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3.7.4</w:t>
            </w:r>
          </w:p>
        </w:tc>
        <w:tc>
          <w:tcPr>
            <w:tcW w:w="2318"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投标文件份数</w:t>
            </w:r>
          </w:p>
        </w:tc>
        <w:tc>
          <w:tcPr>
            <w:tcW w:w="6112" w:type="dxa"/>
            <w:vAlign w:val="center"/>
          </w:tcPr>
          <w:p>
            <w:pPr>
              <w:pStyle w:val="2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正本壹份，副本肆份，电子档壹份（U盘形式）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3.7.5</w:t>
            </w:r>
          </w:p>
        </w:tc>
        <w:tc>
          <w:tcPr>
            <w:tcW w:w="2318"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装订要求</w:t>
            </w:r>
          </w:p>
        </w:tc>
        <w:tc>
          <w:tcPr>
            <w:tcW w:w="6112" w:type="dxa"/>
            <w:vAlign w:val="center"/>
          </w:tcPr>
          <w:p>
            <w:pPr>
              <w:pStyle w:val="2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投标文件正本与副本每册应采用左侧粘贴方式装订，装订应牢固、不易拆散，不建议使用豪华装订。不得采用活页装订。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4.1.2</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封套上写明</w:t>
            </w:r>
          </w:p>
        </w:tc>
        <w:tc>
          <w:tcPr>
            <w:tcW w:w="6112" w:type="dxa"/>
          </w:tcPr>
          <w:p>
            <w:pPr>
              <w:pStyle w:val="20"/>
              <w:spacing w:line="360" w:lineRule="exact"/>
              <w:rPr>
                <w:rFonts w:hint="default" w:asciiTheme="minorEastAsia" w:hAnsiTheme="minorEastAsia" w:eastAsiaTheme="minorEastAsia" w:cstheme="minorEastAsia"/>
                <w:u w:val="single"/>
              </w:rPr>
            </w:pPr>
            <w:r>
              <w:rPr>
                <w:rFonts w:asciiTheme="minorEastAsia" w:hAnsiTheme="minorEastAsia" w:eastAsiaTheme="minorEastAsia" w:cstheme="minorEastAsia"/>
              </w:rPr>
              <w:t>采购人名称：</w:t>
            </w:r>
            <w:r>
              <w:rPr>
                <w:rFonts w:asciiTheme="minorEastAsia" w:hAnsiTheme="minorEastAsia" w:eastAsiaTheme="minorEastAsia" w:cstheme="minorEastAsia"/>
                <w:u w:val="single"/>
              </w:rPr>
              <w:t xml:space="preserve">                  </w:t>
            </w:r>
          </w:p>
          <w:p>
            <w:pPr>
              <w:pStyle w:val="2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供应商的名称与地址：</w:t>
            </w:r>
          </w:p>
          <w:p>
            <w:pPr>
              <w:pStyle w:val="20"/>
              <w:spacing w:line="360" w:lineRule="exact"/>
              <w:ind w:left="315" w:hanging="315" w:hangingChars="150"/>
              <w:rPr>
                <w:rFonts w:hint="default" w:asciiTheme="minorEastAsia" w:hAnsiTheme="minorEastAsia" w:eastAsiaTheme="minorEastAsia" w:cstheme="minorEastAsia"/>
              </w:rPr>
            </w:pPr>
            <w:r>
              <w:rPr>
                <w:rFonts w:asciiTheme="minorEastAsia" w:hAnsiTheme="minorEastAsia" w:eastAsiaTheme="minorEastAsia" w:cstheme="minorEastAsia"/>
                <w:kern w:val="0"/>
                <w:u w:val="single"/>
              </w:rPr>
              <w:t>XXXXXX</w:t>
            </w:r>
            <w:r>
              <w:rPr>
                <w:rFonts w:asciiTheme="minorEastAsia" w:hAnsiTheme="minorEastAsia" w:eastAsiaTheme="minorEastAsia" w:cstheme="minorEastAsia"/>
                <w:u w:val="single"/>
              </w:rPr>
              <w:t xml:space="preserve">（项目名称）          </w:t>
            </w:r>
            <w:r>
              <w:rPr>
                <w:rFonts w:asciiTheme="minorEastAsia" w:hAnsiTheme="minorEastAsia" w:eastAsiaTheme="minorEastAsia" w:cstheme="minorEastAsia"/>
              </w:rPr>
              <w:t>投标文件</w:t>
            </w:r>
          </w:p>
          <w:p>
            <w:pPr>
              <w:pStyle w:val="20"/>
              <w:spacing w:line="360" w:lineRule="exact"/>
              <w:ind w:left="315" w:hanging="315" w:hangingChars="150"/>
              <w:rPr>
                <w:rFonts w:hint="default" w:asciiTheme="minorEastAsia" w:hAnsiTheme="minorEastAsia" w:eastAsiaTheme="minorEastAsia" w:cstheme="minorEastAsia"/>
              </w:rPr>
            </w:pPr>
            <w:r>
              <w:rPr>
                <w:rFonts w:asciiTheme="minorEastAsia" w:hAnsiTheme="minorEastAsia" w:eastAsiaTheme="minorEastAsia" w:cstheme="minorEastAsia"/>
              </w:rPr>
              <w:t>在</w:t>
            </w:r>
            <w:r>
              <w:rPr>
                <w:rFonts w:asciiTheme="minorEastAsia" w:hAnsiTheme="minorEastAsia" w:eastAsiaTheme="minorEastAsia" w:cstheme="minorEastAsia"/>
                <w:u w:val="single"/>
              </w:rPr>
              <w:t xml:space="preserve">   </w:t>
            </w:r>
            <w:r>
              <w:rPr>
                <w:rFonts w:asciiTheme="minorEastAsia" w:hAnsiTheme="minorEastAsia" w:eastAsiaTheme="minorEastAsia" w:cstheme="minorEastAsia"/>
              </w:rPr>
              <w:t>年</w:t>
            </w:r>
            <w:r>
              <w:rPr>
                <w:rFonts w:asciiTheme="minorEastAsia" w:hAnsiTheme="minorEastAsia" w:eastAsiaTheme="minorEastAsia" w:cstheme="minorEastAsia"/>
                <w:u w:val="single"/>
              </w:rPr>
              <w:t xml:space="preserve">  </w:t>
            </w:r>
            <w:r>
              <w:rPr>
                <w:rFonts w:asciiTheme="minorEastAsia" w:hAnsiTheme="minorEastAsia" w:eastAsiaTheme="minorEastAsia" w:cstheme="minorEastAsia"/>
              </w:rPr>
              <w:t>月</w:t>
            </w:r>
            <w:r>
              <w:rPr>
                <w:rFonts w:asciiTheme="minorEastAsia" w:hAnsiTheme="minorEastAsia" w:eastAsiaTheme="minorEastAsia" w:cstheme="minorEastAsia"/>
                <w:u w:val="single"/>
              </w:rPr>
              <w:t xml:space="preserve">  </w:t>
            </w:r>
            <w:r>
              <w:rPr>
                <w:rFonts w:asciiTheme="minorEastAsia" w:hAnsiTheme="minorEastAsia" w:eastAsiaTheme="minorEastAsia" w:cstheme="minorEastAsia"/>
              </w:rPr>
              <w:t>日</w:t>
            </w:r>
            <w:r>
              <w:rPr>
                <w:rFonts w:asciiTheme="minorEastAsia" w:hAnsiTheme="minorEastAsia" w:eastAsiaTheme="minorEastAsia" w:cstheme="minorEastAsia"/>
                <w:u w:val="single"/>
              </w:rPr>
              <w:t xml:space="preserve">   </w:t>
            </w:r>
            <w:r>
              <w:rPr>
                <w:rFonts w:asciiTheme="minorEastAsia" w:hAnsiTheme="minorEastAsia" w:eastAsiaTheme="minorEastAsia" w:cstheme="minorEastAsia"/>
              </w:rPr>
              <w:t>时</w:t>
            </w:r>
            <w:r>
              <w:rPr>
                <w:rFonts w:asciiTheme="minorEastAsia" w:hAnsiTheme="minorEastAsia" w:eastAsiaTheme="minorEastAsia" w:cstheme="minorEastAsia"/>
                <w:u w:val="single"/>
              </w:rPr>
              <w:t xml:space="preserve">    </w:t>
            </w:r>
            <w:r>
              <w:rPr>
                <w:rFonts w:asciiTheme="minorEastAsia" w:hAnsiTheme="minorEastAsia" w:eastAsiaTheme="minorEastAsia" w:cstheme="minorEastAsia"/>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4.2.2</w:t>
            </w:r>
          </w:p>
        </w:tc>
        <w:tc>
          <w:tcPr>
            <w:tcW w:w="2318"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递交投标文件地点</w:t>
            </w:r>
          </w:p>
        </w:tc>
        <w:tc>
          <w:tcPr>
            <w:tcW w:w="6112" w:type="dxa"/>
            <w:vAlign w:val="center"/>
          </w:tcPr>
          <w:p>
            <w:pPr>
              <w:pStyle w:val="20"/>
              <w:spacing w:line="360" w:lineRule="exact"/>
              <w:rPr>
                <w:rFonts w:hint="default" w:asciiTheme="minorEastAsia" w:hAnsiTheme="minorEastAsia" w:eastAsiaTheme="minorEastAsia" w:cstheme="minorEastAsia"/>
                <w:bCs/>
              </w:rPr>
            </w:pPr>
            <w:r>
              <w:rPr>
                <w:rFonts w:asciiTheme="minorEastAsia" w:hAnsiTheme="minorEastAsia" w:eastAsiaTheme="minorEastAsia" w:cstheme="minorEastAsia"/>
                <w:bCs/>
              </w:rPr>
              <w:t>博爱县公共资源交易中心二楼第</w:t>
            </w:r>
            <w:r>
              <w:rPr>
                <w:rFonts w:hint="eastAsia" w:asciiTheme="minorEastAsia" w:hAnsiTheme="minorEastAsia" w:eastAsiaTheme="minorEastAsia" w:cstheme="minorEastAsia"/>
                <w:bCs/>
                <w:lang w:val="en-US" w:eastAsia="zh-CN"/>
              </w:rPr>
              <w:t>一</w:t>
            </w:r>
            <w:r>
              <w:rPr>
                <w:rFonts w:asciiTheme="minorEastAsia" w:hAnsiTheme="minorEastAsia" w:eastAsiaTheme="minorEastAsia" w:cstheme="minorEastAsia"/>
                <w:bCs/>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4.2.3</w:t>
            </w:r>
          </w:p>
        </w:tc>
        <w:tc>
          <w:tcPr>
            <w:tcW w:w="2318"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是否退还投标文件</w:t>
            </w:r>
          </w:p>
        </w:tc>
        <w:tc>
          <w:tcPr>
            <w:tcW w:w="6112" w:type="dxa"/>
            <w:vAlign w:val="center"/>
          </w:tcPr>
          <w:p>
            <w:pPr>
              <w:pStyle w:val="2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5.1</w:t>
            </w:r>
          </w:p>
        </w:tc>
        <w:tc>
          <w:tcPr>
            <w:tcW w:w="2318"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开标时间和地点</w:t>
            </w:r>
          </w:p>
        </w:tc>
        <w:tc>
          <w:tcPr>
            <w:tcW w:w="6112" w:type="dxa"/>
            <w:vAlign w:val="center"/>
          </w:tcPr>
          <w:p>
            <w:pPr>
              <w:spacing w:line="360" w:lineRule="exact"/>
              <w:ind w:left="700" w:hanging="7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rPr>
              <w:t>开标时间：</w:t>
            </w:r>
            <w:r>
              <w:rPr>
                <w:rFonts w:hint="eastAsia" w:asciiTheme="minorEastAsia" w:hAnsiTheme="minorEastAsia" w:eastAsiaTheme="minorEastAsia" w:cstheme="minorEastAsia"/>
                <w:b/>
                <w:bCs/>
                <w:color w:val="auto"/>
                <w:szCs w:val="21"/>
              </w:rPr>
              <w:t>2021年</w:t>
            </w:r>
            <w:r>
              <w:rPr>
                <w:rFonts w:hint="eastAsia" w:asciiTheme="minorEastAsia" w:hAnsiTheme="minorEastAsia" w:eastAsiaTheme="minorEastAsia" w:cstheme="minorEastAsia"/>
                <w:b/>
                <w:bCs/>
                <w:color w:val="auto"/>
                <w:szCs w:val="21"/>
                <w:lang w:val="en-US" w:eastAsia="zh-CN"/>
              </w:rPr>
              <w:t xml:space="preserve"> 4</w:t>
            </w:r>
            <w:r>
              <w:rPr>
                <w:rFonts w:hint="eastAsia" w:asciiTheme="minorEastAsia" w:hAnsiTheme="minorEastAsia" w:eastAsiaTheme="minorEastAsia" w:cstheme="minorEastAsia"/>
                <w:b/>
                <w:bCs/>
                <w:color w:val="auto"/>
                <w:szCs w:val="21"/>
              </w:rPr>
              <w:t>月</w:t>
            </w:r>
            <w:r>
              <w:rPr>
                <w:rFonts w:hint="eastAsia" w:asciiTheme="minorEastAsia" w:hAnsiTheme="minorEastAsia" w:eastAsiaTheme="minorEastAsia" w:cstheme="minorEastAsia"/>
                <w:b/>
                <w:bCs/>
                <w:color w:val="auto"/>
                <w:szCs w:val="21"/>
                <w:lang w:val="en-US" w:eastAsia="zh-CN"/>
              </w:rPr>
              <w:t>16</w:t>
            </w:r>
            <w:r>
              <w:rPr>
                <w:rFonts w:hint="eastAsia" w:asciiTheme="minorEastAsia" w:hAnsiTheme="minorEastAsia" w:eastAsiaTheme="minorEastAsia" w:cstheme="minorEastAsia"/>
                <w:b/>
                <w:bCs/>
                <w:color w:val="auto"/>
                <w:szCs w:val="21"/>
              </w:rPr>
              <w:t>日</w:t>
            </w:r>
            <w:r>
              <w:rPr>
                <w:rFonts w:hint="eastAsia" w:asciiTheme="minorEastAsia" w:hAnsiTheme="minorEastAsia" w:eastAsiaTheme="minorEastAsia" w:cstheme="minorEastAsia"/>
                <w:b/>
                <w:bCs/>
                <w:color w:val="auto"/>
                <w:szCs w:val="21"/>
                <w:lang w:val="en-US" w:eastAsia="zh-CN"/>
              </w:rPr>
              <w:t>10</w:t>
            </w:r>
            <w:bookmarkStart w:id="260" w:name="_GoBack"/>
            <w:bookmarkEnd w:id="260"/>
            <w:r>
              <w:rPr>
                <w:rFonts w:hint="eastAsia" w:asciiTheme="minorEastAsia" w:hAnsiTheme="minorEastAsia" w:eastAsiaTheme="minorEastAsia" w:cstheme="minorEastAsia"/>
                <w:b/>
                <w:bCs/>
                <w:color w:val="auto"/>
                <w:szCs w:val="21"/>
              </w:rPr>
              <w:t>时00 分</w:t>
            </w:r>
          </w:p>
          <w:p>
            <w:pPr>
              <w:spacing w:line="360" w:lineRule="exact"/>
              <w:ind w:left="700" w:hanging="700"/>
              <w:rPr>
                <w:rFonts w:asciiTheme="minorEastAsia" w:hAnsiTheme="minorEastAsia" w:eastAsiaTheme="minorEastAsia" w:cstheme="minorEastAsia"/>
              </w:rPr>
            </w:pPr>
            <w:r>
              <w:rPr>
                <w:rFonts w:hint="eastAsia" w:asciiTheme="minorEastAsia" w:hAnsiTheme="minorEastAsia" w:eastAsiaTheme="minorEastAsia" w:cstheme="minorEastAsia"/>
                <w:szCs w:val="21"/>
              </w:rPr>
              <w:t>开标地点：博爱县公共资源交易中心二楼第</w:t>
            </w:r>
            <w:r>
              <w:rPr>
                <w:rFonts w:hint="eastAsia" w:asciiTheme="minorEastAsia" w:hAnsiTheme="minorEastAsia" w:eastAsiaTheme="minorEastAsia" w:cstheme="minorEastAsia"/>
                <w:szCs w:val="21"/>
                <w:lang w:val="en-US" w:eastAsia="zh-CN"/>
              </w:rPr>
              <w:t>一</w:t>
            </w:r>
            <w:r>
              <w:rPr>
                <w:rFonts w:hint="eastAsia" w:asciiTheme="minorEastAsia" w:hAnsiTheme="minorEastAsia" w:eastAsiaTheme="minorEastAsia" w:cstheme="minorEastAsia"/>
                <w:szCs w:val="21"/>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开标程序</w:t>
            </w:r>
          </w:p>
        </w:tc>
        <w:tc>
          <w:tcPr>
            <w:tcW w:w="6112" w:type="dxa"/>
            <w:vAlign w:val="center"/>
          </w:tcPr>
          <w:p>
            <w:pPr>
              <w:spacing w:line="360" w:lineRule="exact"/>
              <w:ind w:left="700" w:hanging="7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见招标文件开标程序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评标委员会的组建</w:t>
            </w:r>
          </w:p>
        </w:tc>
        <w:tc>
          <w:tcPr>
            <w:tcW w:w="6112" w:type="dxa"/>
            <w:vAlign w:val="center"/>
          </w:tcPr>
          <w:p>
            <w:pPr>
              <w:spacing w:line="360" w:lineRule="exact"/>
              <w:ind w:left="700" w:hanging="7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评标委员会构成：由采购人代表1名和政府采购专家库中随机抽</w:t>
            </w:r>
          </w:p>
          <w:p>
            <w:pPr>
              <w:spacing w:line="360" w:lineRule="exact"/>
              <w:ind w:left="700" w:hanging="7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取的评审专家4名共5人组成。</w:t>
            </w:r>
          </w:p>
          <w:p>
            <w:pPr>
              <w:spacing w:line="360" w:lineRule="exact"/>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是否授权评标委员会确定中标人</w:t>
            </w:r>
          </w:p>
        </w:tc>
        <w:tc>
          <w:tcPr>
            <w:tcW w:w="6112" w:type="dxa"/>
            <w:vAlign w:val="center"/>
          </w:tcPr>
          <w:p>
            <w:pPr>
              <w:spacing w:line="38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否，由评标委员会从认定的合理报价中，按得分由高到底的顺序，依次推荐1～3名中标候选人。</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7.3.1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履约保证金</w:t>
            </w:r>
          </w:p>
        </w:tc>
        <w:tc>
          <w:tcPr>
            <w:tcW w:w="6112" w:type="dxa"/>
            <w:vAlign w:val="center"/>
          </w:tcPr>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0"/>
              <w:spacing w:line="360" w:lineRule="exact"/>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7.3.2</w:t>
            </w:r>
          </w:p>
        </w:tc>
        <w:tc>
          <w:tcPr>
            <w:tcW w:w="2318" w:type="dxa"/>
            <w:vAlign w:val="center"/>
          </w:tcPr>
          <w:p>
            <w:pPr>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投标保证金</w:t>
            </w:r>
          </w:p>
        </w:tc>
        <w:tc>
          <w:tcPr>
            <w:tcW w:w="6112" w:type="dxa"/>
            <w:vAlign w:val="center"/>
          </w:tcPr>
          <w:p>
            <w:pPr>
              <w:spacing w:line="380" w:lineRule="exact"/>
              <w:ind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10</w:t>
            </w:r>
          </w:p>
        </w:tc>
        <w:tc>
          <w:tcPr>
            <w:tcW w:w="8430" w:type="dxa"/>
            <w:gridSpan w:val="2"/>
            <w:vAlign w:val="bottom"/>
          </w:tcPr>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采购控制价</w:t>
            </w:r>
          </w:p>
        </w:tc>
        <w:tc>
          <w:tcPr>
            <w:tcW w:w="6112" w:type="dxa"/>
            <w:vAlign w:val="bottom"/>
          </w:tcPr>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1、本项目招标控制价为：¥</w:t>
            </w:r>
            <w:r>
              <w:rPr>
                <w:rFonts w:hint="eastAsia" w:asciiTheme="minorEastAsia" w:hAnsiTheme="minorEastAsia" w:eastAsiaTheme="minorEastAsia" w:cstheme="minorEastAsia"/>
                <w:szCs w:val="21"/>
                <w:lang w:val="en-US" w:eastAsia="zh-CN"/>
              </w:rPr>
              <w:t>1013800</w:t>
            </w:r>
            <w:r>
              <w:rPr>
                <w:rFonts w:hint="eastAsia" w:asciiTheme="minorEastAsia" w:hAnsiTheme="minorEastAsia" w:eastAsiaTheme="minorEastAsia" w:cstheme="minorEastAsia"/>
                <w:szCs w:val="21"/>
              </w:rPr>
              <w:t>元整。</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2、控制价是采购人设置的最高限价，供应商的投标报价高于控制价的视为无效报价，其投标予以拒绝；</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3、当中标人的投标报价高于控制价的95%时，该中标人的中标价按控制价的95%执行。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10.2</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小型或微型企业（含监狱企业）</w:t>
            </w:r>
          </w:p>
        </w:tc>
        <w:tc>
          <w:tcPr>
            <w:tcW w:w="611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1、对小型或微型企业投标的扶持：(如有）</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1.1投标供应商为小型或微型企业时，报价给予C1的价格扣除（C1的取值为6%），即：评标价＝投标报价（最后报价）×(1－C1）；</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小微企业应当列明本项目中所投的“小型和微型企业产品的清单”并提供《中小企业声明函》（见格式）。</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1.2按照</w:t>
            </w:r>
            <w:r>
              <w:rPr>
                <w:rFonts w:hint="eastAsia" w:ascii="宋体" w:hAnsi="宋体" w:cs="宋体"/>
                <w:color w:val="000000" w:themeColor="text1"/>
                <w:kern w:val="0"/>
                <w:sz w:val="24"/>
                <w:szCs w:val="22"/>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政府采购促进中小企业发展管理办法》有关规定，中小企业的标准为：</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1.2.1提供本企业制造的货物、承担的工程或者服务，或者提供其他中小企业制造的货物，不包括提供或使用大型企业注册商标的货物；</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1.2.2本规定所称中小企业划分标准，是指国务院有关部门根据企业从业人员、营业收入、资产总额等指标制定的中小企业划型标准（工信部联企业[2011]300号）；</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1.2.3小型、微型企业提供有中型企业制造的货物的，视同为中型企业；小型、微型、中型企业提供有大型企业制造的货物的，视同为大型企业。</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2、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6%的扣除。</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asciiTheme="minorEastAsia" w:hAnsiTheme="minorEastAsia" w:eastAsiaTheme="minorEastAsia" w:cstheme="minorEastAsia"/>
                <w:szCs w:val="21"/>
              </w:rPr>
            </w:pPr>
            <w:r>
              <w:rPr>
                <w:rFonts w:hint="eastAsia" w:ascii="宋体" w:hAnsi="宋体" w:cs="宋体"/>
                <w:bCs/>
                <w:color w:val="000000" w:themeColor="text1"/>
                <w14:textFill>
                  <w14:solidFill>
                    <w14:schemeClr w14:val="tx1"/>
                  </w14:solidFill>
                </w14:textFill>
              </w:rPr>
              <w:t>同一投标人，小微企业、监狱、残疾人福利性企业同一产品价格扣除优惠只享受一次，不得重复享受。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10.3</w:t>
            </w:r>
          </w:p>
        </w:tc>
        <w:tc>
          <w:tcPr>
            <w:tcW w:w="2318" w:type="dxa"/>
            <w:vAlign w:val="center"/>
          </w:tcPr>
          <w:p>
            <w:pPr>
              <w:spacing w:line="360" w:lineRule="exact"/>
              <w:jc w:val="center"/>
              <w:rPr>
                <w:rFonts w:asciiTheme="minorEastAsia" w:hAnsiTheme="minorEastAsia" w:eastAsiaTheme="minorEastAsia" w:cstheme="minorEastAsia"/>
                <w:b/>
                <w:bCs/>
                <w:color w:val="FF0000"/>
                <w:szCs w:val="21"/>
              </w:rPr>
            </w:pPr>
            <w:r>
              <w:rPr>
                <w:rFonts w:hint="eastAsia" w:asciiTheme="minorEastAsia" w:hAnsiTheme="minorEastAsia" w:eastAsiaTheme="minorEastAsia" w:cstheme="minorEastAsia"/>
                <w:color w:val="121212"/>
                <w:szCs w:val="21"/>
              </w:rPr>
              <w:t>付款方式</w:t>
            </w:r>
          </w:p>
        </w:tc>
        <w:tc>
          <w:tcPr>
            <w:tcW w:w="6112" w:type="dxa"/>
            <w:vAlign w:val="center"/>
          </w:tcPr>
          <w:p>
            <w:pPr>
              <w:widowControl/>
              <w:jc w:val="left"/>
              <w:rPr>
                <w:rFonts w:asciiTheme="minorEastAsia" w:hAnsiTheme="minorEastAsia" w:eastAsiaTheme="minorEastAsia" w:cstheme="minorEastAsia"/>
                <w:b/>
                <w:bCs/>
                <w:color w:val="FF0000"/>
                <w:szCs w:val="21"/>
              </w:rPr>
            </w:pPr>
            <w:r>
              <w:rPr>
                <w:rFonts w:hint="eastAsia" w:asciiTheme="minorEastAsia" w:hAnsiTheme="minorEastAsia" w:eastAsiaTheme="minorEastAsia" w:cstheme="minorEastAsia"/>
                <w:szCs w:val="21"/>
                <w:lang w:val="en-US" w:eastAsia="zh-CN"/>
              </w:rPr>
              <w:t>设备供货、安装、调试、验收合格后，付合同总价的90%，剩余10%作为质保金，质保期满后无质量问题一次性无息付清。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10.5</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招标代理服务费</w:t>
            </w:r>
          </w:p>
        </w:tc>
        <w:tc>
          <w:tcPr>
            <w:tcW w:w="6112" w:type="dxa"/>
            <w:vAlign w:val="center"/>
          </w:tcPr>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招标代理服务费参照（国家计委（计价格[2002]1980号）文件、国家发改委（发改办价格[2003]857号）文件及国家发改委（发改价格[2011]534号）文件）的收费标准，向中标人收取。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10.6</w:t>
            </w:r>
          </w:p>
        </w:tc>
        <w:tc>
          <w:tcPr>
            <w:tcW w:w="2318" w:type="dxa"/>
            <w:vAlign w:val="center"/>
          </w:tcPr>
          <w:p>
            <w:pPr>
              <w:adjustRightInd w:val="0"/>
              <w:snapToGrid w:val="0"/>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供应商出席开标会须知</w:t>
            </w:r>
          </w:p>
        </w:tc>
        <w:tc>
          <w:tcPr>
            <w:tcW w:w="6112" w:type="dxa"/>
            <w:vAlign w:val="center"/>
          </w:tcPr>
          <w:p>
            <w:pPr>
              <w:adjustRightInd w:val="0"/>
              <w:snapToGrid w:val="0"/>
              <w:spacing w:line="38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1、投标企业参加开标会议时必须由公司法定代表人</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持</w:t>
            </w:r>
            <w:r>
              <w:rPr>
                <w:rFonts w:hint="eastAsia" w:asciiTheme="minorEastAsia" w:hAnsiTheme="minorEastAsia" w:eastAsiaTheme="minorEastAsia" w:cstheme="minorEastAsia"/>
                <w:color w:val="auto"/>
                <w:szCs w:val="21"/>
                <w:lang w:eastAsia="zh-CN"/>
              </w:rPr>
              <w:t>法定代表人</w:t>
            </w:r>
            <w:r>
              <w:rPr>
                <w:rFonts w:hint="eastAsia" w:asciiTheme="minorEastAsia" w:hAnsiTheme="minorEastAsia" w:eastAsiaTheme="minorEastAsia" w:cstheme="minorEastAsia"/>
                <w:color w:val="auto"/>
                <w:szCs w:val="21"/>
              </w:rPr>
              <w:t>身份证明及本人身份证）或法定代表人的委托代理人（持有效的授权委托书及本人身份证）参加，否则视为放弃。</w:t>
            </w:r>
          </w:p>
          <w:p>
            <w:pPr>
              <w:adjustRightInd w:val="0"/>
              <w:snapToGrid w:val="0"/>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2、投标企业应携带：企业营业执照（副本）、税务登记证（副本）、组织机构代码证（副本）或三证合一的营业执照；健康承诺书和招标文件要求的其他资料参加开标会议。</w:t>
            </w:r>
          </w:p>
          <w:p>
            <w:pPr>
              <w:adjustRightInd w:val="0"/>
              <w:snapToGrid w:val="0"/>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标当日采购人或采购代理机构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adjustRightInd w:val="0"/>
              <w:snapToGrid w:val="0"/>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3、本文件规定供应商提交的上述资料原件及招标文件要求提交的其他原件，均须装入档案袋内，袋外贴上明细，写明内容、份数、开标时交予现场工作人员，评标结束后退还给各供应商。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10.7</w:t>
            </w:r>
          </w:p>
        </w:tc>
        <w:tc>
          <w:tcPr>
            <w:tcW w:w="2318" w:type="dxa"/>
            <w:vAlign w:val="center"/>
          </w:tcPr>
          <w:p>
            <w:pPr>
              <w:adjustRightInd w:val="0"/>
              <w:snapToGrid w:val="0"/>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现场文件的签署</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供应商在开标现场的一切签字必须由</w:t>
            </w:r>
            <w:r>
              <w:rPr>
                <w:rFonts w:hint="eastAsia" w:asciiTheme="minorEastAsia" w:hAnsiTheme="minorEastAsia" w:eastAsiaTheme="minorEastAsia" w:cstheme="minorEastAsia"/>
                <w:color w:val="auto"/>
                <w:szCs w:val="21"/>
              </w:rPr>
              <w:t>法定代表人</w:t>
            </w:r>
            <w:r>
              <w:rPr>
                <w:rFonts w:hint="eastAsia" w:asciiTheme="minorEastAsia" w:hAnsiTheme="minorEastAsia" w:eastAsiaTheme="minorEastAsia" w:cstheme="minorEastAsia"/>
                <w:szCs w:val="21"/>
              </w:rPr>
              <w:t>或其委托的授权代理人持身份证签署，恶意不签署或者换人签署者按弃标处理。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10.8</w:t>
            </w:r>
          </w:p>
        </w:tc>
        <w:tc>
          <w:tcPr>
            <w:tcW w:w="231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认定为不响应招标文件的其它条件</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1、投标文件未按招标文件要求进行密封、标志及装订的；</w:t>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2、未按招标文件明示的规定签字盖章的；</w:t>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3、投标文件的关键内容（投标报价、</w:t>
            </w:r>
            <w:r>
              <w:rPr>
                <w:rFonts w:hint="eastAsia" w:asciiTheme="minorEastAsia" w:hAnsiTheme="minorEastAsia" w:eastAsiaTheme="minorEastAsia" w:cstheme="minorEastAsia"/>
                <w:bCs/>
                <w:iCs/>
                <w:szCs w:val="21"/>
              </w:rPr>
              <w:t>供货及安装期</w:t>
            </w:r>
            <w:r>
              <w:rPr>
                <w:rFonts w:hint="eastAsia" w:asciiTheme="minorEastAsia" w:hAnsiTheme="minorEastAsia" w:eastAsiaTheme="minorEastAsia" w:cstheme="minorEastAsia"/>
                <w:szCs w:val="21"/>
              </w:rPr>
              <w:t>、质</w:t>
            </w:r>
            <w:r>
              <w:rPr>
                <w:rFonts w:hint="eastAsia" w:asciiTheme="minorEastAsia" w:hAnsiTheme="minorEastAsia" w:eastAsiaTheme="minorEastAsia" w:cstheme="minorEastAsia"/>
              </w:rPr>
              <w:t>量等）</w:t>
            </w:r>
            <w:r>
              <w:rPr>
                <w:rFonts w:hint="eastAsia" w:asciiTheme="minorEastAsia" w:hAnsiTheme="minorEastAsia" w:eastAsiaTheme="minorEastAsia" w:cstheme="minorEastAsia"/>
                <w:szCs w:val="21"/>
              </w:rPr>
              <w:t>未填写或填写字迹模糊、达不到采购要求的；</w:t>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4、投标报价超出招标控制价的；</w:t>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5、供应商递交两份或多份内容不同的投标文件，或在一份投标文件中对同一招标项目有两个或多个报价，且未声明哪一个有效的；</w:t>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6、未按招标文件要求持证参加开标会议的；</w:t>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7、相关资格证明文件不合格的；</w:t>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8、未按要求提供相关证件的；</w:t>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9、附有采购人不能接受的条件的；</w:t>
            </w:r>
          </w:p>
          <w:p>
            <w:pPr>
              <w:adjustRightInd w:val="0"/>
              <w:snapToGrid w:val="0"/>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10、投标文件有明显不符合招标文件其它要求和有关法律法规的。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10.9</w:t>
            </w:r>
          </w:p>
        </w:tc>
        <w:tc>
          <w:tcPr>
            <w:tcW w:w="8430" w:type="dxa"/>
            <w:gridSpan w:val="2"/>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本招标文件解释权归采购人</w:t>
            </w:r>
          </w:p>
        </w:tc>
      </w:tr>
    </w:tbl>
    <w:p>
      <w:pPr>
        <w:pStyle w:val="35"/>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7" w:name="_Toc9048"/>
      <w:bookmarkStart w:id="8" w:name="_Toc403122491"/>
      <w:bookmarkStart w:id="9" w:name="_Toc23576"/>
      <w:bookmarkStart w:id="10" w:name="_Toc426369479"/>
      <w:bookmarkStart w:id="11" w:name="_Toc426369491"/>
      <w:bookmarkStart w:id="12" w:name="_Toc403122503"/>
      <w:bookmarkStart w:id="13" w:name="_Toc26894"/>
      <w:r>
        <w:rPr>
          <w:rFonts w:hint="eastAsia" w:asciiTheme="minorEastAsia" w:hAnsiTheme="minorEastAsia" w:eastAsiaTheme="minorEastAsia" w:cstheme="minorEastAsia"/>
          <w:sz w:val="24"/>
          <w:szCs w:val="24"/>
        </w:rPr>
        <w:t>1. 总则</w:t>
      </w:r>
      <w:bookmarkEnd w:id="7"/>
      <w:bookmarkEnd w:id="8"/>
      <w:bookmarkEnd w:id="9"/>
      <w:bookmarkEnd w:id="10"/>
      <w:r>
        <w:rPr>
          <w:rFonts w:hint="eastAsia" w:asciiTheme="minorEastAsia" w:hAnsiTheme="minorEastAsia" w:eastAsiaTheme="minorEastAsia" w:cstheme="minorEastAsia"/>
          <w:sz w:val="24"/>
          <w:szCs w:val="24"/>
        </w:rPr>
        <w:t xml:space="preserve"> </w:t>
      </w:r>
    </w:p>
    <w:p>
      <w:pPr>
        <w:spacing w:line="500" w:lineRule="exact"/>
        <w:ind w:firstLine="482" w:firstLineChars="200"/>
        <w:rPr>
          <w:rFonts w:asciiTheme="minorEastAsia" w:hAnsiTheme="minorEastAsia" w:eastAsiaTheme="minorEastAsia" w:cstheme="minorEastAsia"/>
          <w:b/>
          <w:bCs/>
          <w:sz w:val="24"/>
        </w:rPr>
      </w:pPr>
      <w:bookmarkStart w:id="14" w:name="_Toc279599771"/>
      <w:bookmarkStart w:id="15" w:name="_Toc426369480"/>
      <w:bookmarkStart w:id="16" w:name="_Toc274249575"/>
      <w:bookmarkStart w:id="17" w:name="_Toc403122492"/>
      <w:r>
        <w:rPr>
          <w:rFonts w:hint="eastAsia" w:asciiTheme="minorEastAsia" w:hAnsiTheme="minorEastAsia" w:eastAsiaTheme="minorEastAsia" w:cstheme="minorEastAsia"/>
          <w:b/>
          <w:bCs/>
          <w:sz w:val="24"/>
        </w:rPr>
        <w:t>1.1 项目概况</w:t>
      </w:r>
      <w:bookmarkEnd w:id="14"/>
      <w:bookmarkEnd w:id="15"/>
      <w:bookmarkEnd w:id="16"/>
      <w:bookmarkEnd w:id="17"/>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 根据</w:t>
      </w:r>
      <w:r>
        <w:rPr>
          <w:rFonts w:hint="eastAsia" w:asciiTheme="minorEastAsia" w:hAnsiTheme="minorEastAsia" w:eastAsiaTheme="minorEastAsia" w:cstheme="minorEastAsia"/>
          <w:bCs/>
          <w:szCs w:val="21"/>
        </w:rPr>
        <w:t>《中华人民共和国政府采购法》</w:t>
      </w:r>
      <w:r>
        <w:rPr>
          <w:rFonts w:hint="eastAsia" w:asciiTheme="minorEastAsia" w:hAnsiTheme="minorEastAsia" w:eastAsiaTheme="minorEastAsia" w:cstheme="minorEastAsia"/>
          <w:szCs w:val="21"/>
        </w:rPr>
        <w:t xml:space="preserve">等有关法律、法规和规章的规定，本招标项目已具备招标条件，现对本招标项目进行公开招标。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1.1.2  本招标项目采购人：见供应商须知前附表。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1.1.3  本招标项目采购代理机构：见供应商须知前附表。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1.1.4  本招标项目名称：见供应商须知前附表。 </w:t>
      </w:r>
    </w:p>
    <w:p>
      <w:pPr>
        <w:spacing w:line="500" w:lineRule="exact"/>
        <w:ind w:firstLine="482" w:firstLineChars="200"/>
        <w:rPr>
          <w:rFonts w:asciiTheme="minorEastAsia" w:hAnsiTheme="minorEastAsia" w:eastAsiaTheme="minorEastAsia" w:cstheme="minorEastAsia"/>
          <w:b/>
          <w:bCs/>
          <w:sz w:val="24"/>
        </w:rPr>
      </w:pPr>
      <w:bookmarkStart w:id="18" w:name="_Toc274249576"/>
      <w:bookmarkStart w:id="19" w:name="_Toc403122493"/>
      <w:bookmarkStart w:id="20" w:name="_Toc279599772"/>
      <w:bookmarkStart w:id="21" w:name="_Toc426369481"/>
      <w:r>
        <w:rPr>
          <w:rFonts w:hint="eastAsia" w:asciiTheme="minorEastAsia" w:hAnsiTheme="minorEastAsia" w:eastAsiaTheme="minorEastAsia" w:cstheme="minorEastAsia"/>
          <w:b/>
          <w:bCs/>
          <w:sz w:val="24"/>
        </w:rPr>
        <w:t>1.2 资金来源和落实情况</w:t>
      </w:r>
      <w:bookmarkEnd w:id="18"/>
      <w:bookmarkEnd w:id="19"/>
      <w:bookmarkEnd w:id="20"/>
      <w:bookmarkEnd w:id="21"/>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1.2.1  本招标项目的资金来源：见供应商须知前附表。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1.2.2  本招标项目的资金落实情况：见供应商须知前附表。 </w:t>
      </w:r>
    </w:p>
    <w:p>
      <w:pPr>
        <w:spacing w:line="500" w:lineRule="exact"/>
        <w:ind w:firstLine="482" w:firstLineChars="200"/>
        <w:rPr>
          <w:rFonts w:asciiTheme="minorEastAsia" w:hAnsiTheme="minorEastAsia" w:eastAsiaTheme="minorEastAsia" w:cstheme="minorEastAsia"/>
          <w:b/>
          <w:bCs/>
          <w:sz w:val="24"/>
        </w:rPr>
      </w:pPr>
      <w:bookmarkStart w:id="22" w:name="_Toc274249577"/>
      <w:bookmarkStart w:id="23" w:name="_Toc279599773"/>
      <w:bookmarkStart w:id="24" w:name="_Toc426369482"/>
      <w:bookmarkStart w:id="25" w:name="_Toc403122494"/>
      <w:r>
        <w:rPr>
          <w:rFonts w:hint="eastAsia" w:asciiTheme="minorEastAsia" w:hAnsiTheme="minorEastAsia" w:eastAsiaTheme="minorEastAsia" w:cstheme="minorEastAsia"/>
          <w:b/>
          <w:bCs/>
          <w:sz w:val="24"/>
        </w:rPr>
        <w:t>1.3 采购内容、项目完成期和质量要求</w:t>
      </w:r>
      <w:bookmarkEnd w:id="22"/>
      <w:bookmarkEnd w:id="23"/>
      <w:bookmarkEnd w:id="24"/>
      <w:bookmarkEnd w:id="25"/>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1.3.1  本次招标采购内容：见供应商须知前附表。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1.3.2  本次招标的项目完成期：见供应商须知前附表。 </w:t>
      </w:r>
    </w:p>
    <w:p>
      <w:pPr>
        <w:tabs>
          <w:tab w:val="right" w:pos="904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1.3.3  本次招标的质量要求：见供应商须知前附表。 </w:t>
      </w:r>
    </w:p>
    <w:p>
      <w:pPr>
        <w:tabs>
          <w:tab w:val="right" w:pos="904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1.3.4  本次招标的质保期要求：见供应商须知前附表。 </w:t>
      </w:r>
      <w:r>
        <w:rPr>
          <w:rFonts w:hint="eastAsia" w:asciiTheme="minorEastAsia" w:hAnsiTheme="minorEastAsia" w:eastAsiaTheme="minorEastAsia" w:cstheme="minorEastAsia"/>
          <w:szCs w:val="21"/>
        </w:rPr>
        <w:tab/>
      </w:r>
    </w:p>
    <w:p>
      <w:pPr>
        <w:spacing w:line="500" w:lineRule="exact"/>
        <w:ind w:firstLine="482" w:firstLineChars="200"/>
        <w:rPr>
          <w:rFonts w:asciiTheme="minorEastAsia" w:hAnsiTheme="minorEastAsia" w:eastAsiaTheme="minorEastAsia" w:cstheme="minorEastAsia"/>
          <w:b/>
          <w:bCs/>
          <w:sz w:val="24"/>
        </w:rPr>
      </w:pPr>
      <w:bookmarkStart w:id="26" w:name="_Toc274249578"/>
      <w:bookmarkStart w:id="27" w:name="_Toc426369483"/>
      <w:bookmarkStart w:id="28" w:name="_Toc403122495"/>
      <w:bookmarkStart w:id="29" w:name="_Toc279599774"/>
      <w:r>
        <w:rPr>
          <w:rFonts w:hint="eastAsia" w:asciiTheme="minorEastAsia" w:hAnsiTheme="minorEastAsia" w:eastAsiaTheme="minorEastAsia" w:cstheme="minorEastAsia"/>
          <w:b/>
          <w:bCs/>
          <w:sz w:val="24"/>
        </w:rPr>
        <w:t>1.4 供应商资格要求</w:t>
      </w:r>
      <w:bookmarkEnd w:id="26"/>
      <w:bookmarkEnd w:id="27"/>
      <w:bookmarkEnd w:id="28"/>
      <w:bookmarkEnd w:id="29"/>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1.4.1 供应商应具备承担本招标项目的资质条件。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（1）供应商资质条件：见供应商须知前附表； </w:t>
      </w:r>
    </w:p>
    <w:p>
      <w:pPr>
        <w:spacing w:line="440" w:lineRule="exact"/>
        <w:ind w:firstLine="420" w:firstLineChars="200"/>
        <w:rPr>
          <w:rFonts w:asciiTheme="minorEastAsia" w:hAnsiTheme="minorEastAsia" w:eastAsiaTheme="minorEastAsia" w:cstheme="minorEastAsia"/>
          <w:szCs w:val="21"/>
        </w:rPr>
      </w:pPr>
      <w:bookmarkStart w:id="30" w:name="_Toc274249579"/>
      <w:bookmarkStart w:id="31" w:name="_Toc403122496"/>
      <w:bookmarkStart w:id="32" w:name="_Toc279599775"/>
      <w:r>
        <w:rPr>
          <w:rFonts w:hint="eastAsia" w:asciiTheme="minorEastAsia" w:hAnsiTheme="minorEastAsia" w:eastAsiaTheme="minorEastAsia" w:cstheme="minorEastAsia"/>
          <w:szCs w:val="21"/>
        </w:rPr>
        <w:t>1.4.2 本次招标不接受联合体投标。</w:t>
      </w:r>
    </w:p>
    <w:p>
      <w:pPr>
        <w:spacing w:line="500" w:lineRule="exact"/>
        <w:ind w:firstLine="482" w:firstLineChars="200"/>
        <w:rPr>
          <w:rFonts w:asciiTheme="minorEastAsia" w:hAnsiTheme="minorEastAsia" w:eastAsiaTheme="minorEastAsia" w:cstheme="minorEastAsia"/>
          <w:b/>
          <w:bCs/>
          <w:sz w:val="24"/>
        </w:rPr>
      </w:pPr>
      <w:bookmarkStart w:id="33" w:name="_Toc426369484"/>
      <w:r>
        <w:rPr>
          <w:rFonts w:hint="eastAsia" w:asciiTheme="minorEastAsia" w:hAnsiTheme="minorEastAsia" w:eastAsiaTheme="minorEastAsia" w:cstheme="minorEastAsia"/>
          <w:b/>
          <w:bCs/>
          <w:sz w:val="24"/>
        </w:rPr>
        <w:t>1.5 费用承担</w:t>
      </w:r>
      <w:bookmarkEnd w:id="30"/>
      <w:bookmarkEnd w:id="31"/>
      <w:bookmarkEnd w:id="32"/>
      <w:bookmarkEnd w:id="33"/>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供应商准备和参加投标活动发生的费用自理。 </w:t>
      </w:r>
    </w:p>
    <w:p>
      <w:pPr>
        <w:spacing w:line="500" w:lineRule="exact"/>
        <w:ind w:firstLine="482" w:firstLineChars="200"/>
        <w:rPr>
          <w:rFonts w:asciiTheme="minorEastAsia" w:hAnsiTheme="minorEastAsia" w:eastAsiaTheme="minorEastAsia" w:cstheme="minorEastAsia"/>
          <w:b/>
          <w:bCs/>
          <w:sz w:val="24"/>
        </w:rPr>
      </w:pPr>
      <w:bookmarkStart w:id="34" w:name="_Toc403122497"/>
      <w:bookmarkStart w:id="35" w:name="_Toc426369485"/>
      <w:r>
        <w:rPr>
          <w:rFonts w:hint="eastAsia" w:asciiTheme="minorEastAsia" w:hAnsiTheme="minorEastAsia" w:eastAsiaTheme="minorEastAsia" w:cstheme="minorEastAsia"/>
          <w:b/>
          <w:bCs/>
          <w:sz w:val="24"/>
        </w:rPr>
        <w:t>1.6 保密</w:t>
      </w:r>
      <w:bookmarkEnd w:id="34"/>
      <w:bookmarkEnd w:id="3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参与招标投标活动的各方应对招标文件和投标文件中的商业和技术等秘密保密，违者应对由此造成的后果承担法律责任。</w:t>
      </w:r>
    </w:p>
    <w:p>
      <w:pPr>
        <w:spacing w:line="500" w:lineRule="exact"/>
        <w:ind w:firstLine="482" w:firstLineChars="200"/>
        <w:rPr>
          <w:rFonts w:asciiTheme="minorEastAsia" w:hAnsiTheme="minorEastAsia" w:eastAsiaTheme="minorEastAsia" w:cstheme="minorEastAsia"/>
          <w:b/>
          <w:bCs/>
          <w:sz w:val="24"/>
        </w:rPr>
      </w:pPr>
      <w:bookmarkStart w:id="36" w:name="_Toc274249581"/>
      <w:bookmarkStart w:id="37" w:name="_Toc403122498"/>
      <w:bookmarkStart w:id="38" w:name="_Toc279599777"/>
      <w:bookmarkStart w:id="39" w:name="_Toc426369486"/>
      <w:r>
        <w:rPr>
          <w:rFonts w:hint="eastAsia" w:asciiTheme="minorEastAsia" w:hAnsiTheme="minorEastAsia" w:eastAsiaTheme="minorEastAsia" w:cstheme="minorEastAsia"/>
          <w:b/>
          <w:bCs/>
          <w:sz w:val="24"/>
        </w:rPr>
        <w:t>1.7 语言文字</w:t>
      </w:r>
      <w:bookmarkEnd w:id="36"/>
      <w:bookmarkEnd w:id="37"/>
      <w:bookmarkEnd w:id="38"/>
      <w:bookmarkEnd w:id="39"/>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除专用术语外，与招标投标有关的语言均使用中文。必要时专用术语应附有中文注释。 </w:t>
      </w:r>
    </w:p>
    <w:p>
      <w:pPr>
        <w:spacing w:line="500" w:lineRule="exact"/>
        <w:ind w:firstLine="482" w:firstLineChars="200"/>
        <w:rPr>
          <w:rFonts w:asciiTheme="minorEastAsia" w:hAnsiTheme="minorEastAsia" w:eastAsiaTheme="minorEastAsia" w:cstheme="minorEastAsia"/>
          <w:b/>
          <w:bCs/>
          <w:sz w:val="24"/>
        </w:rPr>
      </w:pPr>
      <w:bookmarkStart w:id="40" w:name="_Toc426369487"/>
      <w:bookmarkStart w:id="41" w:name="_Toc403122499"/>
      <w:r>
        <w:rPr>
          <w:rFonts w:hint="eastAsia" w:asciiTheme="minorEastAsia" w:hAnsiTheme="minorEastAsia" w:eastAsiaTheme="minorEastAsia" w:cstheme="minorEastAsia"/>
          <w:b/>
          <w:bCs/>
          <w:sz w:val="24"/>
        </w:rPr>
        <w:t>1.8 计量单位</w:t>
      </w:r>
      <w:bookmarkEnd w:id="40"/>
      <w:bookmarkEnd w:id="41"/>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所有计量均采用中华人民共和国法定计量单位。</w:t>
      </w:r>
    </w:p>
    <w:p>
      <w:pPr>
        <w:spacing w:line="500" w:lineRule="exact"/>
        <w:ind w:firstLine="482" w:firstLineChars="200"/>
        <w:rPr>
          <w:rFonts w:asciiTheme="minorEastAsia" w:hAnsiTheme="minorEastAsia" w:eastAsiaTheme="minorEastAsia" w:cstheme="minorEastAsia"/>
          <w:b/>
          <w:bCs/>
          <w:sz w:val="24"/>
        </w:rPr>
      </w:pPr>
      <w:bookmarkStart w:id="42" w:name="_Toc403122500"/>
      <w:bookmarkStart w:id="43" w:name="_Toc426369488"/>
      <w:bookmarkStart w:id="44" w:name="_Toc279599779"/>
      <w:bookmarkStart w:id="45" w:name="_Toc274249583"/>
      <w:r>
        <w:rPr>
          <w:rFonts w:hint="eastAsia" w:asciiTheme="minorEastAsia" w:hAnsiTheme="minorEastAsia" w:eastAsiaTheme="minorEastAsia" w:cstheme="minorEastAsia"/>
          <w:b/>
          <w:bCs/>
          <w:sz w:val="24"/>
        </w:rPr>
        <w:t>1.9 踏勘现场</w:t>
      </w:r>
      <w:bookmarkEnd w:id="42"/>
      <w:bookmarkEnd w:id="43"/>
      <w:bookmarkEnd w:id="44"/>
      <w:bookmarkEnd w:id="45"/>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1.9.1  由于项目特殊性，本次招标需供应商自行勘查。 </w:t>
      </w:r>
    </w:p>
    <w:p>
      <w:pPr>
        <w:spacing w:line="500" w:lineRule="exact"/>
        <w:ind w:firstLine="482" w:firstLineChars="200"/>
        <w:rPr>
          <w:rFonts w:asciiTheme="minorEastAsia" w:hAnsiTheme="minorEastAsia" w:eastAsiaTheme="minorEastAsia" w:cstheme="minorEastAsia"/>
          <w:b/>
          <w:bCs/>
          <w:sz w:val="24"/>
        </w:rPr>
      </w:pPr>
      <w:bookmarkStart w:id="46" w:name="_Toc426369489"/>
      <w:bookmarkStart w:id="47" w:name="_Toc279599780"/>
      <w:bookmarkStart w:id="48" w:name="_Toc403122501"/>
      <w:bookmarkStart w:id="49" w:name="_Toc274249584"/>
      <w:r>
        <w:rPr>
          <w:rFonts w:hint="eastAsia" w:asciiTheme="minorEastAsia" w:hAnsiTheme="minorEastAsia" w:eastAsiaTheme="minorEastAsia" w:cstheme="minorEastAsia"/>
          <w:b/>
          <w:bCs/>
          <w:sz w:val="24"/>
        </w:rPr>
        <w:t>1.10 投标预备会</w:t>
      </w:r>
      <w:bookmarkEnd w:id="46"/>
      <w:bookmarkEnd w:id="47"/>
      <w:bookmarkEnd w:id="48"/>
      <w:bookmarkEnd w:id="49"/>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1.10.1 本次招标不召开投标预备会。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1.10.2 供应商应在供应商须知前附表规定的时间前，以书面形式将提出的问题送达招标代理人。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1.10.3 采购人在供应商须知前附表规定的时间内，将对供应商所提问题的澄清，以书面方式通知所有已领取招标文件的供应商。该澄清内容为招标文件的组成部分。 </w:t>
      </w:r>
    </w:p>
    <w:p>
      <w:pPr>
        <w:spacing w:line="500" w:lineRule="exact"/>
        <w:ind w:firstLine="482" w:firstLineChars="200"/>
        <w:rPr>
          <w:rFonts w:asciiTheme="minorEastAsia" w:hAnsiTheme="minorEastAsia" w:eastAsiaTheme="minorEastAsia" w:cstheme="minorEastAsia"/>
          <w:b/>
          <w:bCs/>
          <w:sz w:val="24"/>
        </w:rPr>
      </w:pPr>
      <w:bookmarkStart w:id="50" w:name="_Toc403122502"/>
      <w:bookmarkStart w:id="51" w:name="_Toc274249585"/>
      <w:bookmarkStart w:id="52" w:name="_Toc426369490"/>
      <w:bookmarkStart w:id="53" w:name="_Toc279599781"/>
      <w:r>
        <w:rPr>
          <w:rFonts w:hint="eastAsia" w:asciiTheme="minorEastAsia" w:hAnsiTheme="minorEastAsia" w:eastAsiaTheme="minorEastAsia" w:cstheme="minorEastAsia"/>
          <w:b/>
          <w:bCs/>
          <w:sz w:val="24"/>
        </w:rPr>
        <w:t>1.11 分包</w:t>
      </w:r>
      <w:bookmarkEnd w:id="50"/>
      <w:bookmarkEnd w:id="51"/>
      <w:bookmarkEnd w:id="52"/>
      <w:bookmarkEnd w:id="53"/>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本次招标项目不允许分包。 </w:t>
      </w:r>
    </w:p>
    <w:p>
      <w:pPr>
        <w:pStyle w:val="35"/>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54" w:name="_Toc28663"/>
      <w:r>
        <w:rPr>
          <w:rFonts w:hint="eastAsia" w:asciiTheme="minorEastAsia" w:hAnsiTheme="minorEastAsia" w:eastAsiaTheme="minorEastAsia" w:cstheme="minorEastAsia"/>
          <w:sz w:val="24"/>
          <w:szCs w:val="24"/>
        </w:rPr>
        <w:t>2. 招标文件</w:t>
      </w:r>
      <w:bookmarkEnd w:id="11"/>
      <w:bookmarkEnd w:id="12"/>
      <w:bookmarkEnd w:id="13"/>
      <w:bookmarkEnd w:id="54"/>
      <w:r>
        <w:rPr>
          <w:rFonts w:hint="eastAsia" w:asciiTheme="minorEastAsia" w:hAnsiTheme="minorEastAsia" w:eastAsiaTheme="minorEastAsia" w:cstheme="minorEastAsia"/>
          <w:sz w:val="24"/>
          <w:szCs w:val="24"/>
        </w:rPr>
        <w:t xml:space="preserve"> </w:t>
      </w:r>
    </w:p>
    <w:p>
      <w:pPr>
        <w:spacing w:line="500" w:lineRule="exact"/>
        <w:ind w:firstLine="482" w:firstLineChars="200"/>
        <w:rPr>
          <w:rFonts w:asciiTheme="minorEastAsia" w:hAnsiTheme="minorEastAsia" w:eastAsiaTheme="minorEastAsia" w:cstheme="minorEastAsia"/>
          <w:b/>
          <w:bCs/>
          <w:sz w:val="24"/>
        </w:rPr>
      </w:pPr>
      <w:bookmarkStart w:id="55" w:name="_Toc426369492"/>
      <w:bookmarkStart w:id="56" w:name="_Toc274249587"/>
      <w:bookmarkStart w:id="57" w:name="_Toc279599783"/>
      <w:bookmarkStart w:id="58" w:name="_Toc403122504"/>
      <w:r>
        <w:rPr>
          <w:rFonts w:hint="eastAsia" w:asciiTheme="minorEastAsia" w:hAnsiTheme="minorEastAsia" w:eastAsiaTheme="minorEastAsia" w:cstheme="minorEastAsia"/>
          <w:b/>
          <w:bCs/>
          <w:sz w:val="24"/>
        </w:rPr>
        <w:t>2.1 招标文件的组成</w:t>
      </w:r>
      <w:bookmarkEnd w:id="55"/>
      <w:bookmarkEnd w:id="56"/>
      <w:bookmarkEnd w:id="57"/>
      <w:bookmarkEnd w:id="58"/>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本招标文件包括： </w:t>
      </w:r>
    </w:p>
    <w:p>
      <w:pPr>
        <w:numPr>
          <w:ilvl w:val="0"/>
          <w:numId w:val="2"/>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招标公告；</w:t>
      </w:r>
    </w:p>
    <w:p>
      <w:pPr>
        <w:numPr>
          <w:ilvl w:val="0"/>
          <w:numId w:val="2"/>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供应商须知； </w:t>
      </w:r>
    </w:p>
    <w:p>
      <w:pPr>
        <w:numPr>
          <w:ilvl w:val="0"/>
          <w:numId w:val="2"/>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评标办法（综合评分法）； </w:t>
      </w:r>
    </w:p>
    <w:p>
      <w:pPr>
        <w:numPr>
          <w:ilvl w:val="0"/>
          <w:numId w:val="2"/>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合同条款及格式； </w:t>
      </w:r>
    </w:p>
    <w:p>
      <w:pPr>
        <w:numPr>
          <w:ilvl w:val="0"/>
          <w:numId w:val="2"/>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采购需求及参数； </w:t>
      </w:r>
    </w:p>
    <w:p>
      <w:pPr>
        <w:numPr>
          <w:ilvl w:val="0"/>
          <w:numId w:val="2"/>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投标文件格式；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根据本章第 1.10 款、第 2.2 款和第2.3款对招标文件所作的澄清、修改，构成招标文件的组成部分。 </w:t>
      </w:r>
    </w:p>
    <w:p>
      <w:pPr>
        <w:spacing w:line="500" w:lineRule="exact"/>
        <w:ind w:firstLine="482" w:firstLineChars="200"/>
        <w:rPr>
          <w:rFonts w:asciiTheme="minorEastAsia" w:hAnsiTheme="minorEastAsia" w:eastAsiaTheme="minorEastAsia" w:cstheme="minorEastAsia"/>
          <w:b/>
          <w:bCs/>
          <w:sz w:val="24"/>
        </w:rPr>
      </w:pPr>
      <w:bookmarkStart w:id="59" w:name="_Toc403122505"/>
      <w:bookmarkStart w:id="60" w:name="_Toc274249588"/>
      <w:bookmarkStart w:id="61" w:name="_Toc279599784"/>
      <w:bookmarkStart w:id="62" w:name="_Toc426369493"/>
      <w:r>
        <w:rPr>
          <w:rFonts w:hint="eastAsia" w:asciiTheme="minorEastAsia" w:hAnsiTheme="minorEastAsia" w:eastAsiaTheme="minorEastAsia" w:cstheme="minorEastAsia"/>
          <w:b/>
          <w:bCs/>
          <w:sz w:val="24"/>
        </w:rPr>
        <w:t>2.2 招标文件的澄清</w:t>
      </w:r>
      <w:bookmarkEnd w:id="59"/>
      <w:bookmarkEnd w:id="60"/>
      <w:bookmarkEnd w:id="61"/>
      <w:bookmarkEnd w:id="62"/>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2.2.1 供应商应仔细阅读和检查招标文件的全部内容。如发现缺页或附件不全，应及时向采购人提出，以便补齐。如有疑问，应在供应商须知前附表规定的时间前以书面形式（包括信函、电报、传真等可以有形地表现所载内容的形式，下同），要求采购人对招标文件予以澄清。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2.2.2 招标文件的澄清将在供应商须知前附表规定的投标截止时间15天前以书面形式发给所有购买招标文件的供应商，但不指明澄清问题的来源。如果澄清发出的时间距投标截止时间不足 15 天，</w:t>
      </w:r>
      <w:r>
        <w:rPr>
          <w:rFonts w:hint="eastAsia" w:asciiTheme="minorEastAsia" w:hAnsiTheme="minorEastAsia" w:eastAsiaTheme="minorEastAsia" w:cstheme="minorEastAsia"/>
          <w:color w:val="C00000"/>
          <w:szCs w:val="21"/>
        </w:rPr>
        <w:t>相</w:t>
      </w:r>
      <w:r>
        <w:rPr>
          <w:rFonts w:hint="eastAsia" w:asciiTheme="minorEastAsia" w:hAnsiTheme="minorEastAsia" w:eastAsiaTheme="minorEastAsia" w:cstheme="minorEastAsia"/>
          <w:szCs w:val="21"/>
        </w:rPr>
        <w:t xml:space="preserve">应延长投标截止时间。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2.2.3 供应商在收到澄清后，应在供应商须知前附表规定的时间内以书面形式通知采购人，确认已收到该澄清。 </w:t>
      </w:r>
    </w:p>
    <w:p>
      <w:pPr>
        <w:spacing w:line="500" w:lineRule="exact"/>
        <w:ind w:firstLine="482" w:firstLineChars="200"/>
        <w:rPr>
          <w:rFonts w:asciiTheme="minorEastAsia" w:hAnsiTheme="minorEastAsia" w:eastAsiaTheme="minorEastAsia" w:cstheme="minorEastAsia"/>
          <w:b/>
          <w:bCs/>
          <w:sz w:val="24"/>
        </w:rPr>
      </w:pPr>
      <w:bookmarkStart w:id="63" w:name="_Toc426369494"/>
      <w:bookmarkStart w:id="64" w:name="_Toc274249589"/>
      <w:bookmarkStart w:id="65" w:name="_Toc279599785"/>
      <w:bookmarkStart w:id="66" w:name="_Toc403122506"/>
      <w:r>
        <w:rPr>
          <w:rFonts w:hint="eastAsia" w:asciiTheme="minorEastAsia" w:hAnsiTheme="minorEastAsia" w:eastAsiaTheme="minorEastAsia" w:cstheme="minorEastAsia"/>
          <w:b/>
          <w:bCs/>
          <w:sz w:val="24"/>
        </w:rPr>
        <w:t>2.3 招标文件的修改</w:t>
      </w:r>
      <w:bookmarkEnd w:id="63"/>
      <w:bookmarkEnd w:id="64"/>
      <w:bookmarkEnd w:id="65"/>
      <w:bookmarkEnd w:id="66"/>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2.3.1  在投标截止时间 15天前，采购人可以书面形式修改招标文件，并通知所有已购买招标文件的供应商。如果修改招标文件的时间距投标截止时间不足 15 天，相应延长投标截止时间。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2.3.2  供应商收到修改内容后，应在供应商须知前附表规定的时间内以书面形式通知采购人，确认已收到该修改。 </w:t>
      </w:r>
      <w:bookmarkStart w:id="67" w:name="_Toc23265"/>
      <w:bookmarkStart w:id="68" w:name="_Toc426369495"/>
      <w:bookmarkStart w:id="69" w:name="_Toc403122507"/>
    </w:p>
    <w:p>
      <w:pPr>
        <w:pStyle w:val="35"/>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70" w:name="_Toc13865"/>
      <w:r>
        <w:rPr>
          <w:rFonts w:hint="eastAsia" w:asciiTheme="minorEastAsia" w:hAnsiTheme="minorEastAsia" w:eastAsiaTheme="minorEastAsia" w:cstheme="minorEastAsia"/>
          <w:sz w:val="24"/>
          <w:szCs w:val="24"/>
        </w:rPr>
        <w:t>3. 投标文件</w:t>
      </w:r>
      <w:bookmarkEnd w:id="67"/>
      <w:bookmarkEnd w:id="68"/>
      <w:bookmarkEnd w:id="69"/>
      <w:bookmarkEnd w:id="70"/>
      <w:r>
        <w:rPr>
          <w:rFonts w:hint="eastAsia" w:asciiTheme="minorEastAsia" w:hAnsiTheme="minorEastAsia" w:eastAsiaTheme="minorEastAsia" w:cstheme="minorEastAsia"/>
          <w:sz w:val="24"/>
          <w:szCs w:val="24"/>
        </w:rPr>
        <w:t xml:space="preserve"> </w:t>
      </w:r>
    </w:p>
    <w:p>
      <w:pPr>
        <w:spacing w:line="500" w:lineRule="exact"/>
        <w:ind w:firstLine="482" w:firstLineChars="200"/>
        <w:rPr>
          <w:rFonts w:asciiTheme="minorEastAsia" w:hAnsiTheme="minorEastAsia" w:eastAsiaTheme="minorEastAsia" w:cstheme="minorEastAsia"/>
          <w:b/>
          <w:bCs/>
          <w:sz w:val="24"/>
        </w:rPr>
      </w:pPr>
      <w:bookmarkStart w:id="71" w:name="_Toc426369496"/>
      <w:bookmarkStart w:id="72" w:name="_Toc403122508"/>
      <w:bookmarkStart w:id="73" w:name="_Toc274249591"/>
      <w:bookmarkStart w:id="74" w:name="_Toc279599787"/>
      <w:r>
        <w:rPr>
          <w:rFonts w:hint="eastAsia" w:asciiTheme="minorEastAsia" w:hAnsiTheme="minorEastAsia" w:eastAsiaTheme="minorEastAsia" w:cstheme="minorEastAsia"/>
          <w:b/>
          <w:bCs/>
          <w:sz w:val="24"/>
        </w:rPr>
        <w:t>3.1 投标文件的组成</w:t>
      </w:r>
      <w:bookmarkEnd w:id="71"/>
      <w:bookmarkEnd w:id="72"/>
      <w:bookmarkEnd w:id="73"/>
      <w:bookmarkEnd w:id="74"/>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3.1.1 投标文件应包括下列内容： </w:t>
      </w:r>
    </w:p>
    <w:p>
      <w:pPr>
        <w:spacing w:line="440" w:lineRule="exact"/>
        <w:ind w:firstLine="420" w:firstLineChars="200"/>
        <w:rPr>
          <w:rFonts w:ascii="宋体" w:hAnsi="宋体" w:cs="宋体"/>
          <w:szCs w:val="21"/>
        </w:rPr>
      </w:pPr>
      <w:bookmarkStart w:id="75" w:name="_Toc274249592"/>
      <w:bookmarkStart w:id="76" w:name="_Toc426369497"/>
      <w:bookmarkStart w:id="77" w:name="_Toc279599788"/>
      <w:bookmarkStart w:id="78" w:name="_Toc403122509"/>
      <w:r>
        <w:rPr>
          <w:rFonts w:hint="eastAsia" w:ascii="宋体" w:hAnsi="宋体" w:cs="宋体"/>
          <w:szCs w:val="21"/>
        </w:rPr>
        <w:t>一、投标函及开标一览表</w:t>
      </w:r>
    </w:p>
    <w:p>
      <w:pPr>
        <w:spacing w:line="440" w:lineRule="exact"/>
        <w:ind w:firstLine="420" w:firstLineChars="200"/>
        <w:rPr>
          <w:rFonts w:ascii="宋体" w:hAnsi="宋体" w:cs="宋体"/>
          <w:szCs w:val="21"/>
        </w:rPr>
      </w:pPr>
      <w:r>
        <w:rPr>
          <w:rFonts w:hint="eastAsia" w:ascii="宋体" w:hAnsi="宋体" w:cs="宋体"/>
          <w:szCs w:val="21"/>
        </w:rPr>
        <w:t>（一）投标函</w:t>
      </w:r>
    </w:p>
    <w:p>
      <w:pPr>
        <w:spacing w:line="440" w:lineRule="exact"/>
        <w:ind w:firstLine="420" w:firstLineChars="200"/>
        <w:rPr>
          <w:rFonts w:ascii="宋体" w:hAnsi="宋体" w:cs="宋体"/>
          <w:szCs w:val="21"/>
        </w:rPr>
      </w:pPr>
      <w:r>
        <w:rPr>
          <w:rFonts w:hint="eastAsia" w:ascii="宋体" w:hAnsi="宋体" w:cs="宋体"/>
          <w:szCs w:val="21"/>
        </w:rPr>
        <w:t>（二）开标一览表</w:t>
      </w:r>
    </w:p>
    <w:p>
      <w:pPr>
        <w:spacing w:line="440" w:lineRule="exact"/>
        <w:ind w:firstLine="420" w:firstLineChars="200"/>
        <w:rPr>
          <w:rFonts w:ascii="宋体" w:hAnsi="宋体" w:cs="宋体"/>
          <w:szCs w:val="21"/>
        </w:rPr>
      </w:pPr>
      <w:r>
        <w:rPr>
          <w:rFonts w:hint="eastAsia" w:ascii="宋体" w:hAnsi="宋体" w:cs="宋体"/>
          <w:szCs w:val="21"/>
        </w:rPr>
        <w:t>（三）报价明细表</w:t>
      </w:r>
    </w:p>
    <w:p>
      <w:pPr>
        <w:spacing w:line="440" w:lineRule="exact"/>
        <w:ind w:firstLine="420" w:firstLineChars="200"/>
        <w:rPr>
          <w:rFonts w:ascii="宋体" w:hAnsi="宋体" w:cs="宋体"/>
          <w:color w:val="FF0000"/>
          <w:szCs w:val="21"/>
        </w:rPr>
      </w:pPr>
      <w:r>
        <w:rPr>
          <w:rFonts w:hint="eastAsia" w:ascii="宋体" w:hAnsi="宋体" w:cs="宋体"/>
          <w:szCs w:val="21"/>
        </w:rPr>
        <w:t>二、</w:t>
      </w:r>
      <w:r>
        <w:rPr>
          <w:rFonts w:hint="eastAsia" w:asciiTheme="minorEastAsia" w:hAnsiTheme="minorEastAsia" w:eastAsiaTheme="minorEastAsia" w:cstheme="minorEastAsia"/>
          <w:color w:val="auto"/>
          <w:szCs w:val="21"/>
        </w:rPr>
        <w:t>法定代表人</w:t>
      </w:r>
      <w:r>
        <w:rPr>
          <w:rFonts w:hint="eastAsia" w:ascii="宋体" w:hAnsi="宋体" w:cs="宋体"/>
          <w:color w:val="auto"/>
          <w:szCs w:val="21"/>
        </w:rPr>
        <w:t>身份证明书</w:t>
      </w:r>
    </w:p>
    <w:p>
      <w:pPr>
        <w:spacing w:line="440" w:lineRule="exact"/>
        <w:ind w:firstLine="420" w:firstLineChars="200"/>
        <w:rPr>
          <w:rFonts w:ascii="宋体" w:hAnsi="宋体" w:cs="宋体"/>
          <w:szCs w:val="21"/>
        </w:rPr>
      </w:pPr>
      <w:r>
        <w:rPr>
          <w:rFonts w:hint="eastAsia" w:ascii="宋体" w:hAnsi="宋体" w:cs="宋体"/>
          <w:szCs w:val="21"/>
        </w:rPr>
        <w:t>三、授权委托书</w:t>
      </w:r>
    </w:p>
    <w:p>
      <w:pPr>
        <w:spacing w:line="440" w:lineRule="exact"/>
        <w:ind w:firstLine="420" w:firstLineChars="200"/>
        <w:rPr>
          <w:rFonts w:ascii="宋体" w:hAnsi="宋体" w:cs="宋体"/>
          <w:szCs w:val="21"/>
        </w:rPr>
      </w:pPr>
      <w:r>
        <w:rPr>
          <w:rFonts w:hint="eastAsia" w:ascii="宋体" w:hAnsi="宋体" w:cs="宋体"/>
          <w:szCs w:val="21"/>
        </w:rPr>
        <w:t>四、 投标承诺函</w:t>
      </w:r>
    </w:p>
    <w:p>
      <w:pPr>
        <w:spacing w:line="440" w:lineRule="exact"/>
        <w:ind w:firstLine="420" w:firstLineChars="200"/>
        <w:rPr>
          <w:rFonts w:ascii="宋体" w:hAnsi="宋体" w:cs="宋体"/>
          <w:szCs w:val="21"/>
        </w:rPr>
      </w:pPr>
      <w:r>
        <w:rPr>
          <w:rFonts w:hint="eastAsia" w:ascii="宋体" w:hAnsi="宋体" w:cs="宋体"/>
          <w:szCs w:val="21"/>
        </w:rPr>
        <w:t>五、项目实施方案</w:t>
      </w:r>
    </w:p>
    <w:p>
      <w:pPr>
        <w:spacing w:line="440" w:lineRule="exact"/>
        <w:ind w:firstLine="420" w:firstLineChars="200"/>
        <w:rPr>
          <w:rFonts w:ascii="宋体" w:hAnsi="宋体" w:cs="宋体"/>
          <w:szCs w:val="21"/>
        </w:rPr>
      </w:pPr>
      <w:r>
        <w:rPr>
          <w:rFonts w:hint="eastAsia" w:ascii="宋体" w:hAnsi="宋体" w:cs="宋体"/>
          <w:szCs w:val="21"/>
        </w:rPr>
        <w:t>六、技术偏离表</w:t>
      </w:r>
    </w:p>
    <w:p>
      <w:pPr>
        <w:spacing w:line="440" w:lineRule="exact"/>
        <w:ind w:firstLine="420" w:firstLineChars="200"/>
        <w:rPr>
          <w:rFonts w:ascii="宋体" w:hAnsi="宋体" w:cs="宋体"/>
          <w:szCs w:val="21"/>
        </w:rPr>
      </w:pPr>
      <w:r>
        <w:rPr>
          <w:rFonts w:hint="eastAsia" w:ascii="宋体" w:hAnsi="宋体" w:cs="宋体"/>
          <w:szCs w:val="21"/>
        </w:rPr>
        <w:t>七、资格证明文件</w:t>
      </w:r>
    </w:p>
    <w:p>
      <w:pPr>
        <w:spacing w:line="440" w:lineRule="exact"/>
        <w:ind w:firstLine="420" w:firstLineChars="200"/>
        <w:rPr>
          <w:rFonts w:ascii="宋体" w:hAnsi="宋体" w:cs="宋体"/>
          <w:szCs w:val="21"/>
        </w:rPr>
      </w:pPr>
      <w:r>
        <w:rPr>
          <w:rFonts w:hint="eastAsia" w:ascii="宋体" w:hAnsi="宋体" w:cs="宋体"/>
          <w:szCs w:val="21"/>
        </w:rPr>
        <w:t>八、开标日前六个月内任一个月的依法缴纳税收的相关证明、开标日前六个月内任一个月的依法缴纳社会保障资金的相关证明、开标日前六个月内任一个月的资产负债表或损益表或年度财务会计报表或会计事务所出具的审计报告</w:t>
      </w:r>
    </w:p>
    <w:p>
      <w:pPr>
        <w:spacing w:line="440" w:lineRule="exact"/>
        <w:ind w:firstLine="420" w:firstLineChars="200"/>
        <w:rPr>
          <w:rFonts w:ascii="宋体" w:hAnsi="宋体" w:cs="宋体"/>
          <w:szCs w:val="21"/>
        </w:rPr>
      </w:pPr>
      <w:r>
        <w:rPr>
          <w:rFonts w:hint="eastAsia" w:ascii="宋体" w:hAnsi="宋体" w:cs="宋体"/>
          <w:szCs w:val="21"/>
        </w:rPr>
        <w:t>九、参加政府采购活动前三年内无重大违法记录的书面声明</w:t>
      </w:r>
    </w:p>
    <w:p>
      <w:pPr>
        <w:spacing w:line="440" w:lineRule="exact"/>
        <w:ind w:firstLine="420" w:firstLineChars="200"/>
        <w:rPr>
          <w:rFonts w:ascii="宋体" w:hAnsi="宋体" w:cs="宋体"/>
          <w:szCs w:val="21"/>
        </w:rPr>
      </w:pPr>
      <w:r>
        <w:rPr>
          <w:rFonts w:hint="eastAsia" w:ascii="宋体" w:hAnsi="宋体" w:cs="宋体"/>
          <w:szCs w:val="21"/>
        </w:rPr>
        <w:t>十、供应商所投产品属于当期政府采购清单规定的节能环保产品的证明材料</w:t>
      </w:r>
    </w:p>
    <w:p>
      <w:pPr>
        <w:spacing w:line="440" w:lineRule="exact"/>
        <w:ind w:firstLine="420" w:firstLineChars="200"/>
        <w:rPr>
          <w:rFonts w:ascii="宋体" w:hAnsi="宋体" w:cs="宋体"/>
          <w:szCs w:val="21"/>
        </w:rPr>
      </w:pPr>
      <w:r>
        <w:rPr>
          <w:rFonts w:hint="eastAsia" w:ascii="宋体" w:hAnsi="宋体" w:cs="宋体"/>
          <w:szCs w:val="21"/>
        </w:rPr>
        <w:t>十一、中小企业声明函（如有）</w:t>
      </w:r>
    </w:p>
    <w:p>
      <w:pPr>
        <w:spacing w:line="440" w:lineRule="exact"/>
        <w:ind w:firstLine="420" w:firstLineChars="200"/>
        <w:rPr>
          <w:rFonts w:ascii="宋体" w:hAnsi="宋体" w:cs="宋体"/>
          <w:szCs w:val="21"/>
        </w:rPr>
      </w:pPr>
      <w:r>
        <w:rPr>
          <w:rFonts w:hint="eastAsia" w:ascii="宋体" w:hAnsi="宋体" w:cs="宋体"/>
          <w:szCs w:val="21"/>
        </w:rPr>
        <w:t>十二、残疾人福利性单位声明函（如有）</w:t>
      </w:r>
    </w:p>
    <w:p>
      <w:pPr>
        <w:spacing w:line="440" w:lineRule="exact"/>
        <w:ind w:firstLine="420" w:firstLineChars="200"/>
        <w:rPr>
          <w:rFonts w:ascii="宋体" w:hAnsi="宋体" w:cs="宋体"/>
          <w:color w:val="0000FF"/>
          <w:szCs w:val="21"/>
        </w:rPr>
      </w:pPr>
      <w:r>
        <w:rPr>
          <w:rFonts w:hint="eastAsia" w:ascii="宋体" w:hAnsi="宋体" w:cs="宋体"/>
          <w:szCs w:val="21"/>
        </w:rPr>
        <w:t>十三、健康承诺书</w:t>
      </w:r>
    </w:p>
    <w:p>
      <w:pPr>
        <w:spacing w:line="440" w:lineRule="exact"/>
        <w:ind w:firstLine="420" w:firstLineChars="200"/>
        <w:rPr>
          <w:rFonts w:ascii="宋体" w:hAnsi="宋体" w:cs="宋体"/>
          <w:szCs w:val="21"/>
        </w:rPr>
      </w:pPr>
      <w:r>
        <w:rPr>
          <w:rFonts w:hint="eastAsia" w:ascii="宋体" w:hAnsi="宋体" w:cs="宋体"/>
          <w:szCs w:val="21"/>
        </w:rPr>
        <w:t>十四、招标文件要求的或投标人认为须提交的其他材料</w:t>
      </w:r>
    </w:p>
    <w:p>
      <w:pPr>
        <w:spacing w:line="50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投标报价</w:t>
      </w:r>
      <w:bookmarkEnd w:id="75"/>
      <w:bookmarkEnd w:id="76"/>
      <w:bookmarkEnd w:id="77"/>
      <w:bookmarkEnd w:id="78"/>
      <w:r>
        <w:rPr>
          <w:rFonts w:hint="eastAsia" w:asciiTheme="minorEastAsia" w:hAnsiTheme="minorEastAsia" w:eastAsiaTheme="minorEastAsia" w:cstheme="minorEastAsia"/>
          <w:b/>
          <w:bCs/>
          <w:sz w:val="24"/>
        </w:rPr>
        <w:t xml:space="preserve"> </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3.2.1</w:t>
      </w:r>
      <w:r>
        <w:rPr>
          <w:rFonts w:hint="eastAsia" w:asciiTheme="minorEastAsia" w:hAnsiTheme="minorEastAsia" w:eastAsiaTheme="minorEastAsia" w:cstheme="minorEastAsia"/>
          <w:b/>
          <w:szCs w:val="21"/>
        </w:rPr>
        <w:t>投标报价包括：</w:t>
      </w:r>
      <w:r>
        <w:rPr>
          <w:rFonts w:hint="eastAsia" w:asciiTheme="minorEastAsia" w:hAnsiTheme="minorEastAsia" w:eastAsiaTheme="minorEastAsia" w:cstheme="minorEastAsia"/>
          <w:szCs w:val="21"/>
        </w:rPr>
        <w:t>货物本身的费用、包装费、运输费、装卸费、运输过程保险费、安装费、质量保证费、相关的伴随服务费、货物本身已支付或将支付的各种税费以及其它交付使用前的所有费用。</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3.2.2投标报价在中标后不得修改。</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3.2.3供应商只能提出一个不变价格，采购人不接受任何选择价。</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3.2.4供应商必须对招标范围内的所有货物投标，不允许只对其中一种或几种货物投标。</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3.2.5全部报价均应以人民币为计量币种，并以人民币进行结算。</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3.2.6投标报价原则是各供应商依据自身实力、管理水平，结合企业所在地区的人工工资标准，在确保项目质量，确保项目成本的基础上，自主报价、自负盈亏。</w:t>
      </w:r>
    </w:p>
    <w:p>
      <w:pPr>
        <w:widowControl/>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500" w:lineRule="exact"/>
        <w:ind w:firstLine="482" w:firstLineChars="200"/>
        <w:rPr>
          <w:rFonts w:asciiTheme="minorEastAsia" w:hAnsiTheme="minorEastAsia" w:eastAsiaTheme="minorEastAsia" w:cstheme="minorEastAsia"/>
          <w:b/>
          <w:bCs/>
          <w:sz w:val="24"/>
        </w:rPr>
      </w:pPr>
      <w:bookmarkStart w:id="79" w:name="_Toc274249593"/>
      <w:bookmarkStart w:id="80" w:name="_Toc426369498"/>
      <w:bookmarkStart w:id="81" w:name="_Toc279599789"/>
      <w:bookmarkStart w:id="82" w:name="_Toc403122510"/>
      <w:r>
        <w:rPr>
          <w:rFonts w:hint="eastAsia" w:asciiTheme="minorEastAsia" w:hAnsiTheme="minorEastAsia" w:eastAsiaTheme="minorEastAsia" w:cstheme="minorEastAsia"/>
          <w:b/>
          <w:bCs/>
          <w:sz w:val="24"/>
        </w:rPr>
        <w:t>3.3 投标有效期</w:t>
      </w:r>
      <w:bookmarkEnd w:id="79"/>
      <w:bookmarkEnd w:id="80"/>
      <w:bookmarkEnd w:id="81"/>
      <w:bookmarkEnd w:id="82"/>
      <w:r>
        <w:rPr>
          <w:rFonts w:hint="eastAsia" w:asciiTheme="minorEastAsia" w:hAnsiTheme="minorEastAsia" w:eastAsiaTheme="minorEastAsia" w:cstheme="minorEastAsia"/>
          <w:b/>
          <w:bCs/>
          <w:sz w:val="24"/>
        </w:rPr>
        <w:t xml:space="preserve"> </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3.3.1在供应商须知前附表规定的投标有效期内，供应商不得要求撤销或修改其投标文件。 </w:t>
      </w:r>
    </w:p>
    <w:p>
      <w:pPr>
        <w:spacing w:line="500" w:lineRule="exact"/>
        <w:ind w:firstLine="482" w:firstLineChars="200"/>
        <w:rPr>
          <w:rFonts w:asciiTheme="minorEastAsia" w:hAnsiTheme="minorEastAsia" w:eastAsiaTheme="minorEastAsia" w:cstheme="minorEastAsia"/>
          <w:b/>
          <w:bCs/>
          <w:sz w:val="24"/>
        </w:rPr>
      </w:pPr>
      <w:bookmarkStart w:id="83" w:name="_Toc274249595"/>
      <w:bookmarkStart w:id="84" w:name="_Toc403122512"/>
      <w:bookmarkStart w:id="85" w:name="_Toc426369501"/>
      <w:bookmarkStart w:id="86" w:name="_Toc279599791"/>
      <w:r>
        <w:rPr>
          <w:rFonts w:hint="eastAsia" w:asciiTheme="minorEastAsia" w:hAnsiTheme="minorEastAsia" w:eastAsiaTheme="minorEastAsia" w:cstheme="minorEastAsia"/>
          <w:b/>
          <w:bCs/>
          <w:sz w:val="24"/>
        </w:rPr>
        <w:t>3.5 资格审查资料</w:t>
      </w:r>
      <w:bookmarkEnd w:id="83"/>
      <w:bookmarkEnd w:id="84"/>
      <w:bookmarkEnd w:id="85"/>
      <w:bookmarkEnd w:id="86"/>
      <w:r>
        <w:rPr>
          <w:rFonts w:hint="eastAsia" w:asciiTheme="minorEastAsia" w:hAnsiTheme="minorEastAsia" w:eastAsiaTheme="minorEastAsia" w:cstheme="minorEastAsia"/>
          <w:b/>
          <w:bCs/>
          <w:sz w:val="24"/>
        </w:rPr>
        <w:t xml:space="preserve"> </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3.5.1应附企业法人营业执照、税务登记证、组织机构代码证或三证合一的营业执照的复印件。 </w:t>
      </w:r>
    </w:p>
    <w:p>
      <w:pPr>
        <w:spacing w:line="420" w:lineRule="exact"/>
        <w:ind w:firstLine="420" w:firstLineChars="200"/>
        <w:rPr>
          <w:rFonts w:asciiTheme="minorEastAsia" w:hAnsiTheme="minorEastAsia" w:eastAsiaTheme="minorEastAsia" w:cstheme="minorEastAsia"/>
          <w:szCs w:val="21"/>
        </w:rPr>
      </w:pPr>
      <w:r>
        <w:rPr>
          <w:rFonts w:hint="eastAsia" w:ascii="宋体" w:hAnsi="宋体" w:cs="宋体"/>
          <w:szCs w:val="21"/>
        </w:rPr>
        <w:t>3.5.2招标文件规定的供应商资格条件。</w:t>
      </w:r>
      <w:r>
        <w:rPr>
          <w:rFonts w:hint="eastAsia" w:asciiTheme="minorEastAsia" w:hAnsiTheme="minorEastAsia" w:eastAsiaTheme="minorEastAsia" w:cstheme="minorEastAsia"/>
          <w:szCs w:val="21"/>
        </w:rPr>
        <w:t xml:space="preserve">  </w:t>
      </w:r>
    </w:p>
    <w:p>
      <w:pPr>
        <w:spacing w:line="500" w:lineRule="exact"/>
        <w:ind w:firstLine="482" w:firstLineChars="200"/>
        <w:rPr>
          <w:rFonts w:asciiTheme="minorEastAsia" w:hAnsiTheme="minorEastAsia" w:eastAsiaTheme="minorEastAsia" w:cstheme="minorEastAsia"/>
          <w:b/>
          <w:bCs/>
          <w:sz w:val="24"/>
        </w:rPr>
      </w:pPr>
      <w:bookmarkStart w:id="87" w:name="_Toc279599792"/>
      <w:bookmarkStart w:id="88" w:name="_Toc403122513"/>
      <w:bookmarkStart w:id="89" w:name="_Toc274249596"/>
      <w:bookmarkStart w:id="90" w:name="_Toc426369502"/>
      <w:r>
        <w:rPr>
          <w:rFonts w:hint="eastAsia" w:asciiTheme="minorEastAsia" w:hAnsiTheme="minorEastAsia" w:eastAsiaTheme="minorEastAsia" w:cstheme="minorEastAsia"/>
          <w:b/>
          <w:bCs/>
          <w:sz w:val="24"/>
        </w:rPr>
        <w:t>3.6 备选投标方案</w:t>
      </w:r>
      <w:bookmarkEnd w:id="87"/>
      <w:bookmarkEnd w:id="88"/>
      <w:bookmarkEnd w:id="89"/>
      <w:bookmarkEnd w:id="90"/>
      <w:r>
        <w:rPr>
          <w:rFonts w:hint="eastAsia" w:asciiTheme="minorEastAsia" w:hAnsiTheme="minorEastAsia" w:eastAsiaTheme="minorEastAsia" w:cstheme="minorEastAsia"/>
          <w:b/>
          <w:bCs/>
          <w:sz w:val="24"/>
        </w:rPr>
        <w:t xml:space="preserve">    </w:t>
      </w:r>
    </w:p>
    <w:p>
      <w:pPr>
        <w:tabs>
          <w:tab w:val="left" w:pos="3570"/>
        </w:tabs>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供应商不得递交备选投标方案。 </w:t>
      </w:r>
    </w:p>
    <w:p>
      <w:pPr>
        <w:spacing w:line="500" w:lineRule="exact"/>
        <w:ind w:firstLine="482" w:firstLineChars="200"/>
        <w:rPr>
          <w:rFonts w:asciiTheme="minorEastAsia" w:hAnsiTheme="minorEastAsia" w:eastAsiaTheme="minorEastAsia" w:cstheme="minorEastAsia"/>
          <w:b/>
          <w:bCs/>
          <w:sz w:val="24"/>
        </w:rPr>
      </w:pPr>
      <w:bookmarkStart w:id="91" w:name="_Toc274249597"/>
      <w:bookmarkStart w:id="92" w:name="_Toc279599793"/>
      <w:bookmarkStart w:id="93" w:name="_Toc426369503"/>
      <w:bookmarkStart w:id="94" w:name="_Toc403122514"/>
      <w:r>
        <w:rPr>
          <w:rFonts w:hint="eastAsia" w:asciiTheme="minorEastAsia" w:hAnsiTheme="minorEastAsia" w:eastAsiaTheme="minorEastAsia" w:cstheme="minorEastAsia"/>
          <w:b/>
          <w:bCs/>
          <w:sz w:val="24"/>
        </w:rPr>
        <w:t>3.7 投标文件的编制</w:t>
      </w:r>
      <w:bookmarkEnd w:id="91"/>
      <w:bookmarkEnd w:id="92"/>
      <w:bookmarkEnd w:id="93"/>
      <w:bookmarkEnd w:id="94"/>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3.7.1 投标文件应按招标文件中要求的“投标文件格式”进行编写，如有必要，可以增加附页，作为投标文件的组成部分。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3.7.2  投标文件应当对招标文件有关项目完成期、投标有效期、质量要求、采购需求及参数、采购内容等实质性内容作出响应。</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rPr>
        <w:t>3.7.3 投标文件应用不褪</w:t>
      </w:r>
      <w:r>
        <w:rPr>
          <w:rFonts w:hint="eastAsia" w:asciiTheme="minorEastAsia" w:hAnsiTheme="minorEastAsia" w:eastAsiaTheme="minorEastAsia" w:cstheme="minorEastAsia"/>
          <w:color w:val="auto"/>
          <w:szCs w:val="21"/>
        </w:rPr>
        <w:t>色的材料书写或打印，并由供应商的法定代表人</w:t>
      </w:r>
      <w:r>
        <w:rPr>
          <w:rFonts w:hint="eastAsia" w:asciiTheme="minorEastAsia" w:hAnsiTheme="minorEastAsia" w:eastAsiaTheme="minorEastAsia" w:cstheme="minorEastAsia"/>
          <w:color w:val="auto"/>
          <w:kern w:val="0"/>
          <w:szCs w:val="21"/>
        </w:rPr>
        <w:t>或委托代理人签字并盖单位公章</w:t>
      </w:r>
      <w:r>
        <w:rPr>
          <w:rFonts w:hint="eastAsia" w:asciiTheme="minorEastAsia" w:hAnsiTheme="minorEastAsia" w:eastAsiaTheme="minorEastAsia" w:cstheme="minorEastAsia"/>
          <w:color w:val="auto"/>
          <w:szCs w:val="21"/>
        </w:rPr>
        <w:t>。投标文件应尽量避免涂改、行间插字或删除。如果出现上述情况，改动之处应加盖</w:t>
      </w:r>
      <w:r>
        <w:rPr>
          <w:rFonts w:hint="eastAsia" w:asciiTheme="minorEastAsia" w:hAnsiTheme="minorEastAsia" w:eastAsiaTheme="minorEastAsia" w:cstheme="minorEastAsia"/>
          <w:color w:val="auto"/>
          <w:kern w:val="0"/>
          <w:szCs w:val="21"/>
        </w:rPr>
        <w:t>单位公章</w:t>
      </w:r>
      <w:r>
        <w:rPr>
          <w:rFonts w:hint="eastAsia" w:asciiTheme="minorEastAsia" w:hAnsiTheme="minorEastAsia" w:eastAsiaTheme="minorEastAsia" w:cstheme="minorEastAsia"/>
          <w:color w:val="auto"/>
          <w:szCs w:val="21"/>
        </w:rPr>
        <w:t xml:space="preserve">并由供应商的法定代表人或其授权的代理人签字确认。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3.7.4  投标文件正本、 副本份数见供应商须知前附表。正本和副本的封面上应清楚地标记“正本”或“副本”的字样。当副本和正本不一致时，以正本为准。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3.7.5  投标文件的正本与副本应分别装订成册，并编制目录，具体装订要求见供应商须知前附表规定。 </w:t>
      </w:r>
    </w:p>
    <w:p>
      <w:pPr>
        <w:pStyle w:val="35"/>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95" w:name="_Toc30100"/>
      <w:bookmarkStart w:id="96" w:name="_Toc403122515"/>
      <w:bookmarkStart w:id="97" w:name="_Toc426369504"/>
      <w:bookmarkStart w:id="98" w:name="_Toc26998"/>
      <w:r>
        <w:rPr>
          <w:rFonts w:hint="eastAsia" w:asciiTheme="minorEastAsia" w:hAnsiTheme="minorEastAsia" w:eastAsiaTheme="minorEastAsia" w:cstheme="minorEastAsia"/>
          <w:sz w:val="24"/>
          <w:szCs w:val="24"/>
        </w:rPr>
        <w:t>4. 投标</w:t>
      </w:r>
      <w:bookmarkEnd w:id="95"/>
      <w:bookmarkEnd w:id="96"/>
      <w:bookmarkEnd w:id="97"/>
      <w:bookmarkEnd w:id="98"/>
      <w:r>
        <w:rPr>
          <w:rFonts w:hint="eastAsia" w:asciiTheme="minorEastAsia" w:hAnsiTheme="minorEastAsia" w:eastAsiaTheme="minorEastAsia" w:cstheme="minorEastAsia"/>
          <w:sz w:val="24"/>
          <w:szCs w:val="24"/>
        </w:rPr>
        <w:t xml:space="preserve"> </w:t>
      </w:r>
    </w:p>
    <w:p>
      <w:pPr>
        <w:spacing w:line="500" w:lineRule="exact"/>
        <w:ind w:firstLine="482" w:firstLineChars="200"/>
        <w:rPr>
          <w:rFonts w:asciiTheme="minorEastAsia" w:hAnsiTheme="minorEastAsia" w:eastAsiaTheme="minorEastAsia" w:cstheme="minorEastAsia"/>
          <w:b/>
          <w:bCs/>
          <w:sz w:val="24"/>
        </w:rPr>
      </w:pPr>
      <w:bookmarkStart w:id="99" w:name="_Toc403122516"/>
      <w:bookmarkStart w:id="100" w:name="_Toc426369505"/>
      <w:bookmarkStart w:id="101" w:name="_Toc279599795"/>
      <w:bookmarkStart w:id="102" w:name="_Toc274249599"/>
      <w:r>
        <w:rPr>
          <w:rFonts w:hint="eastAsia" w:asciiTheme="minorEastAsia" w:hAnsiTheme="minorEastAsia" w:eastAsiaTheme="minorEastAsia" w:cstheme="minorEastAsia"/>
          <w:b/>
          <w:bCs/>
          <w:sz w:val="24"/>
        </w:rPr>
        <w:t>4.1 投标文件的密封和标记</w:t>
      </w:r>
      <w:bookmarkEnd w:id="99"/>
      <w:bookmarkEnd w:id="100"/>
      <w:bookmarkEnd w:id="101"/>
      <w:bookmarkEnd w:id="102"/>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4.1.1 投标文件的正本、副本、电子版应分开包装，并在密封处加盖供应商单位公章。</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4.1.2  投标文件的封套上应清楚地标记“正本”、“副本”或“电子版”字样，封套上应写明其他内容见供应商须知前附表。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4.1.3  未按本章第 4.1.1 项或第 4.1.2 项要求密封和加写标记的投标文件，采购人不予受理。 </w:t>
      </w:r>
    </w:p>
    <w:p>
      <w:pPr>
        <w:spacing w:line="500" w:lineRule="exact"/>
        <w:ind w:firstLine="482" w:firstLineChars="200"/>
        <w:rPr>
          <w:rFonts w:asciiTheme="minorEastAsia" w:hAnsiTheme="minorEastAsia" w:eastAsiaTheme="minorEastAsia" w:cstheme="minorEastAsia"/>
          <w:b/>
          <w:bCs/>
          <w:sz w:val="24"/>
        </w:rPr>
      </w:pPr>
      <w:bookmarkStart w:id="103" w:name="_Toc426369506"/>
      <w:bookmarkStart w:id="104" w:name="_Toc403122517"/>
      <w:bookmarkStart w:id="105" w:name="_Toc279599796"/>
      <w:bookmarkStart w:id="106" w:name="_Toc274249600"/>
      <w:r>
        <w:rPr>
          <w:rFonts w:hint="eastAsia" w:asciiTheme="minorEastAsia" w:hAnsiTheme="minorEastAsia" w:eastAsiaTheme="minorEastAsia" w:cstheme="minorEastAsia"/>
          <w:b/>
          <w:bCs/>
          <w:sz w:val="24"/>
        </w:rPr>
        <w:t>4.2 投标文件的递交</w:t>
      </w:r>
      <w:bookmarkEnd w:id="103"/>
      <w:bookmarkEnd w:id="104"/>
      <w:bookmarkEnd w:id="105"/>
      <w:bookmarkEnd w:id="106"/>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4.2.1  供应商应在本章第 2.2.2 项规定的投标截止时间前递交投标文件。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4.2.2  供应商递交投标文件的地点：见供应商须知前附表。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4.2.3  除供应商须知前附表另有规定外，供应商所递交的投标文件不予退还。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4.2.4  逾期送达的或者未送达指定地点的投标文件，采购人不予受理。 </w:t>
      </w:r>
    </w:p>
    <w:p>
      <w:pPr>
        <w:spacing w:line="500" w:lineRule="exact"/>
        <w:ind w:firstLine="482" w:firstLineChars="200"/>
        <w:rPr>
          <w:rFonts w:asciiTheme="minorEastAsia" w:hAnsiTheme="minorEastAsia" w:eastAsiaTheme="minorEastAsia" w:cstheme="minorEastAsia"/>
          <w:b/>
          <w:bCs/>
          <w:sz w:val="24"/>
        </w:rPr>
      </w:pPr>
      <w:bookmarkStart w:id="107" w:name="_Toc279599797"/>
      <w:bookmarkStart w:id="108" w:name="_Toc426369507"/>
      <w:bookmarkStart w:id="109" w:name="_Toc274249601"/>
      <w:bookmarkStart w:id="110" w:name="_Toc403122518"/>
      <w:r>
        <w:rPr>
          <w:rFonts w:hint="eastAsia" w:asciiTheme="minorEastAsia" w:hAnsiTheme="minorEastAsia" w:eastAsiaTheme="minorEastAsia" w:cstheme="minorEastAsia"/>
          <w:b/>
          <w:bCs/>
          <w:sz w:val="24"/>
        </w:rPr>
        <w:t>4.3 投标文件的修改与撤回</w:t>
      </w:r>
      <w:bookmarkEnd w:id="107"/>
      <w:bookmarkEnd w:id="108"/>
      <w:bookmarkEnd w:id="109"/>
      <w:bookmarkEnd w:id="110"/>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4.3.1  在本章第 2.2.2 项规定的投标截止时间前，供应商可以修改或撤回已递交的投标文件，但应以书面形式通知采购人。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4.3.2  供应商修改或撤回已递交投标文件的书面通知应按照本章第 3.7.3 项的要求签字盖章。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4.3.3  修改的内容为投标文件的组成部分。修改的投标文件应按照本章第 3 条、第 4 条规定进行编制、密封、标记和递交，并标明“修改”字样。 </w:t>
      </w:r>
    </w:p>
    <w:p>
      <w:pPr>
        <w:pStyle w:val="35"/>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11" w:name="_Toc403122519"/>
      <w:bookmarkStart w:id="112" w:name="_Toc18170"/>
      <w:bookmarkStart w:id="113" w:name="_Toc426369508"/>
      <w:bookmarkStart w:id="114" w:name="_Toc32449"/>
      <w:r>
        <w:rPr>
          <w:rFonts w:hint="eastAsia" w:asciiTheme="minorEastAsia" w:hAnsiTheme="minorEastAsia" w:eastAsiaTheme="minorEastAsia" w:cstheme="minorEastAsia"/>
          <w:sz w:val="24"/>
          <w:szCs w:val="24"/>
        </w:rPr>
        <w:t>5. 开标</w:t>
      </w:r>
      <w:bookmarkEnd w:id="111"/>
      <w:bookmarkEnd w:id="112"/>
      <w:bookmarkEnd w:id="113"/>
      <w:bookmarkEnd w:id="114"/>
      <w:r>
        <w:rPr>
          <w:rFonts w:hint="eastAsia" w:asciiTheme="minorEastAsia" w:hAnsiTheme="minorEastAsia" w:eastAsiaTheme="minorEastAsia" w:cstheme="minorEastAsia"/>
          <w:sz w:val="24"/>
          <w:szCs w:val="24"/>
        </w:rPr>
        <w:t xml:space="preserve">   </w:t>
      </w:r>
    </w:p>
    <w:p>
      <w:pPr>
        <w:spacing w:line="500" w:lineRule="exact"/>
        <w:ind w:firstLine="482" w:firstLineChars="200"/>
        <w:rPr>
          <w:rFonts w:asciiTheme="minorEastAsia" w:hAnsiTheme="minorEastAsia" w:eastAsiaTheme="minorEastAsia" w:cstheme="minorEastAsia"/>
          <w:b/>
          <w:bCs/>
          <w:sz w:val="24"/>
        </w:rPr>
      </w:pPr>
      <w:bookmarkStart w:id="115" w:name="_Toc426369509"/>
      <w:bookmarkStart w:id="116" w:name="_Toc279599799"/>
      <w:bookmarkStart w:id="117" w:name="_Toc274249603"/>
      <w:bookmarkStart w:id="118" w:name="_Toc403122520"/>
      <w:r>
        <w:rPr>
          <w:rFonts w:hint="eastAsia" w:asciiTheme="minorEastAsia" w:hAnsiTheme="minorEastAsia" w:eastAsiaTheme="minorEastAsia" w:cstheme="minorEastAsia"/>
          <w:b/>
          <w:bCs/>
          <w:sz w:val="24"/>
        </w:rPr>
        <w:t>5.1 开标时间和地点</w:t>
      </w:r>
      <w:bookmarkEnd w:id="115"/>
      <w:bookmarkEnd w:id="116"/>
      <w:bookmarkEnd w:id="117"/>
      <w:bookmarkEnd w:id="118"/>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采购人在本章第 2.2.2 项规定的投标截止时间（开标时间）和供应商须知前附表规定的地点公开开标。</w:t>
      </w:r>
    </w:p>
    <w:p>
      <w:pPr>
        <w:spacing w:line="500" w:lineRule="exact"/>
        <w:ind w:firstLine="482" w:firstLineChars="200"/>
        <w:rPr>
          <w:rFonts w:asciiTheme="minorEastAsia" w:hAnsiTheme="minorEastAsia" w:eastAsiaTheme="minorEastAsia" w:cstheme="minorEastAsia"/>
          <w:b/>
          <w:bCs/>
          <w:sz w:val="24"/>
        </w:rPr>
      </w:pPr>
      <w:bookmarkStart w:id="119" w:name="_Toc426369510"/>
      <w:bookmarkStart w:id="120" w:name="_Toc274249604"/>
      <w:bookmarkStart w:id="121" w:name="_Toc279599800"/>
      <w:bookmarkStart w:id="122" w:name="_Toc403122521"/>
      <w:r>
        <w:rPr>
          <w:rFonts w:hint="eastAsia" w:asciiTheme="minorEastAsia" w:hAnsiTheme="minorEastAsia" w:eastAsiaTheme="minorEastAsia" w:cstheme="minorEastAsia"/>
          <w:b/>
          <w:bCs/>
          <w:sz w:val="24"/>
        </w:rPr>
        <w:t>5.2 开标程序</w:t>
      </w:r>
      <w:bookmarkEnd w:id="119"/>
      <w:bookmarkEnd w:id="120"/>
      <w:bookmarkEnd w:id="121"/>
      <w:bookmarkEnd w:id="122"/>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主持人按下列程序进行开标：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（1）宣布开标纪律；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（2）公布在投标截止时间前递交投标文件的供应商名称，并确认供应商是否派人到场；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（3）介绍与会人员；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（4）按照供应商须知前附表规定对投标单位的投标文件密封等情况进行查验；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（5）按供应商签到的逆顺序当众开标，并记录在案；</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（6）采购人对开标过程进行记录，并存档备查；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（7）开标结束。 </w:t>
      </w:r>
    </w:p>
    <w:p>
      <w:pPr>
        <w:spacing w:line="500" w:lineRule="exact"/>
        <w:ind w:firstLine="482" w:firstLineChars="200"/>
        <w:rPr>
          <w:rFonts w:asciiTheme="minorEastAsia" w:hAnsiTheme="minorEastAsia" w:eastAsiaTheme="minorEastAsia" w:cstheme="minorEastAsia"/>
          <w:b/>
          <w:bCs/>
          <w:sz w:val="24"/>
        </w:rPr>
      </w:pPr>
      <w:bookmarkStart w:id="123" w:name="_Toc426369511"/>
      <w:r>
        <w:rPr>
          <w:rFonts w:hint="eastAsia" w:asciiTheme="minorEastAsia" w:hAnsiTheme="minorEastAsia" w:eastAsiaTheme="minorEastAsia" w:cstheme="minorEastAsia"/>
          <w:b/>
          <w:bCs/>
          <w:sz w:val="24"/>
        </w:rPr>
        <w:t>5.3开标异议</w:t>
      </w:r>
      <w:bookmarkEnd w:id="123"/>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供应商对开标有异议的，应当在开标现场提出，采购人当场作出答复，并制作记录。</w:t>
      </w:r>
    </w:p>
    <w:p>
      <w:pPr>
        <w:pStyle w:val="35"/>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24" w:name="_Toc403122522"/>
      <w:bookmarkStart w:id="125" w:name="_Toc21662"/>
      <w:bookmarkStart w:id="126" w:name="_Toc426369512"/>
      <w:bookmarkStart w:id="127" w:name="_Toc12881"/>
      <w:r>
        <w:rPr>
          <w:rFonts w:hint="eastAsia" w:asciiTheme="minorEastAsia" w:hAnsiTheme="minorEastAsia" w:eastAsiaTheme="minorEastAsia" w:cstheme="minorEastAsia"/>
          <w:sz w:val="24"/>
          <w:szCs w:val="24"/>
        </w:rPr>
        <w:t>6. 评标</w:t>
      </w:r>
      <w:bookmarkEnd w:id="124"/>
      <w:bookmarkEnd w:id="125"/>
      <w:bookmarkEnd w:id="126"/>
      <w:bookmarkEnd w:id="127"/>
      <w:r>
        <w:rPr>
          <w:rFonts w:hint="eastAsia" w:asciiTheme="minorEastAsia" w:hAnsiTheme="minorEastAsia" w:eastAsiaTheme="minorEastAsia" w:cstheme="minorEastAsia"/>
          <w:sz w:val="24"/>
          <w:szCs w:val="24"/>
        </w:rPr>
        <w:t xml:space="preserve"> </w:t>
      </w:r>
    </w:p>
    <w:p>
      <w:pPr>
        <w:spacing w:line="500" w:lineRule="exact"/>
        <w:ind w:firstLine="482" w:firstLineChars="200"/>
        <w:rPr>
          <w:rFonts w:asciiTheme="minorEastAsia" w:hAnsiTheme="minorEastAsia" w:eastAsiaTheme="minorEastAsia" w:cstheme="minorEastAsia"/>
          <w:b/>
          <w:bCs/>
          <w:sz w:val="24"/>
        </w:rPr>
      </w:pPr>
      <w:bookmarkStart w:id="128" w:name="_Toc426369513"/>
      <w:bookmarkStart w:id="129" w:name="_Toc279599802"/>
      <w:bookmarkStart w:id="130" w:name="_Toc274249606"/>
      <w:bookmarkStart w:id="131" w:name="_Toc403122523"/>
      <w:r>
        <w:rPr>
          <w:rFonts w:hint="eastAsia" w:asciiTheme="minorEastAsia" w:hAnsiTheme="minorEastAsia" w:eastAsiaTheme="minorEastAsia" w:cstheme="minorEastAsia"/>
          <w:b/>
          <w:bCs/>
          <w:sz w:val="24"/>
        </w:rPr>
        <w:t>6.1 评标委员会</w:t>
      </w:r>
      <w:bookmarkEnd w:id="128"/>
      <w:bookmarkEnd w:id="129"/>
      <w:bookmarkEnd w:id="130"/>
      <w:bookmarkEnd w:id="131"/>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6.1.1  评标由采购人依法组建的评标委员会负责。评标委员会由采购人代表和评审专家组成。评标委员会成员人数以及评审专家的确定方式见供应商须知前附表。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6.1.2  评标委员会成员有下列情形之一的，应当回避：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（1）采购人或供应商的主要负责人的近亲属；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（2）项目主管部门或者行政监督部门的人员；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（3）与供应商有经济利益关系，可能影响对投标公正评审的；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（4）曾因在招标、评标以及其他与招标投标有关活动中从事违法行为而受过行政处罚或刑事处罚的。 </w:t>
      </w:r>
    </w:p>
    <w:p>
      <w:pPr>
        <w:spacing w:line="500" w:lineRule="exact"/>
        <w:ind w:firstLine="482" w:firstLineChars="200"/>
        <w:rPr>
          <w:rFonts w:asciiTheme="minorEastAsia" w:hAnsiTheme="minorEastAsia" w:eastAsiaTheme="minorEastAsia" w:cstheme="minorEastAsia"/>
          <w:b/>
          <w:bCs/>
          <w:sz w:val="24"/>
        </w:rPr>
      </w:pPr>
      <w:bookmarkStart w:id="132" w:name="_Toc426369514"/>
      <w:bookmarkStart w:id="133" w:name="_Toc403122524"/>
      <w:bookmarkStart w:id="134" w:name="_Toc279599803"/>
      <w:bookmarkStart w:id="135" w:name="_Toc274249607"/>
      <w:r>
        <w:rPr>
          <w:rFonts w:hint="eastAsia" w:asciiTheme="minorEastAsia" w:hAnsiTheme="minorEastAsia" w:eastAsiaTheme="minorEastAsia" w:cstheme="minorEastAsia"/>
          <w:b/>
          <w:bCs/>
          <w:sz w:val="24"/>
        </w:rPr>
        <w:t>6.2 评标原则</w:t>
      </w:r>
      <w:bookmarkEnd w:id="132"/>
      <w:bookmarkEnd w:id="133"/>
      <w:bookmarkEnd w:id="134"/>
      <w:bookmarkEnd w:id="135"/>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评标活动遵循公平、公正、科学和择优的原则。 </w:t>
      </w:r>
    </w:p>
    <w:p>
      <w:pPr>
        <w:spacing w:line="500" w:lineRule="exact"/>
        <w:ind w:firstLine="482" w:firstLineChars="200"/>
        <w:rPr>
          <w:rFonts w:asciiTheme="minorEastAsia" w:hAnsiTheme="minorEastAsia" w:eastAsiaTheme="minorEastAsia" w:cstheme="minorEastAsia"/>
          <w:b/>
          <w:bCs/>
          <w:sz w:val="24"/>
        </w:rPr>
      </w:pPr>
      <w:bookmarkStart w:id="136" w:name="_Toc279599804"/>
      <w:bookmarkStart w:id="137" w:name="_Toc274249608"/>
      <w:bookmarkStart w:id="138" w:name="_Toc403122525"/>
      <w:bookmarkStart w:id="139" w:name="_Toc426369515"/>
      <w:r>
        <w:rPr>
          <w:rFonts w:hint="eastAsia" w:asciiTheme="minorEastAsia" w:hAnsiTheme="minorEastAsia" w:eastAsiaTheme="minorEastAsia" w:cstheme="minorEastAsia"/>
          <w:b/>
          <w:bCs/>
          <w:sz w:val="24"/>
        </w:rPr>
        <w:t>6.3 评标</w:t>
      </w:r>
      <w:bookmarkEnd w:id="136"/>
      <w:bookmarkEnd w:id="137"/>
      <w:bookmarkEnd w:id="138"/>
      <w:bookmarkEnd w:id="139"/>
      <w:r>
        <w:rPr>
          <w:rFonts w:hint="eastAsia" w:asciiTheme="minorEastAsia" w:hAnsiTheme="minorEastAsia" w:eastAsiaTheme="minorEastAsia" w:cstheme="minorEastAsia"/>
          <w:b/>
          <w:bCs/>
          <w:sz w:val="24"/>
        </w:rPr>
        <w:t xml:space="preserve"> </w:t>
      </w:r>
    </w:p>
    <w:p>
      <w:pPr>
        <w:pStyle w:val="95"/>
        <w:spacing w:line="400" w:lineRule="exact"/>
        <w:ind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6.3.1资格性审查：采购人或代理机构根据有关法律法规和招标文件的规定，对供应商的资格进行审查，审查每个供应商提交的资格证明材料是否齐全、完整、合法、有效。资格性审查通过不足3家的，将不再进行下一步评审。</w:t>
      </w:r>
    </w:p>
    <w:p>
      <w:pPr>
        <w:pStyle w:val="95"/>
        <w:spacing w:line="400" w:lineRule="exact"/>
        <w:ind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6.3.2资格性审查的内容包括：</w:t>
      </w:r>
    </w:p>
    <w:p>
      <w:pPr>
        <w:pStyle w:val="95"/>
        <w:spacing w:line="400" w:lineRule="exact"/>
        <w:ind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（1）招标文件规定的供应商资格条件；</w:t>
      </w:r>
    </w:p>
    <w:p>
      <w:pPr>
        <w:pStyle w:val="95"/>
        <w:spacing w:line="400" w:lineRule="exact"/>
        <w:ind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（2）企业营业执照（副本）、税务登记证（副本）、组织机构代码证（副本）或三证合一的营业执照；信用信息查询记录和证据（网上截图加盖供应商单位公章及法人章）；</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6.3.3.评标委员会按照第三章“评标办法”规定的方法、评审因素、标准和程序对投标文件进行符合性评审和详细评审。第三章“评标办法”没有规定的方法、评审因素和标准，不作为评标依据。 </w:t>
      </w:r>
    </w:p>
    <w:p>
      <w:pPr>
        <w:pStyle w:val="35"/>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40" w:name="_Toc17811"/>
      <w:bookmarkStart w:id="141" w:name="_Toc426369516"/>
      <w:bookmarkStart w:id="142" w:name="_Toc403122526"/>
      <w:bookmarkStart w:id="143" w:name="_Toc26569"/>
      <w:r>
        <w:rPr>
          <w:rFonts w:hint="eastAsia" w:asciiTheme="minorEastAsia" w:hAnsiTheme="minorEastAsia" w:eastAsiaTheme="minorEastAsia" w:cstheme="minorEastAsia"/>
          <w:sz w:val="24"/>
          <w:szCs w:val="24"/>
        </w:rPr>
        <w:t>7. 合同授予</w:t>
      </w:r>
      <w:bookmarkEnd w:id="140"/>
      <w:bookmarkEnd w:id="141"/>
      <w:bookmarkEnd w:id="142"/>
      <w:bookmarkEnd w:id="143"/>
      <w:r>
        <w:rPr>
          <w:rFonts w:hint="eastAsia" w:asciiTheme="minorEastAsia" w:hAnsiTheme="minorEastAsia" w:eastAsiaTheme="minorEastAsia" w:cstheme="minorEastAsia"/>
          <w:sz w:val="24"/>
          <w:szCs w:val="24"/>
        </w:rPr>
        <w:t xml:space="preserve"> </w:t>
      </w:r>
    </w:p>
    <w:p>
      <w:pPr>
        <w:spacing w:line="500" w:lineRule="exact"/>
        <w:ind w:firstLine="482" w:firstLineChars="200"/>
        <w:rPr>
          <w:rFonts w:asciiTheme="minorEastAsia" w:hAnsiTheme="minorEastAsia" w:eastAsiaTheme="minorEastAsia" w:cstheme="minorEastAsia"/>
          <w:b/>
          <w:bCs/>
          <w:sz w:val="24"/>
        </w:rPr>
      </w:pPr>
      <w:bookmarkStart w:id="144" w:name="_Toc426369517"/>
      <w:bookmarkStart w:id="145" w:name="_Toc279599806"/>
      <w:bookmarkStart w:id="146" w:name="_Toc274249610"/>
      <w:bookmarkStart w:id="147" w:name="_Toc403122527"/>
      <w:r>
        <w:rPr>
          <w:rFonts w:hint="eastAsia" w:asciiTheme="minorEastAsia" w:hAnsiTheme="minorEastAsia" w:eastAsiaTheme="minorEastAsia" w:cstheme="minorEastAsia"/>
          <w:b/>
          <w:bCs/>
          <w:sz w:val="24"/>
        </w:rPr>
        <w:t>7.1 定标方式</w:t>
      </w:r>
      <w:bookmarkEnd w:id="144"/>
      <w:bookmarkEnd w:id="145"/>
      <w:bookmarkEnd w:id="146"/>
      <w:bookmarkEnd w:id="147"/>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采购人依据评标委员会推荐的中标候选人确定中标人，评标委员会推荐中标人候选人的人数见供应商须知前附表。</w:t>
      </w:r>
    </w:p>
    <w:p>
      <w:pPr>
        <w:spacing w:line="500" w:lineRule="exact"/>
        <w:ind w:firstLine="482" w:firstLineChars="200"/>
        <w:rPr>
          <w:rFonts w:asciiTheme="minorEastAsia" w:hAnsiTheme="minorEastAsia" w:eastAsiaTheme="minorEastAsia" w:cstheme="minorEastAsia"/>
          <w:b/>
          <w:bCs/>
          <w:sz w:val="24"/>
        </w:rPr>
      </w:pPr>
      <w:bookmarkStart w:id="148" w:name="_Toc279599807"/>
      <w:bookmarkStart w:id="149" w:name="_Toc426369518"/>
      <w:bookmarkStart w:id="150" w:name="_Toc403122528"/>
      <w:bookmarkStart w:id="151" w:name="_Toc274249611"/>
      <w:r>
        <w:rPr>
          <w:rFonts w:hint="eastAsia" w:asciiTheme="minorEastAsia" w:hAnsiTheme="minorEastAsia" w:eastAsiaTheme="minorEastAsia" w:cstheme="minorEastAsia"/>
          <w:b/>
          <w:bCs/>
          <w:sz w:val="24"/>
        </w:rPr>
        <w:t>7.2 中标通知</w:t>
      </w:r>
      <w:bookmarkEnd w:id="148"/>
      <w:bookmarkEnd w:id="149"/>
      <w:bookmarkEnd w:id="150"/>
      <w:bookmarkEnd w:id="151"/>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7.2.1 在本章第3.3款规定的投标有效期内，采购人以书面形式向中标人发出中标通知书，同时将中标结果通知未中标的投标人。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7.2.2中标人在领取中标通知书后应及时到相关部门办理中标后的备案手续。</w:t>
      </w:r>
    </w:p>
    <w:p>
      <w:pPr>
        <w:spacing w:line="500" w:lineRule="exact"/>
        <w:ind w:firstLine="482" w:firstLineChars="200"/>
        <w:rPr>
          <w:rFonts w:asciiTheme="minorEastAsia" w:hAnsiTheme="minorEastAsia" w:eastAsiaTheme="minorEastAsia" w:cstheme="minorEastAsia"/>
          <w:b/>
          <w:bCs/>
          <w:sz w:val="24"/>
        </w:rPr>
      </w:pPr>
      <w:bookmarkStart w:id="152" w:name="_Toc274249612"/>
      <w:bookmarkStart w:id="153" w:name="_Toc311550376"/>
      <w:bookmarkStart w:id="154" w:name="_Toc279599808"/>
      <w:bookmarkStart w:id="155" w:name="_Toc403122529"/>
      <w:bookmarkStart w:id="156" w:name="_Toc426369519"/>
      <w:r>
        <w:rPr>
          <w:rFonts w:hint="eastAsia" w:asciiTheme="minorEastAsia" w:hAnsiTheme="minorEastAsia" w:eastAsiaTheme="minorEastAsia" w:cstheme="minorEastAsia"/>
          <w:b/>
          <w:bCs/>
          <w:sz w:val="24"/>
        </w:rPr>
        <w:t>7.3 履约</w:t>
      </w:r>
      <w:bookmarkEnd w:id="152"/>
      <w:bookmarkEnd w:id="153"/>
      <w:bookmarkEnd w:id="154"/>
      <w:r>
        <w:rPr>
          <w:rFonts w:hint="eastAsia" w:asciiTheme="minorEastAsia" w:hAnsiTheme="minorEastAsia" w:eastAsiaTheme="minorEastAsia" w:cstheme="minorEastAsia"/>
          <w:b/>
          <w:bCs/>
          <w:sz w:val="24"/>
        </w:rPr>
        <w:t>保证金</w:t>
      </w:r>
      <w:bookmarkEnd w:id="155"/>
      <w:bookmarkEnd w:id="156"/>
      <w:r>
        <w:rPr>
          <w:rFonts w:hint="eastAsia" w:asciiTheme="minorEastAsia" w:hAnsiTheme="minorEastAsia" w:eastAsiaTheme="minorEastAsia" w:cstheme="minorEastAsia"/>
          <w:b/>
          <w:bCs/>
          <w:sz w:val="24"/>
        </w:rPr>
        <w:t xml:space="preserve"> </w:t>
      </w:r>
    </w:p>
    <w:p>
      <w:pPr>
        <w:spacing w:line="500" w:lineRule="exact"/>
        <w:ind w:firstLine="420" w:firstLineChars="200"/>
        <w:rPr>
          <w:rFonts w:asciiTheme="minorEastAsia" w:hAnsiTheme="minorEastAsia" w:eastAsiaTheme="minorEastAsia" w:cstheme="minorEastAsia"/>
          <w:szCs w:val="21"/>
        </w:rPr>
      </w:pPr>
      <w:bookmarkStart w:id="157" w:name="_Toc279599809"/>
      <w:bookmarkStart w:id="158" w:name="_Toc403122530"/>
      <w:bookmarkStart w:id="159" w:name="_Toc274249613"/>
      <w:bookmarkStart w:id="160" w:name="_Toc426369520"/>
      <w:r>
        <w:rPr>
          <w:rFonts w:hint="eastAsia" w:asciiTheme="minorEastAsia" w:hAnsiTheme="minorEastAsia" w:eastAsiaTheme="minorEastAsia" w:cstheme="minorEastAsia"/>
          <w:szCs w:val="21"/>
        </w:rPr>
        <w:t>无</w:t>
      </w:r>
    </w:p>
    <w:p>
      <w:pPr>
        <w:spacing w:line="50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7.4 签订合同</w:t>
      </w:r>
      <w:bookmarkEnd w:id="157"/>
      <w:bookmarkEnd w:id="158"/>
      <w:bookmarkEnd w:id="159"/>
      <w:bookmarkEnd w:id="160"/>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7.4.1  中标人的投标报价为中标价，中标价即为合同价</w:t>
      </w:r>
      <w:r>
        <w:rPr>
          <w:rFonts w:hint="eastAsia" w:ascii="宋体" w:hAnsi="宋体" w:cs="宋体"/>
          <w:szCs w:val="21"/>
        </w:rPr>
        <w:t>（当中标人的投标报价高于控制价的95%时，该中标人的中标价按控制价的95%执行）</w:t>
      </w:r>
      <w:r>
        <w:rPr>
          <w:rFonts w:hint="eastAsia" w:asciiTheme="minorEastAsia" w:hAnsiTheme="minorEastAsia" w:eastAsiaTheme="minorEastAsia" w:cstheme="minorEastAsia"/>
          <w:szCs w:val="21"/>
        </w:rPr>
        <w:t>。采购人和中标人应当自中标通知书发出之日起</w:t>
      </w:r>
      <w:r>
        <w:rPr>
          <w:rFonts w:hint="eastAsia" w:asciiTheme="minorEastAsia" w:hAnsiTheme="minorEastAsia" w:eastAsiaTheme="minorEastAsia" w:cstheme="minorEastAsia"/>
          <w:color w:val="0070C0"/>
          <w:szCs w:val="21"/>
          <w:lang w:val="en-US" w:eastAsia="zh-CN"/>
        </w:rPr>
        <w:t>15</w:t>
      </w:r>
      <w:r>
        <w:rPr>
          <w:rFonts w:hint="eastAsia" w:asciiTheme="minorEastAsia" w:hAnsiTheme="minorEastAsia" w:eastAsiaTheme="minorEastAsia" w:cstheme="minorEastAsia"/>
          <w:color w:val="0070C0"/>
          <w:szCs w:val="21"/>
        </w:rPr>
        <w:t>日内</w:t>
      </w:r>
      <w:r>
        <w:rPr>
          <w:rFonts w:hint="eastAsia" w:asciiTheme="minorEastAsia" w:hAnsiTheme="minorEastAsia" w:eastAsiaTheme="minorEastAsia" w:cstheme="minorEastAsia"/>
          <w:szCs w:val="21"/>
        </w:rPr>
        <w:t>，根据招标文件和中标人的投标文件订立书面合同。中标人无正当理由拒签合同的，采购人取消其中标资格；给采购人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7.4.2  发出中标通知书后，采购人无正当理由拒签合同的，给中标人造成损失的，还应当赔偿损失。</w:t>
      </w:r>
    </w:p>
    <w:p>
      <w:pPr>
        <w:pStyle w:val="35"/>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61" w:name="_Toc10541"/>
      <w:bookmarkStart w:id="162" w:name="_Toc426369521"/>
      <w:bookmarkStart w:id="163" w:name="_Toc30009"/>
      <w:bookmarkStart w:id="164" w:name="_Toc403122531"/>
      <w:r>
        <w:rPr>
          <w:rFonts w:hint="eastAsia" w:asciiTheme="minorEastAsia" w:hAnsiTheme="minorEastAsia" w:eastAsiaTheme="minorEastAsia" w:cstheme="minorEastAsia"/>
          <w:sz w:val="24"/>
          <w:szCs w:val="24"/>
        </w:rPr>
        <w:t>8. 重新招标</w:t>
      </w:r>
      <w:bookmarkEnd w:id="161"/>
      <w:bookmarkEnd w:id="162"/>
      <w:bookmarkEnd w:id="163"/>
      <w:bookmarkEnd w:id="164"/>
    </w:p>
    <w:p>
      <w:pPr>
        <w:spacing w:line="500" w:lineRule="exact"/>
        <w:ind w:firstLine="482" w:firstLineChars="200"/>
        <w:rPr>
          <w:rFonts w:asciiTheme="minorEastAsia" w:hAnsiTheme="minorEastAsia" w:eastAsiaTheme="minorEastAsia" w:cstheme="minorEastAsia"/>
          <w:b/>
          <w:bCs/>
          <w:sz w:val="24"/>
        </w:rPr>
      </w:pPr>
      <w:bookmarkStart w:id="165" w:name="_Toc274249615"/>
      <w:bookmarkStart w:id="166" w:name="_Toc426369522"/>
      <w:bookmarkStart w:id="167" w:name="_Toc403122532"/>
      <w:bookmarkStart w:id="168" w:name="_Toc279599811"/>
      <w:r>
        <w:rPr>
          <w:rFonts w:hint="eastAsia" w:asciiTheme="minorEastAsia" w:hAnsiTheme="minorEastAsia" w:eastAsiaTheme="minorEastAsia" w:cstheme="minorEastAsia"/>
          <w:b/>
          <w:bCs/>
          <w:sz w:val="24"/>
        </w:rPr>
        <w:t>8.1 重新招标</w:t>
      </w:r>
      <w:bookmarkEnd w:id="165"/>
      <w:bookmarkEnd w:id="166"/>
      <w:bookmarkEnd w:id="167"/>
      <w:bookmarkEnd w:id="168"/>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有下列情形之一的，采购人将重新招标：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（1）投标截止时间止，供应商少于3个的；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（2）经评标委员会评审后否决所有投标的。 </w:t>
      </w:r>
    </w:p>
    <w:p>
      <w:pPr>
        <w:pStyle w:val="35"/>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69" w:name="_Toc426369523"/>
      <w:bookmarkStart w:id="170" w:name="_Toc10372"/>
      <w:bookmarkStart w:id="171" w:name="_Toc3760"/>
      <w:bookmarkStart w:id="172" w:name="_Toc403122533"/>
      <w:r>
        <w:rPr>
          <w:rFonts w:hint="eastAsia" w:asciiTheme="minorEastAsia" w:hAnsiTheme="minorEastAsia" w:eastAsiaTheme="minorEastAsia" w:cstheme="minorEastAsia"/>
          <w:sz w:val="24"/>
          <w:szCs w:val="24"/>
        </w:rPr>
        <w:t>9. 纪律和监督</w:t>
      </w:r>
      <w:bookmarkEnd w:id="169"/>
      <w:bookmarkEnd w:id="170"/>
      <w:bookmarkEnd w:id="171"/>
      <w:bookmarkEnd w:id="172"/>
      <w:r>
        <w:rPr>
          <w:rFonts w:hint="eastAsia" w:asciiTheme="minorEastAsia" w:hAnsiTheme="minorEastAsia" w:eastAsiaTheme="minorEastAsia" w:cstheme="minorEastAsia"/>
          <w:sz w:val="24"/>
          <w:szCs w:val="24"/>
        </w:rPr>
        <w:t xml:space="preserve"> </w:t>
      </w:r>
    </w:p>
    <w:p>
      <w:pPr>
        <w:spacing w:line="500" w:lineRule="exact"/>
        <w:ind w:firstLine="482" w:firstLineChars="200"/>
        <w:rPr>
          <w:rFonts w:asciiTheme="minorEastAsia" w:hAnsiTheme="minorEastAsia" w:eastAsiaTheme="minorEastAsia" w:cstheme="minorEastAsia"/>
          <w:b/>
          <w:bCs/>
          <w:sz w:val="24"/>
        </w:rPr>
      </w:pPr>
      <w:bookmarkStart w:id="173" w:name="_Toc279599814"/>
      <w:bookmarkStart w:id="174" w:name="_Toc274249618"/>
      <w:bookmarkStart w:id="175" w:name="_Toc403122534"/>
      <w:bookmarkStart w:id="176" w:name="_Toc426369524"/>
      <w:r>
        <w:rPr>
          <w:rFonts w:hint="eastAsia" w:asciiTheme="minorEastAsia" w:hAnsiTheme="minorEastAsia" w:eastAsiaTheme="minorEastAsia" w:cstheme="minorEastAsia"/>
          <w:b/>
          <w:bCs/>
          <w:sz w:val="24"/>
        </w:rPr>
        <w:t>9.1 对采购人的纪律要求</w:t>
      </w:r>
      <w:bookmarkEnd w:id="173"/>
      <w:bookmarkEnd w:id="174"/>
      <w:bookmarkEnd w:id="175"/>
      <w:bookmarkEnd w:id="176"/>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采购人不得泄漏招标投标活动中应当保密的情况和资料，不得与供应商串通损害国家利益、社会公共利益或者他人合法权益。 </w:t>
      </w:r>
    </w:p>
    <w:p>
      <w:pPr>
        <w:spacing w:line="500" w:lineRule="exact"/>
        <w:ind w:firstLine="482" w:firstLineChars="200"/>
        <w:rPr>
          <w:rFonts w:asciiTheme="minorEastAsia" w:hAnsiTheme="minorEastAsia" w:eastAsiaTheme="minorEastAsia" w:cstheme="minorEastAsia"/>
          <w:b/>
          <w:bCs/>
          <w:sz w:val="24"/>
        </w:rPr>
      </w:pPr>
      <w:bookmarkStart w:id="177" w:name="_Toc426369525"/>
      <w:bookmarkStart w:id="178" w:name="_Toc403122535"/>
      <w:bookmarkStart w:id="179" w:name="_Toc279599815"/>
      <w:bookmarkStart w:id="180" w:name="_Toc274249619"/>
      <w:r>
        <w:rPr>
          <w:rFonts w:hint="eastAsia" w:asciiTheme="minorEastAsia" w:hAnsiTheme="minorEastAsia" w:eastAsiaTheme="minorEastAsia" w:cstheme="minorEastAsia"/>
          <w:b/>
          <w:bCs/>
          <w:sz w:val="24"/>
        </w:rPr>
        <w:t>9.2 对投标人的纪律要求</w:t>
      </w:r>
      <w:bookmarkEnd w:id="177"/>
      <w:bookmarkEnd w:id="178"/>
      <w:bookmarkEnd w:id="179"/>
      <w:bookmarkEnd w:id="180"/>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500" w:lineRule="exact"/>
        <w:ind w:firstLine="482" w:firstLineChars="200"/>
        <w:rPr>
          <w:rFonts w:asciiTheme="minorEastAsia" w:hAnsiTheme="minorEastAsia" w:eastAsiaTheme="minorEastAsia" w:cstheme="minorEastAsia"/>
          <w:b/>
          <w:bCs/>
          <w:sz w:val="24"/>
        </w:rPr>
      </w:pPr>
      <w:bookmarkStart w:id="181" w:name="_Toc274249620"/>
      <w:bookmarkStart w:id="182" w:name="_Toc279599816"/>
      <w:bookmarkStart w:id="183" w:name="_Toc403122536"/>
      <w:bookmarkStart w:id="184" w:name="_Toc426369526"/>
      <w:r>
        <w:rPr>
          <w:rFonts w:hint="eastAsia" w:asciiTheme="minorEastAsia" w:hAnsiTheme="minorEastAsia" w:eastAsiaTheme="minorEastAsia" w:cstheme="minorEastAsia"/>
          <w:b/>
          <w:bCs/>
          <w:sz w:val="24"/>
        </w:rPr>
        <w:t>9.3 对评标委员会成员的纪律要求</w:t>
      </w:r>
      <w:bookmarkEnd w:id="181"/>
      <w:bookmarkEnd w:id="182"/>
      <w:bookmarkEnd w:id="183"/>
      <w:bookmarkEnd w:id="184"/>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500" w:lineRule="exact"/>
        <w:ind w:firstLine="482" w:firstLineChars="200"/>
        <w:rPr>
          <w:rFonts w:asciiTheme="minorEastAsia" w:hAnsiTheme="minorEastAsia" w:eastAsiaTheme="minorEastAsia" w:cstheme="minorEastAsia"/>
          <w:b/>
          <w:bCs/>
          <w:sz w:val="24"/>
        </w:rPr>
      </w:pPr>
      <w:bookmarkStart w:id="185" w:name="_Toc403122537"/>
      <w:bookmarkStart w:id="186" w:name="_Toc426369527"/>
      <w:bookmarkStart w:id="187" w:name="_Toc274249621"/>
      <w:bookmarkStart w:id="188" w:name="_Toc279599817"/>
      <w:r>
        <w:rPr>
          <w:rFonts w:hint="eastAsia" w:asciiTheme="minorEastAsia" w:hAnsiTheme="minorEastAsia" w:eastAsiaTheme="minorEastAsia" w:cstheme="minorEastAsia"/>
          <w:b/>
          <w:bCs/>
          <w:sz w:val="24"/>
        </w:rPr>
        <w:t>9.4 对与评标活动有关的工作人员的纪律要求</w:t>
      </w:r>
      <w:bookmarkEnd w:id="185"/>
      <w:bookmarkEnd w:id="186"/>
      <w:bookmarkEnd w:id="187"/>
      <w:bookmarkEnd w:id="188"/>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500" w:lineRule="exact"/>
        <w:ind w:firstLine="482" w:firstLineChars="200"/>
        <w:rPr>
          <w:rFonts w:asciiTheme="minorEastAsia" w:hAnsiTheme="minorEastAsia" w:eastAsiaTheme="minorEastAsia" w:cstheme="minorEastAsia"/>
          <w:b/>
          <w:bCs/>
          <w:sz w:val="24"/>
        </w:rPr>
      </w:pPr>
      <w:bookmarkStart w:id="189" w:name="_Toc403122538"/>
      <w:bookmarkStart w:id="190" w:name="_Toc426369528"/>
      <w:bookmarkStart w:id="191" w:name="_Toc279599818"/>
      <w:bookmarkStart w:id="192" w:name="_Toc274249622"/>
      <w:r>
        <w:rPr>
          <w:rFonts w:hint="eastAsia" w:asciiTheme="minorEastAsia" w:hAnsiTheme="minorEastAsia" w:eastAsiaTheme="minorEastAsia" w:cstheme="minorEastAsia"/>
          <w:b/>
          <w:bCs/>
          <w:sz w:val="24"/>
        </w:rPr>
        <w:t>9.5 投诉</w:t>
      </w:r>
      <w:bookmarkEnd w:id="189"/>
      <w:bookmarkEnd w:id="190"/>
      <w:bookmarkEnd w:id="191"/>
      <w:bookmarkEnd w:id="192"/>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供应商和其他利害关系人认为本次招标活动违反法律、法规和规章规定的，有权向有关行政监督部门投诉。 </w:t>
      </w:r>
    </w:p>
    <w:p>
      <w:pPr>
        <w:pStyle w:val="35"/>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93" w:name="_Toc403122539"/>
      <w:bookmarkStart w:id="194" w:name="_Toc13281"/>
      <w:bookmarkStart w:id="195" w:name="_Toc426369529"/>
      <w:bookmarkStart w:id="196" w:name="_Toc10880"/>
      <w:r>
        <w:rPr>
          <w:rFonts w:hint="eastAsia" w:asciiTheme="minorEastAsia" w:hAnsiTheme="minorEastAsia" w:eastAsiaTheme="minorEastAsia" w:cstheme="minorEastAsia"/>
          <w:sz w:val="24"/>
          <w:szCs w:val="24"/>
        </w:rPr>
        <w:t>10. 需要补充的其他内容</w:t>
      </w:r>
      <w:bookmarkEnd w:id="193"/>
      <w:bookmarkEnd w:id="194"/>
      <w:bookmarkEnd w:id="195"/>
      <w:bookmarkEnd w:id="196"/>
      <w:r>
        <w:rPr>
          <w:rFonts w:hint="eastAsia" w:asciiTheme="minorEastAsia" w:hAnsiTheme="minorEastAsia" w:eastAsiaTheme="minorEastAsia" w:cstheme="minorEastAsia"/>
          <w:sz w:val="24"/>
          <w:szCs w:val="24"/>
        </w:rPr>
        <w:t xml:space="preserve"> </w:t>
      </w:r>
    </w:p>
    <w:p>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bCs/>
          <w:szCs w:val="21"/>
        </w:rPr>
        <w:t>需要补充的其他内容：见供应商须知前附表。</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35"/>
        <w:numPr>
          <w:ilvl w:val="0"/>
          <w:numId w:val="3"/>
        </w:numPr>
        <w:spacing w:line="600" w:lineRule="exact"/>
        <w:ind w:right="-63" w:rightChars="-30"/>
        <w:rPr>
          <w:rFonts w:asciiTheme="minorEastAsia" w:hAnsiTheme="minorEastAsia" w:eastAsiaTheme="minorEastAsia" w:cstheme="minorEastAsia"/>
          <w:sz w:val="36"/>
          <w:szCs w:val="36"/>
        </w:rPr>
      </w:pPr>
      <w:bookmarkStart w:id="197" w:name="_Toc426369530"/>
      <w:bookmarkStart w:id="198" w:name="_Toc28433"/>
      <w:bookmarkStart w:id="199" w:name="_Toc403122540"/>
      <w:bookmarkStart w:id="200" w:name="_Toc1253"/>
      <w:r>
        <w:rPr>
          <w:rFonts w:hint="eastAsia" w:asciiTheme="minorEastAsia" w:hAnsiTheme="minorEastAsia" w:eastAsiaTheme="minorEastAsia" w:cstheme="minorEastAsia"/>
          <w:sz w:val="36"/>
          <w:szCs w:val="36"/>
        </w:rPr>
        <w:t>评标办法</w:t>
      </w:r>
      <w:bookmarkEnd w:id="197"/>
      <w:bookmarkEnd w:id="198"/>
      <w:bookmarkEnd w:id="199"/>
      <w:r>
        <w:rPr>
          <w:rFonts w:hint="eastAsia" w:asciiTheme="minorEastAsia" w:hAnsiTheme="minorEastAsia" w:eastAsiaTheme="minorEastAsia" w:cstheme="minorEastAsia"/>
          <w:sz w:val="36"/>
          <w:szCs w:val="36"/>
        </w:rPr>
        <w:t>（综合评分法）</w:t>
      </w:r>
      <w:bookmarkEnd w:id="200"/>
    </w:p>
    <w:p>
      <w:pPr>
        <w:pStyle w:val="96"/>
        <w:spacing w:line="540" w:lineRule="exact"/>
        <w:outlineLvl w:val="2"/>
        <w:rPr>
          <w:rFonts w:asciiTheme="minorEastAsia" w:hAnsiTheme="minorEastAsia" w:eastAsiaTheme="minorEastAsia" w:cstheme="minorEastAsia"/>
          <w:b/>
          <w:bCs/>
          <w:sz w:val="28"/>
          <w:szCs w:val="28"/>
        </w:rPr>
      </w:pPr>
      <w:bookmarkStart w:id="201" w:name="_Toc30933"/>
      <w:bookmarkStart w:id="202" w:name="_Toc17859"/>
      <w:bookmarkStart w:id="203" w:name="_Toc21885"/>
      <w:bookmarkStart w:id="204" w:name="_Toc29947"/>
      <w:bookmarkStart w:id="205" w:name="_Toc16529"/>
      <w:bookmarkStart w:id="206" w:name="_Toc2761070"/>
      <w:r>
        <w:rPr>
          <w:rFonts w:hint="eastAsia" w:asciiTheme="minorEastAsia" w:hAnsiTheme="minorEastAsia" w:eastAsiaTheme="minorEastAsia" w:cstheme="minorEastAsia"/>
          <w:b/>
          <w:bCs/>
          <w:sz w:val="28"/>
          <w:szCs w:val="28"/>
        </w:rPr>
        <w:t>（一）评分办法前附表</w:t>
      </w:r>
      <w:bookmarkEnd w:id="201"/>
      <w:bookmarkEnd w:id="202"/>
      <w:bookmarkEnd w:id="203"/>
      <w:bookmarkEnd w:id="204"/>
    </w:p>
    <w:tbl>
      <w:tblPr>
        <w:tblStyle w:val="39"/>
        <w:tblpPr w:leftFromText="180" w:rightFromText="180" w:vertAnchor="text" w:horzAnchor="page" w:tblpX="1395" w:tblpY="445"/>
        <w:tblOverlap w:val="never"/>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2339"/>
        <w:gridCol w:w="6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3569" w:type="dxa"/>
            <w:gridSpan w:val="2"/>
            <w:vAlign w:val="center"/>
          </w:tcPr>
          <w:p>
            <w:pPr>
              <w:spacing w:line="240" w:lineRule="exact"/>
              <w:jc w:val="center"/>
              <w:rPr>
                <w:rFonts w:ascii="宋体" w:hAnsi="宋体" w:cs="宋体"/>
                <w:b/>
                <w:sz w:val="18"/>
                <w:szCs w:val="18"/>
              </w:rPr>
            </w:pPr>
            <w:r>
              <w:rPr>
                <w:rFonts w:hint="eastAsia" w:ascii="宋体" w:hAnsi="宋体" w:cs="宋体"/>
                <w:b/>
                <w:sz w:val="18"/>
                <w:szCs w:val="18"/>
              </w:rPr>
              <w:t>评审因素</w:t>
            </w:r>
          </w:p>
        </w:tc>
        <w:tc>
          <w:tcPr>
            <w:tcW w:w="6093" w:type="dxa"/>
            <w:vAlign w:val="center"/>
          </w:tcPr>
          <w:p>
            <w:pPr>
              <w:tabs>
                <w:tab w:val="left" w:pos="417"/>
                <w:tab w:val="center" w:pos="2999"/>
              </w:tabs>
              <w:spacing w:line="240" w:lineRule="exact"/>
              <w:jc w:val="left"/>
              <w:rPr>
                <w:rFonts w:ascii="宋体" w:hAnsi="宋体" w:cs="宋体"/>
                <w:b/>
                <w:sz w:val="18"/>
                <w:szCs w:val="18"/>
              </w:rPr>
            </w:pPr>
            <w:r>
              <w:rPr>
                <w:rFonts w:hint="eastAsia" w:ascii="宋体" w:hAnsi="宋体" w:cs="宋体"/>
                <w:b/>
                <w:sz w:val="18"/>
                <w:szCs w:val="18"/>
              </w:rPr>
              <w:tab/>
            </w:r>
            <w:r>
              <w:rPr>
                <w:rFonts w:hint="eastAsia" w:ascii="宋体" w:hAnsi="宋体" w:cs="宋体"/>
                <w:b/>
                <w:sz w:val="18"/>
                <w:szCs w:val="18"/>
              </w:rPr>
              <w:tab/>
            </w:r>
            <w:r>
              <w:rPr>
                <w:rFonts w:hint="eastAsia" w:ascii="宋体" w:hAnsi="宋体" w:cs="宋体"/>
                <w:b/>
                <w:sz w:val="18"/>
                <w:szCs w:val="1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1230" w:type="dxa"/>
            <w:vMerge w:val="restart"/>
            <w:vAlign w:val="center"/>
          </w:tcPr>
          <w:p>
            <w:pPr>
              <w:spacing w:line="240" w:lineRule="exact"/>
              <w:jc w:val="center"/>
              <w:rPr>
                <w:rFonts w:ascii="宋体" w:hAnsi="宋体" w:cs="宋体"/>
                <w:sz w:val="18"/>
                <w:szCs w:val="18"/>
              </w:rPr>
            </w:pPr>
            <w:r>
              <w:rPr>
                <w:rFonts w:hint="eastAsia" w:ascii="宋体" w:hAnsi="宋体" w:cs="宋体"/>
                <w:sz w:val="18"/>
                <w:szCs w:val="18"/>
              </w:rPr>
              <w:t>一、资格评审标准</w:t>
            </w:r>
          </w:p>
        </w:tc>
        <w:tc>
          <w:tcPr>
            <w:tcW w:w="2339" w:type="dxa"/>
            <w:vAlign w:val="center"/>
          </w:tcPr>
          <w:p>
            <w:pPr>
              <w:spacing w:line="240" w:lineRule="exact"/>
              <w:jc w:val="center"/>
              <w:rPr>
                <w:rFonts w:ascii="宋体" w:hAnsi="宋体" w:cs="宋体"/>
                <w:sz w:val="18"/>
                <w:szCs w:val="18"/>
              </w:rPr>
            </w:pPr>
            <w:r>
              <w:rPr>
                <w:rFonts w:hint="eastAsia" w:ascii="宋体" w:hAnsi="宋体" w:cs="宋体"/>
                <w:sz w:val="18"/>
                <w:szCs w:val="18"/>
              </w:rPr>
              <w:t>营业执照、税务登记证、组织机构代码证</w:t>
            </w:r>
          </w:p>
        </w:tc>
        <w:tc>
          <w:tcPr>
            <w:tcW w:w="6093" w:type="dxa"/>
            <w:vAlign w:val="center"/>
          </w:tcPr>
          <w:p>
            <w:pPr>
              <w:spacing w:line="240" w:lineRule="exact"/>
              <w:rPr>
                <w:rFonts w:ascii="宋体" w:hAnsi="宋体" w:cs="宋体"/>
                <w:sz w:val="18"/>
                <w:szCs w:val="18"/>
              </w:rPr>
            </w:pPr>
            <w:r>
              <w:rPr>
                <w:rFonts w:hint="eastAsia" w:ascii="宋体" w:hAnsi="宋体" w:cs="宋体"/>
                <w:sz w:val="18"/>
                <w:szCs w:val="18"/>
              </w:rPr>
              <w:t>具备有效的营业执照（副本）、税务登记证（副本）、组织机构代码证（副本）（或三证合一的营业执照）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trPr>
        <w:tc>
          <w:tcPr>
            <w:tcW w:w="1230" w:type="dxa"/>
            <w:vMerge w:val="continue"/>
            <w:vAlign w:val="center"/>
          </w:tcPr>
          <w:p>
            <w:pPr>
              <w:spacing w:line="240" w:lineRule="exact"/>
              <w:jc w:val="center"/>
              <w:rPr>
                <w:rFonts w:ascii="宋体" w:hAnsi="宋体" w:cs="宋体"/>
                <w:sz w:val="18"/>
                <w:szCs w:val="18"/>
              </w:rPr>
            </w:pPr>
          </w:p>
        </w:tc>
        <w:tc>
          <w:tcPr>
            <w:tcW w:w="2339" w:type="dxa"/>
            <w:vAlign w:val="center"/>
          </w:tcPr>
          <w:p>
            <w:pPr>
              <w:spacing w:line="240" w:lineRule="exact"/>
              <w:jc w:val="center"/>
              <w:rPr>
                <w:rFonts w:ascii="宋体" w:hAnsi="宋体" w:cs="宋体"/>
                <w:sz w:val="18"/>
                <w:szCs w:val="18"/>
              </w:rPr>
            </w:pPr>
            <w:r>
              <w:rPr>
                <w:rFonts w:hint="eastAsia" w:ascii="宋体" w:hAnsi="宋体" w:cs="宋体"/>
                <w:sz w:val="18"/>
                <w:szCs w:val="18"/>
              </w:rPr>
              <w:t>法人代表证明或法人授权委托书</w:t>
            </w:r>
          </w:p>
        </w:tc>
        <w:tc>
          <w:tcPr>
            <w:tcW w:w="6093" w:type="dxa"/>
            <w:vAlign w:val="center"/>
          </w:tcPr>
          <w:p>
            <w:pPr>
              <w:spacing w:line="240" w:lineRule="exact"/>
              <w:rPr>
                <w:rFonts w:ascii="宋体" w:hAnsi="宋体" w:cs="宋体"/>
                <w:sz w:val="18"/>
                <w:szCs w:val="18"/>
              </w:rPr>
            </w:pPr>
            <w:r>
              <w:rPr>
                <w:rFonts w:hint="eastAsia" w:ascii="宋体" w:hAnsi="宋体" w:cs="宋体"/>
                <w:sz w:val="18"/>
                <w:szCs w:val="18"/>
              </w:rPr>
              <w:t>法定代表人证明或法人授权委托书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exact"/>
        </w:trPr>
        <w:tc>
          <w:tcPr>
            <w:tcW w:w="1230" w:type="dxa"/>
            <w:vMerge w:val="continue"/>
            <w:vAlign w:val="center"/>
          </w:tcPr>
          <w:p>
            <w:pPr>
              <w:spacing w:line="240" w:lineRule="exact"/>
              <w:jc w:val="center"/>
              <w:rPr>
                <w:rFonts w:ascii="宋体" w:hAnsi="宋体" w:cs="宋体"/>
                <w:sz w:val="18"/>
                <w:szCs w:val="18"/>
              </w:rPr>
            </w:pPr>
          </w:p>
        </w:tc>
        <w:tc>
          <w:tcPr>
            <w:tcW w:w="2339" w:type="dxa"/>
            <w:vAlign w:val="center"/>
          </w:tcPr>
          <w:p>
            <w:pPr>
              <w:spacing w:line="240" w:lineRule="exact"/>
              <w:jc w:val="center"/>
              <w:rPr>
                <w:rFonts w:ascii="宋体" w:hAnsi="宋体" w:cs="宋体"/>
                <w:sz w:val="18"/>
                <w:szCs w:val="18"/>
              </w:rPr>
            </w:pPr>
            <w:r>
              <w:rPr>
                <w:rFonts w:hint="eastAsia" w:ascii="宋体" w:hAnsi="宋体" w:cs="宋体"/>
                <w:sz w:val="18"/>
                <w:szCs w:val="18"/>
              </w:rPr>
              <w:t>资质要求</w:t>
            </w:r>
          </w:p>
        </w:tc>
        <w:tc>
          <w:tcPr>
            <w:tcW w:w="6093" w:type="dxa"/>
            <w:vAlign w:val="center"/>
          </w:tcPr>
          <w:p>
            <w:pPr>
              <w:spacing w:line="240" w:lineRule="exact"/>
              <w:rPr>
                <w:rFonts w:ascii="宋体" w:hAnsi="宋体" w:cs="宋体"/>
                <w:sz w:val="18"/>
                <w:szCs w:val="18"/>
              </w:rPr>
            </w:pPr>
            <w:r>
              <w:rPr>
                <w:rFonts w:hint="eastAsia" w:ascii="宋体" w:hAnsi="宋体" w:cs="宋体"/>
                <w:sz w:val="18"/>
                <w:szCs w:val="18"/>
              </w:rPr>
              <w:t>符合第二章“供应商须知”第1.4.1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trPr>
        <w:tc>
          <w:tcPr>
            <w:tcW w:w="1230" w:type="dxa"/>
            <w:vMerge w:val="continue"/>
            <w:vAlign w:val="center"/>
          </w:tcPr>
          <w:p>
            <w:pPr>
              <w:spacing w:line="240" w:lineRule="exact"/>
              <w:jc w:val="center"/>
              <w:rPr>
                <w:rFonts w:ascii="宋体" w:hAnsi="宋体" w:cs="宋体"/>
                <w:sz w:val="18"/>
                <w:szCs w:val="18"/>
              </w:rPr>
            </w:pPr>
          </w:p>
        </w:tc>
        <w:tc>
          <w:tcPr>
            <w:tcW w:w="2339" w:type="dxa"/>
            <w:vAlign w:val="center"/>
          </w:tcPr>
          <w:p>
            <w:pPr>
              <w:spacing w:line="240" w:lineRule="exact"/>
              <w:jc w:val="center"/>
              <w:rPr>
                <w:rFonts w:ascii="宋体" w:hAnsi="宋体" w:cs="宋体"/>
                <w:sz w:val="18"/>
                <w:szCs w:val="18"/>
              </w:rPr>
            </w:pPr>
            <w:r>
              <w:rPr>
                <w:rFonts w:hint="eastAsia" w:ascii="宋体" w:hAnsi="宋体" w:cs="宋体"/>
                <w:sz w:val="18"/>
                <w:szCs w:val="18"/>
              </w:rPr>
              <w:t>信誉要求</w:t>
            </w:r>
          </w:p>
        </w:tc>
        <w:tc>
          <w:tcPr>
            <w:tcW w:w="6093" w:type="dxa"/>
            <w:vAlign w:val="center"/>
          </w:tcPr>
          <w:p>
            <w:pPr>
              <w:spacing w:line="240" w:lineRule="exact"/>
              <w:rPr>
                <w:rFonts w:ascii="宋体" w:hAnsi="宋体" w:cs="宋体"/>
                <w:sz w:val="18"/>
                <w:szCs w:val="18"/>
              </w:rPr>
            </w:pPr>
            <w:r>
              <w:rPr>
                <w:rFonts w:hint="eastAsia" w:ascii="宋体" w:hAnsi="宋体" w:cs="宋体"/>
                <w:sz w:val="18"/>
                <w:szCs w:val="18"/>
              </w:rPr>
              <w:t>符合投标人须知前附表1.4.1要求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1230" w:type="dxa"/>
            <w:vMerge w:val="continue"/>
            <w:vAlign w:val="center"/>
          </w:tcPr>
          <w:p>
            <w:pPr>
              <w:spacing w:line="240" w:lineRule="exact"/>
              <w:jc w:val="center"/>
              <w:rPr>
                <w:rFonts w:ascii="宋体" w:hAnsi="宋体" w:cs="宋体"/>
                <w:sz w:val="18"/>
                <w:szCs w:val="18"/>
              </w:rPr>
            </w:pPr>
          </w:p>
        </w:tc>
        <w:tc>
          <w:tcPr>
            <w:tcW w:w="2339" w:type="dxa"/>
            <w:vAlign w:val="center"/>
          </w:tcPr>
          <w:p>
            <w:pPr>
              <w:spacing w:line="240" w:lineRule="exact"/>
              <w:jc w:val="center"/>
              <w:rPr>
                <w:rFonts w:ascii="宋体" w:hAnsi="宋体" w:cs="宋体"/>
                <w:sz w:val="18"/>
                <w:szCs w:val="18"/>
              </w:rPr>
            </w:pPr>
            <w:r>
              <w:rPr>
                <w:rFonts w:hint="eastAsia" w:ascii="宋体" w:hAnsi="宋体" w:cs="宋体"/>
                <w:sz w:val="18"/>
                <w:szCs w:val="18"/>
              </w:rPr>
              <w:t>其他要求</w:t>
            </w:r>
          </w:p>
        </w:tc>
        <w:tc>
          <w:tcPr>
            <w:tcW w:w="6093" w:type="dxa"/>
            <w:vAlign w:val="center"/>
          </w:tcPr>
          <w:p>
            <w:pPr>
              <w:spacing w:line="240" w:lineRule="exact"/>
              <w:rPr>
                <w:rFonts w:ascii="宋体" w:hAnsi="宋体" w:cs="宋体"/>
                <w:sz w:val="18"/>
                <w:szCs w:val="18"/>
              </w:rPr>
            </w:pPr>
            <w:r>
              <w:rPr>
                <w:rFonts w:hint="eastAsia" w:ascii="宋体" w:hAnsi="宋体" w:cs="宋体"/>
                <w:sz w:val="18"/>
                <w:szCs w:val="18"/>
              </w:rPr>
              <w:t>符合投标人须知前附表1.4.1要求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trPr>
        <w:tc>
          <w:tcPr>
            <w:tcW w:w="1230" w:type="dxa"/>
            <w:vMerge w:val="restart"/>
            <w:vAlign w:val="center"/>
          </w:tcPr>
          <w:p>
            <w:pPr>
              <w:spacing w:line="240" w:lineRule="exact"/>
              <w:jc w:val="center"/>
              <w:rPr>
                <w:rFonts w:ascii="宋体" w:hAnsi="宋体" w:cs="宋体"/>
                <w:sz w:val="18"/>
                <w:szCs w:val="18"/>
              </w:rPr>
            </w:pPr>
            <w:r>
              <w:rPr>
                <w:rFonts w:hint="eastAsia" w:ascii="宋体" w:hAnsi="宋体" w:cs="宋体"/>
                <w:sz w:val="18"/>
                <w:szCs w:val="18"/>
              </w:rPr>
              <w:t>二、形式评审标准</w:t>
            </w:r>
          </w:p>
        </w:tc>
        <w:tc>
          <w:tcPr>
            <w:tcW w:w="2339" w:type="dxa"/>
            <w:vAlign w:val="center"/>
          </w:tcPr>
          <w:p>
            <w:pPr>
              <w:spacing w:line="240" w:lineRule="exact"/>
              <w:jc w:val="center"/>
              <w:rPr>
                <w:rFonts w:ascii="宋体" w:hAnsi="宋体" w:cs="宋体"/>
                <w:sz w:val="18"/>
                <w:szCs w:val="18"/>
              </w:rPr>
            </w:pPr>
            <w:r>
              <w:rPr>
                <w:rFonts w:hint="eastAsia" w:ascii="宋体" w:hAnsi="宋体" w:cs="宋体"/>
                <w:sz w:val="18"/>
                <w:szCs w:val="18"/>
              </w:rPr>
              <w:t>供应商名称</w:t>
            </w:r>
          </w:p>
        </w:tc>
        <w:tc>
          <w:tcPr>
            <w:tcW w:w="6093" w:type="dxa"/>
            <w:vAlign w:val="center"/>
          </w:tcPr>
          <w:p>
            <w:pPr>
              <w:spacing w:line="240" w:lineRule="exact"/>
              <w:rPr>
                <w:rFonts w:ascii="宋体" w:hAnsi="宋体" w:cs="宋体"/>
                <w:sz w:val="18"/>
                <w:szCs w:val="18"/>
              </w:rPr>
            </w:pPr>
            <w:r>
              <w:rPr>
                <w:rFonts w:hint="eastAsia" w:ascii="宋体" w:hAnsi="宋体" w:cs="宋体"/>
                <w:sz w:val="18"/>
                <w:szCs w:val="18"/>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1230" w:type="dxa"/>
            <w:vMerge w:val="continue"/>
            <w:vAlign w:val="center"/>
          </w:tcPr>
          <w:p>
            <w:pPr>
              <w:spacing w:line="240" w:lineRule="exact"/>
              <w:jc w:val="center"/>
              <w:rPr>
                <w:rFonts w:ascii="宋体" w:hAnsi="宋体" w:cs="宋体"/>
                <w:sz w:val="18"/>
                <w:szCs w:val="18"/>
              </w:rPr>
            </w:pPr>
          </w:p>
        </w:tc>
        <w:tc>
          <w:tcPr>
            <w:tcW w:w="2339" w:type="dxa"/>
            <w:vAlign w:val="center"/>
          </w:tcPr>
          <w:p>
            <w:pPr>
              <w:spacing w:line="240" w:lineRule="exact"/>
              <w:jc w:val="center"/>
              <w:rPr>
                <w:rFonts w:ascii="宋体" w:hAnsi="宋体" w:cs="宋体"/>
                <w:sz w:val="18"/>
                <w:szCs w:val="18"/>
              </w:rPr>
            </w:pPr>
            <w:r>
              <w:rPr>
                <w:rFonts w:hint="eastAsia" w:ascii="宋体" w:hAnsi="宋体" w:cs="宋体"/>
                <w:sz w:val="18"/>
                <w:szCs w:val="18"/>
              </w:rPr>
              <w:t>投标函签字盖章</w:t>
            </w:r>
          </w:p>
        </w:tc>
        <w:tc>
          <w:tcPr>
            <w:tcW w:w="6093" w:type="dxa"/>
            <w:vAlign w:val="center"/>
          </w:tcPr>
          <w:p>
            <w:pPr>
              <w:spacing w:line="240" w:lineRule="exact"/>
              <w:rPr>
                <w:rFonts w:ascii="宋体" w:hAnsi="宋体" w:cs="宋体"/>
                <w:sz w:val="18"/>
                <w:szCs w:val="18"/>
              </w:rPr>
            </w:pPr>
            <w:r>
              <w:rPr>
                <w:rFonts w:hint="eastAsia" w:ascii="宋体" w:hAnsi="宋体" w:cs="宋体"/>
                <w:sz w:val="18"/>
                <w:szCs w:val="18"/>
              </w:rPr>
              <w:t>加盖单位公章并有法定代表人或其委托代理人签字或盖章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trPr>
        <w:tc>
          <w:tcPr>
            <w:tcW w:w="1230" w:type="dxa"/>
            <w:vMerge w:val="continue"/>
            <w:vAlign w:val="center"/>
          </w:tcPr>
          <w:p>
            <w:pPr>
              <w:spacing w:line="240" w:lineRule="exact"/>
              <w:jc w:val="center"/>
              <w:rPr>
                <w:rFonts w:ascii="宋体" w:hAnsi="宋体" w:cs="宋体"/>
                <w:sz w:val="18"/>
                <w:szCs w:val="18"/>
              </w:rPr>
            </w:pPr>
          </w:p>
        </w:tc>
        <w:tc>
          <w:tcPr>
            <w:tcW w:w="2339" w:type="dxa"/>
            <w:vAlign w:val="center"/>
          </w:tcPr>
          <w:p>
            <w:pPr>
              <w:spacing w:line="240" w:lineRule="exact"/>
              <w:jc w:val="center"/>
              <w:rPr>
                <w:rFonts w:ascii="宋体" w:hAnsi="宋体" w:cs="宋体"/>
                <w:sz w:val="18"/>
                <w:szCs w:val="18"/>
              </w:rPr>
            </w:pPr>
            <w:r>
              <w:rPr>
                <w:rFonts w:hint="eastAsia" w:ascii="宋体" w:hAnsi="宋体" w:cs="宋体"/>
                <w:sz w:val="18"/>
                <w:szCs w:val="18"/>
              </w:rPr>
              <w:t>投标文件格式</w:t>
            </w:r>
          </w:p>
        </w:tc>
        <w:tc>
          <w:tcPr>
            <w:tcW w:w="6093" w:type="dxa"/>
            <w:vAlign w:val="center"/>
          </w:tcPr>
          <w:p>
            <w:pPr>
              <w:spacing w:line="240" w:lineRule="exact"/>
              <w:rPr>
                <w:rFonts w:ascii="宋体" w:hAnsi="宋体" w:cs="宋体"/>
                <w:sz w:val="18"/>
                <w:szCs w:val="18"/>
              </w:rPr>
            </w:pPr>
            <w:r>
              <w:rPr>
                <w:rFonts w:hint="eastAsia" w:ascii="宋体" w:hAnsi="宋体" w:cs="宋体"/>
                <w:sz w:val="18"/>
                <w:szCs w:val="18"/>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exact"/>
        </w:trPr>
        <w:tc>
          <w:tcPr>
            <w:tcW w:w="1230" w:type="dxa"/>
            <w:vMerge w:val="continue"/>
            <w:vAlign w:val="center"/>
          </w:tcPr>
          <w:p>
            <w:pPr>
              <w:spacing w:line="240" w:lineRule="exact"/>
              <w:jc w:val="center"/>
              <w:rPr>
                <w:rFonts w:ascii="宋体" w:hAnsi="宋体" w:cs="宋体"/>
                <w:sz w:val="18"/>
                <w:szCs w:val="18"/>
              </w:rPr>
            </w:pPr>
          </w:p>
        </w:tc>
        <w:tc>
          <w:tcPr>
            <w:tcW w:w="2339" w:type="dxa"/>
            <w:vAlign w:val="center"/>
          </w:tcPr>
          <w:p>
            <w:pPr>
              <w:spacing w:line="240" w:lineRule="exact"/>
              <w:jc w:val="center"/>
              <w:rPr>
                <w:rFonts w:ascii="宋体" w:hAnsi="宋体" w:cs="宋体"/>
                <w:sz w:val="18"/>
                <w:szCs w:val="18"/>
              </w:rPr>
            </w:pPr>
            <w:r>
              <w:rPr>
                <w:rFonts w:hint="eastAsia" w:ascii="宋体" w:hAnsi="宋体" w:cs="宋体"/>
                <w:sz w:val="18"/>
                <w:szCs w:val="18"/>
              </w:rPr>
              <w:t>报价唯一</w:t>
            </w:r>
          </w:p>
        </w:tc>
        <w:tc>
          <w:tcPr>
            <w:tcW w:w="6093" w:type="dxa"/>
            <w:vAlign w:val="center"/>
          </w:tcPr>
          <w:p>
            <w:pPr>
              <w:spacing w:line="240" w:lineRule="exact"/>
              <w:rPr>
                <w:rFonts w:ascii="宋体" w:hAnsi="宋体" w:cs="宋体"/>
                <w:sz w:val="18"/>
                <w:szCs w:val="18"/>
              </w:rPr>
            </w:pPr>
            <w:r>
              <w:rPr>
                <w:rFonts w:hint="eastAsia" w:ascii="宋体" w:hAnsi="宋体" w:cs="宋体"/>
                <w:sz w:val="18"/>
                <w:szCs w:val="18"/>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1230" w:type="dxa"/>
            <w:vMerge w:val="restart"/>
            <w:vAlign w:val="center"/>
          </w:tcPr>
          <w:p>
            <w:pPr>
              <w:spacing w:line="240" w:lineRule="exact"/>
              <w:jc w:val="center"/>
              <w:rPr>
                <w:rFonts w:ascii="宋体" w:hAnsi="宋体" w:cs="宋体"/>
                <w:sz w:val="18"/>
                <w:szCs w:val="18"/>
              </w:rPr>
            </w:pPr>
            <w:r>
              <w:rPr>
                <w:rFonts w:hint="eastAsia" w:ascii="宋体" w:hAnsi="宋体" w:cs="宋体"/>
                <w:sz w:val="18"/>
                <w:szCs w:val="18"/>
              </w:rPr>
              <w:t>三、响应性评审标准</w:t>
            </w:r>
          </w:p>
        </w:tc>
        <w:tc>
          <w:tcPr>
            <w:tcW w:w="2339" w:type="dxa"/>
            <w:vAlign w:val="center"/>
          </w:tcPr>
          <w:p>
            <w:pPr>
              <w:spacing w:line="240" w:lineRule="exact"/>
              <w:jc w:val="center"/>
              <w:rPr>
                <w:rFonts w:ascii="宋体" w:hAnsi="宋体" w:cs="宋体"/>
                <w:sz w:val="18"/>
                <w:szCs w:val="18"/>
              </w:rPr>
            </w:pPr>
            <w:r>
              <w:rPr>
                <w:rFonts w:hint="eastAsia" w:ascii="宋体" w:hAnsi="宋体" w:cs="宋体"/>
                <w:sz w:val="18"/>
                <w:szCs w:val="18"/>
              </w:rPr>
              <w:t>采购内容</w:t>
            </w:r>
          </w:p>
        </w:tc>
        <w:tc>
          <w:tcPr>
            <w:tcW w:w="6093" w:type="dxa"/>
            <w:vAlign w:val="center"/>
          </w:tcPr>
          <w:p>
            <w:pPr>
              <w:spacing w:line="240" w:lineRule="exact"/>
              <w:rPr>
                <w:rFonts w:ascii="宋体" w:hAnsi="宋体" w:cs="宋体"/>
                <w:sz w:val="18"/>
                <w:szCs w:val="18"/>
              </w:rPr>
            </w:pPr>
            <w:r>
              <w:rPr>
                <w:rFonts w:hint="eastAsia" w:ascii="宋体" w:hAnsi="宋体" w:cs="宋体"/>
                <w:sz w:val="18"/>
                <w:szCs w:val="18"/>
              </w:rPr>
              <w:t>符合第二章“供应商须知”第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1230" w:type="dxa"/>
            <w:vMerge w:val="continue"/>
          </w:tcPr>
          <w:p>
            <w:pPr>
              <w:spacing w:line="240" w:lineRule="exact"/>
              <w:rPr>
                <w:rFonts w:ascii="宋体" w:hAnsi="宋体" w:cs="宋体"/>
                <w:sz w:val="18"/>
                <w:szCs w:val="18"/>
              </w:rPr>
            </w:pPr>
          </w:p>
        </w:tc>
        <w:tc>
          <w:tcPr>
            <w:tcW w:w="2339" w:type="dxa"/>
            <w:vAlign w:val="center"/>
          </w:tcPr>
          <w:p>
            <w:pPr>
              <w:spacing w:line="240" w:lineRule="exact"/>
              <w:jc w:val="center"/>
              <w:rPr>
                <w:rFonts w:ascii="宋体" w:hAnsi="宋体" w:cs="宋体"/>
                <w:sz w:val="18"/>
                <w:szCs w:val="18"/>
              </w:rPr>
            </w:pPr>
            <w:r>
              <w:rPr>
                <w:rFonts w:hint="eastAsia" w:ascii="宋体" w:hAnsi="宋体" w:cs="宋体"/>
                <w:bCs/>
                <w:iCs/>
                <w:sz w:val="18"/>
                <w:szCs w:val="18"/>
              </w:rPr>
              <w:t>供货</w:t>
            </w:r>
            <w:r>
              <w:rPr>
                <w:rFonts w:hint="eastAsia" w:ascii="宋体" w:hAnsi="宋体" w:cs="宋体"/>
                <w:bCs/>
                <w:iCs/>
                <w:sz w:val="18"/>
                <w:szCs w:val="18"/>
                <w:lang w:val="en-US" w:eastAsia="zh-CN"/>
              </w:rPr>
              <w:t>及安装</w:t>
            </w:r>
            <w:r>
              <w:rPr>
                <w:rFonts w:hint="eastAsia" w:ascii="宋体" w:hAnsi="宋体" w:cs="宋体"/>
                <w:bCs/>
                <w:iCs/>
                <w:sz w:val="18"/>
                <w:szCs w:val="18"/>
              </w:rPr>
              <w:t>期</w:t>
            </w:r>
          </w:p>
        </w:tc>
        <w:tc>
          <w:tcPr>
            <w:tcW w:w="6093" w:type="dxa"/>
            <w:vAlign w:val="center"/>
          </w:tcPr>
          <w:p>
            <w:pPr>
              <w:spacing w:line="240" w:lineRule="exact"/>
              <w:rPr>
                <w:rFonts w:ascii="宋体" w:hAnsi="宋体" w:cs="宋体"/>
                <w:sz w:val="18"/>
                <w:szCs w:val="18"/>
              </w:rPr>
            </w:pPr>
            <w:r>
              <w:rPr>
                <w:rFonts w:hint="eastAsia" w:ascii="宋体" w:hAnsi="宋体" w:cs="宋体"/>
                <w:sz w:val="18"/>
                <w:szCs w:val="18"/>
              </w:rPr>
              <w:t>符合第二章“供应商须知”第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1230" w:type="dxa"/>
            <w:vMerge w:val="continue"/>
          </w:tcPr>
          <w:p>
            <w:pPr>
              <w:spacing w:line="240" w:lineRule="exact"/>
              <w:rPr>
                <w:rFonts w:ascii="宋体" w:hAnsi="宋体" w:cs="宋体"/>
                <w:sz w:val="18"/>
                <w:szCs w:val="18"/>
              </w:rPr>
            </w:pPr>
          </w:p>
        </w:tc>
        <w:tc>
          <w:tcPr>
            <w:tcW w:w="2339" w:type="dxa"/>
            <w:vAlign w:val="center"/>
          </w:tcPr>
          <w:p>
            <w:pPr>
              <w:spacing w:line="240" w:lineRule="exact"/>
              <w:jc w:val="center"/>
              <w:rPr>
                <w:rFonts w:ascii="宋体" w:hAnsi="宋体" w:cs="宋体"/>
                <w:sz w:val="18"/>
                <w:szCs w:val="18"/>
              </w:rPr>
            </w:pPr>
            <w:r>
              <w:rPr>
                <w:rFonts w:hint="eastAsia" w:ascii="宋体" w:hAnsi="宋体" w:cs="宋体"/>
                <w:sz w:val="18"/>
                <w:szCs w:val="18"/>
              </w:rPr>
              <w:t>质  量</w:t>
            </w:r>
          </w:p>
        </w:tc>
        <w:tc>
          <w:tcPr>
            <w:tcW w:w="6093" w:type="dxa"/>
            <w:vAlign w:val="center"/>
          </w:tcPr>
          <w:p>
            <w:pPr>
              <w:spacing w:line="240" w:lineRule="exact"/>
              <w:rPr>
                <w:rFonts w:ascii="宋体" w:hAnsi="宋体" w:cs="宋体"/>
                <w:sz w:val="18"/>
                <w:szCs w:val="18"/>
              </w:rPr>
            </w:pPr>
            <w:r>
              <w:rPr>
                <w:rFonts w:hint="eastAsia" w:ascii="宋体" w:hAnsi="宋体" w:cs="宋体"/>
                <w:sz w:val="18"/>
                <w:szCs w:val="18"/>
              </w:rPr>
              <w:t>符合第二章“供应商须知”第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trPr>
        <w:tc>
          <w:tcPr>
            <w:tcW w:w="1230" w:type="dxa"/>
            <w:vMerge w:val="continue"/>
          </w:tcPr>
          <w:p>
            <w:pPr>
              <w:spacing w:line="240" w:lineRule="exact"/>
              <w:rPr>
                <w:rFonts w:ascii="宋体" w:hAnsi="宋体" w:cs="宋体"/>
                <w:sz w:val="18"/>
                <w:szCs w:val="18"/>
              </w:rPr>
            </w:pPr>
          </w:p>
        </w:tc>
        <w:tc>
          <w:tcPr>
            <w:tcW w:w="2339" w:type="dxa"/>
            <w:vAlign w:val="center"/>
          </w:tcPr>
          <w:p>
            <w:pPr>
              <w:spacing w:line="240" w:lineRule="exact"/>
              <w:jc w:val="center"/>
              <w:rPr>
                <w:rFonts w:ascii="宋体" w:hAnsi="宋体" w:cs="宋体"/>
                <w:sz w:val="18"/>
                <w:szCs w:val="18"/>
              </w:rPr>
            </w:pPr>
            <w:r>
              <w:rPr>
                <w:rFonts w:hint="eastAsia" w:ascii="宋体" w:hAnsi="宋体" w:cs="宋体"/>
                <w:sz w:val="18"/>
                <w:szCs w:val="18"/>
              </w:rPr>
              <w:t>质保期</w:t>
            </w:r>
          </w:p>
        </w:tc>
        <w:tc>
          <w:tcPr>
            <w:tcW w:w="6093" w:type="dxa"/>
            <w:vAlign w:val="center"/>
          </w:tcPr>
          <w:p>
            <w:pPr>
              <w:spacing w:line="240" w:lineRule="exact"/>
              <w:rPr>
                <w:rFonts w:ascii="宋体" w:hAnsi="宋体" w:cs="宋体"/>
                <w:sz w:val="18"/>
                <w:szCs w:val="18"/>
              </w:rPr>
            </w:pPr>
            <w:r>
              <w:rPr>
                <w:rFonts w:hint="eastAsia" w:ascii="宋体" w:hAnsi="宋体" w:cs="宋体"/>
                <w:sz w:val="18"/>
                <w:szCs w:val="18"/>
              </w:rPr>
              <w:t>符合第二章“供应商须知”第 1.3.4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1230" w:type="dxa"/>
            <w:vMerge w:val="continue"/>
          </w:tcPr>
          <w:p>
            <w:pPr>
              <w:spacing w:line="240" w:lineRule="exact"/>
              <w:rPr>
                <w:rFonts w:ascii="宋体" w:hAnsi="宋体" w:cs="宋体"/>
                <w:sz w:val="18"/>
                <w:szCs w:val="18"/>
              </w:rPr>
            </w:pPr>
          </w:p>
        </w:tc>
        <w:tc>
          <w:tcPr>
            <w:tcW w:w="2339" w:type="dxa"/>
            <w:vAlign w:val="center"/>
          </w:tcPr>
          <w:p>
            <w:pPr>
              <w:spacing w:line="240" w:lineRule="exact"/>
              <w:jc w:val="center"/>
              <w:rPr>
                <w:rFonts w:ascii="宋体" w:hAnsi="宋体" w:cs="宋体"/>
                <w:sz w:val="18"/>
                <w:szCs w:val="18"/>
              </w:rPr>
            </w:pPr>
            <w:r>
              <w:rPr>
                <w:rFonts w:hint="eastAsia" w:ascii="宋体" w:hAnsi="宋体" w:cs="宋体"/>
                <w:sz w:val="18"/>
                <w:szCs w:val="18"/>
              </w:rPr>
              <w:t>商务报价</w:t>
            </w:r>
          </w:p>
        </w:tc>
        <w:tc>
          <w:tcPr>
            <w:tcW w:w="6093" w:type="dxa"/>
            <w:vAlign w:val="center"/>
          </w:tcPr>
          <w:p>
            <w:pPr>
              <w:spacing w:line="240" w:lineRule="exact"/>
              <w:rPr>
                <w:rFonts w:ascii="宋体" w:hAnsi="宋体" w:cs="宋体"/>
                <w:sz w:val="18"/>
                <w:szCs w:val="18"/>
              </w:rPr>
            </w:pPr>
            <w:r>
              <w:rPr>
                <w:rFonts w:hint="eastAsia" w:ascii="宋体" w:hAnsi="宋体" w:cs="宋体"/>
                <w:sz w:val="18"/>
                <w:szCs w:val="18"/>
              </w:rPr>
              <w:t>只能有一个有效报价，且不能超过招标控制价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1230" w:type="dxa"/>
            <w:vMerge w:val="continue"/>
          </w:tcPr>
          <w:p>
            <w:pPr>
              <w:spacing w:line="240" w:lineRule="exact"/>
              <w:rPr>
                <w:rFonts w:ascii="宋体" w:hAnsi="宋体" w:cs="宋体"/>
                <w:sz w:val="18"/>
                <w:szCs w:val="18"/>
              </w:rPr>
            </w:pPr>
          </w:p>
        </w:tc>
        <w:tc>
          <w:tcPr>
            <w:tcW w:w="2339" w:type="dxa"/>
            <w:vAlign w:val="center"/>
          </w:tcPr>
          <w:p>
            <w:pPr>
              <w:spacing w:line="240" w:lineRule="exact"/>
              <w:jc w:val="center"/>
              <w:rPr>
                <w:rFonts w:ascii="宋体" w:hAnsi="宋体" w:cs="宋体"/>
                <w:sz w:val="18"/>
                <w:szCs w:val="18"/>
              </w:rPr>
            </w:pPr>
            <w:r>
              <w:rPr>
                <w:rFonts w:hint="eastAsia" w:ascii="宋体" w:hAnsi="宋体" w:cs="宋体"/>
                <w:sz w:val="18"/>
                <w:szCs w:val="18"/>
              </w:rPr>
              <w:t>投标有效期</w:t>
            </w:r>
          </w:p>
        </w:tc>
        <w:tc>
          <w:tcPr>
            <w:tcW w:w="6093" w:type="dxa"/>
            <w:vAlign w:val="center"/>
          </w:tcPr>
          <w:p>
            <w:pPr>
              <w:spacing w:line="240" w:lineRule="exact"/>
              <w:rPr>
                <w:rFonts w:ascii="宋体" w:hAnsi="宋体" w:cs="宋体"/>
                <w:sz w:val="18"/>
                <w:szCs w:val="18"/>
              </w:rPr>
            </w:pPr>
            <w:r>
              <w:rPr>
                <w:rFonts w:hint="eastAsia" w:ascii="宋体" w:hAnsi="宋体" w:cs="宋体"/>
                <w:sz w:val="18"/>
                <w:szCs w:val="18"/>
              </w:rPr>
              <w:t>符合第二章“供应商须知”第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1230" w:type="dxa"/>
            <w:vMerge w:val="continue"/>
          </w:tcPr>
          <w:p>
            <w:pPr>
              <w:spacing w:line="240" w:lineRule="exact"/>
              <w:rPr>
                <w:rFonts w:ascii="宋体" w:hAnsi="宋体" w:cs="宋体"/>
                <w:sz w:val="18"/>
                <w:szCs w:val="18"/>
              </w:rPr>
            </w:pPr>
          </w:p>
        </w:tc>
        <w:tc>
          <w:tcPr>
            <w:tcW w:w="2339" w:type="dxa"/>
            <w:vAlign w:val="center"/>
          </w:tcPr>
          <w:p>
            <w:pPr>
              <w:spacing w:line="240" w:lineRule="exact"/>
              <w:jc w:val="center"/>
              <w:rPr>
                <w:rFonts w:ascii="宋体" w:hAnsi="宋体" w:cs="宋体"/>
                <w:sz w:val="18"/>
                <w:szCs w:val="18"/>
              </w:rPr>
            </w:pPr>
            <w:r>
              <w:rPr>
                <w:rFonts w:hint="eastAsia" w:ascii="宋体" w:hAnsi="宋体" w:cs="宋体"/>
                <w:sz w:val="18"/>
                <w:szCs w:val="18"/>
              </w:rPr>
              <w:t>权利义务</w:t>
            </w:r>
          </w:p>
        </w:tc>
        <w:tc>
          <w:tcPr>
            <w:tcW w:w="6093" w:type="dxa"/>
            <w:vAlign w:val="center"/>
          </w:tcPr>
          <w:p>
            <w:pPr>
              <w:spacing w:line="240" w:lineRule="exact"/>
              <w:rPr>
                <w:rFonts w:ascii="宋体" w:hAnsi="宋体" w:cs="宋体"/>
                <w:sz w:val="18"/>
                <w:szCs w:val="18"/>
              </w:rPr>
            </w:pPr>
            <w:r>
              <w:rPr>
                <w:rFonts w:hint="eastAsia" w:ascii="宋体" w:hAnsi="宋体" w:cs="宋体"/>
                <w:sz w:val="18"/>
                <w:szCs w:val="18"/>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230" w:type="dxa"/>
            <w:vMerge w:val="continue"/>
          </w:tcPr>
          <w:p>
            <w:pPr>
              <w:spacing w:line="240" w:lineRule="exact"/>
              <w:rPr>
                <w:rFonts w:ascii="宋体" w:hAnsi="宋体" w:cs="宋体"/>
                <w:sz w:val="18"/>
                <w:szCs w:val="18"/>
              </w:rPr>
            </w:pPr>
          </w:p>
        </w:tc>
        <w:tc>
          <w:tcPr>
            <w:tcW w:w="2339" w:type="dxa"/>
            <w:vAlign w:val="center"/>
          </w:tcPr>
          <w:p>
            <w:pPr>
              <w:spacing w:line="240" w:lineRule="exact"/>
              <w:jc w:val="center"/>
              <w:rPr>
                <w:rFonts w:ascii="宋体" w:hAnsi="宋体" w:cs="宋体"/>
                <w:sz w:val="18"/>
                <w:szCs w:val="18"/>
              </w:rPr>
            </w:pPr>
            <w:r>
              <w:rPr>
                <w:rFonts w:hint="eastAsia" w:ascii="宋体" w:hAnsi="宋体" w:cs="宋体"/>
                <w:sz w:val="18"/>
                <w:szCs w:val="18"/>
              </w:rPr>
              <w:t>技术标准和要求</w:t>
            </w:r>
          </w:p>
        </w:tc>
        <w:tc>
          <w:tcPr>
            <w:tcW w:w="6093" w:type="dxa"/>
            <w:vAlign w:val="center"/>
          </w:tcPr>
          <w:p>
            <w:pPr>
              <w:spacing w:line="240" w:lineRule="exact"/>
              <w:jc w:val="left"/>
              <w:rPr>
                <w:rFonts w:ascii="宋体" w:hAnsi="宋体" w:cs="宋体"/>
                <w:sz w:val="18"/>
                <w:szCs w:val="18"/>
              </w:rPr>
            </w:pPr>
            <w:r>
              <w:rPr>
                <w:rFonts w:hint="eastAsia" w:ascii="宋体" w:hAnsi="宋体" w:cs="宋体"/>
                <w:sz w:val="18"/>
                <w:szCs w:val="18"/>
              </w:rPr>
              <w:t>符合第五章“采购需求及要求”规定，若不符合第五章采购需求及要求规定，将不再进行评审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230" w:type="dxa"/>
            <w:vMerge w:val="continue"/>
          </w:tcPr>
          <w:p>
            <w:pPr>
              <w:spacing w:line="240" w:lineRule="exact"/>
              <w:rPr>
                <w:rFonts w:ascii="宋体" w:hAnsi="宋体" w:cs="宋体"/>
                <w:sz w:val="18"/>
                <w:szCs w:val="18"/>
              </w:rPr>
            </w:pPr>
          </w:p>
        </w:tc>
        <w:tc>
          <w:tcPr>
            <w:tcW w:w="2339" w:type="dxa"/>
            <w:vAlign w:val="center"/>
          </w:tcPr>
          <w:p>
            <w:pPr>
              <w:spacing w:line="240" w:lineRule="exact"/>
              <w:jc w:val="center"/>
              <w:rPr>
                <w:rFonts w:ascii="宋体" w:hAnsi="宋体" w:cs="宋体"/>
                <w:sz w:val="18"/>
                <w:szCs w:val="18"/>
              </w:rPr>
            </w:pPr>
            <w:r>
              <w:rPr>
                <w:rFonts w:hint="eastAsia" w:ascii="宋体" w:hAnsi="宋体" w:cs="宋体"/>
                <w:sz w:val="18"/>
                <w:szCs w:val="18"/>
              </w:rPr>
              <w:t>投标文件的其他响应</w:t>
            </w:r>
          </w:p>
        </w:tc>
        <w:tc>
          <w:tcPr>
            <w:tcW w:w="6093" w:type="dxa"/>
            <w:vAlign w:val="center"/>
          </w:tcPr>
          <w:p>
            <w:pPr>
              <w:spacing w:line="240" w:lineRule="exact"/>
              <w:rPr>
                <w:rFonts w:ascii="宋体" w:hAnsi="宋体" w:cs="宋体"/>
                <w:sz w:val="18"/>
                <w:szCs w:val="18"/>
              </w:rPr>
            </w:pPr>
            <w:r>
              <w:rPr>
                <w:rFonts w:hint="eastAsia" w:ascii="宋体" w:hAnsi="宋体" w:cs="宋体"/>
                <w:sz w:val="18"/>
                <w:szCs w:val="18"/>
              </w:rPr>
              <w:t>符合法律、法规和招标文件中规定的其他实质性要求的</w:t>
            </w:r>
          </w:p>
        </w:tc>
      </w:tr>
    </w:tbl>
    <w:p>
      <w:pPr>
        <w:pStyle w:val="96"/>
        <w:spacing w:line="540" w:lineRule="exact"/>
        <w:outlineLvl w:val="2"/>
        <w:rPr>
          <w:rFonts w:asciiTheme="minorEastAsia" w:hAnsiTheme="minorEastAsia" w:eastAsiaTheme="minorEastAsia" w:cstheme="minorEastAsia"/>
          <w:b/>
          <w:bCs/>
          <w:sz w:val="28"/>
          <w:szCs w:val="28"/>
        </w:rPr>
      </w:pPr>
      <w:bookmarkStart w:id="207" w:name="_Toc26394"/>
      <w:bookmarkStart w:id="208" w:name="_Toc28874"/>
      <w:bookmarkStart w:id="209" w:name="_Toc471"/>
      <w:bookmarkStart w:id="210" w:name="_Toc13389"/>
      <w:r>
        <w:rPr>
          <w:rFonts w:hint="eastAsia" w:asciiTheme="minorEastAsia" w:hAnsiTheme="minorEastAsia" w:eastAsiaTheme="minorEastAsia" w:cstheme="minorEastAsia"/>
          <w:b/>
          <w:bCs/>
          <w:sz w:val="28"/>
          <w:szCs w:val="28"/>
        </w:rPr>
        <w:t>（二）评标标准和办法</w:t>
      </w:r>
      <w:bookmarkEnd w:id="205"/>
      <w:bookmarkEnd w:id="207"/>
      <w:bookmarkEnd w:id="208"/>
      <w:bookmarkEnd w:id="209"/>
      <w:bookmarkEnd w:id="210"/>
      <w:bookmarkStart w:id="211" w:name="_Toc403122541"/>
      <w:bookmarkStart w:id="212" w:name="_Toc426369531"/>
      <w:bookmarkStart w:id="213" w:name="_Toc31084"/>
    </w:p>
    <w:p>
      <w:pPr>
        <w:spacing w:line="360" w:lineRule="auto"/>
        <w:ind w:firstLine="562" w:firstLineChars="20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评标办法</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本项目采用综合评分法，满分100分。具体评审项目和分值如下：</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1、本项目采用综合评分法，满分为100分（百分制）。</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2、评分方法与评审原则</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2.1、评标委员会根据本细则所列评分标准，对各供应商进行独立评分。计分过程及结果均按四舍五入保留二位小数；</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2.2、评标委员会进行商务和技术评审时，对供应商商务、技术及价格情况分别评分，综合评分得分公式：综合得分=报价得分+技术得分+商务得分+售后服务部分；</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2.3、供应商最终得分为所有评委评分的算数平均值。</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2.4、评标委员会将按照评标最后得分由高到低的顺序，对实质上响应招标文件要求的所有供应商的投标文件进行排序；得分相同的，按投标报价由低到高顺序排列；得分和投标报价均相同的，按技术指标优劣（技术及服务部分得分由高到低）顺序排列。</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2.5、评标委员会发现供应商的报价明显低于其他投标报价，应当要求该供应商作出书面说明并提供相关证明材料。供应商不能合理说明或者不能提供相关证明材料的，由评标委员会认定该供应商以低于成本报价竞标，其投标应作为废标处理，其报价不作为评分依据。</w:t>
      </w:r>
    </w:p>
    <w:p>
      <w:pPr>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3、评分标准及办法：</w:t>
      </w:r>
    </w:p>
    <w:tbl>
      <w:tblPr>
        <w:tblStyle w:val="39"/>
        <w:tblpPr w:leftFromText="180" w:rightFromText="180" w:vertAnchor="text" w:horzAnchor="page" w:tblpX="1060" w:tblpY="437"/>
        <w:tblOverlap w:val="never"/>
        <w:tblW w:w="9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1065"/>
        <w:gridCol w:w="1155"/>
        <w:gridCol w:w="797"/>
        <w:gridCol w:w="6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31" w:type="dxa"/>
            <w:vAlign w:val="center"/>
          </w:tcPr>
          <w:p>
            <w:pPr>
              <w:spacing w:line="400" w:lineRule="exact"/>
              <w:rPr>
                <w:rFonts w:ascii="宋体" w:hAnsi="宋体" w:cs="宋体"/>
                <w:b w:val="0"/>
                <w:bCs/>
                <w:color w:val="000000"/>
                <w:sz w:val="24"/>
                <w:szCs w:val="24"/>
                <w:highlight w:val="none"/>
              </w:rPr>
            </w:pPr>
            <w:r>
              <w:rPr>
                <w:rFonts w:hint="eastAsia" w:ascii="宋体" w:hAnsi="宋体" w:cs="宋体"/>
                <w:b w:val="0"/>
                <w:bCs/>
                <w:color w:val="000000"/>
                <w:sz w:val="24"/>
                <w:szCs w:val="24"/>
                <w:highlight w:val="none"/>
              </w:rPr>
              <w:t>序号</w:t>
            </w:r>
          </w:p>
        </w:tc>
        <w:tc>
          <w:tcPr>
            <w:tcW w:w="1065" w:type="dxa"/>
            <w:vAlign w:val="center"/>
          </w:tcPr>
          <w:p>
            <w:pPr>
              <w:spacing w:line="400" w:lineRule="exact"/>
              <w:rPr>
                <w:rFonts w:ascii="宋体" w:hAnsi="宋体" w:cs="宋体"/>
                <w:b w:val="0"/>
                <w:bCs/>
                <w:color w:val="000000"/>
                <w:sz w:val="24"/>
                <w:szCs w:val="24"/>
                <w:highlight w:val="none"/>
              </w:rPr>
            </w:pPr>
            <w:r>
              <w:rPr>
                <w:rFonts w:hint="eastAsia" w:ascii="宋体" w:hAnsi="宋体" w:cs="宋体"/>
                <w:b w:val="0"/>
                <w:bCs/>
                <w:color w:val="000000"/>
                <w:sz w:val="24"/>
                <w:szCs w:val="24"/>
                <w:highlight w:val="none"/>
              </w:rPr>
              <w:t>内 容</w:t>
            </w:r>
          </w:p>
        </w:tc>
        <w:tc>
          <w:tcPr>
            <w:tcW w:w="1155" w:type="dxa"/>
            <w:vAlign w:val="center"/>
          </w:tcPr>
          <w:p>
            <w:pPr>
              <w:spacing w:line="400" w:lineRule="exact"/>
              <w:rPr>
                <w:rFonts w:ascii="宋体" w:hAnsi="宋体" w:cs="宋体"/>
                <w:b w:val="0"/>
                <w:bCs/>
                <w:color w:val="000000"/>
                <w:sz w:val="24"/>
                <w:szCs w:val="24"/>
                <w:highlight w:val="none"/>
              </w:rPr>
            </w:pPr>
          </w:p>
        </w:tc>
        <w:tc>
          <w:tcPr>
            <w:tcW w:w="797" w:type="dxa"/>
            <w:vAlign w:val="center"/>
          </w:tcPr>
          <w:p>
            <w:pPr>
              <w:spacing w:line="400" w:lineRule="exact"/>
              <w:rPr>
                <w:rFonts w:ascii="宋体" w:hAnsi="宋体" w:cs="宋体"/>
                <w:b w:val="0"/>
                <w:bCs/>
                <w:color w:val="000000"/>
                <w:sz w:val="24"/>
                <w:szCs w:val="24"/>
                <w:highlight w:val="none"/>
              </w:rPr>
            </w:pPr>
            <w:r>
              <w:rPr>
                <w:rFonts w:hint="eastAsia" w:ascii="宋体" w:hAnsi="宋体" w:cs="宋体"/>
                <w:b w:val="0"/>
                <w:bCs/>
                <w:color w:val="000000"/>
                <w:sz w:val="24"/>
                <w:szCs w:val="24"/>
                <w:highlight w:val="none"/>
              </w:rPr>
              <w:t>分 值</w:t>
            </w:r>
          </w:p>
        </w:tc>
        <w:tc>
          <w:tcPr>
            <w:tcW w:w="6399" w:type="dxa"/>
            <w:vAlign w:val="center"/>
          </w:tcPr>
          <w:p>
            <w:pPr>
              <w:spacing w:line="400" w:lineRule="exact"/>
              <w:jc w:val="center"/>
              <w:rPr>
                <w:rFonts w:ascii="宋体" w:hAnsi="宋体" w:cs="宋体"/>
                <w:b w:val="0"/>
                <w:bCs/>
                <w:color w:val="000000"/>
                <w:sz w:val="24"/>
                <w:szCs w:val="24"/>
                <w:highlight w:val="none"/>
              </w:rPr>
            </w:pPr>
            <w:r>
              <w:rPr>
                <w:rFonts w:hint="eastAsia" w:ascii="宋体" w:hAnsi="宋体" w:cs="宋体"/>
                <w:b w:val="0"/>
                <w:bCs/>
                <w:color w:val="000000"/>
                <w:sz w:val="24"/>
                <w:szCs w:val="24"/>
                <w:highlight w:val="none"/>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dxa"/>
            <w:vAlign w:val="center"/>
          </w:tcPr>
          <w:p>
            <w:pPr>
              <w:spacing w:line="400" w:lineRule="exact"/>
              <w:rPr>
                <w:rFonts w:ascii="宋体" w:hAnsi="宋体" w:cs="宋体"/>
                <w:b w:val="0"/>
                <w:bCs/>
                <w:sz w:val="24"/>
                <w:szCs w:val="24"/>
                <w:highlight w:val="none"/>
              </w:rPr>
            </w:pPr>
            <w:r>
              <w:rPr>
                <w:rFonts w:hint="eastAsia" w:ascii="宋体" w:hAnsi="宋体" w:cs="宋体"/>
                <w:b w:val="0"/>
                <w:bCs/>
                <w:sz w:val="24"/>
                <w:szCs w:val="24"/>
                <w:highlight w:val="none"/>
              </w:rPr>
              <w:t>1</w:t>
            </w:r>
          </w:p>
        </w:tc>
        <w:tc>
          <w:tcPr>
            <w:tcW w:w="1065" w:type="dxa"/>
            <w:vAlign w:val="center"/>
          </w:tcPr>
          <w:p>
            <w:pPr>
              <w:spacing w:line="400" w:lineRule="exact"/>
              <w:jc w:val="center"/>
              <w:rPr>
                <w:rFonts w:ascii="宋体" w:hAnsi="宋体" w:cs="宋体"/>
                <w:b w:val="0"/>
                <w:bCs/>
                <w:sz w:val="24"/>
                <w:szCs w:val="24"/>
                <w:highlight w:val="none"/>
              </w:rPr>
            </w:pPr>
            <w:r>
              <w:rPr>
                <w:rFonts w:hint="eastAsia" w:ascii="宋体" w:hAnsi="宋体" w:cs="宋体"/>
                <w:b w:val="0"/>
                <w:bCs/>
                <w:sz w:val="24"/>
                <w:szCs w:val="24"/>
                <w:highlight w:val="none"/>
              </w:rPr>
              <w:t>投标报价（</w:t>
            </w:r>
            <w:r>
              <w:rPr>
                <w:rFonts w:ascii="宋体" w:hAnsi="宋体" w:cs="宋体"/>
                <w:b w:val="0"/>
                <w:bCs/>
                <w:sz w:val="24"/>
                <w:szCs w:val="24"/>
                <w:highlight w:val="none"/>
              </w:rPr>
              <w:t>35</w:t>
            </w:r>
            <w:r>
              <w:rPr>
                <w:rFonts w:hint="eastAsia" w:ascii="宋体" w:hAnsi="宋体" w:cs="宋体"/>
                <w:b w:val="0"/>
                <w:bCs/>
                <w:sz w:val="24"/>
                <w:szCs w:val="24"/>
                <w:highlight w:val="none"/>
              </w:rPr>
              <w:t>分）</w:t>
            </w:r>
          </w:p>
        </w:tc>
        <w:tc>
          <w:tcPr>
            <w:tcW w:w="1155" w:type="dxa"/>
            <w:vAlign w:val="center"/>
          </w:tcPr>
          <w:p>
            <w:pPr>
              <w:spacing w:line="400" w:lineRule="exact"/>
              <w:jc w:val="center"/>
              <w:rPr>
                <w:rFonts w:ascii="宋体" w:hAnsi="宋体" w:cs="宋体"/>
                <w:b w:val="0"/>
                <w:bCs/>
                <w:sz w:val="24"/>
                <w:szCs w:val="24"/>
                <w:highlight w:val="none"/>
              </w:rPr>
            </w:pPr>
            <w:r>
              <w:rPr>
                <w:rFonts w:hint="eastAsia" w:ascii="宋体" w:hAnsi="宋体" w:cs="宋体"/>
                <w:b w:val="0"/>
                <w:bCs/>
                <w:sz w:val="24"/>
                <w:szCs w:val="24"/>
                <w:highlight w:val="none"/>
              </w:rPr>
              <w:t>投标</w:t>
            </w:r>
          </w:p>
          <w:p>
            <w:pPr>
              <w:spacing w:line="400" w:lineRule="exact"/>
              <w:jc w:val="center"/>
              <w:rPr>
                <w:rFonts w:ascii="宋体" w:hAnsi="宋体" w:cs="宋体"/>
                <w:b w:val="0"/>
                <w:bCs/>
                <w:sz w:val="24"/>
                <w:szCs w:val="24"/>
                <w:highlight w:val="none"/>
              </w:rPr>
            </w:pPr>
            <w:r>
              <w:rPr>
                <w:rFonts w:hint="eastAsia" w:ascii="宋体" w:hAnsi="宋体" w:cs="宋体"/>
                <w:b w:val="0"/>
                <w:bCs/>
                <w:sz w:val="24"/>
                <w:szCs w:val="24"/>
                <w:highlight w:val="none"/>
              </w:rPr>
              <w:t>报价</w:t>
            </w:r>
          </w:p>
        </w:tc>
        <w:tc>
          <w:tcPr>
            <w:tcW w:w="797" w:type="dxa"/>
            <w:vAlign w:val="center"/>
          </w:tcPr>
          <w:p>
            <w:pPr>
              <w:spacing w:line="400" w:lineRule="exact"/>
              <w:rPr>
                <w:rFonts w:ascii="宋体" w:hAnsi="宋体" w:cs="宋体"/>
                <w:b w:val="0"/>
                <w:bCs/>
                <w:sz w:val="24"/>
                <w:szCs w:val="24"/>
                <w:highlight w:val="none"/>
              </w:rPr>
            </w:pPr>
            <w:r>
              <w:rPr>
                <w:rFonts w:ascii="宋体" w:hAnsi="宋体" w:cs="宋体"/>
                <w:b w:val="0"/>
                <w:bCs/>
                <w:sz w:val="24"/>
                <w:szCs w:val="24"/>
                <w:highlight w:val="none"/>
              </w:rPr>
              <w:t>35</w:t>
            </w:r>
            <w:r>
              <w:rPr>
                <w:rFonts w:hint="eastAsia" w:ascii="宋体" w:hAnsi="宋体" w:cs="宋体"/>
                <w:b w:val="0"/>
                <w:bCs/>
                <w:sz w:val="24"/>
                <w:szCs w:val="24"/>
                <w:highlight w:val="none"/>
              </w:rPr>
              <w:t>分</w:t>
            </w:r>
          </w:p>
        </w:tc>
        <w:tc>
          <w:tcPr>
            <w:tcW w:w="6399" w:type="dxa"/>
            <w:vAlign w:val="center"/>
          </w:tcPr>
          <w:p>
            <w:pPr>
              <w:keepNext w:val="0"/>
              <w:keepLines w:val="0"/>
              <w:pageBreakBefore w:val="0"/>
              <w:widowControl w:val="0"/>
              <w:kinsoku/>
              <w:wordWrap/>
              <w:overflowPunct/>
              <w:topLinePunct w:val="0"/>
              <w:bidi w:val="0"/>
              <w:snapToGrid/>
              <w:spacing w:line="440" w:lineRule="exact"/>
              <w:textAlignment w:val="baseline"/>
              <w:rPr>
                <w:rStyle w:val="111"/>
                <w:rFonts w:ascii="Calibri" w:hAnsi="Calibri"/>
                <w:color w:val="000000" w:themeColor="text1"/>
                <w:szCs w:val="22"/>
                <w14:textFill>
                  <w14:solidFill>
                    <w14:schemeClr w14:val="tx1"/>
                  </w14:solidFill>
                </w14:textFill>
              </w:rPr>
            </w:pPr>
            <w:r>
              <w:rPr>
                <w:rStyle w:val="111"/>
                <w:rFonts w:ascii="Calibri" w:hAnsi="Calibri"/>
                <w:color w:val="000000" w:themeColor="text1"/>
                <w:szCs w:val="22"/>
                <w14:textFill>
                  <w14:solidFill>
                    <w14:schemeClr w14:val="tx1"/>
                  </w14:solidFill>
                </w14:textFill>
              </w:rPr>
              <w:t>价格分统一采用低价优先法计算，价格分计算公式：</w:t>
            </w:r>
          </w:p>
          <w:p>
            <w:pPr>
              <w:keepNext w:val="0"/>
              <w:keepLines w:val="0"/>
              <w:pageBreakBefore w:val="0"/>
              <w:widowControl w:val="0"/>
              <w:kinsoku/>
              <w:wordWrap/>
              <w:overflowPunct/>
              <w:topLinePunct w:val="0"/>
              <w:bidi w:val="0"/>
              <w:snapToGrid/>
              <w:spacing w:line="440" w:lineRule="exact"/>
              <w:textAlignment w:val="baseline"/>
              <w:rPr>
                <w:rStyle w:val="111"/>
                <w:rFonts w:ascii="Calibri" w:hAnsi="Calibri"/>
                <w:color w:val="000000" w:themeColor="text1"/>
                <w:szCs w:val="22"/>
                <w14:textFill>
                  <w14:solidFill>
                    <w14:schemeClr w14:val="tx1"/>
                  </w14:solidFill>
                </w14:textFill>
              </w:rPr>
            </w:pPr>
            <w:r>
              <w:rPr>
                <w:rStyle w:val="111"/>
                <w:rFonts w:ascii="Calibri" w:hAnsi="Calibri"/>
                <w:color w:val="000000" w:themeColor="text1"/>
                <w:szCs w:val="22"/>
                <w14:textFill>
                  <w14:solidFill>
                    <w14:schemeClr w14:val="tx1"/>
                  </w14:solidFill>
                </w14:textFill>
              </w:rPr>
              <w:t>投标报价得分 =（评标基准价/投标报价）×</w:t>
            </w:r>
            <w:r>
              <w:rPr>
                <w:rStyle w:val="111"/>
                <w:rFonts w:hint="eastAsia" w:ascii="Calibri" w:hAnsi="Calibri"/>
                <w:color w:val="000000" w:themeColor="text1"/>
                <w:szCs w:val="22"/>
                <w14:textFill>
                  <w14:solidFill>
                    <w14:schemeClr w14:val="tx1"/>
                  </w14:solidFill>
                </w14:textFill>
              </w:rPr>
              <w:t>35</w:t>
            </w:r>
          </w:p>
          <w:p>
            <w:pPr>
              <w:keepNext w:val="0"/>
              <w:keepLines w:val="0"/>
              <w:pageBreakBefore w:val="0"/>
              <w:widowControl w:val="0"/>
              <w:kinsoku/>
              <w:wordWrap/>
              <w:overflowPunct/>
              <w:topLinePunct w:val="0"/>
              <w:bidi w:val="0"/>
              <w:snapToGrid/>
              <w:spacing w:line="440" w:lineRule="exact"/>
              <w:textAlignment w:val="baseline"/>
              <w:rPr>
                <w:rStyle w:val="111"/>
                <w:rFonts w:ascii="Calibri" w:hAnsi="Calibri"/>
                <w:color w:val="000000" w:themeColor="text1"/>
                <w:szCs w:val="22"/>
                <w14:textFill>
                  <w14:solidFill>
                    <w14:schemeClr w14:val="tx1"/>
                  </w14:solidFill>
                </w14:textFill>
              </w:rPr>
            </w:pPr>
            <w:r>
              <w:rPr>
                <w:rStyle w:val="111"/>
                <w:rFonts w:ascii="Calibri" w:hAnsi="Calibri"/>
                <w:color w:val="000000" w:themeColor="text1"/>
                <w:szCs w:val="22"/>
                <w14:textFill>
                  <w14:solidFill>
                    <w14:schemeClr w14:val="tx1"/>
                  </w14:solidFill>
                </w14:textFill>
              </w:rPr>
              <w:t>说明：</w:t>
            </w:r>
          </w:p>
          <w:p>
            <w:pPr>
              <w:keepNext w:val="0"/>
              <w:keepLines w:val="0"/>
              <w:pageBreakBefore w:val="0"/>
              <w:widowControl w:val="0"/>
              <w:kinsoku/>
              <w:wordWrap/>
              <w:overflowPunct/>
              <w:topLinePunct w:val="0"/>
              <w:bidi w:val="0"/>
              <w:snapToGrid/>
              <w:spacing w:line="440" w:lineRule="exact"/>
              <w:textAlignment w:val="baseline"/>
              <w:rPr>
                <w:rStyle w:val="111"/>
                <w:rFonts w:ascii="Calibri" w:hAnsi="Calibri"/>
                <w:color w:val="000000" w:themeColor="text1"/>
                <w:szCs w:val="22"/>
                <w14:textFill>
                  <w14:solidFill>
                    <w14:schemeClr w14:val="tx1"/>
                  </w14:solidFill>
                </w14:textFill>
              </w:rPr>
            </w:pPr>
            <w:r>
              <w:rPr>
                <w:rStyle w:val="111"/>
                <w:rFonts w:ascii="Calibri" w:hAnsi="Calibri"/>
                <w:color w:val="000000" w:themeColor="text1"/>
                <w:szCs w:val="22"/>
                <w14:textFill>
                  <w14:solidFill>
                    <w14:schemeClr w14:val="tx1"/>
                  </w14:solidFill>
                </w14:textFill>
              </w:rPr>
              <w:t>1、评标基准价：实质性响应招标文件要求的所有有效供应商中的最低投标报价。</w:t>
            </w:r>
          </w:p>
          <w:p>
            <w:pPr>
              <w:keepNext w:val="0"/>
              <w:keepLines w:val="0"/>
              <w:pageBreakBefore w:val="0"/>
              <w:widowControl w:val="0"/>
              <w:kinsoku/>
              <w:wordWrap/>
              <w:overflowPunct/>
              <w:topLinePunct w:val="0"/>
              <w:bidi w:val="0"/>
              <w:snapToGrid/>
              <w:spacing w:line="440" w:lineRule="exact"/>
              <w:textAlignment w:val="baseline"/>
              <w:rPr>
                <w:rFonts w:hint="eastAsia" w:ascii="宋体" w:hAnsi="宋体" w:cs="宋体"/>
                <w:color w:val="000000" w:themeColor="text1"/>
                <w:kern w:val="0"/>
                <w:szCs w:val="21"/>
                <w14:textFill>
                  <w14:solidFill>
                    <w14:schemeClr w14:val="tx1"/>
                  </w14:solidFill>
                </w14:textFill>
              </w:rPr>
            </w:pPr>
            <w:r>
              <w:rPr>
                <w:rStyle w:val="111"/>
                <w:rFonts w:ascii="Calibri" w:hAnsi="Calibri"/>
                <w:color w:val="000000" w:themeColor="text1"/>
                <w:szCs w:val="22"/>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对小型或微型企业投标的扶持：(如有）</w:t>
            </w:r>
          </w:p>
          <w:p>
            <w:pPr>
              <w:keepNext w:val="0"/>
              <w:keepLines w:val="0"/>
              <w:pageBreakBefore w:val="0"/>
              <w:widowControl w:val="0"/>
              <w:kinsoku/>
              <w:wordWrap/>
              <w:overflowPunct/>
              <w:topLinePunct w:val="0"/>
              <w:autoSpaceDE w:val="0"/>
              <w:autoSpaceDN w:val="0"/>
              <w:bidi w:val="0"/>
              <w:adjustRightInd w:val="0"/>
              <w:snapToGrid/>
              <w:spacing w:line="440" w:lineRule="exac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2.1投标供应商为小型或微型企业时，报价给予C1的价格扣除（C1的取值为6%），即：评标价＝投标报价（最后报价）×(1－C1）；</w:t>
            </w:r>
          </w:p>
          <w:p>
            <w:pPr>
              <w:keepNext w:val="0"/>
              <w:keepLines w:val="0"/>
              <w:pageBreakBefore w:val="0"/>
              <w:widowControl w:val="0"/>
              <w:kinsoku/>
              <w:wordWrap/>
              <w:overflowPunct/>
              <w:topLinePunct w:val="0"/>
              <w:autoSpaceDE w:val="0"/>
              <w:autoSpaceDN w:val="0"/>
              <w:bidi w:val="0"/>
              <w:adjustRightInd w:val="0"/>
              <w:snapToGrid/>
              <w:spacing w:line="440" w:lineRule="exac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小微企业应当列明本项目中所投的“小型和微型企业产品的清单”并提供《中小企业声明函》（见格式）。</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2.2按照</w:t>
            </w:r>
            <w:r>
              <w:rPr>
                <w:rFonts w:hint="eastAsia" w:ascii="宋体" w:hAnsi="宋体" w:cs="宋体"/>
                <w:color w:val="000000" w:themeColor="text1"/>
                <w:kern w:val="0"/>
                <w:sz w:val="24"/>
                <w:szCs w:val="22"/>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政府采购促进中小企业发展管理办法》有关规定，中小企业的标准为：</w:t>
            </w:r>
          </w:p>
          <w:p>
            <w:pPr>
              <w:keepNext w:val="0"/>
              <w:keepLines w:val="0"/>
              <w:pageBreakBefore w:val="0"/>
              <w:widowControl w:val="0"/>
              <w:kinsoku/>
              <w:wordWrap/>
              <w:overflowPunct/>
              <w:topLinePunct w:val="0"/>
              <w:autoSpaceDE w:val="0"/>
              <w:autoSpaceDN w:val="0"/>
              <w:bidi w:val="0"/>
              <w:adjustRightInd w:val="0"/>
              <w:snapToGrid/>
              <w:spacing w:line="440" w:lineRule="exac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2.2.1提供本企业制造的货物、承担的工程或者服务，或者提供其他中小企业制造的货物，不包括提供或使用大型企业注册商标的货物；</w:t>
            </w:r>
          </w:p>
          <w:p>
            <w:pPr>
              <w:keepNext w:val="0"/>
              <w:keepLines w:val="0"/>
              <w:pageBreakBefore w:val="0"/>
              <w:widowControl w:val="0"/>
              <w:kinsoku/>
              <w:wordWrap/>
              <w:overflowPunct/>
              <w:topLinePunct w:val="0"/>
              <w:autoSpaceDE w:val="0"/>
              <w:autoSpaceDN w:val="0"/>
              <w:bidi w:val="0"/>
              <w:adjustRightInd w:val="0"/>
              <w:snapToGrid/>
              <w:spacing w:line="440" w:lineRule="exac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2.2.2本规定所称中小企业划分标准，是指国务院有关部门根据企业从业人员、营业收入、资产总额等指标制定的中小企业划型标准（工信部联企业[2011]300号）；</w:t>
            </w:r>
          </w:p>
          <w:p>
            <w:pPr>
              <w:keepNext w:val="0"/>
              <w:keepLines w:val="0"/>
              <w:pageBreakBefore w:val="0"/>
              <w:widowControl w:val="0"/>
              <w:kinsoku/>
              <w:wordWrap/>
              <w:overflowPunct/>
              <w:topLinePunct w:val="0"/>
              <w:autoSpaceDE w:val="0"/>
              <w:autoSpaceDN w:val="0"/>
              <w:bidi w:val="0"/>
              <w:adjustRightInd w:val="0"/>
              <w:snapToGrid/>
              <w:spacing w:line="440" w:lineRule="exac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2.2.3小型、微型企业提供有中型企业制造的货物的，视同为中型企业；小型、微型、中型企业提供有大型企业制造的货物的，视同为大型企业。</w:t>
            </w:r>
          </w:p>
          <w:p>
            <w:pPr>
              <w:keepNext w:val="0"/>
              <w:keepLines w:val="0"/>
              <w:pageBreakBefore w:val="0"/>
              <w:widowControl w:val="0"/>
              <w:kinsoku/>
              <w:wordWrap/>
              <w:overflowPunct/>
              <w:topLinePunct w:val="0"/>
              <w:bidi w:val="0"/>
              <w:snapToGrid/>
              <w:spacing w:line="440" w:lineRule="exact"/>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3、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6%的扣除。</w:t>
            </w:r>
          </w:p>
          <w:p>
            <w:pPr>
              <w:keepNext w:val="0"/>
              <w:keepLines w:val="0"/>
              <w:pageBreakBefore w:val="0"/>
              <w:widowControl w:val="0"/>
              <w:kinsoku/>
              <w:wordWrap/>
              <w:overflowPunct/>
              <w:topLinePunct w:val="0"/>
              <w:bidi w:val="0"/>
              <w:snapToGrid/>
              <w:spacing w:line="440" w:lineRule="exact"/>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同一投标人，小微企业、监狱、残疾人福利性企业同一产品价格扣除优惠只享受一次，不得重复享受。</w:t>
            </w:r>
          </w:p>
          <w:p>
            <w:pPr>
              <w:pStyle w:val="2"/>
              <w:keepNext w:val="0"/>
              <w:keepLines w:val="0"/>
              <w:pageBreakBefore w:val="0"/>
              <w:widowControl w:val="0"/>
              <w:kinsoku/>
              <w:wordWrap/>
              <w:overflowPunct/>
              <w:topLinePunct w:val="0"/>
              <w:bidi w:val="0"/>
              <w:snapToGrid/>
              <w:spacing w:line="440" w:lineRule="exact"/>
              <w:rPr>
                <w:b w:val="0"/>
                <w:bCs/>
                <w:highlight w:val="none"/>
              </w:rPr>
            </w:pPr>
            <w:r>
              <w:rPr>
                <w:rStyle w:val="111"/>
                <w:rFonts w:hint="eastAsia" w:ascii="Calibri" w:hAnsi="Calibri"/>
                <w:color w:val="000000" w:themeColor="text1"/>
                <w:szCs w:val="22"/>
                <w14:textFill>
                  <w14:solidFill>
                    <w14:schemeClr w14:val="tx1"/>
                  </w14:solidFill>
                </w14:textFill>
              </w:rPr>
              <w:t>4</w:t>
            </w:r>
            <w:r>
              <w:rPr>
                <w:rStyle w:val="111"/>
                <w:rFonts w:ascii="Calibri" w:hAnsi="Calibri"/>
                <w:color w:val="000000" w:themeColor="text1"/>
                <w:szCs w:val="22"/>
                <w14:textFill>
                  <w14:solidFill>
                    <w14:schemeClr w14:val="tx1"/>
                  </w14:solidFill>
                </w14:textFill>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31" w:type="dxa"/>
            <w:vMerge w:val="restart"/>
            <w:vAlign w:val="center"/>
          </w:tcPr>
          <w:p>
            <w:pPr>
              <w:spacing w:line="400" w:lineRule="exact"/>
              <w:rPr>
                <w:rFonts w:ascii="宋体" w:hAnsi="宋体" w:cs="宋体"/>
                <w:b w:val="0"/>
                <w:bCs/>
                <w:sz w:val="24"/>
                <w:szCs w:val="24"/>
                <w:highlight w:val="none"/>
              </w:rPr>
            </w:pPr>
            <w:r>
              <w:rPr>
                <w:rFonts w:hint="eastAsia" w:ascii="宋体" w:hAnsi="宋体" w:cs="宋体"/>
                <w:b w:val="0"/>
                <w:bCs/>
                <w:sz w:val="24"/>
                <w:szCs w:val="24"/>
                <w:highlight w:val="none"/>
              </w:rPr>
              <w:t>2</w:t>
            </w:r>
          </w:p>
        </w:tc>
        <w:tc>
          <w:tcPr>
            <w:tcW w:w="1065" w:type="dxa"/>
            <w:vMerge w:val="restart"/>
            <w:vAlign w:val="center"/>
          </w:tcPr>
          <w:p>
            <w:pPr>
              <w:spacing w:line="400" w:lineRule="exact"/>
              <w:jc w:val="center"/>
              <w:rPr>
                <w:rFonts w:ascii="宋体" w:hAnsi="宋体" w:cs="宋体"/>
                <w:b w:val="0"/>
                <w:bCs/>
                <w:sz w:val="24"/>
                <w:szCs w:val="24"/>
                <w:highlight w:val="none"/>
              </w:rPr>
            </w:pPr>
            <w:r>
              <w:rPr>
                <w:rFonts w:hint="eastAsia" w:ascii="宋体" w:hAnsi="宋体" w:cs="宋体"/>
                <w:b w:val="0"/>
                <w:bCs/>
                <w:sz w:val="24"/>
                <w:szCs w:val="24"/>
                <w:highlight w:val="none"/>
              </w:rPr>
              <w:t>技术</w:t>
            </w:r>
            <w:r>
              <w:rPr>
                <w:rFonts w:hint="eastAsia" w:ascii="宋体" w:hAnsi="宋体" w:cs="宋体"/>
                <w:b w:val="0"/>
                <w:bCs/>
                <w:sz w:val="24"/>
                <w:szCs w:val="24"/>
                <w:highlight w:val="none"/>
                <w:lang w:eastAsia="zh-CN"/>
              </w:rPr>
              <w:t>部分</w:t>
            </w:r>
            <w:r>
              <w:rPr>
                <w:rFonts w:hint="eastAsia" w:ascii="宋体" w:hAnsi="宋体" w:cs="宋体"/>
                <w:b w:val="0"/>
                <w:bCs/>
                <w:sz w:val="24"/>
                <w:szCs w:val="24"/>
                <w:highlight w:val="none"/>
              </w:rPr>
              <w:t>（</w:t>
            </w:r>
            <w:r>
              <w:rPr>
                <w:rFonts w:ascii="宋体" w:hAnsi="宋体" w:cs="宋体"/>
                <w:b w:val="0"/>
                <w:bCs/>
                <w:sz w:val="24"/>
                <w:szCs w:val="24"/>
                <w:highlight w:val="none"/>
              </w:rPr>
              <w:t>3</w:t>
            </w:r>
            <w:r>
              <w:rPr>
                <w:rFonts w:hint="eastAsia" w:ascii="宋体" w:hAnsi="宋体" w:cs="宋体"/>
                <w:b w:val="0"/>
                <w:bCs/>
                <w:sz w:val="24"/>
                <w:szCs w:val="24"/>
                <w:highlight w:val="none"/>
                <w:lang w:val="en-US" w:eastAsia="zh-CN"/>
              </w:rPr>
              <w:t>3</w:t>
            </w:r>
            <w:r>
              <w:rPr>
                <w:rFonts w:hint="eastAsia" w:ascii="宋体" w:hAnsi="宋体" w:cs="宋体"/>
                <w:b w:val="0"/>
                <w:bCs/>
                <w:sz w:val="24"/>
                <w:szCs w:val="24"/>
                <w:highlight w:val="none"/>
              </w:rPr>
              <w:t>分）</w:t>
            </w:r>
          </w:p>
        </w:tc>
        <w:tc>
          <w:tcPr>
            <w:tcW w:w="1155" w:type="dxa"/>
            <w:vMerge w:val="restart"/>
            <w:vAlign w:val="center"/>
          </w:tcPr>
          <w:p>
            <w:pPr>
              <w:spacing w:line="400" w:lineRule="exact"/>
              <w:jc w:val="center"/>
              <w:rPr>
                <w:rFonts w:ascii="宋体" w:hAnsi="宋体" w:cs="宋体"/>
                <w:b w:val="0"/>
                <w:bCs/>
                <w:sz w:val="24"/>
                <w:szCs w:val="24"/>
                <w:highlight w:val="none"/>
              </w:rPr>
            </w:pPr>
            <w:r>
              <w:rPr>
                <w:rFonts w:hint="eastAsia" w:ascii="宋体" w:hAnsi="宋体" w:cs="宋体"/>
                <w:b w:val="0"/>
                <w:bCs/>
                <w:szCs w:val="21"/>
                <w:highlight w:val="none"/>
              </w:rPr>
              <w:t>技术参数及产品性能</w:t>
            </w:r>
          </w:p>
        </w:tc>
        <w:tc>
          <w:tcPr>
            <w:tcW w:w="797" w:type="dxa"/>
            <w:vMerge w:val="restart"/>
            <w:vAlign w:val="center"/>
          </w:tcPr>
          <w:p>
            <w:pPr>
              <w:spacing w:line="400" w:lineRule="exact"/>
              <w:jc w:val="center"/>
              <w:rPr>
                <w:rFonts w:ascii="宋体" w:hAnsi="宋体" w:cs="宋体"/>
                <w:b w:val="0"/>
                <w:bCs/>
                <w:sz w:val="24"/>
                <w:szCs w:val="24"/>
                <w:highlight w:val="none"/>
              </w:rPr>
            </w:pPr>
            <w:r>
              <w:rPr>
                <w:rFonts w:ascii="宋体" w:hAnsi="宋体" w:cs="宋体"/>
                <w:b w:val="0"/>
                <w:bCs/>
                <w:sz w:val="24"/>
                <w:szCs w:val="24"/>
                <w:highlight w:val="none"/>
              </w:rPr>
              <w:t>3</w:t>
            </w:r>
            <w:r>
              <w:rPr>
                <w:rFonts w:hint="eastAsia" w:ascii="宋体" w:hAnsi="宋体" w:cs="宋体"/>
                <w:b w:val="0"/>
                <w:bCs/>
                <w:sz w:val="24"/>
                <w:szCs w:val="24"/>
                <w:highlight w:val="none"/>
                <w:lang w:val="en-US" w:eastAsia="zh-CN"/>
              </w:rPr>
              <w:t>3</w:t>
            </w:r>
            <w:r>
              <w:rPr>
                <w:rFonts w:hint="eastAsia" w:ascii="宋体" w:hAnsi="宋体" w:cs="宋体"/>
                <w:b w:val="0"/>
                <w:bCs/>
                <w:sz w:val="24"/>
                <w:szCs w:val="24"/>
                <w:highlight w:val="none"/>
              </w:rPr>
              <w:t>分</w:t>
            </w:r>
          </w:p>
        </w:tc>
        <w:tc>
          <w:tcPr>
            <w:tcW w:w="6399" w:type="dxa"/>
            <w:vAlign w:val="center"/>
          </w:tcPr>
          <w:p>
            <w:pPr>
              <w:spacing w:line="400" w:lineRule="exact"/>
              <w:rPr>
                <w:rFonts w:hint="eastAsia"/>
                <w:b w:val="0"/>
                <w:bCs/>
                <w:highlight w:val="none"/>
              </w:rPr>
            </w:pPr>
            <w:r>
              <w:rPr>
                <w:rFonts w:hint="eastAsia" w:ascii="宋体" w:hAnsi="宋体" w:cs="宋体"/>
                <w:b w:val="0"/>
                <w:bCs/>
                <w:highlight w:val="none"/>
              </w:rPr>
              <w:t>所投货物的技术参数完全满足招标文件项目清单设备参数要求的得基本分1</w:t>
            </w:r>
            <w:r>
              <w:rPr>
                <w:rFonts w:hint="eastAsia" w:ascii="宋体" w:hAnsi="宋体" w:cs="宋体"/>
                <w:b w:val="0"/>
                <w:bCs/>
                <w:highlight w:val="none"/>
                <w:lang w:val="en-US" w:eastAsia="zh-CN"/>
              </w:rPr>
              <w:t>3</w:t>
            </w:r>
            <w:r>
              <w:rPr>
                <w:rFonts w:hint="eastAsia" w:ascii="宋体" w:hAnsi="宋体" w:cs="宋体"/>
                <w:b w:val="0"/>
                <w:bCs/>
                <w:highlight w:val="none"/>
              </w:rPr>
              <w:t>分。</w:t>
            </w:r>
            <w:r>
              <w:rPr>
                <w:rFonts w:ascii="宋体" w:hAnsi="宋体" w:cs="宋体"/>
                <w:b w:val="0"/>
                <w:bCs/>
                <w:highlight w:val="none"/>
              </w:rPr>
              <w:t>下列设备功能</w:t>
            </w:r>
            <w:r>
              <w:rPr>
                <w:rFonts w:hint="eastAsia" w:ascii="宋体" w:hAnsi="宋体" w:cs="宋体"/>
                <w:b w:val="0"/>
                <w:bCs/>
                <w:highlight w:val="none"/>
              </w:rPr>
              <w:t>，</w:t>
            </w:r>
            <w:r>
              <w:rPr>
                <w:rFonts w:ascii="宋体" w:hAnsi="宋体" w:cs="宋体"/>
                <w:b w:val="0"/>
                <w:bCs/>
                <w:highlight w:val="none"/>
              </w:rPr>
              <w:t>满足的得到相应分数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431" w:type="dxa"/>
            <w:vMerge w:val="continue"/>
            <w:vAlign w:val="center"/>
          </w:tcPr>
          <w:p>
            <w:pPr>
              <w:spacing w:line="400" w:lineRule="exact"/>
              <w:rPr>
                <w:rFonts w:ascii="宋体" w:hAnsi="宋体" w:cs="宋体"/>
                <w:b w:val="0"/>
                <w:bCs/>
                <w:sz w:val="24"/>
                <w:szCs w:val="24"/>
                <w:highlight w:val="none"/>
              </w:rPr>
            </w:pPr>
          </w:p>
        </w:tc>
        <w:tc>
          <w:tcPr>
            <w:tcW w:w="1065" w:type="dxa"/>
            <w:vMerge w:val="continue"/>
            <w:vAlign w:val="center"/>
          </w:tcPr>
          <w:p>
            <w:pPr>
              <w:spacing w:line="400" w:lineRule="exact"/>
              <w:jc w:val="center"/>
              <w:rPr>
                <w:rFonts w:ascii="宋体" w:hAnsi="宋体" w:cs="宋体"/>
                <w:b w:val="0"/>
                <w:bCs/>
                <w:sz w:val="24"/>
                <w:szCs w:val="24"/>
                <w:highlight w:val="none"/>
              </w:rPr>
            </w:pPr>
          </w:p>
        </w:tc>
        <w:tc>
          <w:tcPr>
            <w:tcW w:w="1155" w:type="dxa"/>
            <w:vMerge w:val="continue"/>
            <w:vAlign w:val="center"/>
          </w:tcPr>
          <w:p>
            <w:pPr>
              <w:spacing w:line="400" w:lineRule="exact"/>
              <w:jc w:val="center"/>
              <w:rPr>
                <w:rFonts w:ascii="宋体" w:hAnsi="宋体" w:cs="宋体"/>
                <w:b w:val="0"/>
                <w:bCs/>
                <w:sz w:val="24"/>
                <w:szCs w:val="24"/>
                <w:highlight w:val="none"/>
              </w:rPr>
            </w:pPr>
          </w:p>
        </w:tc>
        <w:tc>
          <w:tcPr>
            <w:tcW w:w="797" w:type="dxa"/>
            <w:vMerge w:val="continue"/>
            <w:vAlign w:val="center"/>
          </w:tcPr>
          <w:p>
            <w:pPr>
              <w:spacing w:line="400" w:lineRule="exact"/>
              <w:jc w:val="center"/>
              <w:rPr>
                <w:rFonts w:ascii="宋体" w:hAnsi="宋体" w:cs="宋体"/>
                <w:b w:val="0"/>
                <w:bCs/>
                <w:szCs w:val="21"/>
                <w:highlight w:val="none"/>
              </w:rPr>
            </w:pPr>
          </w:p>
        </w:tc>
        <w:tc>
          <w:tcPr>
            <w:tcW w:w="6399" w:type="dxa"/>
            <w:vAlign w:val="center"/>
          </w:tcPr>
          <w:p>
            <w:pPr>
              <w:spacing w:line="400" w:lineRule="exact"/>
              <w:rPr>
                <w:rFonts w:ascii="宋体" w:hAnsi="宋体" w:cs="宋体"/>
                <w:b w:val="0"/>
                <w:bCs/>
                <w:highlight w:val="none"/>
              </w:rPr>
            </w:pPr>
            <w:r>
              <w:rPr>
                <w:rFonts w:ascii="宋体" w:hAnsi="宋体" w:cs="宋体"/>
                <w:b w:val="0"/>
                <w:bCs/>
                <w:highlight w:val="none"/>
              </w:rPr>
              <w:t xml:space="preserve">一. </w:t>
            </w:r>
            <w:r>
              <w:rPr>
                <w:rFonts w:hint="eastAsia" w:ascii="宋体" w:hAnsi="宋体" w:cs="宋体"/>
                <w:b w:val="0"/>
                <w:bCs/>
                <w:highlight w:val="none"/>
              </w:rPr>
              <w:t>900万像素卡口抓拍单元（6分）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31" w:type="dxa"/>
            <w:vMerge w:val="continue"/>
            <w:vAlign w:val="center"/>
          </w:tcPr>
          <w:p>
            <w:pPr>
              <w:spacing w:line="400" w:lineRule="exact"/>
              <w:rPr>
                <w:rFonts w:ascii="宋体" w:hAnsi="宋体" w:cs="宋体"/>
                <w:b w:val="0"/>
                <w:bCs/>
                <w:sz w:val="24"/>
                <w:szCs w:val="24"/>
                <w:highlight w:val="none"/>
              </w:rPr>
            </w:pPr>
          </w:p>
        </w:tc>
        <w:tc>
          <w:tcPr>
            <w:tcW w:w="1065" w:type="dxa"/>
            <w:vMerge w:val="continue"/>
            <w:vAlign w:val="center"/>
          </w:tcPr>
          <w:p>
            <w:pPr>
              <w:spacing w:line="400" w:lineRule="exact"/>
              <w:jc w:val="center"/>
              <w:rPr>
                <w:rFonts w:ascii="宋体" w:hAnsi="宋体" w:cs="宋体"/>
                <w:b w:val="0"/>
                <w:bCs/>
                <w:sz w:val="24"/>
                <w:szCs w:val="24"/>
                <w:highlight w:val="none"/>
              </w:rPr>
            </w:pPr>
          </w:p>
        </w:tc>
        <w:tc>
          <w:tcPr>
            <w:tcW w:w="1155" w:type="dxa"/>
            <w:vMerge w:val="continue"/>
            <w:vAlign w:val="center"/>
          </w:tcPr>
          <w:p>
            <w:pPr>
              <w:spacing w:line="400" w:lineRule="exact"/>
              <w:jc w:val="center"/>
              <w:rPr>
                <w:rFonts w:ascii="宋体" w:hAnsi="宋体" w:cs="宋体"/>
                <w:b w:val="0"/>
                <w:bCs/>
                <w:sz w:val="24"/>
                <w:szCs w:val="24"/>
                <w:highlight w:val="none"/>
              </w:rPr>
            </w:pPr>
          </w:p>
        </w:tc>
        <w:tc>
          <w:tcPr>
            <w:tcW w:w="797" w:type="dxa"/>
            <w:vMerge w:val="continue"/>
            <w:vAlign w:val="center"/>
          </w:tcPr>
          <w:p>
            <w:pPr>
              <w:spacing w:line="400" w:lineRule="exact"/>
              <w:jc w:val="center"/>
              <w:rPr>
                <w:rFonts w:ascii="宋体" w:hAnsi="宋体" w:cs="宋体"/>
                <w:b w:val="0"/>
                <w:bCs/>
                <w:szCs w:val="21"/>
                <w:highlight w:val="none"/>
              </w:rPr>
            </w:pPr>
          </w:p>
        </w:tc>
        <w:tc>
          <w:tcPr>
            <w:tcW w:w="6399" w:type="dxa"/>
            <w:vAlign w:val="center"/>
          </w:tcPr>
          <w:p>
            <w:pPr>
              <w:rPr>
                <w:rFonts w:ascii="宋体" w:hAnsi="宋体" w:cs="宋体"/>
                <w:b w:val="0"/>
                <w:bCs/>
                <w:sz w:val="21"/>
                <w:szCs w:val="21"/>
                <w:highlight w:val="none"/>
              </w:rPr>
            </w:pPr>
            <w:r>
              <w:rPr>
                <w:rFonts w:hint="eastAsia" w:ascii="宋体" w:hAnsi="宋体" w:cs="宋体"/>
                <w:b w:val="0"/>
                <w:bCs/>
                <w:sz w:val="21"/>
                <w:szCs w:val="21"/>
                <w:highlight w:val="none"/>
              </w:rPr>
              <w:t>1、支持主副驾驶人脸抠图功能，单车道场景下，主副驾驶员人脸抠图像素点不小于120像素点×120像素点，得1分；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431" w:type="dxa"/>
            <w:vMerge w:val="continue"/>
            <w:vAlign w:val="center"/>
          </w:tcPr>
          <w:p>
            <w:pPr>
              <w:spacing w:line="400" w:lineRule="exact"/>
              <w:rPr>
                <w:rFonts w:ascii="宋体" w:hAnsi="宋体" w:cs="宋体"/>
                <w:b w:val="0"/>
                <w:bCs/>
                <w:sz w:val="24"/>
                <w:szCs w:val="24"/>
                <w:highlight w:val="none"/>
              </w:rPr>
            </w:pPr>
          </w:p>
        </w:tc>
        <w:tc>
          <w:tcPr>
            <w:tcW w:w="1065" w:type="dxa"/>
            <w:vMerge w:val="continue"/>
            <w:vAlign w:val="center"/>
          </w:tcPr>
          <w:p>
            <w:pPr>
              <w:spacing w:line="400" w:lineRule="exact"/>
              <w:jc w:val="center"/>
              <w:rPr>
                <w:rFonts w:ascii="宋体" w:hAnsi="宋体" w:cs="宋体"/>
                <w:b w:val="0"/>
                <w:bCs/>
                <w:sz w:val="24"/>
                <w:szCs w:val="24"/>
                <w:highlight w:val="none"/>
              </w:rPr>
            </w:pPr>
          </w:p>
        </w:tc>
        <w:tc>
          <w:tcPr>
            <w:tcW w:w="1155" w:type="dxa"/>
            <w:vMerge w:val="continue"/>
            <w:vAlign w:val="center"/>
          </w:tcPr>
          <w:p>
            <w:pPr>
              <w:spacing w:line="400" w:lineRule="exact"/>
              <w:jc w:val="center"/>
              <w:rPr>
                <w:rFonts w:ascii="宋体" w:hAnsi="宋体" w:cs="宋体"/>
                <w:b w:val="0"/>
                <w:bCs/>
                <w:sz w:val="24"/>
                <w:szCs w:val="24"/>
                <w:highlight w:val="none"/>
              </w:rPr>
            </w:pPr>
          </w:p>
        </w:tc>
        <w:tc>
          <w:tcPr>
            <w:tcW w:w="797" w:type="dxa"/>
            <w:vMerge w:val="continue"/>
            <w:vAlign w:val="center"/>
          </w:tcPr>
          <w:p>
            <w:pPr>
              <w:spacing w:line="400" w:lineRule="exact"/>
              <w:jc w:val="center"/>
              <w:rPr>
                <w:rFonts w:ascii="宋体" w:hAnsi="宋体" w:cs="宋体"/>
                <w:b w:val="0"/>
                <w:bCs/>
                <w:szCs w:val="21"/>
                <w:highlight w:val="none"/>
              </w:rPr>
            </w:pPr>
          </w:p>
        </w:tc>
        <w:tc>
          <w:tcPr>
            <w:tcW w:w="6399" w:type="dxa"/>
            <w:vAlign w:val="center"/>
          </w:tcPr>
          <w:p>
            <w:pPr>
              <w:rPr>
                <w:rFonts w:ascii="宋体" w:hAnsi="宋体" w:cs="宋体"/>
                <w:b w:val="0"/>
                <w:bCs/>
                <w:sz w:val="21"/>
                <w:szCs w:val="21"/>
                <w:highlight w:val="none"/>
              </w:rPr>
            </w:pPr>
            <w:r>
              <w:rPr>
                <w:rFonts w:hint="eastAsia" w:ascii="宋体" w:hAnsi="宋体" w:cs="宋体"/>
                <w:b w:val="0"/>
                <w:bCs/>
                <w:sz w:val="21"/>
                <w:szCs w:val="21"/>
                <w:highlight w:val="none"/>
              </w:rPr>
              <w:t>2、设备可识别351种机动车品牌标志，白天识别准确率≥99%，夜晚识别准确率≥99%。，得1分；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431" w:type="dxa"/>
            <w:vMerge w:val="continue"/>
            <w:vAlign w:val="center"/>
          </w:tcPr>
          <w:p>
            <w:pPr>
              <w:spacing w:line="400" w:lineRule="exact"/>
              <w:rPr>
                <w:rFonts w:ascii="宋体" w:hAnsi="宋体" w:cs="宋体"/>
                <w:b w:val="0"/>
                <w:bCs/>
                <w:sz w:val="24"/>
                <w:szCs w:val="24"/>
                <w:highlight w:val="none"/>
              </w:rPr>
            </w:pPr>
          </w:p>
        </w:tc>
        <w:tc>
          <w:tcPr>
            <w:tcW w:w="1065" w:type="dxa"/>
            <w:vMerge w:val="continue"/>
            <w:vAlign w:val="center"/>
          </w:tcPr>
          <w:p>
            <w:pPr>
              <w:spacing w:line="400" w:lineRule="exact"/>
              <w:jc w:val="center"/>
              <w:rPr>
                <w:rFonts w:ascii="宋体" w:hAnsi="宋体" w:cs="宋体"/>
                <w:b w:val="0"/>
                <w:bCs/>
                <w:sz w:val="24"/>
                <w:szCs w:val="24"/>
                <w:highlight w:val="none"/>
              </w:rPr>
            </w:pPr>
          </w:p>
        </w:tc>
        <w:tc>
          <w:tcPr>
            <w:tcW w:w="1155" w:type="dxa"/>
            <w:vMerge w:val="continue"/>
            <w:vAlign w:val="center"/>
          </w:tcPr>
          <w:p>
            <w:pPr>
              <w:spacing w:line="400" w:lineRule="exact"/>
              <w:jc w:val="center"/>
              <w:rPr>
                <w:rFonts w:ascii="宋体" w:hAnsi="宋体" w:cs="宋体"/>
                <w:b w:val="0"/>
                <w:bCs/>
                <w:sz w:val="24"/>
                <w:szCs w:val="24"/>
                <w:highlight w:val="none"/>
              </w:rPr>
            </w:pPr>
          </w:p>
        </w:tc>
        <w:tc>
          <w:tcPr>
            <w:tcW w:w="797" w:type="dxa"/>
            <w:vMerge w:val="continue"/>
            <w:vAlign w:val="center"/>
          </w:tcPr>
          <w:p>
            <w:pPr>
              <w:spacing w:line="400" w:lineRule="exact"/>
              <w:jc w:val="center"/>
              <w:rPr>
                <w:rFonts w:ascii="宋体" w:hAnsi="宋体" w:cs="宋体"/>
                <w:b w:val="0"/>
                <w:bCs/>
                <w:szCs w:val="21"/>
                <w:highlight w:val="none"/>
              </w:rPr>
            </w:pPr>
          </w:p>
        </w:tc>
        <w:tc>
          <w:tcPr>
            <w:tcW w:w="6399" w:type="dxa"/>
            <w:vAlign w:val="center"/>
          </w:tcPr>
          <w:p>
            <w:pPr>
              <w:rPr>
                <w:rFonts w:ascii="宋体" w:hAnsi="宋体" w:cs="宋体"/>
                <w:b w:val="0"/>
                <w:bCs/>
                <w:sz w:val="21"/>
                <w:szCs w:val="21"/>
                <w:highlight w:val="none"/>
              </w:rPr>
            </w:pPr>
            <w:r>
              <w:rPr>
                <w:rFonts w:ascii="宋体" w:hAnsi="宋体" w:cs="宋体"/>
                <w:b w:val="0"/>
                <w:bCs/>
                <w:sz w:val="21"/>
                <w:szCs w:val="21"/>
                <w:highlight w:val="none"/>
              </w:rPr>
              <w:t>3</w:t>
            </w:r>
            <w:r>
              <w:rPr>
                <w:rFonts w:hint="eastAsia" w:ascii="宋体" w:hAnsi="宋体" w:cs="宋体"/>
                <w:b w:val="0"/>
                <w:bCs/>
                <w:sz w:val="21"/>
                <w:szCs w:val="21"/>
                <w:highlight w:val="none"/>
              </w:rPr>
              <w:t>、支持车辆子品牌识别功能，通过车头可识别7100种，通过车尾可识别3800种，全天识别准确率不低于99%，得1分；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431" w:type="dxa"/>
            <w:vMerge w:val="continue"/>
            <w:vAlign w:val="center"/>
          </w:tcPr>
          <w:p>
            <w:pPr>
              <w:spacing w:line="400" w:lineRule="exact"/>
              <w:rPr>
                <w:rFonts w:ascii="宋体" w:hAnsi="宋体" w:cs="宋体"/>
                <w:b w:val="0"/>
                <w:bCs/>
                <w:sz w:val="24"/>
                <w:szCs w:val="24"/>
                <w:highlight w:val="none"/>
              </w:rPr>
            </w:pPr>
          </w:p>
        </w:tc>
        <w:tc>
          <w:tcPr>
            <w:tcW w:w="1065" w:type="dxa"/>
            <w:vMerge w:val="continue"/>
            <w:vAlign w:val="center"/>
          </w:tcPr>
          <w:p>
            <w:pPr>
              <w:spacing w:line="400" w:lineRule="exact"/>
              <w:jc w:val="center"/>
              <w:rPr>
                <w:rFonts w:ascii="宋体" w:hAnsi="宋体" w:cs="宋体"/>
                <w:b w:val="0"/>
                <w:bCs/>
                <w:sz w:val="24"/>
                <w:szCs w:val="24"/>
                <w:highlight w:val="none"/>
              </w:rPr>
            </w:pPr>
          </w:p>
        </w:tc>
        <w:tc>
          <w:tcPr>
            <w:tcW w:w="1155" w:type="dxa"/>
            <w:vMerge w:val="continue"/>
            <w:vAlign w:val="center"/>
          </w:tcPr>
          <w:p>
            <w:pPr>
              <w:spacing w:line="400" w:lineRule="exact"/>
              <w:jc w:val="center"/>
              <w:rPr>
                <w:rFonts w:ascii="宋体" w:hAnsi="宋体" w:cs="宋体"/>
                <w:b w:val="0"/>
                <w:bCs/>
                <w:sz w:val="24"/>
                <w:szCs w:val="24"/>
                <w:highlight w:val="none"/>
              </w:rPr>
            </w:pPr>
          </w:p>
        </w:tc>
        <w:tc>
          <w:tcPr>
            <w:tcW w:w="797" w:type="dxa"/>
            <w:vMerge w:val="continue"/>
            <w:vAlign w:val="center"/>
          </w:tcPr>
          <w:p>
            <w:pPr>
              <w:spacing w:line="400" w:lineRule="exact"/>
              <w:jc w:val="center"/>
              <w:rPr>
                <w:rFonts w:ascii="宋体" w:hAnsi="宋体" w:cs="宋体"/>
                <w:b w:val="0"/>
                <w:bCs/>
                <w:szCs w:val="21"/>
                <w:highlight w:val="none"/>
              </w:rPr>
            </w:pPr>
          </w:p>
        </w:tc>
        <w:tc>
          <w:tcPr>
            <w:tcW w:w="6399" w:type="dxa"/>
            <w:vAlign w:val="center"/>
          </w:tcPr>
          <w:p>
            <w:pPr>
              <w:rPr>
                <w:rFonts w:ascii="宋体" w:hAnsi="宋体" w:cs="宋体"/>
                <w:b w:val="0"/>
                <w:bCs/>
                <w:sz w:val="21"/>
                <w:szCs w:val="21"/>
                <w:highlight w:val="none"/>
              </w:rPr>
            </w:pPr>
            <w:r>
              <w:rPr>
                <w:rFonts w:hint="eastAsia" w:ascii="宋体" w:hAnsi="宋体" w:cs="宋体"/>
                <w:b w:val="0"/>
                <w:bCs/>
                <w:sz w:val="21"/>
                <w:szCs w:val="21"/>
                <w:highlight w:val="none"/>
              </w:rPr>
              <w:t>4、支持对闯禁令的大小货车、土方车、挂车、混凝土搅拌车和大型客车进行检测抓拍，包括黄牌和蓝牌，全天捕获率不低于99%，得1分；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431" w:type="dxa"/>
            <w:vMerge w:val="continue"/>
            <w:vAlign w:val="center"/>
          </w:tcPr>
          <w:p>
            <w:pPr>
              <w:spacing w:line="400" w:lineRule="exact"/>
              <w:rPr>
                <w:rFonts w:ascii="宋体" w:hAnsi="宋体" w:cs="宋体"/>
                <w:b w:val="0"/>
                <w:bCs/>
                <w:sz w:val="24"/>
                <w:szCs w:val="24"/>
                <w:highlight w:val="none"/>
              </w:rPr>
            </w:pPr>
          </w:p>
        </w:tc>
        <w:tc>
          <w:tcPr>
            <w:tcW w:w="1065" w:type="dxa"/>
            <w:vMerge w:val="continue"/>
            <w:vAlign w:val="center"/>
          </w:tcPr>
          <w:p>
            <w:pPr>
              <w:spacing w:line="400" w:lineRule="exact"/>
              <w:jc w:val="center"/>
              <w:rPr>
                <w:rFonts w:ascii="宋体" w:hAnsi="宋体" w:cs="宋体"/>
                <w:b w:val="0"/>
                <w:bCs/>
                <w:sz w:val="24"/>
                <w:szCs w:val="24"/>
                <w:highlight w:val="none"/>
              </w:rPr>
            </w:pPr>
          </w:p>
        </w:tc>
        <w:tc>
          <w:tcPr>
            <w:tcW w:w="1155" w:type="dxa"/>
            <w:vMerge w:val="continue"/>
            <w:vAlign w:val="center"/>
          </w:tcPr>
          <w:p>
            <w:pPr>
              <w:spacing w:line="400" w:lineRule="exact"/>
              <w:jc w:val="center"/>
              <w:rPr>
                <w:rFonts w:ascii="宋体" w:hAnsi="宋体" w:cs="宋体"/>
                <w:b w:val="0"/>
                <w:bCs/>
                <w:sz w:val="24"/>
                <w:szCs w:val="24"/>
                <w:highlight w:val="none"/>
              </w:rPr>
            </w:pPr>
          </w:p>
        </w:tc>
        <w:tc>
          <w:tcPr>
            <w:tcW w:w="797" w:type="dxa"/>
            <w:vMerge w:val="continue"/>
            <w:vAlign w:val="center"/>
          </w:tcPr>
          <w:p>
            <w:pPr>
              <w:spacing w:line="400" w:lineRule="exact"/>
              <w:jc w:val="center"/>
              <w:rPr>
                <w:rFonts w:ascii="宋体" w:hAnsi="宋体" w:cs="宋体"/>
                <w:b w:val="0"/>
                <w:bCs/>
                <w:szCs w:val="21"/>
                <w:highlight w:val="none"/>
              </w:rPr>
            </w:pPr>
          </w:p>
        </w:tc>
        <w:tc>
          <w:tcPr>
            <w:tcW w:w="6399" w:type="dxa"/>
            <w:vAlign w:val="center"/>
          </w:tcPr>
          <w:p>
            <w:pPr>
              <w:rPr>
                <w:rFonts w:ascii="宋体" w:hAnsi="宋体" w:cs="宋体"/>
                <w:b w:val="0"/>
                <w:bCs/>
                <w:sz w:val="21"/>
                <w:szCs w:val="21"/>
                <w:highlight w:val="none"/>
              </w:rPr>
            </w:pPr>
            <w:r>
              <w:rPr>
                <w:rFonts w:hint="eastAsia" w:ascii="宋体" w:hAnsi="宋体" w:cs="宋体"/>
                <w:b w:val="0"/>
                <w:bCs/>
                <w:sz w:val="21"/>
                <w:szCs w:val="21"/>
                <w:highlight w:val="none"/>
              </w:rPr>
              <w:t>5、支持设定以位置、车速、车型、行驶方向和车牌类型等为触发条件进行抓拍，得1分。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31" w:type="dxa"/>
            <w:vMerge w:val="continue"/>
            <w:vAlign w:val="center"/>
          </w:tcPr>
          <w:p>
            <w:pPr>
              <w:spacing w:line="400" w:lineRule="exact"/>
              <w:rPr>
                <w:rFonts w:ascii="宋体" w:hAnsi="宋体" w:cs="宋体"/>
                <w:b w:val="0"/>
                <w:bCs/>
                <w:sz w:val="24"/>
                <w:szCs w:val="24"/>
                <w:highlight w:val="none"/>
              </w:rPr>
            </w:pPr>
          </w:p>
        </w:tc>
        <w:tc>
          <w:tcPr>
            <w:tcW w:w="1065" w:type="dxa"/>
            <w:vMerge w:val="continue"/>
            <w:vAlign w:val="center"/>
          </w:tcPr>
          <w:p>
            <w:pPr>
              <w:spacing w:line="400" w:lineRule="exact"/>
              <w:jc w:val="center"/>
              <w:rPr>
                <w:rFonts w:ascii="宋体" w:hAnsi="宋体" w:cs="宋体"/>
                <w:b w:val="0"/>
                <w:bCs/>
                <w:sz w:val="24"/>
                <w:szCs w:val="24"/>
                <w:highlight w:val="none"/>
              </w:rPr>
            </w:pPr>
          </w:p>
        </w:tc>
        <w:tc>
          <w:tcPr>
            <w:tcW w:w="1155" w:type="dxa"/>
            <w:vMerge w:val="continue"/>
            <w:vAlign w:val="center"/>
          </w:tcPr>
          <w:p>
            <w:pPr>
              <w:spacing w:line="400" w:lineRule="exact"/>
              <w:jc w:val="center"/>
              <w:rPr>
                <w:rFonts w:ascii="宋体" w:hAnsi="宋体" w:cs="宋体"/>
                <w:b w:val="0"/>
                <w:bCs/>
                <w:sz w:val="24"/>
                <w:szCs w:val="24"/>
                <w:highlight w:val="none"/>
              </w:rPr>
            </w:pPr>
          </w:p>
        </w:tc>
        <w:tc>
          <w:tcPr>
            <w:tcW w:w="797" w:type="dxa"/>
            <w:vMerge w:val="continue"/>
            <w:vAlign w:val="center"/>
          </w:tcPr>
          <w:p>
            <w:pPr>
              <w:spacing w:line="400" w:lineRule="exact"/>
              <w:jc w:val="center"/>
              <w:rPr>
                <w:rFonts w:ascii="宋体" w:hAnsi="宋体" w:cs="宋体"/>
                <w:b w:val="0"/>
                <w:bCs/>
                <w:szCs w:val="21"/>
                <w:highlight w:val="none"/>
              </w:rPr>
            </w:pPr>
          </w:p>
        </w:tc>
        <w:tc>
          <w:tcPr>
            <w:tcW w:w="6399" w:type="dxa"/>
            <w:vAlign w:val="center"/>
          </w:tcPr>
          <w:p>
            <w:pPr>
              <w:rPr>
                <w:rFonts w:ascii="宋体" w:hAnsi="宋体" w:cs="宋体"/>
                <w:b w:val="0"/>
                <w:bCs/>
                <w:sz w:val="21"/>
                <w:szCs w:val="21"/>
                <w:highlight w:val="none"/>
              </w:rPr>
            </w:pPr>
            <w:r>
              <w:rPr>
                <w:rFonts w:ascii="宋体" w:hAnsi="宋体" w:cs="宋体"/>
                <w:b w:val="0"/>
                <w:bCs/>
                <w:sz w:val="21"/>
                <w:szCs w:val="21"/>
                <w:highlight w:val="none"/>
              </w:rPr>
              <w:t>6</w:t>
            </w:r>
            <w:r>
              <w:rPr>
                <w:rFonts w:hint="eastAsia" w:ascii="宋体" w:hAnsi="宋体" w:cs="宋体"/>
                <w:b w:val="0"/>
                <w:bCs/>
                <w:sz w:val="21"/>
                <w:szCs w:val="21"/>
                <w:highlight w:val="none"/>
              </w:rPr>
              <w:t>、在卡口检测人体/人脸配置3张抓拍图片的前提下，支持最佳图片去重筛选，得1分。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31" w:type="dxa"/>
            <w:vMerge w:val="continue"/>
            <w:vAlign w:val="center"/>
          </w:tcPr>
          <w:p>
            <w:pPr>
              <w:spacing w:line="400" w:lineRule="exact"/>
              <w:rPr>
                <w:rFonts w:ascii="宋体" w:hAnsi="宋体" w:cs="宋体"/>
                <w:b w:val="0"/>
                <w:bCs/>
                <w:sz w:val="24"/>
                <w:szCs w:val="24"/>
                <w:highlight w:val="none"/>
              </w:rPr>
            </w:pPr>
          </w:p>
        </w:tc>
        <w:tc>
          <w:tcPr>
            <w:tcW w:w="1065" w:type="dxa"/>
            <w:vMerge w:val="continue"/>
            <w:vAlign w:val="center"/>
          </w:tcPr>
          <w:p>
            <w:pPr>
              <w:spacing w:line="400" w:lineRule="exact"/>
              <w:jc w:val="center"/>
              <w:rPr>
                <w:rFonts w:ascii="宋体" w:hAnsi="宋体" w:cs="宋体"/>
                <w:b w:val="0"/>
                <w:bCs/>
                <w:sz w:val="24"/>
                <w:szCs w:val="24"/>
                <w:highlight w:val="none"/>
              </w:rPr>
            </w:pPr>
          </w:p>
        </w:tc>
        <w:tc>
          <w:tcPr>
            <w:tcW w:w="1155" w:type="dxa"/>
            <w:vMerge w:val="continue"/>
            <w:vAlign w:val="center"/>
          </w:tcPr>
          <w:p>
            <w:pPr>
              <w:spacing w:line="400" w:lineRule="exact"/>
              <w:jc w:val="center"/>
              <w:rPr>
                <w:rFonts w:ascii="宋体" w:hAnsi="宋体" w:cs="宋体"/>
                <w:b w:val="0"/>
                <w:bCs/>
                <w:sz w:val="24"/>
                <w:szCs w:val="24"/>
                <w:highlight w:val="none"/>
              </w:rPr>
            </w:pPr>
          </w:p>
        </w:tc>
        <w:tc>
          <w:tcPr>
            <w:tcW w:w="797" w:type="dxa"/>
            <w:vMerge w:val="continue"/>
            <w:vAlign w:val="center"/>
          </w:tcPr>
          <w:p>
            <w:pPr>
              <w:spacing w:line="400" w:lineRule="exact"/>
              <w:jc w:val="center"/>
              <w:rPr>
                <w:rFonts w:ascii="宋体" w:hAnsi="宋体" w:cs="宋体"/>
                <w:b w:val="0"/>
                <w:bCs/>
                <w:szCs w:val="21"/>
                <w:highlight w:val="none"/>
              </w:rPr>
            </w:pPr>
          </w:p>
        </w:tc>
        <w:tc>
          <w:tcPr>
            <w:tcW w:w="6399" w:type="dxa"/>
            <w:vAlign w:val="center"/>
          </w:tcPr>
          <w:p>
            <w:pPr>
              <w:rPr>
                <w:rFonts w:ascii="宋体" w:hAnsi="宋体" w:cs="宋体"/>
                <w:b w:val="0"/>
                <w:bCs/>
                <w:sz w:val="21"/>
                <w:szCs w:val="21"/>
                <w:highlight w:val="none"/>
              </w:rPr>
            </w:pPr>
            <w:r>
              <w:rPr>
                <w:rFonts w:hint="eastAsia" w:ascii="宋体" w:hAnsi="宋体" w:cs="宋体"/>
                <w:b w:val="0"/>
                <w:bCs/>
                <w:sz w:val="21"/>
                <w:szCs w:val="21"/>
                <w:highlight w:val="none"/>
              </w:rPr>
              <w:t>注：以上1-</w:t>
            </w:r>
            <w:r>
              <w:rPr>
                <w:rFonts w:ascii="宋体" w:hAnsi="宋体" w:cs="宋体"/>
                <w:b w:val="0"/>
                <w:bCs/>
                <w:sz w:val="21"/>
                <w:szCs w:val="21"/>
                <w:highlight w:val="none"/>
              </w:rPr>
              <w:t>6</w:t>
            </w:r>
            <w:r>
              <w:rPr>
                <w:rFonts w:hint="eastAsia" w:ascii="宋体" w:hAnsi="宋体" w:cs="宋体"/>
                <w:b w:val="0"/>
                <w:bCs/>
                <w:sz w:val="21"/>
                <w:szCs w:val="21"/>
                <w:highlight w:val="none"/>
              </w:rPr>
              <w:t>项开标时须提供公安部检测评测机构出具的检测证明复印件并加盖产品制造商公章，否则不得分；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431" w:type="dxa"/>
            <w:vMerge w:val="continue"/>
            <w:vAlign w:val="center"/>
          </w:tcPr>
          <w:p>
            <w:pPr>
              <w:spacing w:line="400" w:lineRule="exact"/>
              <w:rPr>
                <w:rFonts w:ascii="宋体" w:hAnsi="宋体" w:cs="宋体"/>
                <w:b w:val="0"/>
                <w:bCs/>
                <w:sz w:val="24"/>
                <w:szCs w:val="24"/>
                <w:highlight w:val="none"/>
              </w:rPr>
            </w:pPr>
          </w:p>
        </w:tc>
        <w:tc>
          <w:tcPr>
            <w:tcW w:w="1065" w:type="dxa"/>
            <w:vMerge w:val="continue"/>
            <w:vAlign w:val="center"/>
          </w:tcPr>
          <w:p>
            <w:pPr>
              <w:spacing w:line="400" w:lineRule="exact"/>
              <w:jc w:val="center"/>
              <w:rPr>
                <w:rFonts w:ascii="宋体" w:hAnsi="宋体" w:cs="宋体"/>
                <w:b w:val="0"/>
                <w:bCs/>
                <w:sz w:val="24"/>
                <w:szCs w:val="24"/>
                <w:highlight w:val="none"/>
              </w:rPr>
            </w:pPr>
          </w:p>
        </w:tc>
        <w:tc>
          <w:tcPr>
            <w:tcW w:w="1155" w:type="dxa"/>
            <w:vMerge w:val="continue"/>
            <w:vAlign w:val="center"/>
          </w:tcPr>
          <w:p>
            <w:pPr>
              <w:spacing w:line="400" w:lineRule="exact"/>
              <w:jc w:val="center"/>
              <w:rPr>
                <w:rFonts w:ascii="宋体" w:hAnsi="宋体" w:cs="宋体"/>
                <w:b w:val="0"/>
                <w:bCs/>
                <w:sz w:val="24"/>
                <w:szCs w:val="24"/>
                <w:highlight w:val="none"/>
              </w:rPr>
            </w:pPr>
          </w:p>
        </w:tc>
        <w:tc>
          <w:tcPr>
            <w:tcW w:w="797" w:type="dxa"/>
            <w:vMerge w:val="continue"/>
            <w:vAlign w:val="center"/>
          </w:tcPr>
          <w:p>
            <w:pPr>
              <w:spacing w:line="400" w:lineRule="exact"/>
              <w:jc w:val="center"/>
              <w:rPr>
                <w:rFonts w:ascii="宋体" w:hAnsi="宋体" w:cs="宋体"/>
                <w:b w:val="0"/>
                <w:bCs/>
                <w:szCs w:val="21"/>
                <w:highlight w:val="none"/>
              </w:rPr>
            </w:pPr>
          </w:p>
        </w:tc>
        <w:tc>
          <w:tcPr>
            <w:tcW w:w="6399" w:type="dxa"/>
            <w:vAlign w:val="center"/>
          </w:tcPr>
          <w:p>
            <w:pPr>
              <w:spacing w:line="400" w:lineRule="exact"/>
              <w:rPr>
                <w:rFonts w:ascii="宋体" w:hAnsi="宋体" w:cs="宋体"/>
                <w:b w:val="0"/>
                <w:bCs/>
                <w:highlight w:val="none"/>
              </w:rPr>
            </w:pPr>
            <w:r>
              <w:rPr>
                <w:rFonts w:hint="eastAsia" w:ascii="宋体" w:hAnsi="宋体" w:cs="宋体"/>
                <w:b/>
                <w:bCs w:val="0"/>
                <w:sz w:val="21"/>
                <w:szCs w:val="21"/>
                <w:highlight w:val="none"/>
                <w:lang w:eastAsia="zh-CN"/>
              </w:rPr>
              <w:t>二.800万像素微卡口抓拍单元（6分）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31" w:type="dxa"/>
            <w:vMerge w:val="continue"/>
            <w:vAlign w:val="center"/>
          </w:tcPr>
          <w:p>
            <w:pPr>
              <w:spacing w:line="400" w:lineRule="exact"/>
              <w:rPr>
                <w:rFonts w:ascii="宋体" w:hAnsi="宋体" w:cs="宋体"/>
                <w:b w:val="0"/>
                <w:bCs/>
                <w:sz w:val="24"/>
                <w:szCs w:val="24"/>
                <w:highlight w:val="none"/>
              </w:rPr>
            </w:pPr>
          </w:p>
        </w:tc>
        <w:tc>
          <w:tcPr>
            <w:tcW w:w="1065" w:type="dxa"/>
            <w:vMerge w:val="continue"/>
            <w:vAlign w:val="center"/>
          </w:tcPr>
          <w:p>
            <w:pPr>
              <w:spacing w:line="400" w:lineRule="exact"/>
              <w:jc w:val="center"/>
              <w:rPr>
                <w:rFonts w:ascii="宋体" w:hAnsi="宋体" w:cs="宋体"/>
                <w:b w:val="0"/>
                <w:bCs/>
                <w:sz w:val="24"/>
                <w:szCs w:val="24"/>
                <w:highlight w:val="none"/>
              </w:rPr>
            </w:pPr>
          </w:p>
        </w:tc>
        <w:tc>
          <w:tcPr>
            <w:tcW w:w="1155" w:type="dxa"/>
            <w:vMerge w:val="continue"/>
            <w:vAlign w:val="center"/>
          </w:tcPr>
          <w:p>
            <w:pPr>
              <w:spacing w:line="400" w:lineRule="exact"/>
              <w:jc w:val="center"/>
              <w:rPr>
                <w:rFonts w:ascii="宋体" w:hAnsi="宋体" w:cs="宋体"/>
                <w:b w:val="0"/>
                <w:bCs/>
                <w:sz w:val="24"/>
                <w:szCs w:val="24"/>
                <w:highlight w:val="none"/>
              </w:rPr>
            </w:pPr>
          </w:p>
        </w:tc>
        <w:tc>
          <w:tcPr>
            <w:tcW w:w="797" w:type="dxa"/>
            <w:vMerge w:val="continue"/>
            <w:vAlign w:val="center"/>
          </w:tcPr>
          <w:p>
            <w:pPr>
              <w:spacing w:line="400" w:lineRule="exact"/>
              <w:jc w:val="center"/>
              <w:rPr>
                <w:rFonts w:ascii="宋体" w:hAnsi="宋体" w:cs="宋体"/>
                <w:b w:val="0"/>
                <w:bCs/>
                <w:szCs w:val="21"/>
                <w:highlight w:val="none"/>
              </w:rPr>
            </w:pPr>
          </w:p>
        </w:tc>
        <w:tc>
          <w:tcPr>
            <w:tcW w:w="6399" w:type="dxa"/>
            <w:vAlign w:val="center"/>
          </w:tcPr>
          <w:p>
            <w:pPr>
              <w:rPr>
                <w:rFonts w:ascii="宋体" w:hAnsi="宋体" w:cs="宋体"/>
                <w:b w:val="0"/>
                <w:bCs/>
                <w:sz w:val="18"/>
                <w:szCs w:val="18"/>
                <w:highlight w:val="none"/>
              </w:rPr>
            </w:pPr>
            <w:r>
              <w:rPr>
                <w:rFonts w:hint="eastAsia" w:ascii="宋体" w:hAnsi="宋体" w:cs="宋体"/>
                <w:b w:val="0"/>
                <w:bCs/>
                <w:sz w:val="18"/>
                <w:szCs w:val="18"/>
                <w:highlight w:val="none"/>
              </w:rPr>
              <w:t>1、具有3个图像传感器和3个镜头，得1分；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31" w:type="dxa"/>
            <w:vMerge w:val="continue"/>
            <w:vAlign w:val="center"/>
          </w:tcPr>
          <w:p>
            <w:pPr>
              <w:spacing w:line="400" w:lineRule="exact"/>
              <w:rPr>
                <w:rFonts w:ascii="宋体" w:hAnsi="宋体" w:cs="宋体"/>
                <w:b w:val="0"/>
                <w:bCs/>
                <w:sz w:val="24"/>
                <w:szCs w:val="24"/>
                <w:highlight w:val="none"/>
              </w:rPr>
            </w:pPr>
          </w:p>
        </w:tc>
        <w:tc>
          <w:tcPr>
            <w:tcW w:w="1065" w:type="dxa"/>
            <w:vMerge w:val="continue"/>
            <w:vAlign w:val="center"/>
          </w:tcPr>
          <w:p>
            <w:pPr>
              <w:spacing w:line="400" w:lineRule="exact"/>
              <w:jc w:val="center"/>
              <w:rPr>
                <w:rFonts w:ascii="宋体" w:hAnsi="宋体" w:cs="宋体"/>
                <w:b w:val="0"/>
                <w:bCs/>
                <w:sz w:val="24"/>
                <w:szCs w:val="24"/>
                <w:highlight w:val="none"/>
              </w:rPr>
            </w:pPr>
          </w:p>
        </w:tc>
        <w:tc>
          <w:tcPr>
            <w:tcW w:w="1155" w:type="dxa"/>
            <w:vMerge w:val="continue"/>
            <w:vAlign w:val="center"/>
          </w:tcPr>
          <w:p>
            <w:pPr>
              <w:spacing w:line="400" w:lineRule="exact"/>
              <w:jc w:val="center"/>
              <w:rPr>
                <w:rFonts w:ascii="宋体" w:hAnsi="宋体" w:cs="宋体"/>
                <w:b w:val="0"/>
                <w:bCs/>
                <w:sz w:val="24"/>
                <w:szCs w:val="24"/>
                <w:highlight w:val="none"/>
              </w:rPr>
            </w:pPr>
          </w:p>
        </w:tc>
        <w:tc>
          <w:tcPr>
            <w:tcW w:w="797" w:type="dxa"/>
            <w:vMerge w:val="continue"/>
            <w:vAlign w:val="center"/>
          </w:tcPr>
          <w:p>
            <w:pPr>
              <w:spacing w:line="400" w:lineRule="exact"/>
              <w:jc w:val="center"/>
              <w:rPr>
                <w:rFonts w:ascii="宋体" w:hAnsi="宋体" w:cs="宋体"/>
                <w:b w:val="0"/>
                <w:bCs/>
                <w:szCs w:val="21"/>
                <w:highlight w:val="none"/>
              </w:rPr>
            </w:pPr>
          </w:p>
        </w:tc>
        <w:tc>
          <w:tcPr>
            <w:tcW w:w="6399" w:type="dxa"/>
            <w:vAlign w:val="center"/>
          </w:tcPr>
          <w:p>
            <w:pPr>
              <w:rPr>
                <w:rFonts w:ascii="宋体" w:hAnsi="宋体" w:cs="宋体"/>
                <w:b w:val="0"/>
                <w:bCs/>
                <w:sz w:val="18"/>
                <w:szCs w:val="18"/>
                <w:highlight w:val="none"/>
              </w:rPr>
            </w:pPr>
            <w:r>
              <w:rPr>
                <w:rFonts w:hint="eastAsia" w:ascii="宋体" w:hAnsi="宋体" w:cs="宋体"/>
                <w:b w:val="0"/>
                <w:bCs/>
                <w:sz w:val="18"/>
                <w:szCs w:val="18"/>
                <w:highlight w:val="none"/>
              </w:rPr>
              <w:t>2、</w:t>
            </w:r>
            <w:r>
              <w:rPr>
                <w:rFonts w:hint="eastAsia" w:ascii="宋体" w:hAnsi="宋体" w:cs="宋体"/>
                <w:b w:val="0"/>
                <w:bCs/>
                <w:sz w:val="18"/>
                <w:szCs w:val="18"/>
                <w:highlight w:val="none"/>
                <w:lang w:eastAsia="zh-CN"/>
              </w:rPr>
              <w:t>下</w:t>
            </w:r>
            <w:r>
              <w:rPr>
                <w:rFonts w:hint="eastAsia" w:ascii="宋体" w:hAnsi="宋体" w:cs="宋体"/>
                <w:b w:val="0"/>
                <w:bCs/>
                <w:sz w:val="18"/>
                <w:szCs w:val="18"/>
                <w:highlight w:val="none"/>
              </w:rPr>
              <w:t>通道具有图像拼接功能，拼接后主码流分辨率不小于4976×1452@25fps，子码流分辨率不小于2560×768@25fps，得1分；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31" w:type="dxa"/>
            <w:vMerge w:val="continue"/>
            <w:vAlign w:val="center"/>
          </w:tcPr>
          <w:p>
            <w:pPr>
              <w:spacing w:line="400" w:lineRule="exact"/>
              <w:rPr>
                <w:rFonts w:ascii="宋体" w:hAnsi="宋体" w:cs="宋体"/>
                <w:b w:val="0"/>
                <w:bCs/>
                <w:sz w:val="24"/>
                <w:szCs w:val="24"/>
                <w:highlight w:val="none"/>
              </w:rPr>
            </w:pPr>
          </w:p>
        </w:tc>
        <w:tc>
          <w:tcPr>
            <w:tcW w:w="1065" w:type="dxa"/>
            <w:vMerge w:val="continue"/>
            <w:vAlign w:val="center"/>
          </w:tcPr>
          <w:p>
            <w:pPr>
              <w:spacing w:line="400" w:lineRule="exact"/>
              <w:jc w:val="center"/>
              <w:rPr>
                <w:rFonts w:ascii="宋体" w:hAnsi="宋体" w:cs="宋体"/>
                <w:b w:val="0"/>
                <w:bCs/>
                <w:sz w:val="24"/>
                <w:szCs w:val="24"/>
                <w:highlight w:val="none"/>
              </w:rPr>
            </w:pPr>
          </w:p>
        </w:tc>
        <w:tc>
          <w:tcPr>
            <w:tcW w:w="1155" w:type="dxa"/>
            <w:vMerge w:val="continue"/>
            <w:vAlign w:val="center"/>
          </w:tcPr>
          <w:p>
            <w:pPr>
              <w:spacing w:line="400" w:lineRule="exact"/>
              <w:jc w:val="center"/>
              <w:rPr>
                <w:rFonts w:ascii="宋体" w:hAnsi="宋体" w:cs="宋体"/>
                <w:b w:val="0"/>
                <w:bCs/>
                <w:sz w:val="24"/>
                <w:szCs w:val="24"/>
                <w:highlight w:val="none"/>
              </w:rPr>
            </w:pPr>
          </w:p>
        </w:tc>
        <w:tc>
          <w:tcPr>
            <w:tcW w:w="797" w:type="dxa"/>
            <w:vMerge w:val="continue"/>
            <w:vAlign w:val="center"/>
          </w:tcPr>
          <w:p>
            <w:pPr>
              <w:spacing w:line="400" w:lineRule="exact"/>
              <w:jc w:val="center"/>
              <w:rPr>
                <w:rFonts w:ascii="宋体" w:hAnsi="宋体" w:cs="宋体"/>
                <w:b w:val="0"/>
                <w:bCs/>
                <w:szCs w:val="21"/>
                <w:highlight w:val="none"/>
              </w:rPr>
            </w:pPr>
          </w:p>
        </w:tc>
        <w:tc>
          <w:tcPr>
            <w:tcW w:w="6399" w:type="dxa"/>
            <w:vAlign w:val="center"/>
          </w:tcPr>
          <w:p>
            <w:pPr>
              <w:rPr>
                <w:rFonts w:ascii="宋体" w:hAnsi="宋体" w:cs="宋体"/>
                <w:b w:val="0"/>
                <w:bCs/>
                <w:sz w:val="18"/>
                <w:szCs w:val="18"/>
                <w:highlight w:val="none"/>
              </w:rPr>
            </w:pPr>
            <w:r>
              <w:rPr>
                <w:rFonts w:hint="eastAsia" w:ascii="宋体" w:hAnsi="宋体" w:cs="宋体"/>
                <w:b w:val="0"/>
                <w:bCs/>
                <w:sz w:val="18"/>
                <w:szCs w:val="18"/>
                <w:highlight w:val="none"/>
              </w:rPr>
              <w:t>3、</w:t>
            </w:r>
            <w:r>
              <w:rPr>
                <w:rFonts w:hint="eastAsia" w:ascii="宋体" w:hAnsi="宋体" w:cs="宋体"/>
                <w:b w:val="0"/>
                <w:bCs/>
                <w:sz w:val="18"/>
                <w:szCs w:val="18"/>
                <w:highlight w:val="none"/>
                <w:lang w:eastAsia="zh-CN"/>
              </w:rPr>
              <w:t>下</w:t>
            </w:r>
            <w:r>
              <w:rPr>
                <w:rFonts w:hint="eastAsia" w:ascii="宋体" w:hAnsi="宋体" w:cs="宋体"/>
                <w:b w:val="0"/>
                <w:bCs/>
                <w:sz w:val="18"/>
                <w:szCs w:val="18"/>
                <w:highlight w:val="none"/>
              </w:rPr>
              <w:t>通道水平视场角不小于160°，垂直视场角不小于48，得1分；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31" w:type="dxa"/>
            <w:vMerge w:val="continue"/>
            <w:vAlign w:val="center"/>
          </w:tcPr>
          <w:p>
            <w:pPr>
              <w:spacing w:line="400" w:lineRule="exact"/>
              <w:rPr>
                <w:rFonts w:ascii="宋体" w:hAnsi="宋体" w:cs="宋体"/>
                <w:b w:val="0"/>
                <w:bCs/>
                <w:sz w:val="24"/>
                <w:szCs w:val="24"/>
                <w:highlight w:val="none"/>
              </w:rPr>
            </w:pPr>
          </w:p>
        </w:tc>
        <w:tc>
          <w:tcPr>
            <w:tcW w:w="1065" w:type="dxa"/>
            <w:vMerge w:val="continue"/>
            <w:vAlign w:val="center"/>
          </w:tcPr>
          <w:p>
            <w:pPr>
              <w:spacing w:line="400" w:lineRule="exact"/>
              <w:jc w:val="center"/>
              <w:rPr>
                <w:rFonts w:ascii="宋体" w:hAnsi="宋体" w:cs="宋体"/>
                <w:b w:val="0"/>
                <w:bCs/>
                <w:sz w:val="24"/>
                <w:szCs w:val="24"/>
                <w:highlight w:val="none"/>
              </w:rPr>
            </w:pPr>
          </w:p>
        </w:tc>
        <w:tc>
          <w:tcPr>
            <w:tcW w:w="1155" w:type="dxa"/>
            <w:vMerge w:val="continue"/>
            <w:vAlign w:val="center"/>
          </w:tcPr>
          <w:p>
            <w:pPr>
              <w:spacing w:line="400" w:lineRule="exact"/>
              <w:jc w:val="center"/>
              <w:rPr>
                <w:rFonts w:ascii="宋体" w:hAnsi="宋体" w:cs="宋体"/>
                <w:b w:val="0"/>
                <w:bCs/>
                <w:sz w:val="24"/>
                <w:szCs w:val="24"/>
                <w:highlight w:val="none"/>
              </w:rPr>
            </w:pPr>
          </w:p>
        </w:tc>
        <w:tc>
          <w:tcPr>
            <w:tcW w:w="797" w:type="dxa"/>
            <w:vMerge w:val="continue"/>
            <w:vAlign w:val="center"/>
          </w:tcPr>
          <w:p>
            <w:pPr>
              <w:spacing w:line="400" w:lineRule="exact"/>
              <w:jc w:val="center"/>
              <w:rPr>
                <w:rFonts w:ascii="宋体" w:hAnsi="宋体" w:cs="宋体"/>
                <w:b w:val="0"/>
                <w:bCs/>
                <w:szCs w:val="21"/>
                <w:highlight w:val="none"/>
              </w:rPr>
            </w:pPr>
          </w:p>
        </w:tc>
        <w:tc>
          <w:tcPr>
            <w:tcW w:w="6399" w:type="dxa"/>
            <w:vAlign w:val="center"/>
          </w:tcPr>
          <w:p>
            <w:pPr>
              <w:rPr>
                <w:rFonts w:ascii="宋体" w:hAnsi="宋体" w:cs="宋体"/>
                <w:b w:val="0"/>
                <w:bCs/>
                <w:sz w:val="18"/>
                <w:szCs w:val="18"/>
                <w:highlight w:val="none"/>
              </w:rPr>
            </w:pPr>
            <w:r>
              <w:rPr>
                <w:rFonts w:hint="eastAsia" w:ascii="宋体" w:hAnsi="宋体" w:cs="宋体"/>
                <w:b w:val="0"/>
                <w:bCs/>
                <w:sz w:val="18"/>
                <w:szCs w:val="18"/>
                <w:highlight w:val="none"/>
              </w:rPr>
              <w:t>4、支持混合抓拍模式，可同时对行人、非机动车、机动车进行检测、跟踪及抓拍，得1分；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31" w:type="dxa"/>
            <w:vMerge w:val="continue"/>
            <w:vAlign w:val="center"/>
          </w:tcPr>
          <w:p>
            <w:pPr>
              <w:spacing w:line="400" w:lineRule="exact"/>
              <w:rPr>
                <w:rFonts w:ascii="宋体" w:hAnsi="宋体" w:cs="宋体"/>
                <w:b w:val="0"/>
                <w:bCs/>
                <w:sz w:val="24"/>
                <w:szCs w:val="24"/>
                <w:highlight w:val="none"/>
              </w:rPr>
            </w:pPr>
          </w:p>
        </w:tc>
        <w:tc>
          <w:tcPr>
            <w:tcW w:w="1065" w:type="dxa"/>
            <w:vMerge w:val="continue"/>
            <w:vAlign w:val="center"/>
          </w:tcPr>
          <w:p>
            <w:pPr>
              <w:spacing w:line="400" w:lineRule="exact"/>
              <w:jc w:val="center"/>
              <w:rPr>
                <w:rFonts w:ascii="宋体" w:hAnsi="宋体" w:cs="宋体"/>
                <w:b w:val="0"/>
                <w:bCs/>
                <w:sz w:val="24"/>
                <w:szCs w:val="24"/>
                <w:highlight w:val="none"/>
              </w:rPr>
            </w:pPr>
          </w:p>
        </w:tc>
        <w:tc>
          <w:tcPr>
            <w:tcW w:w="1155" w:type="dxa"/>
            <w:vMerge w:val="continue"/>
            <w:vAlign w:val="center"/>
          </w:tcPr>
          <w:p>
            <w:pPr>
              <w:spacing w:line="400" w:lineRule="exact"/>
              <w:jc w:val="center"/>
              <w:rPr>
                <w:rFonts w:ascii="宋体" w:hAnsi="宋体" w:cs="宋体"/>
                <w:b w:val="0"/>
                <w:bCs/>
                <w:sz w:val="24"/>
                <w:szCs w:val="24"/>
                <w:highlight w:val="none"/>
              </w:rPr>
            </w:pPr>
          </w:p>
        </w:tc>
        <w:tc>
          <w:tcPr>
            <w:tcW w:w="797" w:type="dxa"/>
            <w:vMerge w:val="continue"/>
            <w:vAlign w:val="center"/>
          </w:tcPr>
          <w:p>
            <w:pPr>
              <w:spacing w:line="400" w:lineRule="exact"/>
              <w:jc w:val="center"/>
              <w:rPr>
                <w:rFonts w:ascii="宋体" w:hAnsi="宋体" w:cs="宋体"/>
                <w:b w:val="0"/>
                <w:bCs/>
                <w:szCs w:val="21"/>
                <w:highlight w:val="none"/>
              </w:rPr>
            </w:pPr>
          </w:p>
        </w:tc>
        <w:tc>
          <w:tcPr>
            <w:tcW w:w="6399" w:type="dxa"/>
            <w:vAlign w:val="center"/>
          </w:tcPr>
          <w:p>
            <w:pPr>
              <w:rPr>
                <w:rFonts w:ascii="宋体" w:hAnsi="宋体" w:cs="宋体"/>
                <w:b w:val="0"/>
                <w:bCs/>
                <w:sz w:val="18"/>
                <w:szCs w:val="18"/>
                <w:highlight w:val="none"/>
              </w:rPr>
            </w:pPr>
            <w:r>
              <w:rPr>
                <w:rFonts w:hint="eastAsia" w:ascii="宋体" w:hAnsi="宋体" w:cs="宋体"/>
                <w:b w:val="0"/>
                <w:bCs/>
                <w:sz w:val="18"/>
                <w:szCs w:val="18"/>
                <w:highlight w:val="none"/>
              </w:rPr>
              <w:t>5、支持行人轨迹跟踪功能，可在抓拍图片上叠加行进轨迹和行进方向，得1分；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31" w:type="dxa"/>
            <w:vMerge w:val="continue"/>
            <w:vAlign w:val="center"/>
          </w:tcPr>
          <w:p>
            <w:pPr>
              <w:spacing w:line="400" w:lineRule="exact"/>
              <w:rPr>
                <w:rFonts w:ascii="宋体" w:hAnsi="宋体" w:cs="宋体"/>
                <w:b w:val="0"/>
                <w:bCs/>
                <w:sz w:val="24"/>
                <w:szCs w:val="24"/>
                <w:highlight w:val="none"/>
              </w:rPr>
            </w:pPr>
          </w:p>
        </w:tc>
        <w:tc>
          <w:tcPr>
            <w:tcW w:w="1065" w:type="dxa"/>
            <w:vMerge w:val="continue"/>
            <w:vAlign w:val="center"/>
          </w:tcPr>
          <w:p>
            <w:pPr>
              <w:spacing w:line="400" w:lineRule="exact"/>
              <w:jc w:val="center"/>
              <w:rPr>
                <w:rFonts w:ascii="宋体" w:hAnsi="宋体" w:cs="宋体"/>
                <w:b w:val="0"/>
                <w:bCs/>
                <w:sz w:val="24"/>
                <w:szCs w:val="24"/>
                <w:highlight w:val="none"/>
              </w:rPr>
            </w:pPr>
          </w:p>
        </w:tc>
        <w:tc>
          <w:tcPr>
            <w:tcW w:w="1155" w:type="dxa"/>
            <w:vMerge w:val="continue"/>
            <w:vAlign w:val="center"/>
          </w:tcPr>
          <w:p>
            <w:pPr>
              <w:spacing w:line="400" w:lineRule="exact"/>
              <w:jc w:val="center"/>
              <w:rPr>
                <w:rFonts w:ascii="宋体" w:hAnsi="宋体" w:cs="宋体"/>
                <w:b w:val="0"/>
                <w:bCs/>
                <w:sz w:val="24"/>
                <w:szCs w:val="24"/>
                <w:highlight w:val="none"/>
              </w:rPr>
            </w:pPr>
          </w:p>
        </w:tc>
        <w:tc>
          <w:tcPr>
            <w:tcW w:w="797" w:type="dxa"/>
            <w:vMerge w:val="continue"/>
            <w:vAlign w:val="center"/>
          </w:tcPr>
          <w:p>
            <w:pPr>
              <w:spacing w:line="400" w:lineRule="exact"/>
              <w:jc w:val="center"/>
              <w:rPr>
                <w:rFonts w:ascii="宋体" w:hAnsi="宋体" w:cs="宋体"/>
                <w:b w:val="0"/>
                <w:bCs/>
                <w:szCs w:val="21"/>
                <w:highlight w:val="none"/>
              </w:rPr>
            </w:pPr>
          </w:p>
        </w:tc>
        <w:tc>
          <w:tcPr>
            <w:tcW w:w="6399" w:type="dxa"/>
            <w:vAlign w:val="center"/>
          </w:tcPr>
          <w:p>
            <w:pPr>
              <w:rPr>
                <w:rFonts w:ascii="宋体" w:hAnsi="宋体" w:cs="宋体"/>
                <w:b w:val="0"/>
                <w:bCs/>
                <w:sz w:val="18"/>
                <w:szCs w:val="18"/>
                <w:highlight w:val="none"/>
              </w:rPr>
            </w:pPr>
            <w:r>
              <w:rPr>
                <w:rFonts w:ascii="宋体" w:hAnsi="宋体" w:cs="宋体"/>
                <w:b w:val="0"/>
                <w:bCs/>
                <w:sz w:val="18"/>
                <w:szCs w:val="18"/>
                <w:highlight w:val="none"/>
              </w:rPr>
              <w:t>6</w:t>
            </w:r>
            <w:r>
              <w:rPr>
                <w:rFonts w:hint="eastAsia" w:ascii="宋体" w:hAnsi="宋体" w:cs="宋体"/>
                <w:b w:val="0"/>
                <w:bCs/>
                <w:sz w:val="18"/>
                <w:szCs w:val="18"/>
                <w:highlight w:val="none"/>
              </w:rPr>
              <w:t>、在混合抓拍模式下，支持行人、非机动车和机动车的分类计数，得1分；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31" w:type="dxa"/>
            <w:vMerge w:val="continue"/>
            <w:vAlign w:val="center"/>
          </w:tcPr>
          <w:p>
            <w:pPr>
              <w:spacing w:line="400" w:lineRule="exact"/>
              <w:rPr>
                <w:rFonts w:ascii="宋体" w:hAnsi="宋体" w:cs="宋体"/>
                <w:b w:val="0"/>
                <w:bCs/>
                <w:sz w:val="24"/>
                <w:szCs w:val="24"/>
                <w:highlight w:val="none"/>
              </w:rPr>
            </w:pPr>
          </w:p>
        </w:tc>
        <w:tc>
          <w:tcPr>
            <w:tcW w:w="1065" w:type="dxa"/>
            <w:vMerge w:val="continue"/>
            <w:vAlign w:val="center"/>
          </w:tcPr>
          <w:p>
            <w:pPr>
              <w:spacing w:line="400" w:lineRule="exact"/>
              <w:jc w:val="center"/>
              <w:rPr>
                <w:rFonts w:ascii="宋体" w:hAnsi="宋体" w:cs="宋体"/>
                <w:b w:val="0"/>
                <w:bCs/>
                <w:sz w:val="24"/>
                <w:szCs w:val="24"/>
                <w:highlight w:val="none"/>
              </w:rPr>
            </w:pPr>
          </w:p>
        </w:tc>
        <w:tc>
          <w:tcPr>
            <w:tcW w:w="1155" w:type="dxa"/>
            <w:vMerge w:val="continue"/>
            <w:vAlign w:val="center"/>
          </w:tcPr>
          <w:p>
            <w:pPr>
              <w:spacing w:line="400" w:lineRule="exact"/>
              <w:jc w:val="center"/>
              <w:rPr>
                <w:rFonts w:ascii="宋体" w:hAnsi="宋体" w:cs="宋体"/>
                <w:b w:val="0"/>
                <w:bCs/>
                <w:sz w:val="24"/>
                <w:szCs w:val="24"/>
                <w:highlight w:val="none"/>
              </w:rPr>
            </w:pPr>
          </w:p>
        </w:tc>
        <w:tc>
          <w:tcPr>
            <w:tcW w:w="797" w:type="dxa"/>
            <w:vMerge w:val="continue"/>
            <w:vAlign w:val="center"/>
          </w:tcPr>
          <w:p>
            <w:pPr>
              <w:spacing w:line="400" w:lineRule="exact"/>
              <w:jc w:val="center"/>
              <w:rPr>
                <w:rFonts w:ascii="宋体" w:hAnsi="宋体" w:cs="宋体"/>
                <w:b w:val="0"/>
                <w:bCs/>
                <w:szCs w:val="21"/>
                <w:highlight w:val="none"/>
              </w:rPr>
            </w:pPr>
          </w:p>
        </w:tc>
        <w:tc>
          <w:tcPr>
            <w:tcW w:w="6399" w:type="dxa"/>
            <w:vAlign w:val="center"/>
          </w:tcPr>
          <w:p>
            <w:pPr>
              <w:rPr>
                <w:rFonts w:ascii="宋体" w:hAnsi="宋体" w:cs="宋体"/>
                <w:b w:val="0"/>
                <w:bCs/>
                <w:sz w:val="18"/>
                <w:szCs w:val="18"/>
                <w:highlight w:val="none"/>
              </w:rPr>
            </w:pPr>
            <w:r>
              <w:rPr>
                <w:rFonts w:hint="eastAsia" w:ascii="宋体" w:hAnsi="宋体" w:cs="宋体"/>
                <w:b/>
                <w:bCs w:val="0"/>
                <w:sz w:val="18"/>
                <w:szCs w:val="18"/>
                <w:highlight w:val="none"/>
              </w:rPr>
              <w:t>注：以上1-</w:t>
            </w:r>
            <w:r>
              <w:rPr>
                <w:rFonts w:ascii="宋体" w:hAnsi="宋体" w:cs="宋体"/>
                <w:b/>
                <w:bCs w:val="0"/>
                <w:sz w:val="18"/>
                <w:szCs w:val="18"/>
                <w:highlight w:val="none"/>
              </w:rPr>
              <w:t>6</w:t>
            </w:r>
            <w:r>
              <w:rPr>
                <w:rFonts w:hint="eastAsia" w:ascii="宋体" w:hAnsi="宋体" w:cs="宋体"/>
                <w:b/>
                <w:bCs w:val="0"/>
                <w:sz w:val="18"/>
                <w:szCs w:val="18"/>
                <w:highlight w:val="none"/>
              </w:rPr>
              <w:t>项开标时须提供公安部检测评测机构出具的检测证明复印件并加盖产品制造商公章，否则不得分；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31" w:type="dxa"/>
            <w:vMerge w:val="continue"/>
            <w:vAlign w:val="center"/>
          </w:tcPr>
          <w:p>
            <w:pPr>
              <w:spacing w:line="400" w:lineRule="exact"/>
              <w:rPr>
                <w:rFonts w:ascii="宋体" w:hAnsi="宋体" w:cs="宋体"/>
                <w:b w:val="0"/>
                <w:bCs/>
                <w:sz w:val="24"/>
                <w:szCs w:val="24"/>
                <w:highlight w:val="none"/>
              </w:rPr>
            </w:pPr>
          </w:p>
        </w:tc>
        <w:tc>
          <w:tcPr>
            <w:tcW w:w="1065" w:type="dxa"/>
            <w:vMerge w:val="continue"/>
            <w:vAlign w:val="center"/>
          </w:tcPr>
          <w:p>
            <w:pPr>
              <w:spacing w:line="400" w:lineRule="exact"/>
              <w:jc w:val="center"/>
              <w:rPr>
                <w:rFonts w:ascii="宋体" w:hAnsi="宋体" w:cs="宋体"/>
                <w:b w:val="0"/>
                <w:bCs/>
                <w:sz w:val="24"/>
                <w:szCs w:val="24"/>
                <w:highlight w:val="none"/>
              </w:rPr>
            </w:pPr>
          </w:p>
        </w:tc>
        <w:tc>
          <w:tcPr>
            <w:tcW w:w="1155" w:type="dxa"/>
            <w:vMerge w:val="continue"/>
            <w:vAlign w:val="center"/>
          </w:tcPr>
          <w:p>
            <w:pPr>
              <w:spacing w:line="400" w:lineRule="exact"/>
              <w:jc w:val="center"/>
              <w:rPr>
                <w:rFonts w:ascii="宋体" w:hAnsi="宋体" w:cs="宋体"/>
                <w:b w:val="0"/>
                <w:bCs/>
                <w:sz w:val="24"/>
                <w:szCs w:val="24"/>
                <w:highlight w:val="none"/>
              </w:rPr>
            </w:pPr>
          </w:p>
        </w:tc>
        <w:tc>
          <w:tcPr>
            <w:tcW w:w="797" w:type="dxa"/>
            <w:vMerge w:val="continue"/>
            <w:vAlign w:val="center"/>
          </w:tcPr>
          <w:p>
            <w:pPr>
              <w:spacing w:line="400" w:lineRule="exact"/>
              <w:jc w:val="center"/>
              <w:rPr>
                <w:rFonts w:ascii="宋体" w:hAnsi="宋体" w:cs="宋体"/>
                <w:b w:val="0"/>
                <w:bCs/>
                <w:szCs w:val="21"/>
                <w:highlight w:val="none"/>
              </w:rPr>
            </w:pPr>
          </w:p>
        </w:tc>
        <w:tc>
          <w:tcPr>
            <w:tcW w:w="6399" w:type="dxa"/>
            <w:vAlign w:val="center"/>
          </w:tcPr>
          <w:p>
            <w:pPr>
              <w:spacing w:line="400" w:lineRule="exact"/>
              <w:rPr>
                <w:rFonts w:ascii="宋体" w:hAnsi="宋体" w:cs="宋体"/>
                <w:b w:val="0"/>
                <w:bCs/>
                <w:highlight w:val="none"/>
              </w:rPr>
            </w:pPr>
            <w:r>
              <w:rPr>
                <w:rFonts w:hint="eastAsia" w:ascii="宋体" w:hAnsi="宋体" w:cs="宋体"/>
                <w:b/>
                <w:bCs w:val="0"/>
                <w:sz w:val="21"/>
                <w:szCs w:val="21"/>
                <w:highlight w:val="none"/>
                <w:lang w:eastAsia="zh-CN"/>
              </w:rPr>
              <w:t>三．400万像素结构化双目摄像机（4分）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31" w:type="dxa"/>
            <w:vMerge w:val="continue"/>
            <w:vAlign w:val="center"/>
          </w:tcPr>
          <w:p>
            <w:pPr>
              <w:spacing w:line="400" w:lineRule="exact"/>
              <w:rPr>
                <w:rFonts w:ascii="宋体" w:hAnsi="宋体" w:cs="宋体"/>
                <w:b w:val="0"/>
                <w:bCs/>
                <w:sz w:val="24"/>
                <w:szCs w:val="24"/>
                <w:highlight w:val="none"/>
              </w:rPr>
            </w:pPr>
          </w:p>
        </w:tc>
        <w:tc>
          <w:tcPr>
            <w:tcW w:w="1065" w:type="dxa"/>
            <w:vMerge w:val="continue"/>
            <w:vAlign w:val="center"/>
          </w:tcPr>
          <w:p>
            <w:pPr>
              <w:spacing w:line="400" w:lineRule="exact"/>
              <w:jc w:val="center"/>
              <w:rPr>
                <w:rFonts w:ascii="宋体" w:hAnsi="宋体" w:cs="宋体"/>
                <w:b w:val="0"/>
                <w:bCs/>
                <w:sz w:val="24"/>
                <w:szCs w:val="24"/>
                <w:highlight w:val="none"/>
              </w:rPr>
            </w:pPr>
          </w:p>
        </w:tc>
        <w:tc>
          <w:tcPr>
            <w:tcW w:w="1155" w:type="dxa"/>
            <w:vMerge w:val="continue"/>
            <w:vAlign w:val="center"/>
          </w:tcPr>
          <w:p>
            <w:pPr>
              <w:spacing w:line="400" w:lineRule="exact"/>
              <w:jc w:val="center"/>
              <w:rPr>
                <w:rFonts w:ascii="宋体" w:hAnsi="宋体" w:cs="宋体"/>
                <w:b w:val="0"/>
                <w:bCs/>
                <w:sz w:val="24"/>
                <w:szCs w:val="24"/>
                <w:highlight w:val="none"/>
              </w:rPr>
            </w:pPr>
          </w:p>
        </w:tc>
        <w:tc>
          <w:tcPr>
            <w:tcW w:w="797" w:type="dxa"/>
            <w:vMerge w:val="continue"/>
            <w:vAlign w:val="center"/>
          </w:tcPr>
          <w:p>
            <w:pPr>
              <w:spacing w:line="400" w:lineRule="exact"/>
              <w:jc w:val="center"/>
              <w:rPr>
                <w:rFonts w:ascii="宋体" w:hAnsi="宋体" w:cs="宋体"/>
                <w:b w:val="0"/>
                <w:bCs/>
                <w:szCs w:val="21"/>
                <w:highlight w:val="none"/>
              </w:rPr>
            </w:pPr>
          </w:p>
        </w:tc>
        <w:tc>
          <w:tcPr>
            <w:tcW w:w="6399" w:type="dxa"/>
            <w:vAlign w:val="center"/>
          </w:tcPr>
          <w:p>
            <w:pPr>
              <w:rPr>
                <w:rFonts w:ascii="宋体" w:hAnsi="宋体" w:cs="宋体"/>
                <w:b w:val="0"/>
                <w:bCs/>
                <w:sz w:val="18"/>
                <w:szCs w:val="18"/>
                <w:highlight w:val="none"/>
              </w:rPr>
            </w:pPr>
            <w:r>
              <w:rPr>
                <w:rFonts w:hint="eastAsia" w:ascii="宋体" w:hAnsi="宋体" w:cs="宋体"/>
                <w:b w:val="0"/>
                <w:bCs/>
                <w:sz w:val="18"/>
                <w:szCs w:val="18"/>
                <w:highlight w:val="none"/>
              </w:rPr>
              <w:t>1、内置2个麦克风、1个扬声器，支持双向语音对讲，得1分；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31" w:type="dxa"/>
            <w:vMerge w:val="continue"/>
            <w:vAlign w:val="center"/>
          </w:tcPr>
          <w:p>
            <w:pPr>
              <w:spacing w:line="400" w:lineRule="exact"/>
              <w:rPr>
                <w:rFonts w:ascii="宋体" w:hAnsi="宋体" w:cs="宋体"/>
                <w:b w:val="0"/>
                <w:bCs/>
                <w:sz w:val="24"/>
                <w:szCs w:val="24"/>
                <w:highlight w:val="none"/>
              </w:rPr>
            </w:pPr>
          </w:p>
        </w:tc>
        <w:tc>
          <w:tcPr>
            <w:tcW w:w="1065" w:type="dxa"/>
            <w:vMerge w:val="continue"/>
            <w:vAlign w:val="center"/>
          </w:tcPr>
          <w:p>
            <w:pPr>
              <w:spacing w:line="400" w:lineRule="exact"/>
              <w:jc w:val="center"/>
              <w:rPr>
                <w:rFonts w:ascii="宋体" w:hAnsi="宋体" w:cs="宋体"/>
                <w:b w:val="0"/>
                <w:bCs/>
                <w:sz w:val="24"/>
                <w:szCs w:val="24"/>
                <w:highlight w:val="none"/>
              </w:rPr>
            </w:pPr>
          </w:p>
        </w:tc>
        <w:tc>
          <w:tcPr>
            <w:tcW w:w="1155" w:type="dxa"/>
            <w:vMerge w:val="continue"/>
            <w:vAlign w:val="center"/>
          </w:tcPr>
          <w:p>
            <w:pPr>
              <w:spacing w:line="400" w:lineRule="exact"/>
              <w:jc w:val="center"/>
              <w:rPr>
                <w:rFonts w:ascii="宋体" w:hAnsi="宋体" w:cs="宋体"/>
                <w:b w:val="0"/>
                <w:bCs/>
                <w:sz w:val="24"/>
                <w:szCs w:val="24"/>
                <w:highlight w:val="none"/>
              </w:rPr>
            </w:pPr>
          </w:p>
        </w:tc>
        <w:tc>
          <w:tcPr>
            <w:tcW w:w="797" w:type="dxa"/>
            <w:vMerge w:val="continue"/>
            <w:vAlign w:val="center"/>
          </w:tcPr>
          <w:p>
            <w:pPr>
              <w:spacing w:line="400" w:lineRule="exact"/>
              <w:jc w:val="center"/>
              <w:rPr>
                <w:rFonts w:ascii="宋体" w:hAnsi="宋体" w:cs="宋体"/>
                <w:b w:val="0"/>
                <w:bCs/>
                <w:szCs w:val="21"/>
                <w:highlight w:val="none"/>
              </w:rPr>
            </w:pPr>
          </w:p>
        </w:tc>
        <w:tc>
          <w:tcPr>
            <w:tcW w:w="6399" w:type="dxa"/>
            <w:vAlign w:val="center"/>
          </w:tcPr>
          <w:p>
            <w:pPr>
              <w:rPr>
                <w:rFonts w:ascii="宋体" w:hAnsi="宋体" w:cs="宋体"/>
                <w:b w:val="0"/>
                <w:bCs/>
                <w:sz w:val="18"/>
                <w:szCs w:val="18"/>
                <w:highlight w:val="none"/>
              </w:rPr>
            </w:pPr>
            <w:r>
              <w:rPr>
                <w:rFonts w:hint="eastAsia" w:ascii="宋体" w:hAnsi="宋体" w:cs="宋体"/>
                <w:b w:val="0"/>
                <w:bCs/>
                <w:sz w:val="18"/>
                <w:szCs w:val="18"/>
                <w:highlight w:val="none"/>
              </w:rPr>
              <w:t>2、支持对镜头前盖玻璃加热，去除玻璃上的冰状和水状附着物，得1分；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31" w:type="dxa"/>
            <w:vMerge w:val="continue"/>
            <w:vAlign w:val="center"/>
          </w:tcPr>
          <w:p>
            <w:pPr>
              <w:spacing w:line="400" w:lineRule="exact"/>
              <w:rPr>
                <w:rFonts w:ascii="宋体" w:hAnsi="宋体" w:cs="宋体"/>
                <w:b w:val="0"/>
                <w:bCs/>
                <w:sz w:val="24"/>
                <w:szCs w:val="24"/>
                <w:highlight w:val="none"/>
              </w:rPr>
            </w:pPr>
          </w:p>
        </w:tc>
        <w:tc>
          <w:tcPr>
            <w:tcW w:w="1065" w:type="dxa"/>
            <w:vMerge w:val="continue"/>
            <w:vAlign w:val="center"/>
          </w:tcPr>
          <w:p>
            <w:pPr>
              <w:spacing w:line="400" w:lineRule="exact"/>
              <w:jc w:val="center"/>
              <w:rPr>
                <w:rFonts w:ascii="宋体" w:hAnsi="宋体" w:cs="宋体"/>
                <w:b w:val="0"/>
                <w:bCs/>
                <w:sz w:val="24"/>
                <w:szCs w:val="24"/>
                <w:highlight w:val="none"/>
              </w:rPr>
            </w:pPr>
          </w:p>
        </w:tc>
        <w:tc>
          <w:tcPr>
            <w:tcW w:w="1155" w:type="dxa"/>
            <w:vMerge w:val="continue"/>
            <w:vAlign w:val="center"/>
          </w:tcPr>
          <w:p>
            <w:pPr>
              <w:spacing w:line="400" w:lineRule="exact"/>
              <w:jc w:val="center"/>
              <w:rPr>
                <w:rFonts w:ascii="宋体" w:hAnsi="宋体" w:cs="宋体"/>
                <w:b w:val="0"/>
                <w:bCs/>
                <w:sz w:val="24"/>
                <w:szCs w:val="24"/>
                <w:highlight w:val="none"/>
              </w:rPr>
            </w:pPr>
          </w:p>
        </w:tc>
        <w:tc>
          <w:tcPr>
            <w:tcW w:w="797" w:type="dxa"/>
            <w:vMerge w:val="continue"/>
            <w:vAlign w:val="center"/>
          </w:tcPr>
          <w:p>
            <w:pPr>
              <w:spacing w:line="400" w:lineRule="exact"/>
              <w:jc w:val="center"/>
              <w:rPr>
                <w:rFonts w:ascii="宋体" w:hAnsi="宋体" w:cs="宋体"/>
                <w:b w:val="0"/>
                <w:bCs/>
                <w:szCs w:val="21"/>
                <w:highlight w:val="none"/>
              </w:rPr>
            </w:pPr>
          </w:p>
        </w:tc>
        <w:tc>
          <w:tcPr>
            <w:tcW w:w="6399" w:type="dxa"/>
            <w:vAlign w:val="center"/>
          </w:tcPr>
          <w:p>
            <w:pPr>
              <w:rPr>
                <w:rFonts w:ascii="宋体" w:hAnsi="宋体" w:cs="宋体"/>
                <w:b w:val="0"/>
                <w:bCs/>
                <w:sz w:val="18"/>
                <w:szCs w:val="18"/>
                <w:highlight w:val="none"/>
              </w:rPr>
            </w:pPr>
            <w:r>
              <w:rPr>
                <w:rFonts w:hint="eastAsia" w:ascii="宋体" w:hAnsi="宋体" w:cs="宋体"/>
                <w:b w:val="0"/>
                <w:bCs/>
                <w:sz w:val="18"/>
                <w:szCs w:val="18"/>
                <w:highlight w:val="none"/>
              </w:rPr>
              <w:t>3、支持人脸比对，比对准确率不低于99%，得1分；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31" w:type="dxa"/>
            <w:vMerge w:val="continue"/>
            <w:vAlign w:val="center"/>
          </w:tcPr>
          <w:p>
            <w:pPr>
              <w:spacing w:line="400" w:lineRule="exact"/>
              <w:rPr>
                <w:rFonts w:ascii="宋体" w:hAnsi="宋体" w:cs="宋体"/>
                <w:b w:val="0"/>
                <w:bCs/>
                <w:sz w:val="24"/>
                <w:szCs w:val="24"/>
                <w:highlight w:val="none"/>
              </w:rPr>
            </w:pPr>
          </w:p>
        </w:tc>
        <w:tc>
          <w:tcPr>
            <w:tcW w:w="1065" w:type="dxa"/>
            <w:vMerge w:val="continue"/>
            <w:vAlign w:val="center"/>
          </w:tcPr>
          <w:p>
            <w:pPr>
              <w:spacing w:line="400" w:lineRule="exact"/>
              <w:jc w:val="center"/>
              <w:rPr>
                <w:rFonts w:ascii="宋体" w:hAnsi="宋体" w:cs="宋体"/>
                <w:b w:val="0"/>
                <w:bCs/>
                <w:sz w:val="24"/>
                <w:szCs w:val="24"/>
                <w:highlight w:val="none"/>
              </w:rPr>
            </w:pPr>
          </w:p>
        </w:tc>
        <w:tc>
          <w:tcPr>
            <w:tcW w:w="1155" w:type="dxa"/>
            <w:vMerge w:val="continue"/>
            <w:vAlign w:val="center"/>
          </w:tcPr>
          <w:p>
            <w:pPr>
              <w:spacing w:line="400" w:lineRule="exact"/>
              <w:jc w:val="center"/>
              <w:rPr>
                <w:rFonts w:ascii="宋体" w:hAnsi="宋体" w:cs="宋体"/>
                <w:b w:val="0"/>
                <w:bCs/>
                <w:sz w:val="24"/>
                <w:szCs w:val="24"/>
                <w:highlight w:val="none"/>
              </w:rPr>
            </w:pPr>
          </w:p>
        </w:tc>
        <w:tc>
          <w:tcPr>
            <w:tcW w:w="797" w:type="dxa"/>
            <w:vMerge w:val="continue"/>
            <w:vAlign w:val="center"/>
          </w:tcPr>
          <w:p>
            <w:pPr>
              <w:spacing w:line="400" w:lineRule="exact"/>
              <w:jc w:val="center"/>
              <w:rPr>
                <w:rFonts w:ascii="宋体" w:hAnsi="宋体" w:cs="宋体"/>
                <w:b w:val="0"/>
                <w:bCs/>
                <w:szCs w:val="21"/>
                <w:highlight w:val="none"/>
              </w:rPr>
            </w:pPr>
          </w:p>
        </w:tc>
        <w:tc>
          <w:tcPr>
            <w:tcW w:w="6399" w:type="dxa"/>
            <w:vAlign w:val="center"/>
          </w:tcPr>
          <w:p>
            <w:pPr>
              <w:rPr>
                <w:rFonts w:ascii="宋体" w:hAnsi="宋体" w:cs="宋体"/>
                <w:b w:val="0"/>
                <w:bCs/>
                <w:sz w:val="18"/>
                <w:szCs w:val="18"/>
                <w:highlight w:val="none"/>
              </w:rPr>
            </w:pPr>
            <w:r>
              <w:rPr>
                <w:rFonts w:hint="eastAsia" w:ascii="宋体" w:hAnsi="宋体" w:cs="宋体"/>
                <w:b w:val="0"/>
                <w:bCs/>
                <w:sz w:val="18"/>
                <w:szCs w:val="18"/>
                <w:highlight w:val="none"/>
              </w:rPr>
              <w:t>4、支持侧脸过滤功能，可过滤上下、左右角度达到预设值的人脸，得1分；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1" w:type="dxa"/>
            <w:vMerge w:val="continue"/>
            <w:vAlign w:val="center"/>
          </w:tcPr>
          <w:p>
            <w:pPr>
              <w:spacing w:line="400" w:lineRule="exact"/>
              <w:rPr>
                <w:rFonts w:ascii="宋体" w:hAnsi="宋体" w:cs="宋体"/>
                <w:b w:val="0"/>
                <w:bCs/>
                <w:sz w:val="24"/>
                <w:szCs w:val="24"/>
                <w:highlight w:val="none"/>
              </w:rPr>
            </w:pPr>
          </w:p>
        </w:tc>
        <w:tc>
          <w:tcPr>
            <w:tcW w:w="1065" w:type="dxa"/>
            <w:vMerge w:val="continue"/>
            <w:vAlign w:val="center"/>
          </w:tcPr>
          <w:p>
            <w:pPr>
              <w:spacing w:line="400" w:lineRule="exact"/>
              <w:jc w:val="center"/>
              <w:rPr>
                <w:rFonts w:ascii="宋体" w:hAnsi="宋体" w:cs="宋体"/>
                <w:b w:val="0"/>
                <w:bCs/>
                <w:sz w:val="24"/>
                <w:szCs w:val="24"/>
                <w:highlight w:val="none"/>
              </w:rPr>
            </w:pPr>
          </w:p>
        </w:tc>
        <w:tc>
          <w:tcPr>
            <w:tcW w:w="1155" w:type="dxa"/>
            <w:vMerge w:val="continue"/>
            <w:vAlign w:val="center"/>
          </w:tcPr>
          <w:p>
            <w:pPr>
              <w:spacing w:line="400" w:lineRule="exact"/>
              <w:jc w:val="center"/>
              <w:rPr>
                <w:rFonts w:ascii="宋体" w:hAnsi="宋体" w:cs="宋体"/>
                <w:b w:val="0"/>
                <w:bCs/>
                <w:sz w:val="24"/>
                <w:szCs w:val="24"/>
                <w:highlight w:val="none"/>
              </w:rPr>
            </w:pPr>
          </w:p>
        </w:tc>
        <w:tc>
          <w:tcPr>
            <w:tcW w:w="797" w:type="dxa"/>
            <w:vMerge w:val="continue"/>
            <w:vAlign w:val="center"/>
          </w:tcPr>
          <w:p>
            <w:pPr>
              <w:spacing w:line="400" w:lineRule="exact"/>
              <w:jc w:val="center"/>
              <w:rPr>
                <w:rFonts w:ascii="宋体" w:hAnsi="宋体" w:cs="宋体"/>
                <w:b w:val="0"/>
                <w:bCs/>
                <w:szCs w:val="21"/>
                <w:highlight w:val="none"/>
              </w:rPr>
            </w:pPr>
          </w:p>
        </w:tc>
        <w:tc>
          <w:tcPr>
            <w:tcW w:w="6399" w:type="dxa"/>
            <w:vAlign w:val="center"/>
          </w:tcPr>
          <w:p>
            <w:pPr>
              <w:spacing w:line="400" w:lineRule="exact"/>
              <w:rPr>
                <w:rFonts w:ascii="宋体" w:hAnsi="宋体" w:cs="宋体"/>
                <w:b w:val="0"/>
                <w:bCs/>
                <w:sz w:val="18"/>
                <w:szCs w:val="18"/>
                <w:highlight w:val="none"/>
              </w:rPr>
            </w:pPr>
            <w:r>
              <w:rPr>
                <w:rFonts w:hint="eastAsia" w:ascii="宋体" w:hAnsi="宋体" w:cs="宋体"/>
                <w:b/>
                <w:bCs w:val="0"/>
                <w:sz w:val="18"/>
                <w:szCs w:val="18"/>
                <w:highlight w:val="none"/>
              </w:rPr>
              <w:t>注：以上1-</w:t>
            </w:r>
            <w:r>
              <w:rPr>
                <w:rFonts w:ascii="宋体" w:hAnsi="宋体" w:cs="宋体"/>
                <w:b/>
                <w:bCs w:val="0"/>
                <w:sz w:val="18"/>
                <w:szCs w:val="18"/>
                <w:highlight w:val="none"/>
              </w:rPr>
              <w:t>4</w:t>
            </w:r>
            <w:r>
              <w:rPr>
                <w:rFonts w:hint="eastAsia" w:ascii="宋体" w:hAnsi="宋体" w:cs="宋体"/>
                <w:b/>
                <w:bCs w:val="0"/>
                <w:sz w:val="18"/>
                <w:szCs w:val="18"/>
                <w:highlight w:val="none"/>
              </w:rPr>
              <w:t>项开标时须提供公安部检测评测机构出具的检测证明复印件并加盖产品制造商公章，否则不得分；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1" w:type="dxa"/>
            <w:vMerge w:val="continue"/>
            <w:vAlign w:val="center"/>
          </w:tcPr>
          <w:p>
            <w:pPr>
              <w:spacing w:line="400" w:lineRule="exact"/>
              <w:rPr>
                <w:rFonts w:ascii="宋体" w:hAnsi="宋体" w:cs="宋体"/>
                <w:b w:val="0"/>
                <w:bCs/>
                <w:sz w:val="24"/>
                <w:szCs w:val="24"/>
                <w:highlight w:val="none"/>
              </w:rPr>
            </w:pPr>
          </w:p>
        </w:tc>
        <w:tc>
          <w:tcPr>
            <w:tcW w:w="1065" w:type="dxa"/>
            <w:vMerge w:val="continue"/>
            <w:vAlign w:val="center"/>
          </w:tcPr>
          <w:p>
            <w:pPr>
              <w:spacing w:line="400" w:lineRule="exact"/>
              <w:jc w:val="center"/>
              <w:rPr>
                <w:rFonts w:ascii="宋体" w:hAnsi="宋体" w:cs="宋体"/>
                <w:b w:val="0"/>
                <w:bCs/>
                <w:sz w:val="24"/>
                <w:szCs w:val="24"/>
                <w:highlight w:val="none"/>
              </w:rPr>
            </w:pPr>
          </w:p>
        </w:tc>
        <w:tc>
          <w:tcPr>
            <w:tcW w:w="1155" w:type="dxa"/>
            <w:vMerge w:val="continue"/>
            <w:vAlign w:val="center"/>
          </w:tcPr>
          <w:p>
            <w:pPr>
              <w:spacing w:line="400" w:lineRule="exact"/>
              <w:jc w:val="center"/>
              <w:rPr>
                <w:rFonts w:ascii="宋体" w:hAnsi="宋体" w:cs="宋体"/>
                <w:b w:val="0"/>
                <w:bCs/>
                <w:sz w:val="24"/>
                <w:szCs w:val="24"/>
                <w:highlight w:val="none"/>
              </w:rPr>
            </w:pPr>
          </w:p>
        </w:tc>
        <w:tc>
          <w:tcPr>
            <w:tcW w:w="797" w:type="dxa"/>
            <w:vMerge w:val="continue"/>
            <w:vAlign w:val="center"/>
          </w:tcPr>
          <w:p>
            <w:pPr>
              <w:spacing w:line="400" w:lineRule="exact"/>
              <w:jc w:val="center"/>
              <w:rPr>
                <w:rFonts w:ascii="宋体" w:hAnsi="宋体" w:cs="宋体"/>
                <w:b w:val="0"/>
                <w:bCs/>
                <w:szCs w:val="21"/>
                <w:highlight w:val="none"/>
              </w:rPr>
            </w:pPr>
          </w:p>
        </w:tc>
        <w:tc>
          <w:tcPr>
            <w:tcW w:w="6399" w:type="dxa"/>
            <w:vAlign w:val="center"/>
          </w:tcPr>
          <w:p>
            <w:pPr>
              <w:spacing w:line="400" w:lineRule="exact"/>
              <w:rPr>
                <w:rFonts w:hint="eastAsia" w:ascii="宋体" w:hAnsi="宋体" w:eastAsia="宋体" w:cs="宋体"/>
                <w:b w:val="0"/>
                <w:bCs/>
                <w:sz w:val="18"/>
                <w:szCs w:val="18"/>
                <w:highlight w:val="none"/>
                <w:lang w:eastAsia="zh-CN"/>
              </w:rPr>
            </w:pPr>
            <w:r>
              <w:rPr>
                <w:rFonts w:hint="eastAsia" w:ascii="宋体" w:hAnsi="宋体" w:cs="宋体"/>
                <w:b/>
                <w:bCs w:val="0"/>
                <w:sz w:val="21"/>
                <w:szCs w:val="21"/>
                <w:highlight w:val="none"/>
                <w:lang w:eastAsia="zh-CN"/>
              </w:rPr>
              <w:t>四</w:t>
            </w:r>
            <w:r>
              <w:rPr>
                <w:rFonts w:hint="eastAsia" w:ascii="宋体" w:hAnsi="宋体" w:cs="宋体"/>
                <w:b/>
                <w:bCs w:val="0"/>
                <w:sz w:val="21"/>
                <w:szCs w:val="21"/>
                <w:highlight w:val="none"/>
                <w:lang w:val="en-US" w:eastAsia="zh-CN"/>
              </w:rPr>
              <w:t>.</w:t>
            </w:r>
            <w:r>
              <w:rPr>
                <w:rFonts w:hint="eastAsia" w:ascii="宋体" w:hAnsi="宋体" w:cs="宋体"/>
                <w:b/>
                <w:bCs w:val="0"/>
                <w:sz w:val="21"/>
                <w:szCs w:val="21"/>
                <w:highlight w:val="none"/>
                <w:lang w:eastAsia="zh-CN"/>
              </w:rPr>
              <w:t>千兆交换机（</w:t>
            </w:r>
            <w:r>
              <w:rPr>
                <w:rFonts w:hint="eastAsia" w:ascii="宋体" w:hAnsi="宋体" w:cs="宋体"/>
                <w:b/>
                <w:bCs w:val="0"/>
                <w:sz w:val="21"/>
                <w:szCs w:val="21"/>
                <w:highlight w:val="none"/>
                <w:lang w:val="en-US" w:eastAsia="zh-CN"/>
              </w:rPr>
              <w:t>2分</w:t>
            </w:r>
            <w:r>
              <w:rPr>
                <w:rFonts w:hint="eastAsia" w:ascii="宋体" w:hAnsi="宋体" w:cs="宋体"/>
                <w:b/>
                <w:bCs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431" w:type="dxa"/>
            <w:vMerge w:val="continue"/>
            <w:vAlign w:val="center"/>
          </w:tcPr>
          <w:p>
            <w:pPr>
              <w:spacing w:line="400" w:lineRule="exact"/>
              <w:rPr>
                <w:rFonts w:ascii="宋体" w:hAnsi="宋体" w:cs="宋体"/>
                <w:b w:val="0"/>
                <w:bCs/>
                <w:sz w:val="24"/>
                <w:szCs w:val="24"/>
                <w:highlight w:val="none"/>
              </w:rPr>
            </w:pPr>
          </w:p>
        </w:tc>
        <w:tc>
          <w:tcPr>
            <w:tcW w:w="1065" w:type="dxa"/>
            <w:vMerge w:val="continue"/>
            <w:vAlign w:val="center"/>
          </w:tcPr>
          <w:p>
            <w:pPr>
              <w:spacing w:line="400" w:lineRule="exact"/>
              <w:jc w:val="center"/>
              <w:rPr>
                <w:rFonts w:ascii="宋体" w:hAnsi="宋体" w:cs="宋体"/>
                <w:b w:val="0"/>
                <w:bCs/>
                <w:sz w:val="24"/>
                <w:szCs w:val="24"/>
                <w:highlight w:val="none"/>
              </w:rPr>
            </w:pPr>
          </w:p>
        </w:tc>
        <w:tc>
          <w:tcPr>
            <w:tcW w:w="1155" w:type="dxa"/>
            <w:vMerge w:val="continue"/>
            <w:vAlign w:val="center"/>
          </w:tcPr>
          <w:p>
            <w:pPr>
              <w:spacing w:line="400" w:lineRule="exact"/>
              <w:jc w:val="center"/>
              <w:rPr>
                <w:rFonts w:ascii="宋体" w:hAnsi="宋体" w:cs="宋体"/>
                <w:b w:val="0"/>
                <w:bCs/>
                <w:sz w:val="24"/>
                <w:szCs w:val="24"/>
                <w:highlight w:val="none"/>
              </w:rPr>
            </w:pPr>
          </w:p>
        </w:tc>
        <w:tc>
          <w:tcPr>
            <w:tcW w:w="797" w:type="dxa"/>
            <w:vMerge w:val="continue"/>
            <w:vAlign w:val="center"/>
          </w:tcPr>
          <w:p>
            <w:pPr>
              <w:spacing w:line="400" w:lineRule="exact"/>
              <w:jc w:val="center"/>
              <w:rPr>
                <w:rFonts w:ascii="宋体" w:hAnsi="宋体" w:cs="宋体"/>
                <w:b w:val="0"/>
                <w:bCs/>
                <w:szCs w:val="21"/>
                <w:highlight w:val="none"/>
              </w:rPr>
            </w:pPr>
          </w:p>
        </w:tc>
        <w:tc>
          <w:tcPr>
            <w:tcW w:w="6399" w:type="dxa"/>
            <w:vAlign w:val="center"/>
          </w:tcPr>
          <w:p>
            <w:pPr>
              <w:spacing w:line="400" w:lineRule="exact"/>
              <w:rPr>
                <w:rFonts w:hint="default" w:ascii="宋体" w:hAnsi="宋体" w:eastAsia="宋体" w:cs="宋体"/>
                <w:b w:val="0"/>
                <w:bCs/>
                <w:sz w:val="18"/>
                <w:szCs w:val="18"/>
                <w:highlight w:val="none"/>
                <w:lang w:val="en-US" w:eastAsia="zh-CN"/>
              </w:rPr>
            </w:pPr>
            <w:r>
              <w:rPr>
                <w:rFonts w:hint="eastAsia" w:ascii="宋体" w:hAnsi="宋体" w:cs="宋体"/>
                <w:b w:val="0"/>
                <w:bCs/>
                <w:sz w:val="18"/>
                <w:szCs w:val="18"/>
                <w:highlight w:val="none"/>
                <w:lang w:val="en-US" w:eastAsia="zh-CN"/>
              </w:rPr>
              <w:t>1、端口浪涌抗扰度≥8KV，得1分；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31" w:type="dxa"/>
            <w:vMerge w:val="continue"/>
            <w:vAlign w:val="center"/>
          </w:tcPr>
          <w:p>
            <w:pPr>
              <w:spacing w:line="400" w:lineRule="exact"/>
              <w:rPr>
                <w:rFonts w:ascii="宋体" w:hAnsi="宋体" w:cs="宋体"/>
                <w:b w:val="0"/>
                <w:bCs/>
                <w:sz w:val="24"/>
                <w:szCs w:val="24"/>
                <w:highlight w:val="none"/>
              </w:rPr>
            </w:pPr>
          </w:p>
        </w:tc>
        <w:tc>
          <w:tcPr>
            <w:tcW w:w="1065" w:type="dxa"/>
            <w:vMerge w:val="continue"/>
            <w:vAlign w:val="center"/>
          </w:tcPr>
          <w:p>
            <w:pPr>
              <w:spacing w:line="400" w:lineRule="exact"/>
              <w:jc w:val="center"/>
              <w:rPr>
                <w:rFonts w:ascii="宋体" w:hAnsi="宋体" w:cs="宋体"/>
                <w:b w:val="0"/>
                <w:bCs/>
                <w:sz w:val="24"/>
                <w:szCs w:val="24"/>
                <w:highlight w:val="none"/>
              </w:rPr>
            </w:pPr>
          </w:p>
        </w:tc>
        <w:tc>
          <w:tcPr>
            <w:tcW w:w="1155" w:type="dxa"/>
            <w:vMerge w:val="continue"/>
            <w:vAlign w:val="center"/>
          </w:tcPr>
          <w:p>
            <w:pPr>
              <w:spacing w:line="400" w:lineRule="exact"/>
              <w:jc w:val="center"/>
              <w:rPr>
                <w:rFonts w:ascii="宋体" w:hAnsi="宋体" w:cs="宋体"/>
                <w:b w:val="0"/>
                <w:bCs/>
                <w:sz w:val="24"/>
                <w:szCs w:val="24"/>
                <w:highlight w:val="none"/>
              </w:rPr>
            </w:pPr>
          </w:p>
        </w:tc>
        <w:tc>
          <w:tcPr>
            <w:tcW w:w="797" w:type="dxa"/>
            <w:vMerge w:val="continue"/>
            <w:vAlign w:val="center"/>
          </w:tcPr>
          <w:p>
            <w:pPr>
              <w:spacing w:line="400" w:lineRule="exact"/>
              <w:jc w:val="center"/>
              <w:rPr>
                <w:rFonts w:ascii="宋体" w:hAnsi="宋体" w:cs="宋体"/>
                <w:b w:val="0"/>
                <w:bCs/>
                <w:szCs w:val="21"/>
                <w:highlight w:val="none"/>
              </w:rPr>
            </w:pPr>
          </w:p>
        </w:tc>
        <w:tc>
          <w:tcPr>
            <w:tcW w:w="6399" w:type="dxa"/>
            <w:vAlign w:val="center"/>
          </w:tcPr>
          <w:p>
            <w:pPr>
              <w:spacing w:line="400" w:lineRule="exact"/>
              <w:rPr>
                <w:rFonts w:hint="default" w:ascii="宋体" w:hAnsi="宋体" w:eastAsia="宋体" w:cs="宋体"/>
                <w:b w:val="0"/>
                <w:bCs/>
                <w:sz w:val="18"/>
                <w:szCs w:val="18"/>
                <w:highlight w:val="none"/>
                <w:lang w:val="en-US" w:eastAsia="zh-CN"/>
              </w:rPr>
            </w:pPr>
            <w:r>
              <w:rPr>
                <w:rFonts w:hint="eastAsia" w:ascii="宋体" w:hAnsi="宋体" w:cs="宋体"/>
                <w:b w:val="0"/>
                <w:bCs/>
                <w:sz w:val="18"/>
                <w:szCs w:val="18"/>
                <w:highlight w:val="none"/>
                <w:lang w:val="en-US" w:eastAsia="zh-CN"/>
              </w:rPr>
              <w:t>2、支持NFPP基础网络保护协议，得1分；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31" w:type="dxa"/>
            <w:vMerge w:val="continue"/>
            <w:vAlign w:val="center"/>
          </w:tcPr>
          <w:p>
            <w:pPr>
              <w:spacing w:line="400" w:lineRule="exact"/>
              <w:rPr>
                <w:rFonts w:ascii="宋体" w:hAnsi="宋体" w:cs="宋体"/>
                <w:b w:val="0"/>
                <w:bCs/>
                <w:sz w:val="24"/>
                <w:szCs w:val="24"/>
                <w:highlight w:val="none"/>
              </w:rPr>
            </w:pPr>
          </w:p>
        </w:tc>
        <w:tc>
          <w:tcPr>
            <w:tcW w:w="1065" w:type="dxa"/>
            <w:vMerge w:val="continue"/>
            <w:vAlign w:val="center"/>
          </w:tcPr>
          <w:p>
            <w:pPr>
              <w:spacing w:line="400" w:lineRule="exact"/>
              <w:jc w:val="center"/>
              <w:rPr>
                <w:rFonts w:ascii="宋体" w:hAnsi="宋体" w:cs="宋体"/>
                <w:b w:val="0"/>
                <w:bCs/>
                <w:sz w:val="24"/>
                <w:szCs w:val="24"/>
                <w:highlight w:val="none"/>
              </w:rPr>
            </w:pPr>
          </w:p>
        </w:tc>
        <w:tc>
          <w:tcPr>
            <w:tcW w:w="1155" w:type="dxa"/>
            <w:vMerge w:val="continue"/>
            <w:vAlign w:val="center"/>
          </w:tcPr>
          <w:p>
            <w:pPr>
              <w:spacing w:line="400" w:lineRule="exact"/>
              <w:jc w:val="center"/>
              <w:rPr>
                <w:rFonts w:ascii="宋体" w:hAnsi="宋体" w:cs="宋体"/>
                <w:b w:val="0"/>
                <w:bCs/>
                <w:sz w:val="24"/>
                <w:szCs w:val="24"/>
                <w:highlight w:val="none"/>
              </w:rPr>
            </w:pPr>
          </w:p>
        </w:tc>
        <w:tc>
          <w:tcPr>
            <w:tcW w:w="797" w:type="dxa"/>
            <w:vMerge w:val="continue"/>
            <w:vAlign w:val="center"/>
          </w:tcPr>
          <w:p>
            <w:pPr>
              <w:spacing w:line="400" w:lineRule="exact"/>
              <w:jc w:val="center"/>
              <w:rPr>
                <w:rFonts w:ascii="宋体" w:hAnsi="宋体" w:cs="宋体"/>
                <w:b w:val="0"/>
                <w:bCs/>
                <w:szCs w:val="21"/>
                <w:highlight w:val="none"/>
              </w:rPr>
            </w:pPr>
          </w:p>
        </w:tc>
        <w:tc>
          <w:tcPr>
            <w:tcW w:w="6399" w:type="dxa"/>
            <w:vAlign w:val="center"/>
          </w:tcPr>
          <w:p>
            <w:pPr>
              <w:spacing w:line="400" w:lineRule="exact"/>
              <w:rPr>
                <w:rFonts w:hint="eastAsia" w:ascii="宋体" w:hAnsi="宋体" w:cs="宋体"/>
                <w:b w:val="0"/>
                <w:bCs/>
                <w:sz w:val="18"/>
                <w:szCs w:val="18"/>
                <w:highlight w:val="none"/>
              </w:rPr>
            </w:pPr>
            <w:r>
              <w:rPr>
                <w:rFonts w:hint="eastAsia" w:ascii="宋体" w:hAnsi="宋体" w:cs="宋体"/>
                <w:b/>
                <w:bCs w:val="0"/>
                <w:sz w:val="18"/>
                <w:szCs w:val="18"/>
                <w:highlight w:val="none"/>
              </w:rPr>
              <w:t>注：以上1-</w:t>
            </w:r>
            <w:r>
              <w:rPr>
                <w:rFonts w:hint="eastAsia" w:ascii="宋体" w:hAnsi="宋体" w:cs="宋体"/>
                <w:b/>
                <w:bCs w:val="0"/>
                <w:sz w:val="18"/>
                <w:szCs w:val="18"/>
                <w:highlight w:val="none"/>
                <w:lang w:val="en-US" w:eastAsia="zh-CN"/>
              </w:rPr>
              <w:t>2</w:t>
            </w:r>
            <w:r>
              <w:rPr>
                <w:rFonts w:hint="eastAsia" w:ascii="宋体" w:hAnsi="宋体" w:cs="宋体"/>
                <w:b/>
                <w:bCs w:val="0"/>
                <w:sz w:val="18"/>
                <w:szCs w:val="18"/>
                <w:highlight w:val="none"/>
              </w:rPr>
              <w:t>项开标时须提供</w:t>
            </w:r>
            <w:r>
              <w:rPr>
                <w:rFonts w:hint="eastAsia" w:ascii="宋体" w:hAnsi="宋体" w:cs="宋体"/>
                <w:b/>
                <w:bCs w:val="0"/>
                <w:sz w:val="18"/>
                <w:szCs w:val="18"/>
                <w:highlight w:val="none"/>
                <w:lang w:eastAsia="zh-CN"/>
              </w:rPr>
              <w:t>权威</w:t>
            </w:r>
            <w:r>
              <w:rPr>
                <w:rFonts w:hint="eastAsia" w:ascii="宋体" w:hAnsi="宋体" w:cs="宋体"/>
                <w:b/>
                <w:bCs w:val="0"/>
                <w:sz w:val="18"/>
                <w:szCs w:val="18"/>
                <w:highlight w:val="none"/>
              </w:rPr>
              <w:t>机构出具的检测</w:t>
            </w:r>
            <w:r>
              <w:rPr>
                <w:rFonts w:hint="eastAsia" w:ascii="宋体" w:hAnsi="宋体" w:cs="宋体"/>
                <w:b/>
                <w:bCs w:val="0"/>
                <w:sz w:val="18"/>
                <w:szCs w:val="18"/>
                <w:highlight w:val="none"/>
                <w:lang w:eastAsia="zh-CN"/>
              </w:rPr>
              <w:t>报告</w:t>
            </w:r>
            <w:r>
              <w:rPr>
                <w:rFonts w:hint="eastAsia" w:ascii="宋体" w:hAnsi="宋体" w:cs="宋体"/>
                <w:b/>
                <w:bCs w:val="0"/>
                <w:sz w:val="18"/>
                <w:szCs w:val="18"/>
                <w:highlight w:val="none"/>
              </w:rPr>
              <w:t>复印件</w:t>
            </w:r>
            <w:r>
              <w:rPr>
                <w:rFonts w:hint="eastAsia" w:ascii="宋体" w:hAnsi="宋体" w:cs="宋体"/>
                <w:b/>
                <w:bCs w:val="0"/>
                <w:sz w:val="18"/>
                <w:szCs w:val="18"/>
                <w:highlight w:val="none"/>
                <w:lang w:eastAsia="zh-CN"/>
              </w:rPr>
              <w:t>或产品官网截图</w:t>
            </w:r>
            <w:r>
              <w:rPr>
                <w:rFonts w:hint="eastAsia" w:ascii="宋体" w:hAnsi="宋体" w:cs="宋体"/>
                <w:b/>
                <w:bCs w:val="0"/>
                <w:sz w:val="18"/>
                <w:szCs w:val="18"/>
                <w:highlight w:val="none"/>
              </w:rPr>
              <w:t>并加盖产品制造商公章，否则不得分；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 w:type="dxa"/>
            <w:vMerge w:val="continue"/>
            <w:vAlign w:val="center"/>
          </w:tcPr>
          <w:p>
            <w:pPr>
              <w:spacing w:line="400" w:lineRule="exact"/>
              <w:rPr>
                <w:rFonts w:ascii="宋体" w:hAnsi="宋体" w:cs="宋体"/>
                <w:b w:val="0"/>
                <w:bCs/>
                <w:sz w:val="24"/>
                <w:szCs w:val="24"/>
                <w:highlight w:val="none"/>
              </w:rPr>
            </w:pPr>
          </w:p>
        </w:tc>
        <w:tc>
          <w:tcPr>
            <w:tcW w:w="1065" w:type="dxa"/>
            <w:vMerge w:val="continue"/>
            <w:vAlign w:val="center"/>
          </w:tcPr>
          <w:p>
            <w:pPr>
              <w:spacing w:line="400" w:lineRule="exact"/>
              <w:jc w:val="center"/>
              <w:rPr>
                <w:rFonts w:ascii="宋体" w:hAnsi="宋体" w:cs="宋体"/>
                <w:b w:val="0"/>
                <w:bCs/>
                <w:sz w:val="24"/>
                <w:szCs w:val="24"/>
                <w:highlight w:val="none"/>
              </w:rPr>
            </w:pPr>
          </w:p>
        </w:tc>
        <w:tc>
          <w:tcPr>
            <w:tcW w:w="1155" w:type="dxa"/>
            <w:vMerge w:val="continue"/>
            <w:vAlign w:val="center"/>
          </w:tcPr>
          <w:p>
            <w:pPr>
              <w:spacing w:line="400" w:lineRule="exact"/>
              <w:jc w:val="center"/>
              <w:rPr>
                <w:rFonts w:ascii="宋体" w:hAnsi="宋体" w:cs="宋体"/>
                <w:b w:val="0"/>
                <w:bCs/>
                <w:sz w:val="24"/>
                <w:szCs w:val="24"/>
                <w:highlight w:val="none"/>
              </w:rPr>
            </w:pPr>
          </w:p>
        </w:tc>
        <w:tc>
          <w:tcPr>
            <w:tcW w:w="797" w:type="dxa"/>
            <w:vMerge w:val="continue"/>
            <w:vAlign w:val="center"/>
          </w:tcPr>
          <w:p>
            <w:pPr>
              <w:spacing w:line="400" w:lineRule="exact"/>
              <w:jc w:val="center"/>
              <w:rPr>
                <w:rFonts w:ascii="宋体" w:hAnsi="宋体" w:cs="宋体"/>
                <w:b w:val="0"/>
                <w:bCs/>
                <w:szCs w:val="21"/>
                <w:highlight w:val="none"/>
              </w:rPr>
            </w:pPr>
          </w:p>
        </w:tc>
        <w:tc>
          <w:tcPr>
            <w:tcW w:w="6399" w:type="dxa"/>
            <w:vAlign w:val="center"/>
          </w:tcPr>
          <w:p>
            <w:pPr>
              <w:spacing w:line="400" w:lineRule="exact"/>
              <w:rPr>
                <w:rFonts w:hint="default" w:ascii="宋体" w:hAnsi="宋体" w:eastAsia="宋体" w:cs="宋体"/>
                <w:b w:val="0"/>
                <w:bCs/>
                <w:sz w:val="18"/>
                <w:szCs w:val="18"/>
                <w:highlight w:val="none"/>
                <w:lang w:val="en-US" w:eastAsia="zh-CN"/>
              </w:rPr>
            </w:pPr>
            <w:r>
              <w:rPr>
                <w:rFonts w:hint="eastAsia" w:ascii="宋体" w:hAnsi="宋体" w:cs="宋体"/>
                <w:b/>
                <w:bCs w:val="0"/>
                <w:sz w:val="21"/>
                <w:szCs w:val="21"/>
                <w:highlight w:val="none"/>
                <w:lang w:eastAsia="zh-CN"/>
              </w:rPr>
              <w:t>五</w:t>
            </w:r>
            <w:r>
              <w:rPr>
                <w:rFonts w:hint="eastAsia" w:ascii="宋体" w:hAnsi="宋体" w:cs="宋体"/>
                <w:b/>
                <w:bCs w:val="0"/>
                <w:sz w:val="21"/>
                <w:szCs w:val="21"/>
                <w:highlight w:val="none"/>
                <w:lang w:val="en-US" w:eastAsia="zh-CN"/>
              </w:rPr>
              <w:t>.4G路由器（2分）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31" w:type="dxa"/>
            <w:vMerge w:val="continue"/>
            <w:vAlign w:val="center"/>
          </w:tcPr>
          <w:p>
            <w:pPr>
              <w:spacing w:line="400" w:lineRule="exact"/>
              <w:rPr>
                <w:rFonts w:ascii="宋体" w:hAnsi="宋体" w:cs="宋体"/>
                <w:b w:val="0"/>
                <w:bCs/>
                <w:sz w:val="24"/>
                <w:szCs w:val="24"/>
                <w:highlight w:val="none"/>
              </w:rPr>
            </w:pPr>
          </w:p>
        </w:tc>
        <w:tc>
          <w:tcPr>
            <w:tcW w:w="1065" w:type="dxa"/>
            <w:vMerge w:val="continue"/>
            <w:vAlign w:val="center"/>
          </w:tcPr>
          <w:p>
            <w:pPr>
              <w:spacing w:line="400" w:lineRule="exact"/>
              <w:jc w:val="center"/>
              <w:rPr>
                <w:rFonts w:ascii="宋体" w:hAnsi="宋体" w:cs="宋体"/>
                <w:b w:val="0"/>
                <w:bCs/>
                <w:sz w:val="24"/>
                <w:szCs w:val="24"/>
                <w:highlight w:val="none"/>
              </w:rPr>
            </w:pPr>
          </w:p>
        </w:tc>
        <w:tc>
          <w:tcPr>
            <w:tcW w:w="1155" w:type="dxa"/>
            <w:vMerge w:val="continue"/>
            <w:vAlign w:val="center"/>
          </w:tcPr>
          <w:p>
            <w:pPr>
              <w:spacing w:line="400" w:lineRule="exact"/>
              <w:jc w:val="center"/>
              <w:rPr>
                <w:rFonts w:ascii="宋体" w:hAnsi="宋体" w:cs="宋体"/>
                <w:b w:val="0"/>
                <w:bCs/>
                <w:sz w:val="24"/>
                <w:szCs w:val="24"/>
                <w:highlight w:val="none"/>
              </w:rPr>
            </w:pPr>
          </w:p>
        </w:tc>
        <w:tc>
          <w:tcPr>
            <w:tcW w:w="797" w:type="dxa"/>
            <w:vMerge w:val="continue"/>
            <w:vAlign w:val="center"/>
          </w:tcPr>
          <w:p>
            <w:pPr>
              <w:spacing w:line="400" w:lineRule="exact"/>
              <w:jc w:val="center"/>
              <w:rPr>
                <w:rFonts w:ascii="宋体" w:hAnsi="宋体" w:cs="宋体"/>
                <w:b w:val="0"/>
                <w:bCs/>
                <w:szCs w:val="21"/>
                <w:highlight w:val="none"/>
              </w:rPr>
            </w:pPr>
          </w:p>
        </w:tc>
        <w:tc>
          <w:tcPr>
            <w:tcW w:w="6399" w:type="dxa"/>
            <w:vAlign w:val="center"/>
          </w:tcPr>
          <w:p>
            <w:pPr>
              <w:spacing w:line="400" w:lineRule="exact"/>
              <w:rPr>
                <w:rFonts w:hint="eastAsia" w:ascii="宋体" w:hAnsi="宋体" w:eastAsia="宋体" w:cs="宋体"/>
                <w:b w:val="0"/>
                <w:bCs/>
                <w:sz w:val="18"/>
                <w:szCs w:val="18"/>
                <w:highlight w:val="none"/>
                <w:lang w:val="en-US" w:eastAsia="zh-CN"/>
              </w:rPr>
            </w:pPr>
            <w:r>
              <w:rPr>
                <w:rFonts w:hint="eastAsia" w:ascii="宋体" w:hAnsi="宋体" w:cs="宋体"/>
                <w:b w:val="0"/>
                <w:bCs/>
                <w:sz w:val="18"/>
                <w:szCs w:val="18"/>
                <w:highlight w:val="none"/>
                <w:lang w:val="en-US" w:eastAsia="zh-CN"/>
              </w:rPr>
              <w:t>1、便于路由器安装于狭小空间，设备尺寸小于120mm*100mm*30mm，得1分；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1" w:type="dxa"/>
            <w:vMerge w:val="continue"/>
            <w:vAlign w:val="center"/>
          </w:tcPr>
          <w:p>
            <w:pPr>
              <w:spacing w:line="400" w:lineRule="exact"/>
              <w:rPr>
                <w:rFonts w:ascii="宋体" w:hAnsi="宋体" w:cs="宋体"/>
                <w:b w:val="0"/>
                <w:bCs/>
                <w:sz w:val="24"/>
                <w:szCs w:val="24"/>
                <w:highlight w:val="none"/>
              </w:rPr>
            </w:pPr>
          </w:p>
        </w:tc>
        <w:tc>
          <w:tcPr>
            <w:tcW w:w="1065" w:type="dxa"/>
            <w:vMerge w:val="continue"/>
            <w:vAlign w:val="center"/>
          </w:tcPr>
          <w:p>
            <w:pPr>
              <w:spacing w:line="400" w:lineRule="exact"/>
              <w:jc w:val="center"/>
              <w:rPr>
                <w:rFonts w:ascii="宋体" w:hAnsi="宋体" w:cs="宋体"/>
                <w:b w:val="0"/>
                <w:bCs/>
                <w:sz w:val="24"/>
                <w:szCs w:val="24"/>
                <w:highlight w:val="none"/>
              </w:rPr>
            </w:pPr>
          </w:p>
        </w:tc>
        <w:tc>
          <w:tcPr>
            <w:tcW w:w="1155" w:type="dxa"/>
            <w:vMerge w:val="continue"/>
            <w:vAlign w:val="center"/>
          </w:tcPr>
          <w:p>
            <w:pPr>
              <w:spacing w:line="400" w:lineRule="exact"/>
              <w:jc w:val="center"/>
              <w:rPr>
                <w:rFonts w:ascii="宋体" w:hAnsi="宋体" w:cs="宋体"/>
                <w:b w:val="0"/>
                <w:bCs/>
                <w:sz w:val="24"/>
                <w:szCs w:val="24"/>
                <w:highlight w:val="none"/>
              </w:rPr>
            </w:pPr>
          </w:p>
        </w:tc>
        <w:tc>
          <w:tcPr>
            <w:tcW w:w="797" w:type="dxa"/>
            <w:vMerge w:val="continue"/>
            <w:vAlign w:val="center"/>
          </w:tcPr>
          <w:p>
            <w:pPr>
              <w:spacing w:line="400" w:lineRule="exact"/>
              <w:jc w:val="center"/>
              <w:rPr>
                <w:rFonts w:ascii="宋体" w:hAnsi="宋体" w:cs="宋体"/>
                <w:b w:val="0"/>
                <w:bCs/>
                <w:szCs w:val="21"/>
                <w:highlight w:val="none"/>
              </w:rPr>
            </w:pPr>
          </w:p>
        </w:tc>
        <w:tc>
          <w:tcPr>
            <w:tcW w:w="6399" w:type="dxa"/>
            <w:vAlign w:val="center"/>
          </w:tcPr>
          <w:p>
            <w:pPr>
              <w:spacing w:line="400" w:lineRule="exact"/>
              <w:rPr>
                <w:rFonts w:hint="eastAsia" w:ascii="宋体" w:hAnsi="宋体" w:eastAsia="宋体" w:cs="宋体"/>
                <w:b w:val="0"/>
                <w:bCs/>
                <w:sz w:val="18"/>
                <w:szCs w:val="18"/>
                <w:highlight w:val="none"/>
                <w:lang w:val="en-US" w:eastAsia="zh-CN"/>
              </w:rPr>
            </w:pPr>
            <w:r>
              <w:rPr>
                <w:rFonts w:hint="eastAsia" w:ascii="宋体" w:hAnsi="宋体" w:cs="宋体"/>
                <w:b w:val="0"/>
                <w:bCs/>
                <w:sz w:val="18"/>
                <w:szCs w:val="18"/>
                <w:highlight w:val="none"/>
                <w:lang w:val="en-US" w:eastAsia="zh-CN"/>
              </w:rPr>
              <w:t>2、为提高设备可靠性，支持-40~85℃工作温度，得1分；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31" w:type="dxa"/>
            <w:vMerge w:val="continue"/>
            <w:vAlign w:val="center"/>
          </w:tcPr>
          <w:p>
            <w:pPr>
              <w:spacing w:line="400" w:lineRule="exact"/>
              <w:rPr>
                <w:rFonts w:ascii="宋体" w:hAnsi="宋体" w:cs="宋体"/>
                <w:b w:val="0"/>
                <w:bCs/>
                <w:sz w:val="24"/>
                <w:szCs w:val="24"/>
                <w:highlight w:val="none"/>
              </w:rPr>
            </w:pPr>
          </w:p>
        </w:tc>
        <w:tc>
          <w:tcPr>
            <w:tcW w:w="1065" w:type="dxa"/>
            <w:vMerge w:val="continue"/>
            <w:vAlign w:val="center"/>
          </w:tcPr>
          <w:p>
            <w:pPr>
              <w:spacing w:line="400" w:lineRule="exact"/>
              <w:jc w:val="center"/>
              <w:rPr>
                <w:rFonts w:ascii="宋体" w:hAnsi="宋体" w:cs="宋体"/>
                <w:b w:val="0"/>
                <w:bCs/>
                <w:sz w:val="24"/>
                <w:szCs w:val="24"/>
                <w:highlight w:val="none"/>
              </w:rPr>
            </w:pPr>
          </w:p>
        </w:tc>
        <w:tc>
          <w:tcPr>
            <w:tcW w:w="1155" w:type="dxa"/>
            <w:vMerge w:val="continue"/>
            <w:vAlign w:val="center"/>
          </w:tcPr>
          <w:p>
            <w:pPr>
              <w:spacing w:line="400" w:lineRule="exact"/>
              <w:jc w:val="center"/>
              <w:rPr>
                <w:rFonts w:ascii="宋体" w:hAnsi="宋体" w:cs="宋体"/>
                <w:b w:val="0"/>
                <w:bCs/>
                <w:sz w:val="24"/>
                <w:szCs w:val="24"/>
                <w:highlight w:val="none"/>
              </w:rPr>
            </w:pPr>
          </w:p>
        </w:tc>
        <w:tc>
          <w:tcPr>
            <w:tcW w:w="797" w:type="dxa"/>
            <w:vMerge w:val="continue"/>
            <w:vAlign w:val="center"/>
          </w:tcPr>
          <w:p>
            <w:pPr>
              <w:spacing w:line="400" w:lineRule="exact"/>
              <w:jc w:val="center"/>
              <w:rPr>
                <w:rFonts w:ascii="宋体" w:hAnsi="宋体" w:cs="宋体"/>
                <w:b w:val="0"/>
                <w:bCs/>
                <w:szCs w:val="21"/>
                <w:highlight w:val="none"/>
              </w:rPr>
            </w:pPr>
          </w:p>
        </w:tc>
        <w:tc>
          <w:tcPr>
            <w:tcW w:w="6399" w:type="dxa"/>
            <w:vAlign w:val="center"/>
          </w:tcPr>
          <w:p>
            <w:pPr>
              <w:spacing w:line="400" w:lineRule="exact"/>
              <w:rPr>
                <w:rFonts w:hint="eastAsia" w:ascii="宋体" w:hAnsi="宋体" w:cs="宋体"/>
                <w:b w:val="0"/>
                <w:bCs/>
                <w:sz w:val="18"/>
                <w:szCs w:val="18"/>
                <w:highlight w:val="none"/>
              </w:rPr>
            </w:pPr>
            <w:r>
              <w:rPr>
                <w:rFonts w:hint="eastAsia" w:ascii="宋体" w:hAnsi="宋体" w:cs="宋体"/>
                <w:b/>
                <w:bCs w:val="0"/>
                <w:sz w:val="18"/>
                <w:szCs w:val="18"/>
                <w:highlight w:val="none"/>
              </w:rPr>
              <w:t>注：以上1-</w:t>
            </w:r>
            <w:r>
              <w:rPr>
                <w:rFonts w:hint="eastAsia" w:ascii="宋体" w:hAnsi="宋体" w:cs="宋体"/>
                <w:b/>
                <w:bCs w:val="0"/>
                <w:sz w:val="18"/>
                <w:szCs w:val="18"/>
                <w:highlight w:val="none"/>
                <w:lang w:val="en-US" w:eastAsia="zh-CN"/>
              </w:rPr>
              <w:t>2</w:t>
            </w:r>
            <w:r>
              <w:rPr>
                <w:rFonts w:hint="eastAsia" w:ascii="宋体" w:hAnsi="宋体" w:cs="宋体"/>
                <w:b/>
                <w:bCs w:val="0"/>
                <w:sz w:val="18"/>
                <w:szCs w:val="18"/>
                <w:highlight w:val="none"/>
              </w:rPr>
              <w:t>项开标时须提供</w:t>
            </w:r>
            <w:r>
              <w:rPr>
                <w:rFonts w:hint="eastAsia" w:ascii="宋体" w:hAnsi="宋体" w:cs="宋体"/>
                <w:b/>
                <w:bCs w:val="0"/>
                <w:sz w:val="18"/>
                <w:szCs w:val="18"/>
                <w:highlight w:val="none"/>
                <w:lang w:eastAsia="zh-CN"/>
              </w:rPr>
              <w:t>权威</w:t>
            </w:r>
            <w:r>
              <w:rPr>
                <w:rFonts w:hint="eastAsia" w:ascii="宋体" w:hAnsi="宋体" w:cs="宋体"/>
                <w:b/>
                <w:bCs w:val="0"/>
                <w:sz w:val="18"/>
                <w:szCs w:val="18"/>
                <w:highlight w:val="none"/>
              </w:rPr>
              <w:t>机构出具的检测</w:t>
            </w:r>
            <w:r>
              <w:rPr>
                <w:rFonts w:hint="eastAsia" w:ascii="宋体" w:hAnsi="宋体" w:cs="宋体"/>
                <w:b/>
                <w:bCs w:val="0"/>
                <w:sz w:val="18"/>
                <w:szCs w:val="18"/>
                <w:highlight w:val="none"/>
                <w:lang w:eastAsia="zh-CN"/>
              </w:rPr>
              <w:t>报告</w:t>
            </w:r>
            <w:r>
              <w:rPr>
                <w:rFonts w:hint="eastAsia" w:ascii="宋体" w:hAnsi="宋体" w:cs="宋体"/>
                <w:b/>
                <w:bCs w:val="0"/>
                <w:sz w:val="18"/>
                <w:szCs w:val="18"/>
                <w:highlight w:val="none"/>
              </w:rPr>
              <w:t>复印件</w:t>
            </w:r>
            <w:r>
              <w:rPr>
                <w:rFonts w:hint="eastAsia" w:ascii="宋体" w:hAnsi="宋体" w:cs="宋体"/>
                <w:b/>
                <w:bCs w:val="0"/>
                <w:sz w:val="18"/>
                <w:szCs w:val="18"/>
                <w:highlight w:val="none"/>
                <w:lang w:eastAsia="zh-CN"/>
              </w:rPr>
              <w:t>或产品官网截图</w:t>
            </w:r>
            <w:r>
              <w:rPr>
                <w:rFonts w:hint="eastAsia" w:ascii="宋体" w:hAnsi="宋体" w:cs="宋体"/>
                <w:b/>
                <w:bCs w:val="0"/>
                <w:sz w:val="18"/>
                <w:szCs w:val="18"/>
                <w:highlight w:val="none"/>
              </w:rPr>
              <w:t>并加盖产品制造商公章，否则不得分；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431" w:type="dxa"/>
            <w:vAlign w:val="center"/>
          </w:tcPr>
          <w:p>
            <w:pPr>
              <w:spacing w:line="400" w:lineRule="exact"/>
              <w:rPr>
                <w:rFonts w:ascii="宋体" w:hAnsi="宋体" w:cs="宋体"/>
                <w:b w:val="0"/>
                <w:bCs/>
                <w:sz w:val="24"/>
                <w:szCs w:val="24"/>
                <w:highlight w:val="none"/>
              </w:rPr>
            </w:pPr>
            <w:r>
              <w:rPr>
                <w:rFonts w:hint="eastAsia" w:ascii="宋体" w:hAnsi="宋体" w:cs="宋体"/>
                <w:b w:val="0"/>
                <w:bCs/>
                <w:sz w:val="24"/>
                <w:szCs w:val="24"/>
                <w:highlight w:val="none"/>
              </w:rPr>
              <w:t>3</w:t>
            </w:r>
          </w:p>
        </w:tc>
        <w:tc>
          <w:tcPr>
            <w:tcW w:w="1065" w:type="dxa"/>
            <w:vAlign w:val="center"/>
          </w:tcPr>
          <w:p>
            <w:pPr>
              <w:spacing w:line="400" w:lineRule="exact"/>
              <w:jc w:val="center"/>
              <w:rPr>
                <w:rFonts w:hint="eastAsia" w:ascii="宋体" w:hAnsi="宋体" w:eastAsia="宋体" w:cs="宋体"/>
                <w:b w:val="0"/>
                <w:bCs/>
                <w:sz w:val="21"/>
                <w:szCs w:val="21"/>
                <w:highlight w:val="none"/>
                <w:lang w:eastAsia="zh-CN"/>
              </w:rPr>
            </w:pPr>
            <w:r>
              <w:rPr>
                <w:rFonts w:ascii="宋体" w:hAnsi="宋体" w:cs="宋体"/>
                <w:b w:val="0"/>
                <w:bCs/>
                <w:sz w:val="21"/>
                <w:szCs w:val="21"/>
                <w:highlight w:val="none"/>
              </w:rPr>
              <w:t>商务部分</w:t>
            </w:r>
            <w:r>
              <w:rPr>
                <w:rFonts w:hint="eastAsia" w:ascii="宋体" w:hAnsi="宋体" w:cs="宋体"/>
                <w:b w:val="0"/>
                <w:bCs/>
                <w:sz w:val="21"/>
                <w:szCs w:val="21"/>
                <w:highlight w:val="none"/>
                <w:lang w:eastAsia="zh-CN"/>
              </w:rPr>
              <w:t>（</w:t>
            </w:r>
            <w:r>
              <w:rPr>
                <w:rFonts w:hint="eastAsia" w:ascii="宋体" w:hAnsi="宋体" w:cs="宋体"/>
                <w:b w:val="0"/>
                <w:bCs/>
                <w:sz w:val="21"/>
                <w:szCs w:val="21"/>
                <w:highlight w:val="none"/>
                <w:lang w:val="en-US" w:eastAsia="zh-CN"/>
              </w:rPr>
              <w:t>20分</w:t>
            </w:r>
            <w:r>
              <w:rPr>
                <w:rFonts w:hint="eastAsia" w:ascii="宋体" w:hAnsi="宋体" w:cs="宋体"/>
                <w:b w:val="0"/>
                <w:bCs/>
                <w:sz w:val="21"/>
                <w:szCs w:val="21"/>
                <w:highlight w:val="none"/>
                <w:lang w:eastAsia="zh-CN"/>
              </w:rPr>
              <w:t>）</w:t>
            </w:r>
          </w:p>
        </w:tc>
        <w:tc>
          <w:tcPr>
            <w:tcW w:w="1155" w:type="dxa"/>
            <w:vAlign w:val="center"/>
          </w:tcPr>
          <w:p>
            <w:pPr>
              <w:spacing w:line="400" w:lineRule="exact"/>
              <w:jc w:val="center"/>
              <w:rPr>
                <w:rFonts w:ascii="宋体" w:hAnsi="宋体" w:cs="宋体"/>
                <w:b w:val="0"/>
                <w:bCs/>
                <w:sz w:val="21"/>
                <w:szCs w:val="21"/>
                <w:highlight w:val="none"/>
              </w:rPr>
            </w:pPr>
            <w:r>
              <w:rPr>
                <w:rFonts w:ascii="宋体" w:hAnsi="宋体" w:cs="宋体"/>
                <w:b w:val="0"/>
                <w:bCs/>
                <w:sz w:val="21"/>
                <w:szCs w:val="21"/>
                <w:highlight w:val="none"/>
              </w:rPr>
              <w:t>综合实力</w:t>
            </w:r>
          </w:p>
        </w:tc>
        <w:tc>
          <w:tcPr>
            <w:tcW w:w="797" w:type="dxa"/>
            <w:vAlign w:val="center"/>
          </w:tcPr>
          <w:p>
            <w:pPr>
              <w:spacing w:line="400" w:lineRule="exact"/>
              <w:jc w:val="center"/>
              <w:rPr>
                <w:rFonts w:ascii="宋体" w:hAnsi="宋体" w:cs="宋体"/>
                <w:b w:val="0"/>
                <w:bCs/>
                <w:sz w:val="24"/>
                <w:szCs w:val="24"/>
                <w:highlight w:val="none"/>
              </w:rPr>
            </w:pPr>
            <w:r>
              <w:rPr>
                <w:rFonts w:hint="eastAsia" w:ascii="宋体" w:hAnsi="宋体" w:cs="宋体"/>
                <w:b w:val="0"/>
                <w:bCs/>
                <w:sz w:val="24"/>
                <w:szCs w:val="24"/>
                <w:highlight w:val="none"/>
                <w:lang w:val="en-US" w:eastAsia="zh-CN"/>
              </w:rPr>
              <w:t>20</w:t>
            </w:r>
            <w:r>
              <w:rPr>
                <w:rFonts w:ascii="宋体" w:hAnsi="宋体" w:cs="宋体"/>
                <w:b w:val="0"/>
                <w:bCs/>
                <w:sz w:val="24"/>
                <w:szCs w:val="24"/>
                <w:highlight w:val="none"/>
              </w:rPr>
              <w:t>分</w:t>
            </w:r>
          </w:p>
        </w:tc>
        <w:tc>
          <w:tcPr>
            <w:tcW w:w="6399" w:type="dxa"/>
          </w:tcPr>
          <w:p>
            <w:pPr>
              <w:spacing w:line="400" w:lineRule="exact"/>
              <w:rPr>
                <w:color w:val="00B0F0"/>
                <w:highlight w:val="none"/>
              </w:rPr>
            </w:pPr>
            <w:r>
              <w:rPr>
                <w:rFonts w:hint="eastAsia"/>
                <w:highlight w:val="none"/>
              </w:rPr>
              <w:t>1、所投主要产品（900万像素卡口抓拍单元、800万像素微卡口抓拍单元、400万像素结构化双目摄像机）</w:t>
            </w:r>
            <w:r>
              <w:rPr>
                <w:rFonts w:hint="eastAsia" w:ascii="宋体" w:hAnsi="宋体" w:cs="宋体"/>
                <w:color w:val="00B0F0"/>
                <w:szCs w:val="21"/>
              </w:rPr>
              <w:t>制造商具备较强的技术研发实力，荣获过国家级科技进步奖、国家级技术发明奖的，每获得一项得1.5分，最多3分，没有不得分；</w:t>
            </w:r>
          </w:p>
          <w:p>
            <w:pPr>
              <w:spacing w:line="400" w:lineRule="exact"/>
              <w:rPr>
                <w:highlight w:val="none"/>
              </w:rPr>
            </w:pPr>
            <w:r>
              <w:rPr>
                <w:rFonts w:hint="eastAsia"/>
                <w:highlight w:val="none"/>
              </w:rPr>
              <w:t xml:space="preserve">2、所投主要产品（900万像素卡口抓拍单元、800万像素微卡口抓拍单元、400万像素结构化双目摄像机）制造商获得中国信息安全测评中心颁发的国家信息安全漏洞库（CNNVD）技术支撑单位一级证书的，得3分；获得二级证书的，得2分；获得三级证书的，得1分；没有不得分； </w:t>
            </w:r>
          </w:p>
          <w:p>
            <w:pPr>
              <w:spacing w:line="400" w:lineRule="exact"/>
              <w:rPr>
                <w:color w:val="auto"/>
                <w:highlight w:val="none"/>
              </w:rPr>
            </w:pPr>
            <w:r>
              <w:rPr>
                <w:rFonts w:hint="eastAsia"/>
                <w:highlight w:val="none"/>
              </w:rPr>
              <w:t>3、所投主要产品（900万像素卡口抓拍单元、800万像素微卡口抓拍单元、400万像素结构化双目摄像机</w:t>
            </w:r>
            <w:r>
              <w:rPr>
                <w:rFonts w:hint="eastAsia"/>
                <w:color w:val="auto"/>
                <w:highlight w:val="none"/>
              </w:rPr>
              <w:t>）制造商获</w:t>
            </w:r>
            <w:r>
              <w:rPr>
                <w:color w:val="auto"/>
                <w:highlight w:val="none"/>
              </w:rPr>
              <w:t>入选工信部“大数据产业发展试点示范项目”名单的</w:t>
            </w:r>
            <w:r>
              <w:rPr>
                <w:rFonts w:hint="eastAsia"/>
                <w:color w:val="auto"/>
                <w:highlight w:val="none"/>
              </w:rPr>
              <w:t>，得</w:t>
            </w:r>
            <w:r>
              <w:rPr>
                <w:rFonts w:hint="eastAsia"/>
                <w:color w:val="auto"/>
                <w:highlight w:val="none"/>
                <w:lang w:val="en-US" w:eastAsia="zh-CN"/>
              </w:rPr>
              <w:t>3分</w:t>
            </w:r>
            <w:r>
              <w:rPr>
                <w:rFonts w:hint="eastAsia"/>
                <w:color w:val="auto"/>
                <w:highlight w:val="none"/>
              </w:rPr>
              <w:t>，没有不得分；</w:t>
            </w:r>
          </w:p>
          <w:p>
            <w:pPr>
              <w:spacing w:line="400" w:lineRule="exact"/>
              <w:rPr>
                <w:highlight w:val="none"/>
              </w:rPr>
            </w:pPr>
            <w:r>
              <w:rPr>
                <w:rFonts w:hint="eastAsia"/>
                <w:color w:val="auto"/>
                <w:highlight w:val="none"/>
              </w:rPr>
              <w:t>4、所投主要产品（900万像素卡口抓拍单元</w:t>
            </w:r>
            <w:r>
              <w:rPr>
                <w:rFonts w:hint="eastAsia"/>
                <w:highlight w:val="none"/>
              </w:rPr>
              <w:t>、800万像素微卡口抓拍单元、400万像素结构化双目摄像机）制造商获得中国信息安全评测中心颁发的信息安全服务资质（风险评估）证书的，得</w:t>
            </w:r>
            <w:r>
              <w:rPr>
                <w:highlight w:val="none"/>
              </w:rPr>
              <w:t>3</w:t>
            </w:r>
            <w:r>
              <w:rPr>
                <w:rFonts w:hint="eastAsia"/>
                <w:highlight w:val="none"/>
              </w:rPr>
              <w:t>分，没有不得分；</w:t>
            </w:r>
          </w:p>
          <w:p>
            <w:pPr>
              <w:spacing w:line="400" w:lineRule="exact"/>
              <w:rPr>
                <w:rFonts w:hint="eastAsia"/>
                <w:highlight w:val="none"/>
                <w:lang w:eastAsia="zh-CN"/>
              </w:rPr>
            </w:pPr>
            <w:r>
              <w:rPr>
                <w:rFonts w:hint="eastAsia"/>
                <w:highlight w:val="none"/>
              </w:rPr>
              <w:t>5、所投主要产品（900万像素卡口抓拍单元、800万像素微卡口抓拍单元、400万像素结构化双目摄像机）制造商具有公安部重点实验室的，得3分</w:t>
            </w:r>
            <w:r>
              <w:rPr>
                <w:rFonts w:hint="eastAsia"/>
                <w:highlight w:val="none"/>
                <w:lang w:eastAsia="zh-CN"/>
              </w:rPr>
              <w:t>，没有不得分；</w:t>
            </w:r>
          </w:p>
          <w:p>
            <w:pPr>
              <w:spacing w:line="400" w:lineRule="exact"/>
              <w:rPr>
                <w:rFonts w:hint="eastAsia"/>
                <w:highlight w:val="none"/>
                <w:lang w:eastAsia="zh-CN"/>
              </w:rPr>
            </w:pPr>
            <w:r>
              <w:rPr>
                <w:rFonts w:hint="eastAsia"/>
                <w:highlight w:val="none"/>
              </w:rPr>
              <w:t>6、所投主要产品（900万像素卡口抓拍单元、800万像素微卡口抓拍单元、400万像素结构化双目摄像机）制造商获得过CNCERT网络安全应急服务</w:t>
            </w:r>
            <w:r>
              <w:rPr>
                <w:rFonts w:hint="eastAsia"/>
                <w:highlight w:val="none"/>
                <w:lang w:eastAsia="zh-CN"/>
              </w:rPr>
              <w:t>支撑单位证书的，得3分，没有不得分。</w:t>
            </w:r>
          </w:p>
          <w:p>
            <w:pPr>
              <w:spacing w:line="400" w:lineRule="exact"/>
              <w:rPr>
                <w:rFonts w:hint="eastAsia" w:eastAsiaTheme="minorEastAsia"/>
                <w:highlight w:val="none"/>
                <w:lang w:val="en-US" w:eastAsia="zh-CN"/>
              </w:rPr>
            </w:pPr>
            <w:r>
              <w:rPr>
                <w:rFonts w:hint="eastAsia"/>
                <w:highlight w:val="none"/>
                <w:lang w:val="en-US" w:eastAsia="zh-CN"/>
              </w:rPr>
              <w:t>7、所投交换机提供公安部工业以太网检测报告的，得2分，没有不得分。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31" w:type="dxa"/>
            <w:vMerge w:val="restart"/>
            <w:vAlign w:val="center"/>
          </w:tcPr>
          <w:p>
            <w:pPr>
              <w:spacing w:line="400" w:lineRule="exact"/>
              <w:rPr>
                <w:rFonts w:ascii="宋体" w:hAnsi="宋体" w:cs="宋体"/>
                <w:b w:val="0"/>
                <w:bCs/>
                <w:sz w:val="21"/>
                <w:szCs w:val="21"/>
                <w:highlight w:val="none"/>
              </w:rPr>
            </w:pPr>
            <w:r>
              <w:rPr>
                <w:rFonts w:hint="eastAsia" w:ascii="宋体" w:hAnsi="宋体" w:cs="宋体"/>
                <w:b w:val="0"/>
                <w:bCs/>
                <w:sz w:val="21"/>
                <w:szCs w:val="21"/>
                <w:highlight w:val="none"/>
              </w:rPr>
              <w:t>4</w:t>
            </w:r>
          </w:p>
        </w:tc>
        <w:tc>
          <w:tcPr>
            <w:tcW w:w="1065" w:type="dxa"/>
            <w:vMerge w:val="restart"/>
            <w:vAlign w:val="center"/>
          </w:tcPr>
          <w:p>
            <w:pPr>
              <w:spacing w:line="400" w:lineRule="exact"/>
              <w:jc w:val="center"/>
              <w:rPr>
                <w:rFonts w:ascii="宋体" w:hAnsi="宋体" w:cs="宋体"/>
                <w:b w:val="0"/>
                <w:bCs/>
                <w:sz w:val="21"/>
                <w:szCs w:val="21"/>
                <w:highlight w:val="none"/>
              </w:rPr>
            </w:pPr>
            <w:r>
              <w:rPr>
                <w:rFonts w:hint="eastAsia" w:ascii="宋体" w:hAnsi="宋体" w:cs="宋体"/>
                <w:b w:val="0"/>
                <w:bCs/>
                <w:sz w:val="21"/>
                <w:szCs w:val="21"/>
                <w:highlight w:val="none"/>
              </w:rPr>
              <w:t>售后服务承诺及其他</w:t>
            </w:r>
          </w:p>
          <w:p>
            <w:pPr>
              <w:spacing w:line="400" w:lineRule="exact"/>
              <w:jc w:val="center"/>
              <w:rPr>
                <w:rFonts w:ascii="宋体" w:hAnsi="宋体" w:cs="宋体"/>
                <w:b w:val="0"/>
                <w:bCs/>
                <w:sz w:val="21"/>
                <w:szCs w:val="21"/>
                <w:highlight w:val="none"/>
              </w:rPr>
            </w:pPr>
            <w:r>
              <w:rPr>
                <w:rFonts w:hint="eastAsia" w:ascii="宋体" w:hAnsi="宋体" w:cs="宋体"/>
                <w:b w:val="0"/>
                <w:bCs/>
                <w:sz w:val="21"/>
                <w:szCs w:val="21"/>
                <w:highlight w:val="none"/>
              </w:rPr>
              <w:t>（</w:t>
            </w:r>
            <w:r>
              <w:rPr>
                <w:rFonts w:ascii="宋体" w:hAnsi="宋体" w:cs="宋体"/>
                <w:b w:val="0"/>
                <w:bCs/>
                <w:sz w:val="21"/>
                <w:szCs w:val="21"/>
                <w:highlight w:val="none"/>
              </w:rPr>
              <w:t>1</w:t>
            </w:r>
            <w:r>
              <w:rPr>
                <w:rFonts w:hint="eastAsia" w:ascii="宋体" w:hAnsi="宋体" w:cs="宋体"/>
                <w:b w:val="0"/>
                <w:bCs/>
                <w:sz w:val="21"/>
                <w:szCs w:val="21"/>
                <w:highlight w:val="none"/>
                <w:lang w:val="en-US" w:eastAsia="zh-CN"/>
              </w:rPr>
              <w:t>2</w:t>
            </w:r>
            <w:r>
              <w:rPr>
                <w:rFonts w:hint="eastAsia" w:ascii="宋体" w:hAnsi="宋体" w:cs="宋体"/>
                <w:b w:val="0"/>
                <w:bCs/>
                <w:sz w:val="21"/>
                <w:szCs w:val="21"/>
                <w:highlight w:val="none"/>
              </w:rPr>
              <w:t>分）</w:t>
            </w:r>
          </w:p>
        </w:tc>
        <w:tc>
          <w:tcPr>
            <w:tcW w:w="1155" w:type="dxa"/>
            <w:vMerge w:val="restart"/>
            <w:vAlign w:val="center"/>
          </w:tcPr>
          <w:p>
            <w:pPr>
              <w:spacing w:line="400" w:lineRule="exact"/>
              <w:rPr>
                <w:rFonts w:ascii="宋体" w:hAnsi="宋体" w:cs="宋体"/>
                <w:b w:val="0"/>
                <w:bCs/>
                <w:sz w:val="21"/>
                <w:szCs w:val="21"/>
                <w:highlight w:val="none"/>
              </w:rPr>
            </w:pPr>
            <w:r>
              <w:rPr>
                <w:rFonts w:hint="eastAsia" w:ascii="宋体" w:hAnsi="宋体" w:cs="宋体"/>
                <w:b w:val="0"/>
                <w:bCs/>
                <w:sz w:val="21"/>
                <w:szCs w:val="21"/>
                <w:highlight w:val="none"/>
              </w:rPr>
              <w:t>售后服务</w:t>
            </w:r>
          </w:p>
        </w:tc>
        <w:tc>
          <w:tcPr>
            <w:tcW w:w="797" w:type="dxa"/>
            <w:vMerge w:val="restart"/>
            <w:vAlign w:val="center"/>
          </w:tcPr>
          <w:p>
            <w:pPr>
              <w:spacing w:line="400" w:lineRule="exact"/>
              <w:jc w:val="center"/>
              <w:rPr>
                <w:rFonts w:ascii="宋体" w:hAnsi="宋体" w:cs="宋体"/>
                <w:b w:val="0"/>
                <w:bCs/>
                <w:sz w:val="21"/>
                <w:szCs w:val="21"/>
                <w:highlight w:val="none"/>
              </w:rPr>
            </w:pPr>
            <w:r>
              <w:rPr>
                <w:rFonts w:ascii="宋体" w:hAnsi="宋体" w:cs="宋体"/>
                <w:b w:val="0"/>
                <w:bCs/>
                <w:sz w:val="21"/>
                <w:szCs w:val="21"/>
                <w:highlight w:val="none"/>
              </w:rPr>
              <w:t>8</w:t>
            </w:r>
            <w:r>
              <w:rPr>
                <w:rFonts w:hint="eastAsia" w:ascii="宋体" w:hAnsi="宋体" w:cs="宋体"/>
                <w:b w:val="0"/>
                <w:bCs/>
                <w:sz w:val="21"/>
                <w:szCs w:val="21"/>
                <w:highlight w:val="none"/>
              </w:rPr>
              <w:t>分</w:t>
            </w:r>
          </w:p>
        </w:tc>
        <w:tc>
          <w:tcPr>
            <w:tcW w:w="6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 w:val="0"/>
                <w:bCs/>
                <w:sz w:val="21"/>
                <w:szCs w:val="21"/>
                <w:highlight w:val="none"/>
              </w:rPr>
            </w:pPr>
            <w:r>
              <w:rPr>
                <w:rFonts w:hint="eastAsia" w:ascii="宋体" w:hAnsi="宋体" w:cs="宋体"/>
                <w:b w:val="0"/>
                <w:bCs/>
                <w:sz w:val="21"/>
                <w:szCs w:val="21"/>
                <w:highlight w:val="none"/>
              </w:rPr>
              <w:t>1.提出完整的服务内容、服务形式、质保期内及质保期外服务承诺、维修单位及地点、技术人员情况、应急维修时间安排，每提供一项</w:t>
            </w:r>
            <w:r>
              <w:rPr>
                <w:rFonts w:ascii="宋体" w:hAnsi="宋体" w:cs="宋体"/>
                <w:b w:val="0"/>
                <w:bCs/>
                <w:sz w:val="21"/>
                <w:szCs w:val="21"/>
                <w:highlight w:val="none"/>
              </w:rPr>
              <w:t>1分</w:t>
            </w:r>
            <w:r>
              <w:rPr>
                <w:rFonts w:hint="eastAsia" w:ascii="宋体" w:hAnsi="宋体" w:cs="宋体"/>
                <w:b w:val="0"/>
                <w:bCs/>
                <w:sz w:val="21"/>
                <w:szCs w:val="21"/>
                <w:highlight w:val="none"/>
              </w:rPr>
              <w:t>，</w:t>
            </w:r>
            <w:r>
              <w:rPr>
                <w:rFonts w:ascii="宋体" w:hAnsi="宋体" w:cs="宋体"/>
                <w:b w:val="0"/>
                <w:bCs/>
                <w:sz w:val="21"/>
                <w:szCs w:val="21"/>
                <w:highlight w:val="none"/>
              </w:rPr>
              <w:t>共6</w:t>
            </w:r>
            <w:r>
              <w:rPr>
                <w:rFonts w:hint="eastAsia" w:ascii="宋体" w:hAnsi="宋体" w:cs="宋体"/>
                <w:b w:val="0"/>
                <w:bCs/>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31" w:type="dxa"/>
            <w:vMerge w:val="continue"/>
            <w:vAlign w:val="center"/>
          </w:tcPr>
          <w:p>
            <w:pPr>
              <w:spacing w:line="400" w:lineRule="exact"/>
              <w:rPr>
                <w:rFonts w:hint="eastAsia" w:ascii="宋体" w:hAnsi="宋体" w:cs="宋体"/>
                <w:b w:val="0"/>
                <w:bCs/>
                <w:sz w:val="21"/>
                <w:szCs w:val="21"/>
                <w:highlight w:val="none"/>
              </w:rPr>
            </w:pPr>
          </w:p>
        </w:tc>
        <w:tc>
          <w:tcPr>
            <w:tcW w:w="1065" w:type="dxa"/>
            <w:vMerge w:val="continue"/>
            <w:vAlign w:val="center"/>
          </w:tcPr>
          <w:p>
            <w:pPr>
              <w:spacing w:line="400" w:lineRule="exact"/>
              <w:jc w:val="center"/>
              <w:rPr>
                <w:rFonts w:hint="eastAsia" w:ascii="宋体" w:hAnsi="宋体" w:cs="宋体"/>
                <w:b w:val="0"/>
                <w:bCs/>
                <w:sz w:val="21"/>
                <w:szCs w:val="21"/>
                <w:highlight w:val="none"/>
              </w:rPr>
            </w:pPr>
          </w:p>
        </w:tc>
        <w:tc>
          <w:tcPr>
            <w:tcW w:w="1155" w:type="dxa"/>
            <w:vMerge w:val="continue"/>
            <w:vAlign w:val="center"/>
          </w:tcPr>
          <w:p>
            <w:pPr>
              <w:spacing w:line="400" w:lineRule="exact"/>
              <w:rPr>
                <w:rFonts w:hint="eastAsia" w:ascii="宋体" w:hAnsi="宋体" w:cs="宋体"/>
                <w:b w:val="0"/>
                <w:bCs/>
                <w:sz w:val="21"/>
                <w:szCs w:val="21"/>
                <w:highlight w:val="none"/>
              </w:rPr>
            </w:pPr>
          </w:p>
        </w:tc>
        <w:tc>
          <w:tcPr>
            <w:tcW w:w="797" w:type="dxa"/>
            <w:vMerge w:val="continue"/>
            <w:vAlign w:val="center"/>
          </w:tcPr>
          <w:p>
            <w:pPr>
              <w:spacing w:line="400" w:lineRule="exact"/>
              <w:jc w:val="center"/>
              <w:rPr>
                <w:rFonts w:ascii="宋体" w:hAnsi="宋体" w:cs="宋体"/>
                <w:b w:val="0"/>
                <w:bCs/>
                <w:sz w:val="21"/>
                <w:szCs w:val="21"/>
                <w:highlight w:val="none"/>
              </w:rPr>
            </w:pPr>
          </w:p>
        </w:tc>
        <w:tc>
          <w:tcPr>
            <w:tcW w:w="6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 w:val="0"/>
                <w:bCs/>
                <w:sz w:val="21"/>
                <w:szCs w:val="21"/>
                <w:highlight w:val="none"/>
              </w:rPr>
            </w:pPr>
            <w:r>
              <w:rPr>
                <w:rFonts w:hint="eastAsia" w:ascii="宋体" w:hAnsi="宋体" w:cs="宋体"/>
                <w:b w:val="0"/>
                <w:bCs/>
                <w:sz w:val="21"/>
                <w:szCs w:val="21"/>
                <w:highlight w:val="none"/>
              </w:rPr>
              <w:t>2.所投主要产品生产厂商提供针对本项目的售后服务承诺书的，得</w:t>
            </w:r>
            <w:r>
              <w:rPr>
                <w:rFonts w:ascii="宋体" w:hAnsi="宋体" w:cs="宋体"/>
                <w:b w:val="0"/>
                <w:bCs/>
                <w:sz w:val="21"/>
                <w:szCs w:val="21"/>
                <w:highlight w:val="none"/>
              </w:rPr>
              <w:t>2</w:t>
            </w:r>
            <w:r>
              <w:rPr>
                <w:rFonts w:hint="eastAsia" w:ascii="宋体" w:hAnsi="宋体" w:cs="宋体"/>
                <w:b w:val="0"/>
                <w:bCs/>
                <w:sz w:val="21"/>
                <w:szCs w:val="21"/>
                <w:highlight w:val="none"/>
              </w:rPr>
              <w:t>分，否则不得</w:t>
            </w:r>
            <w:r>
              <w:rPr>
                <w:rFonts w:hint="eastAsia" w:ascii="宋体" w:hAnsi="宋体" w:cs="宋体"/>
                <w:b w:val="0"/>
                <w:bCs/>
                <w:color w:val="auto"/>
                <w:sz w:val="21"/>
                <w:szCs w:val="21"/>
                <w:highlight w:val="none"/>
              </w:rPr>
              <w:t>分；（原件附投标文件商务技术证明文件正本中，副本中可为正本的复印件。）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1" w:type="dxa"/>
            <w:vMerge w:val="continue"/>
            <w:vAlign w:val="center"/>
          </w:tcPr>
          <w:p>
            <w:pPr>
              <w:spacing w:line="400" w:lineRule="exact"/>
              <w:rPr>
                <w:rFonts w:ascii="宋体" w:hAnsi="宋体" w:cs="宋体"/>
                <w:b w:val="0"/>
                <w:bCs/>
                <w:sz w:val="21"/>
                <w:szCs w:val="21"/>
                <w:highlight w:val="none"/>
              </w:rPr>
            </w:pPr>
          </w:p>
        </w:tc>
        <w:tc>
          <w:tcPr>
            <w:tcW w:w="1065" w:type="dxa"/>
            <w:vMerge w:val="continue"/>
            <w:vAlign w:val="center"/>
          </w:tcPr>
          <w:p>
            <w:pPr>
              <w:spacing w:line="400" w:lineRule="exact"/>
              <w:jc w:val="center"/>
              <w:rPr>
                <w:rFonts w:ascii="宋体" w:hAnsi="宋体" w:cs="宋体"/>
                <w:b w:val="0"/>
                <w:bCs/>
                <w:sz w:val="21"/>
                <w:szCs w:val="21"/>
                <w:highlight w:val="none"/>
              </w:rPr>
            </w:pPr>
          </w:p>
        </w:tc>
        <w:tc>
          <w:tcPr>
            <w:tcW w:w="1155" w:type="dxa"/>
            <w:vAlign w:val="center"/>
          </w:tcPr>
          <w:p>
            <w:pPr>
              <w:spacing w:line="400" w:lineRule="exact"/>
              <w:rPr>
                <w:rFonts w:ascii="宋体" w:hAnsi="宋体" w:cs="宋体"/>
                <w:b w:val="0"/>
                <w:bCs/>
                <w:sz w:val="21"/>
                <w:szCs w:val="21"/>
                <w:highlight w:val="none"/>
              </w:rPr>
            </w:pPr>
            <w:r>
              <w:rPr>
                <w:rFonts w:hint="eastAsia" w:ascii="宋体" w:hAnsi="宋体" w:cs="宋体"/>
                <w:b w:val="0"/>
                <w:bCs/>
                <w:sz w:val="21"/>
                <w:szCs w:val="21"/>
                <w:highlight w:val="none"/>
              </w:rPr>
              <w:t>施工组织方案</w:t>
            </w:r>
          </w:p>
        </w:tc>
        <w:tc>
          <w:tcPr>
            <w:tcW w:w="797" w:type="dxa"/>
            <w:vAlign w:val="center"/>
          </w:tcPr>
          <w:p>
            <w:pPr>
              <w:spacing w:line="400" w:lineRule="exact"/>
              <w:jc w:val="center"/>
              <w:rPr>
                <w:rFonts w:ascii="宋体" w:hAnsi="宋体" w:cs="宋体"/>
                <w:b w:val="0"/>
                <w:bCs/>
                <w:sz w:val="21"/>
                <w:szCs w:val="21"/>
                <w:highlight w:val="none"/>
              </w:rPr>
            </w:pPr>
            <w:r>
              <w:rPr>
                <w:rFonts w:hint="eastAsia" w:ascii="宋体" w:hAnsi="宋体" w:cs="宋体"/>
                <w:b w:val="0"/>
                <w:bCs/>
                <w:sz w:val="21"/>
                <w:szCs w:val="21"/>
                <w:highlight w:val="none"/>
                <w:lang w:val="en-US" w:eastAsia="zh-CN"/>
              </w:rPr>
              <w:t>2.</w:t>
            </w:r>
            <w:r>
              <w:rPr>
                <w:rFonts w:ascii="宋体" w:hAnsi="宋体" w:cs="宋体"/>
                <w:b w:val="0"/>
                <w:bCs/>
                <w:sz w:val="21"/>
                <w:szCs w:val="21"/>
                <w:highlight w:val="none"/>
              </w:rPr>
              <w:t>5</w:t>
            </w:r>
            <w:r>
              <w:rPr>
                <w:rFonts w:hint="eastAsia" w:ascii="宋体" w:hAnsi="宋体" w:cs="宋体"/>
                <w:b w:val="0"/>
                <w:bCs/>
                <w:sz w:val="21"/>
                <w:szCs w:val="21"/>
                <w:highlight w:val="none"/>
              </w:rPr>
              <w:t>分</w:t>
            </w:r>
          </w:p>
        </w:tc>
        <w:tc>
          <w:tcPr>
            <w:tcW w:w="6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 w:val="0"/>
                <w:bCs/>
                <w:sz w:val="21"/>
                <w:szCs w:val="21"/>
                <w:highlight w:val="none"/>
              </w:rPr>
            </w:pPr>
            <w:r>
              <w:rPr>
                <w:rFonts w:hint="eastAsia" w:ascii="宋体" w:hAnsi="宋体" w:cs="宋体"/>
                <w:b w:val="0"/>
                <w:bCs/>
                <w:sz w:val="21"/>
                <w:szCs w:val="21"/>
                <w:highlight w:val="none"/>
              </w:rPr>
              <w:t>提出完整的运行方案、资源配置、安全、质量保证、维护方案及标准，每提供一项</w:t>
            </w:r>
            <w:r>
              <w:rPr>
                <w:rFonts w:hint="eastAsia" w:ascii="宋体" w:hAnsi="宋体" w:cs="宋体"/>
                <w:b w:val="0"/>
                <w:bCs/>
                <w:sz w:val="21"/>
                <w:szCs w:val="21"/>
                <w:highlight w:val="none"/>
                <w:lang w:eastAsia="zh-CN"/>
              </w:rPr>
              <w:t>得</w:t>
            </w:r>
            <w:r>
              <w:rPr>
                <w:rFonts w:hint="eastAsia" w:ascii="宋体" w:hAnsi="宋体" w:cs="宋体"/>
                <w:b w:val="0"/>
                <w:bCs/>
                <w:sz w:val="21"/>
                <w:szCs w:val="21"/>
                <w:highlight w:val="none"/>
                <w:lang w:val="en-US" w:eastAsia="zh-CN"/>
              </w:rPr>
              <w:t>0.5</w:t>
            </w:r>
            <w:r>
              <w:rPr>
                <w:rFonts w:ascii="宋体" w:hAnsi="宋体" w:cs="宋体"/>
                <w:b w:val="0"/>
                <w:bCs/>
                <w:sz w:val="21"/>
                <w:szCs w:val="21"/>
                <w:highlight w:val="none"/>
              </w:rPr>
              <w:t>分</w:t>
            </w:r>
            <w:r>
              <w:rPr>
                <w:rFonts w:hint="eastAsia" w:ascii="宋体" w:hAnsi="宋体" w:cs="宋体"/>
                <w:b w:val="0"/>
                <w:bCs/>
                <w:sz w:val="21"/>
                <w:szCs w:val="21"/>
                <w:highlight w:val="none"/>
              </w:rPr>
              <w:t>，</w:t>
            </w:r>
            <w:r>
              <w:rPr>
                <w:rFonts w:ascii="宋体" w:hAnsi="宋体" w:cs="宋体"/>
                <w:b w:val="0"/>
                <w:bCs/>
                <w:sz w:val="21"/>
                <w:szCs w:val="21"/>
                <w:highlight w:val="none"/>
              </w:rPr>
              <w:t>共</w:t>
            </w:r>
            <w:r>
              <w:rPr>
                <w:rFonts w:hint="eastAsia" w:ascii="宋体" w:hAnsi="宋体" w:cs="宋体"/>
                <w:b w:val="0"/>
                <w:bCs/>
                <w:sz w:val="21"/>
                <w:szCs w:val="21"/>
                <w:highlight w:val="none"/>
                <w:lang w:val="en-US" w:eastAsia="zh-CN"/>
              </w:rPr>
              <w:t>2.5</w:t>
            </w:r>
            <w:r>
              <w:rPr>
                <w:rFonts w:hint="eastAsia" w:ascii="宋体" w:hAnsi="宋体" w:cs="宋体"/>
                <w:b w:val="0"/>
                <w:bCs/>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31" w:type="dxa"/>
            <w:vMerge w:val="continue"/>
            <w:vAlign w:val="center"/>
          </w:tcPr>
          <w:p>
            <w:pPr>
              <w:spacing w:line="400" w:lineRule="exact"/>
              <w:rPr>
                <w:rFonts w:ascii="宋体" w:hAnsi="宋体" w:cs="宋体"/>
                <w:b w:val="0"/>
                <w:bCs/>
                <w:sz w:val="21"/>
                <w:szCs w:val="21"/>
                <w:highlight w:val="none"/>
              </w:rPr>
            </w:pPr>
          </w:p>
        </w:tc>
        <w:tc>
          <w:tcPr>
            <w:tcW w:w="1065" w:type="dxa"/>
            <w:vMerge w:val="continue"/>
            <w:vAlign w:val="center"/>
          </w:tcPr>
          <w:p>
            <w:pPr>
              <w:spacing w:line="400" w:lineRule="exact"/>
              <w:jc w:val="center"/>
              <w:rPr>
                <w:rFonts w:ascii="宋体" w:hAnsi="宋体" w:cs="宋体"/>
                <w:b w:val="0"/>
                <w:bCs/>
                <w:sz w:val="21"/>
                <w:szCs w:val="21"/>
                <w:highlight w:val="none"/>
              </w:rPr>
            </w:pPr>
          </w:p>
        </w:tc>
        <w:tc>
          <w:tcPr>
            <w:tcW w:w="1155" w:type="dxa"/>
            <w:vAlign w:val="center"/>
          </w:tcPr>
          <w:p>
            <w:pPr>
              <w:spacing w:line="400" w:lineRule="exact"/>
              <w:rPr>
                <w:rFonts w:ascii="宋体" w:hAnsi="宋体" w:cs="宋体"/>
                <w:b w:val="0"/>
                <w:bCs/>
                <w:sz w:val="21"/>
                <w:szCs w:val="21"/>
                <w:highlight w:val="none"/>
              </w:rPr>
            </w:pPr>
            <w:r>
              <w:rPr>
                <w:rFonts w:hint="eastAsia" w:ascii="宋体" w:hAnsi="宋体" w:cs="宋体"/>
                <w:b w:val="0"/>
                <w:bCs/>
                <w:sz w:val="21"/>
                <w:szCs w:val="21"/>
                <w:highlight w:val="none"/>
              </w:rPr>
              <w:t>培训计划</w:t>
            </w:r>
          </w:p>
        </w:tc>
        <w:tc>
          <w:tcPr>
            <w:tcW w:w="797" w:type="dxa"/>
            <w:vAlign w:val="center"/>
          </w:tcPr>
          <w:p>
            <w:pPr>
              <w:spacing w:line="400" w:lineRule="exact"/>
              <w:jc w:val="center"/>
              <w:rPr>
                <w:rFonts w:ascii="宋体" w:hAnsi="宋体" w:cs="宋体"/>
                <w:b w:val="0"/>
                <w:bCs/>
                <w:sz w:val="21"/>
                <w:szCs w:val="21"/>
                <w:highlight w:val="none"/>
              </w:rPr>
            </w:pPr>
            <w:r>
              <w:rPr>
                <w:rFonts w:hint="eastAsia" w:ascii="宋体" w:hAnsi="宋体" w:cs="宋体"/>
                <w:b w:val="0"/>
                <w:bCs/>
                <w:sz w:val="21"/>
                <w:szCs w:val="21"/>
                <w:highlight w:val="none"/>
                <w:lang w:val="en-US" w:eastAsia="zh-CN"/>
              </w:rPr>
              <w:t>1.5</w:t>
            </w:r>
            <w:r>
              <w:rPr>
                <w:rFonts w:hint="eastAsia" w:ascii="宋体" w:hAnsi="宋体" w:cs="宋体"/>
                <w:b w:val="0"/>
                <w:bCs/>
                <w:sz w:val="21"/>
                <w:szCs w:val="21"/>
                <w:highlight w:val="none"/>
              </w:rPr>
              <w:t>分</w:t>
            </w:r>
          </w:p>
        </w:tc>
        <w:tc>
          <w:tcPr>
            <w:tcW w:w="6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 w:val="0"/>
                <w:bCs/>
                <w:sz w:val="21"/>
                <w:szCs w:val="21"/>
                <w:highlight w:val="none"/>
              </w:rPr>
            </w:pPr>
            <w:r>
              <w:rPr>
                <w:rFonts w:hint="eastAsia" w:ascii="宋体" w:hAnsi="宋体" w:cs="宋体"/>
                <w:b w:val="0"/>
                <w:bCs/>
                <w:sz w:val="21"/>
                <w:szCs w:val="21"/>
                <w:highlight w:val="none"/>
              </w:rPr>
              <w:t>投标人培训计划提供培训内容、培训教材、培训方式，每提供一项</w:t>
            </w:r>
            <w:r>
              <w:rPr>
                <w:rFonts w:hint="eastAsia" w:ascii="宋体" w:hAnsi="宋体" w:cs="宋体"/>
                <w:b w:val="0"/>
                <w:bCs/>
                <w:sz w:val="21"/>
                <w:szCs w:val="21"/>
                <w:highlight w:val="none"/>
                <w:lang w:val="en-US" w:eastAsia="zh-CN"/>
              </w:rPr>
              <w:t>0.5</w:t>
            </w:r>
            <w:r>
              <w:rPr>
                <w:rFonts w:ascii="宋体" w:hAnsi="宋体" w:cs="宋体"/>
                <w:b w:val="0"/>
                <w:bCs/>
                <w:sz w:val="21"/>
                <w:szCs w:val="21"/>
                <w:highlight w:val="none"/>
              </w:rPr>
              <w:t>分</w:t>
            </w:r>
            <w:r>
              <w:rPr>
                <w:rFonts w:hint="eastAsia" w:ascii="宋体" w:hAnsi="宋体" w:cs="宋体"/>
                <w:b w:val="0"/>
                <w:bCs/>
                <w:sz w:val="21"/>
                <w:szCs w:val="21"/>
                <w:highlight w:val="none"/>
              </w:rPr>
              <w:t>，</w:t>
            </w:r>
            <w:r>
              <w:rPr>
                <w:rFonts w:ascii="宋体" w:hAnsi="宋体" w:cs="宋体"/>
                <w:b w:val="0"/>
                <w:bCs/>
                <w:sz w:val="21"/>
                <w:szCs w:val="21"/>
                <w:highlight w:val="none"/>
              </w:rPr>
              <w:t>共</w:t>
            </w:r>
            <w:r>
              <w:rPr>
                <w:rFonts w:hint="eastAsia" w:ascii="宋体" w:hAnsi="宋体" w:cs="宋体"/>
                <w:b w:val="0"/>
                <w:bCs/>
                <w:sz w:val="21"/>
                <w:szCs w:val="21"/>
                <w:highlight w:val="none"/>
                <w:lang w:val="en-US" w:eastAsia="zh-CN"/>
              </w:rPr>
              <w:t>1.5</w:t>
            </w:r>
            <w:r>
              <w:rPr>
                <w:rFonts w:hint="eastAsia" w:ascii="宋体" w:hAnsi="宋体" w:cs="宋体"/>
                <w:b w:val="0"/>
                <w:bCs/>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9847" w:type="dxa"/>
            <w:gridSpan w:val="5"/>
            <w:vAlign w:val="center"/>
          </w:tcPr>
          <w:p>
            <w:pPr>
              <w:spacing w:line="400" w:lineRule="exact"/>
              <w:rPr>
                <w:rFonts w:ascii="宋体" w:hAnsi="宋体" w:cs="宋体"/>
                <w:b w:val="0"/>
                <w:bCs/>
                <w:sz w:val="21"/>
                <w:szCs w:val="21"/>
                <w:highlight w:val="none"/>
              </w:rPr>
            </w:pPr>
            <w:r>
              <w:rPr>
                <w:rFonts w:hint="eastAsia" w:ascii="宋体" w:hAnsi="宋体" w:cs="宋体"/>
                <w:b w:val="0"/>
                <w:bCs/>
                <w:sz w:val="21"/>
                <w:szCs w:val="21"/>
                <w:highlight w:val="none"/>
              </w:rPr>
              <w:t>说明：评分办法中所有要求提供相关证明材料的部分，经核查，如有不一致或提供虚假材料的，取消其中标资格，并承担相应法律责任。</w:t>
            </w:r>
          </w:p>
        </w:tc>
      </w:tr>
    </w:tbl>
    <w:p>
      <w:pPr>
        <w:spacing w:line="44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注：评标办法中所要求的各类证明材料，投标文件正本中须附加盖供应商单位公章的复印件，副本可为正本的完全复印件。 </w:t>
      </w:r>
    </w:p>
    <w:p>
      <w:pPr>
        <w:tabs>
          <w:tab w:val="left" w:pos="720"/>
        </w:tabs>
        <w:spacing w:line="440" w:lineRule="exac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4、中标候选人推荐</w:t>
      </w:r>
    </w:p>
    <w:p>
      <w:pPr>
        <w:tabs>
          <w:tab w:val="left" w:pos="720"/>
        </w:tabs>
        <w:spacing w:line="440" w:lineRule="exact"/>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各供应商最终综合得分为所有评委各项打分的总和的算术平均值，评标委员会根据综合得分由高到低推荐1-3名中标候选人。</w:t>
      </w:r>
    </w:p>
    <w:p>
      <w:pPr>
        <w:tabs>
          <w:tab w:val="left" w:pos="720"/>
        </w:tabs>
        <w:spacing w:line="440" w:lineRule="exact"/>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计算过程和结果四舍五入保留小数点后2位。</w:t>
      </w:r>
    </w:p>
    <w:p>
      <w:pPr>
        <w:tabs>
          <w:tab w:val="left" w:pos="720"/>
        </w:tabs>
        <w:spacing w:line="440" w:lineRule="exact"/>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bCs/>
          <w:kern w:val="0"/>
          <w:szCs w:val="21"/>
        </w:rPr>
        <w:br w:type="page"/>
      </w:r>
    </w:p>
    <w:p>
      <w:pPr>
        <w:pStyle w:val="35"/>
        <w:spacing w:line="600" w:lineRule="exact"/>
        <w:ind w:right="-63" w:rightChars="-30"/>
        <w:rPr>
          <w:rFonts w:asciiTheme="minorEastAsia" w:hAnsiTheme="minorEastAsia" w:eastAsiaTheme="minorEastAsia" w:cstheme="minorEastAsia"/>
          <w:sz w:val="36"/>
          <w:szCs w:val="36"/>
        </w:rPr>
      </w:pPr>
      <w:bookmarkStart w:id="214" w:name="_Toc955"/>
      <w:r>
        <w:rPr>
          <w:rFonts w:hint="eastAsia" w:asciiTheme="minorEastAsia" w:hAnsiTheme="minorEastAsia" w:eastAsiaTheme="minorEastAsia" w:cstheme="minorEastAsia"/>
          <w:sz w:val="36"/>
          <w:szCs w:val="36"/>
        </w:rPr>
        <w:t>第四章  合同条款及格式</w:t>
      </w:r>
      <w:bookmarkEnd w:id="211"/>
      <w:bookmarkEnd w:id="212"/>
      <w:bookmarkEnd w:id="213"/>
      <w:bookmarkEnd w:id="214"/>
    </w:p>
    <w:p>
      <w:pPr>
        <w:spacing w:line="440" w:lineRule="exact"/>
        <w:ind w:firstLine="482"/>
        <w:rPr>
          <w:rFonts w:asciiTheme="minorEastAsia" w:hAnsiTheme="minorEastAsia" w:eastAsiaTheme="minorEastAsia" w:cstheme="minorEastAsia"/>
          <w:szCs w:val="21"/>
        </w:rPr>
      </w:pPr>
      <w:bookmarkStart w:id="215" w:name="_Toc12807"/>
      <w:r>
        <w:rPr>
          <w:rFonts w:hint="eastAsia" w:asciiTheme="minorEastAsia" w:hAnsiTheme="minorEastAsia" w:eastAsiaTheme="minorEastAsia" w:cstheme="minorEastAsia"/>
          <w:szCs w:val="21"/>
        </w:rPr>
        <w:t xml:space="preserve">合同名称：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合同编号：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               （以下简称 “发包人” ） 与“承包人” ）于   年  月  日商定并签署。</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一、概述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定义： 合同文本中以下的用词及词语除根据上下文另有</w:t>
      </w:r>
      <w:r>
        <w:rPr>
          <w:rFonts w:hint="eastAsia" w:asciiTheme="minorEastAsia" w:hAnsiTheme="minorEastAsia" w:eastAsiaTheme="minorEastAsia" w:cstheme="minorEastAsia"/>
          <w:kern w:val="0"/>
          <w:szCs w:val="21"/>
        </w:rPr>
        <w:t xml:space="preserve">要求外， 应具有本条所赋予的含义：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(1)合同：指本合同条款、合同协议书以及其它明确列入或合同协议书中的文件；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(2)发包人：</w:t>
      </w:r>
      <w:r>
        <w:rPr>
          <w:rFonts w:hint="eastAsia" w:asciiTheme="minorEastAsia" w:hAnsiTheme="minorEastAsia" w:eastAsiaTheme="minorEastAsia" w:cstheme="minorEastAsia"/>
          <w:szCs w:val="21"/>
        </w:rPr>
        <w:t xml:space="preserve">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(3)承包人：具有承包主体资格并被发包人接受的当事人。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(4)投标书：指承包人为项目向发包人提供的，为项目而作的有报价的投标文件。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(5)项目名称：</w:t>
      </w:r>
      <w:r>
        <w:rPr>
          <w:rFonts w:hint="eastAsia" w:asciiTheme="minorEastAsia" w:hAnsiTheme="minorEastAsia" w:eastAsiaTheme="minorEastAsia" w:cstheme="minorEastAsia"/>
          <w:szCs w:val="21"/>
        </w:rPr>
        <w:t xml:space="preserve">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(6)合同价款： 指根据合同条款， 用以支付承包人为完成本项目有关工作应付的总金额。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(7)不可抗力：不能预见、无法避免又不能克服的客观强制力量。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二、项目名称及技术要求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（1）项目名称：</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（2）技术要求： </w:t>
      </w:r>
    </w:p>
    <w:p>
      <w:pPr>
        <w:spacing w:line="440" w:lineRule="exact"/>
        <w:ind w:firstLine="482"/>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 xml:space="preserve">三、双方责任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3.1 发包人责任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(1)发包人向承包人提供开展本项目所需的有关基础资料，并对提供的时间、进度和资料的可靠性负责，时间为合同签订后 5天内。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(2)发包人应按合同规定向承包人支付合同价款；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(3)发包人负责协调本项目工作过程中与有关部门的配合问题；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3.2 承包人责任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(1)按照国家及行业现行的标准、规程、规范、技术条例进行工作；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(2)承包人应按照合同的规定和投标书中有关服务质量方面的承诺进行合同任务的 组织和具体实施，保证服务的质量；</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(4)承包人应依据合同，接受发包人的建议、检查、确认、同意、批准或类似行为， 并不因此变更或免除承包人的责任；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(5)承包人未经发包人同意不得向第三方转让， 或用于本合同以外的任何项目。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四、合同工期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供货</w:t>
      </w:r>
      <w:r>
        <w:rPr>
          <w:rFonts w:hint="eastAsia" w:asciiTheme="minorEastAsia" w:hAnsiTheme="minorEastAsia" w:eastAsiaTheme="minorEastAsia" w:cstheme="minorEastAsia"/>
          <w:szCs w:val="21"/>
          <w:lang w:val="en-US" w:eastAsia="zh-CN"/>
        </w:rPr>
        <w:t>及安装</w:t>
      </w:r>
      <w:r>
        <w:rPr>
          <w:rFonts w:hint="eastAsia" w:asciiTheme="minorEastAsia" w:hAnsiTheme="minorEastAsia" w:eastAsiaTheme="minorEastAsia" w:cstheme="minorEastAsia"/>
          <w:szCs w:val="21"/>
        </w:rPr>
        <w:t>期：</w:t>
      </w:r>
      <w:r>
        <w:rPr>
          <w:rFonts w:hint="eastAsia" w:asciiTheme="minorEastAsia" w:hAnsiTheme="minorEastAsia" w:eastAsiaTheme="minorEastAsia" w:cstheme="minorEastAsia"/>
          <w:kern w:val="1"/>
          <w:szCs w:val="21"/>
        </w:rPr>
        <w:t xml:space="preserve">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五、合同价款与支付方式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5.1 合同价款： 本项目合同价款为人民币大写： （￥       元）。 </w:t>
      </w:r>
    </w:p>
    <w:p>
      <w:pPr>
        <w:spacing w:line="440" w:lineRule="exact"/>
        <w:ind w:firstLine="482"/>
        <w:rPr>
          <w:rFonts w:asciiTheme="minorEastAsia" w:hAnsiTheme="minorEastAsia" w:eastAsiaTheme="minorEastAsia" w:cstheme="minorEastAsia"/>
          <w:b/>
          <w:bCs/>
          <w:color w:val="C0504D" w:themeColor="accent2"/>
          <w:szCs w:val="21"/>
          <w14:textFill>
            <w14:solidFill>
              <w14:schemeClr w14:val="accent2"/>
            </w14:solidFill>
          </w14:textFill>
        </w:rPr>
      </w:pPr>
      <w:r>
        <w:rPr>
          <w:rFonts w:hint="eastAsia" w:asciiTheme="minorEastAsia" w:hAnsiTheme="minorEastAsia" w:eastAsiaTheme="minorEastAsia" w:cstheme="minorEastAsia"/>
          <w:b/>
          <w:bCs/>
          <w:color w:val="121212"/>
          <w:szCs w:val="21"/>
        </w:rPr>
        <w:t>5.2 付款方式</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设备供货、安装、调试、验收合格后，付合同总价的80%，剩余20%作为质保金，质保期满后无质量问题一次性无息付清</w:t>
      </w:r>
      <w:r>
        <w:rPr>
          <w:rFonts w:hint="eastAsia" w:asciiTheme="minorEastAsia" w:hAnsiTheme="minorEastAsia" w:eastAsiaTheme="minorEastAsia" w:cstheme="minorEastAsia"/>
          <w:szCs w:val="21"/>
        </w:rPr>
        <w:t>。</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6.1 发包人或承包人违反合同规定造成损失的应承担违约责任；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6.2 因承包人提供的成果造成发包人损失的，由承包人继续完善成果，并按损失的大小减收服务费； </w:t>
      </w:r>
    </w:p>
    <w:p>
      <w:pPr>
        <w:spacing w:line="440" w:lineRule="exact"/>
        <w:ind w:firstLine="482"/>
        <w:rPr>
          <w:rFonts w:asciiTheme="minorEastAsia" w:hAnsiTheme="minorEastAsia" w:eastAsiaTheme="minorEastAsia" w:cstheme="minorEastAsia"/>
          <w:color w:val="C00000"/>
          <w:szCs w:val="21"/>
        </w:rPr>
      </w:pPr>
      <w:r>
        <w:rPr>
          <w:rFonts w:hint="eastAsia" w:asciiTheme="minorEastAsia" w:hAnsiTheme="minorEastAsia" w:eastAsiaTheme="minorEastAsia" w:cstheme="minorEastAsia"/>
          <w:szCs w:val="21"/>
        </w:rPr>
        <w:t xml:space="preserve">6.3 如由于承包人错误造成重大损失，承包人除负责采取补救措施外，应免收损失部分的服务费，并根据损失程度向发包人偿付赔偿金，赔偿金最多与免收的服务费金额相等。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6.4 发包人违约变更合同内容，未按期提交资料或提交资料错误及对所提资料作较 大修改，以致造成承包人返工或增加工作量时，双方除需另行协商签订补充合同、重新 明确有关条款外，发包人应按承包人所耗工作量向承包人支付返工费或追加工作量的补偿。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6.5 在合同履行期间，非承包人原因，发包人要求终止或解除合同，承包人不退还发包人已付的合同价款；承包人已开始服务工作的，发包人应根据承包人已进行的实际 工作量，支付价款。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6.6合同生效后，非发包人原因承包人要求终止或解除合同，应双倍返还已付合同价款。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七、争议与索赔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7.1 争议：发包人、承包人双方因合同发生争议时，双方应通过友好协商解决，协商不能达成协议，要求调解、仲裁、或诉讼的，可采用以下程序解决：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首先双方向上级管部门请求调解，调解达不成协议的，</w:t>
      </w:r>
      <w:bookmarkStart w:id="216" w:name="page"/>
      <w:bookmarkEnd w:id="216"/>
      <w:r>
        <w:rPr>
          <w:rFonts w:hint="eastAsia" w:asciiTheme="minorEastAsia" w:hAnsiTheme="minorEastAsia" w:eastAsiaTheme="minorEastAsia" w:cstheme="minorEastAsia"/>
          <w:szCs w:val="21"/>
        </w:rPr>
        <w:t xml:space="preserve">双方向有管辖权的仲 裁机关申请仲裁或直接向人民法院起诉。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仲裁费用或一切诉讼费用由败诉方承担。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仲裁及诉讼期间，发包人、承包人应继续履行合同规定的各自义务。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 索赔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7.2.1 承包人可按以下规定向发包人索赔：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（1）有正当索赔理由，且有索赔事件发生时的有关证据；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（2）索赔事件发生后 20 天内，向发包人发出要求索赔的通知； </w:t>
      </w:r>
    </w:p>
    <w:p>
      <w:pPr>
        <w:spacing w:line="440" w:lineRule="exact"/>
        <w:ind w:firstLine="48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（3）发包人在接到索赔通知后 10 天内给予响应，或要求承包人进一步补充索赔理 由和证据，发包人在 10 天内未予答复，应视为该项索赔已经认可。</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7.2.2 发包人可按以下规定向承包人索赔：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（1）有正当索赔理由，且有索赔事件发生时的有关证据；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（2）索赔事件发生后 20 天内，向承包人发出要求索赔的通知；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（3）承包人在接到索赔通知后 10 天内给予响应，或要求发包人进一步补充索赔理 由或证据，承包人在 10 天内未予答复，应视为该项索赔已经认可。 </w:t>
      </w:r>
    </w:p>
    <w:p>
      <w:pPr>
        <w:spacing w:line="440" w:lineRule="exact"/>
        <w:ind w:firstLine="482"/>
        <w:rPr>
          <w:rFonts w:asciiTheme="minorEastAsia" w:hAnsiTheme="minorEastAsia" w:eastAsiaTheme="minorEastAsia" w:cstheme="minorEastAsia"/>
          <w:szCs w:val="21"/>
        </w:rPr>
        <w:sectPr>
          <w:footerReference r:id="rId5" w:type="default"/>
          <w:pgSz w:w="11907" w:h="16840"/>
          <w:pgMar w:top="1276" w:right="1116" w:bottom="1417" w:left="1331" w:header="850" w:footer="998" w:gutter="0"/>
          <w:pgNumType w:fmt="numberInDash"/>
          <w:cols w:space="720" w:num="1"/>
          <w:docGrid w:type="lines" w:linePitch="380" w:charSpace="0"/>
        </w:sectPr>
      </w:pP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八、设备、人员事故的责任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承包人应为其执行本合同所投入的设备及雇佣的全部人员承担事故责任。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九、其它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9.1 下列文件应作为本合同的组成部分：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① 本合同及补充合同（如有）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② 投标书（发包人接受的部分）；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③ 双方认为必要的其它文件。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9.2 由于不可抗力因素致使合同无法履行时，双方应及时协商解决；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9.3 本合同未尽事宜，双方可签订补充协议作为附件，补充协议与合同具有同等法律效力；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9.4 合同有效期：本合同经双方代表签字盖章后生效。</w:t>
      </w:r>
      <w:r>
        <w:rPr>
          <w:rFonts w:hint="eastAsia" w:asciiTheme="minorEastAsia" w:hAnsiTheme="minorEastAsia" w:eastAsiaTheme="minorEastAsia" w:cstheme="minorEastAsia"/>
          <w:color w:val="C00000"/>
          <w:szCs w:val="21"/>
        </w:rPr>
        <w:t xml:space="preserve">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9.5 合同份数：合同正本 2 份，双方各执 1 份；副本 4 份，双方各执 2 份。 </w:t>
      </w:r>
    </w:p>
    <w:p>
      <w:pPr>
        <w:spacing w:line="440" w:lineRule="exact"/>
        <w:ind w:left="420" w:leftChars="200" w:firstLine="56" w:firstLineChars="2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 xml:space="preserve">发包人：(盖公章)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承包人：</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(盖公章)</w:t>
      </w:r>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法定代表人(或授权代表)：</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(签名)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法定代表人(或授权代表)：</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(签字)</w:t>
      </w:r>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地址：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地址：</w:t>
      </w:r>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邮编：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邮编：</w:t>
      </w:r>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传真：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传真：</w:t>
      </w:r>
    </w:p>
    <w:p>
      <w:pPr>
        <w:spacing w:line="440" w:lineRule="exact"/>
        <w:ind w:left="479" w:leftChars="228"/>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开户行：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开户行</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 xml:space="preserve">       </w:t>
      </w:r>
    </w:p>
    <w:p>
      <w:pPr>
        <w:spacing w:line="440" w:lineRule="exact"/>
        <w:ind w:left="479" w:leftChars="22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账号：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账号：</w:t>
      </w:r>
    </w:p>
    <w:p>
      <w:pPr>
        <w:spacing w:line="440" w:lineRule="exact"/>
        <w:ind w:firstLine="480"/>
        <w:rPr>
          <w:rFonts w:asciiTheme="minorEastAsia" w:hAnsiTheme="minorEastAsia" w:eastAsiaTheme="minorEastAsia" w:cstheme="minorEastAsia"/>
          <w:szCs w:val="21"/>
        </w:rPr>
      </w:pPr>
    </w:p>
    <w:p>
      <w:pPr>
        <w:spacing w:line="440" w:lineRule="exact"/>
        <w:ind w:firstLine="480"/>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签字日期:   年   月   日</w:t>
      </w:r>
    </w:p>
    <w:p>
      <w:pPr>
        <w:pStyle w:val="16"/>
        <w:rPr>
          <w:sz w:val="32"/>
          <w:szCs w:val="32"/>
        </w:rPr>
      </w:pPr>
    </w:p>
    <w:p>
      <w:pPr>
        <w:pStyle w:val="16"/>
        <w:rPr>
          <w:sz w:val="32"/>
          <w:szCs w:val="32"/>
        </w:rPr>
      </w:pPr>
    </w:p>
    <w:p>
      <w:pPr>
        <w:pStyle w:val="16"/>
        <w:rPr>
          <w:sz w:val="32"/>
          <w:szCs w:val="32"/>
        </w:rPr>
      </w:pPr>
    </w:p>
    <w:p>
      <w:pPr>
        <w:pStyle w:val="16"/>
        <w:rPr>
          <w:sz w:val="32"/>
          <w:szCs w:val="32"/>
        </w:rPr>
      </w:pPr>
    </w:p>
    <w:p>
      <w:pPr>
        <w:pStyle w:val="16"/>
        <w:rPr>
          <w:sz w:val="32"/>
          <w:szCs w:val="32"/>
        </w:rPr>
      </w:pPr>
    </w:p>
    <w:p>
      <w:pPr>
        <w:pStyle w:val="16"/>
        <w:rPr>
          <w:sz w:val="32"/>
          <w:szCs w:val="32"/>
        </w:rPr>
      </w:pPr>
    </w:p>
    <w:p>
      <w:pPr>
        <w:pStyle w:val="16"/>
        <w:rPr>
          <w:sz w:val="32"/>
          <w:szCs w:val="32"/>
        </w:rPr>
      </w:pPr>
    </w:p>
    <w:p>
      <w:pPr>
        <w:pStyle w:val="16"/>
        <w:rPr>
          <w:sz w:val="32"/>
          <w:szCs w:val="32"/>
        </w:rPr>
      </w:pPr>
    </w:p>
    <w:p>
      <w:pPr>
        <w:pStyle w:val="16"/>
        <w:rPr>
          <w:sz w:val="32"/>
          <w:szCs w:val="32"/>
        </w:rPr>
      </w:pPr>
    </w:p>
    <w:p>
      <w:pPr>
        <w:pStyle w:val="16"/>
        <w:jc w:val="center"/>
        <w:rPr>
          <w:b/>
          <w:bCs/>
          <w:sz w:val="32"/>
          <w:szCs w:val="32"/>
        </w:rPr>
      </w:pPr>
      <w:r>
        <w:rPr>
          <w:rFonts w:hint="eastAsia"/>
          <w:b/>
          <w:bCs/>
          <w:sz w:val="32"/>
          <w:szCs w:val="32"/>
        </w:rPr>
        <w:t>第五章 采购内容与技术参数及要求</w:t>
      </w:r>
    </w:p>
    <w:p>
      <w:pPr>
        <w:autoSpaceDE w:val="0"/>
        <w:autoSpaceDN w:val="0"/>
        <w:adjustRightInd w:val="0"/>
        <w:spacing w:line="460" w:lineRule="exact"/>
        <w:rPr>
          <w:rFonts w:hint="default" w:ascii="宋体" w:hAnsi="宋体" w:cs="宋体"/>
          <w:color w:val="FF0000"/>
          <w:kern w:val="0"/>
          <w:sz w:val="24"/>
          <w:highlight w:val="none"/>
          <w:lang w:val="en-US"/>
        </w:rPr>
      </w:pPr>
      <w:r>
        <w:rPr>
          <w:rFonts w:hint="eastAsia" w:ascii="宋体" w:hAnsi="宋体" w:cs="宋体"/>
          <w:kern w:val="0"/>
          <w:sz w:val="24"/>
          <w:lang w:val="en-US" w:eastAsia="zh-CN"/>
        </w:rPr>
        <w:t>一、</w:t>
      </w:r>
      <w:r>
        <w:rPr>
          <w:rFonts w:hint="eastAsia" w:ascii="宋体" w:hAnsi="宋体" w:cs="宋体"/>
          <w:kern w:val="0"/>
          <w:sz w:val="24"/>
        </w:rPr>
        <w:t>采购内容：</w:t>
      </w:r>
      <w:r>
        <w:rPr>
          <w:rFonts w:hint="eastAsia" w:ascii="宋体" w:hAnsi="宋体" w:cs="宋体"/>
          <w:kern w:val="0"/>
          <w:sz w:val="24"/>
          <w:lang w:val="en-US" w:eastAsia="zh-CN"/>
        </w:rPr>
        <w:t>采购网络摄像机15台、红外全景球机6台、全结构化双目摄像机11台、卡口抓拍单元2台等。</w:t>
      </w:r>
    </w:p>
    <w:p>
      <w:pPr>
        <w:autoSpaceDE w:val="0"/>
        <w:autoSpaceDN w:val="0"/>
        <w:adjustRightInd w:val="0"/>
        <w:spacing w:line="460" w:lineRule="exact"/>
        <w:rPr>
          <w:rFonts w:hint="eastAsia" w:ascii="宋体" w:hAnsi="宋体" w:cs="宋体"/>
          <w:kern w:val="0"/>
          <w:sz w:val="24"/>
          <w:lang w:eastAsia="zh-CN"/>
        </w:rPr>
      </w:pPr>
      <w:r>
        <w:rPr>
          <w:rFonts w:hint="eastAsia" w:ascii="宋体" w:hAnsi="宋体" w:cs="宋体"/>
          <w:kern w:val="0"/>
          <w:sz w:val="24"/>
          <w:lang w:val="en-US" w:eastAsia="zh-CN"/>
        </w:rPr>
        <w:t>二、</w:t>
      </w:r>
      <w:r>
        <w:rPr>
          <w:rFonts w:hint="eastAsia" w:ascii="宋体" w:hAnsi="宋体" w:cs="宋体"/>
          <w:kern w:val="0"/>
          <w:sz w:val="24"/>
        </w:rPr>
        <w:t>核心产品</w:t>
      </w:r>
      <w:r>
        <w:rPr>
          <w:rFonts w:hint="eastAsia" w:ascii="宋体" w:hAnsi="宋体" w:cs="宋体"/>
          <w:kern w:val="0"/>
          <w:sz w:val="24"/>
          <w:lang w:eastAsia="zh-CN"/>
        </w:rPr>
        <w:t>：</w:t>
      </w:r>
      <w:r>
        <w:rPr>
          <w:rFonts w:hint="eastAsia" w:ascii="宋体" w:hAnsi="宋体" w:cs="宋体"/>
          <w:kern w:val="0"/>
          <w:sz w:val="24"/>
        </w:rPr>
        <w:t>400万像素红外筒型网络摄像机</w:t>
      </w:r>
      <w:r>
        <w:rPr>
          <w:rFonts w:hint="eastAsia" w:ascii="宋体" w:hAnsi="宋体" w:cs="宋体"/>
          <w:kern w:val="0"/>
          <w:sz w:val="24"/>
          <w:lang w:eastAsia="zh-CN"/>
        </w:rPr>
        <w:t>、400万像素全结构化双目摄像机、900万像素卡口抓拍单元</w:t>
      </w:r>
    </w:p>
    <w:bookmarkEnd w:id="215"/>
    <w:p>
      <w:pPr>
        <w:widowControl/>
        <w:numPr>
          <w:ilvl w:val="0"/>
          <w:numId w:val="0"/>
        </w:numPr>
        <w:spacing w:line="360" w:lineRule="exact"/>
        <w:jc w:val="left"/>
        <w:textAlignment w:val="baseline"/>
        <w:rPr>
          <w:rFonts w:ascii="宋体" w:hAnsi="宋体" w:cs="宋体"/>
          <w:kern w:val="0"/>
          <w:sz w:val="24"/>
          <w:szCs w:val="16"/>
        </w:rPr>
      </w:pPr>
      <w:bookmarkStart w:id="217" w:name="_Toc7906"/>
      <w:bookmarkStart w:id="218" w:name="_Toc403122572"/>
      <w:bookmarkStart w:id="219" w:name="_Toc426369533"/>
      <w:r>
        <w:rPr>
          <w:rFonts w:hint="eastAsia" w:ascii="宋体" w:hAnsi="宋体" w:cs="宋体"/>
          <w:kern w:val="0"/>
          <w:sz w:val="24"/>
          <w:szCs w:val="16"/>
          <w:lang w:val="en-US" w:eastAsia="zh-CN"/>
        </w:rPr>
        <w:t>三、</w:t>
      </w:r>
      <w:r>
        <w:rPr>
          <w:rFonts w:hint="eastAsia" w:ascii="宋体" w:hAnsi="宋体" w:cs="宋体"/>
          <w:kern w:val="0"/>
          <w:sz w:val="24"/>
          <w:szCs w:val="16"/>
        </w:rPr>
        <w:t>技术参数及要求：</w:t>
      </w:r>
    </w:p>
    <w:p>
      <w:pPr>
        <w:pStyle w:val="14"/>
        <w:numPr>
          <w:ilvl w:val="0"/>
          <w:numId w:val="4"/>
        </w:numPr>
        <w:ind w:firstLine="240" w:firstLineChars="100"/>
        <w:rPr>
          <w:rFonts w:ascii="宋体" w:hAnsi="宋体" w:cs="宋体"/>
          <w:kern w:val="0"/>
          <w:szCs w:val="16"/>
        </w:rPr>
      </w:pPr>
      <w:r>
        <w:rPr>
          <w:rFonts w:hint="eastAsia" w:ascii="宋体" w:hAnsi="宋体" w:cs="宋体"/>
          <w:kern w:val="0"/>
          <w:szCs w:val="16"/>
        </w:rPr>
        <w:t>技术参数</w:t>
      </w:r>
    </w:p>
    <w:tbl>
      <w:tblPr>
        <w:tblStyle w:val="39"/>
        <w:tblW w:w="9900" w:type="dxa"/>
        <w:tblInd w:w="0" w:type="dxa"/>
        <w:shd w:val="clear" w:color="auto" w:fill="auto"/>
        <w:tblLayout w:type="autofit"/>
        <w:tblCellMar>
          <w:top w:w="0" w:type="dxa"/>
          <w:left w:w="0" w:type="dxa"/>
          <w:bottom w:w="0" w:type="dxa"/>
          <w:right w:w="0" w:type="dxa"/>
        </w:tblCellMar>
      </w:tblPr>
      <w:tblGrid>
        <w:gridCol w:w="972"/>
        <w:gridCol w:w="1637"/>
        <w:gridCol w:w="5347"/>
        <w:gridCol w:w="972"/>
        <w:gridCol w:w="972"/>
      </w:tblGrid>
      <w:tr>
        <w:tblPrEx>
          <w:tblCellMar>
            <w:top w:w="0" w:type="dxa"/>
            <w:left w:w="0" w:type="dxa"/>
            <w:bottom w:w="0" w:type="dxa"/>
            <w:right w:w="0"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5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参数</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r>
      <w:tr>
        <w:tblPrEx>
          <w:tblCellMar>
            <w:top w:w="0" w:type="dxa"/>
            <w:left w:w="0" w:type="dxa"/>
            <w:bottom w:w="0" w:type="dxa"/>
            <w:right w:w="0" w:type="dxa"/>
          </w:tblCellMar>
        </w:tblPrEx>
        <w:trPr>
          <w:trHeight w:val="21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400万像素红外筒型网络摄像机</w:t>
            </w:r>
          </w:p>
        </w:tc>
        <w:tc>
          <w:tcPr>
            <w:tcW w:w="5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最小照度: 不高于0.07Lux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宽动态范围: 不低于120dB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视频压缩标准: H.265 /H.264/ MJPEG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最大图像尺寸: 不低于2560 × 1440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通讯接口: 至少包括1个RJ45 10M/100M 自适应以太网口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红外照射距离: 最远可达50m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防护等级: 不低于IP67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r>
      <w:tr>
        <w:tblPrEx>
          <w:shd w:val="clear" w:color="auto" w:fill="auto"/>
        </w:tblPrEx>
        <w:trPr>
          <w:trHeight w:val="54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400万像素红外全景球机</w:t>
            </w:r>
          </w:p>
        </w:tc>
        <w:tc>
          <w:tcPr>
            <w:tcW w:w="5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具备人脸、人体抓拍并关联输出功能，支持多场景轮巡抓拍、远距离卡口抓拍模式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支持人脸人体车辆同时抓拍，人脸人体关联输出，并实现对人脸、人体、车辆结构化属性特征信息提取</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传感器类型: 1/1.8＂ progressive scan CMOS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内置GPU芯片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支持最低照度可达彩色不高于0.0002 lx，黑白不高于0.0001 lx</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摄像机宽动态范围不小于120dB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焦距: 不低于25倍光学变倍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主码流帧率分辨率: 至少包括50Hz:25fps(2560×1440)；60Hz:30fps(2560×1440)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视频压缩标准: 至少包括H.265,H.264,MJPEG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网络存储: 至少包括NAS (NFS, SMB/ CIFS)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网络接口: 至少包括RJ45网口,自适应10M/100M网络数据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SD卡扩展: 内置Micro SD卡插槽,支持Micro SD(即TF卡)/Micro SDHC/Micro SDXC卡,最大支持256G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红外照射距</w:t>
            </w:r>
            <w:r>
              <w:rPr>
                <w:rFonts w:hint="eastAsia" w:ascii="宋体" w:hAnsi="宋体" w:eastAsia="宋体" w:cs="宋体"/>
                <w:i w:val="0"/>
                <w:color w:val="auto"/>
                <w:kern w:val="0"/>
                <w:sz w:val="21"/>
                <w:szCs w:val="21"/>
                <w:u w:val="none"/>
                <w:lang w:val="en-US" w:eastAsia="zh-CN" w:bidi="ar"/>
              </w:rPr>
              <w:t xml:space="preserve">离: </w:t>
            </w:r>
            <w:r>
              <w:rPr>
                <w:rFonts w:hint="eastAsia" w:ascii="宋体" w:hAnsi="宋体" w:cs="宋体"/>
                <w:i w:val="0"/>
                <w:color w:val="auto"/>
                <w:kern w:val="0"/>
                <w:sz w:val="21"/>
                <w:szCs w:val="21"/>
                <w:u w:val="none"/>
                <w:lang w:val="en-US" w:eastAsia="zh-CN" w:bidi="ar"/>
              </w:rPr>
              <w:t>不小于</w:t>
            </w:r>
            <w:r>
              <w:rPr>
                <w:rFonts w:hint="eastAsia" w:ascii="宋体" w:hAnsi="宋体" w:eastAsia="宋体" w:cs="宋体"/>
                <w:i w:val="0"/>
                <w:color w:val="auto"/>
                <w:kern w:val="0"/>
                <w:sz w:val="21"/>
                <w:szCs w:val="21"/>
                <w:u w:val="none"/>
                <w:lang w:val="en-US" w:eastAsia="zh-CN" w:bidi="ar"/>
              </w:rPr>
              <w:t>200m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r>
      <w:tr>
        <w:tblPrEx>
          <w:shd w:val="clear" w:color="auto" w:fill="auto"/>
          <w:tblCellMar>
            <w:top w:w="0" w:type="dxa"/>
            <w:left w:w="0" w:type="dxa"/>
            <w:bottom w:w="0" w:type="dxa"/>
            <w:right w:w="0" w:type="dxa"/>
          </w:tblCellMar>
        </w:tblPrEx>
        <w:trPr>
          <w:trHeight w:val="3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400万像素全结构化双目摄像机</w:t>
            </w:r>
          </w:p>
        </w:tc>
        <w:tc>
          <w:tcPr>
            <w:tcW w:w="5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400万 1/1.8" CMOS 全结构化双目摄像机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由双镜头相机与高性能GPU模块组成，聚合多种专为复杂场景设计的深度学习算法，实现全结构化数据精准采集，具备多场景数据融合分析能力，实现全方位态势感知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混合目标检测(抓拍+属性并发提取)：</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a) 抓拍人脸：支持对运动人脸进行抓拍，支持性别、年龄、年龄段、戴眼镜、戴口罩、表情、戴帽子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b) 抓拍人体：支持上衣颜色、下装颜色、性别、戴眼镜、背包、拎东西、戴帽子、戴口罩、长短袖、裤裙、发型属性识别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c) 抓拍非机动车：支持上衣颜色、性别、戴眼镜、背包、戴帽子、戴口罩、长短袖、发型、骑车类型识别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d) 抓拍机动车：支持车牌识别并抓拍。支持车型、车牌颜色、车身颜色、车牌类型、子品牌车身颜色属性识别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传感器类型: 通道1：1/1.8" Progressive Scan CMOS; 通道2：1/2.7" Progressive Scan CMOS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最低照度: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通道1：彩色：不高于0.0005 Lux  ; 黑白：不高于0.0001 Lux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通道2：彩色：不高于0.0005 Lux  ; 黑白：不高于0.0001 Lux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宽动态: 不低于120 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补光距离: 不低于80 m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防护: 不低于IP66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r>
      <w:tr>
        <w:tblPrEx>
          <w:shd w:val="clear" w:color="auto" w:fill="auto"/>
          <w:tblCellMar>
            <w:top w:w="0" w:type="dxa"/>
            <w:left w:w="0" w:type="dxa"/>
            <w:bottom w:w="0" w:type="dxa"/>
            <w:right w:w="0" w:type="dxa"/>
          </w:tblCellMar>
        </w:tblPrEx>
        <w:trPr>
          <w:trHeight w:val="25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800万像素微卡口抓拍单元</w:t>
            </w:r>
          </w:p>
        </w:tc>
        <w:tc>
          <w:tcPr>
            <w:tcW w:w="5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800万1/1.8” 筒型网络摄像机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支持三种智能资源模式切换：混合目标检测-全结构化模式、混合目标检测-比对模式，人脸抓拍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混合目标检测(全结构化模式)：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a)抓拍人体：支持上衣颜色、下装颜色、性别、戴眼镜、背包、拎东西、戴帽子、戴口罩、长短袖、裤裙、发型属性识别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b)抓拍人脸：支持对运动人脸进行抓拍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c)抓拍非机动车：支持上衣颜色、性别、戴眼镜、背包、戴帽子、戴口罩、长短袖、发型、骑车类型、骑车人数属性识别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d)抓拍机动车：支持车牌识别并抓拍。支持车型、车牌颜色、车身颜色、车牌类型、子品牌车身颜色属性识别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人脸抓拍（正脸抓拍）：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a)支持对运动人脸进行检测、跟踪、抓拍、评分、筛选，输出最优的人脸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b)支持人脸去误报、快速抓拍人脸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c)支持快速抓拍和最佳抓拍两种模式，并支持2种模式同时开启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混合目标检测（比对模式）：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a)支持前端人脸比对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b)支持最多3个人脸库的管理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c)支持最多9万张人脸的导入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d)支持合计人脸库的存储空间最大3GB，单张人脸不超过300KB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e)支持不同人脸库不同时间布防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f)支持黑名单比对成功报警输出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g)支持人脸瞳距20像素以上的人脸检测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h)支持人脸快速比对多种比对方式设置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设备内置高效专利温和补光灯，告别光污染，保证夜间正常进行人脸抓拍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设备内置电动变焦镜头，操作便易，变焦过程平稳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传感器类型:上通道：1/1.8" Progressive Scan CMOS ;下通道：1/1.8" Progressive Scan CMOS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最低照度: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上通道：彩色:不高于0.001 Lux；黑白:不高于0.0006 Lux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下通道：彩色:不高于0.001 Lux；黑白:不高于0.0002 Lux</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视频压缩标准:至少包括H.265/H.264 / MJPEG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最大图像尺寸:不低于3840 x 2160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防护等级:不低于IP67</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补光距离:不低于80m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r>
      <w:tr>
        <w:tblPrEx>
          <w:shd w:val="clear" w:color="auto" w:fill="auto"/>
          <w:tblCellMar>
            <w:top w:w="0" w:type="dxa"/>
            <w:left w:w="0" w:type="dxa"/>
            <w:bottom w:w="0" w:type="dxa"/>
            <w:right w:w="0" w:type="dxa"/>
          </w:tblCellMar>
        </w:tblPrEx>
        <w:trPr>
          <w:trHeight w:val="51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900万像素卡口抓拍单元</w:t>
            </w:r>
          </w:p>
        </w:tc>
        <w:tc>
          <w:tcPr>
            <w:tcW w:w="5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包含摄像机（内置偏振镜）、高清镜头、室外防护罩、风扇、内置补光灯、电源适配器、相机内置防雷模块、安装万向节等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像素：不低于900W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分辨率：最大支持4096*2160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帧率：不低于25fps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图像传感器：采用1" 英寸全局曝光CMOS（GMOS）传感器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照度：彩色:不低于0.01Lux</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视频压缩标准：至少包括H.265/H.264/MJPEG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通讯接口：至少包括2个RJ45 100M/1000M自适应网口，3个RS485接口，1个RS232接口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触发输出：至少包括7路F+F-输出接口,可作为补光灯同步输出控制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自动光圈镜头：支持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支持智能识别功能：内置视频识别功能，支持车牌识别、视频触发、车身颜色识别、车型识别，通行车辆信息捕获和违章检测功能；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shd w:val="clear" w:color="auto" w:fill="auto"/>
          <w:tblCellMar>
            <w:top w:w="0" w:type="dxa"/>
            <w:left w:w="0" w:type="dxa"/>
            <w:bottom w:w="0" w:type="dxa"/>
            <w:right w:w="0" w:type="dxa"/>
          </w:tblCellMar>
        </w:tblPrEx>
        <w:trPr>
          <w:trHeight w:val="17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卡口补光灯</w:t>
            </w:r>
          </w:p>
        </w:tc>
        <w:tc>
          <w:tcPr>
            <w:tcW w:w="5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大功率LED灯珠，至少包括24颗灯珠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支持LED频闪，LED爆闪及气体爆闪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LED频闪支持PWM跟随触发，具有频率及占空比保护功能，发光角度10°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气体爆闪具有防误触发功能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可覆盖至少1个车道，正装支架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r>
      <w:tr>
        <w:tblPrEx>
          <w:tblCellMar>
            <w:top w:w="0" w:type="dxa"/>
            <w:left w:w="0" w:type="dxa"/>
            <w:bottom w:w="0" w:type="dxa"/>
            <w:right w:w="0" w:type="dxa"/>
          </w:tblCellMar>
        </w:tblPrEx>
        <w:trPr>
          <w:trHeight w:val="1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立杆基础</w:t>
            </w:r>
          </w:p>
        </w:tc>
        <w:tc>
          <w:tcPr>
            <w:tcW w:w="5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监控用杆，4~6M杆，Q235热镀锌材质，根据现场情况调整。壁厚不小于4mm.表层喷塑，含预埋件，含立杆基础及防雷接地。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所有焊缝焊接牢固可靠，无夹缝，符合三级焊缝标准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r>
      <w:tr>
        <w:tblPrEx>
          <w:tblCellMar>
            <w:top w:w="0" w:type="dxa"/>
            <w:left w:w="0" w:type="dxa"/>
            <w:bottom w:w="0" w:type="dxa"/>
            <w:right w:w="0" w:type="dxa"/>
          </w:tblCellMar>
        </w:tblPrEx>
        <w:trPr>
          <w:trHeight w:val="17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立杆基础</w:t>
            </w:r>
          </w:p>
        </w:tc>
        <w:tc>
          <w:tcPr>
            <w:tcW w:w="5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含竖杆以及横杆，竖杆离地面不少于6米高，横臂长度根据实际情况确定，含基础和预埋件；材质采用Q235B，整体热镀锌处理，杆的立柱及悬臂角度误差控制在0.5度范围内。所有对接焊缝和贴角焊缝，其强度应与被焊构件相等，焊缝应打磨光滑。柱杆件结构均采用热镀锌防腐处理，其表面进行热镀锌喷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r>
      <w:tr>
        <w:tblPrEx>
          <w:tblCellMar>
            <w:top w:w="0" w:type="dxa"/>
            <w:left w:w="0" w:type="dxa"/>
            <w:bottom w:w="0" w:type="dxa"/>
            <w:right w:w="0" w:type="dxa"/>
          </w:tblCellMar>
        </w:tblPrEx>
        <w:trPr>
          <w:trHeight w:val="17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常亮补光灯</w:t>
            </w:r>
          </w:p>
        </w:tc>
        <w:tc>
          <w:tcPr>
            <w:tcW w:w="5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光源类型：大功率LED</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LED灯珠数量：不少于16颗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发光角度：40°左右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最佳补光距离：16米-25米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触发方式：光敏控制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防护等级：不低于IP66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r>
      <w:tr>
        <w:tblPrEx>
          <w:shd w:val="clear" w:color="auto" w:fill="auto"/>
          <w:tblCellMar>
            <w:top w:w="0" w:type="dxa"/>
            <w:left w:w="0" w:type="dxa"/>
            <w:bottom w:w="0" w:type="dxa"/>
            <w:right w:w="0"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卡口设备箱</w:t>
            </w:r>
          </w:p>
        </w:tc>
        <w:tc>
          <w:tcPr>
            <w:tcW w:w="5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定制；机箱安装在立杆的适当位置，机箱内安装配电设备、安装支架、电源插座，尺寸不小于（宽）400mm*(高)500mm*（深）200mm）。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设备箱</w:t>
            </w:r>
          </w:p>
        </w:tc>
        <w:tc>
          <w:tcPr>
            <w:tcW w:w="5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不锈钢材质，外部喷塑；尺寸不小于450mm*350mm*200mm，具体根据现场情况选择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挑壁支架</w:t>
            </w:r>
          </w:p>
        </w:tc>
        <w:tc>
          <w:tcPr>
            <w:tcW w:w="5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根据实际情况采用借杆、借墙等，定制，镀锌,材料：钢材，臂长根据实际情况确定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r>
      <w:tr>
        <w:tblPrEx>
          <w:shd w:val="clear" w:color="auto" w:fill="auto"/>
          <w:tblCellMar>
            <w:top w:w="0" w:type="dxa"/>
            <w:left w:w="0" w:type="dxa"/>
            <w:bottom w:w="0" w:type="dxa"/>
            <w:right w:w="0" w:type="dxa"/>
          </w:tblCellMar>
        </w:tblPrEx>
        <w:trPr>
          <w:trHeight w:val="17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前端控制主机</w:t>
            </w:r>
          </w:p>
        </w:tc>
        <w:tc>
          <w:tcPr>
            <w:tcW w:w="5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高性能ARM Cortex A9数字媒体处理器；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至少内置1块3.5寸2T硬盘；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至少支持12路IPC接入；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至少包含双网卡，至少内置16个100M以太网接口及2个1000M网络接口、1个1000M独立SFP光纤接口；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至少支持2路输入；支持VGA输出、HDMI输出、CVBS输出；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至少包含4个RS485、2个RS232、2个USB2.0、4路报警输入\报警输出、1个eSATA接口；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31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云存储节点</w:t>
            </w:r>
          </w:p>
        </w:tc>
        <w:tc>
          <w:tcPr>
            <w:tcW w:w="5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48盘位磁盘阵列；至少达到300路*2Mb并发录像,图片存储支持不低于400路写入；不低于100路下载；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单设备配置64位多核，不低于12GB（可扩展至至少32GB），支持SATA磁盘，可外接SAS扩展柜;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RAID 0、1、3、5、6、10、50,JBOD；</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至少包含2个千兆网口，1个IPMI管理接口。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支持视音频、图片、直接写入，支持视频高速预览、回放、下载，支持云内容灾备份，支持一体化运维，支持GB/T28181、Onvif、RTSP、H265、SVAC等标准视频协议。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含不低于48块8T企业级硬盘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千兆交换机</w:t>
            </w:r>
          </w:p>
        </w:tc>
        <w:tc>
          <w:tcPr>
            <w:tcW w:w="5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千兆电口&gt;=8口；千兆光口&gt;=4口；整机千兆口&gt;=12口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交换容量≥128Gbps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包转发率≥26.7Mpps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温度范围-40~85℃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设备支持一键重启，提供官网设备。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支持ERPS G.8032（公有以太网多环保护技术）,实现&lt;=20ms的环路切换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支持IPv4静态路由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支持Web认证功能，支持和802.1X、 ACL同时开启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支持虚拟化技术、实现&gt;=8设备的统一管理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shd w:val="clear" w:color="auto" w:fill="auto"/>
          <w:tblCellMar>
            <w:top w:w="0" w:type="dxa"/>
            <w:left w:w="0" w:type="dxa"/>
            <w:bottom w:w="0" w:type="dxa"/>
            <w:right w:w="0"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4G路由器</w:t>
            </w:r>
          </w:p>
        </w:tc>
        <w:tc>
          <w:tcPr>
            <w:tcW w:w="5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设备支持有线10/100M端口数量≥5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绿色环保节能，整机功耗小于6W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内存≥512MB，Flash≥128MB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具有视频传输优化功能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为保证数据安全，需要支持L2TP VPN、IPSec VPN、MPLS VPN功能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支持国密局国密SM1/2/3/4加密算法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支持QOS/H-QOS功能。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具有BFD、track等的链路检测，以及链路检测与路由联动的快速切换机制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shd w:val="clear" w:color="auto" w:fill="auto"/>
          <w:tblCellMar>
            <w:top w:w="0" w:type="dxa"/>
            <w:left w:w="0" w:type="dxa"/>
            <w:bottom w:w="0" w:type="dxa"/>
            <w:right w:w="0" w:type="dxa"/>
          </w:tblCellMar>
        </w:tblPrEx>
        <w:trPr>
          <w:trHeight w:val="5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机柜</w:t>
            </w:r>
          </w:p>
        </w:tc>
        <w:tc>
          <w:tcPr>
            <w:tcW w:w="5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42U标准机柜，防护等级：IP20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shd w:val="clear" w:color="auto" w:fill="auto"/>
          <w:tblCellMar>
            <w:top w:w="0" w:type="dxa"/>
            <w:left w:w="0" w:type="dxa"/>
            <w:bottom w:w="0" w:type="dxa"/>
            <w:right w:w="0" w:type="dxa"/>
          </w:tblCellMar>
        </w:tblPrEx>
        <w:trPr>
          <w:trHeight w:val="1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安装辅材</w:t>
            </w:r>
          </w:p>
        </w:tc>
        <w:tc>
          <w:tcPr>
            <w:tcW w:w="5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含穿线管、绑扎固定、网线、水晶头、空开、避雷器，以及电源线路、电表、电表箱等相关取电所需等相关辅材。其中，电源线需符合国标，规格至少为RVV2*1.5；网线至少采用国标室外超五类防水网线，0.5mm无氧铜，PE护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r>
    </w:tbl>
    <w:p>
      <w:pPr>
        <w:spacing w:line="360" w:lineRule="exact"/>
      </w:pPr>
    </w:p>
    <w:p>
      <w:pPr>
        <w:spacing w:line="400" w:lineRule="exact"/>
        <w:ind w:firstLine="480" w:firstLineChars="200"/>
        <w:rPr>
          <w:rFonts w:hint="eastAsia" w:ascii="宋体" w:hAnsi="宋体" w:cs="宋体"/>
          <w:b w:val="0"/>
          <w:bCs/>
          <w:sz w:val="24"/>
          <w:szCs w:val="24"/>
          <w:highlight w:val="none"/>
          <w:lang w:eastAsia="zh-CN"/>
        </w:rPr>
      </w:pPr>
      <w:r>
        <w:rPr>
          <w:rFonts w:hint="eastAsia" w:ascii="宋体" w:hAnsi="宋体" w:cs="宋体"/>
          <w:b w:val="0"/>
          <w:bCs/>
          <w:sz w:val="24"/>
          <w:szCs w:val="24"/>
          <w:highlight w:val="none"/>
          <w:lang w:eastAsia="zh-CN"/>
        </w:rPr>
        <w:t>注：</w:t>
      </w:r>
      <w:r>
        <w:rPr>
          <w:rFonts w:hint="eastAsia" w:ascii="宋体" w:hAnsi="宋体" w:cs="宋体"/>
          <w:b w:val="0"/>
          <w:bCs/>
          <w:sz w:val="24"/>
          <w:szCs w:val="24"/>
          <w:highlight w:val="none"/>
        </w:rPr>
        <w:t>1、为保证兼容性、统一性、避免重复投资，要求投标人所投产品设备保证与采购单位</w:t>
      </w:r>
      <w:r>
        <w:rPr>
          <w:rFonts w:hint="eastAsia" w:ascii="宋体" w:hAnsi="宋体" w:cs="宋体"/>
          <w:b w:val="0"/>
          <w:bCs/>
          <w:sz w:val="24"/>
          <w:szCs w:val="24"/>
          <w:highlight w:val="none"/>
          <w:lang w:eastAsia="zh-CN"/>
        </w:rPr>
        <w:t>现有视频、人像及卡口</w:t>
      </w:r>
      <w:r>
        <w:rPr>
          <w:rFonts w:hint="eastAsia" w:ascii="宋体" w:hAnsi="宋体" w:cs="宋体"/>
          <w:b w:val="0"/>
          <w:bCs/>
          <w:sz w:val="24"/>
          <w:szCs w:val="24"/>
          <w:highlight w:val="none"/>
        </w:rPr>
        <w:t>平台无缝对接，提供投标人出具的可无缝对接承诺书，以保障整个系统的兼容性、稳定性和安全性。排名第一的中标候选人需在中标公示发出七日内完成主要设备与平台的对接测试，并出具测试结论证明。如不能实现无缝对接则取消其中标资格</w:t>
      </w:r>
      <w:r>
        <w:rPr>
          <w:rFonts w:hint="eastAsia" w:ascii="宋体" w:hAnsi="宋体" w:cs="宋体"/>
          <w:b w:val="0"/>
          <w:bCs/>
          <w:sz w:val="24"/>
          <w:szCs w:val="24"/>
          <w:highlight w:val="none"/>
          <w:lang w:eastAsia="zh-CN"/>
        </w:rPr>
        <w:t>，同时依照评标报告确定排名第二的中标候选人继续测试，以此类推。</w:t>
      </w:r>
    </w:p>
    <w:p>
      <w:pPr>
        <w:spacing w:line="400" w:lineRule="exact"/>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2、各投标单位报价时应包含质保期内本项目中需租用运营商的线路费用，和保证质保期内采购人本项目所有前端设备等正常运行的电费。</w:t>
      </w:r>
    </w:p>
    <w:p>
      <w:pPr>
        <w:spacing w:line="400" w:lineRule="exact"/>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3、各投标单位报价时应充分考虑本项目可能需要的相关检测的费用。</w:t>
      </w:r>
    </w:p>
    <w:p>
      <w:pPr>
        <w:spacing w:line="400" w:lineRule="exact"/>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4、该项目所有投标产品必须满足或优于招标文件规定的技术参数。不满足者视为自动放弃投标资格。</w:t>
      </w:r>
    </w:p>
    <w:p>
      <w:pPr>
        <w:spacing w:line="400" w:lineRule="exact"/>
        <w:rPr>
          <w:rFonts w:hint="eastAsia" w:ascii="宋体" w:hAnsi="宋体" w:cs="宋体"/>
          <w:b/>
          <w:bCs w:val="0"/>
          <w:sz w:val="24"/>
          <w:szCs w:val="24"/>
          <w:highlight w:val="none"/>
          <w:lang w:val="en-US" w:eastAsia="zh-CN"/>
        </w:rPr>
      </w:pPr>
      <w:r>
        <w:rPr>
          <w:rFonts w:hint="eastAsia" w:ascii="宋体" w:hAnsi="宋体" w:cs="宋体"/>
          <w:b/>
          <w:bCs w:val="0"/>
          <w:sz w:val="24"/>
          <w:szCs w:val="24"/>
          <w:highlight w:val="none"/>
          <w:lang w:val="en-US" w:eastAsia="zh-CN"/>
        </w:rPr>
        <w:t>四、质保要求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质保期：1、自验收合格之日起共3年。</w:t>
      </w:r>
    </w:p>
    <w:p>
      <w:pPr>
        <w:keepNext w:val="0"/>
        <w:keepLines w:val="0"/>
        <w:pageBreakBefore w:val="0"/>
        <w:widowControl w:val="0"/>
        <w:kinsoku/>
        <w:wordWrap/>
        <w:overflowPunct/>
        <w:topLinePunct w:val="0"/>
        <w:autoSpaceDE/>
        <w:autoSpaceDN/>
        <w:bidi w:val="0"/>
        <w:adjustRightInd/>
        <w:snapToGrid/>
        <w:spacing w:line="440" w:lineRule="exact"/>
        <w:ind w:firstLine="960" w:firstLineChars="400"/>
        <w:textAlignment w:val="auto"/>
        <w:rPr>
          <w:rFonts w:hint="default" w:ascii="宋体" w:hAnsi="宋体" w:cs="宋体"/>
          <w:b w:val="0"/>
          <w:bCs/>
          <w:color w:val="FF0000"/>
          <w:sz w:val="24"/>
          <w:szCs w:val="24"/>
          <w:highlight w:val="none"/>
          <w:lang w:val="en-US" w:eastAsia="zh-CN"/>
        </w:rPr>
      </w:pPr>
      <w:r>
        <w:rPr>
          <w:rFonts w:hint="eastAsia" w:ascii="宋体" w:hAnsi="宋体" w:cs="宋体"/>
          <w:b w:val="0"/>
          <w:bCs/>
          <w:sz w:val="24"/>
          <w:szCs w:val="24"/>
          <w:highlight w:val="none"/>
          <w:lang w:val="en-US" w:eastAsia="zh-CN"/>
        </w:rPr>
        <w:t>2、成交人必须提供24小时售后服务电话，售后服务电话有变更的应提前7日书面通知采购人。</w:t>
      </w:r>
      <w:r>
        <w:rPr>
          <w:rFonts w:hint="eastAsia" w:ascii="宋体" w:hAnsi="宋体" w:cs="宋体"/>
          <w:b w:val="0"/>
          <w:bCs/>
          <w:sz w:val="24"/>
          <w:szCs w:val="24"/>
          <w:highlight w:val="none"/>
          <w:lang w:val="en-US" w:eastAsia="zh-CN"/>
        </w:rPr>
        <w:br w:type="textWrapping"/>
      </w:r>
      <w:r>
        <w:rPr>
          <w:rFonts w:hint="eastAsia" w:ascii="宋体" w:hAnsi="宋体" w:cs="宋体"/>
          <w:b w:val="0"/>
          <w:bCs/>
          <w:sz w:val="24"/>
          <w:szCs w:val="24"/>
          <w:highlight w:val="none"/>
          <w:lang w:val="en-US" w:eastAsia="zh-CN"/>
        </w:rPr>
        <w:t xml:space="preserve">   </w:t>
      </w:r>
      <w:r>
        <w:rPr>
          <w:rFonts w:hint="eastAsia" w:ascii="宋体" w:hAnsi="宋体" w:cs="宋体"/>
          <w:b w:val="0"/>
          <w:bCs/>
          <w:color w:val="auto"/>
          <w:sz w:val="24"/>
          <w:szCs w:val="24"/>
          <w:highlight w:val="none"/>
          <w:lang w:val="en-US" w:eastAsia="zh-CN"/>
        </w:rPr>
        <w:t xml:space="preserve">    3、质保期要求：</w:t>
      </w:r>
      <w:r>
        <w:rPr>
          <w:rFonts w:hint="default" w:ascii="宋体" w:hAnsi="宋体" w:cs="宋体"/>
          <w:b w:val="0"/>
          <w:bCs/>
          <w:color w:val="auto"/>
          <w:sz w:val="24"/>
          <w:szCs w:val="24"/>
          <w:highlight w:val="none"/>
          <w:lang w:val="en-US" w:eastAsia="zh-CN"/>
        </w:rPr>
        <w:t>为保证维护保养效率效果，</w:t>
      </w:r>
      <w:r>
        <w:rPr>
          <w:rFonts w:hint="eastAsia" w:ascii="宋体" w:hAnsi="宋体" w:cs="宋体"/>
          <w:b w:val="0"/>
          <w:bCs/>
          <w:color w:val="auto"/>
          <w:sz w:val="24"/>
          <w:szCs w:val="24"/>
          <w:highlight w:val="none"/>
          <w:lang w:val="en-US" w:eastAsia="zh-CN"/>
        </w:rPr>
        <w:t>成交人</w:t>
      </w:r>
      <w:r>
        <w:rPr>
          <w:rFonts w:hint="default" w:ascii="宋体" w:hAnsi="宋体" w:cs="宋体"/>
          <w:b w:val="0"/>
          <w:bCs/>
          <w:color w:val="auto"/>
          <w:sz w:val="24"/>
          <w:szCs w:val="24"/>
          <w:highlight w:val="none"/>
          <w:lang w:val="en-US" w:eastAsia="zh-CN"/>
        </w:rPr>
        <w:t>必须提供两名常驻维护人员及一辆维护专用车辆。除因电力部门干线故障、恶劣天气、自然灾害等原因外，本次项目所有</w:t>
      </w:r>
      <w:r>
        <w:rPr>
          <w:rFonts w:hint="eastAsia" w:ascii="宋体" w:hAnsi="宋体" w:cs="宋体"/>
          <w:b w:val="0"/>
          <w:bCs/>
          <w:color w:val="auto"/>
          <w:sz w:val="24"/>
          <w:szCs w:val="24"/>
          <w:highlight w:val="none"/>
          <w:lang w:val="en-US" w:eastAsia="zh-CN"/>
        </w:rPr>
        <w:t>前端</w:t>
      </w:r>
      <w:r>
        <w:rPr>
          <w:rFonts w:hint="default" w:ascii="宋体" w:hAnsi="宋体" w:cs="宋体"/>
          <w:b w:val="0"/>
          <w:bCs/>
          <w:color w:val="auto"/>
          <w:sz w:val="24"/>
          <w:szCs w:val="24"/>
          <w:highlight w:val="none"/>
          <w:lang w:val="en-US" w:eastAsia="zh-CN"/>
        </w:rPr>
        <w:t>设备每天</w:t>
      </w:r>
      <w:r>
        <w:rPr>
          <w:rFonts w:hint="eastAsia" w:ascii="宋体" w:hAnsi="宋体" w:cs="宋体"/>
          <w:b w:val="0"/>
          <w:bCs/>
          <w:color w:val="auto"/>
          <w:sz w:val="24"/>
          <w:szCs w:val="24"/>
          <w:highlight w:val="none"/>
          <w:lang w:val="en-US" w:eastAsia="zh-CN"/>
        </w:rPr>
        <w:t>不在线数量不得高于2台</w:t>
      </w:r>
      <w:r>
        <w:rPr>
          <w:rFonts w:hint="default" w:ascii="宋体" w:hAnsi="宋体" w:cs="宋体"/>
          <w:b w:val="0"/>
          <w:bCs/>
          <w:color w:val="auto"/>
          <w:sz w:val="24"/>
          <w:szCs w:val="24"/>
          <w:highlight w:val="none"/>
          <w:lang w:val="en-US" w:eastAsia="zh-CN"/>
        </w:rPr>
        <w:t>。每天的</w:t>
      </w:r>
      <w:r>
        <w:rPr>
          <w:rFonts w:hint="eastAsia" w:ascii="宋体" w:hAnsi="宋体" w:cs="宋体"/>
          <w:b w:val="0"/>
          <w:bCs/>
          <w:color w:val="auto"/>
          <w:sz w:val="24"/>
          <w:szCs w:val="24"/>
          <w:highlight w:val="none"/>
          <w:lang w:val="en-US" w:eastAsia="zh-CN"/>
        </w:rPr>
        <w:t>前端</w:t>
      </w:r>
      <w:r>
        <w:rPr>
          <w:rFonts w:hint="default" w:ascii="宋体" w:hAnsi="宋体" w:cs="宋体"/>
          <w:b w:val="0"/>
          <w:bCs/>
          <w:color w:val="auto"/>
          <w:sz w:val="24"/>
          <w:szCs w:val="24"/>
          <w:highlight w:val="none"/>
          <w:lang w:val="en-US" w:eastAsia="zh-CN"/>
        </w:rPr>
        <w:t>设备</w:t>
      </w:r>
      <w:r>
        <w:rPr>
          <w:rFonts w:hint="eastAsia" w:ascii="宋体" w:hAnsi="宋体" w:cs="宋体"/>
          <w:b w:val="0"/>
          <w:bCs/>
          <w:color w:val="auto"/>
          <w:sz w:val="24"/>
          <w:szCs w:val="24"/>
          <w:highlight w:val="none"/>
          <w:lang w:val="en-US" w:eastAsia="zh-CN"/>
        </w:rPr>
        <w:t>不在线数量高于2台</w:t>
      </w:r>
      <w:r>
        <w:rPr>
          <w:rFonts w:hint="default" w:ascii="宋体" w:hAnsi="宋体" w:cs="宋体"/>
          <w:b w:val="0"/>
          <w:bCs/>
          <w:color w:val="auto"/>
          <w:sz w:val="24"/>
          <w:szCs w:val="24"/>
          <w:highlight w:val="none"/>
          <w:lang w:val="en-US" w:eastAsia="zh-CN"/>
        </w:rPr>
        <w:t>时，扣除费用1000元</w:t>
      </w:r>
      <w:r>
        <w:rPr>
          <w:rFonts w:hint="eastAsia" w:ascii="宋体" w:hAnsi="宋体" w:cs="宋体"/>
          <w:b w:val="0"/>
          <w:bCs/>
          <w:color w:val="auto"/>
          <w:sz w:val="24"/>
          <w:szCs w:val="24"/>
          <w:highlight w:val="none"/>
          <w:lang w:val="en-US" w:eastAsia="zh-CN"/>
        </w:rPr>
        <w:t>。</w:t>
      </w:r>
      <w:r>
        <w:rPr>
          <w:rFonts w:hint="default" w:ascii="宋体" w:hAnsi="宋体" w:cs="宋体"/>
          <w:b w:val="0"/>
          <w:bCs/>
          <w:color w:val="auto"/>
          <w:sz w:val="24"/>
          <w:szCs w:val="24"/>
          <w:highlight w:val="none"/>
          <w:lang w:val="en-US" w:eastAsia="zh-CN"/>
        </w:rPr>
        <w:t>所扣费用由</w:t>
      </w:r>
      <w:r>
        <w:rPr>
          <w:rFonts w:hint="eastAsia" w:ascii="宋体" w:hAnsi="宋体" w:cs="宋体"/>
          <w:b w:val="0"/>
          <w:bCs/>
          <w:color w:val="auto"/>
          <w:sz w:val="24"/>
          <w:szCs w:val="24"/>
          <w:highlight w:val="none"/>
          <w:lang w:val="en-US" w:eastAsia="zh-CN"/>
        </w:rPr>
        <w:t>采购人</w:t>
      </w:r>
      <w:r>
        <w:rPr>
          <w:rFonts w:hint="default" w:ascii="宋体" w:hAnsi="宋体" w:cs="宋体"/>
          <w:b w:val="0"/>
          <w:bCs/>
          <w:color w:val="auto"/>
          <w:sz w:val="24"/>
          <w:szCs w:val="24"/>
          <w:highlight w:val="none"/>
          <w:lang w:val="en-US" w:eastAsia="zh-CN"/>
        </w:rPr>
        <w:t>出具相关文书，并由</w:t>
      </w:r>
      <w:r>
        <w:rPr>
          <w:rFonts w:hint="eastAsia" w:ascii="宋体" w:hAnsi="宋体" w:cs="宋体"/>
          <w:b w:val="0"/>
          <w:bCs/>
          <w:color w:val="auto"/>
          <w:sz w:val="24"/>
          <w:szCs w:val="24"/>
          <w:highlight w:val="none"/>
          <w:lang w:val="en-US" w:eastAsia="zh-CN"/>
        </w:rPr>
        <w:t>成交人</w:t>
      </w:r>
      <w:r>
        <w:rPr>
          <w:rFonts w:hint="default" w:ascii="宋体" w:hAnsi="宋体" w:cs="宋体"/>
          <w:b w:val="0"/>
          <w:bCs/>
          <w:color w:val="auto"/>
          <w:sz w:val="24"/>
          <w:szCs w:val="24"/>
          <w:highlight w:val="none"/>
          <w:lang w:val="en-US" w:eastAsia="zh-CN"/>
        </w:rPr>
        <w:t>确认，由</w:t>
      </w:r>
      <w:r>
        <w:rPr>
          <w:rFonts w:hint="eastAsia" w:ascii="宋体" w:hAnsi="宋体" w:cs="宋体"/>
          <w:b w:val="0"/>
          <w:bCs/>
          <w:color w:val="auto"/>
          <w:sz w:val="24"/>
          <w:szCs w:val="24"/>
          <w:highlight w:val="none"/>
          <w:lang w:val="en-US" w:eastAsia="zh-CN"/>
        </w:rPr>
        <w:t>采购人</w:t>
      </w:r>
      <w:r>
        <w:rPr>
          <w:rFonts w:hint="default" w:ascii="宋体" w:hAnsi="宋体" w:cs="宋体"/>
          <w:b w:val="0"/>
          <w:bCs/>
          <w:color w:val="auto"/>
          <w:sz w:val="24"/>
          <w:szCs w:val="24"/>
          <w:highlight w:val="none"/>
          <w:lang w:val="en-US" w:eastAsia="zh-CN"/>
        </w:rPr>
        <w:t>在下一次付款中扣除。</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840" w:firstLineChars="35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立杆机柜，每年应进行一次油漆。平时在日常巡检过程中，如出现有生锈的情况，则及时油漆。由采购人书面确认。未履行的每次扣除费用5000元。（注：若发现生锈，一周内处理完毕）</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840" w:firstLineChars="35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为保证采购人系统平台的正常使用，管道、基础、线缆、摄像机等设备损坏后，无论何种原因成交人都应在2小时内响应，并在24小时内修复，未履行的每次扣除费用500元。待查明损坏原因后，由成交人向相关责任人、单位追偿损失。</w:t>
      </w:r>
    </w:p>
    <w:p>
      <w:pPr>
        <w:pStyle w:val="2"/>
        <w:rPr>
          <w:rFonts w:hint="default"/>
          <w:lang w:val="en-US" w:eastAsia="zh-CN"/>
        </w:rPr>
      </w:pPr>
    </w:p>
    <w:p>
      <w:pPr>
        <w:pStyle w:val="2"/>
        <w:numPr>
          <w:ilvl w:val="0"/>
          <w:numId w:val="0"/>
        </w:numPr>
        <w:rPr>
          <w:rFonts w:hint="eastAsia" w:eastAsia="宋体"/>
          <w:lang w:val="en-US" w:eastAsia="zh-CN"/>
        </w:rPr>
      </w:pPr>
    </w:p>
    <w:p>
      <w:pPr>
        <w:widowControl/>
        <w:spacing w:line="360" w:lineRule="exact"/>
        <w:ind w:firstLine="422" w:firstLineChars="200"/>
        <w:jc w:val="left"/>
        <w:textAlignment w:val="baseline"/>
        <w:rPr>
          <w:rStyle w:val="111"/>
          <w:rFonts w:ascii="宋体" w:hAnsi="宋体" w:cs="宋体"/>
          <w:b/>
          <w:bCs/>
          <w:kern w:val="0"/>
          <w:szCs w:val="21"/>
        </w:rPr>
      </w:pPr>
      <w:r>
        <w:rPr>
          <w:rStyle w:val="111"/>
          <w:rFonts w:ascii="宋体" w:hAnsi="宋体" w:cs="宋体"/>
          <w:b/>
          <w:bCs/>
          <w:kern w:val="0"/>
          <w:szCs w:val="21"/>
        </w:rPr>
        <w:t>注：1、投标人提供的货物必须是原装全新、高于或等于招标文件规定技术参数的产品。2、属于节能产品政府采购清单规定必须强制采购的, 必须采购当期节能产品政府采购清单内设备或产品；在价格、技术、服务等指标同等条件下，优先采购节能、环保产品。（开标时需提供投标人所投产品属于政府采购清单规定的节能环保产品的证明材料）</w:t>
      </w:r>
    </w:p>
    <w:p>
      <w:pPr>
        <w:rPr>
          <w:rStyle w:val="111"/>
          <w:rFonts w:ascii="宋体" w:hAnsi="宋体" w:cs="宋体"/>
          <w:b/>
          <w:bCs/>
          <w:kern w:val="0"/>
          <w:szCs w:val="21"/>
        </w:rPr>
      </w:pPr>
      <w:r>
        <w:rPr>
          <w:rStyle w:val="111"/>
          <w:rFonts w:ascii="宋体" w:hAnsi="宋体" w:cs="宋体"/>
          <w:b/>
          <w:bCs/>
          <w:kern w:val="0"/>
          <w:szCs w:val="21"/>
        </w:rPr>
        <w:br w:type="page"/>
      </w:r>
    </w:p>
    <w:p>
      <w:pPr>
        <w:pStyle w:val="35"/>
        <w:spacing w:line="600" w:lineRule="exact"/>
        <w:ind w:right="-63" w:rightChars="-30"/>
        <w:rPr>
          <w:rFonts w:asciiTheme="minorEastAsia" w:hAnsiTheme="minorEastAsia" w:eastAsiaTheme="minorEastAsia" w:cstheme="minorEastAsia"/>
          <w:sz w:val="36"/>
          <w:szCs w:val="36"/>
        </w:rPr>
      </w:pPr>
      <w:bookmarkStart w:id="220" w:name="_Toc26235"/>
      <w:r>
        <w:rPr>
          <w:rFonts w:hint="eastAsia" w:asciiTheme="minorEastAsia" w:hAnsiTheme="minorEastAsia" w:eastAsiaTheme="minorEastAsia" w:cstheme="minorEastAsia"/>
          <w:sz w:val="36"/>
          <w:szCs w:val="36"/>
        </w:rPr>
        <w:t>第六章  投标文件格式</w:t>
      </w:r>
      <w:bookmarkEnd w:id="217"/>
      <w:bookmarkEnd w:id="218"/>
      <w:bookmarkEnd w:id="219"/>
      <w:bookmarkEnd w:id="220"/>
    </w:p>
    <w:p>
      <w:pPr>
        <w:rPr>
          <w:rFonts w:asciiTheme="minorEastAsia" w:hAnsiTheme="minorEastAsia" w:eastAsiaTheme="minorEastAsia" w:cstheme="minorEastAsia"/>
        </w:rPr>
      </w:pPr>
      <w:bookmarkStart w:id="221" w:name="_Toc27452"/>
      <w:bookmarkStart w:id="222" w:name="_Toc402961301"/>
      <w:bookmarkStart w:id="223" w:name="_Toc18905"/>
      <w:bookmarkStart w:id="224" w:name="_Toc403122573"/>
      <w:r>
        <w:rPr>
          <w:rFonts w:hint="eastAsia" w:asciiTheme="minorEastAsia" w:hAnsiTheme="minorEastAsia" w:eastAsiaTheme="minorEastAsia" w:cstheme="minorEastAsia"/>
        </w:rPr>
        <w:t xml:space="preserve">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bCs/>
          <w:sz w:val="28"/>
          <w:szCs w:val="28"/>
        </w:rPr>
        <w:t xml:space="preserve"> 正本/副本</w:t>
      </w:r>
      <w:bookmarkEnd w:id="221"/>
      <w:bookmarkEnd w:id="222"/>
      <w:bookmarkEnd w:id="223"/>
      <w:bookmarkEnd w:id="224"/>
    </w:p>
    <w:p>
      <w:pPr>
        <w:pStyle w:val="35"/>
        <w:outlineLvl w:val="9"/>
        <w:rPr>
          <w:rFonts w:asciiTheme="minorEastAsia" w:hAnsiTheme="minorEastAsia" w:eastAsiaTheme="minorEastAsia" w:cstheme="minorEastAsia"/>
          <w:kern w:val="44"/>
          <w:sz w:val="24"/>
          <w:szCs w:val="24"/>
        </w:rPr>
      </w:pPr>
    </w:p>
    <w:p>
      <w:pPr>
        <w:pStyle w:val="35"/>
        <w:outlineLvl w:val="9"/>
        <w:rPr>
          <w:rFonts w:asciiTheme="minorEastAsia" w:hAnsiTheme="minorEastAsia" w:eastAsiaTheme="minorEastAsia" w:cstheme="minorEastAsia"/>
          <w:kern w:val="44"/>
          <w:sz w:val="24"/>
          <w:szCs w:val="24"/>
        </w:rPr>
      </w:pPr>
    </w:p>
    <w:p>
      <w:pPr>
        <w:spacing w:line="360" w:lineRule="auto"/>
        <w:ind w:firstLine="2208" w:firstLineChars="611"/>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u w:val="single"/>
        </w:rPr>
        <w:t xml:space="preserve">                   </w:t>
      </w:r>
      <w:r>
        <w:rPr>
          <w:rFonts w:hint="eastAsia" w:asciiTheme="minorEastAsia" w:hAnsiTheme="minorEastAsia" w:eastAsiaTheme="minorEastAsia" w:cstheme="minorEastAsia"/>
          <w:b/>
          <w:sz w:val="36"/>
          <w:szCs w:val="36"/>
        </w:rPr>
        <w:t>（项目名称）</w:t>
      </w:r>
    </w:p>
    <w:p>
      <w:pPr>
        <w:spacing w:line="360" w:lineRule="auto"/>
        <w:jc w:val="center"/>
        <w:rPr>
          <w:rFonts w:asciiTheme="minorEastAsia" w:hAnsiTheme="minorEastAsia" w:eastAsiaTheme="minorEastAsia" w:cstheme="minorEastAsia"/>
          <w:b/>
          <w:sz w:val="32"/>
          <w:szCs w:val="32"/>
        </w:rPr>
      </w:pPr>
    </w:p>
    <w:p>
      <w:pPr>
        <w:spacing w:line="360" w:lineRule="auto"/>
        <w:jc w:val="center"/>
        <w:rPr>
          <w:rFonts w:asciiTheme="minorEastAsia" w:hAnsiTheme="minorEastAsia" w:eastAsiaTheme="minorEastAsia" w:cstheme="minorEastAsia"/>
          <w:b/>
          <w:spacing w:val="24"/>
          <w:kern w:val="10"/>
          <w:sz w:val="52"/>
          <w:szCs w:val="52"/>
        </w:rPr>
      </w:pPr>
      <w:r>
        <w:rPr>
          <w:rFonts w:hint="eastAsia" w:asciiTheme="minorEastAsia" w:hAnsiTheme="minorEastAsia" w:eastAsiaTheme="minorEastAsia" w:cstheme="minorEastAsia"/>
          <w:b/>
          <w:spacing w:val="24"/>
          <w:kern w:val="10"/>
          <w:sz w:val="52"/>
          <w:szCs w:val="52"/>
        </w:rPr>
        <w:t>投  标  文  件</w:t>
      </w: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（封面）</w:t>
      </w: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b/>
          <w:sz w:val="24"/>
        </w:rPr>
      </w:pPr>
    </w:p>
    <w:p>
      <w:pPr>
        <w:pStyle w:val="20"/>
        <w:spacing w:line="600" w:lineRule="exact"/>
        <w:ind w:left="1050" w:leftChars="500" w:firstLine="128" w:firstLineChars="50"/>
        <w:rPr>
          <w:rFonts w:hint="default" w:asciiTheme="minorEastAsia" w:hAnsiTheme="minorEastAsia" w:eastAsiaTheme="minorEastAsia" w:cstheme="minorEastAsia"/>
          <w:sz w:val="24"/>
        </w:rPr>
      </w:pPr>
      <w:r>
        <w:rPr>
          <w:rFonts w:asciiTheme="minorEastAsia" w:hAnsiTheme="minorEastAsia" w:eastAsiaTheme="minorEastAsia" w:cstheme="minorEastAsia"/>
          <w:spacing w:val="8"/>
          <w:sz w:val="24"/>
        </w:rPr>
        <w:t>供  应  商：</w:t>
      </w:r>
      <w:r>
        <w:rPr>
          <w:rFonts w:asciiTheme="minorEastAsia" w:hAnsiTheme="minorEastAsia" w:eastAsiaTheme="minorEastAsia" w:cstheme="minorEastAsia"/>
          <w:spacing w:val="8"/>
          <w:sz w:val="24"/>
          <w:u w:val="single"/>
        </w:rPr>
        <w:t xml:space="preserve">                             </w:t>
      </w:r>
      <w:r>
        <w:rPr>
          <w:rFonts w:asciiTheme="minorEastAsia" w:hAnsiTheme="minorEastAsia" w:eastAsiaTheme="minorEastAsia" w:cstheme="minorEastAsia"/>
          <w:sz w:val="24"/>
        </w:rPr>
        <w:t>（单位公章）</w:t>
      </w:r>
    </w:p>
    <w:p>
      <w:pPr>
        <w:pStyle w:val="20"/>
        <w:spacing w:line="600" w:lineRule="exact"/>
        <w:ind w:left="1050" w:leftChars="500" w:firstLine="120" w:firstLineChars="5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法定代表人或</w:t>
      </w:r>
      <w:r>
        <w:rPr>
          <w:rFonts w:asciiTheme="minorEastAsia" w:hAnsiTheme="minorEastAsia" w:eastAsiaTheme="minorEastAsia" w:cstheme="minorEastAsia"/>
          <w:spacing w:val="12"/>
          <w:sz w:val="24"/>
        </w:rPr>
        <w:t>委托代理人：</w:t>
      </w:r>
      <w:r>
        <w:rPr>
          <w:rFonts w:asciiTheme="minorEastAsia" w:hAnsiTheme="minorEastAsia" w:eastAsiaTheme="minorEastAsia" w:cstheme="minorEastAsia"/>
          <w:spacing w:val="12"/>
          <w:sz w:val="24"/>
          <w:u w:val="single"/>
        </w:rPr>
        <w:t xml:space="preserve">                 </w:t>
      </w:r>
      <w:r>
        <w:rPr>
          <w:rFonts w:asciiTheme="minorEastAsia" w:hAnsiTheme="minorEastAsia" w:eastAsiaTheme="minorEastAsia" w:cstheme="minorEastAsia"/>
          <w:sz w:val="24"/>
        </w:rPr>
        <w:t xml:space="preserve">（签字或盖章）  </w:t>
      </w:r>
    </w:p>
    <w:p>
      <w:pPr>
        <w:pStyle w:val="20"/>
        <w:spacing w:line="600" w:lineRule="exact"/>
        <w:ind w:left="1050" w:leftChars="500" w:firstLine="120" w:firstLineChars="50"/>
        <w:rPr>
          <w:rFonts w:hint="default" w:asciiTheme="minorEastAsia" w:hAnsiTheme="minorEastAsia" w:eastAsiaTheme="minorEastAsia" w:cstheme="minorEastAsia"/>
          <w:b/>
          <w:bCs/>
          <w:sz w:val="28"/>
          <w:szCs w:val="28"/>
        </w:rPr>
      </w:pPr>
      <w:r>
        <w:rPr>
          <w:rFonts w:asciiTheme="minorEastAsia" w:hAnsiTheme="minorEastAsia" w:eastAsiaTheme="minorEastAsia" w:cstheme="minorEastAsia"/>
          <w:sz w:val="24"/>
        </w:rPr>
        <w:t>日       期：       年    月    日</w:t>
      </w:r>
    </w:p>
    <w:p>
      <w:pPr>
        <w:ind w:firstLine="540" w:firstLineChars="192"/>
        <w:jc w:val="center"/>
        <w:rPr>
          <w:rFonts w:asciiTheme="minorEastAsia" w:hAnsiTheme="minorEastAsia" w:eastAsiaTheme="minorEastAsia" w:cstheme="minorEastAsia"/>
          <w:b/>
          <w:bCs/>
          <w:sz w:val="28"/>
          <w:szCs w:val="28"/>
        </w:rPr>
      </w:pPr>
    </w:p>
    <w:p>
      <w:pPr>
        <w:ind w:firstLine="848" w:firstLineChars="192"/>
        <w:jc w:val="center"/>
        <w:rPr>
          <w:rFonts w:asciiTheme="minorEastAsia" w:hAnsiTheme="minorEastAsia" w:eastAsiaTheme="minorEastAsia" w:cstheme="minorEastAsia"/>
          <w:b/>
          <w:bCs/>
          <w:sz w:val="44"/>
          <w:szCs w:val="44"/>
        </w:rPr>
      </w:pPr>
    </w:p>
    <w:p>
      <w:pPr>
        <w:ind w:firstLine="848" w:firstLineChars="192"/>
        <w:jc w:val="center"/>
        <w:rPr>
          <w:rFonts w:asciiTheme="minorEastAsia" w:hAnsiTheme="minorEastAsia" w:eastAsiaTheme="minorEastAsia" w:cstheme="minorEastAsia"/>
          <w:b/>
          <w:bCs/>
          <w:sz w:val="44"/>
          <w:szCs w:val="44"/>
        </w:rPr>
      </w:pPr>
    </w:p>
    <w:p>
      <w:pPr>
        <w:ind w:firstLine="848" w:firstLineChars="192"/>
        <w:jc w:val="center"/>
        <w:rPr>
          <w:rFonts w:asciiTheme="minorEastAsia" w:hAnsiTheme="minorEastAsia" w:eastAsiaTheme="minorEastAsia" w:cstheme="minorEastAsia"/>
          <w:b/>
          <w:bCs/>
          <w:sz w:val="44"/>
          <w:szCs w:val="44"/>
        </w:rPr>
      </w:pP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44"/>
          <w:szCs w:val="44"/>
        </w:rPr>
        <w:t>目    录</w:t>
      </w:r>
    </w:p>
    <w:p>
      <w:pPr>
        <w:spacing w:line="440" w:lineRule="exact"/>
        <w:ind w:firstLine="480" w:firstLineChars="200"/>
        <w:rPr>
          <w:rFonts w:ascii="宋体" w:hAnsi="宋体" w:cs="宋体"/>
          <w:sz w:val="24"/>
        </w:rPr>
      </w:pPr>
      <w:bookmarkStart w:id="225" w:name="_Toc31547"/>
      <w:r>
        <w:rPr>
          <w:rFonts w:hint="eastAsia" w:ascii="宋体" w:hAnsi="宋体" w:cs="宋体"/>
          <w:sz w:val="24"/>
        </w:rPr>
        <w:t>一、投标函及开标一览表</w:t>
      </w:r>
    </w:p>
    <w:p>
      <w:pPr>
        <w:spacing w:line="440" w:lineRule="exact"/>
        <w:ind w:firstLine="480" w:firstLineChars="200"/>
        <w:rPr>
          <w:rFonts w:ascii="宋体" w:hAnsi="宋体" w:cs="宋体"/>
          <w:sz w:val="24"/>
        </w:rPr>
      </w:pPr>
      <w:r>
        <w:rPr>
          <w:rFonts w:hint="eastAsia" w:ascii="宋体" w:hAnsi="宋体" w:cs="宋体"/>
          <w:sz w:val="24"/>
        </w:rPr>
        <w:t>（一）投标函</w:t>
      </w:r>
    </w:p>
    <w:p>
      <w:pPr>
        <w:spacing w:line="440" w:lineRule="exact"/>
        <w:ind w:firstLine="480" w:firstLineChars="200"/>
        <w:rPr>
          <w:rFonts w:ascii="宋体" w:hAnsi="宋体" w:cs="宋体"/>
          <w:sz w:val="24"/>
        </w:rPr>
      </w:pPr>
      <w:r>
        <w:rPr>
          <w:rFonts w:hint="eastAsia" w:ascii="宋体" w:hAnsi="宋体" w:cs="宋体"/>
          <w:sz w:val="24"/>
        </w:rPr>
        <w:t>（二）开标一览表</w:t>
      </w:r>
    </w:p>
    <w:p>
      <w:pPr>
        <w:spacing w:line="440" w:lineRule="exact"/>
        <w:ind w:firstLine="480" w:firstLineChars="200"/>
        <w:rPr>
          <w:rFonts w:ascii="宋体" w:hAnsi="宋体" w:cs="宋体"/>
          <w:sz w:val="24"/>
        </w:rPr>
      </w:pPr>
      <w:r>
        <w:rPr>
          <w:rFonts w:hint="eastAsia" w:ascii="宋体" w:hAnsi="宋体" w:cs="宋体"/>
          <w:sz w:val="24"/>
        </w:rPr>
        <w:t>（三）报价明细表</w:t>
      </w:r>
    </w:p>
    <w:p>
      <w:pPr>
        <w:spacing w:line="440" w:lineRule="exact"/>
        <w:ind w:firstLine="480" w:firstLineChars="200"/>
        <w:rPr>
          <w:rFonts w:ascii="宋体" w:hAnsi="宋体" w:cs="宋体"/>
          <w:color w:val="auto"/>
          <w:sz w:val="24"/>
        </w:rPr>
      </w:pPr>
      <w:r>
        <w:rPr>
          <w:rFonts w:hint="eastAsia" w:ascii="宋体" w:hAnsi="宋体" w:cs="宋体"/>
          <w:sz w:val="24"/>
        </w:rPr>
        <w:t>二、</w:t>
      </w:r>
      <w:r>
        <w:rPr>
          <w:rFonts w:hint="eastAsia" w:ascii="宋体" w:hAnsi="宋体" w:cs="宋体"/>
          <w:color w:val="auto"/>
          <w:sz w:val="24"/>
        </w:rPr>
        <w:t>法定代表人身份证明书</w:t>
      </w:r>
    </w:p>
    <w:p>
      <w:pPr>
        <w:spacing w:line="440" w:lineRule="exact"/>
        <w:ind w:firstLine="480" w:firstLineChars="200"/>
        <w:rPr>
          <w:rFonts w:ascii="宋体" w:hAnsi="宋体" w:cs="宋体"/>
          <w:sz w:val="24"/>
        </w:rPr>
      </w:pPr>
      <w:r>
        <w:rPr>
          <w:rFonts w:hint="eastAsia" w:ascii="宋体" w:hAnsi="宋体" w:cs="宋体"/>
          <w:sz w:val="24"/>
        </w:rPr>
        <w:t>三、授权委托书</w:t>
      </w:r>
    </w:p>
    <w:p>
      <w:pPr>
        <w:spacing w:line="440" w:lineRule="exact"/>
        <w:ind w:firstLine="480" w:firstLineChars="200"/>
        <w:rPr>
          <w:rFonts w:ascii="宋体" w:hAnsi="宋体" w:cs="宋体"/>
          <w:sz w:val="24"/>
        </w:rPr>
      </w:pPr>
      <w:r>
        <w:rPr>
          <w:rFonts w:hint="eastAsia" w:ascii="宋体" w:hAnsi="宋体" w:cs="宋体"/>
          <w:sz w:val="24"/>
        </w:rPr>
        <w:t>四、 投标承诺函</w:t>
      </w:r>
    </w:p>
    <w:p>
      <w:pPr>
        <w:spacing w:line="440" w:lineRule="exact"/>
        <w:ind w:firstLine="480" w:firstLineChars="200"/>
        <w:rPr>
          <w:rFonts w:ascii="宋体" w:hAnsi="宋体" w:cs="宋体"/>
          <w:sz w:val="24"/>
          <w:highlight w:val="yellow"/>
        </w:rPr>
      </w:pPr>
      <w:r>
        <w:rPr>
          <w:rFonts w:hint="eastAsia" w:ascii="宋体" w:hAnsi="宋体" w:cs="宋体"/>
          <w:sz w:val="24"/>
        </w:rPr>
        <w:t>五、项目实施方案</w:t>
      </w:r>
    </w:p>
    <w:p>
      <w:pPr>
        <w:spacing w:line="440" w:lineRule="exact"/>
        <w:ind w:firstLine="480" w:firstLineChars="200"/>
        <w:rPr>
          <w:rFonts w:ascii="宋体" w:hAnsi="宋体" w:cs="宋体"/>
          <w:sz w:val="24"/>
        </w:rPr>
      </w:pPr>
      <w:r>
        <w:rPr>
          <w:rFonts w:hint="eastAsia" w:ascii="宋体" w:hAnsi="宋体" w:cs="宋体"/>
          <w:sz w:val="24"/>
        </w:rPr>
        <w:t>六、技术偏离表</w:t>
      </w:r>
    </w:p>
    <w:p>
      <w:pPr>
        <w:spacing w:line="440" w:lineRule="exact"/>
        <w:ind w:firstLine="480" w:firstLineChars="200"/>
        <w:rPr>
          <w:rFonts w:ascii="宋体" w:hAnsi="宋体" w:cs="宋体"/>
          <w:sz w:val="24"/>
        </w:rPr>
      </w:pPr>
      <w:r>
        <w:rPr>
          <w:rFonts w:hint="eastAsia" w:ascii="宋体" w:hAnsi="宋体" w:cs="宋体"/>
          <w:sz w:val="24"/>
        </w:rPr>
        <w:t>七、资格证明文件</w:t>
      </w:r>
    </w:p>
    <w:p>
      <w:pPr>
        <w:spacing w:line="440" w:lineRule="exact"/>
        <w:ind w:firstLine="480" w:firstLineChars="200"/>
        <w:rPr>
          <w:rFonts w:ascii="宋体" w:hAnsi="宋体" w:cs="宋体"/>
          <w:sz w:val="24"/>
        </w:rPr>
      </w:pPr>
      <w:r>
        <w:rPr>
          <w:rFonts w:hint="eastAsia" w:ascii="宋体" w:hAnsi="宋体" w:cs="宋体"/>
          <w:sz w:val="24"/>
        </w:rPr>
        <w:t>八、开标日前六个月内任一个月的依法缴纳税收的相关证明、开标日前六个月内任一个月的依法缴纳社会保障资金的相关证明、开标日前六个月内任一个月的资产负债表或损益表或年度财务会计报表或会计事务所出具的审计报告</w:t>
      </w:r>
    </w:p>
    <w:p>
      <w:pPr>
        <w:spacing w:line="440" w:lineRule="exact"/>
        <w:ind w:firstLine="480" w:firstLineChars="200"/>
        <w:rPr>
          <w:rFonts w:ascii="宋体" w:hAnsi="宋体" w:cs="宋体"/>
          <w:sz w:val="24"/>
        </w:rPr>
      </w:pPr>
      <w:r>
        <w:rPr>
          <w:rFonts w:hint="eastAsia" w:ascii="宋体" w:hAnsi="宋体" w:cs="宋体"/>
          <w:sz w:val="24"/>
        </w:rPr>
        <w:t>九、参加政府采购活动前三年内无重大违法记录的书面声明</w:t>
      </w:r>
    </w:p>
    <w:p>
      <w:pPr>
        <w:spacing w:line="440" w:lineRule="exact"/>
        <w:ind w:firstLine="480" w:firstLineChars="200"/>
        <w:rPr>
          <w:rFonts w:ascii="宋体" w:hAnsi="宋体" w:cs="宋体"/>
          <w:sz w:val="24"/>
        </w:rPr>
      </w:pPr>
      <w:r>
        <w:rPr>
          <w:rFonts w:hint="eastAsia" w:ascii="宋体" w:hAnsi="宋体" w:cs="宋体"/>
          <w:sz w:val="24"/>
        </w:rPr>
        <w:t>十、供应商所投产品属于当期政府采购清单规定的节能环保产品的证明材料</w:t>
      </w:r>
    </w:p>
    <w:p>
      <w:pPr>
        <w:spacing w:line="440" w:lineRule="exact"/>
        <w:ind w:firstLine="480" w:firstLineChars="200"/>
        <w:rPr>
          <w:rFonts w:ascii="宋体" w:hAnsi="宋体" w:cs="宋体"/>
          <w:sz w:val="24"/>
        </w:rPr>
      </w:pPr>
      <w:r>
        <w:rPr>
          <w:rFonts w:hint="eastAsia" w:ascii="宋体" w:hAnsi="宋体" w:cs="宋体"/>
          <w:sz w:val="24"/>
        </w:rPr>
        <w:t>十一、中小企业声明函（如有）</w:t>
      </w:r>
    </w:p>
    <w:p>
      <w:pPr>
        <w:spacing w:line="440" w:lineRule="exact"/>
        <w:ind w:firstLine="480" w:firstLineChars="200"/>
        <w:rPr>
          <w:rFonts w:ascii="宋体" w:hAnsi="宋体" w:cs="宋体"/>
          <w:sz w:val="24"/>
        </w:rPr>
      </w:pPr>
      <w:r>
        <w:rPr>
          <w:rFonts w:hint="eastAsia" w:ascii="宋体" w:hAnsi="宋体" w:cs="宋体"/>
          <w:sz w:val="24"/>
        </w:rPr>
        <w:t>十二、残疾人福利性单位声明函（如有）</w:t>
      </w:r>
    </w:p>
    <w:p>
      <w:pPr>
        <w:spacing w:line="440" w:lineRule="exact"/>
        <w:ind w:firstLine="480" w:firstLineChars="200"/>
        <w:rPr>
          <w:rFonts w:ascii="宋体" w:hAnsi="宋体" w:cs="宋体"/>
          <w:sz w:val="24"/>
        </w:rPr>
      </w:pPr>
      <w:r>
        <w:rPr>
          <w:rFonts w:hint="eastAsia" w:ascii="宋体" w:hAnsi="宋体" w:cs="宋体"/>
          <w:sz w:val="24"/>
        </w:rPr>
        <w:t>十三、健康承诺书；</w:t>
      </w:r>
    </w:p>
    <w:p>
      <w:pPr>
        <w:spacing w:line="440" w:lineRule="exact"/>
        <w:ind w:firstLine="480" w:firstLineChars="200"/>
        <w:rPr>
          <w:rFonts w:ascii="宋体" w:hAnsi="宋体"/>
          <w:sz w:val="24"/>
        </w:rPr>
      </w:pPr>
      <w:r>
        <w:rPr>
          <w:rFonts w:hint="eastAsia" w:ascii="宋体" w:hAnsi="宋体" w:cs="宋体"/>
          <w:sz w:val="24"/>
        </w:rPr>
        <w:t>十四、招</w:t>
      </w:r>
      <w:r>
        <w:rPr>
          <w:rFonts w:hint="eastAsia" w:ascii="宋体" w:hAnsi="宋体"/>
          <w:sz w:val="24"/>
        </w:rPr>
        <w:t>标文件要求的或供应商认为需要加以说明的其他内容。</w:t>
      </w:r>
    </w:p>
    <w:p>
      <w:pPr>
        <w:spacing w:line="500" w:lineRule="exact"/>
        <w:jc w:val="center"/>
        <w:outlineLvl w:val="1"/>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color w:val="FF0000"/>
          <w:sz w:val="30"/>
          <w:szCs w:val="30"/>
        </w:rPr>
        <w:br w:type="page"/>
      </w:r>
      <w:bookmarkStart w:id="226" w:name="_Toc1921"/>
      <w:r>
        <w:rPr>
          <w:rFonts w:hint="eastAsia" w:asciiTheme="minorEastAsia" w:hAnsiTheme="minorEastAsia" w:eastAsiaTheme="minorEastAsia" w:cstheme="minorEastAsia"/>
          <w:b/>
          <w:bCs/>
          <w:sz w:val="30"/>
          <w:szCs w:val="30"/>
        </w:rPr>
        <w:t>一、投标函</w:t>
      </w:r>
      <w:bookmarkEnd w:id="225"/>
      <w:r>
        <w:rPr>
          <w:rFonts w:hint="eastAsia" w:asciiTheme="minorEastAsia" w:hAnsiTheme="minorEastAsia" w:eastAsiaTheme="minorEastAsia" w:cstheme="minorEastAsia"/>
          <w:b/>
          <w:bCs/>
          <w:sz w:val="30"/>
          <w:szCs w:val="30"/>
        </w:rPr>
        <w:t>及开标一览表</w:t>
      </w:r>
      <w:bookmarkEnd w:id="226"/>
    </w:p>
    <w:p>
      <w:pPr>
        <w:jc w:val="center"/>
        <w:outlineLvl w:val="2"/>
        <w:rPr>
          <w:rFonts w:asciiTheme="minorEastAsia" w:hAnsiTheme="minorEastAsia" w:eastAsiaTheme="minorEastAsia" w:cstheme="minorEastAsia"/>
          <w:b/>
          <w:bCs/>
          <w:sz w:val="28"/>
        </w:rPr>
      </w:pPr>
      <w:bookmarkStart w:id="227" w:name="_Toc12044"/>
      <w:bookmarkStart w:id="228" w:name="_Toc27218"/>
      <w:bookmarkStart w:id="229" w:name="_Toc600"/>
      <w:r>
        <w:rPr>
          <w:rFonts w:hint="eastAsia" w:asciiTheme="minorEastAsia" w:hAnsiTheme="minorEastAsia" w:eastAsiaTheme="minorEastAsia" w:cstheme="minorEastAsia"/>
          <w:b/>
          <w:sz w:val="28"/>
          <w:szCs w:val="28"/>
        </w:rPr>
        <w:t>（一）投标函</w:t>
      </w:r>
      <w:bookmarkEnd w:id="227"/>
      <w:bookmarkEnd w:id="228"/>
      <w:bookmarkEnd w:id="229"/>
    </w:p>
    <w:p>
      <w:pPr>
        <w:spacing w:line="440" w:lineRule="exact"/>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（采购人名称）： </w:t>
      </w:r>
    </w:p>
    <w:p>
      <w:pPr>
        <w:numPr>
          <w:ilvl w:val="0"/>
          <w:numId w:val="6"/>
        </w:numPr>
        <w:tabs>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我方已仔细研究了</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（项目名称）招标文件的全部内容，对本项目愿意以人民币（大写）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w:t>
      </w:r>
      <w:r>
        <w:rPr>
          <w:rFonts w:hint="eastAsia" w:asciiTheme="minorEastAsia" w:hAnsiTheme="minorEastAsia" w:eastAsiaTheme="minorEastAsia" w:cstheme="minorEastAsia"/>
          <w:szCs w:val="21"/>
          <w:u w:val="single"/>
        </w:rPr>
        <w:t xml:space="preserve">          元</w:t>
      </w:r>
      <w:r>
        <w:rPr>
          <w:rFonts w:hint="eastAsia" w:asciiTheme="minorEastAsia" w:hAnsiTheme="minorEastAsia" w:eastAsiaTheme="minorEastAsia" w:cstheme="minorEastAsia"/>
          <w:szCs w:val="21"/>
        </w:rPr>
        <w:t>）的投标报价，</w:t>
      </w:r>
      <w:r>
        <w:rPr>
          <w:rFonts w:hint="eastAsia" w:asciiTheme="minorEastAsia" w:hAnsiTheme="minorEastAsia" w:eastAsiaTheme="minorEastAsia" w:cstheme="minorEastAsia"/>
          <w:highlight w:val="none"/>
        </w:rPr>
        <w:t>供货</w:t>
      </w:r>
      <w:r>
        <w:rPr>
          <w:rFonts w:hint="eastAsia" w:asciiTheme="minorEastAsia" w:hAnsiTheme="minorEastAsia" w:eastAsiaTheme="minorEastAsia" w:cstheme="minorEastAsia"/>
          <w:highlight w:val="none"/>
          <w:lang w:val="en-US" w:eastAsia="zh-CN"/>
        </w:rPr>
        <w:t>及安装</w:t>
      </w:r>
      <w:r>
        <w:rPr>
          <w:rFonts w:hint="eastAsia" w:asciiTheme="minorEastAsia" w:hAnsiTheme="minorEastAsia" w:eastAsiaTheme="minorEastAsia" w:cstheme="minorEastAsia"/>
          <w:highlight w:val="none"/>
        </w:rPr>
        <w:t>期</w:t>
      </w: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single"/>
          <w:lang w:val="en-US" w:eastAsia="zh-CN"/>
        </w:rPr>
        <w:t xml:space="preserve">    日历天</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rPr>
        <w:t xml:space="preserve">，按合同约定实施和完成本项目。 </w:t>
      </w:r>
    </w:p>
    <w:p>
      <w:pPr>
        <w:numPr>
          <w:ilvl w:val="0"/>
          <w:numId w:val="6"/>
        </w:numPr>
        <w:tabs>
          <w:tab w:val="left" w:pos="840"/>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我方承诺我公司完全满足《中华人民共和国政府采购法》第二十二条之各项规定，如果我们的投标文件被接受，我们将履行招标文件中规定的各项要求，按期、按质、按量完成中标项目。</w:t>
      </w:r>
    </w:p>
    <w:p>
      <w:pPr>
        <w:numPr>
          <w:ilvl w:val="0"/>
          <w:numId w:val="6"/>
        </w:numPr>
        <w:tabs>
          <w:tab w:val="left" w:pos="840"/>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我方承诺在投标有效期内不修改、撤销投标文件。</w:t>
      </w:r>
    </w:p>
    <w:p>
      <w:pPr>
        <w:numPr>
          <w:ilvl w:val="0"/>
          <w:numId w:val="6"/>
        </w:numPr>
        <w:tabs>
          <w:tab w:val="left" w:pos="840"/>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如我方中标： </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（1）我方承诺在收到中标通知书后，在中标通知书规定的期限内与你方签订合同。</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（2）随同本投标函递交的投标函附录属于合同文件的组成部分。 </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（3）我方承诺按照招标文件规定向你方递交履约保证金。 </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（4）我们将根据招标文件的规定，严格按照《合同法》履行自己的责任和义务,并保证于投标报价表中规定的时间交货使用，否则我们的履约保证金将被贵方没收。</w:t>
      </w:r>
    </w:p>
    <w:p>
      <w:pPr>
        <w:numPr>
          <w:ilvl w:val="0"/>
          <w:numId w:val="6"/>
        </w:numPr>
        <w:tabs>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我方在此声明，所递交的投标文件及有关资料内容完整、真实和准确。 </w:t>
      </w:r>
    </w:p>
    <w:p>
      <w:pPr>
        <w:spacing w:line="440" w:lineRule="exact"/>
        <w:ind w:left="105"/>
        <w:rPr>
          <w:rFonts w:asciiTheme="minorEastAsia" w:hAnsiTheme="minorEastAsia" w:eastAsiaTheme="minorEastAsia" w:cstheme="minorEastAsia"/>
          <w:szCs w:val="21"/>
        </w:rPr>
      </w:pPr>
    </w:p>
    <w:p>
      <w:pPr>
        <w:spacing w:line="440" w:lineRule="exact"/>
        <w:ind w:left="105"/>
        <w:rPr>
          <w:rFonts w:asciiTheme="minorEastAsia" w:hAnsiTheme="minorEastAsia" w:eastAsiaTheme="minorEastAsia" w:cstheme="minorEastAsia"/>
          <w:szCs w:val="21"/>
        </w:rPr>
      </w:pP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  标  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（盖企业公章）</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法定代表人或其委托代理人：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0"/>
          <w:szCs w:val="21"/>
        </w:rPr>
        <w:t>签字或盖章）</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w:t>
      </w:r>
      <w:r>
        <w:rPr>
          <w:rFonts w:hint="eastAsia" w:asciiTheme="minorEastAsia" w:hAnsiTheme="minorEastAsia" w:eastAsiaTheme="minorEastAsia" w:cstheme="minorEastAsia"/>
          <w:szCs w:val="21"/>
          <w:u w:val="single"/>
        </w:rPr>
        <w:t xml:space="preserve">                                      </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网址：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传真：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邮政编码：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440" w:lineRule="exact"/>
        <w:ind w:left="2625" w:leftChars="1250"/>
        <w:rPr>
          <w:rFonts w:asciiTheme="minorEastAsia" w:hAnsiTheme="minorEastAsia" w:eastAsiaTheme="minorEastAsia" w:cstheme="minorEastAsia"/>
          <w:sz w:val="24"/>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r>
        <w:rPr>
          <w:rFonts w:hint="eastAsia" w:asciiTheme="minorEastAsia" w:hAnsiTheme="minorEastAsia" w:eastAsiaTheme="minorEastAsia" w:cstheme="minorEastAsia"/>
          <w:sz w:val="24"/>
        </w:rPr>
        <w:t xml:space="preserve"> </w:t>
      </w:r>
    </w:p>
    <w:p>
      <w:pPr>
        <w:spacing w:line="400" w:lineRule="exact"/>
        <w:ind w:left="2625" w:leftChars="1250"/>
        <w:rPr>
          <w:rFonts w:asciiTheme="minorEastAsia" w:hAnsiTheme="minorEastAsia" w:eastAsiaTheme="minorEastAsia" w:cstheme="minorEastAsia"/>
          <w:sz w:val="24"/>
        </w:rPr>
      </w:pPr>
    </w:p>
    <w:p>
      <w:pPr>
        <w:spacing w:line="400" w:lineRule="exact"/>
        <w:ind w:left="2625" w:leftChars="1250"/>
        <w:rPr>
          <w:rFonts w:asciiTheme="minorEastAsia" w:hAnsiTheme="minorEastAsia" w:eastAsiaTheme="minorEastAsia" w:cstheme="minorEastAsia"/>
          <w:sz w:val="24"/>
        </w:rPr>
      </w:pPr>
    </w:p>
    <w:p>
      <w:pPr>
        <w:spacing w:line="500" w:lineRule="exact"/>
        <w:jc w:val="center"/>
        <w:outlineLvl w:val="2"/>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bookmarkStart w:id="230" w:name="_Toc208"/>
      <w:bookmarkStart w:id="231" w:name="_Toc14778"/>
      <w:bookmarkStart w:id="232" w:name="_Toc9543"/>
      <w:r>
        <w:rPr>
          <w:rFonts w:hint="eastAsia" w:asciiTheme="minorEastAsia" w:hAnsiTheme="minorEastAsia" w:eastAsiaTheme="minorEastAsia" w:cstheme="minorEastAsia"/>
          <w:b/>
          <w:bCs/>
          <w:sz w:val="28"/>
          <w:szCs w:val="28"/>
        </w:rPr>
        <w:t>（二） 开标一览表</w:t>
      </w:r>
      <w:bookmarkEnd w:id="230"/>
      <w:bookmarkEnd w:id="231"/>
      <w:bookmarkEnd w:id="232"/>
    </w:p>
    <w:p>
      <w:pPr>
        <w:jc w:val="center"/>
        <w:rPr>
          <w:rFonts w:asciiTheme="minorEastAsia" w:hAnsiTheme="minorEastAsia" w:eastAsiaTheme="minorEastAsia" w:cstheme="minorEastAsia"/>
          <w:b/>
          <w:bCs/>
          <w:sz w:val="28"/>
        </w:rPr>
      </w:pPr>
    </w:p>
    <w:tbl>
      <w:tblPr>
        <w:tblStyle w:val="39"/>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5898" w:type="dxa"/>
            <w:vAlign w:val="center"/>
          </w:tcPr>
          <w:p>
            <w:pPr>
              <w:pStyle w:val="17"/>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p>
        </w:tc>
        <w:tc>
          <w:tcPr>
            <w:tcW w:w="5898" w:type="dxa"/>
            <w:vAlign w:val="center"/>
          </w:tcPr>
          <w:p>
            <w:pPr>
              <w:pStyle w:val="17"/>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投标总报价</w:t>
            </w:r>
          </w:p>
        </w:tc>
        <w:tc>
          <w:tcPr>
            <w:tcW w:w="5898" w:type="dxa"/>
            <w:vAlign w:val="center"/>
          </w:tcPr>
          <w:p>
            <w:pPr>
              <w:pStyle w:val="17"/>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（大写）                                </w:t>
            </w:r>
          </w:p>
          <w:p>
            <w:pPr>
              <w:pStyle w:val="17"/>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iCs/>
                <w:sz w:val="24"/>
              </w:rPr>
              <w:t>投标质量</w:t>
            </w:r>
          </w:p>
        </w:tc>
        <w:tc>
          <w:tcPr>
            <w:tcW w:w="5898" w:type="dxa"/>
            <w:vAlign w:val="center"/>
          </w:tcPr>
          <w:p>
            <w:pPr>
              <w:pStyle w:val="17"/>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iCs/>
                <w:sz w:val="24"/>
              </w:rPr>
              <w:t>供货</w:t>
            </w:r>
            <w:r>
              <w:rPr>
                <w:rFonts w:hint="eastAsia" w:asciiTheme="minorEastAsia" w:hAnsiTheme="minorEastAsia" w:eastAsiaTheme="minorEastAsia" w:cstheme="minorEastAsia"/>
                <w:bCs/>
                <w:iCs/>
                <w:sz w:val="24"/>
                <w:lang w:val="en-US" w:eastAsia="zh-CN"/>
              </w:rPr>
              <w:t>及安装</w:t>
            </w:r>
            <w:r>
              <w:rPr>
                <w:rFonts w:hint="eastAsia" w:asciiTheme="minorEastAsia" w:hAnsiTheme="minorEastAsia" w:eastAsiaTheme="minorEastAsia" w:cstheme="minorEastAsia"/>
                <w:bCs/>
                <w:iCs/>
                <w:sz w:val="24"/>
              </w:rPr>
              <w:t>期</w:t>
            </w:r>
          </w:p>
        </w:tc>
        <w:tc>
          <w:tcPr>
            <w:tcW w:w="5898" w:type="dxa"/>
            <w:vAlign w:val="center"/>
          </w:tcPr>
          <w:p>
            <w:pPr>
              <w:pStyle w:val="17"/>
              <w:spacing w:line="400" w:lineRule="exact"/>
              <w:ind w:firstLine="480"/>
              <w:rPr>
                <w:rFonts w:asciiTheme="minorEastAsia" w:hAnsiTheme="minorEastAsia" w:eastAsiaTheme="minorEastAsia" w:cstheme="minorEastAsia"/>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sz w:val="24"/>
              </w:rPr>
            </w:pPr>
            <w:r>
              <w:rPr>
                <w:rFonts w:hint="eastAsia" w:asciiTheme="minorEastAsia" w:hAnsiTheme="minorEastAsia" w:eastAsiaTheme="minorEastAsia" w:cstheme="minorEastAsia"/>
                <w:bCs/>
                <w:iCs/>
                <w:sz w:val="24"/>
              </w:rPr>
              <w:t>质保期</w:t>
            </w:r>
          </w:p>
        </w:tc>
        <w:tc>
          <w:tcPr>
            <w:tcW w:w="5898" w:type="dxa"/>
            <w:vAlign w:val="center"/>
          </w:tcPr>
          <w:p>
            <w:pPr>
              <w:pStyle w:val="17"/>
              <w:spacing w:line="400" w:lineRule="exact"/>
              <w:ind w:firstLine="480"/>
              <w:rPr>
                <w:rFonts w:asciiTheme="minorEastAsia" w:hAnsiTheme="minorEastAsia" w:eastAsiaTheme="minorEastAsia" w:cstheme="minorEastAsia"/>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pPr>
              <w:spacing w:line="300" w:lineRule="exact"/>
              <w:jc w:val="center"/>
              <w:rPr>
                <w:rFonts w:asciiTheme="minorEastAsia" w:hAnsiTheme="minorEastAsia" w:eastAsiaTheme="minorEastAsia" w:cstheme="minorEastAsia"/>
                <w:bCs/>
                <w:iCs/>
                <w:sz w:val="24"/>
              </w:rPr>
            </w:pPr>
            <w:r>
              <w:rPr>
                <w:rFonts w:hint="eastAsia" w:asciiTheme="minorEastAsia" w:hAnsiTheme="minorEastAsia" w:eastAsiaTheme="minorEastAsia" w:cstheme="minorEastAsia"/>
                <w:bCs/>
                <w:iCs/>
                <w:sz w:val="24"/>
              </w:rPr>
              <w:t>投标有效期</w:t>
            </w:r>
          </w:p>
        </w:tc>
        <w:tc>
          <w:tcPr>
            <w:tcW w:w="5898" w:type="dxa"/>
            <w:vAlign w:val="center"/>
          </w:tcPr>
          <w:p>
            <w:pPr>
              <w:pStyle w:val="17"/>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08" w:type="dxa"/>
            <w:gridSpan w:val="2"/>
            <w:vAlign w:val="center"/>
          </w:tcPr>
          <w:p>
            <w:pPr>
              <w:pStyle w:val="17"/>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备注：</w:t>
            </w:r>
          </w:p>
        </w:tc>
      </w:tr>
    </w:tbl>
    <w:p>
      <w:pPr>
        <w:spacing w:line="360" w:lineRule="exact"/>
        <w:jc w:val="right"/>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供应商：（单位公章）</w:t>
      </w: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法定代表人</w:t>
      </w:r>
      <w:r>
        <w:rPr>
          <w:rFonts w:hint="eastAsia" w:asciiTheme="minorEastAsia" w:hAnsiTheme="minorEastAsia" w:eastAsiaTheme="minorEastAsia" w:cstheme="minorEastAsia"/>
          <w:sz w:val="24"/>
          <w:szCs w:val="20"/>
        </w:rPr>
        <w:t>或其委托代理人</w:t>
      </w:r>
      <w:r>
        <w:rPr>
          <w:rFonts w:hint="eastAsia" w:asciiTheme="minorEastAsia" w:hAnsiTheme="minorEastAsia" w:eastAsiaTheme="minorEastAsia" w:cstheme="minorEastAsia"/>
          <w:sz w:val="24"/>
        </w:rPr>
        <w:t>：（签字或盖章）</w:t>
      </w:r>
    </w:p>
    <w:p>
      <w:pPr>
        <w:ind w:left="1050" w:leftChars="500"/>
        <w:jc w:val="center"/>
        <w:rPr>
          <w:rFonts w:asciiTheme="minorEastAsia" w:hAnsiTheme="minorEastAsia" w:eastAsiaTheme="minorEastAsia" w:cstheme="minorEastAsia"/>
          <w:sz w:val="24"/>
        </w:rPr>
      </w:pP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  期：     年   月   日</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2"/>
        <w:rPr>
          <w:rFonts w:asciiTheme="minorEastAsia" w:hAnsiTheme="minorEastAsia" w:eastAsiaTheme="minorEastAsia" w:cstheme="minorEastAsia"/>
          <w:sz w:val="24"/>
        </w:rPr>
      </w:pPr>
    </w:p>
    <w:p>
      <w:pPr>
        <w:pStyle w:val="35"/>
        <w:spacing w:before="120" w:after="120" w:line="500" w:lineRule="exact"/>
        <w:ind w:right="29" w:rightChars="14"/>
        <w:outlineLvl w:val="1"/>
        <w:rPr>
          <w:rFonts w:asciiTheme="minorEastAsia" w:hAnsiTheme="minorEastAsia" w:eastAsiaTheme="minorEastAsia" w:cstheme="minorEastAsia"/>
          <w:sz w:val="24"/>
        </w:rPr>
      </w:pPr>
    </w:p>
    <w:p>
      <w:pPr>
        <w:pStyle w:val="35"/>
        <w:spacing w:before="120" w:after="120" w:line="500" w:lineRule="exact"/>
        <w:ind w:right="29" w:rightChars="14"/>
        <w:outlineLvl w:val="1"/>
        <w:rPr>
          <w:rFonts w:asciiTheme="minorEastAsia" w:hAnsiTheme="minorEastAsia" w:eastAsiaTheme="minorEastAsia" w:cstheme="minorEastAsia"/>
          <w:sz w:val="24"/>
        </w:rPr>
      </w:pPr>
    </w:p>
    <w:p>
      <w:pPr>
        <w:pStyle w:val="35"/>
        <w:spacing w:before="120" w:after="120" w:line="500" w:lineRule="exact"/>
        <w:ind w:right="29" w:rightChars="14"/>
        <w:outlineLvl w:val="1"/>
        <w:rPr>
          <w:rFonts w:asciiTheme="minorEastAsia" w:hAnsiTheme="minorEastAsia" w:eastAsiaTheme="minorEastAsia" w:cstheme="minorEastAsia"/>
          <w:sz w:val="24"/>
        </w:rPr>
      </w:pPr>
    </w:p>
    <w:p>
      <w:pPr>
        <w:pStyle w:val="35"/>
        <w:spacing w:before="120" w:after="120" w:line="500" w:lineRule="exact"/>
        <w:ind w:right="29" w:rightChars="14"/>
        <w:outlineLvl w:val="1"/>
        <w:rPr>
          <w:rFonts w:asciiTheme="minorEastAsia" w:hAnsiTheme="minorEastAsia" w:eastAsiaTheme="minorEastAsia" w:cstheme="minorEastAsia"/>
          <w:sz w:val="24"/>
        </w:rPr>
      </w:pPr>
    </w:p>
    <w:p>
      <w:pPr>
        <w:pStyle w:val="35"/>
        <w:spacing w:before="120" w:after="120" w:line="500" w:lineRule="exact"/>
        <w:ind w:right="29" w:rightChars="14"/>
        <w:outlineLvl w:val="1"/>
        <w:rPr>
          <w:rFonts w:asciiTheme="minorEastAsia" w:hAnsiTheme="minorEastAsia" w:eastAsiaTheme="minorEastAsia" w:cstheme="minorEastAsia"/>
          <w:sz w:val="24"/>
        </w:rPr>
      </w:pPr>
    </w:p>
    <w:p>
      <w:pPr>
        <w:pStyle w:val="35"/>
        <w:spacing w:before="120" w:after="120" w:line="500" w:lineRule="exact"/>
        <w:ind w:right="29" w:rightChars="14"/>
        <w:outlineLvl w:val="1"/>
        <w:rPr>
          <w:rFonts w:asciiTheme="minorEastAsia" w:hAnsiTheme="minorEastAsia" w:eastAsiaTheme="minorEastAsia" w:cstheme="minorEastAsia"/>
          <w:sz w:val="24"/>
        </w:rPr>
      </w:pPr>
    </w:p>
    <w:p>
      <w:pPr>
        <w:pStyle w:val="35"/>
        <w:spacing w:before="120" w:after="120" w:line="500" w:lineRule="exact"/>
        <w:ind w:right="29" w:rightChars="14"/>
        <w:outlineLvl w:val="1"/>
        <w:rPr>
          <w:rFonts w:asciiTheme="minorEastAsia" w:hAnsiTheme="minorEastAsia" w:eastAsiaTheme="minorEastAsia" w:cstheme="minorEastAsia"/>
          <w:sz w:val="24"/>
        </w:rPr>
      </w:pPr>
    </w:p>
    <w:p>
      <w:pPr>
        <w:spacing w:line="440" w:lineRule="exact"/>
        <w:ind w:firstLine="443" w:firstLineChars="147"/>
        <w:jc w:val="center"/>
        <w:rPr>
          <w:rFonts w:ascii="宋体" w:hAnsi="宋体" w:cs="宋体"/>
          <w:b/>
          <w:sz w:val="30"/>
          <w:szCs w:val="30"/>
        </w:rPr>
      </w:pPr>
      <w:r>
        <w:rPr>
          <w:rFonts w:hint="eastAsia" w:ascii="宋体" w:hAnsi="宋体" w:cs="宋体"/>
          <w:b/>
          <w:sz w:val="30"/>
          <w:szCs w:val="30"/>
        </w:rPr>
        <w:t>（三）报价明细表</w:t>
      </w:r>
    </w:p>
    <w:p>
      <w:pPr>
        <w:spacing w:line="440" w:lineRule="exact"/>
        <w:ind w:firstLine="310" w:firstLineChars="147"/>
        <w:rPr>
          <w:rFonts w:ascii="宋体" w:hAnsi="宋体" w:cs="宋体"/>
          <w:b/>
          <w:szCs w:val="21"/>
        </w:rPr>
      </w:pPr>
    </w:p>
    <w:tbl>
      <w:tblPr>
        <w:tblStyle w:val="39"/>
        <w:tblW w:w="9304"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2164"/>
        <w:gridCol w:w="1155"/>
        <w:gridCol w:w="945"/>
        <w:gridCol w:w="1515"/>
        <w:gridCol w:w="1339"/>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trPr>
        <w:tc>
          <w:tcPr>
            <w:tcW w:w="1226" w:type="dxa"/>
            <w:tcBorders>
              <w:top w:val="single" w:color="auto" w:sz="4" w:space="0"/>
              <w:left w:val="single" w:color="auto" w:sz="4" w:space="0"/>
              <w:bottom w:val="single" w:color="auto" w:sz="4" w:space="0"/>
              <w:right w:val="single" w:color="auto" w:sz="4" w:space="0"/>
            </w:tcBorders>
            <w:vAlign w:val="center"/>
          </w:tcPr>
          <w:p>
            <w:pPr>
              <w:pStyle w:val="34"/>
              <w:widowControl w:val="0"/>
              <w:adjustRightInd w:val="0"/>
              <w:spacing w:before="0" w:beforeAutospacing="0" w:after="0" w:afterAutospacing="0" w:line="480" w:lineRule="exact"/>
              <w:jc w:val="both"/>
              <w:rPr>
                <w:b/>
              </w:rPr>
            </w:pPr>
            <w:r>
              <w:rPr>
                <w:rFonts w:hint="eastAsia"/>
                <w:b/>
              </w:rPr>
              <w:t>货物名称</w:t>
            </w:r>
          </w:p>
        </w:tc>
        <w:tc>
          <w:tcPr>
            <w:tcW w:w="2164" w:type="dxa"/>
            <w:tcBorders>
              <w:top w:val="single" w:color="auto" w:sz="4" w:space="0"/>
              <w:left w:val="single" w:color="auto" w:sz="4" w:space="0"/>
              <w:bottom w:val="single" w:color="auto" w:sz="4" w:space="0"/>
              <w:right w:val="single" w:color="auto" w:sz="4" w:space="0"/>
            </w:tcBorders>
            <w:vAlign w:val="center"/>
          </w:tcPr>
          <w:p>
            <w:pPr>
              <w:pStyle w:val="34"/>
              <w:widowControl w:val="0"/>
              <w:adjustRightInd w:val="0"/>
              <w:spacing w:before="0" w:beforeAutospacing="0" w:after="0" w:afterAutospacing="0" w:line="480" w:lineRule="exact"/>
              <w:jc w:val="center"/>
              <w:rPr>
                <w:b/>
              </w:rPr>
            </w:pPr>
            <w:r>
              <w:rPr>
                <w:rFonts w:hint="eastAsia"/>
                <w:b/>
              </w:rPr>
              <w:t>投标货物</w:t>
            </w:r>
          </w:p>
          <w:p>
            <w:pPr>
              <w:pStyle w:val="34"/>
              <w:widowControl w:val="0"/>
              <w:adjustRightInd w:val="0"/>
              <w:spacing w:before="0" w:beforeAutospacing="0" w:after="0" w:afterAutospacing="0" w:line="480" w:lineRule="exact"/>
              <w:jc w:val="center"/>
              <w:rPr>
                <w:b/>
              </w:rPr>
            </w:pPr>
            <w:r>
              <w:rPr>
                <w:rFonts w:hint="eastAsia"/>
                <w:b/>
              </w:rPr>
              <w:t>品牌、型号、技术参数</w:t>
            </w:r>
          </w:p>
        </w:tc>
        <w:tc>
          <w:tcPr>
            <w:tcW w:w="1155" w:type="dxa"/>
            <w:tcBorders>
              <w:top w:val="single" w:color="auto" w:sz="4" w:space="0"/>
              <w:left w:val="single" w:color="auto" w:sz="4" w:space="0"/>
              <w:bottom w:val="single" w:color="auto" w:sz="4" w:space="0"/>
              <w:right w:val="single" w:color="auto" w:sz="4" w:space="0"/>
            </w:tcBorders>
            <w:vAlign w:val="center"/>
          </w:tcPr>
          <w:p>
            <w:pPr>
              <w:pStyle w:val="34"/>
              <w:widowControl w:val="0"/>
              <w:adjustRightInd w:val="0"/>
              <w:spacing w:before="0" w:beforeAutospacing="0" w:after="0" w:afterAutospacing="0" w:line="480" w:lineRule="exact"/>
              <w:jc w:val="center"/>
              <w:rPr>
                <w:b/>
              </w:rPr>
            </w:pPr>
            <w:r>
              <w:rPr>
                <w:rFonts w:hint="eastAsia"/>
                <w:b/>
              </w:rPr>
              <w:t>单位</w:t>
            </w:r>
          </w:p>
        </w:tc>
        <w:tc>
          <w:tcPr>
            <w:tcW w:w="945" w:type="dxa"/>
            <w:tcBorders>
              <w:top w:val="single" w:color="auto" w:sz="4" w:space="0"/>
              <w:left w:val="single" w:color="auto" w:sz="4" w:space="0"/>
              <w:bottom w:val="single" w:color="auto" w:sz="4" w:space="0"/>
              <w:right w:val="single" w:color="auto" w:sz="4" w:space="0"/>
            </w:tcBorders>
            <w:vAlign w:val="center"/>
          </w:tcPr>
          <w:p>
            <w:pPr>
              <w:pStyle w:val="34"/>
              <w:widowControl w:val="0"/>
              <w:adjustRightInd w:val="0"/>
              <w:spacing w:before="0" w:beforeAutospacing="0" w:after="0" w:afterAutospacing="0" w:line="480" w:lineRule="exact"/>
              <w:jc w:val="center"/>
              <w:rPr>
                <w:b/>
              </w:rPr>
            </w:pPr>
            <w:r>
              <w:rPr>
                <w:rFonts w:hint="eastAsia"/>
                <w:b/>
              </w:rPr>
              <w:t>数量</w:t>
            </w:r>
          </w:p>
        </w:tc>
        <w:tc>
          <w:tcPr>
            <w:tcW w:w="1515" w:type="dxa"/>
            <w:tcBorders>
              <w:top w:val="single" w:color="auto" w:sz="4" w:space="0"/>
              <w:left w:val="single" w:color="auto" w:sz="4" w:space="0"/>
              <w:bottom w:val="single" w:color="auto" w:sz="4" w:space="0"/>
              <w:right w:val="single" w:color="auto" w:sz="4" w:space="0"/>
            </w:tcBorders>
            <w:vAlign w:val="center"/>
          </w:tcPr>
          <w:p>
            <w:pPr>
              <w:pStyle w:val="34"/>
              <w:widowControl w:val="0"/>
              <w:adjustRightInd w:val="0"/>
              <w:spacing w:before="0" w:beforeAutospacing="0" w:after="0" w:afterAutospacing="0" w:line="480" w:lineRule="exact"/>
              <w:ind w:firstLine="236" w:firstLineChars="98"/>
              <w:jc w:val="center"/>
              <w:rPr>
                <w:b/>
              </w:rPr>
            </w:pPr>
          </w:p>
          <w:p>
            <w:pPr>
              <w:pStyle w:val="34"/>
              <w:widowControl w:val="0"/>
              <w:adjustRightInd w:val="0"/>
              <w:spacing w:before="0" w:beforeAutospacing="0" w:after="0" w:afterAutospacing="0" w:line="480" w:lineRule="exact"/>
              <w:jc w:val="center"/>
              <w:rPr>
                <w:b/>
              </w:rPr>
            </w:pPr>
            <w:r>
              <w:rPr>
                <w:rFonts w:hint="eastAsia"/>
                <w:b/>
              </w:rPr>
              <w:t>单价（元）</w:t>
            </w:r>
          </w:p>
          <w:p>
            <w:pPr>
              <w:pStyle w:val="34"/>
              <w:widowControl w:val="0"/>
              <w:adjustRightInd w:val="0"/>
              <w:spacing w:before="0" w:beforeAutospacing="0" w:after="0" w:afterAutospacing="0" w:line="480" w:lineRule="exact"/>
              <w:ind w:firstLine="236" w:firstLineChars="98"/>
              <w:jc w:val="center"/>
              <w:rPr>
                <w:b/>
              </w:rPr>
            </w:pPr>
          </w:p>
        </w:tc>
        <w:tc>
          <w:tcPr>
            <w:tcW w:w="1339" w:type="dxa"/>
            <w:tcBorders>
              <w:top w:val="single" w:color="auto" w:sz="4" w:space="0"/>
              <w:left w:val="single" w:color="auto" w:sz="4" w:space="0"/>
              <w:bottom w:val="single" w:color="auto" w:sz="4" w:space="0"/>
              <w:right w:val="single" w:color="auto" w:sz="4" w:space="0"/>
            </w:tcBorders>
            <w:vAlign w:val="center"/>
          </w:tcPr>
          <w:p>
            <w:pPr>
              <w:pStyle w:val="34"/>
              <w:widowControl w:val="0"/>
              <w:adjustRightInd w:val="0"/>
              <w:spacing w:before="0" w:beforeAutospacing="0" w:after="0" w:afterAutospacing="0" w:line="480" w:lineRule="exact"/>
              <w:jc w:val="both"/>
              <w:rPr>
                <w:b/>
              </w:rPr>
            </w:pPr>
            <w:r>
              <w:rPr>
                <w:rFonts w:hint="eastAsia"/>
                <w:b/>
              </w:rPr>
              <w:t>合价（元）</w:t>
            </w:r>
          </w:p>
        </w:tc>
        <w:tc>
          <w:tcPr>
            <w:tcW w:w="960" w:type="dxa"/>
            <w:tcBorders>
              <w:top w:val="single" w:color="auto" w:sz="4" w:space="0"/>
              <w:left w:val="single" w:color="auto" w:sz="4" w:space="0"/>
              <w:bottom w:val="single" w:color="auto" w:sz="4" w:space="0"/>
              <w:right w:val="single" w:color="auto" w:sz="4" w:space="0"/>
            </w:tcBorders>
          </w:tcPr>
          <w:p>
            <w:pPr>
              <w:pStyle w:val="34"/>
              <w:widowControl w:val="0"/>
              <w:adjustRightInd w:val="0"/>
              <w:spacing w:before="0" w:beforeAutospacing="0" w:after="0" w:afterAutospacing="0" w:line="480" w:lineRule="exact"/>
              <w:ind w:left="105" w:leftChars="50" w:firstLine="116" w:firstLineChars="48"/>
              <w:jc w:val="center"/>
              <w:rPr>
                <w:b/>
              </w:rPr>
            </w:pPr>
          </w:p>
          <w:p>
            <w:pPr>
              <w:pStyle w:val="34"/>
              <w:widowControl w:val="0"/>
              <w:adjustRightInd w:val="0"/>
              <w:spacing w:before="0" w:beforeAutospacing="0" w:after="0" w:afterAutospacing="0" w:line="480" w:lineRule="exact"/>
              <w:ind w:left="105" w:leftChars="50" w:firstLine="116" w:firstLineChars="48"/>
              <w:jc w:val="center"/>
              <w:rPr>
                <w:b/>
              </w:rPr>
            </w:pPr>
            <w:r>
              <w:rPr>
                <w:rFonts w:hint="eastAsia"/>
                <w:b/>
              </w:rPr>
              <w:t>备注</w:t>
            </w:r>
            <w:r>
              <w:rPr>
                <w:rFonts w:hint="eastAsia"/>
                <w:b/>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r>
              <w:rPr>
                <w:rFonts w:hint="eastAsia" w:ascii="宋体" w:hAnsi="宋体" w:cs="宋体"/>
                <w:sz w:val="24"/>
              </w:rPr>
              <w:t>...........</w:t>
            </w:r>
          </w:p>
        </w:tc>
        <w:tc>
          <w:tcPr>
            <w:tcW w:w="216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133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9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216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133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9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216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133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9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216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133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9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216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133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9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r>
              <w:rPr>
                <w:rFonts w:hint="eastAsia" w:ascii="宋体" w:hAnsi="宋体" w:cs="宋体"/>
                <w:sz w:val="24"/>
              </w:rPr>
              <w:t>...........</w:t>
            </w:r>
          </w:p>
        </w:tc>
        <w:tc>
          <w:tcPr>
            <w:tcW w:w="216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133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c>
          <w:tcPr>
            <w:tcW w:w="9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6"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
                <w:sz w:val="24"/>
              </w:rPr>
            </w:pPr>
            <w:r>
              <w:rPr>
                <w:rFonts w:hint="eastAsia" w:ascii="宋体" w:hAnsi="宋体" w:cs="宋体"/>
                <w:b/>
                <w:sz w:val="24"/>
              </w:rPr>
              <w:t>合计（元）</w:t>
            </w:r>
          </w:p>
        </w:tc>
        <w:tc>
          <w:tcPr>
            <w:tcW w:w="8078" w:type="dxa"/>
            <w:gridSpan w:val="6"/>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sz w:val="24"/>
              </w:rPr>
            </w:pPr>
            <w:r>
              <w:rPr>
                <w:rFonts w:hint="eastAsia" w:ascii="宋体" w:hAnsi="宋体" w:cs="宋体"/>
                <w:sz w:val="24"/>
              </w:rPr>
              <w:t>大写：                                 小写：</w:t>
            </w:r>
          </w:p>
        </w:tc>
      </w:tr>
    </w:tbl>
    <w:p>
      <w:pPr>
        <w:spacing w:line="480" w:lineRule="exact"/>
        <w:rPr>
          <w:rFonts w:ascii="宋体" w:hAnsi="宋体" w:cs="宋体"/>
          <w:sz w:val="24"/>
        </w:rPr>
      </w:pPr>
      <w:r>
        <w:rPr>
          <w:rFonts w:hint="eastAsia" w:ascii="宋体" w:hAnsi="宋体" w:cs="宋体"/>
          <w:sz w:val="24"/>
        </w:rPr>
        <w:t xml:space="preserve"> </w:t>
      </w:r>
    </w:p>
    <w:p>
      <w:pPr>
        <w:spacing w:line="480" w:lineRule="exact"/>
        <w:ind w:left="6660" w:hanging="6660" w:hangingChars="2775"/>
        <w:rPr>
          <w:rFonts w:ascii="宋体" w:hAnsi="宋体" w:cs="宋体"/>
          <w:sz w:val="24"/>
        </w:rPr>
      </w:pPr>
      <w:r>
        <w:rPr>
          <w:rFonts w:hint="eastAsia" w:ascii="宋体" w:hAnsi="宋体" w:cs="宋体"/>
          <w:sz w:val="24"/>
        </w:rPr>
        <w:t xml:space="preserve">                               </w:t>
      </w:r>
    </w:p>
    <w:p>
      <w:pPr>
        <w:ind w:firstLine="3240" w:firstLineChars="1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供应商：（单位公章）</w:t>
      </w: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法定代表人</w:t>
      </w:r>
      <w:r>
        <w:rPr>
          <w:rFonts w:hint="eastAsia" w:asciiTheme="minorEastAsia" w:hAnsiTheme="minorEastAsia" w:eastAsiaTheme="minorEastAsia" w:cstheme="minorEastAsia"/>
          <w:sz w:val="24"/>
          <w:szCs w:val="20"/>
        </w:rPr>
        <w:t>或其委托代理人</w:t>
      </w:r>
      <w:r>
        <w:rPr>
          <w:rFonts w:hint="eastAsia" w:asciiTheme="minorEastAsia" w:hAnsiTheme="minorEastAsia" w:eastAsiaTheme="minorEastAsia" w:cstheme="minorEastAsia"/>
          <w:sz w:val="24"/>
        </w:rPr>
        <w:t>：（签字或盖章）</w:t>
      </w:r>
    </w:p>
    <w:p>
      <w:pPr>
        <w:ind w:left="1050" w:leftChars="500"/>
        <w:jc w:val="center"/>
        <w:rPr>
          <w:rFonts w:asciiTheme="minorEastAsia" w:hAnsiTheme="minorEastAsia" w:eastAsiaTheme="minorEastAsia" w:cstheme="minorEastAsia"/>
          <w:sz w:val="24"/>
        </w:rPr>
      </w:pP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  期：     年   月   日</w:t>
      </w:r>
    </w:p>
    <w:p>
      <w:pPr>
        <w:pStyle w:val="35"/>
        <w:spacing w:before="120" w:after="120" w:line="500" w:lineRule="exact"/>
        <w:ind w:right="29" w:rightChars="14"/>
        <w:outlineLvl w:val="1"/>
        <w:rPr>
          <w:rFonts w:asciiTheme="minorEastAsia" w:hAnsiTheme="minorEastAsia" w:eastAsiaTheme="minorEastAsia" w:cstheme="minorEastAsia"/>
          <w:color w:val="auto"/>
          <w:sz w:val="30"/>
          <w:szCs w:val="30"/>
        </w:rPr>
      </w:pPr>
      <w:r>
        <w:rPr>
          <w:rFonts w:hint="eastAsia"/>
          <w:sz w:val="24"/>
          <w:szCs w:val="24"/>
        </w:rPr>
        <w:t xml:space="preserve"> </w:t>
      </w:r>
      <w:r>
        <w:rPr>
          <w:rFonts w:hint="eastAsia" w:asciiTheme="minorEastAsia" w:hAnsiTheme="minorEastAsia" w:eastAsiaTheme="minorEastAsia" w:cstheme="minorEastAsia"/>
          <w:sz w:val="24"/>
        </w:rPr>
        <w:br w:type="page"/>
      </w:r>
      <w:bookmarkStart w:id="233" w:name="_Toc5614"/>
      <w:bookmarkStart w:id="234" w:name="_Toc2213"/>
      <w:r>
        <w:rPr>
          <w:rFonts w:hint="eastAsia" w:asciiTheme="minorEastAsia" w:hAnsiTheme="minorEastAsia" w:eastAsiaTheme="minorEastAsia" w:cstheme="minorEastAsia"/>
          <w:color w:val="auto"/>
          <w:sz w:val="30"/>
          <w:szCs w:val="30"/>
        </w:rPr>
        <w:t>二、法定代表人身份证明书</w:t>
      </w:r>
      <w:bookmarkEnd w:id="233"/>
      <w:bookmarkEnd w:id="234"/>
    </w:p>
    <w:p>
      <w:pPr>
        <w:spacing w:line="440" w:lineRule="exact"/>
        <w:jc w:val="center"/>
        <w:rPr>
          <w:rFonts w:asciiTheme="minorEastAsia" w:hAnsiTheme="minorEastAsia" w:eastAsiaTheme="minorEastAsia" w:cstheme="minorEastAsia"/>
          <w:color w:val="auto"/>
          <w:sz w:val="24"/>
        </w:rPr>
      </w:pPr>
    </w:p>
    <w:p>
      <w:pPr>
        <w:spacing w:line="560" w:lineRule="exact"/>
        <w:ind w:left="718" w:leftChars="34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供应商名称：________________________________                                               </w:t>
      </w:r>
    </w:p>
    <w:p>
      <w:pPr>
        <w:spacing w:line="560" w:lineRule="exact"/>
        <w:ind w:left="718" w:leftChars="34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单位性质：__________________________________                                 </w:t>
      </w:r>
    </w:p>
    <w:p>
      <w:pPr>
        <w:spacing w:line="560" w:lineRule="exact"/>
        <w:ind w:left="718" w:leftChars="34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地    址：________________________________ </w:t>
      </w:r>
      <w:r>
        <w:rPr>
          <w:rFonts w:hint="eastAsia" w:asciiTheme="minorEastAsia" w:hAnsiTheme="minorEastAsia" w:eastAsiaTheme="minorEastAsia" w:cstheme="minorEastAsia"/>
          <w:color w:val="auto"/>
          <w:sz w:val="24"/>
          <w:u w:val="single"/>
        </w:rPr>
        <w:t xml:space="preserve">                                </w:t>
      </w:r>
    </w:p>
    <w:p>
      <w:pPr>
        <w:spacing w:line="560" w:lineRule="exact"/>
        <w:ind w:left="718" w:leftChars="34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成立时间：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日</w:t>
      </w:r>
    </w:p>
    <w:p>
      <w:pPr>
        <w:spacing w:line="560" w:lineRule="exact"/>
        <w:ind w:left="718" w:leftChars="34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经营期限：</w:t>
      </w:r>
      <w:r>
        <w:rPr>
          <w:rFonts w:hint="eastAsia" w:asciiTheme="minorEastAsia" w:hAnsiTheme="minorEastAsia" w:eastAsiaTheme="minorEastAsia" w:cstheme="minorEastAsia"/>
          <w:color w:val="auto"/>
          <w:sz w:val="24"/>
          <w:u w:val="single"/>
        </w:rPr>
        <w:t xml:space="preserve">                                 </w:t>
      </w:r>
    </w:p>
    <w:p>
      <w:pPr>
        <w:spacing w:line="560" w:lineRule="exact"/>
        <w:ind w:left="718" w:leftChars="34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姓名：</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性别：</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年龄：</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职务：</w:t>
      </w:r>
      <w:r>
        <w:rPr>
          <w:rFonts w:hint="eastAsia" w:asciiTheme="minorEastAsia" w:hAnsiTheme="minorEastAsia" w:eastAsiaTheme="minorEastAsia" w:cstheme="minorEastAsia"/>
          <w:color w:val="auto"/>
          <w:sz w:val="24"/>
          <w:u w:val="single"/>
        </w:rPr>
        <w:t xml:space="preserve">     </w:t>
      </w:r>
    </w:p>
    <w:p>
      <w:pPr>
        <w:spacing w:line="560" w:lineRule="exact"/>
        <w:ind w:left="718" w:leftChars="34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系</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（供应商单位名称）的法定代表人。</w:t>
      </w:r>
    </w:p>
    <w:p>
      <w:pPr>
        <w:spacing w:line="440" w:lineRule="exact"/>
        <w:ind w:left="718" w:leftChars="342"/>
        <w:rPr>
          <w:rFonts w:asciiTheme="minorEastAsia" w:hAnsiTheme="minorEastAsia" w:eastAsiaTheme="minorEastAsia" w:cstheme="minorEastAsia"/>
          <w:sz w:val="24"/>
        </w:rPr>
      </w:pPr>
    </w:p>
    <w:p>
      <w:pPr>
        <w:spacing w:line="440" w:lineRule="exact"/>
        <w:ind w:left="718" w:leftChars="342"/>
        <w:rPr>
          <w:rFonts w:asciiTheme="minorEastAsia" w:hAnsiTheme="minorEastAsia" w:eastAsiaTheme="minorEastAsia" w:cstheme="minorEastAsia"/>
          <w:sz w:val="24"/>
        </w:rPr>
      </w:pPr>
    </w:p>
    <w:p>
      <w:pPr>
        <w:spacing w:line="44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供应商：</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（盖单位公章）</w:t>
      </w: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pStyle w:val="35"/>
        <w:spacing w:before="120" w:after="120" w:line="500" w:lineRule="exact"/>
        <w:ind w:right="29" w:rightChars="14"/>
        <w:outlineLvl w:val="9"/>
        <w:rPr>
          <w:rFonts w:asciiTheme="minorEastAsia" w:hAnsiTheme="minorEastAsia" w:eastAsiaTheme="minorEastAsia" w:cstheme="minorEastAsia"/>
          <w:sz w:val="30"/>
          <w:szCs w:val="30"/>
        </w:rPr>
      </w:pPr>
      <w:bookmarkStart w:id="235" w:name="_Toc6009"/>
    </w:p>
    <w:p>
      <w:pPr>
        <w:pStyle w:val="35"/>
        <w:spacing w:before="120" w:after="120" w:line="500" w:lineRule="exact"/>
        <w:ind w:right="29" w:rightChars="14"/>
        <w:outlineLvl w:val="1"/>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br w:type="page"/>
      </w:r>
      <w:bookmarkStart w:id="236" w:name="_Toc15395"/>
      <w:r>
        <w:rPr>
          <w:rFonts w:hint="eastAsia" w:asciiTheme="minorEastAsia" w:hAnsiTheme="minorEastAsia" w:eastAsiaTheme="minorEastAsia" w:cstheme="minorEastAsia"/>
          <w:sz w:val="30"/>
          <w:szCs w:val="30"/>
        </w:rPr>
        <w:t>三、授权委托书</w:t>
      </w:r>
      <w:bookmarkEnd w:id="235"/>
      <w:bookmarkEnd w:id="236"/>
    </w:p>
    <w:p>
      <w:pPr>
        <w:spacing w:line="440" w:lineRule="exact"/>
        <w:ind w:left="-105"/>
        <w:rPr>
          <w:rFonts w:asciiTheme="minorEastAsia" w:hAnsiTheme="minorEastAsia" w:eastAsiaTheme="minorEastAsia" w:cstheme="minorEastAsia"/>
          <w:b/>
          <w:bCs/>
          <w:sz w:val="24"/>
        </w:rPr>
      </w:pPr>
    </w:p>
    <w:p>
      <w:pPr>
        <w:spacing w:line="500" w:lineRule="exact"/>
        <w:ind w:firstLine="720" w:firstLineChars="3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本人</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（姓名）系</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（供应商名称）的法定代表人，现委托</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（姓名）为我方代理人。代理人根据授权，以我方名义签署、澄清、说明、补正、递交、撤回、修改</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 xml:space="preserve">（项目名称）投标文件、签订合同和处理有关事宜，其法律后果由我方承担。 </w:t>
      </w:r>
    </w:p>
    <w:p>
      <w:pPr>
        <w:spacing w:line="500" w:lineRule="exact"/>
        <w:ind w:left="-105"/>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委托期限：</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 xml:space="preserve">。 </w:t>
      </w:r>
    </w:p>
    <w:p>
      <w:pPr>
        <w:spacing w:line="5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代理人无转委托权。 </w:t>
      </w:r>
    </w:p>
    <w:p>
      <w:pPr>
        <w:spacing w:line="5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附：法定代表人和代理人身份证</w:t>
      </w:r>
    </w:p>
    <w:p>
      <w:pPr>
        <w:spacing w:line="440" w:lineRule="exact"/>
        <w:ind w:left="84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w:t>
      </w:r>
    </w:p>
    <w:p>
      <w:pPr>
        <w:spacing w:line="440" w:lineRule="exact"/>
        <w:ind w:left="84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w:t>
      </w: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Cs/>
          <w:sz w:val="24"/>
        </w:rPr>
      </w:pP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供应商：</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（盖单位公章）</w:t>
      </w: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w:t>
      </w: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法定代表人：</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 xml:space="preserve">（签字或盖章） </w:t>
      </w: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w:t>
      </w: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身份证号码：</w:t>
      </w:r>
      <w:r>
        <w:rPr>
          <w:rFonts w:hint="eastAsia" w:asciiTheme="minorEastAsia" w:hAnsiTheme="minorEastAsia" w:eastAsiaTheme="minorEastAsia" w:cstheme="minorEastAsia"/>
          <w:bCs/>
          <w:sz w:val="24"/>
          <w:u w:val="single"/>
        </w:rPr>
        <w:t xml:space="preserve">                                   </w:t>
      </w: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w:t>
      </w: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委托代理人：</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（签字或盖章）</w:t>
      </w: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w:t>
      </w:r>
    </w:p>
    <w:p>
      <w:pPr>
        <w:tabs>
          <w:tab w:val="left" w:pos="6510"/>
        </w:tabs>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身份证号码：</w:t>
      </w:r>
      <w:r>
        <w:rPr>
          <w:rFonts w:hint="eastAsia" w:asciiTheme="minorEastAsia" w:hAnsiTheme="minorEastAsia" w:eastAsiaTheme="minorEastAsia" w:cstheme="minorEastAsia"/>
          <w:bCs/>
          <w:sz w:val="24"/>
          <w:u w:val="single"/>
        </w:rPr>
        <w:t xml:space="preserve">                                   </w:t>
      </w:r>
    </w:p>
    <w:p>
      <w:pPr>
        <w:spacing w:line="440" w:lineRule="exact"/>
        <w:ind w:left="357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w:t>
      </w:r>
    </w:p>
    <w:p>
      <w:pPr>
        <w:spacing w:line="440" w:lineRule="exact"/>
        <w:ind w:left="84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w:t>
      </w:r>
    </w:p>
    <w:p>
      <w:pPr>
        <w:spacing w:line="440" w:lineRule="exact"/>
        <w:ind w:left="84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月</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日</w:t>
      </w: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
          <w:bCs/>
          <w:sz w:val="24"/>
        </w:rPr>
      </w:pPr>
    </w:p>
    <w:p>
      <w:pPr>
        <w:pStyle w:val="35"/>
        <w:spacing w:before="120" w:after="120" w:line="500" w:lineRule="exact"/>
        <w:ind w:right="29" w:rightChars="14"/>
        <w:outlineLvl w:val="9"/>
        <w:rPr>
          <w:rFonts w:asciiTheme="minorEastAsia" w:hAnsiTheme="minorEastAsia" w:eastAsiaTheme="minorEastAsia" w:cstheme="minorEastAsia"/>
          <w:sz w:val="30"/>
          <w:szCs w:val="30"/>
        </w:rPr>
      </w:pPr>
    </w:p>
    <w:p>
      <w:pPr>
        <w:pStyle w:val="35"/>
        <w:spacing w:before="120" w:after="120" w:line="500" w:lineRule="exact"/>
        <w:ind w:right="29" w:rightChars="14"/>
        <w:outlineLvl w:val="9"/>
        <w:rPr>
          <w:rFonts w:asciiTheme="minorEastAsia" w:hAnsiTheme="minorEastAsia" w:eastAsiaTheme="minorEastAsia" w:cstheme="minorEastAsia"/>
          <w:sz w:val="30"/>
          <w:szCs w:val="30"/>
        </w:rPr>
      </w:pPr>
    </w:p>
    <w:bookmarkEnd w:id="206"/>
    <w:p>
      <w:pPr>
        <w:pageBreakBefore/>
        <w:spacing w:line="600" w:lineRule="exact"/>
        <w:jc w:val="center"/>
        <w:outlineLvl w:val="0"/>
        <w:rPr>
          <w:rFonts w:asciiTheme="minorEastAsia" w:hAnsiTheme="minorEastAsia" w:eastAsiaTheme="minorEastAsia" w:cstheme="minorEastAsia"/>
          <w:b/>
          <w:sz w:val="32"/>
          <w:szCs w:val="32"/>
        </w:rPr>
      </w:pPr>
      <w:bookmarkStart w:id="237" w:name="_Toc19057"/>
      <w:r>
        <w:rPr>
          <w:rFonts w:hint="eastAsia" w:asciiTheme="minorEastAsia" w:hAnsiTheme="minorEastAsia" w:eastAsiaTheme="minorEastAsia" w:cstheme="minorEastAsia"/>
          <w:b/>
          <w:sz w:val="32"/>
          <w:szCs w:val="32"/>
        </w:rPr>
        <w:t>四、投标承诺函</w:t>
      </w:r>
      <w:bookmarkEnd w:id="237"/>
    </w:p>
    <w:p>
      <w:pPr>
        <w:ind w:firstLine="883"/>
        <w:jc w:val="center"/>
        <w:rPr>
          <w:rFonts w:asciiTheme="minorEastAsia" w:hAnsiTheme="minorEastAsia" w:eastAsiaTheme="minorEastAsia" w:cstheme="minorEastAsia"/>
          <w:b/>
          <w:sz w:val="44"/>
          <w:szCs w:val="44"/>
        </w:rPr>
      </w:pP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我单位对</w:t>
      </w:r>
      <w:r>
        <w:rPr>
          <w:rFonts w:hint="eastAsia" w:asciiTheme="minorEastAsia" w:hAnsiTheme="minorEastAsia" w:eastAsiaTheme="minorEastAsia" w:cstheme="minorEastAsia"/>
          <w:sz w:val="24"/>
          <w:u w:val="single"/>
        </w:rPr>
        <w:t xml:space="preserve">                                   项目</w:t>
      </w:r>
      <w:r>
        <w:rPr>
          <w:rFonts w:hint="eastAsia" w:asciiTheme="minorEastAsia" w:hAnsiTheme="minorEastAsia" w:eastAsiaTheme="minorEastAsia" w:cstheme="minorEastAsia"/>
          <w:sz w:val="24"/>
        </w:rPr>
        <w:t>（采购编号：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）投标行为做出承诺，保证所提交材料的真实性。</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我单位承诺：</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1、在投标文件递交截止时间后至确定中标人的</w:t>
      </w:r>
      <w:r>
        <w:fldChar w:fldCharType="begin"/>
      </w:r>
      <w:r>
        <w:instrText xml:space="preserve"> HYPERLINK "https://baike.so.com/doc/5394983-5632135.html" \t "https://baike.so.com/doc/_blank" </w:instrText>
      </w:r>
      <w:r>
        <w:fldChar w:fldCharType="separate"/>
      </w:r>
      <w:r>
        <w:rPr>
          <w:rFonts w:hint="eastAsia" w:asciiTheme="minorEastAsia" w:hAnsiTheme="minorEastAsia" w:eastAsiaTheme="minorEastAsia" w:cstheme="minorEastAsia"/>
          <w:sz w:val="24"/>
        </w:rPr>
        <w:t>投标有效期</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内，我单位不得要求退出竞标或者修改投标文件且对递交的投标文件负责，受其约束。</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2、若我单位中标，在接到中标通知书后，除不可抗力因素外，及时按规定与采购人签订合同并认真履约。</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非因不可抗力因素放弃中标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pPr>
        <w:spacing w:line="600" w:lineRule="exact"/>
        <w:ind w:firstLine="48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4、不存在法律法规规定的其他违法违规行为。</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xml:space="preserve">              投标单位名称（盖章）：</w:t>
      </w:r>
      <w:r>
        <w:rPr>
          <w:rFonts w:hint="eastAsia" w:asciiTheme="minorEastAsia" w:hAnsiTheme="minorEastAsia" w:eastAsiaTheme="minorEastAsia" w:cstheme="minorEastAsia"/>
          <w:sz w:val="24"/>
          <w:u w:val="single"/>
        </w:rPr>
        <w:t xml:space="preserve">                              </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法人代表或授权委托人（签字或盖章）：</w:t>
      </w:r>
      <w:r>
        <w:rPr>
          <w:rFonts w:hint="eastAsia" w:asciiTheme="minorEastAsia" w:hAnsiTheme="minorEastAsia" w:eastAsiaTheme="minorEastAsia" w:cstheme="minorEastAsia"/>
          <w:sz w:val="24"/>
          <w:u w:val="single"/>
        </w:rPr>
        <w:t xml:space="preserve">                 </w:t>
      </w:r>
    </w:p>
    <w:p>
      <w:pPr>
        <w:ind w:firstLine="480"/>
        <w:rPr>
          <w:rFonts w:asciiTheme="minorEastAsia" w:hAnsiTheme="minorEastAsia" w:eastAsiaTheme="minorEastAsia" w:cstheme="minorEastAsia"/>
        </w:rPr>
      </w:pPr>
      <w:r>
        <w:rPr>
          <w:rFonts w:hint="eastAsia" w:asciiTheme="minorEastAsia" w:hAnsiTheme="minorEastAsia" w:eastAsiaTheme="minorEastAsia" w:cstheme="minorEastAsia"/>
          <w:sz w:val="24"/>
        </w:rPr>
        <w:t xml:space="preserve">                                         年    月    日  </w:t>
      </w:r>
    </w:p>
    <w:p>
      <w:pPr>
        <w:pStyle w:val="34"/>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4"/>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4"/>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4"/>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4"/>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4"/>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bCs/>
          <w:kern w:val="2"/>
          <w:sz w:val="30"/>
          <w:szCs w:val="30"/>
        </w:rPr>
      </w:pPr>
    </w:p>
    <w:p>
      <w:pPr>
        <w:pStyle w:val="34"/>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238" w:name="_Toc8304"/>
      <w:r>
        <w:rPr>
          <w:rFonts w:hint="eastAsia" w:asciiTheme="minorEastAsia" w:hAnsiTheme="minorEastAsia" w:eastAsiaTheme="minorEastAsia" w:cstheme="minorEastAsia"/>
          <w:b/>
          <w:bCs/>
          <w:kern w:val="2"/>
          <w:sz w:val="30"/>
          <w:szCs w:val="30"/>
        </w:rPr>
        <w:t>五</w:t>
      </w:r>
      <w:r>
        <w:rPr>
          <w:rFonts w:hint="eastAsia" w:asciiTheme="minorEastAsia" w:hAnsiTheme="minorEastAsia" w:eastAsiaTheme="minorEastAsia" w:cstheme="minorEastAsia"/>
          <w:b/>
          <w:kern w:val="2"/>
          <w:sz w:val="30"/>
          <w:szCs w:val="30"/>
        </w:rPr>
        <w:t>、项目实施方案</w:t>
      </w:r>
      <w:bookmarkEnd w:id="238"/>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 xml:space="preserve"> </w:t>
      </w: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pStyle w:val="3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bookmarkStart w:id="239" w:name="_Toc10043"/>
    </w:p>
    <w:p>
      <w:pPr>
        <w:pStyle w:val="3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r>
        <w:rPr>
          <w:rFonts w:hint="eastAsia" w:ascii="宋体" w:hAnsi="宋体" w:cs="宋体"/>
          <w:b/>
          <w:sz w:val="30"/>
          <w:szCs w:val="30"/>
        </w:rPr>
        <w:t>六</w:t>
      </w:r>
      <w:r>
        <w:rPr>
          <w:rFonts w:hint="eastAsia"/>
          <w:b/>
          <w:sz w:val="30"/>
          <w:szCs w:val="30"/>
        </w:rPr>
        <w:t>、</w:t>
      </w:r>
      <w:r>
        <w:rPr>
          <w:rFonts w:hint="eastAsia" w:ascii="宋体" w:hAnsi="宋体" w:cs="宋体"/>
          <w:b/>
          <w:sz w:val="30"/>
          <w:szCs w:val="30"/>
        </w:rPr>
        <w:t>技术偏离表</w:t>
      </w:r>
    </w:p>
    <w:p>
      <w:pPr>
        <w:spacing w:line="440" w:lineRule="exact"/>
        <w:rPr>
          <w:rFonts w:ascii="宋体" w:hAnsi="宋体" w:cs="宋体"/>
          <w:sz w:val="32"/>
        </w:rPr>
      </w:pPr>
    </w:p>
    <w:tbl>
      <w:tblPr>
        <w:tblStyle w:val="39"/>
        <w:tblW w:w="94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5"/>
        <w:gridCol w:w="1886"/>
        <w:gridCol w:w="2010"/>
        <w:gridCol w:w="2135"/>
        <w:gridCol w:w="25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1" w:hRule="atLeast"/>
          <w:jc w:val="center"/>
        </w:trPr>
        <w:tc>
          <w:tcPr>
            <w:tcW w:w="855" w:type="dxa"/>
            <w:tcBorders>
              <w:top w:val="single" w:color="auto" w:sz="12" w:space="0"/>
              <w:left w:val="single" w:color="auto" w:sz="12" w:space="0"/>
              <w:bottom w:val="single" w:color="auto" w:sz="6" w:space="0"/>
              <w:right w:val="single" w:color="auto" w:sz="6" w:space="0"/>
            </w:tcBorders>
            <w:vAlign w:val="center"/>
          </w:tcPr>
          <w:p>
            <w:pPr>
              <w:spacing w:line="440" w:lineRule="exact"/>
              <w:ind w:left="-141"/>
              <w:rPr>
                <w:rFonts w:ascii="宋体" w:hAnsi="宋体" w:cs="宋体"/>
                <w:b/>
                <w:sz w:val="24"/>
              </w:rPr>
            </w:pPr>
            <w:r>
              <w:rPr>
                <w:rFonts w:hint="eastAsia" w:ascii="宋体" w:hAnsi="宋体" w:cs="宋体"/>
                <w:b/>
                <w:sz w:val="24"/>
              </w:rPr>
              <w:t xml:space="preserve">  序号</w:t>
            </w:r>
          </w:p>
        </w:tc>
        <w:tc>
          <w:tcPr>
            <w:tcW w:w="1886" w:type="dxa"/>
            <w:tcBorders>
              <w:top w:val="single" w:color="auto" w:sz="12" w:space="0"/>
              <w:left w:val="single" w:color="auto" w:sz="6" w:space="0"/>
              <w:bottom w:val="single" w:color="auto" w:sz="6" w:space="0"/>
              <w:right w:val="single" w:color="auto" w:sz="6" w:space="0"/>
            </w:tcBorders>
            <w:vAlign w:val="center"/>
          </w:tcPr>
          <w:p>
            <w:pPr>
              <w:spacing w:line="440" w:lineRule="exact"/>
              <w:jc w:val="center"/>
              <w:rPr>
                <w:rFonts w:ascii="宋体" w:hAnsi="宋体" w:cs="宋体"/>
                <w:b/>
                <w:sz w:val="24"/>
              </w:rPr>
            </w:pPr>
            <w:r>
              <w:rPr>
                <w:rFonts w:hint="eastAsia" w:ascii="宋体" w:hAnsi="宋体" w:cs="宋体"/>
                <w:b/>
                <w:sz w:val="24"/>
              </w:rPr>
              <w:t>货物名称</w:t>
            </w:r>
          </w:p>
        </w:tc>
        <w:tc>
          <w:tcPr>
            <w:tcW w:w="2010" w:type="dxa"/>
            <w:tcBorders>
              <w:top w:val="single" w:color="auto" w:sz="12" w:space="0"/>
              <w:left w:val="single" w:color="auto" w:sz="6" w:space="0"/>
              <w:bottom w:val="single" w:color="auto" w:sz="6" w:space="0"/>
              <w:right w:val="single" w:color="auto" w:sz="6" w:space="0"/>
            </w:tcBorders>
            <w:vAlign w:val="center"/>
          </w:tcPr>
          <w:p>
            <w:pPr>
              <w:spacing w:line="440" w:lineRule="exact"/>
              <w:jc w:val="center"/>
              <w:rPr>
                <w:rFonts w:ascii="宋体" w:hAnsi="宋体" w:cs="宋体"/>
                <w:b/>
                <w:sz w:val="24"/>
              </w:rPr>
            </w:pPr>
            <w:r>
              <w:rPr>
                <w:rFonts w:hint="eastAsia" w:ascii="宋体" w:hAnsi="宋体" w:cs="宋体"/>
                <w:b/>
                <w:sz w:val="24"/>
              </w:rPr>
              <w:t>招标技术要求</w:t>
            </w:r>
          </w:p>
        </w:tc>
        <w:tc>
          <w:tcPr>
            <w:tcW w:w="2135" w:type="dxa"/>
            <w:tcBorders>
              <w:top w:val="single" w:color="auto" w:sz="12" w:space="0"/>
              <w:left w:val="single" w:color="auto" w:sz="6" w:space="0"/>
              <w:bottom w:val="single" w:color="auto" w:sz="6" w:space="0"/>
              <w:right w:val="single" w:color="auto" w:sz="6" w:space="0"/>
            </w:tcBorders>
            <w:vAlign w:val="center"/>
          </w:tcPr>
          <w:p>
            <w:pPr>
              <w:widowControl/>
              <w:spacing w:line="440" w:lineRule="exact"/>
              <w:jc w:val="center"/>
              <w:rPr>
                <w:rFonts w:ascii="宋体" w:hAnsi="宋体" w:cs="宋体"/>
                <w:b/>
                <w:sz w:val="24"/>
              </w:rPr>
            </w:pPr>
            <w:r>
              <w:rPr>
                <w:rFonts w:hint="eastAsia" w:ascii="宋体" w:hAnsi="宋体" w:cs="宋体"/>
                <w:b/>
                <w:sz w:val="24"/>
              </w:rPr>
              <w:t>投标货物实际技术规格</w:t>
            </w:r>
          </w:p>
        </w:tc>
        <w:tc>
          <w:tcPr>
            <w:tcW w:w="2556" w:type="dxa"/>
            <w:tcBorders>
              <w:top w:val="single" w:color="auto" w:sz="12" w:space="0"/>
              <w:left w:val="single" w:color="auto" w:sz="6" w:space="0"/>
              <w:bottom w:val="single" w:color="auto" w:sz="6" w:space="0"/>
              <w:right w:val="single" w:color="auto" w:sz="12" w:space="0"/>
            </w:tcBorders>
            <w:vAlign w:val="center"/>
          </w:tcPr>
          <w:p>
            <w:pPr>
              <w:widowControl/>
              <w:spacing w:line="440" w:lineRule="exact"/>
              <w:jc w:val="center"/>
              <w:rPr>
                <w:rFonts w:ascii="宋体" w:hAnsi="宋体" w:cs="宋体"/>
                <w:b/>
                <w:sz w:val="24"/>
              </w:rPr>
            </w:pPr>
            <w:r>
              <w:rPr>
                <w:rFonts w:hint="eastAsia" w:ascii="宋体" w:hAnsi="宋体" w:cs="宋体"/>
                <w:b/>
                <w:sz w:val="24"/>
              </w:rPr>
              <w:t>偏离说明</w:t>
            </w:r>
          </w:p>
          <w:p>
            <w:pPr>
              <w:widowControl/>
              <w:spacing w:line="440" w:lineRule="exact"/>
              <w:jc w:val="center"/>
              <w:rPr>
                <w:rFonts w:ascii="宋体" w:hAnsi="宋体" w:cs="宋体"/>
                <w:b/>
                <w:sz w:val="24"/>
              </w:rPr>
            </w:pPr>
            <w:r>
              <w:rPr>
                <w:rFonts w:hint="eastAsia" w:ascii="宋体" w:hAnsi="宋体" w:cs="宋体"/>
                <w:b/>
                <w:sz w:val="24"/>
              </w:rPr>
              <w:t>(说明偏离情况）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855"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cs="宋体"/>
                <w:bCs/>
                <w:sz w:val="32"/>
              </w:rPr>
            </w:pPr>
          </w:p>
        </w:tc>
        <w:tc>
          <w:tcPr>
            <w:tcW w:w="188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p>
        </w:tc>
        <w:tc>
          <w:tcPr>
            <w:tcW w:w="2010"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p>
        </w:tc>
        <w:tc>
          <w:tcPr>
            <w:tcW w:w="213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18"/>
              </w:rPr>
            </w:pPr>
          </w:p>
        </w:tc>
        <w:tc>
          <w:tcPr>
            <w:tcW w:w="2556" w:type="dxa"/>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855"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cs="宋体"/>
                <w:bCs/>
                <w:sz w:val="32"/>
              </w:rPr>
            </w:pPr>
          </w:p>
        </w:tc>
        <w:tc>
          <w:tcPr>
            <w:tcW w:w="188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p>
        </w:tc>
        <w:tc>
          <w:tcPr>
            <w:tcW w:w="2010"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p>
        </w:tc>
        <w:tc>
          <w:tcPr>
            <w:tcW w:w="213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18"/>
              </w:rPr>
            </w:pPr>
          </w:p>
        </w:tc>
        <w:tc>
          <w:tcPr>
            <w:tcW w:w="2556" w:type="dxa"/>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855"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cs="宋体"/>
                <w:bCs/>
                <w:sz w:val="32"/>
              </w:rPr>
            </w:pPr>
          </w:p>
        </w:tc>
        <w:tc>
          <w:tcPr>
            <w:tcW w:w="188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p>
        </w:tc>
        <w:tc>
          <w:tcPr>
            <w:tcW w:w="2010"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p>
        </w:tc>
        <w:tc>
          <w:tcPr>
            <w:tcW w:w="213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18"/>
              </w:rPr>
            </w:pPr>
          </w:p>
        </w:tc>
        <w:tc>
          <w:tcPr>
            <w:tcW w:w="2556" w:type="dxa"/>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855"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cs="宋体"/>
                <w:bCs/>
                <w:sz w:val="32"/>
              </w:rPr>
            </w:pPr>
          </w:p>
        </w:tc>
        <w:tc>
          <w:tcPr>
            <w:tcW w:w="188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p>
        </w:tc>
        <w:tc>
          <w:tcPr>
            <w:tcW w:w="2010" w:type="dxa"/>
            <w:tcBorders>
              <w:top w:val="single" w:color="auto" w:sz="6" w:space="0"/>
              <w:left w:val="single" w:color="auto" w:sz="6" w:space="0"/>
              <w:bottom w:val="single" w:color="auto" w:sz="6" w:space="0"/>
              <w:right w:val="single" w:color="auto" w:sz="6" w:space="0"/>
            </w:tcBorders>
            <w:vAlign w:val="center"/>
          </w:tcPr>
          <w:p>
            <w:pPr>
              <w:pStyle w:val="34"/>
              <w:widowControl w:val="0"/>
              <w:tabs>
                <w:tab w:val="left" w:pos="420"/>
              </w:tabs>
              <w:spacing w:before="0" w:beforeAutospacing="0" w:after="0" w:afterAutospacing="0" w:line="440" w:lineRule="exact"/>
              <w:jc w:val="both"/>
              <w:rPr>
                <w:bCs/>
              </w:rPr>
            </w:pPr>
          </w:p>
        </w:tc>
        <w:tc>
          <w:tcPr>
            <w:tcW w:w="213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18"/>
              </w:rPr>
            </w:pPr>
          </w:p>
        </w:tc>
        <w:tc>
          <w:tcPr>
            <w:tcW w:w="2556" w:type="dxa"/>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855"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cs="宋体"/>
                <w:bCs/>
                <w:sz w:val="32"/>
              </w:rPr>
            </w:pPr>
          </w:p>
        </w:tc>
        <w:tc>
          <w:tcPr>
            <w:tcW w:w="188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p>
        </w:tc>
        <w:tc>
          <w:tcPr>
            <w:tcW w:w="2010"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p>
        </w:tc>
        <w:tc>
          <w:tcPr>
            <w:tcW w:w="213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18"/>
              </w:rPr>
            </w:pPr>
          </w:p>
        </w:tc>
        <w:tc>
          <w:tcPr>
            <w:tcW w:w="2556" w:type="dxa"/>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jc w:val="center"/>
        </w:trPr>
        <w:tc>
          <w:tcPr>
            <w:tcW w:w="855"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cs="宋体"/>
                <w:bCs/>
                <w:sz w:val="32"/>
              </w:rPr>
            </w:pPr>
          </w:p>
        </w:tc>
        <w:tc>
          <w:tcPr>
            <w:tcW w:w="188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p>
        </w:tc>
        <w:tc>
          <w:tcPr>
            <w:tcW w:w="2010"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p>
        </w:tc>
        <w:tc>
          <w:tcPr>
            <w:tcW w:w="213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18"/>
              </w:rPr>
            </w:pPr>
          </w:p>
        </w:tc>
        <w:tc>
          <w:tcPr>
            <w:tcW w:w="2556" w:type="dxa"/>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855" w:type="dxa"/>
            <w:tcBorders>
              <w:top w:val="single" w:color="auto" w:sz="6" w:space="0"/>
              <w:left w:val="single" w:color="auto" w:sz="12" w:space="0"/>
              <w:bottom w:val="single" w:color="auto" w:sz="6" w:space="0"/>
              <w:right w:val="single" w:color="auto" w:sz="6" w:space="0"/>
            </w:tcBorders>
            <w:vAlign w:val="center"/>
          </w:tcPr>
          <w:p>
            <w:pPr>
              <w:spacing w:line="440" w:lineRule="exact"/>
              <w:rPr>
                <w:rFonts w:ascii="宋体" w:hAnsi="宋体" w:cs="宋体"/>
                <w:bCs/>
                <w:sz w:val="32"/>
              </w:rPr>
            </w:pPr>
          </w:p>
        </w:tc>
        <w:tc>
          <w:tcPr>
            <w:tcW w:w="188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p>
        </w:tc>
        <w:tc>
          <w:tcPr>
            <w:tcW w:w="2010"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18"/>
              </w:rPr>
            </w:pPr>
          </w:p>
        </w:tc>
        <w:tc>
          <w:tcPr>
            <w:tcW w:w="213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18"/>
              </w:rPr>
            </w:pPr>
          </w:p>
        </w:tc>
        <w:tc>
          <w:tcPr>
            <w:tcW w:w="2556" w:type="dxa"/>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ascii="宋体" w:hAnsi="宋体" w:cs="宋体"/>
                <w:bCs/>
                <w:sz w:val="18"/>
              </w:rPr>
            </w:pPr>
          </w:p>
        </w:tc>
      </w:tr>
    </w:tbl>
    <w:p>
      <w:pPr>
        <w:ind w:firstLine="640" w:firstLineChars="200"/>
        <w:rPr>
          <w:rFonts w:ascii="宋体" w:hAnsi="宋体"/>
          <w:szCs w:val="21"/>
        </w:rPr>
      </w:pPr>
      <w:r>
        <w:rPr>
          <w:rFonts w:hint="eastAsia" w:ascii="宋体" w:hAnsi="宋体" w:cs="宋体"/>
          <w:sz w:val="32"/>
        </w:rPr>
        <w:t xml:space="preserve"> </w:t>
      </w:r>
      <w:r>
        <w:rPr>
          <w:rFonts w:hint="eastAsia" w:ascii="宋体" w:hAnsi="宋体"/>
          <w:szCs w:val="21"/>
        </w:rPr>
        <w:t>注：投标人须对照招标文件技术规格，将自己所投的所有货物的功能、技术性能、配置等内容按照上表格式与招标文件要求逐条填写，</w:t>
      </w:r>
      <w:r>
        <w:rPr>
          <w:rFonts w:hint="eastAsia" w:ascii="宋体" w:hAnsi="宋体"/>
          <w:b/>
          <w:bCs/>
          <w:szCs w:val="21"/>
        </w:rPr>
        <w:t>供应商必须提供所投设备的具体参数值，并在偏离说明栏中标明技术及配置的实际响应情况</w:t>
      </w:r>
      <w:r>
        <w:rPr>
          <w:rFonts w:hint="eastAsia" w:ascii="宋体" w:hAnsi="宋体"/>
          <w:szCs w:val="21"/>
        </w:rPr>
        <w:t>：</w:t>
      </w:r>
    </w:p>
    <w:p>
      <w:pPr>
        <w:ind w:firstLine="420" w:firstLineChars="200"/>
        <w:rPr>
          <w:rFonts w:ascii="宋体" w:hAnsi="宋体"/>
          <w:szCs w:val="21"/>
        </w:rPr>
      </w:pPr>
      <w:r>
        <w:rPr>
          <w:rFonts w:hint="eastAsia" w:ascii="宋体" w:hAnsi="宋体"/>
          <w:szCs w:val="21"/>
        </w:rPr>
        <w:t>1、偏离说明栏中必须标明技术及配置的响应情况，整项货物及该项货物各部分相应情况须按下列要求填写，任何不真实响应都将按无效投标处理：</w:t>
      </w:r>
    </w:p>
    <w:p>
      <w:pPr>
        <w:numPr>
          <w:ilvl w:val="0"/>
          <w:numId w:val="7"/>
        </w:numPr>
        <w:ind w:firstLine="420" w:firstLineChars="200"/>
        <w:rPr>
          <w:rFonts w:ascii="宋体" w:hAnsi="宋体"/>
          <w:szCs w:val="21"/>
        </w:rPr>
      </w:pPr>
      <w:r>
        <w:rPr>
          <w:rFonts w:hint="eastAsia" w:ascii="宋体" w:hAnsi="宋体"/>
          <w:szCs w:val="21"/>
        </w:rPr>
        <w:t>对应项中的所有技术参数、性能和配置全部符合招标文件要求的才能填写“符合”；</w:t>
      </w:r>
    </w:p>
    <w:p>
      <w:pPr>
        <w:numPr>
          <w:ilvl w:val="0"/>
          <w:numId w:val="7"/>
        </w:numPr>
        <w:ind w:firstLine="420" w:firstLineChars="200"/>
        <w:rPr>
          <w:rFonts w:ascii="宋体" w:hAnsi="宋体"/>
          <w:szCs w:val="21"/>
        </w:rPr>
      </w:pPr>
      <w:r>
        <w:rPr>
          <w:rFonts w:hint="eastAsia" w:ascii="宋体" w:hAnsi="宋体"/>
          <w:szCs w:val="21"/>
        </w:rPr>
        <w:t>对应项中的所有技术参数、性能和配置全部符合招标文件要求并且其中有一个或以上指标优于招标文件要求的，可填写“正偏离”；</w:t>
      </w:r>
    </w:p>
    <w:p>
      <w:pPr>
        <w:spacing w:line="600" w:lineRule="exact"/>
        <w:rPr>
          <w:rFonts w:asciiTheme="minorEastAsia" w:hAnsiTheme="minorEastAsia" w:eastAsiaTheme="minorEastAsia" w:cstheme="minorEastAsia"/>
          <w:sz w:val="24"/>
        </w:rPr>
      </w:pPr>
      <w:bookmarkStart w:id="240" w:name="_Toc29492"/>
    </w:p>
    <w:p>
      <w:pPr>
        <w:spacing w:line="60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投标单位名称（盖章）：</w:t>
      </w:r>
      <w:r>
        <w:rPr>
          <w:rFonts w:hint="eastAsia" w:asciiTheme="minorEastAsia" w:hAnsiTheme="minorEastAsia" w:eastAsiaTheme="minorEastAsia" w:cstheme="minorEastAsia"/>
          <w:sz w:val="24"/>
          <w:u w:val="single"/>
        </w:rPr>
        <w:t xml:space="preserve">                              </w:t>
      </w:r>
    </w:p>
    <w:p>
      <w:pPr>
        <w:spacing w:line="6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法人代表或授权委托人（签字或盖章）：</w:t>
      </w:r>
      <w:r>
        <w:rPr>
          <w:rFonts w:hint="eastAsia" w:asciiTheme="minorEastAsia" w:hAnsiTheme="minorEastAsia" w:eastAsiaTheme="minorEastAsia" w:cstheme="minorEastAsia"/>
          <w:sz w:val="24"/>
          <w:u w:val="single"/>
        </w:rPr>
        <w:t xml:space="preserve">                 </w:t>
      </w:r>
    </w:p>
    <w:p>
      <w:pPr>
        <w:ind w:firstLine="480"/>
        <w:rPr>
          <w:rFonts w:asciiTheme="minorEastAsia" w:hAnsiTheme="minorEastAsia" w:eastAsiaTheme="minorEastAsia" w:cstheme="minorEastAsia"/>
        </w:rPr>
      </w:pPr>
      <w:r>
        <w:rPr>
          <w:rFonts w:hint="eastAsia" w:asciiTheme="minorEastAsia" w:hAnsiTheme="minorEastAsia" w:eastAsiaTheme="minorEastAsia" w:cstheme="minorEastAsia"/>
          <w:sz w:val="24"/>
        </w:rPr>
        <w:t xml:space="preserve">                                         年    月    日  </w:t>
      </w:r>
    </w:p>
    <w:p>
      <w:pPr>
        <w:pStyle w:val="34"/>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kern w:val="2"/>
          <w:sz w:val="30"/>
          <w:szCs w:val="30"/>
        </w:rPr>
        <w:br w:type="page"/>
      </w:r>
      <w:bookmarkStart w:id="241" w:name="_Toc20650"/>
      <w:r>
        <w:rPr>
          <w:rFonts w:hint="eastAsia" w:asciiTheme="minorEastAsia" w:hAnsiTheme="minorEastAsia" w:eastAsiaTheme="minorEastAsia" w:cstheme="minorEastAsia"/>
          <w:b/>
          <w:kern w:val="2"/>
          <w:sz w:val="30"/>
          <w:szCs w:val="30"/>
        </w:rPr>
        <w:t>七、资格证明文件</w:t>
      </w:r>
      <w:bookmarkEnd w:id="239"/>
      <w:bookmarkEnd w:id="240"/>
      <w:bookmarkEnd w:id="241"/>
    </w:p>
    <w:p>
      <w:pPr>
        <w:spacing w:line="400" w:lineRule="exact"/>
        <w:jc w:val="left"/>
        <w:rPr>
          <w:rFonts w:asciiTheme="minorEastAsia" w:hAnsiTheme="minorEastAsia" w:eastAsiaTheme="minorEastAsia" w:cstheme="minorEastAsia"/>
          <w:bCs/>
          <w:sz w:val="24"/>
        </w:rPr>
      </w:pPr>
    </w:p>
    <w:p>
      <w:pPr>
        <w:numPr>
          <w:ilvl w:val="0"/>
          <w:numId w:val="8"/>
        </w:numPr>
        <w:spacing w:line="500" w:lineRule="exact"/>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供应商营业执照（副本）、税务登记证（副本）、组织机构代码证（副本）或三证合一的营业执照；</w:t>
      </w:r>
    </w:p>
    <w:p>
      <w:pPr>
        <w:spacing w:line="500" w:lineRule="exact"/>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kern w:val="0"/>
          <w:sz w:val="24"/>
        </w:rPr>
        <w:t>二、</w:t>
      </w:r>
      <w:r>
        <w:rPr>
          <w:rFonts w:hint="eastAsia" w:asciiTheme="minorEastAsia" w:hAnsiTheme="minorEastAsia" w:eastAsiaTheme="minorEastAsia" w:cstheme="minorEastAsia"/>
          <w:bCs/>
          <w:sz w:val="24"/>
        </w:rPr>
        <w:t>招标文件中要求的其他所有证明材料。</w:t>
      </w:r>
    </w:p>
    <w:p>
      <w:pPr>
        <w:spacing w:line="400" w:lineRule="exact"/>
        <w:jc w:val="left"/>
        <w:rPr>
          <w:rFonts w:asciiTheme="minorEastAsia" w:hAnsiTheme="minorEastAsia" w:eastAsiaTheme="minorEastAsia" w:cstheme="minorEastAsia"/>
          <w:b/>
          <w:sz w:val="24"/>
        </w:rPr>
      </w:pPr>
    </w:p>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Cs/>
          <w:kern w:val="0"/>
          <w:sz w:val="24"/>
        </w:rPr>
        <w:t xml:space="preserve">  </w:t>
      </w:r>
      <w:r>
        <w:rPr>
          <w:rFonts w:hint="eastAsia" w:asciiTheme="minorEastAsia" w:hAnsiTheme="minorEastAsia" w:eastAsiaTheme="minorEastAsia" w:cstheme="minorEastAsia"/>
          <w:b/>
          <w:kern w:val="0"/>
          <w:sz w:val="24"/>
        </w:rPr>
        <w:t xml:space="preserve">  </w:t>
      </w:r>
      <w:r>
        <w:rPr>
          <w:rFonts w:hint="eastAsia" w:asciiTheme="minorEastAsia" w:hAnsiTheme="minorEastAsia" w:eastAsiaTheme="minorEastAsia" w:cstheme="minorEastAsia"/>
          <w:b/>
          <w:sz w:val="24"/>
        </w:rPr>
        <w:t>（此处应附复印件，开标提供原件备查）</w:t>
      </w:r>
    </w:p>
    <w:p>
      <w:pPr>
        <w:autoSpaceDE w:val="0"/>
        <w:autoSpaceDN w:val="0"/>
        <w:adjustRightInd w:val="0"/>
        <w:spacing w:line="440" w:lineRule="exact"/>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widowControl/>
        <w:rPr>
          <w:rFonts w:asciiTheme="minorEastAsia" w:hAnsiTheme="minorEastAsia" w:eastAsiaTheme="minorEastAsia" w:cstheme="minorEastAsia"/>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widowControl/>
        <w:rPr>
          <w:rFonts w:asciiTheme="minorEastAsia" w:hAnsiTheme="minorEastAsia" w:eastAsiaTheme="minorEastAsia" w:cstheme="minorEastAsia"/>
        </w:rPr>
      </w:pPr>
    </w:p>
    <w:p>
      <w:pPr>
        <w:rPr>
          <w:rFonts w:asciiTheme="minorEastAsia" w:hAnsiTheme="minorEastAsia" w:eastAsiaTheme="minorEastAsia" w:cstheme="minorEastAsia"/>
        </w:rPr>
      </w:pPr>
    </w:p>
    <w:p>
      <w:pPr>
        <w:autoSpaceDE w:val="0"/>
        <w:autoSpaceDN w:val="0"/>
        <w:adjustRightInd w:val="0"/>
        <w:spacing w:line="440" w:lineRule="exact"/>
        <w:jc w:val="center"/>
        <w:rPr>
          <w:rFonts w:asciiTheme="minorEastAsia" w:hAnsiTheme="minorEastAsia" w:eastAsiaTheme="minorEastAsia" w:cstheme="minorEastAsia"/>
          <w:b/>
          <w:sz w:val="28"/>
        </w:rPr>
      </w:pPr>
    </w:p>
    <w:p>
      <w:pPr>
        <w:tabs>
          <w:tab w:val="left" w:pos="630"/>
        </w:tabs>
        <w:spacing w:line="440" w:lineRule="exact"/>
        <w:jc w:val="center"/>
        <w:rPr>
          <w:rFonts w:asciiTheme="minorEastAsia" w:hAnsiTheme="minorEastAsia" w:eastAsiaTheme="minorEastAsia" w:cstheme="minorEastAsia"/>
          <w:b/>
          <w:sz w:val="28"/>
        </w:rPr>
      </w:pPr>
    </w:p>
    <w:p>
      <w:pPr>
        <w:pStyle w:val="3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kern w:val="2"/>
          <w:sz w:val="30"/>
          <w:szCs w:val="30"/>
        </w:rPr>
        <w:t xml:space="preserve">   </w:t>
      </w:r>
      <w:bookmarkStart w:id="242" w:name="_Toc29645"/>
      <w:bookmarkStart w:id="243" w:name="_Toc6251"/>
    </w:p>
    <w:p>
      <w:pPr>
        <w:pStyle w:val="3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4"/>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kern w:val="2"/>
          <w:sz w:val="30"/>
          <w:szCs w:val="30"/>
        </w:rPr>
        <w:br w:type="page"/>
      </w:r>
      <w:bookmarkStart w:id="244" w:name="_Toc19083"/>
      <w:r>
        <w:rPr>
          <w:rFonts w:hint="eastAsia" w:asciiTheme="minorEastAsia" w:hAnsiTheme="minorEastAsia" w:eastAsiaTheme="minorEastAsia" w:cstheme="minorEastAsia"/>
          <w:b/>
          <w:kern w:val="2"/>
          <w:sz w:val="30"/>
          <w:szCs w:val="30"/>
        </w:rPr>
        <w:t>八、</w:t>
      </w:r>
      <w:bookmarkEnd w:id="242"/>
      <w:bookmarkEnd w:id="243"/>
      <w:r>
        <w:rPr>
          <w:rFonts w:hint="eastAsia" w:asciiTheme="minorEastAsia" w:hAnsiTheme="minorEastAsia" w:eastAsiaTheme="minorEastAsia" w:cstheme="minorEastAsia"/>
          <w:b/>
          <w:kern w:val="2"/>
          <w:sz w:val="30"/>
          <w:szCs w:val="30"/>
        </w:rPr>
        <w:t>开标日前六个月内任一个月的依法缴纳税收的相关证明、开标日前六个月内任一个月的依法缴纳社会保障资金的相关证明、开标日前六个月内任一个月的资产负债表或损益表或年度财务会计报表或会计事务所出具的审计报告</w:t>
      </w:r>
      <w:bookmarkEnd w:id="244"/>
    </w:p>
    <w:p>
      <w:pPr>
        <w:spacing w:line="440" w:lineRule="exact"/>
        <w:jc w:val="center"/>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（此处应附复印件，开标提供原件备查）</w:t>
      </w:r>
    </w:p>
    <w:p>
      <w:pPr>
        <w:pStyle w:val="3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spacing w:line="440" w:lineRule="exact"/>
        <w:jc w:val="center"/>
        <w:rPr>
          <w:rFonts w:asciiTheme="minorEastAsia" w:hAnsiTheme="minorEastAsia" w:eastAsiaTheme="minorEastAsia" w:cstheme="minorEastAsia"/>
          <w:b/>
          <w:sz w:val="28"/>
        </w:rPr>
      </w:pPr>
    </w:p>
    <w:p>
      <w:pPr>
        <w:spacing w:line="440" w:lineRule="exact"/>
        <w:jc w:val="center"/>
        <w:rPr>
          <w:rFonts w:asciiTheme="minorEastAsia" w:hAnsiTheme="minorEastAsia" w:eastAsiaTheme="minorEastAsia" w:cstheme="minorEastAsia"/>
          <w:b/>
          <w:sz w:val="28"/>
        </w:rPr>
      </w:pPr>
    </w:p>
    <w:p>
      <w:pPr>
        <w:spacing w:line="440" w:lineRule="exact"/>
        <w:jc w:val="center"/>
        <w:rPr>
          <w:rFonts w:asciiTheme="minorEastAsia" w:hAnsiTheme="minorEastAsia" w:eastAsiaTheme="minorEastAsia" w:cstheme="minorEastAsia"/>
          <w:b/>
          <w:sz w:val="28"/>
        </w:rPr>
      </w:pPr>
    </w:p>
    <w:p>
      <w:pPr>
        <w:spacing w:line="440" w:lineRule="exact"/>
        <w:jc w:val="center"/>
        <w:rPr>
          <w:rFonts w:asciiTheme="minorEastAsia" w:hAnsiTheme="minorEastAsia" w:eastAsiaTheme="minorEastAsia" w:cstheme="minorEastAsia"/>
          <w:b/>
          <w:sz w:val="28"/>
        </w:rPr>
      </w:pPr>
    </w:p>
    <w:p>
      <w:pPr>
        <w:spacing w:line="440" w:lineRule="exact"/>
        <w:jc w:val="center"/>
        <w:rPr>
          <w:rFonts w:asciiTheme="minorEastAsia" w:hAnsiTheme="minorEastAsia" w:eastAsiaTheme="minorEastAsia" w:cstheme="minorEastAsia"/>
          <w:b/>
          <w:sz w:val="28"/>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pStyle w:val="34"/>
        <w:widowControl w:val="0"/>
        <w:spacing w:before="120" w:beforeAutospacing="0" w:after="120" w:afterAutospacing="0" w:line="500" w:lineRule="exact"/>
        <w:ind w:right="29" w:rightChars="14"/>
        <w:jc w:val="both"/>
        <w:rPr>
          <w:rFonts w:asciiTheme="minorEastAsia" w:hAnsiTheme="minorEastAsia" w:eastAsiaTheme="minorEastAsia" w:cstheme="minorEastAsia"/>
          <w:sz w:val="30"/>
          <w:szCs w:val="30"/>
        </w:rPr>
      </w:pPr>
      <w:bookmarkStart w:id="245" w:name="_Toc27795"/>
    </w:p>
    <w:p>
      <w:pPr>
        <w:pStyle w:val="34"/>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kern w:val="2"/>
          <w:sz w:val="30"/>
          <w:szCs w:val="30"/>
        </w:rPr>
        <w:br w:type="page"/>
      </w:r>
      <w:bookmarkStart w:id="246" w:name="_Toc26034"/>
      <w:bookmarkStart w:id="247" w:name="_Toc6578"/>
      <w:r>
        <w:rPr>
          <w:rFonts w:hint="eastAsia" w:asciiTheme="minorEastAsia" w:hAnsiTheme="minorEastAsia" w:eastAsiaTheme="minorEastAsia" w:cstheme="minorEastAsia"/>
          <w:b/>
          <w:kern w:val="2"/>
          <w:sz w:val="30"/>
          <w:szCs w:val="30"/>
        </w:rPr>
        <w:t>九、参加政府采购活动前三年内无重大违法记录的书面声明</w:t>
      </w:r>
      <w:bookmarkEnd w:id="245"/>
      <w:bookmarkEnd w:id="246"/>
      <w:bookmarkEnd w:id="247"/>
    </w:p>
    <w:p>
      <w:pPr>
        <w:spacing w:line="360" w:lineRule="auto"/>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（格式自拟并加盖供应商单位公章）</w:t>
      </w:r>
    </w:p>
    <w:p>
      <w:pPr>
        <w:widowControl/>
        <w:rPr>
          <w:rFonts w:asciiTheme="minorEastAsia" w:hAnsiTheme="minorEastAsia" w:eastAsiaTheme="minorEastAsia" w:cstheme="minorEastAsia"/>
        </w:rPr>
      </w:pPr>
    </w:p>
    <w:p>
      <w:pPr>
        <w:spacing w:line="360" w:lineRule="auto"/>
        <w:rPr>
          <w:rFonts w:asciiTheme="minorEastAsia" w:hAnsiTheme="minorEastAsia" w:eastAsiaTheme="minorEastAsia" w:cstheme="minorEastAsia"/>
          <w:b/>
          <w:sz w:val="28"/>
        </w:rPr>
      </w:pPr>
    </w:p>
    <w:p>
      <w:pPr>
        <w:pStyle w:val="14"/>
        <w:rPr>
          <w:rFonts w:asciiTheme="minorEastAsia" w:hAnsiTheme="minorEastAsia" w:eastAsiaTheme="minorEastAsia" w:cstheme="minorEastAsia"/>
          <w:b/>
          <w:sz w:val="28"/>
        </w:rPr>
      </w:pPr>
    </w:p>
    <w:p>
      <w:pPr>
        <w:rPr>
          <w:rFonts w:asciiTheme="minorEastAsia" w:hAnsiTheme="minorEastAsia" w:eastAsiaTheme="minorEastAsia" w:cstheme="minorEastAsia"/>
          <w:b/>
          <w:sz w:val="28"/>
        </w:rPr>
      </w:pPr>
    </w:p>
    <w:p>
      <w:pPr>
        <w:pStyle w:val="14"/>
        <w:rPr>
          <w:rFonts w:asciiTheme="minorEastAsia" w:hAnsiTheme="minorEastAsia" w:eastAsiaTheme="minorEastAsia" w:cstheme="minorEastAsia"/>
          <w:b/>
          <w:sz w:val="28"/>
        </w:rPr>
      </w:pPr>
    </w:p>
    <w:p>
      <w:pPr>
        <w:rPr>
          <w:rFonts w:asciiTheme="minorEastAsia" w:hAnsiTheme="minorEastAsia" w:eastAsiaTheme="minorEastAsia" w:cstheme="minorEastAsia"/>
          <w:b/>
          <w:sz w:val="28"/>
        </w:rPr>
      </w:pPr>
    </w:p>
    <w:p>
      <w:pPr>
        <w:pStyle w:val="14"/>
        <w:rPr>
          <w:rFonts w:asciiTheme="minorEastAsia" w:hAnsiTheme="minorEastAsia" w:eastAsiaTheme="minorEastAsia" w:cstheme="minorEastAsia"/>
          <w:b/>
          <w:sz w:val="28"/>
        </w:rPr>
      </w:pPr>
    </w:p>
    <w:p>
      <w:pPr>
        <w:rPr>
          <w:rFonts w:asciiTheme="minorEastAsia" w:hAnsiTheme="minorEastAsia" w:eastAsiaTheme="minorEastAsia" w:cstheme="minorEastAsia"/>
          <w:b/>
          <w:sz w:val="28"/>
        </w:rPr>
      </w:pPr>
    </w:p>
    <w:p>
      <w:pPr>
        <w:pStyle w:val="14"/>
        <w:rPr>
          <w:rFonts w:asciiTheme="minorEastAsia" w:hAnsiTheme="minorEastAsia" w:eastAsiaTheme="minorEastAsia" w:cstheme="minorEastAsia"/>
          <w:b/>
          <w:sz w:val="28"/>
        </w:rPr>
      </w:pPr>
    </w:p>
    <w:p>
      <w:pPr>
        <w:rPr>
          <w:rFonts w:asciiTheme="minorEastAsia" w:hAnsiTheme="minorEastAsia" w:eastAsiaTheme="minorEastAsia" w:cstheme="minorEastAsia"/>
          <w:b/>
          <w:sz w:val="28"/>
        </w:rPr>
      </w:pPr>
    </w:p>
    <w:p>
      <w:pPr>
        <w:pStyle w:val="14"/>
        <w:rPr>
          <w:rFonts w:asciiTheme="minorEastAsia" w:hAnsiTheme="minorEastAsia" w:eastAsiaTheme="minorEastAsia" w:cstheme="minorEastAsia"/>
          <w:b/>
          <w:sz w:val="28"/>
        </w:rPr>
      </w:pPr>
    </w:p>
    <w:p>
      <w:pPr>
        <w:rPr>
          <w:rFonts w:asciiTheme="minorEastAsia" w:hAnsiTheme="minorEastAsia" w:eastAsiaTheme="minorEastAsia" w:cstheme="minorEastAsia"/>
          <w:b/>
          <w:sz w:val="28"/>
        </w:rPr>
      </w:pPr>
    </w:p>
    <w:p>
      <w:pPr>
        <w:pStyle w:val="14"/>
        <w:rPr>
          <w:rFonts w:asciiTheme="minorEastAsia" w:hAnsiTheme="minorEastAsia" w:eastAsiaTheme="minorEastAsia" w:cstheme="minorEastAsia"/>
          <w:b/>
          <w:sz w:val="28"/>
        </w:rPr>
      </w:pPr>
    </w:p>
    <w:p>
      <w:pPr>
        <w:rPr>
          <w:rFonts w:asciiTheme="minorEastAsia" w:hAnsiTheme="minorEastAsia" w:eastAsiaTheme="minorEastAsia" w:cstheme="minorEastAsia"/>
          <w:b/>
          <w:sz w:val="28"/>
        </w:rPr>
      </w:pPr>
    </w:p>
    <w:p>
      <w:pPr>
        <w:pStyle w:val="14"/>
        <w:rPr>
          <w:rFonts w:asciiTheme="minorEastAsia" w:hAnsiTheme="minorEastAsia" w:eastAsiaTheme="minorEastAsia" w:cstheme="minorEastAsia"/>
          <w:b/>
          <w:sz w:val="28"/>
        </w:rPr>
      </w:pPr>
    </w:p>
    <w:p>
      <w:pPr>
        <w:rPr>
          <w:rFonts w:asciiTheme="minorEastAsia" w:hAnsiTheme="minorEastAsia" w:eastAsiaTheme="minorEastAsia" w:cstheme="minorEastAsia"/>
          <w:b/>
          <w:sz w:val="28"/>
        </w:rPr>
      </w:pPr>
    </w:p>
    <w:p>
      <w:pPr>
        <w:pStyle w:val="14"/>
        <w:rPr>
          <w:rFonts w:asciiTheme="minorEastAsia" w:hAnsiTheme="minorEastAsia" w:eastAsiaTheme="minorEastAsia" w:cstheme="minorEastAsia"/>
          <w:b/>
          <w:sz w:val="28"/>
        </w:rPr>
      </w:pPr>
    </w:p>
    <w:p>
      <w:pPr>
        <w:rPr>
          <w:rFonts w:asciiTheme="minorEastAsia" w:hAnsiTheme="minorEastAsia" w:eastAsiaTheme="minorEastAsia" w:cstheme="minorEastAsia"/>
          <w:b/>
          <w:sz w:val="28"/>
        </w:rPr>
      </w:pPr>
    </w:p>
    <w:p>
      <w:pPr>
        <w:pStyle w:val="14"/>
        <w:rPr>
          <w:rFonts w:asciiTheme="minorEastAsia" w:hAnsiTheme="minorEastAsia" w:eastAsiaTheme="minorEastAsia" w:cstheme="minorEastAsia"/>
          <w:b/>
          <w:sz w:val="28"/>
        </w:rPr>
      </w:pPr>
    </w:p>
    <w:p>
      <w:pPr>
        <w:rPr>
          <w:rFonts w:asciiTheme="minorEastAsia" w:hAnsiTheme="minorEastAsia" w:eastAsiaTheme="minorEastAsia" w:cstheme="minorEastAsia"/>
          <w:b/>
          <w:sz w:val="28"/>
        </w:rPr>
      </w:pPr>
    </w:p>
    <w:p>
      <w:pPr>
        <w:pStyle w:val="14"/>
        <w:rPr>
          <w:rFonts w:asciiTheme="minorEastAsia" w:hAnsiTheme="minorEastAsia" w:eastAsiaTheme="minorEastAsia" w:cstheme="minorEastAsia"/>
          <w:b/>
          <w:sz w:val="28"/>
        </w:rPr>
      </w:pPr>
    </w:p>
    <w:p>
      <w:pPr>
        <w:rPr>
          <w:rFonts w:asciiTheme="minorEastAsia" w:hAnsiTheme="minorEastAsia" w:eastAsiaTheme="minorEastAsia" w:cstheme="minorEastAsia"/>
          <w:b/>
          <w:sz w:val="28"/>
        </w:rPr>
      </w:pPr>
    </w:p>
    <w:p>
      <w:pPr>
        <w:pStyle w:val="14"/>
      </w:pPr>
    </w:p>
    <w:p>
      <w:pPr>
        <w:spacing w:line="360" w:lineRule="auto"/>
        <w:rPr>
          <w:rFonts w:asciiTheme="minorEastAsia" w:hAnsiTheme="minorEastAsia" w:eastAsiaTheme="minorEastAsia" w:cstheme="minorEastAsia"/>
          <w:sz w:val="28"/>
          <w:szCs w:val="28"/>
        </w:rPr>
      </w:pPr>
    </w:p>
    <w:p>
      <w:pPr>
        <w:spacing w:line="360" w:lineRule="auto"/>
        <w:rPr>
          <w:rFonts w:asciiTheme="minorEastAsia" w:hAnsiTheme="minorEastAsia" w:eastAsiaTheme="minorEastAsia" w:cstheme="minorEastAsia"/>
          <w:sz w:val="28"/>
          <w:szCs w:val="28"/>
        </w:rPr>
      </w:pPr>
    </w:p>
    <w:p>
      <w:pPr>
        <w:spacing w:line="360" w:lineRule="auto"/>
        <w:rPr>
          <w:rFonts w:asciiTheme="minorEastAsia" w:hAnsiTheme="minorEastAsia" w:eastAsiaTheme="minorEastAsia" w:cstheme="minorEastAsia"/>
          <w:sz w:val="28"/>
          <w:szCs w:val="28"/>
        </w:rPr>
      </w:pPr>
    </w:p>
    <w:p>
      <w:pPr>
        <w:pStyle w:val="34"/>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sz w:val="30"/>
          <w:szCs w:val="30"/>
        </w:rPr>
      </w:pPr>
      <w:bookmarkStart w:id="248" w:name="_Toc8330"/>
      <w:bookmarkStart w:id="249" w:name="_Toc6465"/>
      <w:bookmarkStart w:id="250" w:name="_Toc31553"/>
      <w:r>
        <w:rPr>
          <w:rFonts w:hint="eastAsia" w:asciiTheme="minorEastAsia" w:hAnsiTheme="minorEastAsia" w:eastAsiaTheme="minorEastAsia" w:cstheme="minorEastAsia"/>
          <w:b/>
          <w:kern w:val="2"/>
          <w:sz w:val="30"/>
          <w:szCs w:val="30"/>
        </w:rPr>
        <w:t>十、供应商所投产品属于当期政府采购清单规定的节能环保产品的</w:t>
      </w:r>
      <w:bookmarkEnd w:id="248"/>
    </w:p>
    <w:p>
      <w:pPr>
        <w:pStyle w:val="34"/>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251" w:name="_Toc28422"/>
      <w:bookmarkStart w:id="252" w:name="_Toc24210"/>
      <w:bookmarkStart w:id="253" w:name="_Toc18925"/>
      <w:r>
        <w:rPr>
          <w:rFonts w:hint="eastAsia" w:asciiTheme="minorEastAsia" w:hAnsiTheme="minorEastAsia" w:eastAsiaTheme="minorEastAsia" w:cstheme="minorEastAsia"/>
          <w:b/>
          <w:kern w:val="2"/>
          <w:sz w:val="30"/>
          <w:szCs w:val="30"/>
        </w:rPr>
        <w:t>证明材料</w:t>
      </w:r>
      <w:bookmarkEnd w:id="249"/>
      <w:bookmarkEnd w:id="251"/>
      <w:bookmarkEnd w:id="252"/>
      <w:bookmarkEnd w:id="253"/>
    </w:p>
    <w:p>
      <w:pPr>
        <w:pStyle w:val="3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4"/>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4"/>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254" w:name="_Toc23227"/>
      <w:bookmarkStart w:id="255" w:name="_Toc10717"/>
      <w:r>
        <w:rPr>
          <w:rFonts w:hint="eastAsia" w:asciiTheme="minorEastAsia" w:hAnsiTheme="minorEastAsia" w:eastAsiaTheme="minorEastAsia" w:cstheme="minorEastAsia"/>
          <w:b/>
          <w:kern w:val="2"/>
          <w:sz w:val="30"/>
          <w:szCs w:val="30"/>
        </w:rPr>
        <w:t>十一、中小企业声明函（如有）</w:t>
      </w:r>
      <w:bookmarkEnd w:id="254"/>
      <w:bookmarkEnd w:id="255"/>
    </w:p>
    <w:p>
      <w:pPr>
        <w:pStyle w:val="34"/>
        <w:shd w:val="clear" w:color="auto" w:fill="FFFFFF"/>
        <w:spacing w:line="315" w:lineRule="atLeast"/>
        <w:ind w:firstLine="420"/>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本公司郑重声明，根据《政府采购促进中小企业发展暂行办法》（财库[2011]181号）的规定，本公司为______（请填写：中型、小型、微型）企业。即，本公司同时满足以下条件：</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本公司对上述声明的真实性负责。如有虚假，将依法承担相应责任。</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　　　　　　　　　　　　　　　企业名称（</w:t>
      </w:r>
      <w:r>
        <w:rPr>
          <w:rFonts w:hint="eastAsia" w:asciiTheme="minorEastAsia" w:hAnsiTheme="minorEastAsia" w:eastAsiaTheme="minorEastAsia" w:cstheme="minorEastAsia"/>
          <w:bCs/>
          <w:sz w:val="24"/>
        </w:rPr>
        <w:t>盖单位公章</w:t>
      </w:r>
      <w:r>
        <w:rPr>
          <w:rFonts w:hint="eastAsia" w:asciiTheme="minorEastAsia" w:hAnsiTheme="minorEastAsia" w:eastAsiaTheme="minorEastAsia" w:cstheme="minorEastAsia"/>
          <w:kern w:val="0"/>
          <w:sz w:val="24"/>
          <w:shd w:val="clear" w:color="auto" w:fill="FFFFFF"/>
        </w:rPr>
        <w:t>）：</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　　　　　　　　　　　　　　　　　　日期：</w:t>
      </w:r>
    </w:p>
    <w:p>
      <w:pPr>
        <w:spacing w:line="600" w:lineRule="exact"/>
        <w:rPr>
          <w:rFonts w:asciiTheme="minorEastAsia" w:hAnsiTheme="minorEastAsia" w:eastAsiaTheme="minorEastAsia" w:cstheme="minorEastAsia"/>
          <w:sz w:val="30"/>
          <w:szCs w:val="30"/>
        </w:rPr>
      </w:pPr>
    </w:p>
    <w:p>
      <w:pPr>
        <w:pStyle w:val="34"/>
        <w:widowControl w:val="0"/>
        <w:numPr>
          <w:ilvl w:val="0"/>
          <w:numId w:val="9"/>
        </w:numPr>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r>
        <w:rPr>
          <w:rFonts w:hint="eastAsia" w:asciiTheme="minorEastAsia" w:hAnsiTheme="minorEastAsia" w:eastAsiaTheme="minorEastAsia" w:cstheme="minorEastAsia"/>
          <w:b/>
          <w:kern w:val="2"/>
          <w:sz w:val="30"/>
          <w:szCs w:val="30"/>
        </w:rPr>
        <w:br w:type="page"/>
      </w:r>
      <w:bookmarkStart w:id="256" w:name="_Toc20881"/>
      <w:bookmarkStart w:id="257" w:name="_Toc14292"/>
      <w:bookmarkStart w:id="258" w:name="_Toc30170"/>
      <w:r>
        <w:rPr>
          <w:rFonts w:hint="eastAsia" w:asciiTheme="minorEastAsia" w:hAnsiTheme="minorEastAsia" w:eastAsiaTheme="minorEastAsia" w:cstheme="minorEastAsia"/>
          <w:b/>
          <w:kern w:val="2"/>
          <w:sz w:val="30"/>
          <w:szCs w:val="30"/>
        </w:rPr>
        <w:t>残疾人福利性单位声明函（如有）</w:t>
      </w:r>
      <w:bookmarkEnd w:id="256"/>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bookmarkEnd w:id="250"/>
    <w:bookmarkEnd w:id="257"/>
    <w:bookmarkEnd w:id="258"/>
    <w:p>
      <w:pPr>
        <w:spacing w:afterLines="200"/>
        <w:ind w:firstLine="3463" w:firstLineChars="1150"/>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十三、健康承诺书</w:t>
      </w:r>
    </w:p>
    <w:p>
      <w:pPr>
        <w:spacing w:line="600" w:lineRule="exact"/>
        <w:rPr>
          <w:rFonts w:ascii="仿宋" w:hAnsi="仿宋" w:eastAsia="仿宋" w:cs="仿宋"/>
          <w:sz w:val="30"/>
          <w:szCs w:val="30"/>
        </w:rPr>
      </w:pPr>
      <w:r>
        <w:rPr>
          <w:rFonts w:hint="eastAsia" w:ascii="仿宋" w:hAnsi="仿宋" w:eastAsia="仿宋" w:cs="仿宋"/>
          <w:sz w:val="30"/>
          <w:szCs w:val="30"/>
        </w:rPr>
        <w:t>博爱县公共资源交易中心：</w:t>
      </w:r>
    </w:p>
    <w:p>
      <w:pPr>
        <w:spacing w:line="640" w:lineRule="exact"/>
        <w:ind w:left="-105" w:leftChars="-50" w:right="-210" w:rightChars="-100"/>
        <w:rPr>
          <w:rFonts w:ascii="Times New Roman" w:hAnsi="Times New Roman" w:eastAsia="仿宋"/>
          <w:sz w:val="32"/>
          <w:szCs w:val="32"/>
          <w:shd w:val="clear" w:color="FFFFFF" w:fill="D9D9D9"/>
        </w:rPr>
      </w:pPr>
      <w:r>
        <w:rPr>
          <w:rFonts w:hint="eastAsia" w:ascii="仿宋" w:hAnsi="仿宋" w:eastAsia="仿宋" w:cs="仿宋"/>
          <w:sz w:val="30"/>
          <w:szCs w:val="30"/>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同志，身份证号</w:t>
      </w:r>
      <w:r>
        <w:rPr>
          <w:rFonts w:hint="eastAsia" w:ascii="仿宋" w:hAnsi="仿宋" w:eastAsia="仿宋" w:cs="仿宋"/>
          <w:sz w:val="30"/>
          <w:szCs w:val="30"/>
          <w:u w:val="single"/>
        </w:rPr>
        <w:t>：                          ，</w:t>
      </w:r>
    </w:p>
    <w:p>
      <w:pPr>
        <w:spacing w:line="640" w:lineRule="exact"/>
        <w:ind w:left="-105" w:leftChars="-50" w:right="-210" w:rightChars="-100"/>
        <w:rPr>
          <w:rFonts w:ascii="仿宋" w:hAnsi="仿宋" w:eastAsia="仿宋" w:cs="仿宋"/>
          <w:sz w:val="30"/>
          <w:szCs w:val="30"/>
        </w:rPr>
      </w:pPr>
      <w:r>
        <w:rPr>
          <w:rFonts w:hint="eastAsia" w:ascii="仿宋" w:hAnsi="仿宋" w:eastAsia="仿宋" w:cs="仿宋"/>
          <w:sz w:val="30"/>
          <w:szCs w:val="30"/>
        </w:rPr>
        <w:t>住址</w:t>
      </w:r>
      <w:r>
        <w:rPr>
          <w:rFonts w:hint="eastAsia" w:ascii="仿宋" w:hAnsi="仿宋" w:eastAsia="仿宋" w:cs="仿宋"/>
          <w:sz w:val="30"/>
          <w:szCs w:val="30"/>
          <w:u w:val="single"/>
        </w:rPr>
        <w:t>：                        ，</w:t>
      </w:r>
      <w:r>
        <w:rPr>
          <w:rFonts w:hint="eastAsia" w:ascii="仿宋" w:hAnsi="仿宋" w:eastAsia="仿宋" w:cs="仿宋"/>
          <w:sz w:val="30"/>
          <w:szCs w:val="30"/>
        </w:rPr>
        <w:t>系</w:t>
      </w:r>
      <w:r>
        <w:rPr>
          <w:rFonts w:hint="eastAsia" w:ascii="仿宋" w:hAnsi="仿宋" w:eastAsia="仿宋" w:cs="仿宋"/>
          <w:sz w:val="30"/>
          <w:szCs w:val="30"/>
          <w:u w:val="single"/>
        </w:rPr>
        <w:t xml:space="preserve">                      （</w:t>
      </w:r>
      <w:r>
        <w:rPr>
          <w:rFonts w:hint="eastAsia" w:ascii="仿宋" w:hAnsi="仿宋" w:eastAsia="仿宋" w:cs="仿宋"/>
          <w:sz w:val="30"/>
          <w:szCs w:val="30"/>
        </w:rPr>
        <w:t>单位名称）职工，现前去参加</w:t>
      </w:r>
      <w:r>
        <w:rPr>
          <w:rFonts w:hint="eastAsia" w:ascii="仿宋" w:hAnsi="仿宋" w:eastAsia="仿宋" w:cs="仿宋"/>
          <w:sz w:val="30"/>
          <w:szCs w:val="30"/>
          <w:u w:val="single"/>
        </w:rPr>
        <w:t xml:space="preserve">                       </w:t>
      </w:r>
      <w:r>
        <w:rPr>
          <w:rFonts w:hint="eastAsia" w:ascii="仿宋" w:hAnsi="仿宋" w:eastAsia="仿宋" w:cs="仿宋"/>
          <w:sz w:val="30"/>
          <w:szCs w:val="30"/>
        </w:rPr>
        <w:t>（项目名称）的交易活动。我单位按照疫情防控工作规定，现对该同志的身体健康情况作如下证明：</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1、未与入境人员有过接触史。</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2、非中、高风险等地区人员。</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3、近 14天内无外出旅行史（特别是有境外及较重疫区的旅行史）。</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4、近一周个人身体状况良好，体温正常（﹤37.2°C），无发热、咳嗽等症状发生。</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5、未与发热病人、疑似人员有过接触史。</w:t>
      </w:r>
    </w:p>
    <w:p>
      <w:pPr>
        <w:spacing w:line="600" w:lineRule="exact"/>
        <w:rPr>
          <w:rFonts w:ascii="仿宋" w:hAnsi="仿宋" w:eastAsia="仿宋" w:cs="仿宋"/>
          <w:sz w:val="30"/>
          <w:szCs w:val="30"/>
        </w:rPr>
      </w:pPr>
      <w:r>
        <w:rPr>
          <w:rFonts w:hint="eastAsia" w:ascii="仿宋" w:hAnsi="仿宋" w:eastAsia="仿宋" w:cs="仿宋"/>
          <w:sz w:val="30"/>
          <w:szCs w:val="30"/>
        </w:rPr>
        <w:t>特此证明</w:t>
      </w:r>
    </w:p>
    <w:p>
      <w:pPr>
        <w:spacing w:line="640" w:lineRule="exact"/>
        <w:ind w:left="-105" w:leftChars="-50" w:right="-210" w:rightChars="-100" w:firstLine="640" w:firstLineChars="200"/>
        <w:rPr>
          <w:rFonts w:ascii="Times New Roman" w:hAnsi="Times New Roman" w:eastAsia="仿宋"/>
          <w:sz w:val="32"/>
          <w:szCs w:val="32"/>
          <w:shd w:val="clear" w:color="FFFFFF" w:fill="D9D9D9"/>
        </w:rPr>
      </w:pP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                            单位名称及印章：</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                             2021年  月   日</w:t>
      </w:r>
    </w:p>
    <w:p>
      <w:pPr>
        <w:pStyle w:val="7"/>
        <w:rPr>
          <w:rFonts w:eastAsia="仿宋"/>
          <w:szCs w:val="32"/>
          <w:shd w:val="clear" w:color="FFFFFF" w:fill="D9D9D9"/>
        </w:rPr>
      </w:pPr>
    </w:p>
    <w:p>
      <w:pPr>
        <w:rPr>
          <w:rFonts w:ascii="Times New Roman" w:hAnsi="Times New Roman" w:eastAsia="仿宋"/>
          <w:sz w:val="32"/>
          <w:szCs w:val="32"/>
          <w:shd w:val="clear" w:color="FFFFFF" w:fill="D9D9D9"/>
        </w:rPr>
      </w:pPr>
    </w:p>
    <w:p>
      <w:pPr>
        <w:pStyle w:val="7"/>
        <w:rPr>
          <w:shd w:val="clear" w:color="FFFFFF" w:fill="D9D9D9"/>
        </w:rPr>
      </w:pPr>
    </w:p>
    <w:p>
      <w:pPr>
        <w:pStyle w:val="34"/>
        <w:widowControl w:val="0"/>
        <w:spacing w:before="120" w:beforeAutospacing="0" w:after="120" w:afterAutospacing="0" w:line="500" w:lineRule="exact"/>
        <w:ind w:right="29" w:rightChars="14" w:firstLine="602" w:firstLineChars="200"/>
        <w:jc w:val="both"/>
        <w:outlineLvl w:val="1"/>
        <w:rPr>
          <w:rFonts w:asciiTheme="minorEastAsia" w:hAnsiTheme="minorEastAsia" w:eastAsiaTheme="minorEastAsia" w:cstheme="minorEastAsia"/>
          <w:b/>
          <w:kern w:val="2"/>
          <w:sz w:val="30"/>
          <w:szCs w:val="30"/>
          <w:shd w:val="clear" w:color="FFFFFF" w:fill="D9D9D9"/>
        </w:rPr>
      </w:pPr>
    </w:p>
    <w:p>
      <w:pPr>
        <w:pStyle w:val="34"/>
        <w:widowControl w:val="0"/>
        <w:spacing w:before="120" w:beforeAutospacing="0" w:after="120" w:afterAutospacing="0" w:line="500" w:lineRule="exact"/>
        <w:ind w:right="29" w:rightChars="14" w:firstLine="602" w:firstLineChars="200"/>
        <w:jc w:val="both"/>
        <w:outlineLvl w:val="1"/>
        <w:rPr>
          <w:rFonts w:asciiTheme="minorEastAsia" w:hAnsiTheme="minorEastAsia" w:eastAsiaTheme="minorEastAsia" w:cstheme="minorEastAsia"/>
          <w:b/>
          <w:kern w:val="2"/>
          <w:sz w:val="30"/>
          <w:szCs w:val="30"/>
        </w:rPr>
      </w:pPr>
      <w:bookmarkStart w:id="259" w:name="_Toc16608"/>
      <w:r>
        <w:rPr>
          <w:rFonts w:hint="eastAsia" w:asciiTheme="minorEastAsia" w:hAnsiTheme="minorEastAsia" w:eastAsiaTheme="minorEastAsia" w:cstheme="minorEastAsia"/>
          <w:b/>
          <w:kern w:val="2"/>
          <w:sz w:val="30"/>
          <w:szCs w:val="30"/>
        </w:rPr>
        <w:t>十四、招标文件要求的或供应商认为须提交的其他材料</w:t>
      </w:r>
      <w:bookmarkEnd w:id="259"/>
    </w:p>
    <w:p>
      <w:pPr>
        <w:spacing w:line="360" w:lineRule="auto"/>
        <w:rPr>
          <w:rFonts w:asciiTheme="minorEastAsia" w:hAnsiTheme="minorEastAsia" w:eastAsiaTheme="minorEastAsia" w:cstheme="minorEastAsia"/>
          <w:sz w:val="24"/>
          <w:shd w:val="clear" w:color="FFFFFF" w:fill="D9D9D9"/>
        </w:rPr>
      </w:pP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招标文件规定的其他资料及供应商认为需要提交的其他材料。</w:t>
      </w:r>
    </w:p>
    <w:p>
      <w:pPr>
        <w:spacing w:line="600" w:lineRule="exact"/>
        <w:ind w:firstLine="600" w:firstLineChars="200"/>
        <w:rPr>
          <w:rFonts w:ascii="仿宋" w:hAnsi="仿宋" w:eastAsia="仿宋" w:cs="仿宋"/>
          <w:sz w:val="30"/>
          <w:szCs w:val="30"/>
        </w:rPr>
      </w:pPr>
    </w:p>
    <w:p>
      <w:pPr>
        <w:widowControl/>
        <w:spacing w:line="580" w:lineRule="atLeast"/>
        <w:jc w:val="center"/>
        <w:rPr>
          <w:rFonts w:asciiTheme="minorEastAsia" w:hAnsiTheme="minorEastAsia" w:eastAsiaTheme="minorEastAsia" w:cstheme="minorEastAsia"/>
          <w:b/>
          <w:kern w:val="0"/>
          <w:sz w:val="32"/>
          <w:szCs w:val="32"/>
        </w:rPr>
      </w:pPr>
    </w:p>
    <w:p>
      <w:pPr>
        <w:widowControl/>
        <w:spacing w:line="580" w:lineRule="atLeast"/>
        <w:jc w:val="center"/>
        <w:rPr>
          <w:rFonts w:asciiTheme="minorEastAsia" w:hAnsiTheme="minorEastAsia" w:eastAsiaTheme="minorEastAsia" w:cstheme="minorEastAsia"/>
          <w:b/>
          <w:bCs/>
          <w:kern w:val="0"/>
          <w:sz w:val="32"/>
          <w:szCs w:val="32"/>
        </w:rPr>
      </w:pPr>
    </w:p>
    <w:p>
      <w:pPr>
        <w:widowControl/>
        <w:spacing w:line="580" w:lineRule="atLeast"/>
        <w:jc w:val="center"/>
        <w:rPr>
          <w:rFonts w:asciiTheme="minorEastAsia" w:hAnsiTheme="minorEastAsia" w:eastAsiaTheme="minorEastAsia" w:cstheme="minorEastAsia"/>
          <w:b/>
          <w:bCs/>
          <w:kern w:val="0"/>
          <w:sz w:val="32"/>
          <w:szCs w:val="32"/>
        </w:rPr>
      </w:pPr>
    </w:p>
    <w:p>
      <w:pPr>
        <w:pStyle w:val="110"/>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110"/>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110"/>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110"/>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110"/>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110"/>
        <w:rPr>
          <w:rFonts w:asciiTheme="minorEastAsia" w:hAnsiTheme="minorEastAsia" w:eastAsiaTheme="minorEastAsia" w:cstheme="minorEastAsia"/>
          <w:b/>
          <w:bCs/>
          <w:kern w:val="0"/>
          <w:sz w:val="32"/>
          <w:szCs w:val="32"/>
        </w:rPr>
      </w:pPr>
    </w:p>
    <w:p>
      <w:pPr>
        <w:spacing w:after="100" w:afterAutospacing="1"/>
        <w:rPr>
          <w:rFonts w:ascii="Calibri Light" w:hAnsi="Calibri Light"/>
          <w:b/>
          <w:bCs/>
          <w:sz w:val="32"/>
          <w:szCs w:val="32"/>
        </w:rPr>
      </w:pPr>
      <w:r>
        <w:rPr>
          <w:rFonts w:hint="eastAsia" w:ascii="Calibri Light" w:hAnsi="Calibri Light"/>
          <w:b/>
          <w:bCs/>
          <w:sz w:val="32"/>
          <w:szCs w:val="32"/>
        </w:rPr>
        <w:t>附件：</w:t>
      </w:r>
    </w:p>
    <w:p>
      <w:pPr>
        <w:spacing w:after="100" w:afterAutospacing="1"/>
        <w:ind w:firstLine="2880" w:firstLineChars="600"/>
        <w:rPr>
          <w:rFonts w:ascii="方正小标宋简体" w:eastAsia="方正小标宋简体"/>
          <w:color w:val="000000" w:themeColor="text1"/>
          <w:spacing w:val="20"/>
          <w:sz w:val="44"/>
          <w:szCs w:val="44"/>
          <w14:textFill>
            <w14:solidFill>
              <w14:schemeClr w14:val="tx1"/>
            </w14:solidFill>
          </w14:textFill>
        </w:rPr>
      </w:pPr>
      <w:r>
        <w:rPr>
          <w:rFonts w:hint="eastAsia" w:ascii="方正小标宋简体" w:eastAsia="方正小标宋简体"/>
          <w:color w:val="000000" w:themeColor="text1"/>
          <w:spacing w:val="20"/>
          <w:sz w:val="44"/>
          <w:szCs w:val="44"/>
          <w14:textFill>
            <w14:solidFill>
              <w14:schemeClr w14:val="tx1"/>
            </w14:solidFill>
          </w14:textFill>
        </w:rPr>
        <w:t>疫情防控通知</w:t>
      </w:r>
    </w:p>
    <w:p>
      <w:pPr>
        <w:spacing w:line="520" w:lineRule="exact"/>
        <w:ind w:left="-315" w:leftChars="-150" w:right="-315" w:right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各供应商、投标人：</w:t>
      </w:r>
    </w:p>
    <w:p>
      <w:pPr>
        <w:spacing w:line="520" w:lineRule="exact"/>
        <w:ind w:left="-315" w:leftChars="-150" w:right="-315" w:rightChars="-15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近日，连续新增多例本地新型冠状病毒肺炎确诊病例，为持续巩固我县疫情防控的形势，坚决堵住外部输入风险，现就做好疫情防控事项通知如下：</w:t>
      </w:r>
    </w:p>
    <w:p>
      <w:pPr>
        <w:spacing w:line="520" w:lineRule="exact"/>
        <w:ind w:left="-315" w:leftChars="-150" w:right="-315" w:rightChars="-15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中、高风险地区的省市的供应商（投标人）来博参与采购（投标）活动的，要于抵达前24小时向博爱县公共资源交易中心或项目采购（招标）代理机构通报来博人员的姓名、联系方式、时间、交通方式、健康状况等信息，到博后按规定配合落实集中隔离管控措施，并实施核酸检测和血清抗体检测。</w:t>
      </w:r>
    </w:p>
    <w:p>
      <w:pPr>
        <w:spacing w:line="520" w:lineRule="exact"/>
        <w:ind w:left="-315" w:leftChars="-150" w:right="-315" w:rightChars="-15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低风险地区的供应商（投标人）来博参与采购（投标）活动的，要提供近7天核酸和血清抗体检测合格报告，方可参与采购（投标）活动；不能提供报告的，一律到博爱县集中隔离点接受检测，结果无异常方可参与采购（投标）活动。</w:t>
      </w:r>
    </w:p>
    <w:p>
      <w:pPr>
        <w:spacing w:line="520" w:lineRule="exact"/>
        <w:ind w:left="-315" w:leftChars="-150" w:right="-315" w:rightChars="-15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三、项目开标前14天内，有中、高风险地区旅居史的供应商（投标人），要主动向博爱县公共资源交易中心或项目采购（招标）代理机构通报旅居情况。</w:t>
      </w:r>
    </w:p>
    <w:p>
      <w:pPr>
        <w:spacing w:line="520" w:lineRule="exact"/>
        <w:ind w:left="-210" w:leftChars="-100" w:right="-210" w:righ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其他地区的供应商（投标人）来博参与采购（投标）活动的，如实填写《人员健康登记表》（姓名、身份证号、手机号、居住地址等）。通过身份核验、体温检测（﹤37.2°C）、查验健康码和查询个人活动轨迹后方可参与采购（投标）活动。</w:t>
      </w:r>
    </w:p>
    <w:p>
      <w:pPr>
        <w:spacing w:line="520" w:lineRule="exact"/>
        <w:ind w:left="-315" w:leftChars="-150" w:right="-315" w:rightChars="-150"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五、通过登记、查验进入开标场所的供应商（投标人）必须全程佩戴医用口罩，人员间隔应当保持1米开外距离，座位隔空就座。开标活动结束后，要及时、有序离开开标场所。</w:t>
      </w:r>
    </w:p>
    <w:p>
      <w:pPr>
        <w:spacing w:line="520" w:lineRule="exact"/>
        <w:ind w:left="-315" w:leftChars="-150" w:right="-315" w:rightChars="-15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所有从有中、高风险地区的省市来博供应商（投标人）要配合流行病学调查，主动接受隔离管控，对谎报、瞒报、不报旅行史、居住史和健康状况等信息，拒不配合健康检测，给疫情防控带来严重危害情形的，将依法严肃追究相关责任。</w:t>
      </w:r>
    </w:p>
    <w:p>
      <w:pPr>
        <w:spacing w:line="520" w:lineRule="exact"/>
        <w:ind w:left="-315" w:leftChars="-150" w:right="-315" w:rightChars="-15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请来博爱县参与采购（投标）活动的供应商（投标人）理解、支持、配合疫情防控工作，共同保卫博爱的健康祥和！</w:t>
      </w:r>
    </w:p>
    <w:p>
      <w:pPr>
        <w:pStyle w:val="110"/>
        <w:jc w:val="right"/>
        <w:rPr>
          <w:rFonts w:ascii="Times New Roman" w:hAnsi="Times New Roman" w:eastAsia="仿宋"/>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博爱县公共资源交易中心</w:t>
      </w:r>
      <w:r>
        <w:rPr>
          <w:rFonts w:hint="eastAsia" w:ascii="Times New Roman" w:hAnsi="Times New Roman" w:eastAsia="仿宋"/>
          <w:color w:val="000000" w:themeColor="text1"/>
          <w14:textFill>
            <w14:solidFill>
              <w14:schemeClr w14:val="tx1"/>
            </w14:solidFill>
          </w14:textFill>
        </w:rPr>
        <w:t xml:space="preserve">  </w:t>
      </w:r>
    </w:p>
    <w:p>
      <w:pPr>
        <w:spacing w:line="440" w:lineRule="exact"/>
        <w:jc w:val="center"/>
        <w:rPr>
          <w:rFonts w:ascii="宋体" w:hAnsi="宋体" w:cs="宋体"/>
          <w:b/>
          <w:szCs w:val="21"/>
        </w:rPr>
      </w:pPr>
      <w:r>
        <w:rPr>
          <w:rFonts w:hint="eastAsia" w:ascii="宋体" w:hAnsi="宋体" w:cs="宋体"/>
          <w:b/>
          <w:szCs w:val="21"/>
        </w:rPr>
        <w:t>河南省政府采购合同融资政策告知函</w:t>
      </w:r>
    </w:p>
    <w:p>
      <w:pPr>
        <w:spacing w:line="420" w:lineRule="exact"/>
        <w:ind w:firstLine="367" w:firstLineChars="175"/>
        <w:rPr>
          <w:rFonts w:ascii="宋体" w:hAnsi="宋体" w:cs="宋体"/>
          <w:szCs w:val="21"/>
        </w:rPr>
      </w:pPr>
      <w:r>
        <w:rPr>
          <w:rFonts w:hint="eastAsia" w:ascii="宋体" w:hAnsi="宋体" w:cs="宋体"/>
          <w:szCs w:val="21"/>
        </w:rPr>
        <w:t>各供应商：</w:t>
      </w:r>
    </w:p>
    <w:p>
      <w:pPr>
        <w:spacing w:line="420" w:lineRule="exact"/>
        <w:ind w:firstLine="367" w:firstLineChars="175"/>
        <w:rPr>
          <w:rFonts w:ascii="宋体" w:hAnsi="宋体" w:cs="宋体"/>
          <w:szCs w:val="21"/>
        </w:rPr>
      </w:pPr>
      <w:r>
        <w:rPr>
          <w:rFonts w:hint="eastAsia" w:ascii="宋体" w:hAnsi="宋体" w:cs="宋体"/>
          <w:szCs w:val="21"/>
        </w:rPr>
        <w:t xml:space="preserve">   欢迎贵公司参与河南省政府采购活动！</w:t>
      </w:r>
    </w:p>
    <w:p>
      <w:pPr>
        <w:spacing w:line="420" w:lineRule="exact"/>
        <w:ind w:firstLine="367" w:firstLineChars="175"/>
        <w:rPr>
          <w:rFonts w:ascii="宋体" w:hAnsi="宋体" w:cs="宋体"/>
          <w:szCs w:val="21"/>
        </w:rPr>
      </w:pPr>
      <w:r>
        <w:rPr>
          <w:rFonts w:hint="eastAsia" w:ascii="宋体" w:hAnsi="宋体" w:cs="宋体"/>
          <w:szCs w:val="21"/>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67" w:firstLineChars="175"/>
        <w:rPr>
          <w:rFonts w:ascii="宋体" w:hAnsi="宋体" w:cs="宋体"/>
          <w:szCs w:val="21"/>
        </w:rPr>
      </w:pPr>
      <w:r>
        <w:rPr>
          <w:rFonts w:hint="eastAsia" w:ascii="宋体" w:hAnsi="宋体" w:cs="宋体"/>
          <w:szCs w:val="21"/>
        </w:rPr>
        <w:t xml:space="preserve"> 贷款渠道和提供贷款的金融机构，可在河南省政府采购网“河南省政府采购合同融资平台”查询联系。</w:t>
      </w:r>
    </w:p>
    <w:p>
      <w:pPr>
        <w:jc w:val="center"/>
        <w:rPr>
          <w:rFonts w:ascii="宋体" w:hAnsi="宋体"/>
          <w:b/>
          <w:sz w:val="32"/>
          <w:szCs w:val="32"/>
        </w:rPr>
      </w:pPr>
      <w:r>
        <w:rPr>
          <w:rFonts w:hint="eastAsia" w:ascii="宋体" w:hAnsi="宋体"/>
          <w:b/>
          <w:sz w:val="32"/>
          <w:szCs w:val="32"/>
        </w:rPr>
        <w:t>焦作市政府采购合同融资合作企业</w:t>
      </w:r>
    </w:p>
    <w:tbl>
      <w:tblPr>
        <w:tblStyle w:val="40"/>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961"/>
        <w:gridCol w:w="1387"/>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59" w:type="dxa"/>
            <w:vAlign w:val="center"/>
          </w:tcPr>
          <w:p>
            <w:pPr>
              <w:jc w:val="center"/>
              <w:rPr>
                <w:rFonts w:ascii="宋体" w:hAnsi="宋体"/>
                <w:b/>
                <w:sz w:val="24"/>
              </w:rPr>
            </w:pPr>
            <w:r>
              <w:rPr>
                <w:rFonts w:ascii="宋体" w:hAnsi="宋体"/>
                <w:b/>
                <w:sz w:val="24"/>
              </w:rPr>
              <w:t>序号</w:t>
            </w:r>
          </w:p>
        </w:tc>
        <w:tc>
          <w:tcPr>
            <w:tcW w:w="4961" w:type="dxa"/>
            <w:vAlign w:val="center"/>
          </w:tcPr>
          <w:p>
            <w:pPr>
              <w:jc w:val="center"/>
              <w:rPr>
                <w:rFonts w:ascii="宋体" w:hAnsi="宋体"/>
                <w:b/>
                <w:sz w:val="24"/>
              </w:rPr>
            </w:pPr>
            <w:r>
              <w:rPr>
                <w:rFonts w:ascii="宋体" w:hAnsi="宋体"/>
                <w:b/>
                <w:sz w:val="24"/>
              </w:rPr>
              <w:t>企业名称</w:t>
            </w:r>
          </w:p>
        </w:tc>
        <w:tc>
          <w:tcPr>
            <w:tcW w:w="1387" w:type="dxa"/>
            <w:vAlign w:val="center"/>
          </w:tcPr>
          <w:p>
            <w:pPr>
              <w:jc w:val="center"/>
              <w:rPr>
                <w:rFonts w:ascii="宋体" w:hAnsi="宋体"/>
                <w:b/>
                <w:sz w:val="24"/>
              </w:rPr>
            </w:pPr>
            <w:r>
              <w:rPr>
                <w:rFonts w:ascii="宋体" w:hAnsi="宋体"/>
                <w:b/>
                <w:sz w:val="24"/>
              </w:rPr>
              <w:t>联系人</w:t>
            </w:r>
          </w:p>
        </w:tc>
        <w:tc>
          <w:tcPr>
            <w:tcW w:w="2157" w:type="dxa"/>
            <w:vAlign w:val="center"/>
          </w:tcPr>
          <w:p>
            <w:pPr>
              <w:jc w:val="center"/>
              <w:rPr>
                <w:rFonts w:ascii="宋体" w:hAnsi="宋体"/>
                <w:b/>
                <w:sz w:val="24"/>
              </w:rPr>
            </w:pPr>
            <w:r>
              <w:rPr>
                <w:rFonts w:ascii="宋体" w:hAnsi="宋体"/>
                <w:b/>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59" w:type="dxa"/>
            <w:vAlign w:val="center"/>
          </w:tcPr>
          <w:p>
            <w:pPr>
              <w:jc w:val="center"/>
              <w:rPr>
                <w:rFonts w:ascii="宋体" w:hAnsi="宋体"/>
                <w:b/>
                <w:sz w:val="24"/>
              </w:rPr>
            </w:pPr>
            <w:r>
              <w:rPr>
                <w:rFonts w:ascii="宋体" w:hAnsi="宋体"/>
                <w:b/>
                <w:sz w:val="24"/>
              </w:rPr>
              <w:t>1</w:t>
            </w:r>
          </w:p>
        </w:tc>
        <w:tc>
          <w:tcPr>
            <w:tcW w:w="4961" w:type="dxa"/>
            <w:vAlign w:val="center"/>
          </w:tcPr>
          <w:p>
            <w:pPr>
              <w:jc w:val="center"/>
              <w:rPr>
                <w:rFonts w:ascii="宋体" w:hAnsi="宋体"/>
                <w:b/>
                <w:sz w:val="24"/>
              </w:rPr>
            </w:pPr>
            <w:r>
              <w:rPr>
                <w:rFonts w:ascii="宋体" w:hAnsi="宋体"/>
                <w:b/>
                <w:sz w:val="24"/>
              </w:rPr>
              <w:t>农行焦作分行</w:t>
            </w:r>
          </w:p>
        </w:tc>
        <w:tc>
          <w:tcPr>
            <w:tcW w:w="1387" w:type="dxa"/>
            <w:vAlign w:val="center"/>
          </w:tcPr>
          <w:p>
            <w:pPr>
              <w:jc w:val="center"/>
              <w:rPr>
                <w:rFonts w:ascii="宋体" w:hAnsi="宋体"/>
                <w:sz w:val="24"/>
              </w:rPr>
            </w:pPr>
            <w:r>
              <w:rPr>
                <w:rFonts w:ascii="宋体" w:hAnsi="宋体"/>
                <w:sz w:val="24"/>
              </w:rPr>
              <w:t>张军萍</w:t>
            </w:r>
          </w:p>
        </w:tc>
        <w:tc>
          <w:tcPr>
            <w:tcW w:w="2157" w:type="dxa"/>
            <w:vAlign w:val="center"/>
          </w:tcPr>
          <w:p>
            <w:pPr>
              <w:jc w:val="center"/>
              <w:rPr>
                <w:rFonts w:ascii="宋体" w:hAnsi="宋体"/>
                <w:sz w:val="24"/>
              </w:rPr>
            </w:pPr>
            <w:r>
              <w:rPr>
                <w:rFonts w:ascii="宋体" w:hAnsi="宋体"/>
                <w:sz w:val="24"/>
              </w:rPr>
              <w:t>13598526103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59" w:type="dxa"/>
            <w:vAlign w:val="center"/>
          </w:tcPr>
          <w:p>
            <w:pPr>
              <w:jc w:val="center"/>
              <w:rPr>
                <w:rFonts w:ascii="宋体" w:hAnsi="宋体"/>
                <w:b/>
                <w:sz w:val="24"/>
              </w:rPr>
            </w:pPr>
            <w:r>
              <w:rPr>
                <w:rFonts w:ascii="宋体" w:hAnsi="宋体"/>
                <w:b/>
                <w:sz w:val="24"/>
              </w:rPr>
              <w:t>2</w:t>
            </w:r>
          </w:p>
        </w:tc>
        <w:tc>
          <w:tcPr>
            <w:tcW w:w="4961" w:type="dxa"/>
            <w:vAlign w:val="center"/>
          </w:tcPr>
          <w:p>
            <w:pPr>
              <w:jc w:val="center"/>
              <w:rPr>
                <w:rFonts w:ascii="宋体" w:hAnsi="宋体"/>
                <w:b/>
                <w:sz w:val="24"/>
              </w:rPr>
            </w:pPr>
            <w:r>
              <w:rPr>
                <w:rFonts w:ascii="宋体" w:hAnsi="宋体"/>
                <w:b/>
                <w:sz w:val="24"/>
              </w:rPr>
              <w:t>中行焦作分行</w:t>
            </w:r>
          </w:p>
        </w:tc>
        <w:tc>
          <w:tcPr>
            <w:tcW w:w="1387" w:type="dxa"/>
            <w:vAlign w:val="center"/>
          </w:tcPr>
          <w:p>
            <w:pPr>
              <w:jc w:val="center"/>
              <w:rPr>
                <w:rFonts w:ascii="宋体" w:hAnsi="宋体"/>
                <w:sz w:val="24"/>
              </w:rPr>
            </w:pPr>
            <w:r>
              <w:rPr>
                <w:rFonts w:ascii="宋体" w:hAnsi="宋体"/>
                <w:sz w:val="24"/>
              </w:rPr>
              <w:t>曹阳</w:t>
            </w:r>
          </w:p>
        </w:tc>
        <w:tc>
          <w:tcPr>
            <w:tcW w:w="2157" w:type="dxa"/>
            <w:vAlign w:val="center"/>
          </w:tcPr>
          <w:p>
            <w:pPr>
              <w:jc w:val="center"/>
              <w:rPr>
                <w:rFonts w:ascii="宋体" w:hAnsi="宋体"/>
                <w:sz w:val="24"/>
              </w:rPr>
            </w:pPr>
            <w:r>
              <w:rPr>
                <w:rFonts w:ascii="宋体" w:hAnsi="宋体"/>
                <w:sz w:val="24"/>
              </w:rPr>
              <w:t>13839118160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59" w:type="dxa"/>
            <w:vAlign w:val="center"/>
          </w:tcPr>
          <w:p>
            <w:pPr>
              <w:jc w:val="center"/>
              <w:rPr>
                <w:rFonts w:ascii="宋体" w:hAnsi="宋体"/>
                <w:b/>
                <w:sz w:val="24"/>
              </w:rPr>
            </w:pPr>
            <w:r>
              <w:rPr>
                <w:rFonts w:ascii="宋体" w:hAnsi="宋体"/>
                <w:b/>
                <w:sz w:val="24"/>
              </w:rPr>
              <w:t>3</w:t>
            </w:r>
          </w:p>
        </w:tc>
        <w:tc>
          <w:tcPr>
            <w:tcW w:w="4961" w:type="dxa"/>
            <w:vAlign w:val="center"/>
          </w:tcPr>
          <w:p>
            <w:pPr>
              <w:jc w:val="center"/>
              <w:rPr>
                <w:rFonts w:ascii="宋体" w:hAnsi="宋体"/>
                <w:b/>
                <w:sz w:val="24"/>
              </w:rPr>
            </w:pPr>
            <w:r>
              <w:rPr>
                <w:rFonts w:ascii="宋体" w:hAnsi="宋体"/>
                <w:b/>
                <w:sz w:val="24"/>
              </w:rPr>
              <w:t>建行焦作分行</w:t>
            </w:r>
          </w:p>
        </w:tc>
        <w:tc>
          <w:tcPr>
            <w:tcW w:w="1387" w:type="dxa"/>
            <w:vAlign w:val="center"/>
          </w:tcPr>
          <w:p>
            <w:pPr>
              <w:jc w:val="center"/>
              <w:rPr>
                <w:rFonts w:ascii="宋体" w:hAnsi="宋体"/>
                <w:sz w:val="24"/>
              </w:rPr>
            </w:pPr>
            <w:r>
              <w:rPr>
                <w:rFonts w:ascii="宋体" w:hAnsi="宋体"/>
                <w:sz w:val="24"/>
              </w:rPr>
              <w:t>王世峰</w:t>
            </w:r>
          </w:p>
        </w:tc>
        <w:tc>
          <w:tcPr>
            <w:tcW w:w="2157" w:type="dxa"/>
            <w:vAlign w:val="center"/>
          </w:tcPr>
          <w:p>
            <w:pPr>
              <w:jc w:val="center"/>
              <w:rPr>
                <w:rFonts w:ascii="宋体" w:hAnsi="宋体"/>
                <w:sz w:val="24"/>
              </w:rPr>
            </w:pPr>
            <w:r>
              <w:rPr>
                <w:rFonts w:ascii="宋体" w:hAnsi="宋体"/>
                <w:sz w:val="24"/>
              </w:rPr>
              <w:t>2630018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59" w:type="dxa"/>
            <w:vAlign w:val="center"/>
          </w:tcPr>
          <w:p>
            <w:pPr>
              <w:jc w:val="center"/>
              <w:rPr>
                <w:rFonts w:ascii="宋体" w:hAnsi="宋体"/>
                <w:b/>
                <w:sz w:val="24"/>
              </w:rPr>
            </w:pPr>
            <w:r>
              <w:rPr>
                <w:rFonts w:ascii="宋体" w:hAnsi="宋体"/>
                <w:b/>
                <w:sz w:val="24"/>
              </w:rPr>
              <w:t>4</w:t>
            </w:r>
          </w:p>
        </w:tc>
        <w:tc>
          <w:tcPr>
            <w:tcW w:w="4961" w:type="dxa"/>
            <w:vAlign w:val="center"/>
          </w:tcPr>
          <w:p>
            <w:pPr>
              <w:jc w:val="center"/>
              <w:rPr>
                <w:rFonts w:ascii="宋体" w:hAnsi="宋体"/>
                <w:b/>
                <w:sz w:val="24"/>
              </w:rPr>
            </w:pPr>
            <w:r>
              <w:rPr>
                <w:rFonts w:ascii="宋体" w:hAnsi="宋体"/>
                <w:b/>
                <w:sz w:val="24"/>
              </w:rPr>
              <w:t>邮政储蓄焦作市分行</w:t>
            </w:r>
          </w:p>
        </w:tc>
        <w:tc>
          <w:tcPr>
            <w:tcW w:w="1387" w:type="dxa"/>
            <w:vAlign w:val="center"/>
          </w:tcPr>
          <w:p>
            <w:pPr>
              <w:jc w:val="center"/>
              <w:rPr>
                <w:rFonts w:ascii="宋体" w:hAnsi="宋体"/>
                <w:sz w:val="24"/>
              </w:rPr>
            </w:pPr>
            <w:r>
              <w:rPr>
                <w:rFonts w:ascii="宋体" w:hAnsi="宋体"/>
                <w:sz w:val="24"/>
              </w:rPr>
              <w:t>李天祥</w:t>
            </w:r>
          </w:p>
        </w:tc>
        <w:tc>
          <w:tcPr>
            <w:tcW w:w="2157" w:type="dxa"/>
            <w:vAlign w:val="center"/>
          </w:tcPr>
          <w:p>
            <w:pPr>
              <w:jc w:val="center"/>
              <w:rPr>
                <w:rFonts w:ascii="宋体" w:hAnsi="宋体"/>
                <w:sz w:val="24"/>
              </w:rPr>
            </w:pPr>
            <w:r>
              <w:rPr>
                <w:rFonts w:ascii="宋体" w:hAnsi="宋体"/>
                <w:sz w:val="24"/>
              </w:rPr>
              <w:t>2981968135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59" w:type="dxa"/>
            <w:vAlign w:val="center"/>
          </w:tcPr>
          <w:p>
            <w:pPr>
              <w:jc w:val="center"/>
              <w:rPr>
                <w:rFonts w:ascii="宋体" w:hAnsi="宋体"/>
                <w:b/>
                <w:sz w:val="24"/>
              </w:rPr>
            </w:pPr>
            <w:r>
              <w:rPr>
                <w:rFonts w:ascii="宋体" w:hAnsi="宋体"/>
                <w:b/>
                <w:sz w:val="24"/>
              </w:rPr>
              <w:t>5</w:t>
            </w:r>
          </w:p>
        </w:tc>
        <w:tc>
          <w:tcPr>
            <w:tcW w:w="4961" w:type="dxa"/>
            <w:vAlign w:val="center"/>
          </w:tcPr>
          <w:p>
            <w:pPr>
              <w:jc w:val="center"/>
              <w:rPr>
                <w:rFonts w:ascii="宋体" w:hAnsi="宋体"/>
                <w:b/>
                <w:sz w:val="24"/>
              </w:rPr>
            </w:pPr>
            <w:r>
              <w:rPr>
                <w:rFonts w:ascii="宋体" w:hAnsi="宋体"/>
                <w:b/>
                <w:sz w:val="24"/>
              </w:rPr>
              <w:t>中旅银行</w:t>
            </w:r>
          </w:p>
        </w:tc>
        <w:tc>
          <w:tcPr>
            <w:tcW w:w="1387" w:type="dxa"/>
            <w:vAlign w:val="center"/>
          </w:tcPr>
          <w:p>
            <w:pPr>
              <w:jc w:val="center"/>
              <w:rPr>
                <w:rFonts w:ascii="宋体" w:hAnsi="宋体"/>
                <w:sz w:val="24"/>
              </w:rPr>
            </w:pPr>
            <w:r>
              <w:rPr>
                <w:rFonts w:ascii="宋体" w:hAnsi="宋体"/>
                <w:sz w:val="24"/>
              </w:rPr>
              <w:t>周建林</w:t>
            </w:r>
          </w:p>
        </w:tc>
        <w:tc>
          <w:tcPr>
            <w:tcW w:w="2157" w:type="dxa"/>
            <w:vAlign w:val="center"/>
          </w:tcPr>
          <w:p>
            <w:pPr>
              <w:jc w:val="center"/>
              <w:rPr>
                <w:rFonts w:ascii="宋体" w:hAnsi="宋体"/>
                <w:sz w:val="24"/>
              </w:rPr>
            </w:pPr>
            <w:r>
              <w:rPr>
                <w:rFonts w:ascii="宋体" w:hAnsi="宋体"/>
                <w:sz w:val="24"/>
              </w:rPr>
              <w:t>2116963158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59" w:type="dxa"/>
            <w:vAlign w:val="center"/>
          </w:tcPr>
          <w:p>
            <w:pPr>
              <w:jc w:val="center"/>
              <w:rPr>
                <w:rFonts w:ascii="宋体" w:hAnsi="宋体"/>
                <w:b/>
                <w:sz w:val="24"/>
              </w:rPr>
            </w:pPr>
            <w:r>
              <w:rPr>
                <w:rFonts w:ascii="宋体" w:hAnsi="宋体"/>
                <w:b/>
                <w:sz w:val="24"/>
              </w:rPr>
              <w:t>6</w:t>
            </w:r>
          </w:p>
        </w:tc>
        <w:tc>
          <w:tcPr>
            <w:tcW w:w="4961" w:type="dxa"/>
            <w:vAlign w:val="center"/>
          </w:tcPr>
          <w:p>
            <w:pPr>
              <w:jc w:val="center"/>
              <w:rPr>
                <w:rFonts w:ascii="宋体" w:hAnsi="宋体"/>
                <w:b/>
                <w:sz w:val="24"/>
              </w:rPr>
            </w:pPr>
            <w:r>
              <w:rPr>
                <w:rFonts w:ascii="宋体" w:hAnsi="宋体"/>
                <w:b/>
                <w:sz w:val="24"/>
              </w:rPr>
              <w:t>中信银行焦作分行</w:t>
            </w:r>
          </w:p>
        </w:tc>
        <w:tc>
          <w:tcPr>
            <w:tcW w:w="1387" w:type="dxa"/>
            <w:vAlign w:val="center"/>
          </w:tcPr>
          <w:p>
            <w:pPr>
              <w:jc w:val="center"/>
              <w:rPr>
                <w:rFonts w:ascii="宋体" w:hAnsi="宋体"/>
                <w:sz w:val="24"/>
              </w:rPr>
            </w:pPr>
            <w:r>
              <w:rPr>
                <w:rFonts w:ascii="宋体" w:hAnsi="宋体"/>
                <w:sz w:val="24"/>
              </w:rPr>
              <w:t>陈韦翰</w:t>
            </w:r>
          </w:p>
        </w:tc>
        <w:tc>
          <w:tcPr>
            <w:tcW w:w="2157" w:type="dxa"/>
            <w:vAlign w:val="center"/>
          </w:tcPr>
          <w:p>
            <w:pPr>
              <w:jc w:val="center"/>
              <w:rPr>
                <w:rFonts w:ascii="宋体" w:hAnsi="宋体"/>
                <w:sz w:val="24"/>
              </w:rPr>
            </w:pPr>
            <w:r>
              <w:rPr>
                <w:rFonts w:ascii="宋体" w:hAnsi="宋体"/>
                <w:sz w:val="24"/>
              </w:rPr>
              <w:t>18539139326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59" w:type="dxa"/>
            <w:vAlign w:val="center"/>
          </w:tcPr>
          <w:p>
            <w:pPr>
              <w:jc w:val="center"/>
              <w:rPr>
                <w:rFonts w:ascii="宋体" w:hAnsi="宋体"/>
                <w:b/>
                <w:sz w:val="24"/>
              </w:rPr>
            </w:pPr>
            <w:r>
              <w:rPr>
                <w:rFonts w:ascii="宋体" w:hAnsi="宋体"/>
                <w:b/>
                <w:sz w:val="24"/>
              </w:rPr>
              <w:t>7</w:t>
            </w:r>
          </w:p>
        </w:tc>
        <w:tc>
          <w:tcPr>
            <w:tcW w:w="4961" w:type="dxa"/>
            <w:vAlign w:val="center"/>
          </w:tcPr>
          <w:p>
            <w:pPr>
              <w:jc w:val="center"/>
              <w:rPr>
                <w:rFonts w:ascii="宋体" w:hAnsi="宋体"/>
                <w:b/>
                <w:sz w:val="24"/>
              </w:rPr>
            </w:pPr>
            <w:r>
              <w:rPr>
                <w:rFonts w:ascii="宋体" w:hAnsi="宋体"/>
                <w:b/>
                <w:sz w:val="24"/>
              </w:rPr>
              <w:t>中国光大银行焦作分行</w:t>
            </w:r>
          </w:p>
        </w:tc>
        <w:tc>
          <w:tcPr>
            <w:tcW w:w="1387" w:type="dxa"/>
            <w:vAlign w:val="center"/>
          </w:tcPr>
          <w:p>
            <w:pPr>
              <w:jc w:val="center"/>
              <w:rPr>
                <w:rFonts w:ascii="宋体" w:hAnsi="宋体"/>
                <w:sz w:val="24"/>
              </w:rPr>
            </w:pPr>
            <w:r>
              <w:rPr>
                <w:rFonts w:ascii="宋体" w:hAnsi="宋体"/>
                <w:sz w:val="24"/>
              </w:rPr>
              <w:t>王海滨</w:t>
            </w:r>
          </w:p>
        </w:tc>
        <w:tc>
          <w:tcPr>
            <w:tcW w:w="2157" w:type="dxa"/>
            <w:vAlign w:val="center"/>
          </w:tcPr>
          <w:p>
            <w:pPr>
              <w:jc w:val="center"/>
              <w:rPr>
                <w:rFonts w:ascii="宋体" w:hAnsi="宋体"/>
                <w:sz w:val="24"/>
              </w:rPr>
            </w:pPr>
            <w:r>
              <w:rPr>
                <w:rFonts w:ascii="宋体" w:hAnsi="宋体"/>
                <w:sz w:val="24"/>
              </w:rPr>
              <w:t>13598534626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59" w:type="dxa"/>
            <w:vAlign w:val="center"/>
          </w:tcPr>
          <w:p>
            <w:pPr>
              <w:jc w:val="center"/>
              <w:rPr>
                <w:rFonts w:ascii="宋体" w:hAnsi="宋体"/>
                <w:b/>
                <w:sz w:val="24"/>
              </w:rPr>
            </w:pPr>
            <w:r>
              <w:rPr>
                <w:rFonts w:ascii="宋体" w:hAnsi="宋体"/>
                <w:b/>
                <w:sz w:val="24"/>
              </w:rPr>
              <w:t>8</w:t>
            </w:r>
          </w:p>
        </w:tc>
        <w:tc>
          <w:tcPr>
            <w:tcW w:w="4961" w:type="dxa"/>
            <w:vAlign w:val="center"/>
          </w:tcPr>
          <w:p>
            <w:pPr>
              <w:jc w:val="center"/>
              <w:rPr>
                <w:rFonts w:ascii="宋体" w:hAnsi="宋体"/>
                <w:b/>
                <w:sz w:val="24"/>
              </w:rPr>
            </w:pPr>
            <w:r>
              <w:rPr>
                <w:rFonts w:ascii="宋体" w:hAnsi="宋体"/>
                <w:b/>
                <w:sz w:val="24"/>
              </w:rPr>
              <w:t>中原银行焦作分行</w:t>
            </w:r>
          </w:p>
        </w:tc>
        <w:tc>
          <w:tcPr>
            <w:tcW w:w="1387" w:type="dxa"/>
            <w:vAlign w:val="center"/>
          </w:tcPr>
          <w:p>
            <w:pPr>
              <w:jc w:val="center"/>
              <w:rPr>
                <w:rFonts w:ascii="宋体" w:hAnsi="宋体"/>
                <w:sz w:val="24"/>
              </w:rPr>
            </w:pPr>
            <w:r>
              <w:rPr>
                <w:rFonts w:ascii="宋体" w:hAnsi="宋体"/>
                <w:sz w:val="24"/>
              </w:rPr>
              <w:t>赵伟</w:t>
            </w:r>
          </w:p>
        </w:tc>
        <w:tc>
          <w:tcPr>
            <w:tcW w:w="2157" w:type="dxa"/>
            <w:vAlign w:val="center"/>
          </w:tcPr>
          <w:p>
            <w:pPr>
              <w:jc w:val="center"/>
              <w:rPr>
                <w:rFonts w:ascii="宋体" w:hAnsi="宋体"/>
                <w:sz w:val="24"/>
              </w:rPr>
            </w:pPr>
            <w:r>
              <w:rPr>
                <w:rFonts w:ascii="宋体" w:hAnsi="宋体"/>
                <w:sz w:val="24"/>
              </w:rPr>
              <w:t>8796520157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59" w:type="dxa"/>
            <w:vAlign w:val="center"/>
          </w:tcPr>
          <w:p>
            <w:pPr>
              <w:jc w:val="center"/>
              <w:rPr>
                <w:rFonts w:ascii="宋体" w:hAnsi="宋体"/>
                <w:b/>
                <w:sz w:val="24"/>
              </w:rPr>
            </w:pPr>
            <w:r>
              <w:rPr>
                <w:rFonts w:ascii="宋体" w:hAnsi="宋体"/>
                <w:b/>
                <w:sz w:val="24"/>
              </w:rPr>
              <w:t>9</w:t>
            </w:r>
          </w:p>
        </w:tc>
        <w:tc>
          <w:tcPr>
            <w:tcW w:w="4961" w:type="dxa"/>
            <w:vAlign w:val="center"/>
          </w:tcPr>
          <w:p>
            <w:pPr>
              <w:jc w:val="center"/>
              <w:rPr>
                <w:rFonts w:ascii="宋体" w:hAnsi="宋体"/>
                <w:b/>
                <w:sz w:val="24"/>
              </w:rPr>
            </w:pPr>
            <w:r>
              <w:rPr>
                <w:rFonts w:ascii="宋体" w:hAnsi="宋体"/>
                <w:b/>
                <w:sz w:val="24"/>
              </w:rPr>
              <w:t>广发银行焦作分行</w:t>
            </w:r>
          </w:p>
        </w:tc>
        <w:tc>
          <w:tcPr>
            <w:tcW w:w="1387" w:type="dxa"/>
            <w:vAlign w:val="center"/>
          </w:tcPr>
          <w:p>
            <w:pPr>
              <w:jc w:val="center"/>
              <w:rPr>
                <w:rFonts w:ascii="宋体" w:hAnsi="宋体"/>
                <w:sz w:val="24"/>
              </w:rPr>
            </w:pPr>
            <w:r>
              <w:rPr>
                <w:rFonts w:ascii="宋体" w:hAnsi="宋体"/>
                <w:sz w:val="24"/>
              </w:rPr>
              <w:t>孙培旺</w:t>
            </w:r>
          </w:p>
        </w:tc>
        <w:tc>
          <w:tcPr>
            <w:tcW w:w="2157" w:type="dxa"/>
            <w:vAlign w:val="center"/>
          </w:tcPr>
          <w:p>
            <w:pPr>
              <w:jc w:val="center"/>
              <w:rPr>
                <w:rFonts w:ascii="宋体" w:hAnsi="宋体"/>
                <w:sz w:val="24"/>
              </w:rPr>
            </w:pPr>
            <w:r>
              <w:rPr>
                <w:rFonts w:ascii="宋体" w:hAnsi="宋体"/>
                <w:sz w:val="24"/>
              </w:rPr>
              <w:t>17335715737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59" w:type="dxa"/>
            <w:vAlign w:val="center"/>
          </w:tcPr>
          <w:p>
            <w:pPr>
              <w:jc w:val="center"/>
              <w:rPr>
                <w:rFonts w:ascii="宋体" w:hAnsi="宋体"/>
                <w:b/>
                <w:sz w:val="24"/>
              </w:rPr>
            </w:pPr>
            <w:r>
              <w:rPr>
                <w:rFonts w:ascii="宋体" w:hAnsi="宋体"/>
                <w:b/>
                <w:sz w:val="24"/>
              </w:rPr>
              <w:t>10</w:t>
            </w:r>
          </w:p>
        </w:tc>
        <w:tc>
          <w:tcPr>
            <w:tcW w:w="4961" w:type="dxa"/>
            <w:vAlign w:val="center"/>
          </w:tcPr>
          <w:p>
            <w:pPr>
              <w:jc w:val="center"/>
              <w:rPr>
                <w:rFonts w:ascii="宋体" w:hAnsi="宋体"/>
                <w:b/>
                <w:sz w:val="24"/>
              </w:rPr>
            </w:pPr>
            <w:r>
              <w:rPr>
                <w:rFonts w:ascii="宋体" w:hAnsi="宋体"/>
                <w:b/>
                <w:sz w:val="24"/>
              </w:rPr>
              <w:t>焦作市中站区亿利小额贷款有限公司</w:t>
            </w:r>
          </w:p>
        </w:tc>
        <w:tc>
          <w:tcPr>
            <w:tcW w:w="1387" w:type="dxa"/>
            <w:vAlign w:val="center"/>
          </w:tcPr>
          <w:p>
            <w:pPr>
              <w:jc w:val="center"/>
              <w:rPr>
                <w:rFonts w:ascii="宋体" w:hAnsi="宋体"/>
                <w:sz w:val="24"/>
              </w:rPr>
            </w:pPr>
            <w:r>
              <w:rPr>
                <w:rFonts w:ascii="宋体" w:hAnsi="宋体"/>
                <w:sz w:val="24"/>
              </w:rPr>
              <w:t>慕骞</w:t>
            </w:r>
          </w:p>
        </w:tc>
        <w:tc>
          <w:tcPr>
            <w:tcW w:w="2157" w:type="dxa"/>
            <w:vAlign w:val="center"/>
          </w:tcPr>
          <w:p>
            <w:pPr>
              <w:jc w:val="center"/>
              <w:rPr>
                <w:rFonts w:ascii="宋体" w:hAnsi="宋体"/>
                <w:sz w:val="24"/>
              </w:rPr>
            </w:pPr>
            <w:r>
              <w:rPr>
                <w:rFonts w:ascii="宋体" w:hAnsi="宋体"/>
                <w:sz w:val="24"/>
              </w:rPr>
              <w:t>18839193857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59" w:type="dxa"/>
            <w:vAlign w:val="center"/>
          </w:tcPr>
          <w:p>
            <w:pPr>
              <w:jc w:val="center"/>
              <w:rPr>
                <w:rFonts w:ascii="宋体" w:hAnsi="宋体"/>
                <w:b/>
                <w:sz w:val="24"/>
              </w:rPr>
            </w:pPr>
            <w:r>
              <w:rPr>
                <w:rFonts w:ascii="宋体" w:hAnsi="宋体"/>
                <w:b/>
                <w:sz w:val="24"/>
              </w:rPr>
              <w:t>11</w:t>
            </w:r>
          </w:p>
        </w:tc>
        <w:tc>
          <w:tcPr>
            <w:tcW w:w="4961" w:type="dxa"/>
            <w:vAlign w:val="center"/>
          </w:tcPr>
          <w:p>
            <w:pPr>
              <w:jc w:val="center"/>
              <w:rPr>
                <w:rFonts w:ascii="宋体" w:hAnsi="宋体"/>
                <w:b/>
                <w:sz w:val="24"/>
              </w:rPr>
            </w:pPr>
            <w:r>
              <w:rPr>
                <w:rFonts w:ascii="宋体" w:hAnsi="宋体"/>
                <w:b/>
                <w:sz w:val="24"/>
              </w:rPr>
              <w:t>焦作市中站区富多多小额贷款有限公司</w:t>
            </w:r>
          </w:p>
        </w:tc>
        <w:tc>
          <w:tcPr>
            <w:tcW w:w="1387" w:type="dxa"/>
            <w:vAlign w:val="center"/>
          </w:tcPr>
          <w:p>
            <w:pPr>
              <w:jc w:val="center"/>
              <w:rPr>
                <w:rFonts w:ascii="宋体" w:hAnsi="宋体"/>
                <w:sz w:val="24"/>
              </w:rPr>
            </w:pPr>
            <w:r>
              <w:rPr>
                <w:rFonts w:ascii="宋体" w:hAnsi="宋体"/>
                <w:sz w:val="24"/>
              </w:rPr>
              <w:t>李国华</w:t>
            </w:r>
          </w:p>
        </w:tc>
        <w:tc>
          <w:tcPr>
            <w:tcW w:w="2157" w:type="dxa"/>
            <w:vAlign w:val="center"/>
          </w:tcPr>
          <w:p>
            <w:pPr>
              <w:jc w:val="center"/>
              <w:rPr>
                <w:rFonts w:ascii="宋体" w:hAnsi="宋体"/>
                <w:sz w:val="24"/>
              </w:rPr>
            </w:pPr>
            <w:r>
              <w:rPr>
                <w:rFonts w:ascii="宋体" w:hAnsi="宋体"/>
                <w:sz w:val="24"/>
              </w:rPr>
              <w:t>18537409046</w:t>
            </w:r>
          </w:p>
        </w:tc>
      </w:tr>
    </w:tbl>
    <w:p>
      <w:pPr>
        <w:rPr>
          <w:sz w:val="24"/>
          <w:szCs w:val="22"/>
        </w:rPr>
      </w:pPr>
    </w:p>
    <w:p/>
    <w:sectPr>
      <w:footerReference r:id="rId6" w:type="default"/>
      <w:pgSz w:w="11907" w:h="16840"/>
      <w:pgMar w:top="1276" w:right="1116" w:bottom="1417" w:left="911" w:header="850" w:footer="998" w:gutter="0"/>
      <w:pgNumType w:fmt="numberInDash"/>
      <w:cols w:space="720"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roman"/>
    <w:pitch w:val="default"/>
    <w:sig w:usb0="E4002EFF" w:usb1="C000247B" w:usb2="00000009" w:usb3="00000000" w:csb0="200001FF" w:csb1="00000000"/>
  </w:font>
  <w:font w:name="_x000B__x000C_">
    <w:altName w:val="Times New Roman"/>
    <w:panose1 w:val="00000000000000000000"/>
    <w:charset w:val="00"/>
    <w:family w:val="auto"/>
    <w:pitch w:val="default"/>
    <w:sig w:usb0="00000000" w:usb1="00000000" w:usb2="00000000" w:usb3="00000000" w:csb0="00040001" w:csb1="00000000"/>
  </w:font>
  <w:font w:name="FZSSK--GBK1-0">
    <w:altName w:val="微软雅黑"/>
    <w:panose1 w:val="00000000000000000000"/>
    <w:charset w:val="00"/>
    <w:family w:val="auto"/>
    <w:pitch w:val="default"/>
    <w:sig w:usb0="00000000" w:usb1="00000000" w:usb2="00000000" w:usb3="00000000" w:csb0="00040001" w:csb1="00000000"/>
  </w:font>
  <w:font w:name="E-BZ">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5"/>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2403475</wp:posOffset>
              </wp:positionH>
              <wp:positionV relativeFrom="paragraph">
                <wp:posOffset>-276225</wp:posOffset>
              </wp:positionV>
              <wp:extent cx="1514475" cy="210502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514475" cy="2105025"/>
                      </a:xfrm>
                      <a:prstGeom prst="rect">
                        <a:avLst/>
                      </a:prstGeom>
                      <a:noFill/>
                      <a:ln>
                        <a:noFill/>
                      </a:ln>
                      <a:effectLst/>
                    </wps:spPr>
                    <wps:txbx>
                      <w:txbxContent>
                        <w:p>
                          <w:pPr>
                            <w:snapToGrid w:val="0"/>
                            <w:rPr>
                              <w:sz w:val="18"/>
                            </w:rPr>
                          </w:pPr>
                        </w:p>
                      </w:txbxContent>
                    </wps:txbx>
                    <wps:bodyPr upright="1"/>
                  </wps:wsp>
                </a:graphicData>
              </a:graphic>
            </wp:anchor>
          </w:drawing>
        </mc:Choice>
        <mc:Fallback>
          <w:pict>
            <v:shape id="文本框 1025" o:spid="_x0000_s1026" o:spt="202" type="#_x0000_t202" style="position:absolute;left:0pt;margin-left:189.25pt;margin-top:-21.75pt;height:165.75pt;width:119.25pt;mso-position-horizontal-relative:margin;z-index:251659264;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DdlaH3sQEAAGADAAAOAAAAAAAAAAEAIAAAACcBAABkcnMvZTJvRG9jLnhtbFBLBQYAAAAABgAG&#10;AFkBAABKBQAAAAA=&#10;">
              <v:fill on="f" focussize="0,0"/>
              <v:stroke on="f"/>
              <v:imagedata o:title=""/>
              <o:lock v:ext="edit" aspectratio="f"/>
              <v:textbox>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sz w:val="16"/>
        <w:szCs w:val="22"/>
      </w:rPr>
    </w:pPr>
    <w:r>
      <w:rPr>
        <w:sz w:val="20"/>
        <w:szCs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2" name="文本框 4"/>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pPr>
                            <w:pStyle w:val="25"/>
                          </w:pPr>
                          <w:r>
                            <w:fldChar w:fldCharType="begin"/>
                          </w:r>
                          <w:r>
                            <w:instrText xml:space="preserve"> PAGE  \* MERGEFORMAT </w:instrText>
                          </w:r>
                          <w:r>
                            <w:fldChar w:fldCharType="separate"/>
                          </w:r>
                          <w:r>
                            <w:t>- 15 -</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KkUuzQAAAAAwEAAA8AAAAAAAAAAQAgAAAAIgAAAGRycy9k&#10;b3ducmV2LnhtbFBLAQIUABQAAAAIAIdO4kAuZNXZ0QEAAKUDAAAOAAAAAAAAAAEAIAAAAB8BAABk&#10;cnMvZTJvRG9jLnhtbFBLBQYAAAAABgAGAFkBAABiBQ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- 15 -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sz w:val="16"/>
        <w:szCs w:val="22"/>
      </w:rPr>
    </w:pPr>
    <w:r>
      <w:rPr>
        <w:sz w:val="20"/>
        <w:szCs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3" name="文本框 4"/>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pPr>
                            <w:pStyle w:val="25"/>
                          </w:pPr>
                          <w:r>
                            <w:fldChar w:fldCharType="begin"/>
                          </w:r>
                          <w:r>
                            <w:instrText xml:space="preserve"> PAGE  \* MERGEFORMAT </w:instrText>
                          </w:r>
                          <w:r>
                            <w:fldChar w:fldCharType="separate"/>
                          </w:r>
                          <w:r>
                            <w:t>- 48 -</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pFLs0AAAAAMBAAAPAAAAAAAAAAEAIAAAACIAAABkcnMv&#10;ZG93bnJldi54bWxQSwECFAAUAAAACACHTuJAP/NPQ9IBAAClAwAADgAAAAAAAAABACAAAAAfAQAA&#10;ZHJzL2Uyb0RvYy54bWxQSwUGAAAAAAYABgBZAQAAYwU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- 48 -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CA22D1"/>
    <w:multiLevelType w:val="singleLevel"/>
    <w:tmpl w:val="FACA22D1"/>
    <w:lvl w:ilvl="0" w:tentative="0">
      <w:start w:val="1"/>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tabs>
          <w:tab w:val="left" w:pos="825"/>
        </w:tabs>
        <w:ind w:left="332" w:hanging="22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4"/>
    <w:multiLevelType w:val="multilevel"/>
    <w:tmpl w:val="00000004"/>
    <w:lvl w:ilvl="0" w:tentative="0">
      <w:start w:val="1"/>
      <w:numFmt w:val="decimal"/>
      <w:pStyle w:val="99"/>
      <w:lvlText w:val="%1."/>
      <w:lvlJc w:val="left"/>
      <w:pPr>
        <w:tabs>
          <w:tab w:val="left" w:pos="425"/>
        </w:tabs>
        <w:ind w:left="425" w:hanging="425"/>
      </w:pPr>
      <w:rPr>
        <w:rFonts w:hint="eastAsia"/>
        <w:b/>
        <w:i w:val="0"/>
      </w:rPr>
    </w:lvl>
    <w:lvl w:ilvl="1" w:tentative="0">
      <w:start w:val="1"/>
      <w:numFmt w:val="decimal"/>
      <w:lvlText w:val="%1.%2."/>
      <w:lvlJc w:val="left"/>
      <w:pPr>
        <w:tabs>
          <w:tab w:val="left" w:pos="170"/>
        </w:tabs>
        <w:ind w:left="170" w:hanging="170"/>
      </w:pPr>
      <w:rPr>
        <w:rFonts w:hint="eastAsia"/>
      </w:rPr>
    </w:lvl>
    <w:lvl w:ilvl="2" w:tentative="0">
      <w:start w:val="1"/>
      <w:numFmt w:val="decimal"/>
      <w:lvlText w:val="%1.%2.%3."/>
      <w:lvlJc w:val="left"/>
      <w:pPr>
        <w:tabs>
          <w:tab w:val="left" w:pos="340"/>
        </w:tabs>
        <w:ind w:left="340" w:hanging="170"/>
      </w:pPr>
      <w:rPr>
        <w:rFonts w:hint="eastAsia"/>
        <w:color w:val="auto"/>
      </w:rPr>
    </w:lvl>
    <w:lvl w:ilvl="3" w:tentative="0">
      <w:start w:val="1"/>
      <w:numFmt w:val="decimal"/>
      <w:lvlText w:val="%1.%2.%3.%4."/>
      <w:lvlJc w:val="left"/>
      <w:pPr>
        <w:tabs>
          <w:tab w:val="left" w:pos="510"/>
        </w:tabs>
        <w:ind w:left="510" w:hanging="17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1E756C72"/>
    <w:multiLevelType w:val="singleLevel"/>
    <w:tmpl w:val="1E756C72"/>
    <w:lvl w:ilvl="0" w:tentative="0">
      <w:start w:val="1"/>
      <w:numFmt w:val="chineseCounting"/>
      <w:suff w:val="nothing"/>
      <w:lvlText w:val="%1、"/>
      <w:lvlJc w:val="left"/>
      <w:rPr>
        <w:rFonts w:hint="eastAsia"/>
      </w:rPr>
    </w:lvl>
  </w:abstractNum>
  <w:abstractNum w:abstractNumId="5">
    <w:nsid w:val="545A8686"/>
    <w:multiLevelType w:val="singleLevel"/>
    <w:tmpl w:val="545A8686"/>
    <w:lvl w:ilvl="0" w:tentative="0">
      <w:start w:val="12"/>
      <w:numFmt w:val="chineseCounting"/>
      <w:suff w:val="nothing"/>
      <w:lvlText w:val="%1、"/>
      <w:lvlJc w:val="left"/>
      <w:rPr>
        <w:rFonts w:hint="eastAsia"/>
      </w:rPr>
    </w:lvl>
  </w:abstractNum>
  <w:abstractNum w:abstractNumId="6">
    <w:nsid w:val="59CCA2E1"/>
    <w:multiLevelType w:val="singleLevel"/>
    <w:tmpl w:val="59CCA2E1"/>
    <w:lvl w:ilvl="0" w:tentative="0">
      <w:start w:val="1"/>
      <w:numFmt w:val="decimal"/>
      <w:suff w:val="nothing"/>
      <w:lvlText w:val="（%1）"/>
      <w:lvlJc w:val="left"/>
    </w:lvl>
  </w:abstractNum>
  <w:abstractNum w:abstractNumId="7">
    <w:nsid w:val="5A693C2F"/>
    <w:multiLevelType w:val="singleLevel"/>
    <w:tmpl w:val="5A693C2F"/>
    <w:lvl w:ilvl="0" w:tentative="0">
      <w:start w:val="3"/>
      <w:numFmt w:val="chineseCounting"/>
      <w:suff w:val="space"/>
      <w:lvlText w:val="第%1章"/>
      <w:lvlJc w:val="left"/>
    </w:lvl>
  </w:abstractNum>
  <w:abstractNum w:abstractNumId="8">
    <w:nsid w:val="6E6D9E04"/>
    <w:multiLevelType w:val="singleLevel"/>
    <w:tmpl w:val="6E6D9E04"/>
    <w:lvl w:ilvl="0" w:tentative="0">
      <w:start w:val="4"/>
      <w:numFmt w:val="decimal"/>
      <w:suff w:val="nothing"/>
      <w:lvlText w:val="%1、"/>
      <w:lvlJc w:val="left"/>
    </w:lvl>
  </w:abstractNum>
  <w:num w:numId="1">
    <w:abstractNumId w:val="3"/>
  </w:num>
  <w:num w:numId="2">
    <w:abstractNumId w:val="2"/>
  </w:num>
  <w:num w:numId="3">
    <w:abstractNumId w:val="7"/>
  </w:num>
  <w:num w:numId="4">
    <w:abstractNumId w:val="0"/>
  </w:num>
  <w:num w:numId="5">
    <w:abstractNumId w:val="8"/>
  </w:num>
  <w:num w:numId="6">
    <w:abstractNumId w:val="1"/>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7F7"/>
    <w:rsid w:val="0001346A"/>
    <w:rsid w:val="00063AF6"/>
    <w:rsid w:val="00076BE7"/>
    <w:rsid w:val="000B39BA"/>
    <w:rsid w:val="00166522"/>
    <w:rsid w:val="00216421"/>
    <w:rsid w:val="00253C5A"/>
    <w:rsid w:val="002A615E"/>
    <w:rsid w:val="002C1302"/>
    <w:rsid w:val="00361BC5"/>
    <w:rsid w:val="0036575F"/>
    <w:rsid w:val="003D7AE1"/>
    <w:rsid w:val="00402E99"/>
    <w:rsid w:val="004406E3"/>
    <w:rsid w:val="00462D90"/>
    <w:rsid w:val="004B5D60"/>
    <w:rsid w:val="004C597B"/>
    <w:rsid w:val="004F7D2F"/>
    <w:rsid w:val="005673A3"/>
    <w:rsid w:val="005F7ECF"/>
    <w:rsid w:val="00627B00"/>
    <w:rsid w:val="006C19CE"/>
    <w:rsid w:val="006D0538"/>
    <w:rsid w:val="00793577"/>
    <w:rsid w:val="007F2A90"/>
    <w:rsid w:val="008135DE"/>
    <w:rsid w:val="008622AE"/>
    <w:rsid w:val="008A0147"/>
    <w:rsid w:val="008A46C7"/>
    <w:rsid w:val="00935B6C"/>
    <w:rsid w:val="009F3EFB"/>
    <w:rsid w:val="00A83E98"/>
    <w:rsid w:val="00A85F8B"/>
    <w:rsid w:val="00A912D2"/>
    <w:rsid w:val="00AE0C96"/>
    <w:rsid w:val="00B14CBE"/>
    <w:rsid w:val="00BF0334"/>
    <w:rsid w:val="00C0226B"/>
    <w:rsid w:val="00C56912"/>
    <w:rsid w:val="00C95C47"/>
    <w:rsid w:val="00C96A00"/>
    <w:rsid w:val="00D0289A"/>
    <w:rsid w:val="00DE5275"/>
    <w:rsid w:val="00DE5B2F"/>
    <w:rsid w:val="00E00402"/>
    <w:rsid w:val="00E216F9"/>
    <w:rsid w:val="00EA50CB"/>
    <w:rsid w:val="00FC07F7"/>
    <w:rsid w:val="027A242D"/>
    <w:rsid w:val="02AE1565"/>
    <w:rsid w:val="035F2D3D"/>
    <w:rsid w:val="037B3D0B"/>
    <w:rsid w:val="03994CE7"/>
    <w:rsid w:val="0576381C"/>
    <w:rsid w:val="058218A3"/>
    <w:rsid w:val="0588667E"/>
    <w:rsid w:val="064C45B4"/>
    <w:rsid w:val="08A21808"/>
    <w:rsid w:val="09BC72E8"/>
    <w:rsid w:val="0A1E7A9D"/>
    <w:rsid w:val="0A5E12A9"/>
    <w:rsid w:val="0B4E0653"/>
    <w:rsid w:val="0BB77794"/>
    <w:rsid w:val="0C8F4EFE"/>
    <w:rsid w:val="0CD86A66"/>
    <w:rsid w:val="0D2A4845"/>
    <w:rsid w:val="0E1E0490"/>
    <w:rsid w:val="0F1B3720"/>
    <w:rsid w:val="0F5B7462"/>
    <w:rsid w:val="10953E1F"/>
    <w:rsid w:val="110563D8"/>
    <w:rsid w:val="123353F8"/>
    <w:rsid w:val="12763E2B"/>
    <w:rsid w:val="133E2C29"/>
    <w:rsid w:val="135A2F84"/>
    <w:rsid w:val="135E2A71"/>
    <w:rsid w:val="172209D0"/>
    <w:rsid w:val="1A006299"/>
    <w:rsid w:val="1C562EDE"/>
    <w:rsid w:val="20E232BD"/>
    <w:rsid w:val="238D6AE9"/>
    <w:rsid w:val="23DD5229"/>
    <w:rsid w:val="249F24EA"/>
    <w:rsid w:val="253C7BA7"/>
    <w:rsid w:val="271E36CB"/>
    <w:rsid w:val="2AC17834"/>
    <w:rsid w:val="2B092000"/>
    <w:rsid w:val="2D152317"/>
    <w:rsid w:val="2EE50335"/>
    <w:rsid w:val="2F550E93"/>
    <w:rsid w:val="31A250D5"/>
    <w:rsid w:val="32737303"/>
    <w:rsid w:val="32951EDC"/>
    <w:rsid w:val="32C24E2D"/>
    <w:rsid w:val="33EB7154"/>
    <w:rsid w:val="348D1324"/>
    <w:rsid w:val="34B0549E"/>
    <w:rsid w:val="36374EF3"/>
    <w:rsid w:val="36972C30"/>
    <w:rsid w:val="378C1567"/>
    <w:rsid w:val="37FD624C"/>
    <w:rsid w:val="38E963B7"/>
    <w:rsid w:val="39E32A71"/>
    <w:rsid w:val="3BDE757E"/>
    <w:rsid w:val="3BE67BDB"/>
    <w:rsid w:val="3C972765"/>
    <w:rsid w:val="3D8F7AA8"/>
    <w:rsid w:val="3D9028E8"/>
    <w:rsid w:val="3DA90777"/>
    <w:rsid w:val="3DF020B6"/>
    <w:rsid w:val="3E44484D"/>
    <w:rsid w:val="3F5A4D8F"/>
    <w:rsid w:val="3F80118C"/>
    <w:rsid w:val="40C56269"/>
    <w:rsid w:val="41897C56"/>
    <w:rsid w:val="42C70355"/>
    <w:rsid w:val="44A936AB"/>
    <w:rsid w:val="44DC2CEC"/>
    <w:rsid w:val="48165964"/>
    <w:rsid w:val="4B705810"/>
    <w:rsid w:val="4BBF25AD"/>
    <w:rsid w:val="4CE01C5A"/>
    <w:rsid w:val="4DE8259F"/>
    <w:rsid w:val="4E860D9C"/>
    <w:rsid w:val="50215CD4"/>
    <w:rsid w:val="50F72D1E"/>
    <w:rsid w:val="511A77AA"/>
    <w:rsid w:val="526E16F1"/>
    <w:rsid w:val="52A30EB1"/>
    <w:rsid w:val="53A73B65"/>
    <w:rsid w:val="53B05F34"/>
    <w:rsid w:val="53DA74A2"/>
    <w:rsid w:val="53E97939"/>
    <w:rsid w:val="546A6089"/>
    <w:rsid w:val="551B6C77"/>
    <w:rsid w:val="557577D9"/>
    <w:rsid w:val="57F56734"/>
    <w:rsid w:val="583E24A9"/>
    <w:rsid w:val="59830E9E"/>
    <w:rsid w:val="59CF569D"/>
    <w:rsid w:val="5E25434C"/>
    <w:rsid w:val="5F3F58E2"/>
    <w:rsid w:val="60747001"/>
    <w:rsid w:val="607C6A87"/>
    <w:rsid w:val="614E0E3D"/>
    <w:rsid w:val="61772E14"/>
    <w:rsid w:val="62B362AA"/>
    <w:rsid w:val="631A50BC"/>
    <w:rsid w:val="65A036E9"/>
    <w:rsid w:val="65F06C9F"/>
    <w:rsid w:val="66D90EB9"/>
    <w:rsid w:val="674457E3"/>
    <w:rsid w:val="6798197B"/>
    <w:rsid w:val="69F442AF"/>
    <w:rsid w:val="6A0E30DC"/>
    <w:rsid w:val="6C014247"/>
    <w:rsid w:val="6CF62E72"/>
    <w:rsid w:val="712216DB"/>
    <w:rsid w:val="715D7364"/>
    <w:rsid w:val="715E1779"/>
    <w:rsid w:val="730200F1"/>
    <w:rsid w:val="75DC6675"/>
    <w:rsid w:val="7631415B"/>
    <w:rsid w:val="7770408A"/>
    <w:rsid w:val="78CF314E"/>
    <w:rsid w:val="78FB36EA"/>
    <w:rsid w:val="794E4334"/>
    <w:rsid w:val="7BBB3515"/>
    <w:rsid w:val="7BC47911"/>
    <w:rsid w:val="7C077878"/>
    <w:rsid w:val="7C766467"/>
    <w:rsid w:val="7CF45685"/>
    <w:rsid w:val="7DE00C5F"/>
    <w:rsid w:val="7FDF4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semiHidden="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4">
    <w:name w:val="heading 1"/>
    <w:basedOn w:val="1"/>
    <w:next w:val="1"/>
    <w:link w:val="83"/>
    <w:qFormat/>
    <w:uiPriority w:val="0"/>
    <w:pPr>
      <w:keepNext/>
      <w:keepLines/>
      <w:spacing w:before="340" w:after="330" w:line="578" w:lineRule="auto"/>
      <w:outlineLvl w:val="0"/>
    </w:pPr>
    <w:rPr>
      <w:rFonts w:hint="eastAsia" w:ascii="楷体_GB2312" w:hAnsi="Times New Roman" w:eastAsia="楷体_GB2312"/>
      <w:b/>
      <w:kern w:val="44"/>
      <w:sz w:val="44"/>
      <w:szCs w:val="20"/>
    </w:rPr>
  </w:style>
  <w:style w:type="paragraph" w:styleId="5">
    <w:name w:val="heading 2"/>
    <w:basedOn w:val="1"/>
    <w:next w:val="1"/>
    <w:link w:val="88"/>
    <w:qFormat/>
    <w:uiPriority w:val="0"/>
    <w:pPr>
      <w:keepNext/>
      <w:keepLines/>
      <w:spacing w:before="260" w:after="260" w:line="416" w:lineRule="auto"/>
      <w:outlineLvl w:val="1"/>
    </w:pPr>
    <w:rPr>
      <w:rFonts w:ascii="Arial" w:hAnsi="Arial" w:eastAsia="黑体"/>
      <w:b/>
      <w:sz w:val="32"/>
      <w:szCs w:val="20"/>
    </w:rPr>
  </w:style>
  <w:style w:type="paragraph" w:styleId="6">
    <w:name w:val="heading 3"/>
    <w:basedOn w:val="1"/>
    <w:next w:val="1"/>
    <w:link w:val="89"/>
    <w:qFormat/>
    <w:uiPriority w:val="0"/>
    <w:pPr>
      <w:keepNext/>
      <w:keepLines/>
      <w:spacing w:line="360" w:lineRule="auto"/>
      <w:outlineLvl w:val="2"/>
    </w:pPr>
    <w:rPr>
      <w:rFonts w:ascii="Times New Roman" w:hAnsi="Times New Roman"/>
      <w:b/>
      <w:sz w:val="32"/>
      <w:szCs w:val="20"/>
    </w:rPr>
  </w:style>
  <w:style w:type="paragraph" w:styleId="7">
    <w:name w:val="heading 4"/>
    <w:basedOn w:val="1"/>
    <w:next w:val="1"/>
    <w:link w:val="75"/>
    <w:qFormat/>
    <w:uiPriority w:val="0"/>
    <w:pPr>
      <w:keepNext/>
      <w:keepLines/>
      <w:spacing w:before="280" w:after="290" w:line="376" w:lineRule="auto"/>
      <w:outlineLvl w:val="3"/>
    </w:pPr>
    <w:rPr>
      <w:rFonts w:ascii="Times New Roman" w:hAnsi="Times New Roman"/>
      <w:sz w:val="32"/>
      <w:szCs w:val="20"/>
    </w:rPr>
  </w:style>
  <w:style w:type="paragraph" w:styleId="8">
    <w:name w:val="heading 5"/>
    <w:basedOn w:val="1"/>
    <w:next w:val="1"/>
    <w:link w:val="54"/>
    <w:qFormat/>
    <w:uiPriority w:val="0"/>
    <w:pPr>
      <w:keepNext/>
      <w:keepLines/>
      <w:spacing w:before="280" w:after="290" w:line="372" w:lineRule="auto"/>
      <w:outlineLvl w:val="4"/>
    </w:pPr>
    <w:rPr>
      <w:rFonts w:ascii="Times New Roman" w:hAnsi="Times New Roman"/>
      <w:b/>
      <w:sz w:val="28"/>
      <w:szCs w:val="28"/>
    </w:rPr>
  </w:style>
  <w:style w:type="paragraph" w:styleId="9">
    <w:name w:val="heading 6"/>
    <w:basedOn w:val="1"/>
    <w:next w:val="1"/>
    <w:link w:val="78"/>
    <w:qFormat/>
    <w:uiPriority w:val="0"/>
    <w:pPr>
      <w:keepNext/>
      <w:keepLines/>
      <w:spacing w:before="240" w:after="64" w:line="317" w:lineRule="auto"/>
      <w:outlineLvl w:val="5"/>
    </w:pPr>
    <w:rPr>
      <w:rFonts w:hint="eastAsia" w:ascii="宋体" w:hAnsi="宋体"/>
      <w:b/>
      <w:kern w:val="0"/>
      <w:sz w:val="24"/>
      <w:lang w:eastAsia="en-US"/>
    </w:rPr>
  </w:style>
  <w:style w:type="paragraph" w:styleId="10">
    <w:name w:val="heading 7"/>
    <w:basedOn w:val="1"/>
    <w:next w:val="1"/>
    <w:link w:val="58"/>
    <w:qFormat/>
    <w:uiPriority w:val="0"/>
    <w:pPr>
      <w:keepNext/>
      <w:keepLines/>
      <w:spacing w:before="240" w:after="64" w:line="317" w:lineRule="auto"/>
      <w:outlineLvl w:val="6"/>
    </w:pPr>
    <w:rPr>
      <w:rFonts w:hint="eastAsia" w:ascii="宋体" w:hAnsi="宋体"/>
      <w:b/>
      <w:kern w:val="0"/>
      <w:szCs w:val="21"/>
      <w:lang w:eastAsia="en-US"/>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7"/>
    <w:qFormat/>
    <w:uiPriority w:val="0"/>
    <w:rPr>
      <w:rFonts w:ascii="Times New Roman" w:hAnsi="Times New Roman"/>
    </w:rPr>
  </w:style>
  <w:style w:type="paragraph" w:styleId="3">
    <w:name w:val="Body Text 2"/>
    <w:basedOn w:val="1"/>
    <w:next w:val="2"/>
    <w:link w:val="73"/>
    <w:unhideWhenUsed/>
    <w:qFormat/>
    <w:uiPriority w:val="0"/>
    <w:pPr>
      <w:spacing w:after="120" w:line="480" w:lineRule="auto"/>
    </w:pPr>
    <w:rPr>
      <w:rFonts w:ascii="Times New Roman" w:hAnsi="Times New Roman"/>
    </w:rPr>
  </w:style>
  <w:style w:type="paragraph" w:styleId="11">
    <w:name w:val="toc 7"/>
    <w:basedOn w:val="1"/>
    <w:next w:val="1"/>
    <w:qFormat/>
    <w:uiPriority w:val="0"/>
    <w:pPr>
      <w:ind w:left="2520" w:leftChars="1200"/>
    </w:pPr>
    <w:rPr>
      <w:rFonts w:ascii="Times New Roman" w:hAnsi="Times New Roman"/>
    </w:rPr>
  </w:style>
  <w:style w:type="paragraph" w:styleId="12">
    <w:name w:val="Normal Indent"/>
    <w:basedOn w:val="1"/>
    <w:unhideWhenUsed/>
    <w:qFormat/>
    <w:uiPriority w:val="99"/>
    <w:pPr>
      <w:ind w:firstLine="420"/>
    </w:pPr>
    <w:rPr>
      <w:rFonts w:ascii="Calibri" w:hAnsi="Calibri"/>
      <w:szCs w:val="20"/>
    </w:rPr>
  </w:style>
  <w:style w:type="paragraph" w:styleId="13">
    <w:name w:val="Document Map"/>
    <w:basedOn w:val="1"/>
    <w:link w:val="70"/>
    <w:unhideWhenUsed/>
    <w:qFormat/>
    <w:uiPriority w:val="0"/>
    <w:pPr>
      <w:shd w:val="clear" w:color="auto" w:fill="000080"/>
    </w:pPr>
    <w:rPr>
      <w:rFonts w:ascii="Times New Roman" w:hAnsi="Times New Roman"/>
    </w:rPr>
  </w:style>
  <w:style w:type="paragraph" w:styleId="14">
    <w:name w:val="toa heading"/>
    <w:basedOn w:val="1"/>
    <w:next w:val="1"/>
    <w:unhideWhenUsed/>
    <w:qFormat/>
    <w:uiPriority w:val="99"/>
    <w:pPr>
      <w:spacing w:before="120"/>
    </w:pPr>
    <w:rPr>
      <w:rFonts w:ascii="Arial" w:hAnsi="Arial" w:cs="Arial"/>
      <w:sz w:val="24"/>
    </w:rPr>
  </w:style>
  <w:style w:type="paragraph" w:styleId="15">
    <w:name w:val="annotation text"/>
    <w:basedOn w:val="1"/>
    <w:link w:val="69"/>
    <w:unhideWhenUsed/>
    <w:qFormat/>
    <w:uiPriority w:val="0"/>
    <w:pPr>
      <w:jc w:val="left"/>
    </w:pPr>
    <w:rPr>
      <w:rFonts w:ascii="Times New Roman" w:hAnsi="Times New Roman"/>
    </w:rPr>
  </w:style>
  <w:style w:type="paragraph" w:styleId="16">
    <w:name w:val="Body Text 3"/>
    <w:basedOn w:val="1"/>
    <w:link w:val="48"/>
    <w:unhideWhenUsed/>
    <w:qFormat/>
    <w:uiPriority w:val="0"/>
    <w:pPr>
      <w:spacing w:after="120"/>
    </w:pPr>
    <w:rPr>
      <w:rFonts w:ascii="Times New Roman" w:hAnsi="Times New Roman"/>
      <w:sz w:val="16"/>
      <w:szCs w:val="16"/>
    </w:rPr>
  </w:style>
  <w:style w:type="paragraph" w:styleId="17">
    <w:name w:val="Body Text Indent"/>
    <w:basedOn w:val="1"/>
    <w:link w:val="92"/>
    <w:qFormat/>
    <w:uiPriority w:val="0"/>
    <w:pPr>
      <w:ind w:firstLine="560" w:firstLineChars="200"/>
    </w:pPr>
    <w:rPr>
      <w:rFonts w:ascii="Times New Roman" w:hAnsi="Times New Roman"/>
    </w:rPr>
  </w:style>
  <w:style w:type="paragraph" w:styleId="18">
    <w:name w:val="toc 5"/>
    <w:basedOn w:val="1"/>
    <w:next w:val="1"/>
    <w:qFormat/>
    <w:uiPriority w:val="0"/>
    <w:pPr>
      <w:ind w:left="1680" w:leftChars="800"/>
    </w:pPr>
    <w:rPr>
      <w:rFonts w:ascii="Times New Roman" w:hAnsi="Times New Roman"/>
    </w:rPr>
  </w:style>
  <w:style w:type="paragraph" w:styleId="19">
    <w:name w:val="toc 3"/>
    <w:basedOn w:val="1"/>
    <w:next w:val="1"/>
    <w:qFormat/>
    <w:uiPriority w:val="0"/>
    <w:pPr>
      <w:ind w:left="840" w:leftChars="400"/>
    </w:pPr>
    <w:rPr>
      <w:rFonts w:ascii="Times New Roman" w:hAnsi="Times New Roman"/>
    </w:rPr>
  </w:style>
  <w:style w:type="paragraph" w:styleId="20">
    <w:name w:val="Plain Text"/>
    <w:basedOn w:val="1"/>
    <w:link w:val="50"/>
    <w:qFormat/>
    <w:uiPriority w:val="0"/>
    <w:rPr>
      <w:rFonts w:hint="eastAsia" w:ascii="宋体" w:hAnsi="Courier New"/>
      <w:szCs w:val="21"/>
    </w:rPr>
  </w:style>
  <w:style w:type="paragraph" w:styleId="21">
    <w:name w:val="toc 8"/>
    <w:basedOn w:val="1"/>
    <w:next w:val="1"/>
    <w:qFormat/>
    <w:uiPriority w:val="0"/>
    <w:pPr>
      <w:ind w:left="2940" w:leftChars="1400"/>
    </w:pPr>
    <w:rPr>
      <w:rFonts w:ascii="Times New Roman" w:hAnsi="Times New Roman"/>
    </w:rPr>
  </w:style>
  <w:style w:type="paragraph" w:styleId="22">
    <w:name w:val="Date"/>
    <w:basedOn w:val="1"/>
    <w:next w:val="1"/>
    <w:link w:val="63"/>
    <w:unhideWhenUsed/>
    <w:qFormat/>
    <w:uiPriority w:val="0"/>
    <w:pPr>
      <w:ind w:left="100" w:leftChars="2500"/>
    </w:pPr>
    <w:rPr>
      <w:rFonts w:ascii="Times New Roman" w:hAnsi="Times New Roman"/>
      <w:kern w:val="0"/>
      <w:sz w:val="28"/>
      <w:szCs w:val="20"/>
    </w:rPr>
  </w:style>
  <w:style w:type="paragraph" w:styleId="23">
    <w:name w:val="Body Text Indent 2"/>
    <w:basedOn w:val="1"/>
    <w:link w:val="72"/>
    <w:unhideWhenUsed/>
    <w:qFormat/>
    <w:uiPriority w:val="0"/>
    <w:pPr>
      <w:spacing w:after="120" w:line="480" w:lineRule="auto"/>
      <w:ind w:left="420" w:leftChars="200"/>
    </w:pPr>
    <w:rPr>
      <w:rFonts w:ascii="Times New Roman" w:hAnsi="Times New Roman"/>
    </w:rPr>
  </w:style>
  <w:style w:type="paragraph" w:styleId="24">
    <w:name w:val="Balloon Text"/>
    <w:basedOn w:val="1"/>
    <w:link w:val="80"/>
    <w:unhideWhenUsed/>
    <w:qFormat/>
    <w:uiPriority w:val="0"/>
    <w:rPr>
      <w:rFonts w:ascii="Times New Roman" w:hAnsi="Times New Roman"/>
      <w:sz w:val="18"/>
      <w:szCs w:val="18"/>
    </w:rPr>
  </w:style>
  <w:style w:type="paragraph" w:styleId="25">
    <w:name w:val="footer"/>
    <w:basedOn w:val="1"/>
    <w:link w:val="86"/>
    <w:qFormat/>
    <w:uiPriority w:val="0"/>
    <w:pPr>
      <w:tabs>
        <w:tab w:val="center" w:pos="4153"/>
        <w:tab w:val="right" w:pos="8306"/>
      </w:tabs>
      <w:snapToGrid w:val="0"/>
      <w:jc w:val="left"/>
    </w:pPr>
    <w:rPr>
      <w:rFonts w:ascii="Times New Roman" w:hAnsi="Times New Roman"/>
      <w:sz w:val="18"/>
      <w:szCs w:val="18"/>
    </w:rPr>
  </w:style>
  <w:style w:type="paragraph" w:styleId="26">
    <w:name w:val="header"/>
    <w:basedOn w:val="1"/>
    <w:link w:val="8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27">
    <w:name w:val="toc 1"/>
    <w:basedOn w:val="1"/>
    <w:next w:val="1"/>
    <w:qFormat/>
    <w:uiPriority w:val="0"/>
    <w:rPr>
      <w:rFonts w:ascii="Times New Roman" w:hAnsi="Times New Roman"/>
    </w:rPr>
  </w:style>
  <w:style w:type="paragraph" w:styleId="28">
    <w:name w:val="toc 4"/>
    <w:basedOn w:val="1"/>
    <w:next w:val="1"/>
    <w:qFormat/>
    <w:uiPriority w:val="0"/>
    <w:pPr>
      <w:ind w:left="1260" w:leftChars="600"/>
    </w:pPr>
    <w:rPr>
      <w:rFonts w:ascii="Times New Roman" w:hAnsi="Times New Roman"/>
    </w:rPr>
  </w:style>
  <w:style w:type="paragraph" w:styleId="29">
    <w:name w:val="toc 6"/>
    <w:basedOn w:val="1"/>
    <w:next w:val="1"/>
    <w:qFormat/>
    <w:uiPriority w:val="0"/>
    <w:pPr>
      <w:ind w:left="2100" w:leftChars="1000"/>
    </w:pPr>
    <w:rPr>
      <w:rFonts w:ascii="Times New Roman" w:hAnsi="Times New Roman"/>
    </w:rPr>
  </w:style>
  <w:style w:type="paragraph" w:styleId="30">
    <w:name w:val="Body Text Indent 3"/>
    <w:basedOn w:val="1"/>
    <w:link w:val="62"/>
    <w:qFormat/>
    <w:uiPriority w:val="0"/>
    <w:pPr>
      <w:ind w:firstLine="420" w:firstLineChars="200"/>
    </w:pPr>
    <w:rPr>
      <w:rFonts w:ascii="Times New Roman" w:hAnsi="Times New Roman"/>
      <w:sz w:val="16"/>
      <w:szCs w:val="16"/>
    </w:rPr>
  </w:style>
  <w:style w:type="paragraph" w:styleId="31">
    <w:name w:val="toc 2"/>
    <w:basedOn w:val="1"/>
    <w:next w:val="1"/>
    <w:qFormat/>
    <w:uiPriority w:val="0"/>
    <w:pPr>
      <w:ind w:left="420" w:leftChars="200"/>
    </w:pPr>
    <w:rPr>
      <w:rFonts w:ascii="Times New Roman" w:hAnsi="Times New Roman"/>
    </w:rPr>
  </w:style>
  <w:style w:type="paragraph" w:styleId="32">
    <w:name w:val="toc 9"/>
    <w:basedOn w:val="1"/>
    <w:next w:val="1"/>
    <w:qFormat/>
    <w:uiPriority w:val="0"/>
    <w:pPr>
      <w:ind w:left="3360" w:leftChars="1600"/>
    </w:pPr>
    <w:rPr>
      <w:rFonts w:ascii="Times New Roman" w:hAnsi="Times New Roman"/>
    </w:rPr>
  </w:style>
  <w:style w:type="paragraph" w:styleId="33">
    <w:name w:val="HTML Preformatted"/>
    <w:basedOn w:val="1"/>
    <w:link w:val="68"/>
    <w:unhideWhenUsed/>
    <w:qFormat/>
    <w:uiPriority w:val="0"/>
    <w:rPr>
      <w:rFonts w:ascii="Arial" w:hAnsi="Arial"/>
      <w:kern w:val="0"/>
      <w:sz w:val="24"/>
    </w:rPr>
  </w:style>
  <w:style w:type="paragraph" w:styleId="3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5">
    <w:name w:val="Title"/>
    <w:basedOn w:val="1"/>
    <w:next w:val="1"/>
    <w:link w:val="56"/>
    <w:qFormat/>
    <w:uiPriority w:val="0"/>
    <w:pPr>
      <w:spacing w:before="240" w:after="60"/>
      <w:jc w:val="center"/>
      <w:outlineLvl w:val="0"/>
    </w:pPr>
    <w:rPr>
      <w:rFonts w:ascii="Calibri Light" w:hAnsi="Calibri Light" w:eastAsia="Calibri Light"/>
      <w:b/>
      <w:sz w:val="32"/>
      <w:szCs w:val="32"/>
    </w:rPr>
  </w:style>
  <w:style w:type="paragraph" w:styleId="36">
    <w:name w:val="annotation subject"/>
    <w:basedOn w:val="15"/>
    <w:next w:val="15"/>
    <w:link w:val="60"/>
    <w:unhideWhenUsed/>
    <w:qFormat/>
    <w:uiPriority w:val="0"/>
    <w:rPr>
      <w:b/>
    </w:rPr>
  </w:style>
  <w:style w:type="paragraph" w:styleId="37">
    <w:name w:val="Body Text First Indent"/>
    <w:basedOn w:val="2"/>
    <w:link w:val="93"/>
    <w:unhideWhenUsed/>
    <w:qFormat/>
    <w:uiPriority w:val="0"/>
    <w:pPr>
      <w:ind w:firstLine="420" w:firstLineChars="100"/>
    </w:pPr>
    <w:rPr>
      <w:rFonts w:hint="eastAsia" w:ascii="楷体_GB2312" w:eastAsia="楷体_GB2312"/>
      <w:sz w:val="32"/>
    </w:rPr>
  </w:style>
  <w:style w:type="paragraph" w:styleId="38">
    <w:name w:val="Body Text First Indent 2"/>
    <w:basedOn w:val="17"/>
    <w:qFormat/>
    <w:uiPriority w:val="0"/>
    <w:pPr>
      <w:ind w:firstLine="420"/>
    </w:pPr>
  </w:style>
  <w:style w:type="table" w:styleId="40">
    <w:name w:val="Table Grid"/>
    <w:basedOn w:val="3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page number"/>
    <w:qFormat/>
    <w:uiPriority w:val="0"/>
    <w:rPr>
      <w:rFonts w:ascii="Times New Roman" w:hAnsi="Times New Roman" w:eastAsia="宋体" w:cs="Times New Roman"/>
    </w:rPr>
  </w:style>
  <w:style w:type="character" w:styleId="43">
    <w:name w:val="FollowedHyperlink"/>
    <w:unhideWhenUsed/>
    <w:qFormat/>
    <w:uiPriority w:val="99"/>
    <w:rPr>
      <w:rFonts w:ascii="Times New Roman" w:hAnsi="Times New Roman" w:eastAsia="宋体" w:cs="Times New Roman"/>
      <w:color w:val="333333"/>
      <w:u w:val="none"/>
    </w:rPr>
  </w:style>
  <w:style w:type="character" w:styleId="44">
    <w:name w:val="Hyperlink"/>
    <w:qFormat/>
    <w:uiPriority w:val="0"/>
    <w:rPr>
      <w:rFonts w:ascii="Times New Roman" w:hAnsi="Times New Roman" w:eastAsia="宋体" w:cs="Times New Roman"/>
      <w:color w:val="0000FF"/>
      <w:u w:val="single"/>
    </w:rPr>
  </w:style>
  <w:style w:type="character" w:styleId="45">
    <w:name w:val="annotation reference"/>
    <w:unhideWhenUsed/>
    <w:qFormat/>
    <w:uiPriority w:val="99"/>
    <w:rPr>
      <w:rFonts w:ascii="Times New Roman" w:hAnsi="Times New Roman" w:eastAsia="宋体" w:cs="Times New Roman"/>
      <w:sz w:val="21"/>
      <w:szCs w:val="21"/>
    </w:rPr>
  </w:style>
  <w:style w:type="paragraph" w:customStyle="1" w:styleId="46">
    <w:name w:val="无间隔1"/>
    <w:qFormat/>
    <w:uiPriority w:val="1"/>
    <w:pPr>
      <w:widowControl w:val="0"/>
      <w:jc w:val="both"/>
    </w:pPr>
    <w:rPr>
      <w:rFonts w:ascii="Calibri" w:hAnsi="Calibri" w:eastAsia="宋体" w:cs="Times New Roman"/>
      <w:kern w:val="2"/>
      <w:sz w:val="24"/>
      <w:szCs w:val="22"/>
      <w:lang w:val="en-US" w:eastAsia="zh-CN" w:bidi="ar-SA"/>
    </w:rPr>
  </w:style>
  <w:style w:type="character" w:customStyle="1" w:styleId="47">
    <w:name w:val="font1"/>
    <w:qFormat/>
    <w:uiPriority w:val="0"/>
    <w:rPr>
      <w:rFonts w:ascii="Times New Roman" w:hAnsi="Times New Roman" w:eastAsia="宋体" w:cs="Times New Roman"/>
      <w:color w:val="999999"/>
      <w:sz w:val="18"/>
      <w:szCs w:val="18"/>
      <w:u w:val="none"/>
    </w:rPr>
  </w:style>
  <w:style w:type="character" w:customStyle="1" w:styleId="48">
    <w:name w:val="正文文本 3 Char"/>
    <w:link w:val="16"/>
    <w:qFormat/>
    <w:uiPriority w:val="0"/>
    <w:rPr>
      <w:rFonts w:ascii="Times New Roman" w:hAnsi="Times New Roman" w:eastAsia="宋体" w:cs="Times New Roman"/>
      <w:kern w:val="2"/>
      <w:sz w:val="16"/>
      <w:szCs w:val="16"/>
    </w:rPr>
  </w:style>
  <w:style w:type="character" w:customStyle="1" w:styleId="49">
    <w:name w:val="pt91"/>
    <w:qFormat/>
    <w:uiPriority w:val="0"/>
    <w:rPr>
      <w:rFonts w:hint="default" w:ascii="_x000B__x000C_" w:hAnsi="_x000B__x000C_" w:eastAsia="_x000B__x000C_" w:cs="_x000B__x000C_"/>
      <w:color w:val="333333"/>
      <w:sz w:val="18"/>
      <w:szCs w:val="18"/>
    </w:rPr>
  </w:style>
  <w:style w:type="character" w:customStyle="1" w:styleId="50">
    <w:name w:val="纯文本 Char"/>
    <w:link w:val="20"/>
    <w:qFormat/>
    <w:uiPriority w:val="0"/>
    <w:rPr>
      <w:rFonts w:hint="eastAsia" w:ascii="宋体" w:hAnsi="Courier New" w:eastAsia="宋体" w:cs="Courier New"/>
      <w:kern w:val="2"/>
      <w:sz w:val="21"/>
      <w:szCs w:val="21"/>
    </w:rPr>
  </w:style>
  <w:style w:type="character" w:customStyle="1" w:styleId="51">
    <w:name w:val="fontstyle01"/>
    <w:qFormat/>
    <w:uiPriority w:val="0"/>
    <w:rPr>
      <w:rFonts w:hint="default" w:ascii="FZSSK--GBK1-0" w:hAnsi="FZSSK--GBK1-0" w:eastAsia="FZSSK--GBK1-0" w:cs="FZSSK--GBK1-0"/>
      <w:color w:val="000000"/>
      <w:sz w:val="20"/>
      <w:szCs w:val="20"/>
    </w:rPr>
  </w:style>
  <w:style w:type="character" w:customStyle="1" w:styleId="52">
    <w:name w:val="Char Char15"/>
    <w:qFormat/>
    <w:uiPriority w:val="0"/>
    <w:rPr>
      <w:rFonts w:ascii="Times New Roman" w:hAnsi="Times New Roman" w:eastAsia="宋体" w:cs="Times New Roman"/>
      <w:kern w:val="2"/>
      <w:sz w:val="32"/>
    </w:rPr>
  </w:style>
  <w:style w:type="character" w:customStyle="1" w:styleId="53">
    <w:name w:val="纯文本 Char1"/>
    <w:qFormat/>
    <w:uiPriority w:val="0"/>
    <w:rPr>
      <w:rFonts w:hint="eastAsia" w:ascii="宋体" w:hAnsi="Courier New" w:eastAsia="宋体" w:cs="宋体"/>
      <w:kern w:val="2"/>
      <w:sz w:val="21"/>
      <w:lang w:eastAsia="zh-CN"/>
    </w:rPr>
  </w:style>
  <w:style w:type="character" w:customStyle="1" w:styleId="54">
    <w:name w:val="标题 5 Char"/>
    <w:link w:val="8"/>
    <w:qFormat/>
    <w:uiPriority w:val="0"/>
    <w:rPr>
      <w:rFonts w:ascii="Times New Roman" w:hAnsi="Times New Roman" w:eastAsia="宋体" w:cs="Times New Roman"/>
      <w:b/>
      <w:kern w:val="2"/>
      <w:sz w:val="28"/>
      <w:szCs w:val="28"/>
    </w:rPr>
  </w:style>
  <w:style w:type="character" w:customStyle="1" w:styleId="55">
    <w:name w:val="wen11"/>
    <w:qFormat/>
    <w:uiPriority w:val="0"/>
    <w:rPr>
      <w:rFonts w:ascii="Times New Roman" w:hAnsi="Times New Roman" w:eastAsia="宋体" w:cs="Times New Roman"/>
      <w:color w:val="000000"/>
      <w:sz w:val="21"/>
      <w:szCs w:val="21"/>
    </w:rPr>
  </w:style>
  <w:style w:type="character" w:customStyle="1" w:styleId="56">
    <w:name w:val="标题 Char"/>
    <w:link w:val="35"/>
    <w:qFormat/>
    <w:uiPriority w:val="0"/>
    <w:rPr>
      <w:rFonts w:hint="default" w:ascii="Calibri Light" w:hAnsi="Calibri Light" w:eastAsia="Calibri Light" w:cs="Calibri Light"/>
      <w:b/>
      <w:kern w:val="2"/>
      <w:sz w:val="32"/>
      <w:szCs w:val="32"/>
    </w:rPr>
  </w:style>
  <w:style w:type="character" w:customStyle="1" w:styleId="57">
    <w:name w:val="正文文本 Char"/>
    <w:link w:val="2"/>
    <w:qFormat/>
    <w:uiPriority w:val="0"/>
    <w:rPr>
      <w:rFonts w:ascii="Times New Roman" w:hAnsi="Times New Roman" w:eastAsia="宋体" w:cs="Times New Roman"/>
      <w:kern w:val="2"/>
      <w:sz w:val="21"/>
      <w:szCs w:val="24"/>
    </w:rPr>
  </w:style>
  <w:style w:type="character" w:customStyle="1" w:styleId="58">
    <w:name w:val="标题 7 Char"/>
    <w:link w:val="10"/>
    <w:qFormat/>
    <w:uiPriority w:val="0"/>
    <w:rPr>
      <w:rFonts w:hint="eastAsia" w:ascii="宋体" w:hAnsi="宋体" w:eastAsia="宋体" w:cs="宋体"/>
      <w:b/>
      <w:sz w:val="21"/>
      <w:szCs w:val="21"/>
      <w:lang w:eastAsia="en-US"/>
    </w:rPr>
  </w:style>
  <w:style w:type="character" w:customStyle="1" w:styleId="59">
    <w:name w:val="displayarti"/>
    <w:qFormat/>
    <w:uiPriority w:val="0"/>
    <w:rPr>
      <w:rFonts w:ascii="Times New Roman" w:hAnsi="Times New Roman" w:eastAsia="宋体" w:cs="Times New Roman"/>
      <w:color w:val="FFFFFF"/>
      <w:shd w:val="clear" w:color="auto" w:fill="A00000"/>
    </w:rPr>
  </w:style>
  <w:style w:type="character" w:customStyle="1" w:styleId="60">
    <w:name w:val="批注主题 Char"/>
    <w:link w:val="36"/>
    <w:qFormat/>
    <w:uiPriority w:val="0"/>
    <w:rPr>
      <w:rFonts w:ascii="Times New Roman" w:hAnsi="Times New Roman" w:eastAsia="宋体" w:cs="Times New Roman"/>
      <w:b/>
      <w:kern w:val="2"/>
      <w:sz w:val="21"/>
      <w:szCs w:val="24"/>
    </w:rPr>
  </w:style>
  <w:style w:type="character" w:customStyle="1" w:styleId="61">
    <w:name w:val="Table Text Char1"/>
    <w:qFormat/>
    <w:uiPriority w:val="0"/>
    <w:rPr>
      <w:rFonts w:hint="default" w:ascii="Arial" w:hAnsi="Arial" w:eastAsia="宋体" w:cs="Arial"/>
      <w:kern w:val="2"/>
      <w:sz w:val="18"/>
      <w:szCs w:val="24"/>
    </w:rPr>
  </w:style>
  <w:style w:type="character" w:customStyle="1" w:styleId="62">
    <w:name w:val="正文文本缩进 3 Char"/>
    <w:link w:val="30"/>
    <w:qFormat/>
    <w:uiPriority w:val="0"/>
    <w:rPr>
      <w:rFonts w:ascii="Times New Roman" w:hAnsi="Times New Roman" w:eastAsia="宋体" w:cs="Times New Roman"/>
      <w:kern w:val="2"/>
      <w:sz w:val="16"/>
      <w:szCs w:val="16"/>
    </w:rPr>
  </w:style>
  <w:style w:type="character" w:customStyle="1" w:styleId="63">
    <w:name w:val="日期 Char"/>
    <w:link w:val="22"/>
    <w:qFormat/>
    <w:uiPriority w:val="0"/>
    <w:rPr>
      <w:rFonts w:ascii="Times New Roman" w:hAnsi="Times New Roman" w:eastAsia="宋体" w:cs="Times New Roman"/>
      <w:sz w:val="28"/>
    </w:rPr>
  </w:style>
  <w:style w:type="character" w:customStyle="1" w:styleId="64">
    <w:name w:val="Char Char16"/>
    <w:qFormat/>
    <w:uiPriority w:val="0"/>
    <w:rPr>
      <w:rFonts w:ascii="Times New Roman" w:hAnsi="Times New Roman" w:eastAsia="宋体" w:cs="Times New Roman"/>
      <w:b/>
      <w:kern w:val="2"/>
      <w:sz w:val="32"/>
    </w:rPr>
  </w:style>
  <w:style w:type="character" w:customStyle="1" w:styleId="65">
    <w:name w:val="gpa"/>
    <w:qFormat/>
    <w:uiPriority w:val="0"/>
    <w:rPr>
      <w:rFonts w:hint="default" w:ascii="Arial" w:hAnsi="Arial" w:eastAsia="宋体" w:cs="Arial"/>
      <w:sz w:val="15"/>
      <w:szCs w:val="15"/>
    </w:rPr>
  </w:style>
  <w:style w:type="character" w:customStyle="1" w:styleId="66">
    <w:name w:val="p12h15"/>
    <w:basedOn w:val="41"/>
    <w:qFormat/>
    <w:uiPriority w:val="0"/>
  </w:style>
  <w:style w:type="character" w:customStyle="1" w:styleId="67">
    <w:name w:val="Char Char17"/>
    <w:qFormat/>
    <w:uiPriority w:val="0"/>
    <w:rPr>
      <w:rFonts w:hint="eastAsia" w:ascii="楷体_GB2312" w:hAnsi="Times New Roman" w:eastAsia="楷体_GB2312" w:cs="楷体_GB2312"/>
      <w:b/>
      <w:kern w:val="44"/>
      <w:sz w:val="44"/>
    </w:rPr>
  </w:style>
  <w:style w:type="character" w:customStyle="1" w:styleId="68">
    <w:name w:val="HTML 预设格式 Char"/>
    <w:link w:val="33"/>
    <w:qFormat/>
    <w:uiPriority w:val="0"/>
    <w:rPr>
      <w:rFonts w:hint="default" w:ascii="Arial" w:hAnsi="Arial" w:eastAsia="宋体" w:cs="Arial"/>
      <w:sz w:val="24"/>
      <w:szCs w:val="24"/>
    </w:rPr>
  </w:style>
  <w:style w:type="character" w:customStyle="1" w:styleId="69">
    <w:name w:val="批注文字 Char"/>
    <w:link w:val="15"/>
    <w:qFormat/>
    <w:uiPriority w:val="0"/>
    <w:rPr>
      <w:rFonts w:ascii="Times New Roman" w:hAnsi="Times New Roman" w:eastAsia="宋体" w:cs="Times New Roman"/>
      <w:kern w:val="2"/>
      <w:sz w:val="21"/>
      <w:szCs w:val="24"/>
    </w:rPr>
  </w:style>
  <w:style w:type="character" w:customStyle="1" w:styleId="70">
    <w:name w:val="文档结构图 Char"/>
    <w:link w:val="13"/>
    <w:qFormat/>
    <w:uiPriority w:val="0"/>
    <w:rPr>
      <w:rFonts w:ascii="Times New Roman" w:hAnsi="Times New Roman" w:eastAsia="宋体" w:cs="Times New Roman"/>
      <w:kern w:val="2"/>
      <w:sz w:val="21"/>
      <w:szCs w:val="24"/>
      <w:shd w:val="clear" w:color="auto" w:fill="000080"/>
    </w:rPr>
  </w:style>
  <w:style w:type="character" w:customStyle="1" w:styleId="71">
    <w:name w:val="Comment Text Char"/>
    <w:qFormat/>
    <w:uiPriority w:val="0"/>
    <w:rPr>
      <w:rFonts w:hint="default" w:ascii="Times New Roman" w:hAnsi="Times New Roman" w:eastAsia="宋体" w:cs="Times New Roman"/>
      <w:sz w:val="24"/>
    </w:rPr>
  </w:style>
  <w:style w:type="character" w:customStyle="1" w:styleId="72">
    <w:name w:val="正文文本缩进 2 Char"/>
    <w:link w:val="23"/>
    <w:qFormat/>
    <w:uiPriority w:val="0"/>
    <w:rPr>
      <w:rFonts w:ascii="Times New Roman" w:hAnsi="Times New Roman" w:eastAsia="宋体" w:cs="Times New Roman"/>
      <w:kern w:val="2"/>
      <w:sz w:val="21"/>
      <w:szCs w:val="24"/>
    </w:rPr>
  </w:style>
  <w:style w:type="character" w:customStyle="1" w:styleId="73">
    <w:name w:val="正文文本 2 Char"/>
    <w:link w:val="3"/>
    <w:qFormat/>
    <w:uiPriority w:val="0"/>
    <w:rPr>
      <w:rFonts w:ascii="Times New Roman" w:hAnsi="Times New Roman" w:eastAsia="宋体" w:cs="Times New Roman"/>
      <w:kern w:val="2"/>
      <w:sz w:val="21"/>
      <w:szCs w:val="24"/>
    </w:rPr>
  </w:style>
  <w:style w:type="character" w:customStyle="1" w:styleId="74">
    <w:name w:val="selected"/>
    <w:qFormat/>
    <w:uiPriority w:val="0"/>
    <w:rPr>
      <w:rFonts w:ascii="Times New Roman" w:hAnsi="Times New Roman" w:eastAsia="宋体" w:cs="Times New Roman"/>
      <w:shd w:val="clear" w:color="auto" w:fill="B00006"/>
    </w:rPr>
  </w:style>
  <w:style w:type="character" w:customStyle="1" w:styleId="75">
    <w:name w:val="标题 4 Char"/>
    <w:link w:val="7"/>
    <w:qFormat/>
    <w:uiPriority w:val="0"/>
    <w:rPr>
      <w:rFonts w:ascii="Times New Roman" w:hAnsi="Times New Roman" w:eastAsia="宋体" w:cs="Times New Roman"/>
      <w:kern w:val="2"/>
      <w:sz w:val="32"/>
    </w:rPr>
  </w:style>
  <w:style w:type="character" w:customStyle="1" w:styleId="76">
    <w:name w:val="Item List in Table Char Char"/>
    <w:qFormat/>
    <w:uiPriority w:val="0"/>
    <w:rPr>
      <w:rFonts w:hint="default" w:ascii="Arial" w:hAnsi="Arial" w:eastAsia="宋体" w:cs="Arial"/>
      <w:sz w:val="18"/>
      <w:szCs w:val="18"/>
    </w:rPr>
  </w:style>
  <w:style w:type="character" w:customStyle="1" w:styleId="77">
    <w:name w:val="标题 2 Char Char Char"/>
    <w:qFormat/>
    <w:uiPriority w:val="0"/>
    <w:rPr>
      <w:rFonts w:hint="default" w:ascii="Arial" w:hAnsi="Arial" w:eastAsia="黑体" w:cs="Arial"/>
      <w:b/>
      <w:kern w:val="2"/>
      <w:sz w:val="32"/>
      <w:szCs w:val="32"/>
      <w:lang w:val="en-US" w:eastAsia="zh-CN"/>
    </w:rPr>
  </w:style>
  <w:style w:type="character" w:customStyle="1" w:styleId="78">
    <w:name w:val="标题 6 Char"/>
    <w:link w:val="9"/>
    <w:qFormat/>
    <w:uiPriority w:val="0"/>
    <w:rPr>
      <w:rFonts w:hint="eastAsia" w:ascii="宋体" w:hAnsi="宋体" w:eastAsia="宋体" w:cs="宋体"/>
      <w:b/>
      <w:sz w:val="24"/>
      <w:szCs w:val="24"/>
      <w:lang w:eastAsia="en-US"/>
    </w:rPr>
  </w:style>
  <w:style w:type="character" w:customStyle="1" w:styleId="79">
    <w:name w:val="普通文字 Char Char Char Char"/>
    <w:qFormat/>
    <w:uiPriority w:val="0"/>
    <w:rPr>
      <w:rFonts w:hint="eastAsia" w:ascii="宋体" w:hAnsi="Courier New" w:eastAsia="宋体" w:cs="宋体"/>
      <w:color w:val="000080"/>
      <w:sz w:val="21"/>
      <w:szCs w:val="21"/>
      <w:lang w:val="en-US" w:eastAsia="zh-CN"/>
    </w:rPr>
  </w:style>
  <w:style w:type="character" w:customStyle="1" w:styleId="80">
    <w:name w:val="批注框文本 Char"/>
    <w:link w:val="24"/>
    <w:qFormat/>
    <w:uiPriority w:val="0"/>
    <w:rPr>
      <w:rFonts w:ascii="Times New Roman" w:hAnsi="Times New Roman" w:eastAsia="宋体" w:cs="Times New Roman"/>
      <w:kern w:val="2"/>
      <w:sz w:val="18"/>
      <w:szCs w:val="18"/>
    </w:rPr>
  </w:style>
  <w:style w:type="character" w:customStyle="1" w:styleId="81">
    <w:name w:val="Balloon Text Char"/>
    <w:qFormat/>
    <w:uiPriority w:val="0"/>
    <w:rPr>
      <w:rFonts w:ascii="Times New Roman" w:hAnsi="Times New Roman" w:eastAsia="宋体" w:cs="Times New Roman"/>
      <w:sz w:val="18"/>
    </w:rPr>
  </w:style>
  <w:style w:type="character" w:customStyle="1" w:styleId="82">
    <w:name w:val="overfont"/>
    <w:basedOn w:val="41"/>
    <w:qFormat/>
    <w:uiPriority w:val="0"/>
  </w:style>
  <w:style w:type="character" w:customStyle="1" w:styleId="83">
    <w:name w:val="标题 1 Char"/>
    <w:link w:val="4"/>
    <w:qFormat/>
    <w:uiPriority w:val="0"/>
    <w:rPr>
      <w:rFonts w:hint="eastAsia" w:ascii="楷体_GB2312" w:hAnsi="Times New Roman" w:eastAsia="楷体_GB2312" w:cs="楷体_GB2312"/>
      <w:b/>
      <w:kern w:val="44"/>
      <w:sz w:val="44"/>
    </w:rPr>
  </w:style>
  <w:style w:type="character" w:customStyle="1" w:styleId="84">
    <w:name w:val="页眉 Char"/>
    <w:link w:val="26"/>
    <w:qFormat/>
    <w:uiPriority w:val="0"/>
    <w:rPr>
      <w:rFonts w:ascii="Times New Roman" w:hAnsi="Times New Roman" w:eastAsia="宋体" w:cs="Times New Roman"/>
      <w:kern w:val="2"/>
      <w:sz w:val="18"/>
      <w:szCs w:val="18"/>
    </w:rPr>
  </w:style>
  <w:style w:type="character" w:customStyle="1" w:styleId="85">
    <w:name w:val="Char Char11"/>
    <w:qFormat/>
    <w:uiPriority w:val="0"/>
    <w:rPr>
      <w:rFonts w:ascii="Times New Roman" w:hAnsi="Times New Roman" w:eastAsia="宋体" w:cs="Times New Roman"/>
      <w:kern w:val="2"/>
      <w:sz w:val="18"/>
      <w:szCs w:val="18"/>
    </w:rPr>
  </w:style>
  <w:style w:type="character" w:customStyle="1" w:styleId="86">
    <w:name w:val="页脚 Char"/>
    <w:link w:val="25"/>
    <w:qFormat/>
    <w:uiPriority w:val="0"/>
    <w:rPr>
      <w:rFonts w:ascii="Times New Roman" w:hAnsi="Times New Roman" w:eastAsia="宋体" w:cs="Times New Roman"/>
      <w:kern w:val="2"/>
      <w:sz w:val="18"/>
      <w:szCs w:val="18"/>
    </w:rPr>
  </w:style>
  <w:style w:type="character" w:customStyle="1" w:styleId="87">
    <w:name w:val="Char Char Char"/>
    <w:qFormat/>
    <w:uiPriority w:val="0"/>
    <w:rPr>
      <w:rFonts w:hint="eastAsia" w:ascii="宋体" w:hAnsi="Courier New" w:eastAsia="宋体" w:cs="宋体"/>
      <w:kern w:val="2"/>
      <w:sz w:val="21"/>
      <w:lang w:val="en-US" w:eastAsia="zh-CN"/>
    </w:rPr>
  </w:style>
  <w:style w:type="character" w:customStyle="1" w:styleId="88">
    <w:name w:val="标题 2 Char"/>
    <w:link w:val="5"/>
    <w:qFormat/>
    <w:uiPriority w:val="0"/>
    <w:rPr>
      <w:rFonts w:ascii="Arial" w:hAnsi="Arial" w:eastAsia="黑体" w:cs="Arial"/>
      <w:b/>
      <w:kern w:val="2"/>
      <w:sz w:val="32"/>
    </w:rPr>
  </w:style>
  <w:style w:type="character" w:customStyle="1" w:styleId="89">
    <w:name w:val="标题 3 Char"/>
    <w:link w:val="6"/>
    <w:qFormat/>
    <w:uiPriority w:val="0"/>
    <w:rPr>
      <w:rFonts w:ascii="Times New Roman" w:hAnsi="Times New Roman" w:eastAsia="宋体" w:cs="Times New Roman"/>
      <w:b/>
      <w:kern w:val="2"/>
      <w:sz w:val="32"/>
    </w:rPr>
  </w:style>
  <w:style w:type="character" w:customStyle="1" w:styleId="90">
    <w:name w:val="p0 Char Char"/>
    <w:qFormat/>
    <w:uiPriority w:val="0"/>
    <w:rPr>
      <w:rFonts w:ascii="Times New Roman" w:hAnsi="Times New Roman" w:eastAsia="宋体" w:cs="Times New Roman"/>
      <w:kern w:val="2"/>
      <w:sz w:val="21"/>
    </w:rPr>
  </w:style>
  <w:style w:type="character" w:customStyle="1" w:styleId="91">
    <w:name w:val="fontstyle11"/>
    <w:qFormat/>
    <w:uiPriority w:val="0"/>
    <w:rPr>
      <w:rFonts w:hint="default" w:ascii="E-BZ" w:hAnsi="E-BZ" w:eastAsia="E-BZ" w:cs="E-BZ"/>
      <w:color w:val="000000"/>
      <w:sz w:val="20"/>
      <w:szCs w:val="20"/>
    </w:rPr>
  </w:style>
  <w:style w:type="character" w:customStyle="1" w:styleId="92">
    <w:name w:val="正文文本缩进 Char"/>
    <w:link w:val="17"/>
    <w:qFormat/>
    <w:uiPriority w:val="0"/>
    <w:rPr>
      <w:rFonts w:ascii="Times New Roman" w:hAnsi="Times New Roman" w:eastAsia="宋体" w:cs="Times New Roman"/>
      <w:kern w:val="2"/>
      <w:sz w:val="21"/>
      <w:szCs w:val="24"/>
    </w:rPr>
  </w:style>
  <w:style w:type="character" w:customStyle="1" w:styleId="93">
    <w:name w:val="正文首行缩进 Char"/>
    <w:link w:val="37"/>
    <w:qFormat/>
    <w:uiPriority w:val="0"/>
    <w:rPr>
      <w:rFonts w:hint="eastAsia" w:ascii="楷体_GB2312" w:hAnsi="Times New Roman" w:eastAsia="楷体_GB2312" w:cs="楷体_GB2312"/>
      <w:kern w:val="2"/>
      <w:sz w:val="32"/>
      <w:szCs w:val="24"/>
    </w:rPr>
  </w:style>
  <w:style w:type="character" w:customStyle="1" w:styleId="94">
    <w:name w:val="font61"/>
    <w:basedOn w:val="41"/>
    <w:qFormat/>
    <w:uiPriority w:val="0"/>
    <w:rPr>
      <w:rFonts w:hint="eastAsia" w:ascii="宋体" w:hAnsi="宋体" w:eastAsia="宋体" w:cs="宋体"/>
      <w:color w:val="000000"/>
      <w:sz w:val="21"/>
      <w:szCs w:val="21"/>
      <w:u w:val="none"/>
    </w:rPr>
  </w:style>
  <w:style w:type="paragraph" w:customStyle="1" w:styleId="95">
    <w:name w:val="Body Text First Indent1"/>
    <w:basedOn w:val="2"/>
    <w:qFormat/>
    <w:uiPriority w:val="0"/>
    <w:pPr>
      <w:ind w:firstLine="420" w:firstLineChars="100"/>
    </w:pPr>
  </w:style>
  <w:style w:type="paragraph" w:customStyle="1" w:styleId="96">
    <w:name w:val="p0"/>
    <w:basedOn w:val="1"/>
    <w:qFormat/>
    <w:uiPriority w:val="0"/>
    <w:pPr>
      <w:widowControl/>
    </w:pPr>
    <w:rPr>
      <w:rFonts w:ascii="Times New Roman" w:hAnsi="Times New Roman"/>
      <w:kern w:val="0"/>
      <w:szCs w:val="21"/>
    </w:rPr>
  </w:style>
  <w:style w:type="paragraph" w:customStyle="1" w:styleId="97">
    <w:name w:val="a2"/>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98">
    <w:name w:val="Char"/>
    <w:basedOn w:val="1"/>
    <w:qFormat/>
    <w:uiPriority w:val="0"/>
    <w:pPr>
      <w:snapToGrid w:val="0"/>
      <w:spacing w:line="360" w:lineRule="auto"/>
      <w:ind w:firstLine="200" w:firstLineChars="200"/>
    </w:pPr>
    <w:rPr>
      <w:rFonts w:ascii="Times New Roman" w:hAnsi="Times New Roman"/>
    </w:rPr>
  </w:style>
  <w:style w:type="paragraph" w:customStyle="1" w:styleId="99">
    <w:name w:val="标题3-1"/>
    <w:basedOn w:val="6"/>
    <w:qFormat/>
    <w:uiPriority w:val="0"/>
    <w:pPr>
      <w:numPr>
        <w:ilvl w:val="0"/>
        <w:numId w:val="1"/>
      </w:numPr>
    </w:pPr>
    <w:rPr>
      <w:sz w:val="24"/>
    </w:rPr>
  </w:style>
  <w:style w:type="paragraph" w:customStyle="1" w:styleId="100">
    <w:name w:val="a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01">
    <w:name w:val="Default"/>
    <w:basedOn w:val="1"/>
    <w:qFormat/>
    <w:uiPriority w:val="0"/>
    <w:pPr>
      <w:autoSpaceDE w:val="0"/>
      <w:autoSpaceDN w:val="0"/>
      <w:adjustRightInd w:val="0"/>
      <w:jc w:val="left"/>
    </w:pPr>
    <w:rPr>
      <w:rFonts w:hint="eastAsia" w:ascii="宋体" w:hAnsi="Calibri"/>
      <w:color w:val="000000"/>
      <w:kern w:val="0"/>
      <w:sz w:val="24"/>
    </w:rPr>
  </w:style>
  <w:style w:type="paragraph" w:customStyle="1" w:styleId="102">
    <w:name w:val="列出段落1"/>
    <w:basedOn w:val="1"/>
    <w:qFormat/>
    <w:uiPriority w:val="0"/>
    <w:pPr>
      <w:ind w:firstLine="420" w:firstLineChars="200"/>
    </w:pPr>
    <w:rPr>
      <w:rFonts w:ascii="Times New Roman" w:hAnsi="Times New Roman"/>
    </w:rPr>
  </w:style>
  <w:style w:type="paragraph" w:customStyle="1" w:styleId="103">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104">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105">
    <w:name w:val="正文_13_0"/>
    <w:basedOn w:val="1"/>
    <w:qFormat/>
    <w:uiPriority w:val="0"/>
    <w:rPr>
      <w:rFonts w:ascii="Calibri" w:hAnsi="Calibri"/>
    </w:rPr>
  </w:style>
  <w:style w:type="paragraph" w:customStyle="1" w:styleId="106">
    <w:name w:val="xl41"/>
    <w:basedOn w:val="1"/>
    <w:qFormat/>
    <w:uiPriority w:val="0"/>
    <w:pPr>
      <w:widowControl/>
      <w:pBdr>
        <w:bottom w:val="single" w:color="auto" w:sz="4" w:space="0"/>
      </w:pBdr>
      <w:spacing w:before="100" w:beforeAutospacing="1" w:after="100" w:afterAutospacing="1"/>
      <w:jc w:val="center"/>
      <w:textAlignment w:val="center"/>
    </w:pPr>
    <w:rPr>
      <w:rFonts w:hint="eastAsia" w:ascii="黑体" w:hAnsi="宋体" w:eastAsia="黑体"/>
      <w:b/>
      <w:kern w:val="0"/>
      <w:sz w:val="32"/>
      <w:szCs w:val="20"/>
    </w:rPr>
  </w:style>
  <w:style w:type="paragraph" w:customStyle="1" w:styleId="107">
    <w:name w:val="Table Paragraph"/>
    <w:basedOn w:val="1"/>
    <w:unhideWhenUsed/>
    <w:qFormat/>
    <w:uiPriority w:val="1"/>
    <w:rPr>
      <w:sz w:val="24"/>
    </w:rPr>
  </w:style>
  <w:style w:type="paragraph" w:customStyle="1" w:styleId="10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p15"/>
    <w:basedOn w:val="1"/>
    <w:qFormat/>
    <w:uiPriority w:val="0"/>
    <w:pPr>
      <w:widowControl/>
      <w:spacing w:line="365" w:lineRule="atLeast"/>
      <w:ind w:left="1"/>
    </w:pPr>
    <w:rPr>
      <w:rFonts w:ascii="Times New Roman" w:hAnsi="Times New Roman"/>
      <w:kern w:val="0"/>
      <w:sz w:val="20"/>
    </w:rPr>
  </w:style>
  <w:style w:type="paragraph" w:customStyle="1" w:styleId="110">
    <w:name w:val="TOAHeading"/>
    <w:basedOn w:val="1"/>
    <w:next w:val="1"/>
    <w:qFormat/>
    <w:uiPriority w:val="0"/>
    <w:pPr>
      <w:spacing w:before="120"/>
      <w:textAlignment w:val="baseline"/>
    </w:pPr>
    <w:rPr>
      <w:rFonts w:ascii="Arial" w:hAnsi="Arial"/>
      <w:sz w:val="24"/>
      <w:szCs w:val="22"/>
    </w:rPr>
  </w:style>
  <w:style w:type="character" w:customStyle="1" w:styleId="111">
    <w:name w:val="NormalCharacter"/>
    <w:qFormat/>
    <w:uiPriority w:val="0"/>
    <w:rPr>
      <w:rFonts w:ascii="Book Antiqua" w:hAnsi="Book Antiqua" w:eastAsia="宋体" w:cs="Times New Roman"/>
      <w:kern w:val="2"/>
      <w:sz w:val="21"/>
      <w:szCs w:val="24"/>
      <w:lang w:val="en-US" w:eastAsia="zh-CN" w:bidi="ar-SA"/>
    </w:rPr>
  </w:style>
  <w:style w:type="paragraph" w:customStyle="1" w:styleId="112">
    <w:name w:val="BodyText1I"/>
    <w:basedOn w:val="113"/>
    <w:next w:val="115"/>
    <w:qFormat/>
    <w:uiPriority w:val="0"/>
    <w:pPr>
      <w:ind w:firstLine="420" w:firstLineChars="100"/>
    </w:pPr>
    <w:rPr>
      <w:rFonts w:ascii="楷体_GB2312"/>
      <w:sz w:val="32"/>
    </w:rPr>
  </w:style>
  <w:style w:type="paragraph" w:customStyle="1" w:styleId="113">
    <w:name w:val="BodyText"/>
    <w:basedOn w:val="1"/>
    <w:next w:val="114"/>
    <w:qFormat/>
    <w:uiPriority w:val="0"/>
    <w:pPr>
      <w:textAlignment w:val="baseline"/>
    </w:pPr>
    <w:rPr>
      <w:rFonts w:ascii="Calibri" w:hAnsi="Calibri" w:eastAsia="楷体_GB2312"/>
      <w:kern w:val="0"/>
      <w:sz w:val="28"/>
    </w:rPr>
  </w:style>
  <w:style w:type="paragraph" w:customStyle="1" w:styleId="114">
    <w:name w:val="BodyText2"/>
    <w:basedOn w:val="1"/>
    <w:next w:val="113"/>
    <w:qFormat/>
    <w:uiPriority w:val="0"/>
    <w:pPr>
      <w:spacing w:after="120" w:line="480" w:lineRule="auto"/>
      <w:textAlignment w:val="baseline"/>
    </w:pPr>
  </w:style>
  <w:style w:type="paragraph" w:customStyle="1" w:styleId="115">
    <w:name w:val="BodyText1I2"/>
    <w:basedOn w:val="116"/>
    <w:qFormat/>
    <w:uiPriority w:val="0"/>
    <w:pPr>
      <w:ind w:firstLine="420" w:firstLineChars="200"/>
    </w:pPr>
  </w:style>
  <w:style w:type="paragraph" w:customStyle="1" w:styleId="116">
    <w:name w:val="BodyTextIndent"/>
    <w:basedOn w:val="1"/>
    <w:qFormat/>
    <w:uiPriority w:val="0"/>
    <w:pPr>
      <w:spacing w:after="120"/>
      <w:ind w:left="420" w:leftChars="200"/>
      <w:textAlignment w:val="baseline"/>
    </w:pPr>
  </w:style>
  <w:style w:type="paragraph" w:customStyle="1" w:styleId="117">
    <w:name w:val="正文首行缩进 21"/>
    <w:basedOn w:val="1"/>
    <w:qFormat/>
    <w:uiPriority w:val="0"/>
    <w:pPr>
      <w:tabs>
        <w:tab w:val="left" w:pos="945"/>
        <w:tab w:val="left" w:pos="1155"/>
      </w:tabs>
      <w:ind w:firstLine="420" w:firstLineChars="200"/>
    </w:pPr>
    <w:rPr>
      <w:rFonts w:ascii="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32B9E6-573E-4A3D-811F-31A6B3C590F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48</Pages>
  <Words>4724</Words>
  <Characters>26930</Characters>
  <Lines>224</Lines>
  <Paragraphs>63</Paragraphs>
  <TotalTime>3</TotalTime>
  <ScaleCrop>false</ScaleCrop>
  <LinksUpToDate>false</LinksUpToDate>
  <CharactersWithSpaces>31591</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2019-06-06T14:38:00Z</dcterms:created>
  <dc:creator>Administrator</dc:creator>
  <cp:lastModifiedBy>DELL</cp:lastModifiedBy>
  <cp:lastPrinted>2019-06-11T16:36:00Z</cp:lastPrinted>
  <dcterms:modified xsi:type="dcterms:W3CDTF">2021-03-25T09:10:19Z</dcterms:modified>
  <dc:title>博爱县磨头镇际村小学新建教学楼、厕所项目</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283262BD04A945B28DB1452F59D35844</vt:lpwstr>
  </property>
</Properties>
</file>