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rPr>
          <w:rFonts w:asciiTheme="minorEastAsia" w:hAnsiTheme="minorEastAsia" w:eastAsiaTheme="minorEastAsia" w:cstheme="minorEastAsia"/>
        </w:rPr>
      </w:pPr>
      <w:bookmarkStart w:id="0" w:name="_Toc281574833"/>
      <w:bookmarkStart w:id="278" w:name="_GoBack"/>
      <w:bookmarkEnd w:id="278"/>
    </w:p>
    <w:p>
      <w:pPr>
        <w:pStyle w:val="16"/>
        <w:rPr>
          <w:rFonts w:asciiTheme="minorEastAsia" w:hAnsiTheme="minorEastAsia" w:eastAsiaTheme="minorEastAsia" w:cstheme="minorEastAsia"/>
        </w:rPr>
      </w:pPr>
    </w:p>
    <w:p>
      <w:pPr>
        <w:spacing w:line="560" w:lineRule="exact"/>
        <w:ind w:right="-330" w:rightChars="-157"/>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博爱县建筑垃圾处置及资源化再利用特许经营项目</w:t>
      </w:r>
    </w:p>
    <w:p>
      <w:pPr>
        <w:spacing w:line="360" w:lineRule="auto"/>
        <w:jc w:val="center"/>
        <w:rPr>
          <w:rFonts w:asciiTheme="minorEastAsia" w:hAnsiTheme="minorEastAsia" w:eastAsiaTheme="minorEastAsia" w:cstheme="minorEastAsia"/>
          <w:sz w:val="28"/>
        </w:rPr>
      </w:pPr>
      <w:r>
        <w:rPr>
          <w:rFonts w:hint="eastAsia" w:eastAsia="方正小标宋简体"/>
          <w:sz w:val="44"/>
          <w:szCs w:val="44"/>
          <w:lang w:val="en-US" w:eastAsia="zh-CN"/>
        </w:rPr>
        <w:t xml:space="preserve"> </w:t>
      </w:r>
    </w:p>
    <w:p>
      <w:pPr>
        <w:pStyle w:val="106"/>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2"/>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eastAsiaTheme="minorEastAsia" w:cstheme="minorEastAsia"/>
          <w:b/>
          <w:bCs/>
          <w:sz w:val="36"/>
          <w:szCs w:val="36"/>
        </w:rPr>
        <w:t>采购编号：</w:t>
      </w:r>
      <w:r>
        <w:rPr>
          <w:rFonts w:hint="eastAsia" w:asciiTheme="minorEastAsia" w:hAnsiTheme="minorEastAsia" w:eastAsiaTheme="minorEastAsia" w:cstheme="minorEastAsia"/>
          <w:b/>
          <w:bCs/>
          <w:sz w:val="36"/>
          <w:szCs w:val="36"/>
          <w:lang w:eastAsia="zh-CN"/>
        </w:rPr>
        <w:t>博政采购(2021)107号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r>
        <w:rPr>
          <w:rFonts w:hint="eastAsia" w:asciiTheme="minorEastAsia" w:hAnsiTheme="minorEastAsia" w:eastAsiaTheme="minorEastAsia" w:cstheme="minorEastAsia"/>
          <w:sz w:val="30"/>
        </w:rPr>
        <w:t xml:space="preserve"> </w:t>
      </w:r>
    </w:p>
    <w:p>
      <w:pPr>
        <w:rPr>
          <w:rFonts w:asciiTheme="minorEastAsia" w:hAnsiTheme="minorEastAsia" w:eastAsiaTheme="minorEastAsia" w:cstheme="minorEastAsia"/>
        </w:rPr>
      </w:pP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    </w:t>
      </w: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采 购 人：</w:t>
      </w:r>
      <w:r>
        <w:rPr>
          <w:rFonts w:hint="eastAsia" w:asciiTheme="minorEastAsia" w:hAnsiTheme="minorEastAsia" w:eastAsiaTheme="minorEastAsia" w:cstheme="minorEastAsia"/>
          <w:b/>
          <w:bCs/>
          <w:sz w:val="32"/>
          <w:szCs w:val="32"/>
          <w:lang w:eastAsia="zh-CN"/>
        </w:rPr>
        <w:t>博爱县城市管理局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footerReference r:id="rId4" w:type="first"/>
          <w:footerReference r:id="rId3" w:type="default"/>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期：2021年</w:t>
      </w:r>
      <w:r>
        <w:rPr>
          <w:rFonts w:hint="eastAsia" w:asciiTheme="minorEastAsia" w:hAnsiTheme="minorEastAsia" w:eastAsiaTheme="minorEastAsia" w:cstheme="minorEastAsia"/>
          <w:b/>
          <w:bCs/>
          <w:sz w:val="32"/>
          <w:szCs w:val="32"/>
          <w:lang w:val="en-US" w:eastAsia="zh-CN"/>
        </w:rPr>
        <w:t>9</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28"/>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- 6 -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- 18 -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- 23 -</w:t>
      </w:r>
      <w:r>
        <w:rPr>
          <w:b/>
          <w:bCs/>
        </w:rPr>
        <w:fldChar w:fldCharType="end"/>
      </w:r>
      <w:r>
        <w:rPr>
          <w:b/>
          <w:bCs/>
        </w:rPr>
        <w:fldChar w:fldCharType="end"/>
      </w:r>
    </w:p>
    <w:p>
      <w:pPr>
        <w:pStyle w:val="28"/>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服务内容及要求</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pStyle w:val="28"/>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36"/>
        <w:spacing w:line="360" w:lineRule="auto"/>
        <w:ind w:right="-63" w:rightChars="-30"/>
        <w:rPr>
          <w:rFonts w:asciiTheme="minorEastAsia" w:hAnsiTheme="minorEastAsia" w:eastAsiaTheme="minorEastAsia" w:cstheme="minorEastAsia"/>
          <w:bCs/>
        </w:rPr>
      </w:pPr>
      <w:bookmarkStart w:id="1" w:name="_Toc9243"/>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rPr>
          <w:rFonts w:asciiTheme="minorEastAsia" w:hAnsiTheme="minorEastAsia" w:eastAsiaTheme="minorEastAsia" w:cstheme="minorEastAsia"/>
          <w:bCs/>
        </w:rPr>
      </w:pPr>
    </w:p>
    <w:p>
      <w:pPr>
        <w:pStyle w:val="36"/>
        <w:spacing w:line="360" w:lineRule="auto"/>
        <w:ind w:right="-63" w:rightChars="-30"/>
        <w:jc w:val="both"/>
        <w:rPr>
          <w:rFonts w:asciiTheme="minorEastAsia" w:hAnsiTheme="minorEastAsia" w:eastAsiaTheme="minorEastAsia" w:cstheme="minorEastAsia"/>
          <w:bCs/>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440" w:lineRule="exact"/>
        <w:ind w:left="630" w:leftChars="0" w:right="-63" w:rightChars="-30" w:firstLineChars="0"/>
        <w:textAlignment w:val="auto"/>
      </w:pPr>
      <w:r>
        <w:rPr>
          <w:rFonts w:hint="eastAsia" w:asciiTheme="minorEastAsia" w:hAnsiTheme="minorEastAsia" w:eastAsiaTheme="minorEastAsia" w:cstheme="minorEastAsia"/>
          <w:bCs/>
        </w:rPr>
        <w:t xml:space="preserve">  招标公告</w:t>
      </w:r>
      <w:bookmarkEnd w:id="1"/>
    </w:p>
    <w:p>
      <w:pPr>
        <w:keepNext w:val="0"/>
        <w:keepLines w:val="0"/>
        <w:pageBreakBefore w:val="0"/>
        <w:widowControl w:val="0"/>
        <w:kinsoku/>
        <w:wordWrap/>
        <w:overflowPunct/>
        <w:topLinePunct w:val="0"/>
        <w:autoSpaceDE/>
        <w:autoSpaceDN/>
        <w:bidi w:val="0"/>
        <w:adjustRightInd/>
        <w:snapToGrid/>
        <w:spacing w:line="440" w:lineRule="exact"/>
        <w:ind w:right="-330" w:rightChars="-157"/>
        <w:jc w:val="center"/>
        <w:textAlignment w:val="auto"/>
        <w:rPr>
          <w:rFonts w:hint="eastAsia" w:asciiTheme="majorEastAsia" w:hAnsiTheme="majorEastAsia" w:eastAsiaTheme="majorEastAsia" w:cstheme="majorEastAsia"/>
          <w:b/>
          <w:bCs/>
          <w:sz w:val="32"/>
          <w:szCs w:val="32"/>
          <w:highlight w:val="red"/>
          <w:lang w:eastAsia="zh-CN"/>
        </w:rPr>
      </w:pPr>
      <w:r>
        <w:rPr>
          <w:rFonts w:hint="eastAsia" w:asciiTheme="majorEastAsia" w:hAnsiTheme="majorEastAsia" w:eastAsiaTheme="majorEastAsia" w:cstheme="majorEastAsia"/>
          <w:b/>
          <w:bCs/>
          <w:sz w:val="32"/>
          <w:szCs w:val="32"/>
          <w:lang w:eastAsia="zh-CN"/>
        </w:rPr>
        <w:t>博爱县建筑垃圾处置及资源化再利用特许经营项目招标公告</w:t>
      </w:r>
    </w:p>
    <w:p/>
    <w:tbl>
      <w:tblPr>
        <w:tblStyle w:val="40"/>
        <w:tblW w:w="10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5" w:hRule="atLeast"/>
          <w:jc w:val="center"/>
        </w:trPr>
        <w:tc>
          <w:tcPr>
            <w:tcW w:w="10000" w:type="dxa"/>
          </w:tcPr>
          <w:p>
            <w:pPr>
              <w:pStyle w:val="39"/>
              <w:spacing w:line="440" w:lineRule="exact"/>
              <w:ind w:firstLine="480"/>
              <w:rPr>
                <w:rFonts w:ascii="宋体" w:hAnsi="宋体" w:cs="宋体"/>
                <w:sz w:val="24"/>
              </w:rPr>
            </w:pPr>
            <w:r>
              <w:rPr>
                <w:rFonts w:hint="eastAsia" w:ascii="宋体" w:hAnsi="宋体" w:cs="宋体"/>
                <w:sz w:val="24"/>
              </w:rPr>
              <w:t>项目概况：</w:t>
            </w:r>
            <w:r>
              <w:rPr>
                <w:rFonts w:hint="eastAsia" w:ascii="宋体" w:hAnsi="宋体" w:cs="宋体"/>
                <w:sz w:val="24"/>
                <w:lang w:eastAsia="zh-CN"/>
              </w:rPr>
              <w:t>博爱县建筑垃圾处置及资源化再利用特许经营项目</w:t>
            </w:r>
            <w:r>
              <w:rPr>
                <w:rFonts w:hint="eastAsia" w:ascii="宋体" w:hAnsi="宋体" w:cs="宋体"/>
                <w:sz w:val="24"/>
              </w:rPr>
              <w:t>的潜在供应商应在焦作市公共资源交易中心网站获取采购文件</w:t>
            </w:r>
            <w:r>
              <w:rPr>
                <w:rFonts w:hint="eastAsia" w:ascii="宋体" w:hAnsi="宋体" w:cs="宋体"/>
                <w:color w:val="auto"/>
                <w:sz w:val="24"/>
              </w:rPr>
              <w:t>，并于</w:t>
            </w:r>
            <w:r>
              <w:rPr>
                <w:rFonts w:hint="eastAsia" w:ascii="宋体" w:hAnsi="宋体" w:cs="宋体"/>
                <w:color w:val="auto"/>
                <w:sz w:val="24"/>
                <w:u w:val="single"/>
              </w:rPr>
              <w:t>2021年</w:t>
            </w:r>
            <w:r>
              <w:rPr>
                <w:rFonts w:hint="eastAsia" w:ascii="宋体" w:hAnsi="宋体" w:cs="宋体"/>
                <w:color w:val="auto"/>
                <w:sz w:val="24"/>
                <w:u w:val="single"/>
                <w:lang w:val="en-US" w:eastAsia="zh-CN"/>
              </w:rPr>
              <w:t>10</w:t>
            </w:r>
            <w:r>
              <w:rPr>
                <w:rFonts w:hint="eastAsia" w:ascii="宋体" w:hAnsi="宋体" w:cs="宋体"/>
                <w:color w:val="auto"/>
                <w:sz w:val="24"/>
                <w:u w:val="single"/>
              </w:rPr>
              <w:t>月</w:t>
            </w:r>
            <w:r>
              <w:rPr>
                <w:rFonts w:hint="eastAsia" w:ascii="宋体" w:hAnsi="宋体" w:cs="宋体"/>
                <w:color w:val="auto"/>
                <w:sz w:val="24"/>
                <w:u w:val="single"/>
                <w:lang w:val="en-US" w:eastAsia="zh-CN"/>
              </w:rPr>
              <w:t>8</w:t>
            </w:r>
            <w:r>
              <w:rPr>
                <w:rFonts w:hint="eastAsia" w:ascii="宋体" w:hAnsi="宋体" w:cs="宋体"/>
                <w:color w:val="auto"/>
                <w:sz w:val="24"/>
                <w:u w:val="single"/>
              </w:rPr>
              <w:t>日上午</w:t>
            </w:r>
            <w:r>
              <w:rPr>
                <w:rFonts w:hint="eastAsia" w:ascii="宋体" w:hAnsi="宋体" w:cs="宋体"/>
                <w:color w:val="auto"/>
                <w:sz w:val="24"/>
                <w:u w:val="single"/>
                <w:lang w:val="en-US" w:eastAsia="zh-CN"/>
              </w:rPr>
              <w:t>09</w:t>
            </w:r>
            <w:r>
              <w:rPr>
                <w:rFonts w:hint="eastAsia" w:ascii="宋体" w:hAnsi="宋体" w:cs="宋体"/>
                <w:color w:val="auto"/>
                <w:sz w:val="24"/>
                <w:u w:val="single"/>
              </w:rPr>
              <w:t>点</w:t>
            </w:r>
            <w:r>
              <w:rPr>
                <w:rFonts w:hint="eastAsia" w:ascii="宋体" w:hAnsi="宋体" w:cs="宋体"/>
                <w:color w:val="auto"/>
                <w:sz w:val="24"/>
                <w:u w:val="single"/>
                <w:lang w:val="en-US" w:eastAsia="zh-CN"/>
              </w:rPr>
              <w:t>30</w:t>
            </w:r>
            <w:r>
              <w:rPr>
                <w:rFonts w:hint="eastAsia" w:ascii="宋体" w:hAnsi="宋体" w:cs="宋体"/>
                <w:color w:val="auto"/>
                <w:sz w:val="24"/>
                <w:u w:val="single"/>
              </w:rPr>
              <w:t>分（北京时间）</w:t>
            </w:r>
            <w:r>
              <w:rPr>
                <w:rFonts w:hint="eastAsia" w:ascii="宋体" w:hAnsi="宋体" w:cs="宋体"/>
                <w:color w:val="auto"/>
                <w:sz w:val="24"/>
              </w:rPr>
              <w:t>前提交响应文件。</w:t>
            </w:r>
          </w:p>
        </w:tc>
      </w:tr>
    </w:tbl>
    <w:p>
      <w:pPr>
        <w:pStyle w:val="113"/>
        <w:spacing w:line="440" w:lineRule="exact"/>
        <w:ind w:left="0" w:firstLine="0"/>
        <w:rPr>
          <w:b/>
          <w:bCs/>
          <w:sz w:val="24"/>
          <w:lang w:eastAsia="zh-CN"/>
        </w:rPr>
      </w:pPr>
      <w:r>
        <w:rPr>
          <w:rFonts w:hint="eastAsia"/>
          <w:b/>
          <w:bCs/>
          <w:sz w:val="24"/>
          <w:lang w:eastAsia="zh-CN"/>
        </w:rPr>
        <w:t>一、项目基本情况</w:t>
      </w:r>
    </w:p>
    <w:p>
      <w:pPr>
        <w:pStyle w:val="113"/>
        <w:spacing w:line="440" w:lineRule="exact"/>
        <w:ind w:left="0" w:firstLine="480" w:firstLineChars="200"/>
        <w:rPr>
          <w:sz w:val="24"/>
          <w:lang w:eastAsia="zh-CN"/>
        </w:rPr>
      </w:pPr>
      <w:r>
        <w:rPr>
          <w:rFonts w:hint="eastAsia"/>
          <w:sz w:val="24"/>
          <w:lang w:eastAsia="zh-CN"/>
        </w:rPr>
        <w:t>项目编号：博政采购(2021)107号</w:t>
      </w:r>
    </w:p>
    <w:p>
      <w:pPr>
        <w:pStyle w:val="113"/>
        <w:spacing w:line="440" w:lineRule="exact"/>
        <w:ind w:left="0" w:firstLine="480" w:firstLineChars="200"/>
        <w:rPr>
          <w:sz w:val="24"/>
          <w:lang w:eastAsia="zh-CN"/>
        </w:rPr>
      </w:pPr>
      <w:r>
        <w:rPr>
          <w:rFonts w:hint="eastAsia"/>
          <w:sz w:val="24"/>
          <w:lang w:eastAsia="zh-CN"/>
        </w:rPr>
        <w:t>项目名称：博爱县建筑垃圾处置及资源化再利用特许经营项目</w:t>
      </w:r>
    </w:p>
    <w:p>
      <w:pPr>
        <w:pStyle w:val="113"/>
        <w:spacing w:line="440" w:lineRule="exact"/>
        <w:ind w:left="0" w:firstLine="480" w:firstLineChars="200"/>
        <w:rPr>
          <w:sz w:val="24"/>
          <w:lang w:eastAsia="zh-CN"/>
        </w:rPr>
      </w:pPr>
      <w:r>
        <w:rPr>
          <w:rFonts w:hint="eastAsia"/>
          <w:sz w:val="24"/>
          <w:lang w:eastAsia="zh-CN"/>
        </w:rPr>
        <w:t>采购方式：公开招标</w:t>
      </w:r>
    </w:p>
    <w:p>
      <w:pPr>
        <w:widowControl/>
        <w:spacing w:line="44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预算金额：总投资额不低于8000万元，建筑垃圾处理费（不包括清运费）不高于每吨6元</w:t>
      </w:r>
      <w:r>
        <w:rPr>
          <w:rFonts w:hint="eastAsia" w:ascii="宋体" w:hAnsi="宋体" w:cs="宋体"/>
          <w:kern w:val="0"/>
          <w:sz w:val="24"/>
          <w:lang w:val="en-US" w:eastAsia="zh-CN"/>
        </w:rPr>
        <w:t xml:space="preserve"> </w:t>
      </w:r>
    </w:p>
    <w:p>
      <w:pPr>
        <w:widowControl/>
        <w:spacing w:line="440" w:lineRule="exact"/>
        <w:ind w:firstLine="480" w:firstLineChars="200"/>
        <w:jc w:val="left"/>
        <w:rPr>
          <w:rFonts w:hint="eastAsia" w:ascii="宋体" w:hAnsi="宋体" w:cs="宋体"/>
          <w:kern w:val="0"/>
          <w:sz w:val="24"/>
        </w:rPr>
      </w:pPr>
      <w:r>
        <w:rPr>
          <w:rFonts w:hint="eastAsia" w:ascii="宋体" w:hAnsi="宋体" w:cs="宋体"/>
          <w:kern w:val="0"/>
          <w:sz w:val="24"/>
          <w:lang w:val="en-US" w:eastAsia="zh-CN"/>
        </w:rPr>
        <w:t>建设规模</w:t>
      </w:r>
      <w:r>
        <w:rPr>
          <w:rFonts w:hint="eastAsia" w:ascii="宋体" w:hAnsi="宋体" w:cs="宋体"/>
          <w:kern w:val="0"/>
          <w:sz w:val="24"/>
        </w:rPr>
        <w:t>：博爱县城市管理局通过公开招标选定建筑垃圾处置及资源化再利用特许经营项目的中标人，由中标人出资在博爱县组建项目公司，项目公司将被授予全县建筑垃圾处置以及利用特许经营权。建筑垃圾处置及资源化再利用特许经营项目建成后，对建筑垃圾实行定时、定点、密闭运输，然后对其中的废弃物进行分拣、剔除或者粉碎，利用废弃建筑混凝土和砖瓦、石料等生产粗细骨料，可用于生产相应强度等级的混凝土、砂浆或制备诸如再生砖、砌块、墙板、地砖等符合国家、行业部门标准的相关产品。</w:t>
      </w:r>
    </w:p>
    <w:p>
      <w:pPr>
        <w:widowControl/>
        <w:spacing w:line="440" w:lineRule="exact"/>
        <w:ind w:firstLine="480" w:firstLineChars="200"/>
        <w:jc w:val="left"/>
        <w:rPr>
          <w:rFonts w:hint="eastAsia" w:eastAsia="宋体" w:asciiTheme="minorEastAsia" w:hAnsiTheme="minorEastAsia" w:cstheme="minorEastAsia"/>
          <w:color w:val="FF0000"/>
          <w:kern w:val="0"/>
          <w:sz w:val="24"/>
          <w:highlight w:val="none"/>
          <w:lang w:eastAsia="zh-CN"/>
        </w:rPr>
      </w:pPr>
      <w:r>
        <w:rPr>
          <w:rFonts w:hint="eastAsia" w:ascii="宋体" w:hAnsi="宋体" w:cs="宋体"/>
          <w:kern w:val="0"/>
          <w:sz w:val="24"/>
        </w:rPr>
        <w:t>本次拟实施的建筑垃圾处置及资</w:t>
      </w:r>
      <w:r>
        <w:rPr>
          <w:rFonts w:hint="eastAsia" w:ascii="宋体" w:hAnsi="宋体" w:cs="宋体"/>
          <w:kern w:val="0"/>
          <w:sz w:val="24"/>
          <w:highlight w:val="none"/>
        </w:rPr>
        <w:t>源化再利用特许经营项目建设规模为年处理不低于40万吨建筑垃圾，中标企业预算投资约8000万元，特许经营期限为30年。项目建设拟用地位于柏山镇原硫铁矿酸厂，现状为废弃厂房，土地性质为建设用地，酸厂外围建设用地属于柏山村，面积81.53亩，酸厂内建设用地53.4亩，可以满足项目建设用地需要。（详见招标文件）</w:t>
      </w:r>
    </w:p>
    <w:p>
      <w:pPr>
        <w:widowControl/>
        <w:spacing w:line="440" w:lineRule="exact"/>
        <w:ind w:firstLine="480" w:firstLineChars="200"/>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服务期</w:t>
      </w:r>
      <w:r>
        <w:rPr>
          <w:rFonts w:hint="eastAsia" w:ascii="宋体" w:hAnsi="宋体" w:cs="宋体"/>
          <w:kern w:val="0"/>
          <w:sz w:val="24"/>
        </w:rPr>
        <w:t>：建筑垃圾特许经营项目周期为30年，其中建设期1年，运营期29年。（若建设期延长运营期相应减少，总周期30年不变）</w:t>
      </w:r>
      <w:r>
        <w:rPr>
          <w:rFonts w:hint="eastAsia" w:ascii="宋体" w:hAnsi="宋体" w:cs="宋体"/>
          <w:kern w:val="0"/>
          <w:sz w:val="24"/>
          <w:lang w:val="en-US" w:eastAsia="zh-CN"/>
        </w:rPr>
        <w:tab/>
      </w:r>
    </w:p>
    <w:p>
      <w:pPr>
        <w:widowControl/>
        <w:spacing w:line="440" w:lineRule="exact"/>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质量标准：合格</w:t>
      </w:r>
    </w:p>
    <w:p>
      <w:pPr>
        <w:adjustRightInd w:val="0"/>
        <w:snapToGrid w:val="0"/>
        <w:spacing w:line="440" w:lineRule="exact"/>
        <w:rPr>
          <w:rFonts w:ascii="宋体" w:hAnsi="宋体" w:cs="宋体"/>
          <w:color w:val="121212"/>
          <w:kern w:val="0"/>
          <w:sz w:val="24"/>
        </w:rPr>
      </w:pPr>
      <w:r>
        <w:rPr>
          <w:rFonts w:hint="eastAsia" w:ascii="宋体" w:hAnsi="宋体" w:cs="宋体"/>
          <w:b/>
          <w:bCs/>
          <w:color w:val="121212"/>
          <w:kern w:val="0"/>
          <w:sz w:val="24"/>
        </w:rPr>
        <w:t>二、申请人资格要求：</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1、符合《中华人民共和国政府采购法》第二十二条之规定；</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3、本项目的特定资格要求：</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3.3投标人提供近三年（2018年、2019年、2020年）完整的财务审计报告（成立不足三年的企业，以现有年份提供）；</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3.4本项目不接受联合体投标；</w:t>
      </w:r>
    </w:p>
    <w:p>
      <w:pPr>
        <w:widowControl/>
        <w:spacing w:line="440" w:lineRule="exact"/>
        <w:ind w:firstLine="480" w:firstLineChars="200"/>
        <w:jc w:val="left"/>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3.5资格审查方式：资格后审。</w:t>
      </w:r>
    </w:p>
    <w:p>
      <w:pPr>
        <w:widowControl/>
        <w:spacing w:line="440" w:lineRule="exact"/>
        <w:jc w:val="left"/>
        <w:rPr>
          <w:rFonts w:ascii="宋体" w:hAnsi="宋体" w:cs="宋体"/>
          <w:b/>
          <w:bCs/>
          <w:kern w:val="0"/>
          <w:sz w:val="24"/>
        </w:rPr>
      </w:pPr>
      <w:r>
        <w:rPr>
          <w:rFonts w:hint="eastAsia" w:ascii="宋体" w:hAnsi="宋体" w:cs="宋体"/>
          <w:b/>
          <w:bCs/>
          <w:kern w:val="0"/>
          <w:sz w:val="24"/>
        </w:rPr>
        <w:t>三、获取采购文件</w:t>
      </w:r>
    </w:p>
    <w:p>
      <w:pPr>
        <w:pStyle w:val="35"/>
        <w:shd w:val="clear" w:color="auto" w:fill="FFFFFF"/>
        <w:autoSpaceDE w:val="0"/>
        <w:spacing w:before="0" w:beforeAutospacing="0" w:after="0" w:afterAutospacing="0" w:line="440" w:lineRule="atLeast"/>
        <w:ind w:firstLine="480" w:firstLineChars="200"/>
      </w:pPr>
      <w:r>
        <w:rPr>
          <w:rFonts w:hint="eastAsia"/>
          <w:color w:val="auto"/>
          <w:u w:val="none"/>
        </w:rPr>
        <w:t>1.时</w:t>
      </w:r>
      <w:r>
        <w:rPr>
          <w:rFonts w:hint="eastAsia"/>
          <w:color w:val="auto"/>
          <w:highlight w:val="none"/>
          <w:u w:val="none"/>
        </w:rPr>
        <w:t>间：2021年</w:t>
      </w:r>
      <w:r>
        <w:rPr>
          <w:rFonts w:hint="eastAsia"/>
          <w:color w:val="auto"/>
          <w:highlight w:val="none"/>
          <w:u w:val="none"/>
          <w:lang w:val="en-US" w:eastAsia="zh-CN"/>
        </w:rPr>
        <w:t>9</w:t>
      </w:r>
      <w:r>
        <w:rPr>
          <w:rFonts w:hint="eastAsia"/>
          <w:color w:val="auto"/>
          <w:highlight w:val="none"/>
          <w:u w:val="none"/>
        </w:rPr>
        <w:t>月</w:t>
      </w:r>
      <w:r>
        <w:rPr>
          <w:rFonts w:hint="eastAsia"/>
          <w:color w:val="auto"/>
          <w:highlight w:val="none"/>
          <w:u w:val="none"/>
          <w:lang w:val="en-US" w:eastAsia="zh-CN"/>
        </w:rPr>
        <w:t>17</w:t>
      </w:r>
      <w:r>
        <w:rPr>
          <w:rFonts w:hint="eastAsia"/>
          <w:color w:val="auto"/>
          <w:highlight w:val="none"/>
          <w:u w:val="none"/>
        </w:rPr>
        <w:t>日至2021年</w:t>
      </w:r>
      <w:r>
        <w:rPr>
          <w:rFonts w:hint="eastAsia"/>
          <w:color w:val="auto"/>
          <w:highlight w:val="none"/>
          <w:u w:val="none"/>
          <w:lang w:val="en-US" w:eastAsia="zh-CN"/>
        </w:rPr>
        <w:t>9</w:t>
      </w:r>
      <w:r>
        <w:rPr>
          <w:rFonts w:hint="eastAsia"/>
          <w:color w:val="auto"/>
          <w:highlight w:val="none"/>
          <w:u w:val="none"/>
        </w:rPr>
        <w:t>月</w:t>
      </w:r>
      <w:r>
        <w:rPr>
          <w:rFonts w:hint="eastAsia"/>
          <w:color w:val="auto"/>
          <w:highlight w:val="none"/>
          <w:u w:val="none"/>
          <w:lang w:val="en-US" w:eastAsia="zh-CN"/>
        </w:rPr>
        <w:t>24</w:t>
      </w:r>
      <w:r>
        <w:rPr>
          <w:rFonts w:hint="eastAsia"/>
          <w:color w:val="auto"/>
          <w:highlight w:val="none"/>
          <w:u w:val="none"/>
        </w:rPr>
        <w:t>日（北京时间）；</w:t>
      </w:r>
      <w:r>
        <w:rPr>
          <w:rFonts w:hint="eastAsia"/>
        </w:rPr>
        <w:br w:type="textWrapping"/>
      </w:r>
      <w:r>
        <w:rPr>
          <w:rFonts w:hint="eastAsia"/>
        </w:rPr>
        <w:t>  2.地点：</w:t>
      </w:r>
      <w:r>
        <w:rPr>
          <w:rFonts w:hint="eastAsia"/>
          <w:shd w:val="clear" w:color="auto" w:fill="FFFFFF"/>
        </w:rPr>
        <w:t>凡有意参加投标者，请登陆焦作市公共资源交易中心网站会员系统进行网上下载。凡未在规定时间内完成下载文件者，视为无效。（联系电话：0391-3568920，QQ：232850725、361532918（群）；</w:t>
      </w:r>
    </w:p>
    <w:p>
      <w:pPr>
        <w:pStyle w:val="35"/>
        <w:shd w:val="clear" w:color="auto" w:fill="FFFFFF"/>
        <w:autoSpaceDE w:val="0"/>
        <w:spacing w:before="0" w:beforeAutospacing="0" w:after="0" w:afterAutospacing="0" w:line="440" w:lineRule="atLeast"/>
      </w:pPr>
      <w:r>
        <w:rPr>
          <w:rFonts w:hint="eastAsia"/>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color w:val="auto"/>
          <w:kern w:val="0"/>
          <w:sz w:val="24"/>
        </w:rPr>
      </w:pPr>
      <w:r>
        <w:rPr>
          <w:rFonts w:hint="eastAsia" w:ascii="宋体" w:hAnsi="宋体" w:cs="宋体"/>
          <w:b/>
          <w:kern w:val="0"/>
          <w:sz w:val="24"/>
        </w:rPr>
        <w:t>四、响应文件</w:t>
      </w:r>
      <w:r>
        <w:rPr>
          <w:rFonts w:hint="eastAsia" w:ascii="宋体" w:hAnsi="宋体" w:cs="宋体"/>
          <w:b/>
          <w:color w:val="auto"/>
          <w:kern w:val="0"/>
          <w:sz w:val="24"/>
        </w:rPr>
        <w:t>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1、截止时间：2021年</w:t>
      </w:r>
      <w:r>
        <w:rPr>
          <w:rFonts w:hint="eastAsia" w:ascii="宋体" w:hAnsi="宋体" w:cs="宋体"/>
          <w:color w:val="auto"/>
          <w:kern w:val="0"/>
          <w:sz w:val="24"/>
          <w:lang w:val="en-US" w:eastAsia="zh-CN"/>
        </w:rPr>
        <w:t>10</w:t>
      </w:r>
      <w:r>
        <w:rPr>
          <w:rFonts w:hint="eastAsia" w:ascii="宋体" w:hAnsi="宋体" w:cs="宋体"/>
          <w:color w:val="auto"/>
          <w:kern w:val="0"/>
          <w:sz w:val="24"/>
        </w:rPr>
        <w:t>月</w:t>
      </w:r>
      <w:r>
        <w:rPr>
          <w:rFonts w:hint="eastAsia" w:ascii="宋体" w:hAnsi="宋体" w:cs="宋体"/>
          <w:color w:val="auto"/>
          <w:kern w:val="0"/>
          <w:sz w:val="24"/>
          <w:lang w:val="en-US" w:eastAsia="zh-CN"/>
        </w:rPr>
        <w:t>8日 9</w:t>
      </w:r>
      <w:r>
        <w:rPr>
          <w:rFonts w:hint="eastAsia" w:ascii="宋体" w:hAnsi="宋体" w:cs="宋体"/>
          <w:color w:val="auto"/>
          <w:kern w:val="0"/>
          <w:sz w:val="24"/>
        </w:rPr>
        <w:t>点</w:t>
      </w:r>
      <w:r>
        <w:rPr>
          <w:rFonts w:hint="eastAsia" w:ascii="宋体" w:hAnsi="宋体" w:cs="宋体"/>
          <w:color w:val="auto"/>
          <w:kern w:val="0"/>
          <w:sz w:val="24"/>
          <w:lang w:val="en-US" w:eastAsia="zh-CN"/>
        </w:rPr>
        <w:t>30</w:t>
      </w:r>
      <w:r>
        <w:rPr>
          <w:rFonts w:hint="eastAsia" w:ascii="宋体" w:hAnsi="宋体" w:cs="宋体"/>
          <w:color w:val="auto"/>
          <w:kern w:val="0"/>
          <w:sz w:val="24"/>
        </w:rPr>
        <w:t>分（北京时间）；</w:t>
      </w:r>
    </w:p>
    <w:p>
      <w:pPr>
        <w:adjustRightInd w:val="0"/>
        <w:snapToGrid w:val="0"/>
        <w:spacing w:line="44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2、地点：博爱县公共资源交易中心二楼不见面开标一</w:t>
      </w:r>
      <w:r>
        <w:rPr>
          <w:rFonts w:hint="eastAsia" w:ascii="宋体" w:hAnsi="宋体" w:cs="宋体"/>
          <w:kern w:val="0"/>
          <w:sz w:val="24"/>
          <w:lang w:val="en-US" w:eastAsia="zh-CN"/>
        </w:rPr>
        <w:t>室；</w:t>
      </w:r>
    </w:p>
    <w:p>
      <w:pPr>
        <w:adjustRightInd w:val="0"/>
        <w:snapToGrid w:val="0"/>
        <w:spacing w:line="440" w:lineRule="exact"/>
        <w:rPr>
          <w:rFonts w:ascii="宋体" w:hAnsi="宋体" w:cs="宋体"/>
          <w:b/>
          <w:kern w:val="0"/>
          <w:sz w:val="24"/>
        </w:rPr>
      </w:pPr>
      <w:r>
        <w:rPr>
          <w:rFonts w:hint="eastAsia" w:ascii="宋体" w:hAnsi="宋体" w:cs="宋体"/>
          <w:b/>
          <w:kern w:val="0"/>
          <w:sz w:val="24"/>
        </w:rPr>
        <w:t>五、开启</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1</w:t>
      </w:r>
      <w:r>
        <w:rPr>
          <w:rFonts w:hint="eastAsia" w:ascii="宋体" w:hAnsi="宋体" w:cs="宋体"/>
          <w:color w:val="auto"/>
          <w:kern w:val="0"/>
          <w:sz w:val="24"/>
        </w:rPr>
        <w:t>、时间：2021年</w:t>
      </w:r>
      <w:r>
        <w:rPr>
          <w:rFonts w:hint="eastAsia" w:ascii="宋体" w:hAnsi="宋体" w:cs="宋体"/>
          <w:color w:val="auto"/>
          <w:kern w:val="0"/>
          <w:sz w:val="24"/>
          <w:lang w:val="en-US" w:eastAsia="zh-CN"/>
        </w:rPr>
        <w:t>10</w:t>
      </w:r>
      <w:r>
        <w:rPr>
          <w:rFonts w:hint="eastAsia" w:ascii="宋体" w:hAnsi="宋体" w:cs="宋体"/>
          <w:color w:val="auto"/>
          <w:kern w:val="0"/>
          <w:sz w:val="24"/>
        </w:rPr>
        <w:t>月</w:t>
      </w:r>
      <w:r>
        <w:rPr>
          <w:rFonts w:hint="eastAsia" w:ascii="宋体" w:hAnsi="宋体" w:cs="宋体"/>
          <w:color w:val="auto"/>
          <w:kern w:val="0"/>
          <w:sz w:val="24"/>
          <w:lang w:val="en-US" w:eastAsia="zh-CN"/>
        </w:rPr>
        <w:t>8</w:t>
      </w:r>
      <w:r>
        <w:rPr>
          <w:rFonts w:hint="eastAsia" w:ascii="宋体" w:hAnsi="宋体" w:cs="宋体"/>
          <w:color w:val="auto"/>
          <w:kern w:val="0"/>
          <w:sz w:val="24"/>
        </w:rPr>
        <w:t>日</w:t>
      </w:r>
      <w:r>
        <w:rPr>
          <w:rFonts w:hint="eastAsia" w:ascii="宋体" w:hAnsi="宋体" w:cs="宋体"/>
          <w:color w:val="auto"/>
          <w:kern w:val="0"/>
          <w:sz w:val="24"/>
          <w:lang w:val="en-US" w:eastAsia="zh-CN"/>
        </w:rPr>
        <w:t>9</w:t>
      </w:r>
      <w:r>
        <w:rPr>
          <w:rFonts w:hint="eastAsia" w:ascii="宋体" w:hAnsi="宋体" w:cs="宋体"/>
          <w:color w:val="auto"/>
          <w:kern w:val="0"/>
          <w:sz w:val="24"/>
        </w:rPr>
        <w:t>点</w:t>
      </w:r>
      <w:r>
        <w:rPr>
          <w:rFonts w:hint="eastAsia" w:ascii="宋体" w:hAnsi="宋体" w:cs="宋体"/>
          <w:color w:val="auto"/>
          <w:kern w:val="0"/>
          <w:sz w:val="24"/>
          <w:lang w:val="en-US" w:eastAsia="zh-CN"/>
        </w:rPr>
        <w:t>30</w:t>
      </w:r>
      <w:r>
        <w:rPr>
          <w:rFonts w:hint="eastAsia" w:ascii="宋体" w:hAnsi="宋体" w:cs="宋体"/>
          <w:color w:val="auto"/>
          <w:kern w:val="0"/>
          <w:sz w:val="24"/>
        </w:rPr>
        <w:t>分（北京时间）；</w:t>
      </w:r>
    </w:p>
    <w:p>
      <w:pPr>
        <w:adjustRightInd w:val="0"/>
        <w:snapToGrid w:val="0"/>
        <w:spacing w:line="440" w:lineRule="exact"/>
        <w:ind w:firstLine="480" w:firstLineChars="200"/>
        <w:rPr>
          <w:rFonts w:hint="eastAsia" w:ascii="宋体" w:hAnsi="宋体" w:cs="宋体"/>
          <w:color w:val="0000FF"/>
          <w:kern w:val="0"/>
          <w:sz w:val="24"/>
        </w:rPr>
      </w:pPr>
      <w:r>
        <w:rPr>
          <w:rFonts w:hint="eastAsia" w:ascii="宋体" w:hAnsi="宋体" w:cs="宋体"/>
          <w:kern w:val="0"/>
          <w:sz w:val="24"/>
        </w:rPr>
        <w:t>2、地点：博爱县公共资源交易中心二楼不见面开标一</w:t>
      </w:r>
      <w:r>
        <w:rPr>
          <w:rFonts w:hint="eastAsia" w:ascii="宋体" w:hAnsi="宋体" w:cs="宋体"/>
          <w:kern w:val="0"/>
          <w:sz w:val="24"/>
          <w:lang w:val="en-US" w:eastAsia="zh-CN"/>
        </w:rPr>
        <w:t>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35"/>
        <w:numPr>
          <w:ilvl w:val="0"/>
          <w:numId w:val="3"/>
        </w:numPr>
        <w:shd w:val="clear" w:color="auto" w:fill="FFFFFF"/>
        <w:autoSpaceDE w:val="0"/>
        <w:spacing w:before="0" w:beforeAutospacing="0" w:after="0" w:afterAutospacing="0" w:line="440" w:lineRule="exact"/>
        <w:rPr>
          <w:rFonts w:hint="eastAsia"/>
          <w:b/>
          <w:shd w:val="clear" w:color="auto" w:fill="FFFFFF"/>
        </w:rPr>
      </w:pPr>
      <w:r>
        <w:rPr>
          <w:rFonts w:hint="eastAsia"/>
          <w:b/>
          <w:shd w:val="clear" w:color="auto" w:fill="FFFFFF"/>
        </w:rPr>
        <w:t>其他补充事宜</w:t>
      </w:r>
    </w:p>
    <w:p>
      <w:pPr>
        <w:pStyle w:val="35"/>
        <w:numPr>
          <w:ilvl w:val="0"/>
          <w:numId w:val="0"/>
        </w:numPr>
        <w:shd w:val="clear" w:color="auto" w:fill="FFFFFF"/>
        <w:autoSpaceDE w:val="0"/>
        <w:spacing w:before="0" w:beforeAutospacing="0" w:after="0" w:afterAutospacing="0" w:line="440" w:lineRule="exact"/>
        <w:rPr>
          <w:rFonts w:hint="default" w:eastAsia="宋体"/>
          <w:b/>
          <w:shd w:val="clear" w:color="auto" w:fill="FFFFFF"/>
          <w:lang w:val="en-US" w:eastAsia="zh-CN"/>
        </w:rPr>
      </w:pPr>
    </w:p>
    <w:p>
      <w:pPr>
        <w:pStyle w:val="35"/>
        <w:shd w:val="clear" w:color="auto" w:fill="FFFFFF"/>
        <w:autoSpaceDE w:val="0"/>
        <w:spacing w:before="0" w:beforeAutospacing="0" w:after="0" w:afterAutospacing="0" w:line="440" w:lineRule="exact"/>
        <w:ind w:firstLine="480" w:firstLineChars="200"/>
        <w:rPr>
          <w:shd w:val="clear" w:color="auto" w:fill="FFFFFF"/>
        </w:rPr>
      </w:pPr>
      <w:r>
        <w:rPr>
          <w:rFonts w:hint="eastAsia"/>
          <w:highlight w:val="none"/>
          <w:shd w:val="clear" w:color="auto" w:fill="FFFFFF"/>
          <w:lang w:val="en-US" w:eastAsia="zh-CN"/>
        </w:rPr>
        <w:t>7.1、</w:t>
      </w:r>
      <w:r>
        <w:rPr>
          <w:rFonts w:hint="eastAsia"/>
          <w:highlight w:val="none"/>
          <w:shd w:val="clear" w:color="auto" w:fill="FFFFFF"/>
        </w:rPr>
        <w:t>本</w:t>
      </w:r>
      <w:r>
        <w:rPr>
          <w:rFonts w:hint="eastAsia"/>
          <w:shd w:val="clear" w:color="auto" w:fill="FFFFFF"/>
        </w:rPr>
        <w:t>公告在《河南省政府采购网》、《焦作市政府采购网》、《焦作市公共资源交易中心网》、《博爱县人民政府网》、《博爱县公共资源交易中心网》上发布.</w:t>
      </w:r>
    </w:p>
    <w:p>
      <w:pPr>
        <w:pStyle w:val="35"/>
        <w:spacing w:beforeAutospacing="0" w:afterAutospacing="0" w:line="440" w:lineRule="exact"/>
        <w:ind w:firstLine="468" w:firstLineChars="195"/>
        <w:jc w:val="both"/>
      </w:pPr>
      <w:r>
        <w:rPr>
          <w:rFonts w:hint="eastAsia"/>
          <w:lang w:val="en-US" w:eastAsia="zh-CN"/>
        </w:rPr>
        <w:t>7.2、</w:t>
      </w:r>
      <w:r>
        <w:rPr>
          <w:rFonts w:hint="eastAsia"/>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35"/>
        <w:spacing w:beforeAutospacing="0" w:afterAutospacing="0" w:line="440" w:lineRule="exact"/>
        <w:ind w:firstLine="468" w:firstLineChars="195"/>
        <w:jc w:val="both"/>
        <w:rPr>
          <w:color w:val="auto"/>
        </w:rPr>
      </w:pPr>
      <w:r>
        <w:rPr>
          <w:rFonts w:hint="eastAsia"/>
        </w:rPr>
        <w:t>（http://122.112.246.33/BidOpening/bidopeninghallaction/hall/login ）进行签到，按要求解密投标文件。因文件未及时上传导致投标失败的责任由投标人自行承担，具体要求详见招标文件。 平台统一技术服务电话：400-998-0000，服务 QQ：4008503300，</w:t>
      </w:r>
      <w:r>
        <w:rPr>
          <w:rFonts w:hint="eastAsia"/>
          <w:color w:val="auto"/>
        </w:rPr>
        <w:t>服务时间：周一至周日 8：00-17：30。</w:t>
      </w:r>
    </w:p>
    <w:p>
      <w:pPr>
        <w:pStyle w:val="35"/>
        <w:spacing w:beforeAutospacing="0" w:afterAutospacing="0" w:line="440" w:lineRule="exact"/>
        <w:ind w:firstLine="468" w:firstLineChars="195"/>
        <w:jc w:val="both"/>
      </w:pPr>
      <w:r>
        <w:rPr>
          <w:rFonts w:hint="eastAsia"/>
          <w:color w:val="auto"/>
          <w:highlight w:val="none"/>
          <w:lang w:val="en-US" w:eastAsia="zh-CN"/>
        </w:rPr>
        <w:t>7.3、</w:t>
      </w:r>
      <w:r>
        <w:rPr>
          <w:rFonts w:hint="eastAsia"/>
          <w:color w:val="auto"/>
          <w:highlight w:val="none"/>
        </w:rPr>
        <w:t>投标</w:t>
      </w:r>
      <w:r>
        <w:rPr>
          <w:rFonts w:hint="eastAsia"/>
          <w:color w:val="auto"/>
        </w:rPr>
        <w:t>人无需到现场参加开标会议，无需到达现场提交原件资料。投标人应当在投标截止前，登录远程开标大厅进行签到，在线准时参加开标活动并进行文件解密、答疑澄清等。加密电子投标文件须在焦作市公</w:t>
      </w:r>
      <w:r>
        <w:rPr>
          <w:rFonts w:hint="eastAsia"/>
        </w:rPr>
        <w:t>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采购人：</w:t>
      </w:r>
      <w:r>
        <w:rPr>
          <w:rFonts w:hint="eastAsia" w:ascii="宋体" w:hAnsi="宋体" w:cs="宋体"/>
          <w:kern w:val="0"/>
          <w:sz w:val="24"/>
          <w:lang w:eastAsia="zh-CN"/>
        </w:rPr>
        <w:t>博爱县城市管理局</w:t>
      </w:r>
      <w:r>
        <w:rPr>
          <w:rFonts w:hint="eastAsia" w:ascii="宋体" w:hAnsi="宋体" w:cs="宋体"/>
          <w:kern w:val="0"/>
          <w:sz w:val="24"/>
        </w:rPr>
        <w:t xml:space="preserve">   </w:t>
      </w:r>
    </w:p>
    <w:p>
      <w:pPr>
        <w:adjustRightInd w:val="0"/>
        <w:snapToGrid w:val="0"/>
        <w:spacing w:line="44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地址：</w:t>
      </w:r>
      <w:r>
        <w:rPr>
          <w:rFonts w:hint="eastAsia" w:ascii="宋体" w:hAnsi="宋体" w:cs="宋体"/>
          <w:kern w:val="0"/>
          <w:sz w:val="24"/>
          <w:lang w:eastAsia="zh-CN"/>
        </w:rPr>
        <w:t>博爱县团结路中段</w:t>
      </w:r>
    </w:p>
    <w:p>
      <w:pPr>
        <w:adjustRightInd w:val="0"/>
        <w:snapToGrid w:val="0"/>
        <w:spacing w:line="440" w:lineRule="exact"/>
        <w:ind w:firstLine="480" w:firstLineChars="200"/>
        <w:rPr>
          <w:rFonts w:hint="default" w:ascii="宋体" w:hAnsi="宋体" w:eastAsia="宋体" w:cs="宋体"/>
          <w:sz w:val="24"/>
          <w:lang w:val="en-US" w:eastAsia="zh-CN"/>
        </w:rPr>
      </w:pPr>
      <w:r>
        <w:rPr>
          <w:rFonts w:hint="eastAsia" w:ascii="宋体" w:hAnsi="宋体" w:cs="宋体"/>
          <w:kern w:val="0"/>
          <w:sz w:val="24"/>
        </w:rPr>
        <w:t>电话：</w:t>
      </w:r>
      <w:r>
        <w:rPr>
          <w:rFonts w:hint="eastAsia" w:ascii="宋体" w:hAnsi="宋体" w:cs="宋体"/>
          <w:color w:val="000000"/>
          <w:sz w:val="24"/>
          <w:shd w:val="clear" w:color="auto" w:fill="FFFFFF"/>
          <w:lang w:val="en-US" w:eastAsia="zh-CN"/>
        </w:rPr>
        <w:t>13462455300</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名称：博爱县城市建设项目管理有限公司 </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color w:val="000000"/>
          <w:sz w:val="24"/>
          <w:shd w:val="clear" w:color="auto" w:fill="FFFFFF"/>
        </w:rPr>
        <w:t>博爱县中山路东段</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电话：0391-8690958</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赵先生</w:t>
      </w:r>
    </w:p>
    <w:p>
      <w:pPr>
        <w:adjustRightInd w:val="0"/>
        <w:snapToGrid w:val="0"/>
        <w:spacing w:line="440" w:lineRule="exact"/>
        <w:ind w:firstLine="480" w:firstLineChars="200"/>
        <w:rPr>
          <w:rFonts w:hint="eastAsia" w:ascii="宋体" w:hAnsi="宋体" w:eastAsia="宋体" w:cs="宋体"/>
          <w:kern w:val="0"/>
          <w:sz w:val="24"/>
          <w:lang w:eastAsia="zh-CN"/>
        </w:rPr>
      </w:pPr>
      <w:r>
        <w:rPr>
          <w:rFonts w:hint="eastAsia" w:ascii="宋体" w:hAnsi="宋体" w:cs="宋体"/>
          <w:sz w:val="24"/>
        </w:rPr>
        <w:t>电话：</w:t>
      </w:r>
      <w:r>
        <w:rPr>
          <w:rFonts w:hint="eastAsia" w:ascii="宋体" w:hAnsi="宋体" w:cs="宋体"/>
          <w:color w:val="000000"/>
          <w:sz w:val="24"/>
          <w:shd w:val="clear" w:color="auto" w:fill="FFFFFF"/>
          <w:lang w:val="en-US" w:eastAsia="zh-CN"/>
        </w:rPr>
        <w:t xml:space="preserve">13462455300 </w:t>
      </w:r>
    </w:p>
    <w:p>
      <w:pPr>
        <w:pStyle w:val="12"/>
      </w:pPr>
    </w:p>
    <w:p>
      <w:pPr>
        <w:widowControl/>
        <w:spacing w:line="440" w:lineRule="exact"/>
        <w:ind w:left="2940" w:firstLine="420"/>
        <w:rPr>
          <w:rFonts w:hint="eastAsia" w:ascii="宋体" w:hAnsi="宋体" w:cs="宋体"/>
          <w:sz w:val="24"/>
        </w:rPr>
      </w:pPr>
    </w:p>
    <w:p>
      <w:pPr>
        <w:widowControl/>
        <w:spacing w:line="440" w:lineRule="exact"/>
        <w:ind w:left="2940" w:firstLine="420"/>
        <w:rPr>
          <w:rFonts w:ascii="宋体" w:hAnsi="宋体" w:cs="宋体"/>
          <w:color w:val="000000"/>
          <w:sz w:val="24"/>
          <w:shd w:val="clear" w:color="auto" w:fill="FFFFFF"/>
        </w:rPr>
      </w:pPr>
      <w:r>
        <w:rPr>
          <w:rFonts w:hint="eastAsia" w:ascii="宋体" w:hAnsi="宋体" w:cs="宋体"/>
          <w:sz w:val="24"/>
        </w:rPr>
        <w:t>采购人：</w:t>
      </w:r>
      <w:r>
        <w:rPr>
          <w:rFonts w:hint="eastAsia" w:ascii="宋体" w:hAnsi="宋体" w:cs="宋体"/>
          <w:color w:val="000000"/>
          <w:sz w:val="24"/>
          <w:shd w:val="clear" w:color="auto" w:fill="FFFFFF"/>
          <w:lang w:eastAsia="zh-CN"/>
        </w:rPr>
        <w:t>博爱县城市管理局</w:t>
      </w:r>
      <w:r>
        <w:rPr>
          <w:rFonts w:hint="eastAsia" w:ascii="宋体" w:hAnsi="宋体" w:cs="宋体"/>
          <w:color w:val="000000"/>
          <w:sz w:val="24"/>
          <w:shd w:val="clear" w:color="auto" w:fill="FFFFFF"/>
        </w:rPr>
        <w:t xml:space="preserve">  </w:t>
      </w:r>
    </w:p>
    <w:p>
      <w:pPr>
        <w:widowControl/>
        <w:spacing w:line="440" w:lineRule="exact"/>
        <w:ind w:firstLine="3360" w:firstLineChars="1400"/>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采购代理机构：博爱县城市建设项目管理有限公司</w:t>
      </w:r>
    </w:p>
    <w:p>
      <w:pPr>
        <w:widowControl/>
        <w:spacing w:line="440" w:lineRule="exact"/>
        <w:ind w:left="2940" w:firstLine="420"/>
      </w:pPr>
      <w:r>
        <w:rPr>
          <w:rFonts w:hint="eastAsia" w:ascii="宋体" w:hAnsi="宋体" w:cs="宋体"/>
          <w:sz w:val="24"/>
        </w:rPr>
        <w:t>发布时间：2021年</w:t>
      </w:r>
      <w:r>
        <w:rPr>
          <w:rFonts w:hint="eastAsia" w:ascii="宋体" w:hAnsi="宋体" w:cs="宋体"/>
          <w:sz w:val="24"/>
          <w:lang w:val="en-US" w:eastAsia="zh-CN"/>
        </w:rPr>
        <w:t>9</w:t>
      </w:r>
      <w:r>
        <w:rPr>
          <w:rFonts w:hint="eastAsia" w:ascii="宋体" w:hAnsi="宋体" w:cs="宋体"/>
          <w:sz w:val="24"/>
        </w:rPr>
        <w:t>月</w:t>
      </w:r>
      <w:r>
        <w:rPr>
          <w:rFonts w:hint="eastAsia" w:ascii="宋体" w:hAnsi="宋体" w:cs="宋体"/>
          <w:sz w:val="24"/>
          <w:lang w:val="en-US" w:eastAsia="zh-CN"/>
        </w:rPr>
        <w:t>16</w:t>
      </w:r>
      <w:r>
        <w:rPr>
          <w:rFonts w:hint="eastAsia" w:ascii="宋体" w:hAnsi="宋体" w:cs="宋体"/>
          <w:sz w:val="24"/>
        </w:rPr>
        <w:t>日</w:t>
      </w:r>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bookmarkStart w:id="2" w:name="_Toc25354"/>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36"/>
        <w:spacing w:before="0" w:after="0" w:line="360" w:lineRule="auto"/>
        <w:ind w:right="-23" w:rightChars="-11"/>
        <w:rPr>
          <w:rFonts w:asciiTheme="minorEastAsia" w:hAnsiTheme="minorEastAsia" w:eastAsiaTheme="minorEastAsia" w:cstheme="minorEastAsia"/>
          <w:sz w:val="30"/>
          <w:szCs w:val="30"/>
        </w:rPr>
      </w:pPr>
      <w:bookmarkStart w:id="3" w:name="_Toc32497"/>
      <w:bookmarkStart w:id="4" w:name="_Toc426369478"/>
      <w:bookmarkStart w:id="5" w:name="_Toc403122490"/>
      <w:bookmarkStart w:id="6" w:name="_Toc9161"/>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40"/>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2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2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博爱县城市管理局</w:t>
            </w:r>
          </w:p>
          <w:p>
            <w:pPr>
              <w:pStyle w:val="21"/>
              <w:spacing w:line="360" w:lineRule="exact"/>
              <w:rPr>
                <w:rFonts w:asciiTheme="minorEastAsia" w:hAnsiTheme="minorEastAsia" w:eastAsiaTheme="minorEastAsia" w:cstheme="minorEastAsia"/>
                <w:szCs w:val="24"/>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w:t>
            </w:r>
            <w:r>
              <w:rPr>
                <w:rFonts w:hint="eastAsia" w:asciiTheme="minorEastAsia" w:hAnsiTheme="minorEastAsia" w:eastAsiaTheme="minorEastAsia" w:cstheme="minorEastAsia"/>
                <w:szCs w:val="24"/>
                <w:lang w:val="en-US" w:eastAsia="zh-CN"/>
              </w:rPr>
              <w:t>赵先生</w:t>
            </w:r>
          </w:p>
          <w:p>
            <w:pPr>
              <w:pStyle w:val="21"/>
              <w:spacing w:line="360" w:lineRule="exact"/>
              <w:rPr>
                <w:rFonts w:hint="default" w:asciiTheme="minorEastAsia" w:hAnsiTheme="minorEastAsia" w:eastAsiaTheme="minorEastAsia" w:cstheme="minorEastAsia"/>
              </w:rPr>
            </w:pPr>
            <w:r>
              <w:rPr>
                <w:rFonts w:hint="eastAsia" w:asciiTheme="minorEastAsia" w:hAnsiTheme="minorEastAsia" w:eastAsiaTheme="minorEastAsia" w:cstheme="minorEastAsia"/>
                <w:szCs w:val="24"/>
              </w:rPr>
              <w:t>电话：</w:t>
            </w:r>
            <w:r>
              <w:rPr>
                <w:rFonts w:hint="eastAsia" w:asciiTheme="minorEastAsia" w:hAnsiTheme="minorEastAsia" w:eastAsiaTheme="minorEastAsia" w:cstheme="minorEastAsia"/>
                <w:szCs w:val="24"/>
                <w:lang w:val="en-US" w:eastAsia="zh-CN"/>
              </w:rPr>
              <w:t xml:space="preserve">13462455300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21"/>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博爱县建筑垃圾处置及资源化再利用特许经营项目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21"/>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项目建设资金由中标企业自筹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建设规模</w:t>
            </w:r>
          </w:p>
        </w:tc>
        <w:tc>
          <w:tcPr>
            <w:tcW w:w="6112" w:type="dxa"/>
          </w:tcPr>
          <w:p>
            <w:pPr>
              <w:pStyle w:val="21"/>
              <w:spacing w:line="360" w:lineRule="exact"/>
              <w:ind w:firstLine="420" w:firstLineChars="200"/>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博爱县城市管理局通过公开招标选定建筑垃圾处置及资源化再利用特许经营项目的中标人，由中标人出资在博爱县组建项目公司，项目公司将被授予全县建筑垃圾处置以及利用特许经营权。建筑垃圾处置及资源化再利用特许经营项目建成后，对建筑垃圾实行定时、定点、密闭运输，然后对其中的废弃物进行分拣、剔除或者粉碎，利用废弃建筑混凝土和砖瓦、石料等生产粗细骨料，可用于生产相应强度等级的混凝土、砂浆或制备诸如再生砖、砌块、墙板、地砖等符合国家、行业部门标准的相关产品。</w:t>
            </w:r>
          </w:p>
          <w:p>
            <w:pPr>
              <w:pStyle w:val="21"/>
              <w:spacing w:line="360" w:lineRule="exact"/>
              <w:ind w:firstLine="420" w:firstLineChars="20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本次拟实施的建筑垃圾处置及资源化再利用特许经营项目建设规模为年处理不低于40万吨建筑垃圾，中标企业预算投资约8000万元，特许经营期限为30年。项目建设拟用地位于柏山镇原硫铁矿酸厂，现状为废弃厂房，土地性质为建设用地，酸厂外围建设用地属于柏山村，面积81.53亩，酸厂内建设用地53.4亩，可以满足项目建设用地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21"/>
              <w:spacing w:line="360" w:lineRule="exact"/>
              <w:jc w:val="center"/>
              <w:rPr>
                <w:rFonts w:hint="default" w:asciiTheme="minorEastAsia" w:hAnsiTheme="minorEastAsia" w:eastAsiaTheme="minorEastAsia" w:cstheme="minorEastAsia"/>
                <w:color w:val="FF0000"/>
              </w:rPr>
            </w:pPr>
            <w:r>
              <w:rPr>
                <w:rFonts w:asciiTheme="minorEastAsia" w:hAnsiTheme="minorEastAsia" w:eastAsiaTheme="minorEastAsia" w:cstheme="minorEastAsia"/>
                <w:iCs/>
                <w:color w:val="121212"/>
              </w:rPr>
              <w:t>服务期</w:t>
            </w:r>
          </w:p>
        </w:tc>
        <w:tc>
          <w:tcPr>
            <w:tcW w:w="6112" w:type="dxa"/>
            <w:vAlign w:val="center"/>
          </w:tcPr>
          <w:p>
            <w:pPr>
              <w:adjustRightInd w:val="0"/>
              <w:snapToGrid w:val="0"/>
              <w:spacing w:line="560" w:lineRule="exact"/>
              <w:rPr>
                <w:rFonts w:hint="default" w:asciiTheme="minorEastAsia" w:hAnsiTheme="minorEastAsia" w:eastAsiaTheme="minorEastAsia" w:cstheme="minorEastAsia"/>
                <w:b/>
                <w:color w:val="FF0000"/>
                <w:lang w:val="en-US" w:eastAsia="zh-CN"/>
              </w:rPr>
            </w:pPr>
            <w:r>
              <w:rPr>
                <w:rFonts w:hint="eastAsia" w:asciiTheme="minorEastAsia" w:hAnsiTheme="minorEastAsia" w:eastAsiaTheme="minorEastAsia" w:cstheme="minorEastAsia"/>
                <w:szCs w:val="21"/>
                <w:lang w:val="en-US" w:eastAsia="zh-CN"/>
              </w:rPr>
              <w:t>建筑垃圾特许经营项目周期为30年，其中建设期1年，运营期29年。（若建设期延长运营期相应减少，总周期30年不变）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质量要求</w:t>
            </w:r>
          </w:p>
        </w:tc>
        <w:tc>
          <w:tcPr>
            <w:tcW w:w="6112" w:type="dxa"/>
            <w:vAlign w:val="center"/>
          </w:tcPr>
          <w:p>
            <w:pPr>
              <w:spacing w:line="400" w:lineRule="exac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1、符合《中华人民共和国政府采购法》第二十二条之规定；</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2、落实政府采购政策需满足的资格要求：促进中小企业和监狱企业发展扶持政策、政府强制采购节能产品、节能产品及环境标志产品优先采购。</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3、本项目的特定资格要求：</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3.1供应商须具有有效的营业执照，并具有实施完成本项目的经营实力和完善的售后服务体系；</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3.3投标人提供近三年（2018年、2019年、2020年）完整的财务审计报告（成立不足三年的企业，以现有年份提供）；</w:t>
            </w:r>
          </w:p>
          <w:p>
            <w:pPr>
              <w:pStyle w:val="35"/>
              <w:shd w:val="clear" w:color="auto" w:fill="FFFFFF"/>
              <w:spacing w:before="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3.4本项目不接受联合体投标；</w:t>
            </w:r>
          </w:p>
          <w:p>
            <w:pPr>
              <w:pStyle w:val="35"/>
              <w:shd w:val="clear" w:color="auto" w:fill="FFFFFF"/>
              <w:spacing w:before="0" w:beforeAutospacing="0" w:after="0" w:afterAutospacing="0"/>
              <w:rPr>
                <w:rFonts w:asciiTheme="minorEastAsia" w:hAnsiTheme="minorEastAsia" w:eastAsiaTheme="minorEastAsia" w:cstheme="minorEastAsia"/>
              </w:rPr>
            </w:pPr>
            <w:r>
              <w:rPr>
                <w:rFonts w:hint="eastAsia" w:asciiTheme="minorEastAsia" w:hAnsiTheme="minorEastAsia" w:eastAsiaTheme="minorEastAsia" w:cstheme="minorEastAsia"/>
                <w:sz w:val="21"/>
                <w:szCs w:val="21"/>
              </w:rPr>
              <w:t>3.5资格审查方式：资格后审。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21"/>
              <w:spacing w:line="360" w:lineRule="exact"/>
              <w:jc w:val="center"/>
              <w:rPr>
                <w:rFonts w:hint="default" w:asciiTheme="minorEastAsia" w:hAnsiTheme="minorEastAsia" w:eastAsiaTheme="minorEastAsia" w:cstheme="minorEastAsia"/>
                <w:b/>
                <w:bCs/>
                <w:color w:val="0000FF"/>
              </w:rPr>
            </w:pPr>
            <w:r>
              <w:rPr>
                <w:rFonts w:asciiTheme="minorEastAsia" w:hAnsiTheme="minorEastAsia" w:eastAsiaTheme="minorEastAsia" w:cstheme="minorEastAsia"/>
              </w:rPr>
              <w:t>投标截止时间</w:t>
            </w:r>
          </w:p>
        </w:tc>
        <w:tc>
          <w:tcPr>
            <w:tcW w:w="6112" w:type="dxa"/>
            <w:vAlign w:val="center"/>
          </w:tcPr>
          <w:p>
            <w:pPr>
              <w:spacing w:line="360" w:lineRule="exact"/>
              <w:jc w:val="left"/>
              <w:rPr>
                <w:rFonts w:hint="default" w:asciiTheme="minorEastAsia" w:hAnsiTheme="minorEastAsia" w:eastAsiaTheme="minorEastAsia" w:cstheme="minorEastAsia"/>
                <w:b/>
                <w:bCs/>
                <w:color w:val="0000FF"/>
              </w:rPr>
            </w:pPr>
            <w:r>
              <w:rPr>
                <w:rFonts w:hint="eastAsia" w:ascii="宋体" w:hAnsi="宋体" w:cs="宋体"/>
                <w:b/>
                <w:bCs/>
                <w:color w:val="auto"/>
                <w:szCs w:val="21"/>
              </w:rPr>
              <w:t>2021年</w:t>
            </w:r>
            <w:r>
              <w:rPr>
                <w:rFonts w:hint="eastAsia" w:ascii="宋体" w:hAnsi="宋体" w:cs="宋体"/>
                <w:b/>
                <w:bCs/>
                <w:color w:val="auto"/>
                <w:szCs w:val="21"/>
                <w:lang w:val="en-US" w:eastAsia="zh-CN"/>
              </w:rPr>
              <w:t>10</w:t>
            </w:r>
            <w:r>
              <w:rPr>
                <w:rFonts w:hint="eastAsia" w:ascii="宋体" w:hAnsi="宋体" w:cs="宋体"/>
                <w:b/>
                <w:bCs/>
                <w:color w:val="auto"/>
                <w:szCs w:val="21"/>
              </w:rPr>
              <w:t>月</w:t>
            </w:r>
            <w:r>
              <w:rPr>
                <w:rFonts w:hint="eastAsia" w:ascii="宋体" w:hAnsi="宋体" w:cs="宋体"/>
                <w:b/>
                <w:bCs/>
                <w:color w:val="auto"/>
                <w:szCs w:val="21"/>
                <w:lang w:val="en-US" w:eastAsia="zh-CN"/>
              </w:rPr>
              <w:t>8</w:t>
            </w:r>
            <w:r>
              <w:rPr>
                <w:rFonts w:hint="eastAsia" w:ascii="宋体" w:hAnsi="宋体" w:cs="宋体"/>
                <w:b/>
                <w:bCs/>
                <w:color w:val="auto"/>
                <w:szCs w:val="21"/>
              </w:rPr>
              <w:t>日</w:t>
            </w:r>
            <w:r>
              <w:rPr>
                <w:rFonts w:hint="eastAsia" w:ascii="宋体" w:hAnsi="宋体" w:cs="宋体"/>
                <w:b/>
                <w:bCs/>
                <w:color w:val="auto"/>
                <w:szCs w:val="21"/>
                <w:lang w:val="en-US" w:eastAsia="zh-CN"/>
              </w:rPr>
              <w:t>9</w:t>
            </w:r>
            <w:r>
              <w:rPr>
                <w:rFonts w:hint="eastAsia" w:ascii="宋体" w:hAnsi="宋体" w:cs="宋体"/>
                <w:b/>
                <w:bCs/>
                <w:color w:val="auto"/>
                <w:szCs w:val="21"/>
              </w:rPr>
              <w:t>时</w:t>
            </w:r>
            <w:r>
              <w:rPr>
                <w:rFonts w:hint="eastAsia" w:ascii="宋体" w:hAnsi="宋体" w:cs="宋体"/>
                <w:b/>
                <w:bCs/>
                <w:color w:val="auto"/>
                <w:szCs w:val="21"/>
                <w:lang w:val="en-US" w:eastAsia="zh-CN"/>
              </w:rPr>
              <w:t>30</w:t>
            </w:r>
            <w:r>
              <w:rPr>
                <w:rFonts w:hint="eastAsia" w:ascii="宋体" w:hAnsi="宋体" w:cs="宋体"/>
                <w:b/>
                <w:bCs/>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21"/>
              <w:spacing w:line="360" w:lineRule="exact"/>
              <w:rPr>
                <w:rFonts w:hint="default" w:asciiTheme="minorEastAsia" w:hAnsiTheme="minorEastAsia" w:eastAsiaTheme="minorEastAsia" w:cstheme="minorEastAsia"/>
                <w:color w:val="FF0000"/>
              </w:rPr>
            </w:pPr>
            <w:r>
              <w:rPr>
                <w:rFonts w:asciiTheme="minorEastAsia" w:hAnsiTheme="minorEastAsia" w:eastAsiaTheme="minorEastAsia" w:cstheme="minorEastAsia"/>
                <w:color w:val="000000" w:themeColor="text1"/>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签字盖章要求</w:t>
            </w:r>
          </w:p>
        </w:tc>
        <w:tc>
          <w:tcPr>
            <w:tcW w:w="6112" w:type="dxa"/>
            <w:shd w:val="clear" w:color="auto" w:fill="auto"/>
            <w:vAlign w:val="center"/>
          </w:tcPr>
          <w:p>
            <w:pPr>
              <w:spacing w:line="360" w:lineRule="exact"/>
              <w:jc w:val="left"/>
              <w:rPr>
                <w:rFonts w:ascii="宋体" w:hAnsi="宋体" w:cs="宋体"/>
                <w:color w:val="auto"/>
                <w:szCs w:val="21"/>
                <w:highlight w:val="none"/>
              </w:rPr>
            </w:pPr>
            <w:r>
              <w:rPr>
                <w:rFonts w:hint="eastAsia" w:ascii="宋体" w:hAnsi="宋体" w:cs="宋体"/>
                <w:color w:val="auto"/>
                <w:szCs w:val="21"/>
                <w:highlight w:val="none"/>
              </w:rPr>
              <w:t>（1）所有要求投标人加盖公章的地方都须加盖投标人单位的 CA 印章。</w:t>
            </w:r>
          </w:p>
          <w:p>
            <w:pPr>
              <w:pStyle w:val="21"/>
              <w:spacing w:line="360" w:lineRule="exact"/>
              <w:rPr>
                <w:rFonts w:hint="default" w:asciiTheme="minorEastAsia" w:hAnsiTheme="minorEastAsia" w:eastAsiaTheme="minorEastAsia" w:cstheme="minorEastAsia"/>
                <w:color w:val="auto"/>
                <w:highlight w:val="none"/>
              </w:rPr>
            </w:pPr>
            <w:r>
              <w:rPr>
                <w:rFonts w:hint="eastAsia" w:ascii="宋体" w:hAnsi="宋体" w:cs="宋体"/>
                <w:color w:val="auto"/>
                <w:szCs w:val="21"/>
                <w:highlight w:val="none"/>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21"/>
              <w:spacing w:line="360" w:lineRule="exact"/>
              <w:rPr>
                <w:rFonts w:hint="eastAsia" w:eastAsia="宋体" w:asciiTheme="minorEastAsia" w:hAnsiTheme="minorEastAsia" w:cstheme="minorEastAsia"/>
                <w:lang w:eastAsia="zh-CN"/>
              </w:rPr>
            </w:pPr>
            <w:r>
              <w:rPr>
                <w:rFonts w:hint="eastAsia"/>
                <w:szCs w:val="21"/>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21"/>
              <w:spacing w:line="360" w:lineRule="exact"/>
              <w:jc w:val="center"/>
              <w:rPr>
                <w:rFonts w:hint="eastAsia" w:asciiTheme="minorEastAsia" w:hAnsiTheme="minorEastAsia" w:eastAsiaTheme="minorEastAsia" w:cstheme="minorEastAsia"/>
                <w:highlight w:val="none"/>
                <w:lang w:eastAsia="zh-CN"/>
              </w:rPr>
            </w:pPr>
            <w:r>
              <w:rPr>
                <w:rFonts w:asciiTheme="minorEastAsia" w:hAnsiTheme="minorEastAsia" w:eastAsiaTheme="minorEastAsia" w:cstheme="minorEastAsia"/>
                <w:highlight w:val="none"/>
              </w:rPr>
              <w:t>递交投标文件</w:t>
            </w:r>
            <w:r>
              <w:rPr>
                <w:rFonts w:hint="eastAsia" w:asciiTheme="minorEastAsia" w:hAnsiTheme="minorEastAsia" w:eastAsiaTheme="minorEastAsia" w:cstheme="minorEastAsia"/>
                <w:highlight w:val="none"/>
                <w:lang w:eastAsia="zh-CN"/>
              </w:rPr>
              <w:t>方式和</w:t>
            </w:r>
          </w:p>
          <w:p>
            <w:pPr>
              <w:pStyle w:val="21"/>
              <w:spacing w:line="360" w:lineRule="exact"/>
              <w:jc w:val="center"/>
              <w:rPr>
                <w:rFonts w:hint="default" w:asciiTheme="minorEastAsia" w:hAnsiTheme="minorEastAsia" w:eastAsiaTheme="minorEastAsia" w:cstheme="minorEastAsia"/>
                <w:highlight w:val="none"/>
              </w:rPr>
            </w:pPr>
            <w:r>
              <w:rPr>
                <w:rFonts w:asciiTheme="minorEastAsia" w:hAnsiTheme="minorEastAsia" w:eastAsiaTheme="minorEastAsia" w:cstheme="minorEastAsia"/>
                <w:highlight w:val="none"/>
              </w:rPr>
              <w:t>地点</w:t>
            </w:r>
          </w:p>
        </w:tc>
        <w:tc>
          <w:tcPr>
            <w:tcW w:w="6112" w:type="dxa"/>
            <w:vAlign w:val="center"/>
          </w:tcPr>
          <w:p>
            <w:pPr>
              <w:pStyle w:val="21"/>
              <w:spacing w:line="400" w:lineRule="exact"/>
              <w:rPr>
                <w:rFonts w:hint="eastAsia" w:ascii="宋体" w:hAnsi="宋体"/>
                <w:szCs w:val="21"/>
                <w:highlight w:val="none"/>
              </w:rPr>
            </w:pPr>
            <w:r>
              <w:rPr>
                <w:rFonts w:hint="eastAsia" w:asciiTheme="minorEastAsia" w:hAnsiTheme="minorEastAsia" w:eastAsiaTheme="minorEastAsia" w:cstheme="minorEastAsia"/>
                <w:bCs/>
                <w:highlight w:val="none"/>
                <w:lang w:val="en-US" w:eastAsia="zh-CN"/>
              </w:rPr>
              <w:t xml:space="preserve"> </w:t>
            </w:r>
            <w:r>
              <w:rPr>
                <w:rFonts w:hint="eastAsia" w:ascii="宋体" w:hAnsi="宋体"/>
                <w:szCs w:val="21"/>
                <w:highlight w:val="none"/>
              </w:rPr>
              <w:t xml:space="preserve">本项目采用“远程不见面”开标方式，远程开标大厅网址为http://122.112.246.33/BidOpening/bidopeninghallaction/hall/login。投标人不需到开标现场参加开标会议，不需提交原件资料等。 </w:t>
            </w:r>
          </w:p>
          <w:p>
            <w:pPr>
              <w:pStyle w:val="21"/>
              <w:spacing w:line="400" w:lineRule="exact"/>
              <w:rPr>
                <w:rFonts w:hint="eastAsia" w:ascii="宋体" w:hAnsi="宋体"/>
                <w:szCs w:val="21"/>
                <w:highlight w:val="none"/>
              </w:rPr>
            </w:pPr>
            <w:r>
              <w:rPr>
                <w:rFonts w:hint="eastAsia" w:ascii="宋体" w:hAnsi="宋体"/>
                <w:szCs w:val="21"/>
                <w:highlight w:val="none"/>
              </w:rPr>
              <w:t>（1）电子投标文件的递交</w:t>
            </w:r>
          </w:p>
          <w:p>
            <w:pPr>
              <w:pStyle w:val="21"/>
              <w:spacing w:line="400" w:lineRule="exact"/>
              <w:rPr>
                <w:rFonts w:hint="eastAsia" w:ascii="宋体" w:hAnsi="宋体"/>
                <w:szCs w:val="21"/>
                <w:highlight w:val="none"/>
              </w:rPr>
            </w:pPr>
            <w:r>
              <w:rPr>
                <w:rFonts w:hint="eastAsia" w:ascii="宋体" w:hAnsi="宋体"/>
                <w:szCs w:val="21"/>
                <w:highlight w:val="none"/>
              </w:rPr>
              <w:t>a、各投标人应在投标截</w:t>
            </w:r>
            <w:r>
              <w:rPr>
                <w:rFonts w:hint="eastAsia" w:hAnsi="宋体"/>
                <w:szCs w:val="21"/>
                <w:highlight w:val="none"/>
                <w:lang w:val="en-US" w:eastAsia="zh-CN"/>
              </w:rPr>
              <w:t>止</w:t>
            </w:r>
            <w:r>
              <w:rPr>
                <w:rFonts w:hint="eastAsia" w:ascii="宋体" w:hAnsi="宋体"/>
                <w:szCs w:val="21"/>
                <w:highlight w:val="none"/>
              </w:rPr>
              <w:t>时间前上传加密的电子投标文件</w:t>
            </w:r>
          </w:p>
          <w:p>
            <w:pPr>
              <w:pStyle w:val="21"/>
              <w:spacing w:line="400" w:lineRule="exact"/>
              <w:rPr>
                <w:rFonts w:hint="eastAsia" w:ascii="宋体" w:hAnsi="宋体"/>
                <w:szCs w:val="21"/>
                <w:highlight w:val="none"/>
              </w:rPr>
            </w:pPr>
            <w:r>
              <w:rPr>
                <w:rFonts w:hint="eastAsia" w:ascii="宋体" w:hAnsi="宋体"/>
                <w:szCs w:val="21"/>
                <w:highlight w:val="none"/>
              </w:rPr>
              <w:t>（.jztf 格式）到会员系统的指定位置。上传时必须得到电脑“上传成功”的确认回复。请投标人在上传时认真检查上传投标文件是否完整、正确。</w:t>
            </w:r>
          </w:p>
          <w:p>
            <w:pPr>
              <w:pStyle w:val="21"/>
              <w:spacing w:line="400" w:lineRule="exact"/>
              <w:rPr>
                <w:rFonts w:hint="eastAsia" w:ascii="宋体" w:hAnsi="宋体"/>
                <w:szCs w:val="21"/>
                <w:highlight w:val="none"/>
              </w:rPr>
            </w:pPr>
            <w:r>
              <w:rPr>
                <w:rFonts w:hint="eastAsia" w:ascii="宋体" w:hAnsi="宋体"/>
                <w:szCs w:val="21"/>
                <w:highlight w:val="none"/>
              </w:rPr>
              <w:t>b、如系统故故障需上传非加密文件时，投标人应按照招标人指示将非加密文件递交给招标人。</w:t>
            </w:r>
          </w:p>
          <w:p>
            <w:pPr>
              <w:pStyle w:val="21"/>
              <w:spacing w:line="360" w:lineRule="exact"/>
              <w:rPr>
                <w:rFonts w:hint="eastAsia"/>
                <w:color w:val="0000FF"/>
                <w:sz w:val="21"/>
                <w:szCs w:val="21"/>
                <w:highlight w:val="none"/>
                <w:lang w:eastAsia="zh-CN"/>
              </w:rPr>
            </w:pPr>
            <w:r>
              <w:rPr>
                <w:rFonts w:hint="eastAsia" w:ascii="宋体" w:hAnsi="宋体"/>
                <w:szCs w:val="21"/>
                <w:highlight w:val="none"/>
              </w:rPr>
              <w:t>C、投标人因交易中心投标系统无法上传电子投标文件时， 请在工作时间与</w:t>
            </w:r>
            <w:r>
              <w:rPr>
                <w:rFonts w:hint="eastAsia" w:ascii="宋体" w:hAnsi="宋体"/>
                <w:color w:val="auto"/>
                <w:szCs w:val="21"/>
                <w:highlight w:val="none"/>
              </w:rPr>
              <w:t>博爱县公共资源交易中心</w:t>
            </w:r>
            <w:r>
              <w:rPr>
                <w:rFonts w:hint="eastAsia" w:ascii="宋体" w:hAnsi="宋体"/>
                <w:szCs w:val="21"/>
                <w:highlight w:val="none"/>
              </w:rPr>
              <w:t>联系，联系电话：03</w:t>
            </w:r>
            <w:r>
              <w:rPr>
                <w:rFonts w:hint="eastAsia" w:ascii="宋体" w:hAnsi="宋体"/>
                <w:color w:val="auto"/>
                <w:szCs w:val="21"/>
                <w:highlight w:val="none"/>
              </w:rPr>
              <w:t>91-</w:t>
            </w:r>
            <w:r>
              <w:rPr>
                <w:rFonts w:hint="eastAsia" w:hAnsi="宋体"/>
                <w:color w:val="auto"/>
                <w:szCs w:val="21"/>
                <w:highlight w:val="none"/>
                <w:lang w:val="en-US" w:eastAsia="zh-CN"/>
              </w:rPr>
              <w:t>8301661</w:t>
            </w: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2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21"/>
              <w:spacing w:line="360" w:lineRule="exact"/>
              <w:jc w:val="center"/>
              <w:rPr>
                <w:rFonts w:hint="default" w:asciiTheme="minorEastAsia" w:hAnsiTheme="minorEastAsia" w:eastAsiaTheme="minorEastAsia" w:cstheme="minorEastAsia"/>
                <w:color w:val="auto"/>
                <w:highlight w:val="none"/>
                <w:lang w:val="en-US" w:eastAsia="zh-CN"/>
              </w:rPr>
            </w:pPr>
            <w:r>
              <w:rPr>
                <w:rFonts w:asciiTheme="minorEastAsia" w:hAnsiTheme="minorEastAsia" w:eastAsiaTheme="minorEastAsia" w:cstheme="minorEastAsia"/>
                <w:color w:val="auto"/>
                <w:highlight w:val="none"/>
              </w:rPr>
              <w:t>开标时间</w:t>
            </w:r>
            <w:r>
              <w:rPr>
                <w:rFonts w:hint="eastAsia" w:asciiTheme="minorEastAsia" w:hAnsiTheme="minorEastAsia" w:eastAsiaTheme="minorEastAsia" w:cstheme="minorEastAsia"/>
                <w:color w:val="auto"/>
                <w:highlight w:val="none"/>
                <w:lang w:val="en-US" w:eastAsia="zh-CN"/>
              </w:rPr>
              <w:t>和地点</w:t>
            </w:r>
          </w:p>
        </w:tc>
        <w:tc>
          <w:tcPr>
            <w:tcW w:w="6112" w:type="dxa"/>
            <w:vAlign w:val="center"/>
          </w:tcPr>
          <w:p>
            <w:pPr>
              <w:adjustRightInd w:val="0"/>
              <w:snapToGrid w:val="0"/>
              <w:spacing w:line="400" w:lineRule="exact"/>
              <w:ind w:firstLine="0" w:firstLineChars="0"/>
              <w:rPr>
                <w:rFonts w:hint="eastAsia" w:ascii="宋体" w:hAnsi="宋体"/>
                <w:color w:val="auto"/>
                <w:szCs w:val="21"/>
                <w:highlight w:val="none"/>
              </w:rPr>
            </w:pPr>
            <w:r>
              <w:rPr>
                <w:rFonts w:hint="eastAsia" w:ascii="宋体" w:hAnsi="宋体"/>
                <w:color w:val="auto"/>
                <w:szCs w:val="21"/>
                <w:highlight w:val="none"/>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color w:val="auto"/>
                <w:highlight w:val="none"/>
              </w:rPr>
            </w:pPr>
            <w:r>
              <w:rPr>
                <w:rFonts w:hint="eastAsia" w:ascii="宋体" w:hAnsi="宋体"/>
                <w:color w:val="auto"/>
                <w:szCs w:val="21"/>
                <w:highlight w:val="none"/>
              </w:rPr>
              <w:t>现场开标地点：博爱县公共资源交易中心二楼第</w:t>
            </w:r>
            <w:r>
              <w:rPr>
                <w:rFonts w:hint="eastAsia" w:ascii="宋体" w:hAnsi="宋体"/>
                <w:color w:val="auto"/>
                <w:szCs w:val="21"/>
                <w:highlight w:val="none"/>
                <w:lang w:val="en-US" w:eastAsia="zh-CN"/>
              </w:rPr>
              <w:t>一</w:t>
            </w:r>
            <w:r>
              <w:rPr>
                <w:rFonts w:hint="eastAsia" w:ascii="宋体" w:hAnsi="宋体"/>
                <w:color w:val="auto"/>
                <w:szCs w:val="21"/>
                <w:highlight w:val="none"/>
              </w:rPr>
              <w:t>开标室</w:t>
            </w:r>
            <w:r>
              <w:rPr>
                <w:rFonts w:hint="eastAsia" w:hAnsi="宋体"/>
                <w:color w:val="auto"/>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名共</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w:t>
            </w:r>
            <w:r>
              <w:rPr>
                <w:rFonts w:hint="eastAsia" w:asciiTheme="minorEastAsia" w:hAnsiTheme="minorEastAsia" w:eastAsiaTheme="minorEastAsia" w:cstheme="minorEastAsia"/>
                <w:color w:val="auto"/>
                <w:szCs w:val="21"/>
                <w:highlight w:val="none"/>
              </w:rPr>
              <w:t>高到</w:t>
            </w:r>
            <w:r>
              <w:rPr>
                <w:rFonts w:hint="eastAsia" w:asciiTheme="minorEastAsia" w:hAnsiTheme="minorEastAsia" w:eastAsiaTheme="minorEastAsia" w:cstheme="minorEastAsia"/>
                <w:color w:val="auto"/>
                <w:szCs w:val="21"/>
                <w:highlight w:val="none"/>
                <w:lang w:val="en-US" w:eastAsia="zh-CN"/>
              </w:rPr>
              <w:t>低</w:t>
            </w:r>
            <w:r>
              <w:rPr>
                <w:rFonts w:hint="eastAsia" w:asciiTheme="minorEastAsia" w:hAnsiTheme="minorEastAsia" w:eastAsiaTheme="minorEastAsia" w:cstheme="minorEastAsia"/>
                <w:color w:val="auto"/>
                <w:szCs w:val="21"/>
                <w:highlight w:val="none"/>
              </w:rPr>
              <w:t>的</w:t>
            </w:r>
            <w:r>
              <w:rPr>
                <w:rFonts w:hint="eastAsia" w:asciiTheme="minorEastAsia" w:hAnsiTheme="minorEastAsia" w:eastAsiaTheme="minorEastAsia" w:cstheme="minorEastAsia"/>
                <w:szCs w:val="21"/>
              </w:rPr>
              <w:t>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不按照招标文件要求提交履约保证金，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该中标人的投标保证金不予退还，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履约保证金</w:t>
            </w:r>
          </w:p>
        </w:tc>
        <w:tc>
          <w:tcPr>
            <w:tcW w:w="6112" w:type="dxa"/>
            <w:vAlign w:val="center"/>
          </w:tcPr>
          <w:p>
            <w:pPr>
              <w:spacing w:line="380" w:lineRule="exact"/>
              <w:ind w:firstLine="420" w:firstLineChars="20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val="en-US" w:eastAsia="zh-CN"/>
              </w:rPr>
              <w:t>投标企业中标后在招标人指定账户上缴纳投资总额的10%做为履约保证金，或以银行提供的履约保函的形式（不低于800万元）。该资金在项目建成验收合格并投入使用后退还95%，其余5%作为运行期间的履约保证金，特许经营期结束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21"/>
              <w:spacing w:line="360" w:lineRule="exact"/>
              <w:jc w:val="center"/>
              <w:rPr>
                <w:rFonts w:hint="eastAsia" w:asciiTheme="minorEastAsia" w:hAnsiTheme="minorEastAsia" w:eastAsiaTheme="minorEastAsia" w:cstheme="minorEastAsia"/>
                <w:highlight w:val="none"/>
                <w:lang w:val="en-US" w:eastAsia="zh-CN"/>
              </w:rPr>
            </w:pPr>
            <w:r>
              <w:rPr>
                <w:rFonts w:asciiTheme="minorEastAsia" w:hAnsiTheme="minorEastAsia" w:eastAsiaTheme="minorEastAsia" w:cstheme="minorEastAsia"/>
                <w:highlight w:val="none"/>
              </w:rPr>
              <w:t>7.3.</w:t>
            </w:r>
            <w:r>
              <w:rPr>
                <w:rFonts w:hint="eastAsia" w:asciiTheme="minorEastAsia" w:hAnsiTheme="minorEastAsia" w:eastAsiaTheme="minorEastAsia" w:cstheme="minorEastAsia"/>
                <w:highlight w:val="none"/>
                <w:lang w:val="en-US" w:eastAsia="zh-CN"/>
              </w:rPr>
              <w:t>2</w:t>
            </w:r>
          </w:p>
        </w:tc>
        <w:tc>
          <w:tcPr>
            <w:tcW w:w="2318" w:type="dxa"/>
            <w:shd w:val="clear" w:color="auto" w:fill="auto"/>
            <w:vAlign w:val="center"/>
          </w:tcPr>
          <w:p>
            <w:pPr>
              <w:spacing w:line="360" w:lineRule="exact"/>
              <w:jc w:val="cente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投标保证金</w:t>
            </w:r>
          </w:p>
        </w:tc>
        <w:tc>
          <w:tcPr>
            <w:tcW w:w="6112" w:type="dxa"/>
            <w:shd w:val="clear" w:color="auto" w:fill="auto"/>
            <w:vAlign w:val="center"/>
          </w:tcPr>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投标保证金：800000.00元。</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投标保证金交纳形式：银行保函或由投标人基本账户转账（以银行保函形式提交保证金的须将扫描件做入投标文件，作为其投标文件的组成部分）。</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递交投标保证金的开户银行及账号如下：</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户名：博爱县公共资源交易中心</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开户行1：中国邮政储蓄银行股份有限公司博爱县清化镇支行</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银行账号：100549513510010002</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开户行2：中国银行股份有限公司博爱支行</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银行帐号：262419116795</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开户行3：河南博爱农村商业银行股份有限公司营业部</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银行帐号：00000117360002831012</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投标保证金递交截止时间：2021年9月30日17:00时。</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其他要求：</w:t>
            </w:r>
          </w:p>
          <w:p>
            <w:pPr>
              <w:numPr>
                <w:ilvl w:val="0"/>
                <w:numId w:val="4"/>
              </w:num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对非中标人保证金的退还：自中标通知书发出之日起5个工作日内退还未中标人的投标保证金。</w:t>
            </w:r>
          </w:p>
          <w:p>
            <w:pPr>
              <w:numPr>
                <w:ilvl w:val="0"/>
                <w:numId w:val="4"/>
              </w:num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对中标人保证金的退还：自政府采购合同签订之日起5个工作日内退还中标人的投标保证金。</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2.投标人退还保证金需要提供收款收据和交款凭证，咨询电话0391-3859600。</w:t>
            </w:r>
          </w:p>
          <w:p>
            <w:pPr>
              <w:spacing w:line="3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控制价</w:t>
            </w:r>
          </w:p>
        </w:tc>
        <w:tc>
          <w:tcPr>
            <w:tcW w:w="6112" w:type="dxa"/>
            <w:vAlign w:val="bottom"/>
          </w:tcPr>
          <w:p>
            <w:pPr>
              <w:numPr>
                <w:ilvl w:val="0"/>
                <w:numId w:val="5"/>
              </w:numPr>
              <w:spacing w:line="44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建筑垃圾特许经营</w:t>
            </w:r>
            <w:r>
              <w:rPr>
                <w:rFonts w:hint="eastAsia" w:asciiTheme="minorEastAsia" w:hAnsiTheme="minorEastAsia" w:eastAsiaTheme="minorEastAsia" w:cstheme="minorEastAsia"/>
                <w:szCs w:val="21"/>
                <w:lang w:val="en-US" w:eastAsia="zh-CN"/>
              </w:rPr>
              <w:t>建设</w:t>
            </w:r>
            <w:r>
              <w:rPr>
                <w:rFonts w:hint="eastAsia" w:asciiTheme="minorEastAsia" w:hAnsiTheme="minorEastAsia" w:eastAsiaTheme="minorEastAsia" w:cstheme="minorEastAsia"/>
                <w:szCs w:val="21"/>
              </w:rPr>
              <w:t>报价总投资额不低于8000万元</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建筑垃圾处理费（不包括清运费）不高于每吨6元</w:t>
            </w:r>
            <w:r>
              <w:rPr>
                <w:rFonts w:hint="eastAsia" w:asciiTheme="minorEastAsia" w:hAnsiTheme="minorEastAsia" w:eastAsiaTheme="minorEastAsia" w:cstheme="minorEastAsia"/>
                <w:szCs w:val="21"/>
                <w:lang w:eastAsia="zh-CN"/>
              </w:rPr>
              <w:t>。</w:t>
            </w:r>
          </w:p>
          <w:p>
            <w:pPr>
              <w:numPr>
                <w:ilvl w:val="0"/>
                <w:numId w:val="5"/>
              </w:numPr>
              <w:spacing w:line="440" w:lineRule="exact"/>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当中标人的</w:t>
            </w:r>
            <w:r>
              <w:rPr>
                <w:rFonts w:hint="eastAsia" w:asciiTheme="minorEastAsia" w:hAnsiTheme="minorEastAsia" w:eastAsiaTheme="minorEastAsia" w:cstheme="minorEastAsia"/>
                <w:szCs w:val="21"/>
              </w:rPr>
              <w:t>建筑垃圾处理费（不包括清运费）</w:t>
            </w:r>
            <w:r>
              <w:rPr>
                <w:rFonts w:hint="eastAsia" w:asciiTheme="minorEastAsia" w:hAnsiTheme="minorEastAsia" w:eastAsiaTheme="minorEastAsia" w:cstheme="minorEastAsia"/>
                <w:szCs w:val="21"/>
                <w:lang w:val="en-US" w:eastAsia="zh-CN"/>
              </w:rPr>
              <w:t>报价高于控制价的95%时，该中标人的中标价按控制价的95%执行。</w:t>
            </w:r>
          </w:p>
          <w:p>
            <w:pPr>
              <w:numPr>
                <w:ilvl w:val="0"/>
                <w:numId w:val="5"/>
              </w:num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不符合以上要求的投标报价，招标人将不予接受。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1、对小型或微型企业投标的扶持：(如有）</w:t>
            </w:r>
          </w:p>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小微企业应当提供《中小企业声明函》（见格式）。</w:t>
            </w:r>
            <w:r>
              <w:rPr>
                <w:rFonts w:hint="eastAsia" w:ascii="宋体" w:hAnsi="宋体" w:cs="宋体"/>
                <w:color w:val="000000" w:themeColor="text1"/>
                <w:kern w:val="0"/>
                <w:szCs w:val="21"/>
              </w:rPr>
              <w:br w:type="textWrapping"/>
            </w:r>
            <w:r>
              <w:rPr>
                <w:rFonts w:hint="eastAsia" w:ascii="宋体" w:hAnsi="宋体" w:cs="宋体"/>
                <w:color w:val="000000" w:themeColor="text1"/>
                <w:kern w:val="0"/>
                <w:szCs w:val="21"/>
              </w:rPr>
              <w:t>1.2按照</w:t>
            </w:r>
            <w:r>
              <w:rPr>
                <w:rFonts w:hint="eastAsia" w:ascii="宋体" w:hAnsi="宋体" w:cs="宋体"/>
                <w:color w:val="000000" w:themeColor="text1"/>
                <w:kern w:val="0"/>
                <w:sz w:val="24"/>
                <w:szCs w:val="22"/>
              </w:rPr>
              <w:t>《</w:t>
            </w:r>
            <w:r>
              <w:rPr>
                <w:rFonts w:hint="eastAsia" w:ascii="宋体" w:hAnsi="宋体" w:cs="宋体"/>
                <w:color w:val="000000" w:themeColor="text1"/>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000000" w:themeColor="text1"/>
              </w:rPr>
            </w:pPr>
            <w:r>
              <w:rPr>
                <w:rFonts w:hint="eastAsia" w:ascii="宋体" w:hAnsi="宋体" w:cs="宋体"/>
                <w:bCs/>
                <w:color w:val="000000" w:themeColor="text1"/>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color w:val="000000" w:themeColor="text1"/>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rPr>
                <w:rFonts w:hint="eastAsia"/>
              </w:rPr>
            </w:pPr>
            <w:r>
              <w:rPr>
                <w:rFonts w:hint="eastAsia"/>
                <w:lang w:val="en-US" w:eastAsia="zh-CN"/>
              </w:rPr>
              <w:t>1、</w:t>
            </w:r>
            <w:r>
              <w:rPr>
                <w:rFonts w:hint="eastAsia"/>
              </w:rPr>
              <w:t>招标</w:t>
            </w:r>
            <w:r>
              <w:rPr>
                <w:rFonts w:hint="eastAsia" w:asciiTheme="minorEastAsia" w:hAnsiTheme="minorEastAsia" w:eastAsiaTheme="minorEastAsia" w:cstheme="minorEastAsia"/>
                <w:sz w:val="21"/>
                <w:szCs w:val="21"/>
              </w:rPr>
              <w:t>代理服务费参照（国家计委（计价格[2002]1980号）文件、国家发改委（发改办价格[2003]857号）文件及国家发改委（发改价格[2011]534号）文件）的收费标准，向中标人收取</w:t>
            </w:r>
            <w:r>
              <w:rPr>
                <w:rFonts w:hint="eastAsia"/>
              </w:rPr>
              <w:t>。</w:t>
            </w:r>
          </w:p>
          <w:p>
            <w:pPr>
              <w:pStyle w:val="56"/>
            </w:pPr>
            <w:r>
              <w:rPr>
                <w:rFonts w:hint="eastAsia" w:asciiTheme="minorEastAsia" w:hAnsiTheme="minorEastAsia" w:eastAsiaTheme="minorEastAsia" w:cstheme="minorEastAsia"/>
                <w:color w:val="auto"/>
                <w:lang w:val="en-US" w:eastAsia="zh-CN"/>
              </w:rPr>
              <w:t>2、</w:t>
            </w:r>
            <w:r>
              <w:rPr>
                <w:rFonts w:hint="default" w:asciiTheme="minorEastAsia" w:hAnsiTheme="minorEastAsia" w:eastAsiaTheme="minorEastAsia" w:cstheme="minorEastAsia"/>
                <w:color w:val="auto"/>
                <w:lang w:val="en-US" w:eastAsia="zh-CN"/>
              </w:rPr>
              <w:t>中</w:t>
            </w:r>
            <w:r>
              <w:rPr>
                <w:rFonts w:hint="default" w:asciiTheme="minorEastAsia" w:hAnsiTheme="minorEastAsia" w:eastAsiaTheme="minorEastAsia" w:cstheme="minorEastAsia"/>
                <w:color w:val="auto"/>
                <w:highlight w:val="none"/>
                <w:lang w:val="en-US" w:eastAsia="zh-CN"/>
              </w:rPr>
              <w:t>标人在</w:t>
            </w:r>
            <w:r>
              <w:rPr>
                <w:rFonts w:hint="eastAsia" w:asciiTheme="minorEastAsia" w:hAnsiTheme="minorEastAsia" w:eastAsiaTheme="minorEastAsia" w:cstheme="minorEastAsia"/>
                <w:color w:val="auto"/>
                <w:highlight w:val="none"/>
                <w:lang w:val="en-US" w:eastAsia="zh-CN"/>
              </w:rPr>
              <w:t>领取中标通知书时，将</w:t>
            </w:r>
            <w:r>
              <w:rPr>
                <w:rFonts w:hint="default" w:asciiTheme="minorEastAsia" w:hAnsiTheme="minorEastAsia" w:eastAsiaTheme="minorEastAsia" w:cstheme="minorEastAsia"/>
                <w:color w:val="auto"/>
                <w:highlight w:val="none"/>
                <w:lang w:val="en-US" w:eastAsia="zh-CN"/>
              </w:rPr>
              <w:t>投标文件纸质版</w:t>
            </w:r>
            <w:r>
              <w:rPr>
                <w:rFonts w:hint="eastAsia" w:asciiTheme="minorEastAsia" w:hAnsiTheme="minorEastAsia" w:eastAsiaTheme="minorEastAsia" w:cstheme="minorEastAsia"/>
                <w:color w:val="auto"/>
                <w:highlight w:val="none"/>
                <w:lang w:val="en-US" w:eastAsia="zh-CN"/>
              </w:rPr>
              <w:t>打印</w:t>
            </w:r>
            <w:r>
              <w:rPr>
                <w:rFonts w:asciiTheme="minorEastAsia" w:hAnsiTheme="minorEastAsia" w:eastAsiaTheme="minorEastAsia" w:cstheme="minorEastAsia"/>
                <w:color w:val="auto"/>
                <w:highlight w:val="none"/>
              </w:rPr>
              <w:t>装订</w:t>
            </w:r>
            <w:r>
              <w:rPr>
                <w:rFonts w:hint="eastAsia" w:asciiTheme="minorEastAsia" w:hAnsiTheme="minorEastAsia" w:eastAsiaTheme="minorEastAsia" w:cstheme="minorEastAsia"/>
                <w:color w:val="auto"/>
                <w:highlight w:val="none"/>
                <w:lang w:eastAsia="zh-CN"/>
              </w:rPr>
              <w:t>（</w:t>
            </w:r>
            <w:r>
              <w:rPr>
                <w:rFonts w:asciiTheme="minorEastAsia" w:hAnsiTheme="minorEastAsia" w:eastAsiaTheme="minorEastAsia" w:cstheme="minorEastAsia"/>
                <w:color w:val="auto"/>
                <w:highlight w:val="none"/>
              </w:rPr>
              <w:t>投标文件正本</w:t>
            </w:r>
            <w:r>
              <w:rPr>
                <w:rFonts w:hint="eastAsia" w:asciiTheme="minorEastAsia" w:hAnsiTheme="minorEastAsia" w:eastAsiaTheme="minorEastAsia" w:cstheme="minorEastAsia"/>
                <w:color w:val="auto"/>
                <w:highlight w:val="none"/>
                <w:lang w:val="en-US" w:eastAsia="zh-CN"/>
              </w:rPr>
              <w:t>壹份和</w:t>
            </w:r>
            <w:r>
              <w:rPr>
                <w:rFonts w:asciiTheme="minorEastAsia" w:hAnsiTheme="minorEastAsia" w:eastAsiaTheme="minorEastAsia" w:cstheme="minorEastAsia"/>
                <w:color w:val="auto"/>
                <w:highlight w:val="none"/>
              </w:rPr>
              <w:t>副本</w:t>
            </w:r>
            <w:r>
              <w:rPr>
                <w:rFonts w:hint="eastAsia" w:asciiTheme="minorEastAsia" w:hAnsiTheme="minorEastAsia" w:eastAsiaTheme="minorEastAsia" w:cstheme="minorEastAsia"/>
                <w:color w:val="auto"/>
                <w:highlight w:val="none"/>
                <w:lang w:val="en-US" w:eastAsia="zh-CN"/>
              </w:rPr>
              <w:t>肆份，</w:t>
            </w:r>
            <w:r>
              <w:rPr>
                <w:rFonts w:asciiTheme="minorEastAsia" w:hAnsiTheme="minorEastAsia" w:eastAsiaTheme="minorEastAsia" w:cstheme="minorEastAsia"/>
                <w:color w:val="auto"/>
                <w:highlight w:val="none"/>
              </w:rPr>
              <w:t>每册应采用左侧粘贴方式</w:t>
            </w:r>
            <w:r>
              <w:rPr>
                <w:rFonts w:hint="eastAsia" w:asciiTheme="minorEastAsia" w:hAnsiTheme="minorEastAsia" w:eastAsiaTheme="minorEastAsia" w:cstheme="minorEastAsia"/>
                <w:color w:val="auto"/>
                <w:highlight w:val="none"/>
                <w:lang w:eastAsia="zh-CN"/>
              </w:rPr>
              <w:t>，</w:t>
            </w:r>
            <w:r>
              <w:rPr>
                <w:rFonts w:asciiTheme="minorEastAsia" w:hAnsiTheme="minorEastAsia" w:eastAsiaTheme="minorEastAsia" w:cstheme="minorEastAsia"/>
                <w:color w:val="auto"/>
                <w:highlight w:val="none"/>
              </w:rPr>
              <w:t>不得采用活页装订</w:t>
            </w:r>
            <w:r>
              <w:rPr>
                <w:rFonts w:hint="eastAsia" w:asciiTheme="minorEastAsia" w:hAnsiTheme="minorEastAsia" w:eastAsiaTheme="minorEastAsia" w:cstheme="minorEastAsia"/>
                <w:color w:val="auto"/>
                <w:highlight w:val="none"/>
                <w:lang w:eastAsia="zh-CN"/>
              </w:rPr>
              <w:t>）递交采购人</w:t>
            </w:r>
            <w:r>
              <w:rPr>
                <w:rFonts w:asciiTheme="minorEastAsia" w:hAnsiTheme="minorEastAsia" w:eastAsiaTheme="minorEastAsia" w:cs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、未按招标文件明示的规定签字盖章的；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、投标文件的关键内容（投标报价、</w:t>
            </w:r>
            <w:r>
              <w:rPr>
                <w:rFonts w:hint="eastAsia" w:asciiTheme="minorEastAsia" w:hAnsiTheme="minorEastAsia" w:eastAsiaTheme="minorEastAsia" w:cstheme="minorEastAsia"/>
                <w:bCs/>
                <w:iCs/>
                <w:szCs w:val="21"/>
              </w:rPr>
              <w:t>服务期</w:t>
            </w:r>
            <w:r>
              <w:rPr>
                <w:rFonts w:hint="eastAsia" w:asciiTheme="minorEastAsia" w:hAnsiTheme="minorEastAsia" w:eastAsiaTheme="minorEastAsia" w:cstheme="minorEastAsia"/>
                <w:szCs w:val="21"/>
              </w:rPr>
              <w:t>、质</w:t>
            </w:r>
            <w:r>
              <w:rPr>
                <w:rFonts w:hint="eastAsia" w:asciiTheme="minorEastAsia" w:hAnsiTheme="minorEastAsia" w:eastAsiaTheme="minorEastAsia" w:cstheme="minorEastAsia"/>
              </w:rPr>
              <w:t>量等）</w:t>
            </w:r>
            <w:r>
              <w:rPr>
                <w:rFonts w:hint="eastAsia" w:asciiTheme="minorEastAsia" w:hAnsiTheme="minorEastAsia" w:eastAsiaTheme="minorEastAsia" w:cstheme="minorEastAsia"/>
                <w:szCs w:val="21"/>
              </w:rPr>
              <w:t>未填写或填写字迹模糊、达不到采购要求的；</w:t>
            </w:r>
          </w:p>
          <w:p>
            <w:pPr>
              <w:spacing w:line="36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、投标报</w:t>
            </w:r>
            <w:r>
              <w:rPr>
                <w:rFonts w:hint="eastAsia" w:asciiTheme="minorEastAsia" w:hAnsiTheme="minorEastAsia" w:eastAsiaTheme="minorEastAsia" w:cstheme="minorEastAsia"/>
                <w:szCs w:val="21"/>
                <w:highlight w:val="none"/>
              </w:rPr>
              <w:t>价</w:t>
            </w:r>
            <w:r>
              <w:rPr>
                <w:rFonts w:hint="eastAsia" w:asciiTheme="minorEastAsia" w:hAnsiTheme="minorEastAsia" w:eastAsiaTheme="minorEastAsia" w:cstheme="minorEastAsia"/>
                <w:szCs w:val="21"/>
                <w:highlight w:val="none"/>
                <w:lang w:val="en-US" w:eastAsia="zh-CN"/>
              </w:rPr>
              <w:t>不符合</w:t>
            </w:r>
            <w:r>
              <w:rPr>
                <w:rFonts w:hint="eastAsia" w:asciiTheme="minorEastAsia" w:hAnsiTheme="minorEastAsia" w:eastAsiaTheme="minorEastAsia" w:cstheme="minorEastAsia"/>
                <w:szCs w:val="21"/>
                <w:highlight w:val="none"/>
              </w:rPr>
              <w:t>招标控制价</w:t>
            </w:r>
            <w:r>
              <w:rPr>
                <w:rFonts w:hint="eastAsia" w:asciiTheme="minorEastAsia" w:hAnsiTheme="minorEastAsia" w:eastAsiaTheme="minorEastAsia" w:cstheme="minorEastAsia"/>
                <w:szCs w:val="21"/>
                <w:highlight w:val="none"/>
                <w:lang w:val="en-US" w:eastAsia="zh-CN"/>
              </w:rPr>
              <w:t>要求</w:t>
            </w:r>
            <w:r>
              <w:rPr>
                <w:rFonts w:hint="eastAsia" w:asciiTheme="minorEastAsia" w:hAnsiTheme="minorEastAsia" w:eastAsiaTheme="minorEastAsia" w:cstheme="minorEastAsia"/>
                <w:szCs w:val="21"/>
                <w:highlight w:val="none"/>
              </w:rPr>
              <w:t>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、供应商递交两份或多份内容不同的投标文件，且未声明哪一个有效的；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、相关资格证明文件不合格的；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、未按要求提供相关证件的；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、附有采购人不能接受的条件的；</w:t>
            </w:r>
          </w:p>
          <w:p>
            <w:pPr>
              <w:adjustRightInd w:val="0"/>
              <w:snapToGrid w:val="0"/>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 xml:space="preserve">8 </w:t>
            </w:r>
            <w:r>
              <w:rPr>
                <w:rFonts w:hint="eastAsia" w:asciiTheme="minorEastAsia" w:hAnsiTheme="minorEastAsia" w:eastAsiaTheme="minorEastAsia" w:cstheme="minorEastAsia"/>
                <w:szCs w:val="21"/>
              </w:rPr>
              <w:t>、投标文件有明显不符合招标文件其它要求和有关法律法规的。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9048"/>
      <w:bookmarkStart w:id="8" w:name="_Toc23576"/>
      <w:bookmarkStart w:id="9" w:name="_Toc403122491"/>
      <w:bookmarkStart w:id="10" w:name="_Toc426369479"/>
      <w:bookmarkStart w:id="11" w:name="_Toc26894"/>
      <w:bookmarkStart w:id="12" w:name="_Toc403122503"/>
      <w:bookmarkStart w:id="13" w:name="_Toc426369491"/>
      <w:r>
        <w:rPr>
          <w:rFonts w:hint="eastAsia" w:asciiTheme="minorEastAsia" w:hAnsiTheme="minorEastAsia" w:eastAsiaTheme="minorEastAsia" w:cstheme="minorEastAsia"/>
          <w:sz w:val="24"/>
          <w:szCs w:val="24"/>
        </w:rPr>
        <w:t>1. 总则</w:t>
      </w:r>
      <w:bookmarkEnd w:id="7"/>
      <w:bookmarkEnd w:id="8"/>
      <w:bookmarkEnd w:id="9"/>
      <w:bookmarkEnd w:id="10"/>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14" w:name="_Toc403122492"/>
      <w:bookmarkStart w:id="15" w:name="_Toc426369480"/>
      <w:bookmarkStart w:id="16" w:name="_Toc274249575"/>
      <w:bookmarkStart w:id="17" w:name="_Toc279599771"/>
      <w:r>
        <w:rPr>
          <w:rFonts w:hint="eastAsia" w:asciiTheme="minorEastAsia" w:hAnsiTheme="minorEastAsia" w:eastAsiaTheme="minorEastAsia" w:cstheme="minorEastAsia"/>
          <w:b/>
          <w:bCs/>
          <w:sz w:val="24"/>
        </w:rPr>
        <w:t>1.1 项目概况</w:t>
      </w:r>
      <w:bookmarkEnd w:id="14"/>
      <w:bookmarkEnd w:id="15"/>
      <w:bookmarkEnd w:id="16"/>
      <w:bookmarkEnd w:id="17"/>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426369481"/>
      <w:bookmarkStart w:id="19" w:name="_Toc403122493"/>
      <w:bookmarkStart w:id="20" w:name="_Toc279599772"/>
      <w:bookmarkStart w:id="21" w:name="_Toc274249576"/>
      <w:r>
        <w:rPr>
          <w:rFonts w:hint="eastAsia" w:asciiTheme="minorEastAsia" w:hAnsiTheme="minorEastAsia" w:eastAsiaTheme="minorEastAsia" w:cstheme="minorEastAsia"/>
          <w:b/>
          <w:bCs/>
          <w:sz w:val="24"/>
        </w:rPr>
        <w:t>1.2 资金来源和落实情况</w:t>
      </w:r>
      <w:bookmarkEnd w:id="18"/>
      <w:bookmarkEnd w:id="19"/>
      <w:bookmarkEnd w:id="20"/>
      <w:bookmarkEnd w:id="21"/>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426369482"/>
      <w:bookmarkStart w:id="23" w:name="_Toc403122494"/>
      <w:bookmarkStart w:id="24" w:name="_Toc274249577"/>
      <w:bookmarkStart w:id="25" w:name="_Toc279599773"/>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426369483"/>
      <w:bookmarkStart w:id="27" w:name="_Toc274249578"/>
      <w:bookmarkStart w:id="28" w:name="_Toc403122495"/>
      <w:bookmarkStart w:id="29" w:name="_Toc279599774"/>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279599775"/>
      <w:bookmarkStart w:id="31" w:name="_Toc403122496"/>
      <w:bookmarkStart w:id="32"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26369485"/>
      <w:bookmarkStart w:id="35" w:name="_Toc403122497"/>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426369486"/>
      <w:bookmarkStart w:id="37" w:name="_Toc274249581"/>
      <w:bookmarkStart w:id="38" w:name="_Toc403122498"/>
      <w:bookmarkStart w:id="39" w:name="_Toc279599777"/>
      <w:r>
        <w:rPr>
          <w:rFonts w:hint="eastAsia" w:asciiTheme="minorEastAsia" w:hAnsiTheme="minorEastAsia" w:eastAsiaTheme="minorEastAsia" w:cstheme="minorEastAsia"/>
          <w:b/>
          <w:bCs/>
          <w:sz w:val="24"/>
        </w:rPr>
        <w:t>1.7 语言文字</w:t>
      </w:r>
      <w:bookmarkEnd w:id="36"/>
      <w:bookmarkEnd w:id="37"/>
      <w:bookmarkEnd w:id="38"/>
      <w:bookmarkEnd w:id="39"/>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03122499"/>
      <w:bookmarkStart w:id="41" w:name="_Toc426369487"/>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426369488"/>
      <w:bookmarkStart w:id="43" w:name="_Toc274249583"/>
      <w:bookmarkStart w:id="44" w:name="_Toc403122500"/>
      <w:bookmarkStart w:id="45" w:name="_Toc279599779"/>
      <w:r>
        <w:rPr>
          <w:rFonts w:hint="eastAsia" w:asciiTheme="minorEastAsia" w:hAnsiTheme="minorEastAsia" w:eastAsiaTheme="minorEastAsia" w:cstheme="minorEastAsia"/>
          <w:b/>
          <w:bCs/>
          <w:sz w:val="24"/>
        </w:rPr>
        <w:t>1.9 踏勘现场</w:t>
      </w:r>
      <w:bookmarkEnd w:id="42"/>
      <w:bookmarkEnd w:id="43"/>
      <w:bookmarkEnd w:id="44"/>
      <w:bookmarkEnd w:id="45"/>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274249584"/>
      <w:bookmarkStart w:id="47" w:name="_Toc279599780"/>
      <w:bookmarkStart w:id="48" w:name="_Toc426369489"/>
      <w:bookmarkStart w:id="49" w:name="_Toc403122501"/>
      <w:r>
        <w:rPr>
          <w:rFonts w:hint="eastAsia" w:asciiTheme="minorEastAsia" w:hAnsiTheme="minorEastAsia" w:eastAsiaTheme="minorEastAsia" w:cstheme="minorEastAsia"/>
          <w:b/>
          <w:bCs/>
          <w:sz w:val="24"/>
        </w:rPr>
        <w:t>1.10 投标预备会</w:t>
      </w:r>
      <w:bookmarkEnd w:id="46"/>
      <w:bookmarkEnd w:id="47"/>
      <w:bookmarkEnd w:id="48"/>
      <w:bookmarkEnd w:id="49"/>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403122502"/>
      <w:bookmarkStart w:id="51" w:name="_Toc279599781"/>
      <w:bookmarkStart w:id="52" w:name="_Toc426369490"/>
      <w:bookmarkStart w:id="53" w:name="_Toc274249585"/>
      <w:r>
        <w:rPr>
          <w:rFonts w:hint="eastAsia" w:asciiTheme="minorEastAsia" w:hAnsiTheme="minorEastAsia" w:eastAsiaTheme="minorEastAsia" w:cstheme="minorEastAsia"/>
          <w:b/>
          <w:bCs/>
          <w:sz w:val="24"/>
        </w:rPr>
        <w:t>1.11 分包</w:t>
      </w:r>
      <w:bookmarkEnd w:id="50"/>
      <w:bookmarkEnd w:id="51"/>
      <w:bookmarkEnd w:id="52"/>
      <w:bookmarkEnd w:id="53"/>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55" w:name="_Toc403122504"/>
      <w:bookmarkStart w:id="56" w:name="_Toc426369492"/>
      <w:bookmarkStart w:id="57" w:name="_Toc279599783"/>
      <w:bookmarkStart w:id="58" w:name="_Toc274249587"/>
      <w:r>
        <w:rPr>
          <w:rFonts w:hint="eastAsia" w:asciiTheme="minorEastAsia" w:hAnsiTheme="minorEastAsia" w:eastAsiaTheme="minorEastAsia" w:cstheme="minorEastAsia"/>
          <w:b/>
          <w:bCs/>
          <w:sz w:val="24"/>
        </w:rPr>
        <w:t>2.1 招标文件的组成</w:t>
      </w:r>
      <w:bookmarkEnd w:id="55"/>
      <w:bookmarkEnd w:id="56"/>
      <w:bookmarkEnd w:id="57"/>
      <w:bookmarkEnd w:id="58"/>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服务内容及要求</w:t>
      </w:r>
      <w:r>
        <w:rPr>
          <w:rFonts w:hint="eastAsia" w:asciiTheme="minorEastAsia" w:hAnsiTheme="minorEastAsia" w:eastAsiaTheme="minorEastAsia" w:cstheme="minorEastAsia"/>
          <w:szCs w:val="21"/>
          <w:highlight w:val="none"/>
        </w:rPr>
        <w:t xml:space="preserve">；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403122505"/>
      <w:bookmarkStart w:id="60" w:name="_Toc279599784"/>
      <w:bookmarkStart w:id="61" w:name="_Toc426369493"/>
      <w:bookmarkStart w:id="62" w:name="_Toc274249588"/>
      <w:r>
        <w:rPr>
          <w:rFonts w:hint="eastAsia" w:asciiTheme="minorEastAsia" w:hAnsiTheme="minorEastAsia" w:eastAsiaTheme="minorEastAsia" w:cstheme="minorEastAsia"/>
          <w:b/>
          <w:bCs/>
          <w:sz w:val="24"/>
        </w:rPr>
        <w:t>2.2 招标文件的澄清</w:t>
      </w:r>
      <w:bookmarkEnd w:id="59"/>
      <w:bookmarkEnd w:id="60"/>
      <w:bookmarkEnd w:id="61"/>
      <w:bookmarkEnd w:id="62"/>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w:t>
      </w:r>
      <w:r>
        <w:rPr>
          <w:rFonts w:hint="eastAsia" w:asciiTheme="minorEastAsia" w:hAnsiTheme="minorEastAsia" w:eastAsiaTheme="minorEastAsia" w:cstheme="minorEastAsia"/>
          <w:color w:val="auto"/>
          <w:szCs w:val="21"/>
        </w:rPr>
        <w:t xml:space="preserve">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426369494"/>
      <w:bookmarkStart w:id="64" w:name="_Toc403122506"/>
      <w:bookmarkStart w:id="65" w:name="_Toc279599785"/>
      <w:bookmarkStart w:id="66" w:name="_Toc274249589"/>
      <w:r>
        <w:rPr>
          <w:rFonts w:hint="eastAsia" w:asciiTheme="minorEastAsia" w:hAnsiTheme="minorEastAsia" w:eastAsiaTheme="minorEastAsia" w:cstheme="minorEastAsia"/>
          <w:b/>
          <w:bCs/>
          <w:sz w:val="24"/>
        </w:rPr>
        <w:t>2.3 招标文件的修改</w:t>
      </w:r>
      <w:bookmarkEnd w:id="63"/>
      <w:bookmarkEnd w:id="64"/>
      <w:bookmarkEnd w:id="65"/>
      <w:bookmarkEnd w:id="66"/>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23265"/>
      <w:bookmarkStart w:id="68" w:name="_Toc426369495"/>
      <w:bookmarkStart w:id="69" w:name="_Toc403122507"/>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71" w:name="_Toc426369496"/>
      <w:bookmarkStart w:id="72" w:name="_Toc403122508"/>
      <w:bookmarkStart w:id="73" w:name="_Toc279599787"/>
      <w:bookmarkStart w:id="74" w:name="_Toc274249591"/>
      <w:r>
        <w:rPr>
          <w:rFonts w:hint="eastAsia" w:asciiTheme="minorEastAsia" w:hAnsiTheme="minorEastAsia" w:eastAsiaTheme="minorEastAsia" w:cstheme="minorEastAsia"/>
          <w:b/>
          <w:bCs/>
          <w:sz w:val="24"/>
        </w:rPr>
        <w:t>3.1 投标文件的组成</w:t>
      </w:r>
      <w:bookmarkEnd w:id="71"/>
      <w:bookmarkEnd w:id="72"/>
      <w:bookmarkEnd w:id="73"/>
      <w:bookmarkEnd w:id="74"/>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279599788"/>
      <w:bookmarkStart w:id="76" w:name="_Toc403122509"/>
      <w:bookmarkStart w:id="77" w:name="_Toc426369497"/>
      <w:bookmarkStart w:id="78" w:name="_Toc274249592"/>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五、项目实施方案</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38"/>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r>
        <w:rPr>
          <w:rFonts w:hint="eastAsia" w:ascii="宋体" w:hAnsi="宋体" w:cs="宋体"/>
          <w:szCs w:val="21"/>
          <w:lang w:eastAsia="zh-CN"/>
        </w:rPr>
        <w:t>（如有）</w:t>
      </w:r>
      <w:r>
        <w:rPr>
          <w:rFonts w:hint="eastAsia" w:ascii="宋体" w:hAnsi="宋体" w:cs="宋体"/>
          <w:szCs w:val="21"/>
        </w:rPr>
        <w:t>；</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w:t>
      </w:r>
      <w:r>
        <w:rPr>
          <w:rFonts w:hint="eastAsia" w:ascii="宋体" w:hAnsi="宋体" w:cs="宋体"/>
          <w:szCs w:val="21"/>
          <w:lang w:val="en-US" w:eastAsia="zh-CN"/>
        </w:rPr>
        <w:t>一</w:t>
      </w:r>
      <w:r>
        <w:rPr>
          <w:rFonts w:hint="eastAsia" w:ascii="宋体" w:hAnsi="宋体" w:cs="宋体"/>
          <w:szCs w:val="21"/>
        </w:rPr>
        <w:t>、招标文件要求的或投标人认为需要加以说明的其他内容。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r>
        <w:rPr>
          <w:rFonts w:hint="eastAsia" w:asciiTheme="minorEastAsia" w:hAnsiTheme="minorEastAsia" w:eastAsiaTheme="minorEastAsia" w:cstheme="minorEastAsia"/>
          <w:b/>
          <w:bCs/>
          <w:sz w:val="24"/>
        </w:rPr>
        <w:t xml:space="preserve"> </w:t>
      </w:r>
    </w:p>
    <w:p>
      <w:pPr>
        <w:spacing w:line="420" w:lineRule="exact"/>
        <w:ind w:firstLine="420" w:firstLineChars="200"/>
        <w:rPr>
          <w:rFonts w:hint="eastAsia" w:asciiTheme="minorEastAsia" w:hAnsiTheme="minorEastAsia" w:eastAsiaTheme="minorEastAsia" w:cstheme="minorEastAsia"/>
          <w:color w:val="C00000"/>
          <w:szCs w:val="21"/>
          <w:lang w:eastAsia="zh-CN"/>
        </w:rPr>
      </w:pPr>
      <w:r>
        <w:rPr>
          <w:rFonts w:hint="eastAsia" w:asciiTheme="minorEastAsia" w:hAnsiTheme="minorEastAsia" w:eastAsiaTheme="minorEastAsia" w:cstheme="minorEastAsia"/>
          <w:szCs w:val="21"/>
        </w:rPr>
        <w:t>3.2</w:t>
      </w:r>
      <w:r>
        <w:rPr>
          <w:rFonts w:hint="eastAsia" w:asciiTheme="minorEastAsia" w:hAnsiTheme="minorEastAsia" w:eastAsiaTheme="minorEastAsia" w:cstheme="minorEastAsia"/>
          <w:b w:val="0"/>
          <w:bCs w:val="0"/>
          <w:szCs w:val="21"/>
        </w:rPr>
        <w:t>.1投标报价包括：供应商的投标报价应包括设备、劳务、材料、管理、利润、税金、政策性规费等所有费用。 投标价不是唯一的或不是固定不变的响应文件将被作为非响应性投标而予以拒绝</w:t>
      </w:r>
      <w:r>
        <w:rPr>
          <w:rFonts w:hint="eastAsia" w:asciiTheme="minorEastAsia" w:hAnsiTheme="minorEastAsia" w:eastAsiaTheme="minorEastAsia" w:cstheme="minorEastAsia"/>
          <w:b w:val="0"/>
          <w:bCs w:val="0"/>
          <w:szCs w:val="21"/>
          <w:lang w:eastAsia="zh-CN"/>
        </w:rPr>
        <w:t>。</w:t>
      </w:r>
    </w:p>
    <w:p>
      <w:pPr>
        <w:spacing w:line="42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403122510"/>
      <w:bookmarkStart w:id="80" w:name="_Toc426369498"/>
      <w:bookmarkStart w:id="81" w:name="_Toc274249593"/>
      <w:bookmarkStart w:id="82" w:name="_Toc279599789"/>
      <w:r>
        <w:rPr>
          <w:rFonts w:hint="eastAsia" w:asciiTheme="minorEastAsia" w:hAnsiTheme="minorEastAsia" w:eastAsiaTheme="minorEastAsia" w:cstheme="minorEastAsia"/>
          <w:b/>
          <w:bCs/>
          <w:sz w:val="24"/>
        </w:rPr>
        <w:t>3.3 投标有效期</w:t>
      </w:r>
      <w:bookmarkEnd w:id="79"/>
      <w:bookmarkEnd w:id="80"/>
      <w:bookmarkEnd w:id="81"/>
      <w:bookmarkEnd w:id="82"/>
      <w:r>
        <w:rPr>
          <w:rFonts w:hint="eastAsia" w:asciiTheme="minorEastAsia" w:hAnsiTheme="minorEastAsia" w:eastAsiaTheme="minorEastAsia" w:cstheme="minorEastAsia"/>
          <w:b/>
          <w:bCs/>
          <w:sz w:val="24"/>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274249595"/>
      <w:bookmarkStart w:id="84" w:name="_Toc279599791"/>
      <w:bookmarkStart w:id="85" w:name="_Toc426369501"/>
      <w:bookmarkStart w:id="86" w:name="_Toc403122512"/>
      <w:r>
        <w:rPr>
          <w:rFonts w:hint="eastAsia" w:asciiTheme="minorEastAsia" w:hAnsiTheme="minorEastAsia" w:eastAsiaTheme="minorEastAsia" w:cstheme="minorEastAsia"/>
          <w:b/>
          <w:bCs/>
          <w:sz w:val="24"/>
        </w:rPr>
        <w:t>3.5 资格审查资料</w:t>
      </w:r>
      <w:bookmarkEnd w:id="83"/>
      <w:bookmarkEnd w:id="84"/>
      <w:bookmarkEnd w:id="85"/>
      <w:bookmarkEnd w:id="86"/>
      <w:r>
        <w:rPr>
          <w:rFonts w:hint="eastAsia" w:asciiTheme="minorEastAsia" w:hAnsiTheme="minorEastAsia" w:eastAsiaTheme="minorEastAsia" w:cstheme="minorEastAsia"/>
          <w:b/>
          <w:bCs/>
          <w:sz w:val="24"/>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r>
        <w:rPr>
          <w:rFonts w:hint="eastAsia" w:asciiTheme="minorEastAsia" w:hAnsiTheme="minorEastAsia" w:eastAsiaTheme="minorEastAsia" w:cstheme="minorEastAsia"/>
          <w:szCs w:val="21"/>
        </w:rPr>
        <w:t xml:space="preserve">  </w:t>
      </w:r>
    </w:p>
    <w:p>
      <w:pPr>
        <w:spacing w:line="500" w:lineRule="exact"/>
        <w:ind w:firstLine="482" w:firstLineChars="200"/>
        <w:rPr>
          <w:rFonts w:asciiTheme="minorEastAsia" w:hAnsiTheme="minorEastAsia" w:eastAsiaTheme="minorEastAsia" w:cstheme="minorEastAsia"/>
          <w:b/>
          <w:bCs/>
          <w:sz w:val="24"/>
        </w:rPr>
      </w:pPr>
      <w:bookmarkStart w:id="87" w:name="_Toc426369502"/>
      <w:bookmarkStart w:id="88" w:name="_Toc403122513"/>
      <w:bookmarkStart w:id="89" w:name="_Toc279599792"/>
      <w:bookmarkStart w:id="90" w:name="_Toc274249596"/>
      <w:r>
        <w:rPr>
          <w:rFonts w:hint="eastAsia" w:asciiTheme="minorEastAsia" w:hAnsiTheme="minorEastAsia" w:eastAsiaTheme="minorEastAsia" w:cstheme="minorEastAsia"/>
          <w:b/>
          <w:bCs/>
          <w:sz w:val="24"/>
        </w:rPr>
        <w:t>3.6 备选投标方案</w:t>
      </w:r>
      <w:bookmarkEnd w:id="87"/>
      <w:bookmarkEnd w:id="88"/>
      <w:bookmarkEnd w:id="89"/>
      <w:bookmarkEnd w:id="90"/>
      <w:r>
        <w:rPr>
          <w:rFonts w:hint="eastAsia" w:asciiTheme="minorEastAsia" w:hAnsiTheme="minorEastAsia" w:eastAsiaTheme="minorEastAsia" w:cstheme="minorEastAsia"/>
          <w:b/>
          <w:bCs/>
          <w:sz w:val="24"/>
        </w:rPr>
        <w:t xml:space="preserve">    </w:t>
      </w:r>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279599793"/>
      <w:bookmarkStart w:id="92" w:name="_Toc426369503"/>
      <w:bookmarkStart w:id="93" w:name="_Toc274249597"/>
      <w:bookmarkStart w:id="94" w:name="_Toc403122514"/>
      <w:r>
        <w:rPr>
          <w:rFonts w:hint="eastAsia" w:asciiTheme="minorEastAsia" w:hAnsiTheme="minorEastAsia" w:eastAsiaTheme="minorEastAsia" w:cstheme="minorEastAsia"/>
          <w:b/>
          <w:bCs/>
          <w:sz w:val="24"/>
        </w:rPr>
        <w:t>3.7 投标文件的编制</w:t>
      </w:r>
      <w:bookmarkEnd w:id="91"/>
      <w:bookmarkEnd w:id="92"/>
      <w:bookmarkEnd w:id="93"/>
      <w:bookmarkEnd w:id="94"/>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3.7.1 投标文件应按招标文件中要求</w:t>
      </w:r>
      <w:r>
        <w:rPr>
          <w:rFonts w:hint="eastAsia" w:ascii="宋体" w:hAnsi="宋体" w:cs="宋体"/>
          <w:color w:val="auto"/>
          <w:kern w:val="0"/>
          <w:szCs w:val="21"/>
        </w:rPr>
        <w:t>使用焦作市公共资源交易系统投标文件制作专用工具软件编制</w:t>
      </w:r>
      <w:r>
        <w:rPr>
          <w:rFonts w:hint="eastAsia" w:asciiTheme="minorEastAsia" w:hAnsiTheme="minorEastAsia" w:eastAsiaTheme="minorEastAsia" w:cstheme="minorEastAsia"/>
          <w:color w:val="auto"/>
          <w:szCs w:val="21"/>
        </w:rPr>
        <w:t xml:space="preserve">。 </w:t>
      </w:r>
    </w:p>
    <w:p>
      <w:pPr>
        <w:spacing w:line="40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3.7.2  投标文件应当对招标文件有关项目完成期、投标有效期、质量要求、采购</w:t>
      </w:r>
      <w:r>
        <w:rPr>
          <w:rFonts w:hint="eastAsia" w:asciiTheme="minorEastAsia" w:hAnsiTheme="minorEastAsia" w:eastAsiaTheme="minorEastAsia" w:cstheme="minorEastAsia"/>
          <w:color w:val="auto"/>
          <w:szCs w:val="21"/>
          <w:lang w:val="en-US" w:eastAsia="zh-CN"/>
        </w:rPr>
        <w:t>要求</w:t>
      </w:r>
      <w:r>
        <w:rPr>
          <w:rFonts w:hint="eastAsia" w:asciiTheme="minorEastAsia" w:hAnsiTheme="minorEastAsia" w:eastAsiaTheme="minorEastAsia" w:cstheme="minorEastAsia"/>
          <w:color w:val="auto"/>
          <w:szCs w:val="21"/>
        </w:rPr>
        <w:t>及</w:t>
      </w:r>
      <w:r>
        <w:rPr>
          <w:rFonts w:hint="eastAsia" w:asciiTheme="minorEastAsia" w:hAnsiTheme="minorEastAsia" w:eastAsiaTheme="minorEastAsia" w:cstheme="minorEastAsia"/>
          <w:color w:val="auto"/>
          <w:szCs w:val="21"/>
          <w:lang w:val="en-US" w:eastAsia="zh-CN"/>
        </w:rPr>
        <w:t>服务内容</w:t>
      </w:r>
      <w:r>
        <w:rPr>
          <w:rFonts w:hint="eastAsia" w:asciiTheme="minorEastAsia" w:hAnsiTheme="minorEastAsia" w:eastAsiaTheme="minorEastAsia" w:cstheme="minorEastAsia"/>
          <w:color w:val="auto"/>
          <w:szCs w:val="21"/>
        </w:rPr>
        <w:t>、等实质性内容作出响应。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3.7.3 </w:t>
      </w:r>
      <w:r>
        <w:rPr>
          <w:rFonts w:hint="eastAsia" w:ascii="宋体" w:hAnsi="宋体" w:cs="宋体"/>
          <w:color w:val="auto"/>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3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rPr>
      </w:pPr>
      <w:bookmarkStart w:id="95" w:name="_Toc26998"/>
      <w:bookmarkStart w:id="96" w:name="_Toc403122515"/>
      <w:bookmarkStart w:id="97" w:name="_Toc30100"/>
      <w:bookmarkStart w:id="98" w:name="_Toc426369504"/>
      <w:r>
        <w:rPr>
          <w:rFonts w:hint="eastAsia" w:asciiTheme="minorEastAsia" w:hAnsiTheme="minorEastAsia" w:eastAsiaTheme="minorEastAsia" w:cstheme="minorEastAsia"/>
          <w:color w:val="auto"/>
          <w:sz w:val="24"/>
          <w:szCs w:val="24"/>
        </w:rPr>
        <w:t>4. 投标</w:t>
      </w:r>
      <w:bookmarkEnd w:id="95"/>
      <w:bookmarkEnd w:id="96"/>
      <w:bookmarkEnd w:id="97"/>
      <w:bookmarkEnd w:id="98"/>
      <w:r>
        <w:rPr>
          <w:rFonts w:hint="eastAsia" w:asciiTheme="minorEastAsia" w:hAnsiTheme="minorEastAsia" w:eastAsiaTheme="minorEastAsia" w:cstheme="minorEastAsia"/>
          <w:color w:val="auto"/>
          <w:sz w:val="24"/>
          <w:szCs w:val="24"/>
        </w:rPr>
        <w:t xml:space="preserve"> </w:t>
      </w:r>
    </w:p>
    <w:p>
      <w:pPr>
        <w:spacing w:line="500" w:lineRule="exact"/>
        <w:ind w:firstLine="482" w:firstLineChars="200"/>
        <w:rPr>
          <w:rFonts w:asciiTheme="minorEastAsia" w:hAnsiTheme="minorEastAsia" w:eastAsiaTheme="minorEastAsia" w:cstheme="minorEastAsia"/>
          <w:b/>
          <w:bCs/>
          <w:sz w:val="24"/>
          <w:highlight w:val="none"/>
        </w:rPr>
      </w:pPr>
      <w:bookmarkStart w:id="99" w:name="_Toc426369505"/>
      <w:bookmarkStart w:id="100" w:name="_Toc403122516"/>
      <w:bookmarkStart w:id="101" w:name="_Toc279599795"/>
      <w:bookmarkStart w:id="102" w:name="_Toc274249599"/>
      <w:r>
        <w:rPr>
          <w:rFonts w:hint="eastAsia" w:asciiTheme="minorEastAsia" w:hAnsiTheme="minorEastAsia" w:eastAsiaTheme="minorEastAsia" w:cstheme="minorEastAsia"/>
          <w:b/>
          <w:bCs/>
          <w:sz w:val="24"/>
          <w:highlight w:val="none"/>
        </w:rPr>
        <w:t>4.1 投标文件的密封和标记</w:t>
      </w:r>
      <w:bookmarkEnd w:id="99"/>
      <w:bookmarkEnd w:id="100"/>
      <w:bookmarkEnd w:id="101"/>
      <w:bookmarkEnd w:id="102"/>
      <w:r>
        <w:rPr>
          <w:rFonts w:hint="eastAsia" w:asciiTheme="minorEastAsia" w:hAnsiTheme="minorEastAsia" w:eastAsiaTheme="minorEastAsia" w:cstheme="minorEastAsia"/>
          <w:b/>
          <w:bCs/>
          <w:sz w:val="24"/>
          <w:highlight w:val="none"/>
        </w:rPr>
        <w:t xml:space="preserve"> </w:t>
      </w:r>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r>
        <w:rPr>
          <w:rFonts w:hint="eastAsia" w:ascii="宋体" w:hAnsi="宋体" w:cs="宋体"/>
          <w:color w:val="auto"/>
          <w:kern w:val="0"/>
          <w:szCs w:val="21"/>
          <w:highlight w:val="none"/>
        </w:rPr>
        <w:t>4.1.1.</w:t>
      </w:r>
      <w:r>
        <w:rPr>
          <w:rFonts w:hint="eastAsia" w:ascii="宋体" w:hAnsi="宋体" w:cs="宋体"/>
          <w:color w:val="auto"/>
          <w:kern w:val="0"/>
          <w:szCs w:val="21"/>
          <w:highlight w:val="none"/>
          <w:lang w:val="en-US" w:eastAsia="zh-CN"/>
        </w:rPr>
        <w:t>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274249600"/>
      <w:bookmarkStart w:id="104" w:name="_Toc279599796"/>
      <w:bookmarkStart w:id="105" w:name="_Toc403122517"/>
      <w:bookmarkStart w:id="106" w:name="_Toc426369506"/>
      <w:r>
        <w:rPr>
          <w:rFonts w:hint="eastAsia" w:asciiTheme="minorEastAsia" w:hAnsiTheme="minorEastAsia" w:eastAsiaTheme="minorEastAsia" w:cstheme="minorEastAsia"/>
          <w:b/>
          <w:bCs/>
          <w:sz w:val="24"/>
        </w:rPr>
        <w:t>4.2 投标文件的递交</w:t>
      </w:r>
      <w:bookmarkEnd w:id="103"/>
      <w:bookmarkEnd w:id="104"/>
      <w:bookmarkEnd w:id="105"/>
      <w:bookmarkEnd w:id="106"/>
      <w:r>
        <w:rPr>
          <w:rFonts w:hint="eastAsia" w:asciiTheme="minorEastAsia" w:hAnsiTheme="minorEastAsia" w:eastAsiaTheme="minorEastAsia" w:cstheme="minorEastAsia"/>
          <w:b/>
          <w:bCs/>
          <w:sz w:val="24"/>
        </w:rPr>
        <w:t xml:space="preserve"> </w:t>
      </w:r>
    </w:p>
    <w:p>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lang w:val="en-US" w:eastAsia="zh-CN"/>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提前上传，并在开标截止时间前登录不见面开标大厅，按要求</w:t>
      </w:r>
      <w:r>
        <w:rPr>
          <w:rFonts w:hint="eastAsia" w:ascii="宋体" w:hAnsi="宋体"/>
          <w:color w:val="auto"/>
          <w:szCs w:val="21"/>
          <w:highlight w:val="none"/>
        </w:rPr>
        <w:t>在线签到、解密文件等，解密时间为投标截止时后30分钟内</w:t>
      </w:r>
      <w:r>
        <w:rPr>
          <w:rFonts w:hint="eastAsia" w:ascii="宋体" w:hAnsi="宋体"/>
          <w:color w:val="auto"/>
          <w:szCs w:val="21"/>
          <w:highlight w:val="none"/>
          <w:lang w:eastAsia="zh-CN"/>
        </w:rPr>
        <w:t>，</w:t>
      </w:r>
      <w:r>
        <w:rPr>
          <w:rFonts w:hint="eastAsia" w:ascii="宋体" w:hAnsi="宋体" w:cs="宋体"/>
          <w:color w:val="auto"/>
          <w:kern w:val="0"/>
          <w:szCs w:val="21"/>
          <w:highlight w:val="none"/>
        </w:rPr>
        <w:t>不能按时上传、签到、解密者视为自动放弃投标。</w:t>
      </w:r>
    </w:p>
    <w:p>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07" w:name="_Hlt26954754"/>
      <w:bookmarkEnd w:id="107"/>
      <w:bookmarkStart w:id="108" w:name="_Hlt26954862"/>
      <w:bookmarkEnd w:id="10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pPr>
        <w:spacing w:line="500" w:lineRule="exact"/>
        <w:ind w:firstLine="482" w:firstLineChars="200"/>
        <w:rPr>
          <w:rFonts w:asciiTheme="minorEastAsia" w:hAnsiTheme="minorEastAsia" w:eastAsiaTheme="minorEastAsia" w:cstheme="minorEastAsia"/>
          <w:b/>
          <w:bCs/>
          <w:sz w:val="24"/>
          <w:highlight w:val="yellow"/>
        </w:rPr>
      </w:pPr>
      <w:bookmarkStart w:id="109" w:name="_Toc426369507"/>
      <w:bookmarkStart w:id="110" w:name="_Toc403122518"/>
      <w:bookmarkStart w:id="111" w:name="_Toc279599797"/>
      <w:bookmarkStart w:id="112" w:name="_Toc274249601"/>
      <w:r>
        <w:rPr>
          <w:rFonts w:hint="eastAsia" w:asciiTheme="minorEastAsia" w:hAnsiTheme="minorEastAsia" w:eastAsiaTheme="minorEastAsia" w:cstheme="minorEastAsia"/>
          <w:b/>
          <w:bCs/>
          <w:sz w:val="24"/>
        </w:rPr>
        <w:t xml:space="preserve">4.3 </w:t>
      </w:r>
      <w:r>
        <w:rPr>
          <w:rFonts w:hint="eastAsia" w:asciiTheme="minorEastAsia" w:hAnsiTheme="minorEastAsia" w:eastAsiaTheme="minorEastAsia" w:cstheme="minorEastAsia"/>
          <w:b/>
          <w:bCs/>
          <w:sz w:val="24"/>
          <w:highlight w:val="none"/>
        </w:rPr>
        <w:t>投标文件的修改与撤回</w:t>
      </w:r>
      <w:bookmarkEnd w:id="109"/>
      <w:bookmarkEnd w:id="110"/>
      <w:bookmarkEnd w:id="111"/>
      <w:bookmarkEnd w:id="112"/>
      <w:r>
        <w:rPr>
          <w:rFonts w:hint="eastAsia" w:asciiTheme="minorEastAsia" w:hAnsiTheme="minorEastAsia" w:eastAsiaTheme="minorEastAsia" w:cstheme="minorEastAsia"/>
          <w:b/>
          <w:bCs/>
          <w:sz w:val="24"/>
          <w:highlight w:val="none"/>
        </w:rPr>
        <w:t xml:space="preserve"> </w:t>
      </w:r>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4.3.1  在本章第 2.2.2 项规定的投标截止时间前，供应商可以修改或撤回已递交的投标文件</w:t>
      </w:r>
      <w:r>
        <w:rPr>
          <w:rFonts w:hint="eastAsia" w:asciiTheme="minorEastAsia" w:hAnsiTheme="minorEastAsia" w:eastAsiaTheme="minorEastAsia" w:cstheme="minorEastAsia"/>
          <w:szCs w:val="21"/>
          <w:highlight w:val="none"/>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36"/>
        <w:spacing w:before="120" w:after="120" w:line="500" w:lineRule="exact"/>
        <w:ind w:right="-1029" w:rightChars="-490" w:firstLine="482" w:firstLineChars="200"/>
        <w:jc w:val="left"/>
        <w:rPr>
          <w:rFonts w:hint="eastAsia" w:asciiTheme="minorEastAsia" w:hAnsiTheme="minorEastAsia" w:eastAsiaTheme="minorEastAsia" w:cstheme="minorEastAsia"/>
          <w:sz w:val="24"/>
          <w:szCs w:val="24"/>
        </w:rPr>
      </w:pPr>
      <w:bookmarkStart w:id="113" w:name="_Toc426369508"/>
      <w:bookmarkStart w:id="114" w:name="_Toc18170"/>
      <w:bookmarkStart w:id="115" w:name="_Toc403122519"/>
      <w:bookmarkStart w:id="116" w:name="_Toc32449"/>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5.1.2</w:t>
      </w:r>
      <w:r>
        <w:rPr>
          <w:rFonts w:hint="eastAsia" w:asciiTheme="minorEastAsia" w:hAnsiTheme="minorEastAsia" w:eastAsiaTheme="minorEastAsia" w:cstheme="minorEastAsia"/>
          <w:szCs w:val="21"/>
        </w:rPr>
        <w:t xml:space="preserve">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279599799"/>
      <w:bookmarkStart w:id="118" w:name="_Toc274249603"/>
      <w:bookmarkStart w:id="119" w:name="_Toc426369509"/>
      <w:bookmarkStart w:id="120" w:name="_Toc403122520"/>
      <w:r>
        <w:rPr>
          <w:rFonts w:hint="eastAsia" w:asciiTheme="minorEastAsia" w:hAnsiTheme="minorEastAsia" w:eastAsiaTheme="minorEastAsia" w:cstheme="minorEastAsia"/>
          <w:b/>
          <w:bCs/>
          <w:sz w:val="24"/>
        </w:rPr>
        <w:t>5.</w:t>
      </w:r>
      <w:r>
        <w:rPr>
          <w:rFonts w:hint="eastAsia" w:asciiTheme="minorEastAsia" w:hAnsiTheme="minorEastAsia" w:eastAsiaTheme="minorEastAsia" w:cstheme="minorEastAsia"/>
          <w:b/>
          <w:bCs/>
          <w:sz w:val="24"/>
          <w:lang w:val="en-US" w:eastAsia="zh-CN"/>
        </w:rPr>
        <w:t>2</w:t>
      </w:r>
      <w:r>
        <w:rPr>
          <w:rFonts w:hint="eastAsia" w:asciiTheme="minorEastAsia" w:hAnsiTheme="minorEastAsia" w:eastAsiaTheme="minorEastAsia" w:cstheme="minorEastAsia"/>
          <w:b/>
          <w:bCs/>
          <w:sz w:val="24"/>
        </w:rPr>
        <w:t xml:space="preserve"> 开标时间和地点</w:t>
      </w:r>
      <w:bookmarkEnd w:id="117"/>
      <w:bookmarkEnd w:id="118"/>
      <w:bookmarkEnd w:id="119"/>
      <w:bookmarkEnd w:id="120"/>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03122521"/>
      <w:bookmarkStart w:id="122" w:name="_Toc279599800"/>
      <w:bookmarkStart w:id="123" w:name="_Toc274249604"/>
      <w:bookmarkStart w:id="124" w:name="_Toc426369510"/>
      <w:r>
        <w:rPr>
          <w:rFonts w:hint="eastAsia" w:asciiTheme="minorEastAsia" w:hAnsiTheme="minorEastAsia" w:eastAsiaTheme="minorEastAsia" w:cstheme="minorEastAsia"/>
          <w:b/>
          <w:bCs/>
          <w:sz w:val="24"/>
        </w:rPr>
        <w:t>5.</w:t>
      </w:r>
      <w:r>
        <w:rPr>
          <w:rFonts w:hint="eastAsia" w:asciiTheme="minorEastAsia" w:hAnsiTheme="minorEastAsia" w:eastAsiaTheme="minorEastAsia" w:cstheme="minorEastAsia"/>
          <w:b/>
          <w:bCs/>
          <w:sz w:val="24"/>
          <w:lang w:val="en-US" w:eastAsia="zh-CN"/>
        </w:rPr>
        <w:t>3</w:t>
      </w:r>
      <w:r>
        <w:rPr>
          <w:rFonts w:hint="eastAsia" w:asciiTheme="minorEastAsia" w:hAnsiTheme="minorEastAsia" w:eastAsiaTheme="minorEastAsia" w:cstheme="minorEastAsia"/>
          <w:b/>
          <w:bCs/>
          <w:sz w:val="24"/>
        </w:rPr>
        <w:t>开标程序</w:t>
      </w:r>
      <w:bookmarkEnd w:id="121"/>
      <w:bookmarkEnd w:id="122"/>
      <w:bookmarkEnd w:id="123"/>
      <w:bookmarkEnd w:id="124"/>
      <w:r>
        <w:rPr>
          <w:rFonts w:hint="eastAsia" w:asciiTheme="minorEastAsia" w:hAnsiTheme="minorEastAsia" w:eastAsiaTheme="minorEastAsia" w:cstheme="minorEastAsia"/>
          <w:b/>
          <w:bCs/>
          <w:sz w:val="24"/>
        </w:rPr>
        <w:t xml:space="preserve"> </w:t>
      </w:r>
    </w:p>
    <w:p>
      <w:pPr>
        <w:spacing w:line="400" w:lineRule="exact"/>
        <w:ind w:firstLine="420" w:firstLineChars="200"/>
        <w:rPr>
          <w:rFonts w:hint="eastAsia"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lang w:val="en-US" w:eastAsia="zh-CN"/>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lang w:val="en-US" w:eastAsia="zh-CN"/>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w:t>
      </w:r>
      <w:r>
        <w:rPr>
          <w:rFonts w:hint="eastAsia" w:asciiTheme="minorEastAsia" w:hAnsiTheme="minorEastAsia" w:eastAsiaTheme="minorEastAsia" w:cstheme="minorEastAsia"/>
          <w:szCs w:val="21"/>
          <w:highlight w:val="none"/>
          <w:lang w:val="zh-CN"/>
        </w:rPr>
        <w:t>、</w:t>
      </w:r>
      <w:r>
        <w:rPr>
          <w:rFonts w:hint="eastAsia" w:asciiTheme="minorEastAsia" w:hAnsiTheme="minorEastAsia" w:eastAsiaTheme="minorEastAsia" w:cstheme="minorEastAsia"/>
          <w:szCs w:val="21"/>
          <w:highlight w:val="none"/>
          <w:lang w:val="en-US" w:eastAsia="zh-CN"/>
        </w:rPr>
        <w:t>采购</w:t>
      </w:r>
      <w:r>
        <w:rPr>
          <w:rFonts w:hint="eastAsia" w:asciiTheme="minorEastAsia" w:hAnsiTheme="minorEastAsia" w:eastAsiaTheme="minorEastAsia" w:cstheme="minorEastAsia"/>
          <w:szCs w:val="21"/>
          <w:highlight w:val="none"/>
          <w:lang w:val="zh-CN"/>
        </w:rPr>
        <w:t>人、</w:t>
      </w:r>
      <w:r>
        <w:rPr>
          <w:rFonts w:hint="eastAsia" w:asciiTheme="minorEastAsia" w:hAnsiTheme="minorEastAsia" w:eastAsiaTheme="minorEastAsia" w:cstheme="minorEastAsia"/>
          <w:szCs w:val="21"/>
          <w:lang w:val="zh-CN"/>
        </w:rPr>
        <w:t>监标人等有关人员在开标记录上签字确认；</w:t>
      </w:r>
    </w:p>
    <w:p>
      <w:pPr>
        <w:spacing w:line="400" w:lineRule="exact"/>
        <w:ind w:firstLine="420" w:firstLineChars="200"/>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hint="eastAsia" w:asciiTheme="minorEastAsia" w:hAnsiTheme="minorEastAsia" w:eastAsiaTheme="minorEastAsia" w:cstheme="minorEastAsia"/>
          <w:b/>
          <w:bCs/>
          <w:color w:val="auto"/>
          <w:sz w:val="24"/>
          <w:lang w:val="zh-CN"/>
        </w:rPr>
      </w:pPr>
      <w:r>
        <w:rPr>
          <w:rFonts w:hint="eastAsia" w:asciiTheme="minorEastAsia" w:hAnsiTheme="minorEastAsia" w:eastAsiaTheme="minorEastAsia" w:cstheme="minorEastAsia"/>
          <w:b/>
          <w:bCs/>
          <w:color w:val="auto"/>
          <w:sz w:val="24"/>
          <w:lang w:val="en-US" w:eastAsia="zh-CN"/>
        </w:rPr>
        <w:t>5.3</w:t>
      </w:r>
      <w:r>
        <w:rPr>
          <w:rFonts w:hint="eastAsia" w:asciiTheme="minorEastAsia" w:hAnsiTheme="minorEastAsia" w:eastAsiaTheme="minorEastAsia" w:cstheme="minorEastAsia"/>
          <w:b/>
          <w:bCs/>
          <w:color w:val="auto"/>
          <w:sz w:val="24"/>
          <w:lang w:val="zh-CN"/>
        </w:rPr>
        <w:t>.2开标时出现下列情况的，采购人将拒绝其投标文件。</w:t>
      </w:r>
    </w:p>
    <w:p>
      <w:pPr>
        <w:spacing w:line="400" w:lineRule="exact"/>
        <w:ind w:firstLine="420" w:firstLineChars="200"/>
        <w:rPr>
          <w:rFonts w:hint="eastAsia" w:asciiTheme="minorEastAsia" w:hAnsiTheme="minorEastAsia" w:eastAsiaTheme="minorEastAsia" w:cstheme="minorEastAsia"/>
          <w:szCs w:val="21"/>
          <w:lang w:val="zh-CN" w:eastAsia="zh-CN"/>
        </w:rPr>
      </w:pPr>
      <w:r>
        <w:rPr>
          <w:rFonts w:hint="eastAsia" w:asciiTheme="minorEastAsia" w:hAnsiTheme="minorEastAsia" w:eastAsiaTheme="minorEastAsia" w:cstheme="minorEastAsia"/>
          <w:szCs w:val="21"/>
          <w:lang w:val="zh-CN" w:eastAsia="zh-CN"/>
        </w:rPr>
        <w:t>（1）经检查数字证书无效的投标文件；</w:t>
      </w:r>
    </w:p>
    <w:p>
      <w:pPr>
        <w:spacing w:line="400" w:lineRule="exact"/>
        <w:ind w:firstLine="420" w:firstLineChars="200"/>
        <w:rPr>
          <w:rFonts w:hint="eastAsia" w:asciiTheme="minorEastAsia" w:hAnsiTheme="minorEastAsia" w:eastAsiaTheme="minorEastAsia" w:cstheme="minorEastAsia"/>
          <w:szCs w:val="21"/>
          <w:lang w:val="zh-CN" w:eastAsia="zh-CN"/>
        </w:rPr>
      </w:pPr>
      <w:r>
        <w:rPr>
          <w:rFonts w:hint="eastAsia" w:asciiTheme="minorEastAsia" w:hAnsiTheme="minorEastAsia" w:eastAsiaTheme="minorEastAsia" w:cstheme="minorEastAsia"/>
          <w:szCs w:val="21"/>
          <w:lang w:val="zh-CN" w:eastAsia="zh-CN"/>
        </w:rPr>
        <w:t>（2）投标人未按</w:t>
      </w:r>
      <w:r>
        <w:rPr>
          <w:rFonts w:hint="eastAsia" w:asciiTheme="minorEastAsia" w:hAnsiTheme="minorEastAsia" w:eastAsiaTheme="minorEastAsia" w:cstheme="minorEastAsia"/>
          <w:szCs w:val="21"/>
          <w:highlight w:val="none"/>
          <w:lang w:val="zh-CN" w:eastAsia="zh-CN"/>
        </w:rPr>
        <w:t>投标人须知前附表规定的</w:t>
      </w:r>
      <w:r>
        <w:rPr>
          <w:rFonts w:hint="eastAsia" w:asciiTheme="minorEastAsia" w:hAnsiTheme="minorEastAsia" w:eastAsiaTheme="minorEastAsia" w:cstheme="minorEastAsia"/>
          <w:szCs w:val="21"/>
          <w:lang w:val="zh-CN" w:eastAsia="zh-CN"/>
        </w:rPr>
        <w:t>时间内解密投标文件的；</w:t>
      </w:r>
    </w:p>
    <w:p>
      <w:pPr>
        <w:spacing w:line="400" w:lineRule="exact"/>
        <w:ind w:firstLine="420" w:firstLineChars="200"/>
        <w:rPr>
          <w:rFonts w:hint="eastAsia" w:asciiTheme="minorEastAsia" w:hAnsiTheme="minorEastAsia" w:eastAsiaTheme="minorEastAsia" w:cstheme="minorEastAsia"/>
          <w:szCs w:val="21"/>
          <w:lang w:val="zh-CN" w:eastAsia="zh-CN"/>
        </w:rPr>
      </w:pPr>
      <w:r>
        <w:rPr>
          <w:rFonts w:hint="eastAsia" w:asciiTheme="minorEastAsia" w:hAnsiTheme="minorEastAsia" w:eastAsiaTheme="minorEastAsia" w:cstheme="minorEastAsia"/>
          <w:szCs w:val="21"/>
          <w:lang w:val="en-US" w:eastAsia="zh-CN"/>
        </w:rPr>
        <w:t xml:space="preserve"> </w:t>
      </w:r>
    </w:p>
    <w:p>
      <w:pPr>
        <w:spacing w:line="400" w:lineRule="exact"/>
        <w:ind w:firstLine="422" w:firstLineChars="200"/>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5.4开标异议</w:t>
      </w:r>
      <w:bookmarkEnd w:id="125"/>
    </w:p>
    <w:p>
      <w:pPr>
        <w:spacing w:line="400" w:lineRule="exact"/>
        <w:ind w:firstLine="420" w:firstLineChars="200"/>
        <w:rPr>
          <w:rFonts w:hint="eastAsia" w:asciiTheme="minorEastAsia" w:hAnsiTheme="minorEastAsia" w:eastAsiaTheme="minorEastAsia" w:cstheme="minorEastAsia"/>
          <w:szCs w:val="21"/>
          <w:lang w:val="en-US" w:eastAsia="zh-CN"/>
        </w:rPr>
      </w:pPr>
      <w:bookmarkStart w:id="126" w:name="_Toc21662"/>
      <w:bookmarkStart w:id="127" w:name="_Toc403122522"/>
      <w:bookmarkStart w:id="128" w:name="_Toc426369512"/>
      <w:bookmarkStart w:id="129" w:name="_Toc12881"/>
      <w:r>
        <w:rPr>
          <w:rFonts w:hint="eastAsia" w:asciiTheme="minorEastAsia" w:hAnsiTheme="minorEastAsia" w:eastAsiaTheme="minorEastAsia" w:cstheme="minorEastAsia"/>
          <w:szCs w:val="21"/>
          <w:lang w:val="en-US" w:eastAsia="zh-CN"/>
        </w:rPr>
        <w:t>投标人对开标有异议的，应当在开标现场提出，采购人当场作出答复，并制作记录。</w:t>
      </w:r>
    </w:p>
    <w:p>
      <w:pPr>
        <w:spacing w:line="400" w:lineRule="exact"/>
        <w:ind w:firstLine="422" w:firstLineChars="200"/>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5.</w:t>
      </w:r>
      <w:bookmarkStart w:id="130" w:name="_Toc13445"/>
      <w:bookmarkStart w:id="131" w:name="_Toc9927"/>
      <w:r>
        <w:rPr>
          <w:rFonts w:hint="eastAsia" w:asciiTheme="minorEastAsia" w:hAnsiTheme="minorEastAsia" w:eastAsiaTheme="minorEastAsia" w:cstheme="minorEastAsia"/>
          <w:b/>
          <w:bCs/>
          <w:szCs w:val="21"/>
          <w:lang w:val="en-US" w:eastAsia="zh-CN"/>
        </w:rPr>
        <w:t>5.资格审查工作</w:t>
      </w:r>
      <w:bookmarkEnd w:id="130"/>
      <w:bookmarkEnd w:id="131"/>
    </w:p>
    <w:p>
      <w:pPr>
        <w:spacing w:line="400" w:lineRule="exact"/>
        <w:ind w:firstLine="420" w:firstLineChars="200"/>
        <w:rPr>
          <w:rFonts w:hint="eastAsia" w:asciiTheme="minorEastAsia" w:hAnsiTheme="minorEastAsia" w:eastAsiaTheme="minorEastAsia" w:cstheme="minorEastAsia"/>
          <w:szCs w:val="21"/>
          <w:lang w:val="en-US" w:eastAsia="zh-CN"/>
        </w:rPr>
      </w:pPr>
      <w:bookmarkStart w:id="132" w:name="_Toc15919"/>
      <w:bookmarkStart w:id="133" w:name="_Toc25448"/>
      <w:bookmarkStart w:id="134" w:name="_Toc22488"/>
      <w:bookmarkStart w:id="135" w:name="_Toc18888"/>
      <w:bookmarkStart w:id="136" w:name="_Toc18803"/>
      <w:bookmarkStart w:id="137" w:name="_Toc18806"/>
      <w:bookmarkStart w:id="138" w:name="_Toc25275"/>
      <w:r>
        <w:rPr>
          <w:rFonts w:hint="eastAsia" w:asciiTheme="minorEastAsia" w:hAnsiTheme="minorEastAsia" w:eastAsiaTheme="minorEastAsia" w:cstheme="minorEastAsia"/>
          <w:szCs w:val="21"/>
          <w:lang w:val="zh-CN" w:eastAsia="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139" w:name="_Toc403122523"/>
      <w:bookmarkStart w:id="140" w:name="_Toc279599802"/>
      <w:bookmarkStart w:id="141" w:name="_Toc426369513"/>
      <w:bookmarkStart w:id="142" w:name="_Toc274249606"/>
      <w:r>
        <w:rPr>
          <w:rFonts w:hint="eastAsia" w:asciiTheme="minorEastAsia" w:hAnsiTheme="minorEastAsia" w:eastAsiaTheme="minorEastAsia" w:cstheme="minorEastAsia"/>
          <w:b/>
          <w:bCs/>
          <w:sz w:val="24"/>
        </w:rPr>
        <w:t>6.1 评标委员会</w:t>
      </w:r>
      <w:bookmarkEnd w:id="139"/>
      <w:bookmarkEnd w:id="140"/>
      <w:bookmarkEnd w:id="141"/>
      <w:bookmarkEnd w:id="142"/>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279599803"/>
      <w:bookmarkStart w:id="144" w:name="_Toc274249607"/>
      <w:bookmarkStart w:id="145" w:name="_Toc403122524"/>
      <w:bookmarkStart w:id="146" w:name="_Toc426369514"/>
      <w:r>
        <w:rPr>
          <w:rFonts w:hint="eastAsia" w:asciiTheme="minorEastAsia" w:hAnsiTheme="minorEastAsia" w:eastAsiaTheme="minorEastAsia" w:cstheme="minorEastAsia"/>
          <w:b/>
          <w:bCs/>
          <w:sz w:val="24"/>
        </w:rPr>
        <w:t>6.2 评标原则</w:t>
      </w:r>
      <w:bookmarkEnd w:id="143"/>
      <w:bookmarkEnd w:id="144"/>
      <w:bookmarkEnd w:id="145"/>
      <w:bookmarkEnd w:id="146"/>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274249608"/>
      <w:bookmarkStart w:id="148" w:name="_Toc403122525"/>
      <w:bookmarkStart w:id="149" w:name="_Toc279599804"/>
      <w:bookmarkStart w:id="150" w:name="_Toc426369515"/>
      <w:r>
        <w:rPr>
          <w:rFonts w:hint="eastAsia" w:asciiTheme="minorEastAsia" w:hAnsiTheme="minorEastAsia" w:eastAsiaTheme="minorEastAsia" w:cstheme="minorEastAsia"/>
          <w:b/>
          <w:bCs/>
          <w:sz w:val="24"/>
        </w:rPr>
        <w:t>6.3 评标</w:t>
      </w:r>
      <w:bookmarkEnd w:id="147"/>
      <w:bookmarkEnd w:id="148"/>
      <w:bookmarkEnd w:id="149"/>
      <w:bookmarkEnd w:id="150"/>
      <w:r>
        <w:rPr>
          <w:rFonts w:hint="eastAsia" w:asciiTheme="minorEastAsia" w:hAnsiTheme="minorEastAsia" w:eastAsiaTheme="minorEastAsia" w:cstheme="minorEastAsia"/>
          <w:b/>
          <w:bCs/>
          <w:sz w:val="24"/>
        </w:rPr>
        <w:t xml:space="preserve"> </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.3.2评标时，评标委员会各成员应当独立对每个投标人的投标文件进行评价，并汇总每个投标人的得分。</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.3.3 评标委员会负责具体评标事务，并独立履行下列职责：</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）审查、评价投标文件是否符合招标文件的实质性要求；</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）要求投标人对投标文件有关事项作出澄清或者说明；</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）对投标文件进行比较和评价；</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）确定中标候选人名单；</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lang w:val="en-US" w:eastAsia="zh-CN"/>
        </w:rPr>
        <w:t>6</w:t>
      </w:r>
      <w:r>
        <w:rPr>
          <w:rFonts w:hint="eastAsia" w:ascii="宋体" w:hAnsi="宋体" w:cs="宋体"/>
          <w:b/>
          <w:bCs/>
          <w:spacing w:val="1"/>
          <w:kern w:val="0"/>
          <w:szCs w:val="21"/>
        </w:rPr>
        <w:t>.4  废标</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）符合专业条件的投标人或者对招标文件作实质响应的投标人不足三家的；</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）出现影响采购公正的违法、违规行为的；</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）因重大变故，采购任务取消的。废标后，采购人应当将废标理由通知所有投标人。</w:t>
      </w:r>
    </w:p>
    <w:p>
      <w:pPr>
        <w:pStyle w:val="36"/>
        <w:spacing w:before="120" w:after="120" w:line="500" w:lineRule="exact"/>
        <w:ind w:right="-1029" w:rightChars="-490" w:firstLine="482" w:firstLineChars="200"/>
        <w:jc w:val="both"/>
      </w:pPr>
      <w:bookmarkStart w:id="151" w:name="_Toc26569"/>
      <w:bookmarkStart w:id="152" w:name="_Toc403122526"/>
      <w:bookmarkStart w:id="153" w:name="_Toc426369516"/>
      <w:bookmarkStart w:id="154" w:name="_Toc17811"/>
      <w:r>
        <w:rPr>
          <w:rFonts w:hint="eastAsia" w:asciiTheme="minorEastAsia" w:hAnsiTheme="minorEastAsia" w:eastAsiaTheme="minorEastAsia" w:cstheme="minorEastAsia"/>
          <w:sz w:val="24"/>
          <w:szCs w:val="24"/>
        </w:rPr>
        <w:t>7. 合同授予</w:t>
      </w:r>
      <w:bookmarkEnd w:id="151"/>
      <w:bookmarkEnd w:id="152"/>
      <w:bookmarkEnd w:id="153"/>
      <w:bookmarkEnd w:id="154"/>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155" w:name="_Toc274249610"/>
      <w:bookmarkStart w:id="156" w:name="_Toc426369517"/>
      <w:bookmarkStart w:id="157" w:name="_Toc403122527"/>
      <w:bookmarkStart w:id="158" w:name="_Toc279599806"/>
      <w:r>
        <w:rPr>
          <w:rFonts w:hint="eastAsia" w:asciiTheme="minorEastAsia" w:hAnsiTheme="minorEastAsia" w:eastAsiaTheme="minorEastAsia" w:cstheme="minorEastAsia"/>
          <w:b/>
          <w:bCs/>
          <w:sz w:val="24"/>
        </w:rPr>
        <w:t>7.1 定标方式</w:t>
      </w:r>
      <w:bookmarkEnd w:id="155"/>
      <w:bookmarkEnd w:id="156"/>
      <w:bookmarkEnd w:id="157"/>
      <w:bookmarkEnd w:id="158"/>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highlight w:val="none"/>
        </w:rPr>
        <w:t>1.1采购人依据评标委员会推荐的中标候选人确定中标人，评标委员会推荐中标人候选人的人数见供应商须知前附表。</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426369518"/>
      <w:bookmarkStart w:id="160" w:name="_Toc274249611"/>
      <w:bookmarkStart w:id="161" w:name="_Toc279599807"/>
      <w:bookmarkStart w:id="162" w:name="_Toc403122528"/>
      <w:r>
        <w:rPr>
          <w:rFonts w:hint="eastAsia" w:asciiTheme="minorEastAsia" w:hAnsiTheme="minorEastAsia" w:eastAsiaTheme="minorEastAsia" w:cstheme="minorEastAsia"/>
          <w:b/>
          <w:bCs/>
          <w:sz w:val="24"/>
        </w:rPr>
        <w:t>7.2 中标通知</w:t>
      </w:r>
      <w:bookmarkEnd w:id="159"/>
      <w:bookmarkEnd w:id="160"/>
      <w:bookmarkEnd w:id="161"/>
      <w:bookmarkEnd w:id="162"/>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hint="eastAsia" w:asciiTheme="minorEastAsia" w:hAnsiTheme="minorEastAsia" w:eastAsiaTheme="minorEastAsia" w:cstheme="minorEastAsia"/>
          <w:b/>
          <w:bCs/>
          <w:sz w:val="24"/>
        </w:rPr>
      </w:pPr>
      <w:bookmarkStart w:id="163" w:name="_Toc274249612"/>
      <w:bookmarkStart w:id="164" w:name="_Toc311550376"/>
      <w:bookmarkStart w:id="165" w:name="_Toc279599808"/>
      <w:bookmarkStart w:id="166" w:name="_Toc426369519"/>
      <w:bookmarkStart w:id="167" w:name="_Toc403122529"/>
      <w:r>
        <w:rPr>
          <w:rFonts w:hint="eastAsia" w:asciiTheme="minorEastAsia" w:hAnsiTheme="minorEastAsia" w:eastAsiaTheme="minorEastAsia" w:cstheme="minorEastAsia"/>
          <w:b/>
          <w:bCs/>
          <w:sz w:val="24"/>
        </w:rPr>
        <w:t>7.3履约</w:t>
      </w:r>
      <w:bookmarkEnd w:id="163"/>
      <w:bookmarkEnd w:id="164"/>
      <w:bookmarkEnd w:id="165"/>
      <w:r>
        <w:rPr>
          <w:rFonts w:hint="eastAsia" w:asciiTheme="minorEastAsia" w:hAnsiTheme="minorEastAsia" w:eastAsiaTheme="minorEastAsia" w:cstheme="minorEastAsia"/>
          <w:b/>
          <w:bCs/>
          <w:sz w:val="24"/>
        </w:rPr>
        <w:t>保证金</w:t>
      </w:r>
      <w:bookmarkEnd w:id="166"/>
      <w:bookmarkEnd w:id="167"/>
      <w:r>
        <w:rPr>
          <w:rFonts w:hint="eastAsia" w:asciiTheme="minorEastAsia" w:hAnsiTheme="minorEastAsia" w:eastAsiaTheme="minorEastAsia" w:cstheme="minorEastAsia"/>
          <w:b/>
          <w:bCs/>
          <w:sz w:val="24"/>
        </w:rPr>
        <w:t>和投标保证金</w:t>
      </w:r>
    </w:p>
    <w:p>
      <w:pPr>
        <w:spacing w:line="400" w:lineRule="exact"/>
        <w:ind w:firstLine="420" w:firstLineChars="200"/>
        <w:rPr>
          <w:rFonts w:hint="eastAsia" w:asciiTheme="minorEastAsia" w:hAnsiTheme="minorEastAsia" w:eastAsiaTheme="minorEastAsia" w:cstheme="minorEastAsia"/>
          <w:szCs w:val="21"/>
          <w:lang w:val="en-US" w:eastAsia="zh-CN"/>
        </w:rPr>
      </w:pPr>
      <w:bookmarkStart w:id="168" w:name="_Toc403122530"/>
      <w:bookmarkStart w:id="169" w:name="_Toc274249613"/>
      <w:bookmarkStart w:id="170" w:name="_Toc279599809"/>
      <w:bookmarkStart w:id="171" w:name="_Toc426369520"/>
      <w:r>
        <w:rPr>
          <w:rFonts w:hint="eastAsia" w:asciiTheme="minorEastAsia" w:hAnsiTheme="minorEastAsia" w:eastAsiaTheme="minorEastAsia" w:cstheme="minorEastAsia"/>
          <w:szCs w:val="21"/>
          <w:lang w:val="en-US" w:eastAsia="zh-CN"/>
        </w:rPr>
        <w:t xml:space="preserve">7.3.1 在签订合同前，中标人应按投标人须知前附表规定的金额、担保形式向招标人提交履约担保。 </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7.3.2  中标人不能按本章第 7.3.1 项要求提交履约担保的，视为放弃中标，其投标保证金不予退还，给招标人造成的损失超过投标保证金数额的，中标人还应当对超过部分予以赔偿。</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7.3.3 投标人应按投标人须知前附表的要求提供投标保证金； </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 xml:space="preserve">7.3.4 投标人不按本章第 7.3.2 项要求提交投标保证金的，其投标文件作废标处理。 </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3.4.5 有下列情形之一的，投标保证金将不予退还：</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（1）投标人在规定的投标有效期内撤销或修改其投标文件；</w:t>
      </w:r>
    </w:p>
    <w:p>
      <w:pPr>
        <w:spacing w:line="40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（2）中标人在收到中标通知书后，无正当理由拒签合同协议书或未按招标文件规定提交履约担保；</w:t>
      </w:r>
    </w:p>
    <w:p>
      <w:pPr>
        <w:spacing w:line="400" w:lineRule="exact"/>
        <w:ind w:firstLine="420" w:firstLineChars="200"/>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（3）投标人无故不参加投标且未书面通知招标人，给招标人造成损失的。</w:t>
      </w:r>
    </w:p>
    <w:p>
      <w:pPr>
        <w:spacing w:line="500" w:lineRule="exact"/>
        <w:rPr>
          <w:rFonts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rPr>
        <w:t>7.4 签订合同</w:t>
      </w:r>
      <w:bookmarkEnd w:id="168"/>
      <w:bookmarkEnd w:id="169"/>
      <w:bookmarkEnd w:id="170"/>
      <w:bookmarkEnd w:id="171"/>
      <w:r>
        <w:rPr>
          <w:rFonts w:hint="eastAsia" w:asciiTheme="minorEastAsia" w:hAnsiTheme="minorEastAsia" w:eastAsiaTheme="minorEastAsia" w:cstheme="minorEastAsia"/>
          <w:b/>
          <w:bCs/>
          <w:sz w:val="24"/>
        </w:rPr>
        <w:t xml:space="preserve"> </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highlight w:val="none"/>
        </w:rPr>
        <w:t>7.4.1  中标人的投标报价为中标价，中标价即为合同价（当中标人的建筑垃圾处理费（不包括清运费）报价高于控制价的95%时，该中标人的中标价按控制价的95%执行。）。采购人和中标人应当自中标通知书发出之日起15日内，根据招标文件和中标人的投标文件订立书面合同。非因</w:t>
      </w:r>
      <w:r>
        <w:rPr>
          <w:rFonts w:hint="eastAsia" w:asciiTheme="minorEastAsia" w:hAnsiTheme="minorEastAsia" w:eastAsiaTheme="minorEastAsia" w:cstheme="minorEastAsia"/>
          <w:szCs w:val="21"/>
        </w:rPr>
        <w:t>不可抗力因素放弃中标的，或排名第一的中标候选人未按规定期限与采购人签订合同的，该中标人的投标保证金不予退还，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403122531"/>
      <w:bookmarkStart w:id="173" w:name="_Toc426369521"/>
      <w:bookmarkStart w:id="174" w:name="_Toc30009"/>
      <w:bookmarkStart w:id="175" w:name="_Toc10541"/>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5"/>
      <w:bookmarkStart w:id="177" w:name="_Toc279599811"/>
      <w:bookmarkStart w:id="178" w:name="_Toc426369522"/>
      <w:bookmarkStart w:id="179" w:name="_Toc403122532"/>
      <w:r>
        <w:rPr>
          <w:rFonts w:hint="eastAsia" w:asciiTheme="minorEastAsia" w:hAnsiTheme="minorEastAsia" w:eastAsiaTheme="minorEastAsia" w:cstheme="minorEastAsia"/>
          <w:b/>
          <w:bCs/>
          <w:sz w:val="24"/>
        </w:rPr>
        <w:t>8.1 重新招标</w:t>
      </w:r>
      <w:bookmarkEnd w:id="176"/>
      <w:bookmarkEnd w:id="177"/>
      <w:bookmarkEnd w:id="178"/>
      <w:bookmarkEnd w:id="179"/>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3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3760"/>
      <w:bookmarkStart w:id="181" w:name="_Toc426369523"/>
      <w:bookmarkStart w:id="182" w:name="_Toc403122533"/>
      <w:bookmarkStart w:id="183" w:name="_Toc10372"/>
      <w:r>
        <w:rPr>
          <w:rFonts w:hint="eastAsia" w:asciiTheme="minorEastAsia" w:hAnsiTheme="minorEastAsia" w:eastAsiaTheme="minorEastAsia" w:cstheme="minorEastAsia"/>
          <w:sz w:val="24"/>
          <w:szCs w:val="24"/>
        </w:rPr>
        <w:t>9. 纪律和监督</w:t>
      </w:r>
      <w:bookmarkEnd w:id="180"/>
      <w:bookmarkEnd w:id="181"/>
      <w:bookmarkEnd w:id="182"/>
      <w:bookmarkEnd w:id="183"/>
      <w:r>
        <w:rPr>
          <w:rFonts w:hint="eastAsia" w:asciiTheme="minorEastAsia" w:hAnsiTheme="minorEastAsia" w:eastAsiaTheme="minorEastAsia" w:cstheme="minorEastAsia"/>
          <w:sz w:val="24"/>
          <w:szCs w:val="24"/>
        </w:rPr>
        <w:t xml:space="preserve"> </w:t>
      </w:r>
    </w:p>
    <w:p>
      <w:pPr>
        <w:spacing w:line="500" w:lineRule="exact"/>
        <w:ind w:firstLine="482" w:firstLineChars="200"/>
        <w:rPr>
          <w:rFonts w:asciiTheme="minorEastAsia" w:hAnsiTheme="minorEastAsia" w:eastAsiaTheme="minorEastAsia" w:cstheme="minorEastAsia"/>
          <w:b/>
          <w:bCs/>
          <w:sz w:val="24"/>
        </w:rPr>
      </w:pPr>
      <w:bookmarkStart w:id="184" w:name="_Toc426369524"/>
      <w:bookmarkStart w:id="185" w:name="_Toc279599814"/>
      <w:bookmarkStart w:id="186" w:name="_Toc274249618"/>
      <w:bookmarkStart w:id="187" w:name="_Toc403122534"/>
      <w:r>
        <w:rPr>
          <w:rFonts w:hint="eastAsia" w:asciiTheme="minorEastAsia" w:hAnsiTheme="minorEastAsia" w:eastAsiaTheme="minorEastAsia" w:cstheme="minorEastAsia"/>
          <w:b/>
          <w:bCs/>
          <w:sz w:val="24"/>
        </w:rPr>
        <w:t>9.1 对采购人的纪律要求</w:t>
      </w:r>
      <w:bookmarkEnd w:id="184"/>
      <w:bookmarkEnd w:id="185"/>
      <w:bookmarkEnd w:id="186"/>
      <w:bookmarkEnd w:id="187"/>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274249619"/>
      <w:bookmarkStart w:id="189" w:name="_Toc426369525"/>
      <w:bookmarkStart w:id="190" w:name="_Toc279599815"/>
      <w:bookmarkStart w:id="191" w:name="_Toc403122535"/>
      <w:r>
        <w:rPr>
          <w:rFonts w:hint="eastAsia" w:asciiTheme="minorEastAsia" w:hAnsiTheme="minorEastAsia" w:eastAsiaTheme="minorEastAsia" w:cstheme="minorEastAsia"/>
          <w:b/>
          <w:bCs/>
          <w:sz w:val="24"/>
        </w:rPr>
        <w:t>9.2 对投标人的纪律要求</w:t>
      </w:r>
      <w:bookmarkEnd w:id="188"/>
      <w:bookmarkEnd w:id="189"/>
      <w:bookmarkEnd w:id="190"/>
      <w:bookmarkEnd w:id="191"/>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403122536"/>
      <w:bookmarkStart w:id="193" w:name="_Toc279599816"/>
      <w:bookmarkStart w:id="194" w:name="_Toc426369526"/>
      <w:bookmarkStart w:id="195" w:name="_Toc274249620"/>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274249621"/>
      <w:bookmarkStart w:id="197" w:name="_Toc426369527"/>
      <w:bookmarkStart w:id="198" w:name="_Toc279599817"/>
      <w:bookmarkStart w:id="199" w:name="_Toc40312253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274249622"/>
      <w:bookmarkStart w:id="201" w:name="_Toc403122538"/>
      <w:bookmarkStart w:id="202" w:name="_Toc426369528"/>
      <w:bookmarkStart w:id="203" w:name="_Toc279599818"/>
      <w:r>
        <w:rPr>
          <w:rFonts w:hint="eastAsia" w:asciiTheme="minorEastAsia" w:hAnsiTheme="minorEastAsia" w:eastAsiaTheme="minorEastAsia" w:cstheme="minorEastAsia"/>
          <w:b/>
          <w:bCs/>
          <w:sz w:val="24"/>
        </w:rPr>
        <w:t>9.5 投诉</w:t>
      </w:r>
      <w:bookmarkEnd w:id="200"/>
      <w:bookmarkEnd w:id="201"/>
      <w:bookmarkEnd w:id="202"/>
      <w:bookmarkEnd w:id="203"/>
      <w:r>
        <w:rPr>
          <w:rFonts w:hint="eastAsia" w:asciiTheme="minorEastAsia" w:hAnsiTheme="minorEastAsia" w:eastAsiaTheme="minorEastAsia" w:cstheme="minorEastAsia"/>
          <w:b/>
          <w:bCs/>
          <w:sz w:val="24"/>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36"/>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rPr>
      </w:pPr>
      <w:bookmarkStart w:id="204" w:name="_Toc426369529"/>
      <w:bookmarkStart w:id="205" w:name="_Toc10880"/>
      <w:bookmarkStart w:id="206" w:name="_Toc403122539"/>
      <w:bookmarkStart w:id="207" w:name="_Toc13281"/>
      <w:r>
        <w:rPr>
          <w:rFonts w:hint="eastAsia" w:asciiTheme="minorEastAsia" w:hAnsiTheme="minorEastAsia" w:eastAsiaTheme="minorEastAsia" w:cstheme="minorEastAsia"/>
          <w:color w:val="auto"/>
          <w:sz w:val="24"/>
          <w:szCs w:val="24"/>
        </w:rPr>
        <w:t>10. 需要补充的其他内容</w:t>
      </w:r>
      <w:bookmarkEnd w:id="204"/>
      <w:bookmarkEnd w:id="205"/>
      <w:bookmarkEnd w:id="206"/>
      <w:bookmarkEnd w:id="207"/>
      <w:r>
        <w:rPr>
          <w:rFonts w:hint="eastAsia" w:asciiTheme="minorEastAsia" w:hAnsiTheme="minorEastAsia" w:eastAsiaTheme="minorEastAsia" w:cstheme="minorEastAsia"/>
          <w:color w:val="auto"/>
          <w:sz w:val="24"/>
          <w:szCs w:val="24"/>
        </w:rPr>
        <w:t xml:space="preserve"> </w:t>
      </w:r>
    </w:p>
    <w:p>
      <w:pPr>
        <w:autoSpaceDE w:val="0"/>
        <w:autoSpaceDN w:val="0"/>
        <w:adjustRightInd w:val="0"/>
        <w:spacing w:line="440" w:lineRule="exact"/>
        <w:ind w:firstLine="482" w:firstLineChars="200"/>
        <w:rPr>
          <w:rFonts w:ascii="宋体" w:hAnsi="宋体" w:cs="宋体"/>
          <w:color w:val="auto"/>
          <w:kern w:val="0"/>
          <w:sz w:val="24"/>
        </w:rPr>
      </w:pPr>
      <w:r>
        <w:rPr>
          <w:rFonts w:hint="eastAsia" w:ascii="宋体" w:hAnsi="宋体" w:cs="宋体"/>
          <w:b/>
          <w:color w:val="auto"/>
          <w:kern w:val="0"/>
          <w:sz w:val="24"/>
        </w:rPr>
        <w:t>10.1 费用承担</w:t>
      </w:r>
    </w:p>
    <w:p>
      <w:pPr>
        <w:autoSpaceDE w:val="0"/>
        <w:autoSpaceDN w:val="0"/>
        <w:adjustRightInd w:val="0"/>
        <w:spacing w:line="440" w:lineRule="exact"/>
        <w:ind w:left="17" w:leftChars="8" w:firstLine="420" w:firstLineChars="200"/>
        <w:jc w:val="left"/>
        <w:rPr>
          <w:rFonts w:ascii="宋体" w:hAnsi="宋体" w:cs="宋体"/>
          <w:color w:val="auto"/>
          <w:szCs w:val="21"/>
        </w:rPr>
      </w:pPr>
      <w:r>
        <w:rPr>
          <w:rFonts w:hint="eastAsia" w:ascii="宋体" w:hAnsi="宋体" w:cs="宋体"/>
          <w:color w:val="auto"/>
          <w:szCs w:val="21"/>
        </w:rPr>
        <w:t>（1）无论投标结果如何，投标人应自行承担所有参与投标</w:t>
      </w:r>
      <w:r>
        <w:rPr>
          <w:rFonts w:hint="eastAsia" w:ascii="宋体" w:hAnsi="宋体" w:cs="宋体"/>
          <w:color w:val="auto"/>
          <w:szCs w:val="21"/>
          <w:lang w:val="en-US" w:eastAsia="zh-CN"/>
        </w:rPr>
        <w:t>的</w:t>
      </w:r>
      <w:r>
        <w:rPr>
          <w:rFonts w:hint="eastAsia" w:ascii="宋体" w:hAnsi="宋体" w:cs="宋体"/>
          <w:color w:val="auto"/>
          <w:szCs w:val="21"/>
        </w:rPr>
        <w:t>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color w:val="auto"/>
          <w:szCs w:val="21"/>
        </w:rPr>
      </w:pPr>
      <w:r>
        <w:rPr>
          <w:rFonts w:hint="eastAsia" w:ascii="宋体" w:hAnsi="宋体" w:cs="宋体"/>
          <w:color w:val="auto"/>
          <w:szCs w:val="21"/>
        </w:rPr>
        <w:t>（2）招标代理服务费由中标人支付。</w:t>
      </w:r>
    </w:p>
    <w:p>
      <w:pPr>
        <w:autoSpaceDE w:val="0"/>
        <w:autoSpaceDN w:val="0"/>
        <w:adjustRightInd w:val="0"/>
        <w:spacing w:line="500" w:lineRule="exact"/>
        <w:ind w:firstLine="420"/>
        <w:jc w:val="left"/>
        <w:rPr>
          <w:rFonts w:hint="eastAsia" w:ascii="宋体" w:hAnsi="宋体" w:cs="宋体"/>
          <w:color w:val="auto"/>
          <w:szCs w:val="21"/>
        </w:rPr>
      </w:pPr>
      <w:r>
        <w:rPr>
          <w:rFonts w:hint="eastAsia" w:ascii="宋体" w:hAnsi="宋体" w:cs="宋体"/>
          <w:color w:val="auto"/>
          <w:szCs w:val="21"/>
        </w:rPr>
        <w:t>（3）供应商与采购人签订合同后，将合同报采购代理机构备案。</w:t>
      </w:r>
    </w:p>
    <w:p>
      <w:pPr>
        <w:pStyle w:val="56"/>
        <w:ind w:firstLine="482" w:firstLineChars="200"/>
        <w:rPr>
          <w:color w:val="auto"/>
        </w:rPr>
      </w:pPr>
      <w:r>
        <w:rPr>
          <w:rFonts w:hint="eastAsia" w:ascii="宋体" w:hAnsi="宋体" w:cs="宋体"/>
          <w:b/>
          <w:color w:val="auto"/>
          <w:kern w:val="0"/>
          <w:sz w:val="24"/>
        </w:rPr>
        <w:t>10.</w:t>
      </w:r>
      <w:r>
        <w:rPr>
          <w:rFonts w:hint="eastAsia" w:ascii="宋体" w:hAnsi="宋体" w:cs="宋体"/>
          <w:b/>
          <w:color w:val="auto"/>
          <w:kern w:val="0"/>
          <w:sz w:val="24"/>
          <w:lang w:val="en-US" w:eastAsia="zh-CN"/>
        </w:rPr>
        <w:t>2</w:t>
      </w:r>
      <w:r>
        <w:rPr>
          <w:rFonts w:hint="eastAsia" w:ascii="宋体" w:hAnsi="宋体" w:cs="宋体"/>
          <w:b/>
          <w:color w:val="auto"/>
          <w:kern w:val="0"/>
          <w:sz w:val="24"/>
        </w:rPr>
        <w:t xml:space="preserve"> </w:t>
      </w:r>
      <w:r>
        <w:rPr>
          <w:rFonts w:hint="eastAsia" w:ascii="宋体" w:hAnsi="宋体" w:cs="宋体"/>
          <w:b/>
          <w:color w:val="auto"/>
          <w:kern w:val="0"/>
          <w:szCs w:val="21"/>
        </w:rPr>
        <w:t>本招标文件未尽事宜，按《中华人民共和国政府采购法》等法律法规的有关规定执行。</w:t>
      </w:r>
    </w:p>
    <w:p>
      <w:pPr>
        <w:pStyle w:val="15"/>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36"/>
        <w:numPr>
          <w:ilvl w:val="0"/>
          <w:numId w:val="7"/>
        </w:numPr>
        <w:spacing w:line="600" w:lineRule="exact"/>
        <w:ind w:right="-63" w:rightChars="-30"/>
        <w:rPr>
          <w:rFonts w:asciiTheme="minorEastAsia" w:hAnsiTheme="minorEastAsia" w:eastAsiaTheme="minorEastAsia" w:cstheme="minorEastAsia"/>
          <w:sz w:val="36"/>
          <w:szCs w:val="36"/>
        </w:rPr>
      </w:pPr>
      <w:bookmarkStart w:id="208" w:name="_Toc28433"/>
      <w:bookmarkStart w:id="209" w:name="_Toc403122540"/>
      <w:bookmarkStart w:id="210" w:name="_Toc426369530"/>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107"/>
        <w:spacing w:line="540" w:lineRule="exact"/>
        <w:outlineLvl w:val="2"/>
        <w:rPr>
          <w:rFonts w:asciiTheme="minorEastAsia" w:hAnsiTheme="minorEastAsia" w:eastAsiaTheme="minorEastAsia" w:cstheme="minorEastAsia"/>
          <w:b/>
          <w:bCs/>
          <w:sz w:val="28"/>
          <w:szCs w:val="28"/>
        </w:rPr>
      </w:pPr>
      <w:bookmarkStart w:id="212" w:name="_Toc21885"/>
      <w:bookmarkStart w:id="213" w:name="_Toc30933"/>
      <w:bookmarkStart w:id="214" w:name="_Toc17859"/>
      <w:bookmarkStart w:id="215" w:name="_Toc29947"/>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40"/>
        <w:tblpPr w:leftFromText="180" w:rightFromText="180" w:vertAnchor="text" w:horzAnchor="page" w:tblpX="757" w:tblpY="559"/>
        <w:tblOverlap w:val="never"/>
        <w:tblW w:w="103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6"/>
        <w:gridCol w:w="802"/>
        <w:gridCol w:w="847"/>
        <w:gridCol w:w="823"/>
        <w:gridCol w:w="531"/>
        <w:gridCol w:w="221"/>
        <w:gridCol w:w="6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569" w:hRule="atLeast"/>
        </w:trPr>
        <w:tc>
          <w:tcPr>
            <w:tcW w:w="3003" w:type="dxa"/>
            <w:gridSpan w:val="4"/>
            <w:vAlign w:val="center"/>
          </w:tcPr>
          <w:p>
            <w:pPr>
              <w:pStyle w:val="117"/>
              <w:spacing w:line="440" w:lineRule="exact"/>
              <w:ind w:left="105" w:leftChars="50" w:firstLine="402"/>
              <w:jc w:val="center"/>
              <w:rPr>
                <w:rFonts w:hint="default" w:ascii="Times New Roman" w:hAnsi="Times New Roman" w:cs="Times New Roman"/>
                <w:b/>
                <w:szCs w:val="21"/>
              </w:rPr>
            </w:pPr>
            <w:bookmarkStart w:id="218" w:name="_Toc471"/>
            <w:bookmarkStart w:id="219" w:name="_Toc26394"/>
            <w:bookmarkStart w:id="220" w:name="_Toc13389"/>
            <w:bookmarkStart w:id="221" w:name="_Toc28874"/>
            <w:r>
              <w:rPr>
                <w:rFonts w:hint="default" w:ascii="Times New Roman" w:hAnsi="Times New Roman" w:cs="Times New Roman"/>
                <w:b/>
                <w:szCs w:val="21"/>
              </w:rPr>
              <w:t>评审因素</w:t>
            </w:r>
          </w:p>
        </w:tc>
        <w:tc>
          <w:tcPr>
            <w:tcW w:w="6826" w:type="dxa"/>
            <w:gridSpan w:val="2"/>
            <w:vAlign w:val="center"/>
          </w:tcPr>
          <w:p>
            <w:pPr>
              <w:pStyle w:val="117"/>
              <w:spacing w:line="440" w:lineRule="exact"/>
              <w:ind w:left="105" w:leftChars="50" w:firstLine="402"/>
              <w:jc w:val="center"/>
              <w:rPr>
                <w:rFonts w:hint="default" w:ascii="Times New Roman" w:hAnsi="Times New Roman" w:cs="Times New Roman"/>
                <w:b/>
                <w:szCs w:val="21"/>
              </w:rPr>
            </w:pPr>
            <w:r>
              <w:rPr>
                <w:rFonts w:hint="default" w:ascii="Times New Roman" w:hAnsi="Times New Roman" w:cs="Times New Roman"/>
                <w:b/>
                <w:szCs w:val="21"/>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578" w:hRule="atLeast"/>
        </w:trPr>
        <w:tc>
          <w:tcPr>
            <w:tcW w:w="1649" w:type="dxa"/>
            <w:gridSpan w:val="2"/>
            <w:vMerge w:val="restart"/>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p>
          <w:p>
            <w:pPr>
              <w:pStyle w:val="117"/>
              <w:numPr>
                <w:ilvl w:val="0"/>
                <w:numId w:val="0"/>
              </w:numPr>
              <w:spacing w:line="240" w:lineRule="auto"/>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资格评审标准</w:t>
            </w:r>
          </w:p>
        </w:tc>
        <w:tc>
          <w:tcPr>
            <w:tcW w:w="1354" w:type="dxa"/>
            <w:gridSpan w:val="2"/>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营业执照</w:t>
            </w:r>
          </w:p>
        </w:tc>
        <w:tc>
          <w:tcPr>
            <w:tcW w:w="6826" w:type="dxa"/>
            <w:gridSpan w:val="2"/>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具备有效的营业执照（三证合一的营业执照副本）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1109" w:hRule="atLeast"/>
        </w:trPr>
        <w:tc>
          <w:tcPr>
            <w:tcW w:w="1649" w:type="dxa"/>
            <w:gridSpan w:val="2"/>
            <w:vMerge w:val="continue"/>
            <w:tcBorders>
              <w:top w:val="nil"/>
            </w:tcBorders>
            <w:vAlign w:val="center"/>
          </w:tcPr>
          <w:p>
            <w:pPr>
              <w:spacing w:line="440" w:lineRule="exact"/>
              <w:ind w:left="105" w:leftChars="50" w:firstLine="42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法人代表证明或法人授权委托书</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法人代表（负责人）证明或法人授权委托书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570" w:hRule="atLeast"/>
        </w:trPr>
        <w:tc>
          <w:tcPr>
            <w:tcW w:w="1649" w:type="dxa"/>
            <w:gridSpan w:val="2"/>
            <w:vMerge w:val="restart"/>
            <w:vAlign w:val="center"/>
          </w:tcPr>
          <w:p>
            <w:pPr>
              <w:pStyle w:val="117"/>
              <w:numPr>
                <w:ilvl w:val="0"/>
                <w:numId w:val="0"/>
              </w:numPr>
              <w:spacing w:line="240" w:lineRule="auto"/>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形式评审标准</w:t>
            </w:r>
          </w:p>
        </w:tc>
        <w:tc>
          <w:tcPr>
            <w:tcW w:w="1354" w:type="dxa"/>
            <w:gridSpan w:val="2"/>
            <w:vAlign w:val="center"/>
          </w:tcPr>
          <w:p>
            <w:pPr>
              <w:pStyle w:val="117"/>
              <w:numPr>
                <w:ilvl w:val="0"/>
                <w:numId w:val="0"/>
              </w:numPr>
              <w:spacing w:line="240" w:lineRule="auto"/>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投标人名称</w:t>
            </w:r>
          </w:p>
        </w:tc>
        <w:tc>
          <w:tcPr>
            <w:tcW w:w="6826" w:type="dxa"/>
            <w:gridSpan w:val="2"/>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与营业执照等证件一致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736"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投标函签字</w:t>
            </w:r>
          </w:p>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盖章</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加盖企业公章并有法定代表人或其委托代理人签字或盖章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587"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投标文件格式</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基本符合招标文件格式要求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704" w:hRule="atLeast"/>
        </w:trPr>
        <w:tc>
          <w:tcPr>
            <w:tcW w:w="1649" w:type="dxa"/>
            <w:gridSpan w:val="2"/>
            <w:vMerge w:val="restart"/>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p>
          <w:p>
            <w:pPr>
              <w:pStyle w:val="117"/>
              <w:numPr>
                <w:ilvl w:val="0"/>
                <w:numId w:val="0"/>
              </w:numPr>
              <w:spacing w:line="240" w:lineRule="auto"/>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响应性评审标准</w:t>
            </w:r>
          </w:p>
        </w:tc>
        <w:tc>
          <w:tcPr>
            <w:tcW w:w="1354" w:type="dxa"/>
            <w:gridSpan w:val="2"/>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采购内容</w:t>
            </w:r>
          </w:p>
        </w:tc>
        <w:tc>
          <w:tcPr>
            <w:tcW w:w="6826" w:type="dxa"/>
            <w:gridSpan w:val="2"/>
            <w:vAlign w:val="center"/>
          </w:tcPr>
          <w:p>
            <w:pPr>
              <w:pStyle w:val="117"/>
              <w:numPr>
                <w:ilvl w:val="0"/>
                <w:numId w:val="0"/>
              </w:numPr>
              <w:spacing w:line="240" w:lineRule="auto"/>
              <w:ind w:left="400" w:left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符合第二章“投标人须知”第 1.1.6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734"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服务期</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符合第二章“投标人须知”第 1.3.2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569"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tabs>
                <w:tab w:val="left" w:pos="489"/>
              </w:tabs>
              <w:spacing w:line="440" w:lineRule="exact"/>
              <w:ind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质</w:t>
            </w:r>
            <w:r>
              <w:rPr>
                <w:rFonts w:hint="default" w:ascii="Times New Roman" w:hAnsi="Times New Roman" w:eastAsia="宋体" w:cs="Times New Roman"/>
                <w:kern w:val="2"/>
                <w:sz w:val="22"/>
                <w:szCs w:val="20"/>
                <w:highlight w:val="none"/>
                <w:lang w:val="en-US" w:eastAsia="zh-CN" w:bidi="ar-SA"/>
              </w:rPr>
              <w:tab/>
            </w:r>
            <w:r>
              <w:rPr>
                <w:rFonts w:hint="default" w:ascii="Times New Roman" w:hAnsi="Times New Roman" w:eastAsia="宋体" w:cs="Times New Roman"/>
                <w:kern w:val="2"/>
                <w:sz w:val="22"/>
                <w:szCs w:val="20"/>
                <w:highlight w:val="none"/>
                <w:lang w:val="en-US" w:eastAsia="zh-CN" w:bidi="ar-SA"/>
              </w:rPr>
              <w:t>量</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符合第二章“投标人须知”第 1.3.3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862"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投标有效期</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符合第二章“投标人须知”第 3.3.1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789"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权利义务</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符合第四章“合同条款及格式”规定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460"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投标保证金</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人民币 800000 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607" w:hRule="atLeast"/>
        </w:trPr>
        <w:tc>
          <w:tcPr>
            <w:tcW w:w="1649" w:type="dxa"/>
            <w:gridSpan w:val="2"/>
            <w:vMerge w:val="continue"/>
            <w:tcBorders>
              <w:top w:val="nil"/>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vAlign w:val="center"/>
          </w:tcPr>
          <w:p>
            <w:pPr>
              <w:pStyle w:val="117"/>
              <w:spacing w:line="440" w:lineRule="exact"/>
              <w:jc w:val="left"/>
              <w:rPr>
                <w:rFonts w:hint="default" w:ascii="Times New Roman" w:hAnsi="Times New Roman" w:eastAsia="宋体" w:cs="Times New Roman"/>
                <w:kern w:val="2"/>
                <w:sz w:val="22"/>
                <w:szCs w:val="20"/>
                <w:highlight w:val="none"/>
                <w:lang w:val="en-US" w:eastAsia="zh-CN" w:bidi="ar-SA"/>
              </w:rPr>
            </w:pPr>
            <w:r>
              <w:rPr>
                <w:rFonts w:hint="eastAsia" w:ascii="Times New Roman" w:hAnsi="Times New Roman" w:cs="Times New Roman"/>
                <w:kern w:val="2"/>
                <w:sz w:val="22"/>
                <w:szCs w:val="20"/>
                <w:highlight w:val="none"/>
                <w:lang w:val="en-US" w:eastAsia="zh-CN" w:bidi="ar-SA"/>
              </w:rPr>
              <w:t>服务内容及要求</w:t>
            </w:r>
          </w:p>
        </w:tc>
        <w:tc>
          <w:tcPr>
            <w:tcW w:w="6826" w:type="dxa"/>
            <w:gridSpan w:val="2"/>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符合第五章“服务内容及要求”规定，若不符合第五章</w:t>
            </w:r>
            <w:r>
              <w:rPr>
                <w:rFonts w:hint="eastAsia" w:ascii="Times New Roman" w:hAnsi="Times New Roman" w:eastAsia="宋体" w:cs="Times New Roman"/>
                <w:kern w:val="2"/>
                <w:sz w:val="22"/>
                <w:szCs w:val="20"/>
                <w:highlight w:val="none"/>
                <w:lang w:val="en-US" w:eastAsia="zh-CN" w:bidi="ar-SA"/>
              </w:rPr>
              <w:t>服务内容及要求</w:t>
            </w:r>
            <w:r>
              <w:rPr>
                <w:rFonts w:hint="default" w:ascii="Times New Roman" w:hAnsi="Times New Roman" w:eastAsia="宋体" w:cs="Times New Roman"/>
                <w:kern w:val="2"/>
                <w:sz w:val="22"/>
                <w:szCs w:val="20"/>
                <w:highlight w:val="none"/>
                <w:lang w:val="en-US" w:eastAsia="zh-CN" w:bidi="ar-SA"/>
              </w:rPr>
              <w:t>”规定，将不再进行评审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681" w:hRule="atLeast"/>
        </w:trPr>
        <w:tc>
          <w:tcPr>
            <w:tcW w:w="1649" w:type="dxa"/>
            <w:gridSpan w:val="2"/>
            <w:vMerge w:val="continue"/>
            <w:tcBorders>
              <w:top w:val="nil"/>
              <w:bottom w:val="single" w:color="000000" w:sz="4" w:space="0"/>
            </w:tcBorders>
            <w:vAlign w:val="center"/>
          </w:tcPr>
          <w:p>
            <w:pPr>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p>
        </w:tc>
        <w:tc>
          <w:tcPr>
            <w:tcW w:w="1354" w:type="dxa"/>
            <w:gridSpan w:val="2"/>
            <w:tcBorders>
              <w:bottom w:val="single" w:color="000000" w:sz="4" w:space="0"/>
            </w:tcBorders>
            <w:vAlign w:val="center"/>
          </w:tcPr>
          <w:p>
            <w:pPr>
              <w:pStyle w:val="117"/>
              <w:spacing w:line="440" w:lineRule="exact"/>
              <w:ind w:firstLine="0" w:firstLineChars="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投标文件其他响应</w:t>
            </w:r>
          </w:p>
        </w:tc>
        <w:tc>
          <w:tcPr>
            <w:tcW w:w="6826" w:type="dxa"/>
            <w:gridSpan w:val="2"/>
            <w:tcBorders>
              <w:bottom w:val="single" w:color="000000" w:sz="4" w:space="0"/>
            </w:tcBorders>
            <w:vAlign w:val="center"/>
          </w:tcPr>
          <w:p>
            <w:pPr>
              <w:pStyle w:val="117"/>
              <w:spacing w:line="440" w:lineRule="exact"/>
              <w:ind w:left="105" w:leftChars="50" w:firstLine="400"/>
              <w:jc w:val="left"/>
              <w:rPr>
                <w:rFonts w:hint="default" w:ascii="Times New Roman" w:hAnsi="Times New Roman" w:eastAsia="宋体" w:cs="Times New Roman"/>
                <w:kern w:val="2"/>
                <w:sz w:val="22"/>
                <w:szCs w:val="20"/>
                <w:highlight w:val="none"/>
                <w:lang w:val="en-US" w:eastAsia="zh-CN" w:bidi="ar-SA"/>
              </w:rPr>
            </w:pPr>
            <w:r>
              <w:rPr>
                <w:rFonts w:hint="default" w:ascii="Times New Roman" w:hAnsi="Times New Roman" w:eastAsia="宋体" w:cs="Times New Roman"/>
                <w:kern w:val="2"/>
                <w:sz w:val="22"/>
                <w:szCs w:val="20"/>
                <w:highlight w:val="none"/>
                <w:lang w:val="en-US" w:eastAsia="zh-CN" w:bidi="ar-SA"/>
              </w:rPr>
              <w:t>符合法律、法规和招标文件中规定的其他实质性要求的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506" w:type="dxa"/>
          <w:trHeight w:val="1749" w:hRule="atLeast"/>
        </w:trPr>
        <w:tc>
          <w:tcPr>
            <w:tcW w:w="3224" w:type="dxa"/>
            <w:gridSpan w:val="5"/>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Cs w:val="21"/>
              </w:rPr>
            </w:pPr>
            <w:r>
              <w:rPr>
                <w:rFonts w:hint="default" w:ascii="Times New Roman" w:hAnsi="Times New Roman" w:cs="Times New Roman"/>
                <w:szCs w:val="21"/>
              </w:rPr>
              <w:t>分值构成</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firstLine="400"/>
              <w:jc w:val="center"/>
              <w:rPr>
                <w:rFonts w:hint="default" w:ascii="Times New Roman" w:hAnsi="Times New Roman" w:cs="Times New Roman"/>
                <w:szCs w:val="21"/>
              </w:rPr>
            </w:pPr>
            <w:r>
              <w:rPr>
                <w:rFonts w:hint="default" w:ascii="Times New Roman" w:hAnsi="Times New Roman" w:cs="Times New Roman"/>
                <w:szCs w:val="21"/>
              </w:rPr>
              <w:t>报价部分（30分）</w:t>
            </w:r>
          </w:p>
          <w:p>
            <w:pPr>
              <w:pStyle w:val="117"/>
              <w:spacing w:line="440" w:lineRule="exact"/>
              <w:ind w:left="105" w:leftChars="50" w:firstLine="400"/>
              <w:jc w:val="center"/>
              <w:rPr>
                <w:rFonts w:hint="default" w:ascii="Times New Roman" w:hAnsi="Times New Roman" w:cs="Times New Roman"/>
                <w:szCs w:val="21"/>
              </w:rPr>
            </w:pPr>
            <w:r>
              <w:rPr>
                <w:rFonts w:hint="default" w:ascii="Times New Roman" w:hAnsi="Times New Roman" w:cs="Times New Roman"/>
                <w:szCs w:val="21"/>
              </w:rPr>
              <w:t>技术部分（34</w:t>
            </w:r>
            <w:r>
              <w:rPr>
                <w:rFonts w:hint="default" w:ascii="Times New Roman" w:hAnsi="Times New Roman" w:cs="Times New Roman"/>
                <w:spacing w:val="-30"/>
                <w:szCs w:val="21"/>
              </w:rPr>
              <w:t xml:space="preserve"> 分</w:t>
            </w:r>
            <w:r>
              <w:rPr>
                <w:rFonts w:hint="default" w:ascii="Times New Roman" w:hAnsi="Times New Roman" w:cs="Times New Roman"/>
                <w:szCs w:val="21"/>
              </w:rPr>
              <w:t>）</w:t>
            </w:r>
          </w:p>
          <w:p>
            <w:pPr>
              <w:pStyle w:val="117"/>
              <w:spacing w:line="440" w:lineRule="exact"/>
              <w:ind w:left="105" w:leftChars="50" w:right="903" w:firstLine="400"/>
              <w:jc w:val="center"/>
              <w:rPr>
                <w:rFonts w:hint="default" w:ascii="Times New Roman" w:hAnsi="Times New Roman" w:cs="Times New Roman"/>
                <w:szCs w:val="21"/>
              </w:rPr>
            </w:pPr>
            <w:r>
              <w:rPr>
                <w:rFonts w:hint="eastAsia" w:ascii="Times New Roman" w:hAnsi="Times New Roman" w:cs="Times New Roman"/>
                <w:szCs w:val="21"/>
                <w:lang w:val="en-US" w:eastAsia="zh-CN"/>
              </w:rPr>
              <w:t xml:space="preserve">       </w:t>
            </w:r>
            <w:r>
              <w:rPr>
                <w:rFonts w:hint="default" w:ascii="Times New Roman" w:hAnsi="Times New Roman" w:cs="Times New Roman"/>
                <w:szCs w:val="21"/>
              </w:rPr>
              <w:t>商务部分（36</w:t>
            </w:r>
            <w:r>
              <w:rPr>
                <w:rFonts w:hint="default" w:ascii="Times New Roman" w:hAnsi="Times New Roman" w:cs="Times New Roman"/>
                <w:spacing w:val="-30"/>
                <w:szCs w:val="21"/>
              </w:rPr>
              <w:t>分</w:t>
            </w:r>
            <w:r>
              <w:rPr>
                <w:rFonts w:hint="default" w:ascii="Times New Roman" w:hAnsi="Times New Roman"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2978" w:type="dxa"/>
            <w:gridSpan w:val="4"/>
            <w:tcBorders>
              <w:top w:val="single" w:color="000000" w:sz="4" w:space="0"/>
              <w:bottom w:val="single" w:color="000000" w:sz="4" w:space="0"/>
              <w:right w:val="single" w:color="000000" w:sz="4" w:space="0"/>
            </w:tcBorders>
            <w:vAlign w:val="center"/>
          </w:tcPr>
          <w:p>
            <w:pPr>
              <w:pStyle w:val="117"/>
              <w:spacing w:line="440" w:lineRule="exact"/>
              <w:ind w:left="105" w:leftChars="50" w:firstLine="482"/>
              <w:jc w:val="center"/>
              <w:rPr>
                <w:rFonts w:hint="default" w:ascii="Times New Roman" w:hAnsi="Times New Roman" w:cs="Times New Roman"/>
                <w:szCs w:val="21"/>
              </w:rPr>
            </w:pPr>
            <w:r>
              <w:rPr>
                <w:rFonts w:hint="default" w:ascii="Times New Roman" w:hAnsi="Times New Roman" w:cs="Times New Roman"/>
                <w:b/>
                <w:sz w:val="24"/>
              </w:rPr>
              <w:t>评分要素</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7" w:firstLine="0" w:firstLineChars="0"/>
              <w:jc w:val="center"/>
              <w:rPr>
                <w:rFonts w:hint="default" w:ascii="Times New Roman" w:hAnsi="Times New Roman" w:cs="Times New Roman"/>
                <w:szCs w:val="21"/>
              </w:rPr>
            </w:pPr>
            <w:r>
              <w:rPr>
                <w:rFonts w:hint="default" w:ascii="Times New Roman" w:hAnsi="Times New Roman" w:cs="Times New Roman"/>
                <w:b/>
                <w:sz w:val="24"/>
              </w:rPr>
              <w:t>分值</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right="14" w:firstLine="482"/>
              <w:jc w:val="center"/>
              <w:rPr>
                <w:rFonts w:hint="default" w:ascii="Times New Roman" w:hAnsi="Times New Roman" w:cs="Times New Roman"/>
                <w:szCs w:val="21"/>
              </w:rPr>
            </w:pPr>
            <w:r>
              <w:rPr>
                <w:rFonts w:hint="default" w:ascii="Times New Roman" w:hAnsi="Times New Roman" w:cs="Times New Roman"/>
                <w:b/>
                <w:sz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7" w:hRule="atLeast"/>
        </w:trPr>
        <w:tc>
          <w:tcPr>
            <w:tcW w:w="2978" w:type="dxa"/>
            <w:gridSpan w:val="4"/>
            <w:tcBorders>
              <w:top w:val="single" w:color="000000" w:sz="4" w:space="0"/>
              <w:bottom w:val="single" w:color="000000" w:sz="4" w:space="0"/>
              <w:right w:val="single" w:color="000000" w:sz="4" w:space="0"/>
            </w:tcBorders>
            <w:vAlign w:val="center"/>
          </w:tcPr>
          <w:p>
            <w:pPr>
              <w:pStyle w:val="117"/>
              <w:spacing w:line="440" w:lineRule="exact"/>
              <w:ind w:left="105" w:leftChars="50" w:firstLine="400"/>
              <w:jc w:val="center"/>
              <w:rPr>
                <w:rFonts w:hint="default" w:ascii="Times New Roman" w:hAnsi="Times New Roman" w:cs="Times New Roman"/>
                <w:sz w:val="22"/>
                <w:szCs w:val="20"/>
              </w:rPr>
            </w:pPr>
            <w:r>
              <w:rPr>
                <w:rFonts w:hint="default" w:ascii="Times New Roman" w:hAnsi="Times New Roman" w:cs="Times New Roman"/>
                <w:sz w:val="22"/>
                <w:szCs w:val="20"/>
              </w:rPr>
              <w:t>报价部分</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highlight w:val="none"/>
              </w:rPr>
            </w:pPr>
            <w:r>
              <w:rPr>
                <w:rFonts w:hint="default" w:ascii="Times New Roman" w:hAnsi="Times New Roman" w:cs="Times New Roman"/>
                <w:sz w:val="22"/>
                <w:szCs w:val="20"/>
                <w:highlight w:val="none"/>
              </w:rPr>
              <w:t>30分</w:t>
            </w:r>
          </w:p>
        </w:tc>
        <w:tc>
          <w:tcPr>
            <w:tcW w:w="6605" w:type="dxa"/>
            <w:tcBorders>
              <w:top w:val="single" w:color="000000" w:sz="4" w:space="0"/>
              <w:left w:val="single" w:color="000000" w:sz="4" w:space="0"/>
              <w:bottom w:val="single" w:color="000000" w:sz="4" w:space="0"/>
            </w:tcBorders>
            <w:vAlign w:val="center"/>
          </w:tcPr>
          <w:p>
            <w:pPr>
              <w:pStyle w:val="117"/>
              <w:numPr>
                <w:ilvl w:val="0"/>
                <w:numId w:val="8"/>
              </w:numPr>
              <w:spacing w:line="240" w:lineRule="auto"/>
              <w:ind w:left="0" w:leftChars="0" w:firstLine="400" w:firstLineChars="0"/>
              <w:rPr>
                <w:rFonts w:hint="eastAsia" w:ascii="Times New Roman" w:hAnsi="Times New Roman" w:cs="Times New Roman"/>
                <w:sz w:val="22"/>
                <w:szCs w:val="20"/>
                <w:highlight w:val="none"/>
                <w:lang w:eastAsia="zh-CN"/>
              </w:rPr>
            </w:pPr>
            <w:r>
              <w:rPr>
                <w:rFonts w:hint="default" w:ascii="Times New Roman" w:hAnsi="Times New Roman" w:cs="Times New Roman"/>
                <w:sz w:val="22"/>
                <w:szCs w:val="20"/>
                <w:highlight w:val="none"/>
              </w:rPr>
              <w:t>对通过初审的投标人报价（总投资），以满足招标文件要求（总投资8000万）且总投资最高的报价为评标基准价，其得分为满分，其他投标人的报价得分按照以下公式计算：报价得分=（投标报价/评标基准价）×</w:t>
            </w:r>
            <w:r>
              <w:rPr>
                <w:rFonts w:hint="eastAsia" w:ascii="Times New Roman" w:hAnsi="Times New Roman" w:cs="Times New Roman"/>
                <w:sz w:val="22"/>
                <w:szCs w:val="20"/>
                <w:highlight w:val="none"/>
                <w:lang w:val="en-US" w:eastAsia="zh-CN"/>
              </w:rPr>
              <w:t>20</w:t>
            </w:r>
            <w:r>
              <w:rPr>
                <w:rFonts w:hint="default" w:ascii="Times New Roman" w:hAnsi="Times New Roman" w:cs="Times New Roman"/>
                <w:sz w:val="22"/>
                <w:szCs w:val="20"/>
                <w:highlight w:val="none"/>
              </w:rPr>
              <w:t>(最终计算分值保留小数点后两位)</w:t>
            </w:r>
            <w:r>
              <w:rPr>
                <w:rFonts w:hint="eastAsia" w:ascii="Times New Roman" w:hAnsi="Times New Roman" w:cs="Times New Roman"/>
                <w:sz w:val="22"/>
                <w:szCs w:val="20"/>
                <w:highlight w:val="none"/>
                <w:lang w:eastAsia="zh-CN"/>
              </w:rPr>
              <w:t>（</w:t>
            </w:r>
            <w:r>
              <w:rPr>
                <w:rFonts w:hint="eastAsia" w:ascii="Times New Roman" w:hAnsi="Times New Roman" w:cs="Times New Roman"/>
                <w:sz w:val="22"/>
                <w:szCs w:val="20"/>
                <w:highlight w:val="none"/>
                <w:lang w:val="en-US" w:eastAsia="zh-CN"/>
              </w:rPr>
              <w:t>20分</w:t>
            </w:r>
            <w:r>
              <w:rPr>
                <w:rFonts w:hint="eastAsia" w:ascii="Times New Roman" w:hAnsi="Times New Roman" w:cs="Times New Roman"/>
                <w:sz w:val="22"/>
                <w:szCs w:val="20"/>
                <w:highlight w:val="none"/>
                <w:lang w:eastAsia="zh-CN"/>
              </w:rPr>
              <w:t>）</w:t>
            </w:r>
          </w:p>
          <w:p>
            <w:pPr>
              <w:pStyle w:val="117"/>
              <w:numPr>
                <w:ilvl w:val="0"/>
                <w:numId w:val="8"/>
              </w:numPr>
              <w:spacing w:line="240" w:lineRule="auto"/>
              <w:ind w:left="0" w:leftChars="0" w:firstLine="400" w:firstLineChars="0"/>
              <w:rPr>
                <w:rFonts w:hint="eastAsia" w:ascii="Times New Roman" w:hAnsi="Times New Roman" w:cs="Times New Roman"/>
                <w:sz w:val="22"/>
                <w:szCs w:val="20"/>
                <w:highlight w:val="none"/>
                <w:lang w:eastAsia="zh-CN"/>
              </w:rPr>
            </w:pPr>
            <w:r>
              <w:rPr>
                <w:rFonts w:hint="eastAsia" w:ascii="Times New Roman" w:hAnsi="Times New Roman" w:cs="Times New Roman"/>
                <w:sz w:val="22"/>
                <w:szCs w:val="20"/>
                <w:highlight w:val="none"/>
                <w:lang w:eastAsia="zh-CN"/>
              </w:rPr>
              <w:t>建筑垃圾处置费（不包括清运费）按吨计收，不高于每吨</w:t>
            </w:r>
            <w:r>
              <w:rPr>
                <w:rFonts w:hint="eastAsia" w:ascii="Times New Roman" w:hAnsi="Times New Roman" w:cs="Times New Roman"/>
                <w:sz w:val="22"/>
                <w:szCs w:val="20"/>
                <w:highlight w:val="none"/>
                <w:lang w:val="en-US" w:eastAsia="zh-CN"/>
              </w:rPr>
              <w:t>6元。以最低的报价为评标基准价，其得分为满分，其他</w:t>
            </w:r>
            <w:r>
              <w:rPr>
                <w:rFonts w:hint="default" w:ascii="Times New Roman" w:hAnsi="Times New Roman" w:cs="Times New Roman"/>
                <w:sz w:val="22"/>
                <w:szCs w:val="20"/>
                <w:highlight w:val="none"/>
              </w:rPr>
              <w:t>其他投标人的报价得分按照以下公式计算：报价得分=</w:t>
            </w:r>
            <w:r>
              <w:rPr>
                <w:rFonts w:hint="eastAsia" w:ascii="Times New Roman" w:hAnsi="Times New Roman" w:cs="Times New Roman"/>
                <w:sz w:val="22"/>
                <w:szCs w:val="20"/>
                <w:highlight w:val="none"/>
                <w:lang w:eastAsia="zh-CN"/>
              </w:rPr>
              <w:t>（</w:t>
            </w:r>
            <w:r>
              <w:rPr>
                <w:rFonts w:hint="default" w:ascii="Times New Roman" w:hAnsi="Times New Roman" w:cs="Times New Roman"/>
                <w:sz w:val="22"/>
                <w:szCs w:val="20"/>
                <w:highlight w:val="none"/>
              </w:rPr>
              <w:t>评标基准价/投标报价</w:t>
            </w:r>
            <w:r>
              <w:rPr>
                <w:rFonts w:hint="eastAsia" w:ascii="Times New Roman" w:hAnsi="Times New Roman" w:cs="Times New Roman"/>
                <w:sz w:val="22"/>
                <w:szCs w:val="20"/>
                <w:highlight w:val="none"/>
                <w:lang w:eastAsia="zh-CN"/>
              </w:rPr>
              <w:t>）</w:t>
            </w:r>
            <w:r>
              <w:rPr>
                <w:rFonts w:hint="default" w:ascii="Times New Roman" w:hAnsi="Times New Roman" w:cs="Times New Roman"/>
                <w:sz w:val="22"/>
                <w:szCs w:val="20"/>
                <w:highlight w:val="none"/>
              </w:rPr>
              <w:t>×</w:t>
            </w:r>
            <w:r>
              <w:rPr>
                <w:rFonts w:hint="eastAsia" w:ascii="Times New Roman" w:hAnsi="Times New Roman" w:cs="Times New Roman"/>
                <w:sz w:val="22"/>
                <w:szCs w:val="20"/>
                <w:highlight w:val="none"/>
                <w:lang w:val="en-US" w:eastAsia="zh-CN"/>
              </w:rPr>
              <w:t>10</w:t>
            </w:r>
            <w:r>
              <w:rPr>
                <w:rFonts w:hint="default" w:ascii="Times New Roman" w:hAnsi="Times New Roman" w:cs="Times New Roman"/>
                <w:sz w:val="22"/>
                <w:szCs w:val="20"/>
                <w:highlight w:val="none"/>
              </w:rPr>
              <w:t>(最终计算分值保留小数点后两位)</w:t>
            </w:r>
            <w:r>
              <w:rPr>
                <w:rFonts w:hint="eastAsia" w:ascii="Times New Roman" w:hAnsi="Times New Roman" w:cs="Times New Roman"/>
                <w:sz w:val="22"/>
                <w:szCs w:val="20"/>
                <w:highlight w:val="none"/>
                <w:lang w:eastAsia="zh-CN"/>
              </w:rPr>
              <w:t>（</w:t>
            </w:r>
            <w:r>
              <w:rPr>
                <w:rFonts w:hint="eastAsia" w:ascii="Times New Roman" w:hAnsi="Times New Roman" w:cs="Times New Roman"/>
                <w:sz w:val="22"/>
                <w:szCs w:val="20"/>
                <w:highlight w:val="none"/>
                <w:lang w:val="en-US" w:eastAsia="zh-CN"/>
              </w:rPr>
              <w:t>10分</w:t>
            </w:r>
            <w:r>
              <w:rPr>
                <w:rFonts w:hint="eastAsia" w:ascii="Times New Roman" w:hAnsi="Times New Roman" w:cs="Times New Roman"/>
                <w:sz w:val="22"/>
                <w:szCs w:val="20"/>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3" w:hRule="atLeast"/>
        </w:trPr>
        <w:tc>
          <w:tcPr>
            <w:tcW w:w="1308" w:type="dxa"/>
            <w:gridSpan w:val="2"/>
            <w:vMerge w:val="restart"/>
            <w:tcBorders>
              <w:top w:val="single" w:color="000000" w:sz="4" w:space="0"/>
              <w:bottom w:val="single" w:color="000000" w:sz="4" w:space="0"/>
              <w:right w:val="single" w:color="000000" w:sz="4" w:space="0"/>
            </w:tcBorders>
            <w:vAlign w:val="center"/>
          </w:tcPr>
          <w:p>
            <w:pPr>
              <w:pStyle w:val="117"/>
              <w:spacing w:line="440" w:lineRule="exact"/>
              <w:ind w:right="304" w:firstLine="0" w:firstLineChars="0"/>
              <w:rPr>
                <w:rFonts w:hint="default" w:ascii="Times New Roman" w:hAnsi="Times New Roman" w:cs="Times New Roman"/>
                <w:sz w:val="22"/>
                <w:szCs w:val="20"/>
              </w:rPr>
            </w:pPr>
            <w:r>
              <w:rPr>
                <w:rFonts w:hint="default" w:ascii="Times New Roman" w:hAnsi="Times New Roman" w:cs="Times New Roman"/>
                <w:sz w:val="22"/>
                <w:szCs w:val="20"/>
              </w:rPr>
              <w:t>技术部分（34</w:t>
            </w:r>
            <w:r>
              <w:rPr>
                <w:rFonts w:hint="default" w:ascii="Times New Roman" w:hAnsi="Times New Roman" w:cs="Times New Roman"/>
                <w:spacing w:val="-33"/>
                <w:sz w:val="22"/>
                <w:szCs w:val="20"/>
              </w:rPr>
              <w:t>分</w:t>
            </w:r>
            <w:r>
              <w:rPr>
                <w:rFonts w:hint="default" w:ascii="Times New Roman" w:hAnsi="Times New Roman" w:cs="Times New Roman"/>
                <w:spacing w:val="-11"/>
                <w:sz w:val="22"/>
                <w:szCs w:val="20"/>
              </w:rPr>
              <w:t>）</w:t>
            </w: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129" w:firstLine="0" w:firstLineChars="0"/>
              <w:jc w:val="center"/>
              <w:rPr>
                <w:rFonts w:hint="default" w:ascii="Times New Roman" w:hAnsi="Times New Roman" w:cs="Times New Roman"/>
                <w:sz w:val="22"/>
                <w:szCs w:val="20"/>
              </w:rPr>
            </w:pPr>
            <w:r>
              <w:rPr>
                <w:rFonts w:hint="default" w:ascii="Times New Roman" w:hAnsi="Times New Roman" w:cs="Times New Roman"/>
                <w:spacing w:val="-4"/>
                <w:sz w:val="22"/>
                <w:szCs w:val="20"/>
              </w:rPr>
              <w:t>建筑垃圾收集、处理设备及生产工</w:t>
            </w:r>
            <w:r>
              <w:rPr>
                <w:rFonts w:hint="default" w:ascii="Times New Roman" w:hAnsi="Times New Roman" w:cs="Times New Roman"/>
                <w:sz w:val="22"/>
                <w:szCs w:val="20"/>
              </w:rPr>
              <w:t>艺技术情况</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10分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right="85" w:firstLine="400"/>
              <w:rPr>
                <w:rFonts w:hint="default" w:ascii="Times New Roman" w:hAnsi="Times New Roman" w:cs="Times New Roman"/>
                <w:sz w:val="22"/>
                <w:szCs w:val="20"/>
              </w:rPr>
            </w:pPr>
            <w:r>
              <w:rPr>
                <w:rFonts w:hint="default" w:ascii="Times New Roman" w:hAnsi="Times New Roman" w:cs="Times New Roman"/>
                <w:sz w:val="22"/>
                <w:szCs w:val="20"/>
              </w:rPr>
              <w:t>根据建筑垃圾管理经验、建筑垃圾处理设备（破碎、筛选、再生产品生产、除杂和环保等）齐全性、先进性和处理能力，生产工艺技术水平进行评分。方案优者得7-10分、良好者得3-6分、一般者得0-3分。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1"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129"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设计方案</w:t>
            </w:r>
          </w:p>
          <w:p>
            <w:pPr>
              <w:pStyle w:val="117"/>
              <w:spacing w:line="440" w:lineRule="exact"/>
              <w:ind w:right="129"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及工艺</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10分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right="91" w:firstLine="392"/>
              <w:rPr>
                <w:rFonts w:hint="default" w:ascii="Times New Roman" w:hAnsi="Times New Roman" w:cs="Times New Roman"/>
                <w:sz w:val="22"/>
                <w:szCs w:val="20"/>
              </w:rPr>
            </w:pPr>
            <w:r>
              <w:rPr>
                <w:rFonts w:hint="default" w:ascii="Times New Roman" w:hAnsi="Times New Roman" w:cs="Times New Roman"/>
                <w:spacing w:val="-2"/>
                <w:sz w:val="22"/>
                <w:szCs w:val="20"/>
              </w:rPr>
              <w:t>设计方案科学实用，总图布局合理，工艺选择技术可行经济合理，熟悉周边环境，适应博爱县当地发展建设模</w:t>
            </w:r>
            <w:r>
              <w:rPr>
                <w:rFonts w:hint="default" w:ascii="Times New Roman" w:hAnsi="Times New Roman" w:cs="Times New Roman"/>
                <w:spacing w:val="-4"/>
                <w:sz w:val="22"/>
                <w:szCs w:val="20"/>
              </w:rPr>
              <w:t>式。</w:t>
            </w:r>
            <w:r>
              <w:rPr>
                <w:rFonts w:hint="default" w:ascii="Times New Roman" w:hAnsi="Times New Roman" w:cs="Times New Roman"/>
                <w:sz w:val="22"/>
                <w:szCs w:val="20"/>
              </w:rPr>
              <w:t>方案优者得7-10分、良好者得3-6分、一般者得0-3分。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项目建设管理</w:t>
            </w:r>
          </w:p>
          <w:p>
            <w:pPr>
              <w:pStyle w:val="117"/>
              <w:spacing w:line="440" w:lineRule="exact"/>
              <w:ind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方案</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5分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right="14"/>
              <w:rPr>
                <w:rFonts w:hint="default" w:ascii="Times New Roman" w:hAnsi="Times New Roman" w:cs="Times New Roman"/>
                <w:sz w:val="22"/>
                <w:szCs w:val="20"/>
              </w:rPr>
            </w:pPr>
            <w:r>
              <w:rPr>
                <w:rFonts w:hint="default" w:ascii="Times New Roman" w:hAnsi="Times New Roman" w:cs="Times New Roman"/>
                <w:sz w:val="22"/>
                <w:szCs w:val="20"/>
              </w:rPr>
              <w:t>建设管理方案整体编制详细，科学合理，酌情 1-5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firstLine="0" w:firstLineChars="0"/>
              <w:jc w:val="center"/>
              <w:rPr>
                <w:rFonts w:hint="default" w:ascii="Times New Roman" w:hAnsi="Times New Roman" w:cs="Times New Roman"/>
                <w:kern w:val="2"/>
                <w:sz w:val="20"/>
                <w:szCs w:val="20"/>
              </w:rPr>
            </w:pPr>
            <w:r>
              <w:rPr>
                <w:rFonts w:hint="default" w:ascii="Times New Roman" w:hAnsi="Times New Roman" w:cs="Times New Roman"/>
                <w:kern w:val="2"/>
                <w:sz w:val="20"/>
                <w:szCs w:val="20"/>
              </w:rPr>
              <w:t>质量检测实验室</w:t>
            </w:r>
          </w:p>
          <w:p>
            <w:pPr>
              <w:pStyle w:val="117"/>
              <w:spacing w:line="440" w:lineRule="exact"/>
              <w:ind w:firstLine="0" w:firstLineChars="0"/>
              <w:jc w:val="center"/>
              <w:rPr>
                <w:rFonts w:hint="default" w:ascii="Times New Roman" w:hAnsi="Times New Roman" w:cs="Times New Roman"/>
                <w:sz w:val="22"/>
                <w:szCs w:val="20"/>
              </w:rPr>
            </w:pPr>
            <w:r>
              <w:rPr>
                <w:rFonts w:hint="default" w:ascii="Times New Roman" w:hAnsi="Times New Roman" w:cs="Times New Roman"/>
                <w:kern w:val="2"/>
                <w:sz w:val="20"/>
                <w:szCs w:val="20"/>
              </w:rPr>
              <w:t>建设</w:t>
            </w:r>
            <w:r>
              <w:rPr>
                <w:rFonts w:hint="default" w:ascii="Times New Roman" w:hAnsi="Times New Roman" w:cs="Times New Roman"/>
                <w:sz w:val="22"/>
                <w:szCs w:val="20"/>
              </w:rPr>
              <w:t>方案</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4分</w:t>
            </w:r>
          </w:p>
        </w:tc>
        <w:tc>
          <w:tcPr>
            <w:tcW w:w="6605" w:type="dxa"/>
            <w:tcBorders>
              <w:top w:val="single" w:color="000000" w:sz="4" w:space="0"/>
              <w:left w:val="single" w:color="000000" w:sz="4" w:space="0"/>
              <w:bottom w:val="single" w:color="000000" w:sz="4" w:space="0"/>
            </w:tcBorders>
            <w:vAlign w:val="center"/>
          </w:tcPr>
          <w:p>
            <w:pPr>
              <w:spacing w:line="560" w:lineRule="exact"/>
              <w:rPr>
                <w:rFonts w:hint="default" w:ascii="Times New Roman" w:hAnsi="Times New Roman" w:cs="Times New Roman"/>
                <w:kern w:val="2"/>
                <w:sz w:val="20"/>
                <w:szCs w:val="20"/>
              </w:rPr>
            </w:pPr>
            <w:r>
              <w:rPr>
                <w:rFonts w:hint="default" w:ascii="Times New Roman" w:hAnsi="Times New Roman" w:cs="Times New Roman"/>
                <w:sz w:val="20"/>
                <w:szCs w:val="20"/>
              </w:rPr>
              <w:t>配备相关产品质量检测实验室，方案良好得3-4分、一般者得1-2分。</w:t>
            </w:r>
          </w:p>
          <w:p>
            <w:pPr>
              <w:pStyle w:val="117"/>
              <w:spacing w:line="440" w:lineRule="exact"/>
              <w:ind w:left="105" w:leftChars="50" w:right="14" w:firstLine="400"/>
              <w:rPr>
                <w:rFonts w:hint="default" w:ascii="Times New Roman" w:hAnsi="Times New Roman" w:cs="Times New Roman"/>
                <w:sz w:val="2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129"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运营与维护</w:t>
            </w:r>
          </w:p>
          <w:p>
            <w:pPr>
              <w:pStyle w:val="117"/>
              <w:spacing w:line="440" w:lineRule="exact"/>
              <w:ind w:right="129"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方案</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2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5分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right="88"/>
              <w:rPr>
                <w:rFonts w:hint="default" w:ascii="Times New Roman" w:hAnsi="Times New Roman" w:cs="Times New Roman"/>
                <w:sz w:val="22"/>
                <w:szCs w:val="20"/>
              </w:rPr>
            </w:pPr>
            <w:r>
              <w:rPr>
                <w:rFonts w:hint="default" w:ascii="Times New Roman" w:hAnsi="Times New Roman" w:cs="Times New Roman"/>
                <w:sz w:val="22"/>
                <w:szCs w:val="20"/>
              </w:rPr>
              <w:t>根据运营维护方案的完整性、经济性、可行性， 酌情给 1-5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restart"/>
            <w:tcBorders>
              <w:top w:val="single" w:color="000000" w:sz="4" w:space="0"/>
              <w:bottom w:val="single" w:color="000000" w:sz="4" w:space="0"/>
              <w:right w:val="single" w:color="000000" w:sz="4" w:space="0"/>
            </w:tcBorders>
            <w:vAlign w:val="center"/>
          </w:tcPr>
          <w:p>
            <w:pPr>
              <w:pStyle w:val="117"/>
              <w:spacing w:line="440" w:lineRule="exact"/>
              <w:ind w:left="105" w:leftChars="50" w:firstLine="400"/>
              <w:jc w:val="center"/>
              <w:rPr>
                <w:rFonts w:hint="default" w:ascii="Times New Roman" w:hAnsi="Times New Roman" w:cs="Times New Roman"/>
                <w:sz w:val="22"/>
                <w:szCs w:val="20"/>
              </w:rPr>
            </w:pPr>
          </w:p>
          <w:p>
            <w:pPr>
              <w:pStyle w:val="117"/>
              <w:spacing w:line="440" w:lineRule="exact"/>
              <w:ind w:left="105" w:leftChars="50" w:firstLine="400"/>
              <w:jc w:val="center"/>
              <w:rPr>
                <w:rFonts w:hint="default" w:ascii="Times New Roman" w:hAnsi="Times New Roman" w:cs="Times New Roman"/>
                <w:sz w:val="22"/>
                <w:szCs w:val="20"/>
              </w:rPr>
            </w:pPr>
          </w:p>
          <w:p>
            <w:pPr>
              <w:pStyle w:val="117"/>
              <w:spacing w:line="440" w:lineRule="exact"/>
              <w:ind w:right="304" w:firstLine="0" w:firstLineChars="0"/>
              <w:jc w:val="center"/>
              <w:rPr>
                <w:rFonts w:hint="default" w:ascii="Times New Roman" w:hAnsi="Times New Roman" w:cs="Times New Roman"/>
                <w:sz w:val="22"/>
                <w:szCs w:val="20"/>
              </w:rPr>
            </w:pPr>
          </w:p>
          <w:p>
            <w:pPr>
              <w:pStyle w:val="117"/>
              <w:spacing w:line="440" w:lineRule="exact"/>
              <w:ind w:right="304" w:firstLine="0" w:firstLineChars="0"/>
              <w:jc w:val="center"/>
              <w:rPr>
                <w:rFonts w:hint="default" w:ascii="Times New Roman" w:hAnsi="Times New Roman" w:cs="Times New Roman"/>
                <w:sz w:val="22"/>
                <w:szCs w:val="20"/>
              </w:rPr>
            </w:pPr>
          </w:p>
          <w:p>
            <w:pPr>
              <w:pStyle w:val="117"/>
              <w:spacing w:line="440" w:lineRule="exact"/>
              <w:ind w:right="304" w:firstLine="0" w:firstLineChars="0"/>
              <w:jc w:val="center"/>
              <w:rPr>
                <w:rFonts w:hint="default" w:ascii="Times New Roman" w:hAnsi="Times New Roman" w:cs="Times New Roman"/>
                <w:sz w:val="22"/>
                <w:szCs w:val="20"/>
              </w:rPr>
            </w:pPr>
          </w:p>
          <w:p>
            <w:pPr>
              <w:pStyle w:val="117"/>
              <w:spacing w:line="440" w:lineRule="exact"/>
              <w:ind w:right="304" w:firstLine="0" w:firstLineChars="0"/>
              <w:jc w:val="center"/>
              <w:rPr>
                <w:rFonts w:hint="default" w:ascii="Times New Roman" w:hAnsi="Times New Roman" w:cs="Times New Roman"/>
                <w:sz w:val="22"/>
                <w:szCs w:val="20"/>
              </w:rPr>
            </w:pPr>
          </w:p>
          <w:p>
            <w:pPr>
              <w:pStyle w:val="117"/>
              <w:spacing w:line="440" w:lineRule="exact"/>
              <w:ind w:right="304"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商务部分</w:t>
            </w:r>
          </w:p>
          <w:p>
            <w:pPr>
              <w:pStyle w:val="117"/>
              <w:spacing w:line="440" w:lineRule="exact"/>
              <w:ind w:right="-29" w:firstLine="0" w:firstLineChars="0"/>
              <w:jc w:val="both"/>
              <w:rPr>
                <w:rFonts w:hint="default" w:ascii="Times New Roman" w:hAnsi="Times New Roman" w:cs="Times New Roman"/>
                <w:sz w:val="22"/>
                <w:szCs w:val="20"/>
              </w:rPr>
            </w:pPr>
            <w:r>
              <w:rPr>
                <w:rFonts w:hint="default" w:ascii="Times New Roman" w:hAnsi="Times New Roman" w:cs="Times New Roman"/>
                <w:sz w:val="22"/>
                <w:szCs w:val="20"/>
              </w:rPr>
              <w:t>（36</w:t>
            </w:r>
            <w:r>
              <w:rPr>
                <w:rFonts w:hint="default" w:ascii="Times New Roman" w:hAnsi="Times New Roman" w:cs="Times New Roman"/>
                <w:spacing w:val="-33"/>
                <w:sz w:val="22"/>
                <w:szCs w:val="20"/>
              </w:rPr>
              <w:t>分</w:t>
            </w:r>
            <w:r>
              <w:rPr>
                <w:rFonts w:hint="default" w:ascii="Times New Roman" w:hAnsi="Times New Roman" w:cs="Times New Roman"/>
                <w:spacing w:val="-11"/>
                <w:sz w:val="22"/>
                <w:szCs w:val="20"/>
              </w:rPr>
              <w:t>）</w:t>
            </w: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129"/>
              <w:jc w:val="both"/>
              <w:rPr>
                <w:rFonts w:hint="default" w:ascii="Times New Roman" w:hAnsi="Times New Roman" w:cs="Times New Roman"/>
                <w:sz w:val="22"/>
                <w:szCs w:val="20"/>
              </w:rPr>
            </w:pPr>
            <w:r>
              <w:rPr>
                <w:rFonts w:hint="default" w:ascii="Times New Roman" w:hAnsi="Times New Roman" w:cs="Times New Roman"/>
                <w:sz w:val="22"/>
                <w:szCs w:val="20"/>
              </w:rPr>
              <w:t>建筑垃圾处置及资源化再利用项目的建设自有建筑资质</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7分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firstLine="400"/>
              <w:rPr>
                <w:rFonts w:hint="default" w:ascii="Times New Roman" w:hAnsi="Times New Roman" w:cs="Times New Roman"/>
                <w:sz w:val="22"/>
                <w:szCs w:val="20"/>
              </w:rPr>
            </w:pPr>
            <w:r>
              <w:rPr>
                <w:rFonts w:hint="default" w:ascii="Times New Roman" w:hAnsi="Times New Roman" w:cs="Times New Roman"/>
                <w:sz w:val="22"/>
                <w:szCs w:val="22"/>
              </w:rPr>
              <w:t>资质证书：企业具有环保工程专业承包的得3分，具有建筑工程施工总承包的得1分，具有地基基础工程专业承包的得1分，具有市政公用工程施工总承包的得1分，具有钢结构工程专业承包的得1分。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left="105" w:leftChars="50" w:right="249" w:firstLine="400"/>
              <w:jc w:val="center"/>
              <w:rPr>
                <w:rFonts w:hint="default" w:ascii="Times New Roman" w:hAnsi="Times New Roman" w:cs="Times New Roman"/>
                <w:sz w:val="22"/>
                <w:szCs w:val="20"/>
              </w:rPr>
            </w:pPr>
            <w:r>
              <w:rPr>
                <w:rFonts w:hint="default" w:ascii="Times New Roman" w:hAnsi="Times New Roman" w:cs="Times New Roman"/>
                <w:sz w:val="22"/>
                <w:szCs w:val="20"/>
              </w:rPr>
              <w:t>自有资金情况</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5分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right="96" w:firstLine="336"/>
              <w:rPr>
                <w:rFonts w:hint="default" w:ascii="Times New Roman" w:hAnsi="Times New Roman" w:cs="Times New Roman"/>
                <w:sz w:val="22"/>
                <w:szCs w:val="20"/>
              </w:rPr>
            </w:pPr>
            <w:r>
              <w:rPr>
                <w:rFonts w:hint="default" w:ascii="Times New Roman" w:hAnsi="Times New Roman" w:cs="Times New Roman"/>
                <w:spacing w:val="-16"/>
                <w:sz w:val="22"/>
                <w:szCs w:val="20"/>
              </w:rPr>
              <w:t>能提供自有资本金（不低于2000万元）证明者得5分，不提供者不得分。（提供</w:t>
            </w:r>
            <w:r>
              <w:rPr>
                <w:rFonts w:hint="default" w:ascii="Times New Roman" w:hAnsi="Times New Roman" w:cs="Times New Roman"/>
                <w:spacing w:val="-16"/>
                <w:sz w:val="22"/>
                <w:szCs w:val="20"/>
                <w:lang w:eastAsia="zh-CN"/>
              </w:rPr>
              <w:t>开标前</w:t>
            </w:r>
            <w:r>
              <w:rPr>
                <w:rFonts w:hint="default" w:ascii="Times New Roman" w:hAnsi="Times New Roman" w:cs="Times New Roman"/>
                <w:spacing w:val="-16"/>
                <w:sz w:val="22"/>
                <w:szCs w:val="20"/>
                <w:lang w:val="en-US" w:eastAsia="zh-CN"/>
              </w:rPr>
              <w:t>3个月内</w:t>
            </w:r>
            <w:r>
              <w:rPr>
                <w:rFonts w:hint="default" w:ascii="Times New Roman" w:hAnsi="Times New Roman" w:cs="Times New Roman"/>
                <w:spacing w:val="-16"/>
                <w:sz w:val="22"/>
                <w:szCs w:val="20"/>
              </w:rPr>
              <w:t>银行对公账户的存款证明及企业用于本项目资金的承诺，承诺的自有资金必须按实际的投资计划及时到位。）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left="105" w:leftChars="50" w:right="249" w:firstLine="400"/>
              <w:jc w:val="center"/>
              <w:rPr>
                <w:rFonts w:hint="default" w:ascii="Times New Roman" w:hAnsi="Times New Roman" w:cs="Times New Roman"/>
                <w:sz w:val="22"/>
                <w:szCs w:val="20"/>
              </w:rPr>
            </w:pPr>
            <w:r>
              <w:rPr>
                <w:rFonts w:hint="default" w:ascii="Times New Roman" w:hAnsi="Times New Roman" w:cs="Times New Roman"/>
                <w:sz w:val="22"/>
                <w:szCs w:val="20"/>
              </w:rPr>
              <w:t>技术能力</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10分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firstLine="400"/>
              <w:rPr>
                <w:rFonts w:hint="default" w:ascii="Times New Roman" w:hAnsi="Times New Roman" w:cs="Times New Roman"/>
                <w:sz w:val="22"/>
                <w:szCs w:val="20"/>
              </w:rPr>
            </w:pPr>
            <w:r>
              <w:rPr>
                <w:rFonts w:hint="default" w:ascii="Times New Roman" w:hAnsi="Times New Roman" w:cs="Times New Roman"/>
                <w:sz w:val="22"/>
                <w:szCs w:val="20"/>
              </w:rPr>
              <w:t>具有注册建造</w:t>
            </w:r>
            <w:r>
              <w:rPr>
                <w:rFonts w:hint="default" w:ascii="Times New Roman" w:hAnsi="Times New Roman" w:cs="Times New Roman"/>
                <w:sz w:val="22"/>
                <w:szCs w:val="22"/>
              </w:rPr>
              <w:t>师资格证书的得2分，具有高级工程师证书的得2分，具有中级工程师证书的得1分，每有一人按相应分值得分，满分10分。（需提供连续三个月及以上的社保，不提供者不得分）。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left="105" w:leftChars="50" w:firstLine="400"/>
              <w:jc w:val="both"/>
              <w:rPr>
                <w:rFonts w:hint="default" w:ascii="Times New Roman" w:hAnsi="Times New Roman" w:cs="Times New Roman"/>
                <w:sz w:val="22"/>
                <w:szCs w:val="22"/>
              </w:rPr>
            </w:pPr>
            <w:r>
              <w:rPr>
                <w:rFonts w:hint="default" w:ascii="Times New Roman" w:hAnsi="Times New Roman" w:cs="Times New Roman"/>
                <w:sz w:val="22"/>
                <w:szCs w:val="22"/>
              </w:rPr>
              <w:t>纳税信用</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4分</w:t>
            </w:r>
          </w:p>
        </w:tc>
        <w:tc>
          <w:tcPr>
            <w:tcW w:w="6605" w:type="dxa"/>
            <w:tcBorders>
              <w:top w:val="single" w:color="000000" w:sz="4" w:space="0"/>
              <w:left w:val="single" w:color="000000" w:sz="4" w:space="0"/>
              <w:bottom w:val="single" w:color="000000" w:sz="4" w:space="0"/>
            </w:tcBorders>
            <w:vAlign w:val="center"/>
          </w:tcPr>
          <w:p>
            <w:pPr>
              <w:pStyle w:val="117"/>
              <w:spacing w:line="440" w:lineRule="exact"/>
              <w:ind w:left="105" w:leftChars="50" w:firstLine="400"/>
              <w:rPr>
                <w:rFonts w:hint="default" w:ascii="Times New Roman" w:hAnsi="Times New Roman" w:cs="Times New Roman"/>
                <w:sz w:val="22"/>
                <w:szCs w:val="20"/>
              </w:rPr>
            </w:pPr>
            <w:r>
              <w:rPr>
                <w:rFonts w:hint="default" w:ascii="Times New Roman" w:hAnsi="Times New Roman" w:cs="Times New Roman"/>
                <w:sz w:val="22"/>
                <w:szCs w:val="22"/>
              </w:rPr>
              <w:t>纳税信用等级证明：投标企业提供近二年（2019-2020）纳税信用等级证明，A级得2分，B级得1分（每提供一份按对应等级得分），满分为4分。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bottom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left="105" w:leftChars="50" w:right="249" w:firstLine="220" w:firstLineChars="100"/>
              <w:jc w:val="center"/>
              <w:rPr>
                <w:rFonts w:hint="default" w:ascii="Times New Roman" w:hAnsi="Times New Roman" w:cs="Times New Roman"/>
                <w:sz w:val="22"/>
                <w:szCs w:val="20"/>
              </w:rPr>
            </w:pPr>
            <w:r>
              <w:rPr>
                <w:rFonts w:hint="default" w:ascii="Times New Roman" w:hAnsi="Times New Roman" w:cs="Times New Roman"/>
                <w:sz w:val="22"/>
                <w:szCs w:val="20"/>
              </w:rPr>
              <w:t>财务状况</w:t>
            </w:r>
          </w:p>
        </w:tc>
        <w:tc>
          <w:tcPr>
            <w:tcW w:w="752" w:type="dxa"/>
            <w:gridSpan w:val="2"/>
            <w:tcBorders>
              <w:top w:val="single" w:color="000000" w:sz="4" w:space="0"/>
              <w:left w:val="single" w:color="000000" w:sz="4" w:space="0"/>
              <w:bottom w:val="single" w:color="000000" w:sz="4" w:space="0"/>
              <w:right w:val="single" w:color="000000" w:sz="4" w:space="0"/>
            </w:tcBorders>
            <w:vAlign w:val="center"/>
          </w:tcPr>
          <w:p>
            <w:pPr>
              <w:pStyle w:val="117"/>
              <w:spacing w:line="440" w:lineRule="exact"/>
              <w:ind w:right="2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5分</w:t>
            </w:r>
          </w:p>
        </w:tc>
        <w:tc>
          <w:tcPr>
            <w:tcW w:w="6605" w:type="dxa"/>
            <w:tcBorders>
              <w:top w:val="single" w:color="000000" w:sz="4" w:space="0"/>
              <w:left w:val="single" w:color="000000" w:sz="4" w:space="0"/>
              <w:bottom w:val="single" w:color="000000" w:sz="4" w:space="0"/>
            </w:tcBorders>
            <w:vAlign w:val="center"/>
          </w:tcPr>
          <w:p>
            <w:pPr>
              <w:pStyle w:val="117"/>
              <w:kinsoku w:val="0"/>
              <w:overflowPunct w:val="0"/>
              <w:spacing w:before="139"/>
              <w:ind w:firstLine="400"/>
              <w:rPr>
                <w:rFonts w:hint="default" w:ascii="Times New Roman" w:hAnsi="Times New Roman" w:cs="Times New Roman"/>
                <w:sz w:val="22"/>
                <w:szCs w:val="20"/>
              </w:rPr>
            </w:pPr>
            <w:r>
              <w:rPr>
                <w:rFonts w:hint="default" w:ascii="Times New Roman" w:hAnsi="Times New Roman" w:cs="Times New Roman"/>
                <w:sz w:val="22"/>
                <w:szCs w:val="22"/>
              </w:rPr>
              <w:t>提供企业近三年（2018-2020）财务审计报告，三年利润为正的得5分，二年利润为正的得3分，一年利润为正的得1分.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right w:val="single" w:color="000000" w:sz="4" w:space="0"/>
            </w:tcBorders>
            <w:vAlign w:val="center"/>
          </w:tcPr>
          <w:p>
            <w:pPr>
              <w:pStyle w:val="117"/>
              <w:spacing w:line="440" w:lineRule="exact"/>
              <w:ind w:right="249"/>
              <w:jc w:val="center"/>
              <w:rPr>
                <w:rFonts w:hint="default" w:ascii="Times New Roman" w:hAnsi="Times New Roman" w:cs="Times New Roman"/>
                <w:sz w:val="22"/>
                <w:szCs w:val="20"/>
              </w:rPr>
            </w:pPr>
            <w:r>
              <w:rPr>
                <w:rFonts w:hint="eastAsia" w:ascii="Times New Roman" w:hAnsi="Times New Roman" w:cs="Times New Roman"/>
                <w:sz w:val="22"/>
                <w:szCs w:val="20"/>
                <w:lang w:val="en-US" w:eastAsia="zh-CN"/>
              </w:rPr>
              <w:t xml:space="preserve"> </w:t>
            </w:r>
            <w:r>
              <w:rPr>
                <w:rFonts w:hint="default" w:ascii="Times New Roman" w:hAnsi="Times New Roman" w:cs="Times New Roman"/>
                <w:sz w:val="22"/>
                <w:szCs w:val="20"/>
              </w:rPr>
              <w:t>环境、质量、管理体系</w:t>
            </w:r>
          </w:p>
        </w:tc>
        <w:tc>
          <w:tcPr>
            <w:tcW w:w="752" w:type="dxa"/>
            <w:gridSpan w:val="2"/>
            <w:tcBorders>
              <w:top w:val="single" w:color="000000" w:sz="4" w:space="0"/>
              <w:left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3分</w:t>
            </w:r>
          </w:p>
        </w:tc>
        <w:tc>
          <w:tcPr>
            <w:tcW w:w="6605" w:type="dxa"/>
            <w:tcBorders>
              <w:top w:val="single" w:color="000000" w:sz="4" w:space="0"/>
              <w:left w:val="single" w:color="000000" w:sz="4" w:space="0"/>
            </w:tcBorders>
            <w:vAlign w:val="center"/>
          </w:tcPr>
          <w:p>
            <w:pPr>
              <w:pStyle w:val="117"/>
              <w:spacing w:line="440" w:lineRule="exact"/>
              <w:ind w:left="105" w:leftChars="50" w:firstLine="400"/>
              <w:rPr>
                <w:rFonts w:hint="default" w:ascii="Times New Roman" w:hAnsi="Times New Roman" w:cs="Times New Roman"/>
                <w:sz w:val="22"/>
                <w:szCs w:val="20"/>
              </w:rPr>
            </w:pPr>
            <w:r>
              <w:rPr>
                <w:rFonts w:hint="default" w:ascii="Times New Roman" w:hAnsi="Times New Roman" w:cs="Times New Roman"/>
                <w:sz w:val="22"/>
                <w:szCs w:val="22"/>
              </w:rPr>
              <w:t>具有质量、环境、管理体系证书的得3分，每提供一项得1分。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1308" w:type="dxa"/>
            <w:gridSpan w:val="2"/>
            <w:vMerge w:val="continue"/>
            <w:tcBorders>
              <w:top w:val="single" w:color="000000" w:sz="4" w:space="0"/>
              <w:right w:val="single" w:color="000000" w:sz="4" w:space="0"/>
            </w:tcBorders>
            <w:vAlign w:val="center"/>
          </w:tcPr>
          <w:p>
            <w:pPr>
              <w:pStyle w:val="117"/>
              <w:spacing w:line="440" w:lineRule="exact"/>
              <w:ind w:left="105" w:leftChars="50" w:right="903" w:firstLine="400"/>
              <w:jc w:val="center"/>
              <w:rPr>
                <w:rFonts w:hint="default" w:ascii="Times New Roman" w:hAnsi="Times New Roman" w:cs="Times New Roman"/>
                <w:sz w:val="22"/>
                <w:szCs w:val="20"/>
              </w:rPr>
            </w:pPr>
          </w:p>
        </w:tc>
        <w:tc>
          <w:tcPr>
            <w:tcW w:w="1670" w:type="dxa"/>
            <w:gridSpan w:val="2"/>
            <w:tcBorders>
              <w:top w:val="single" w:color="000000" w:sz="4" w:space="0"/>
              <w:left w:val="single" w:color="000000" w:sz="4" w:space="0"/>
              <w:right w:val="single" w:color="000000" w:sz="4" w:space="0"/>
            </w:tcBorders>
            <w:vAlign w:val="center"/>
          </w:tcPr>
          <w:p>
            <w:pPr>
              <w:pStyle w:val="117"/>
              <w:spacing w:line="440" w:lineRule="exact"/>
              <w:ind w:left="105" w:leftChars="50" w:right="249" w:firstLine="400"/>
              <w:jc w:val="center"/>
              <w:rPr>
                <w:rFonts w:hint="default" w:ascii="Times New Roman" w:hAnsi="Times New Roman" w:cs="Times New Roman"/>
                <w:sz w:val="22"/>
                <w:szCs w:val="20"/>
              </w:rPr>
            </w:pPr>
            <w:r>
              <w:rPr>
                <w:rFonts w:hint="default" w:ascii="Times New Roman" w:hAnsi="Times New Roman" w:cs="Times New Roman"/>
                <w:sz w:val="22"/>
                <w:szCs w:val="20"/>
              </w:rPr>
              <w:t>处置能力</w:t>
            </w:r>
          </w:p>
        </w:tc>
        <w:tc>
          <w:tcPr>
            <w:tcW w:w="752" w:type="dxa"/>
            <w:gridSpan w:val="2"/>
            <w:tcBorders>
              <w:top w:val="single" w:color="000000" w:sz="4" w:space="0"/>
              <w:left w:val="single" w:color="000000" w:sz="4" w:space="0"/>
              <w:right w:val="single" w:color="000000" w:sz="4" w:space="0"/>
            </w:tcBorders>
            <w:vAlign w:val="center"/>
          </w:tcPr>
          <w:p>
            <w:pPr>
              <w:pStyle w:val="117"/>
              <w:spacing w:line="440" w:lineRule="exact"/>
              <w:ind w:right="88" w:firstLine="0" w:firstLineChars="0"/>
              <w:jc w:val="center"/>
              <w:rPr>
                <w:rFonts w:hint="default" w:ascii="Times New Roman" w:hAnsi="Times New Roman" w:cs="Times New Roman"/>
                <w:sz w:val="22"/>
                <w:szCs w:val="20"/>
              </w:rPr>
            </w:pPr>
            <w:r>
              <w:rPr>
                <w:rFonts w:hint="default" w:ascii="Times New Roman" w:hAnsi="Times New Roman" w:cs="Times New Roman"/>
                <w:sz w:val="22"/>
                <w:szCs w:val="20"/>
              </w:rPr>
              <w:t>2分</w:t>
            </w:r>
          </w:p>
        </w:tc>
        <w:tc>
          <w:tcPr>
            <w:tcW w:w="6605" w:type="dxa"/>
            <w:tcBorders>
              <w:top w:val="single" w:color="000000" w:sz="4" w:space="0"/>
              <w:left w:val="single" w:color="000000" w:sz="4" w:space="0"/>
            </w:tcBorders>
            <w:vAlign w:val="center"/>
          </w:tcPr>
          <w:p>
            <w:pPr>
              <w:pStyle w:val="117"/>
              <w:spacing w:line="440" w:lineRule="exact"/>
              <w:ind w:left="105" w:leftChars="50" w:firstLine="400"/>
              <w:rPr>
                <w:rFonts w:hint="default" w:ascii="Times New Roman" w:hAnsi="Times New Roman" w:cs="Times New Roman"/>
                <w:sz w:val="22"/>
                <w:szCs w:val="20"/>
              </w:rPr>
            </w:pPr>
            <w:r>
              <w:rPr>
                <w:rFonts w:hint="default" w:ascii="Times New Roman" w:hAnsi="Times New Roman" w:cs="Times New Roman"/>
                <w:sz w:val="22"/>
                <w:szCs w:val="20"/>
              </w:rPr>
              <w:t>年处置能力在 60 万吨以上得2分。</w:t>
            </w:r>
          </w:p>
        </w:tc>
      </w:tr>
    </w:tbl>
    <w:p>
      <w:pPr>
        <w:pStyle w:val="107"/>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p>
      <w:pPr>
        <w:numPr>
          <w:ilvl w:val="0"/>
          <w:numId w:val="9"/>
        </w:numPr>
        <w:tabs>
          <w:tab w:val="left" w:pos="170"/>
          <w:tab w:val="left" w:pos="303"/>
          <w:tab w:val="left" w:pos="420"/>
        </w:tabs>
        <w:adjustRightInd w:val="0"/>
        <w:snapToGrid w:val="0"/>
        <w:spacing w:line="440" w:lineRule="exact"/>
        <w:ind w:left="0" w:firstLine="562"/>
        <w:outlineLvl w:val="1"/>
        <w:rPr>
          <w:rFonts w:hint="default" w:ascii="Times New Roman" w:hAnsi="Times New Roman" w:cs="Times New Roman"/>
          <w:b/>
          <w:sz w:val="28"/>
          <w:szCs w:val="28"/>
        </w:rPr>
      </w:pPr>
      <w:bookmarkStart w:id="222" w:name="_Toc426369531"/>
      <w:bookmarkStart w:id="223" w:name="_Toc31084"/>
      <w:bookmarkStart w:id="224" w:name="_Toc403122541"/>
      <w:r>
        <w:rPr>
          <w:rFonts w:hint="default" w:ascii="Times New Roman" w:hAnsi="Times New Roman" w:cs="Times New Roman"/>
          <w:b/>
          <w:sz w:val="28"/>
          <w:szCs w:val="28"/>
        </w:rPr>
        <w:t>评标准则和评标方法</w:t>
      </w:r>
    </w:p>
    <w:p>
      <w:pPr>
        <w:numPr>
          <w:ilvl w:val="1"/>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szCs w:val="21"/>
        </w:rPr>
        <w:t>评标过程将遵循“公平、公正、科学、择优”的原则进行。</w:t>
      </w:r>
    </w:p>
    <w:p>
      <w:pPr>
        <w:numPr>
          <w:ilvl w:val="1"/>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szCs w:val="21"/>
        </w:rPr>
        <w:t>评标将严格按照招标文件的要求和条件进行。</w:t>
      </w:r>
    </w:p>
    <w:p>
      <w:pPr>
        <w:numPr>
          <w:ilvl w:val="1"/>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szCs w:val="21"/>
        </w:rPr>
        <w:t>本次评标采用综合评分法。</w:t>
      </w:r>
    </w:p>
    <w:p>
      <w:pPr>
        <w:numPr>
          <w:ilvl w:val="0"/>
          <w:numId w:val="9"/>
        </w:numPr>
        <w:tabs>
          <w:tab w:val="left" w:pos="170"/>
          <w:tab w:val="left" w:pos="303"/>
          <w:tab w:val="left" w:pos="420"/>
        </w:tabs>
        <w:adjustRightInd w:val="0"/>
        <w:snapToGrid w:val="0"/>
        <w:spacing w:line="440" w:lineRule="exact"/>
        <w:ind w:left="0" w:firstLine="562"/>
        <w:outlineLvl w:val="1"/>
        <w:rPr>
          <w:rFonts w:hint="default" w:ascii="Times New Roman" w:hAnsi="Times New Roman" w:cs="Times New Roman"/>
          <w:b/>
          <w:sz w:val="28"/>
          <w:szCs w:val="28"/>
        </w:rPr>
      </w:pPr>
      <w:bookmarkStart w:id="225" w:name="_Toc466017208"/>
      <w:bookmarkStart w:id="226" w:name="_Toc13195"/>
      <w:bookmarkStart w:id="227" w:name="_Toc15449"/>
      <w:bookmarkStart w:id="228" w:name="_Toc454147539"/>
      <w:bookmarkStart w:id="229" w:name="_Toc465502580"/>
      <w:r>
        <w:rPr>
          <w:rFonts w:hint="default" w:ascii="Times New Roman" w:hAnsi="Times New Roman" w:cs="Times New Roman"/>
          <w:b/>
          <w:sz w:val="28"/>
          <w:szCs w:val="28"/>
        </w:rPr>
        <w:t>评审标准</w:t>
      </w:r>
      <w:bookmarkEnd w:id="225"/>
      <w:bookmarkEnd w:id="226"/>
      <w:bookmarkEnd w:id="227"/>
      <w:bookmarkEnd w:id="228"/>
      <w:bookmarkEnd w:id="229"/>
    </w:p>
    <w:p>
      <w:pPr>
        <w:numPr>
          <w:ilvl w:val="1"/>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szCs w:val="21"/>
        </w:rPr>
        <w:t>资格评审标准：详见《评分办法前附表》中资格评审标准。</w:t>
      </w:r>
    </w:p>
    <w:p>
      <w:pPr>
        <w:numPr>
          <w:ilvl w:val="1"/>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szCs w:val="21"/>
        </w:rPr>
        <w:t>评分标准：详见《评分办法前附表》报价部分、技术部分、商务部分评审因素。</w:t>
      </w:r>
    </w:p>
    <w:p>
      <w:pPr>
        <w:numPr>
          <w:ilvl w:val="0"/>
          <w:numId w:val="9"/>
        </w:numPr>
        <w:tabs>
          <w:tab w:val="left" w:pos="170"/>
          <w:tab w:val="left" w:pos="303"/>
          <w:tab w:val="left" w:pos="420"/>
        </w:tabs>
        <w:adjustRightInd w:val="0"/>
        <w:snapToGrid w:val="0"/>
        <w:spacing w:line="440" w:lineRule="exact"/>
        <w:ind w:left="0" w:firstLine="562"/>
        <w:outlineLvl w:val="1"/>
        <w:rPr>
          <w:rFonts w:hint="default" w:ascii="Times New Roman" w:hAnsi="Times New Roman" w:cs="Times New Roman"/>
          <w:b/>
          <w:sz w:val="28"/>
          <w:szCs w:val="28"/>
        </w:rPr>
      </w:pPr>
      <w:bookmarkStart w:id="230" w:name="_Toc11065"/>
      <w:r>
        <w:rPr>
          <w:rFonts w:hint="default" w:ascii="Times New Roman" w:hAnsi="Times New Roman" w:cs="Times New Roman"/>
          <w:b/>
          <w:sz w:val="28"/>
          <w:szCs w:val="28"/>
        </w:rPr>
        <w:t>评标程序</w:t>
      </w:r>
      <w:bookmarkEnd w:id="230"/>
    </w:p>
    <w:p>
      <w:pPr>
        <w:numPr>
          <w:ilvl w:val="1"/>
          <w:numId w:val="9"/>
        </w:numPr>
        <w:adjustRightInd w:val="0"/>
        <w:snapToGrid w:val="0"/>
        <w:spacing w:line="440" w:lineRule="exact"/>
        <w:ind w:left="0" w:firstLine="482"/>
        <w:rPr>
          <w:rFonts w:hint="default" w:ascii="Times New Roman" w:hAnsi="Times New Roman" w:cs="Times New Roman"/>
          <w:b/>
          <w:bCs/>
          <w:sz w:val="24"/>
        </w:rPr>
      </w:pPr>
      <w:r>
        <w:rPr>
          <w:rFonts w:hint="default" w:ascii="Times New Roman" w:hAnsi="Times New Roman" w:cs="Times New Roman"/>
          <w:b/>
          <w:bCs/>
          <w:sz w:val="24"/>
        </w:rPr>
        <w:t>初步评审</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采购人或代理机构可以要求投标人提交第二章“投标人须知”规定的有关证明和证件的原件，以便核验。采购人或代理机构依据本章第2.1款规定的标准对投标文件进行资格评审。有一项不符合资格评审标准的，作无效投标处理。</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投标文件属下列情况之一的，应当在资格性、符合性检查时按照无效投标处理：</w:t>
      </w:r>
    </w:p>
    <w:p>
      <w:pPr>
        <w:numPr>
          <w:ilvl w:val="0"/>
          <w:numId w:val="10"/>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szCs w:val="21"/>
        </w:rPr>
        <w:t>应交未交投标保证金的；</w:t>
      </w:r>
    </w:p>
    <w:p>
      <w:pPr>
        <w:numPr>
          <w:ilvl w:val="0"/>
          <w:numId w:val="10"/>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rPr>
        <w:t>未按照招标文件规定要求密封、签署、盖章的；</w:t>
      </w:r>
    </w:p>
    <w:p>
      <w:pPr>
        <w:numPr>
          <w:ilvl w:val="0"/>
          <w:numId w:val="10"/>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rPr>
        <w:t>不具备招标文件中规定资格要求的；</w:t>
      </w:r>
    </w:p>
    <w:p>
      <w:pPr>
        <w:numPr>
          <w:ilvl w:val="0"/>
          <w:numId w:val="10"/>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rPr>
        <w:t>不符合法律、法规和招标文件中规定的其他实质性要求的。</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投标报价有算数错误的，评标委员会按以下原则对投标报价进行修正，修正的价格经投标人书面确认后具有约束力。投标人不接受修正价格的，其投标作无效投标处理。</w:t>
      </w:r>
    </w:p>
    <w:p>
      <w:pPr>
        <w:numPr>
          <w:ilvl w:val="0"/>
          <w:numId w:val="11"/>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rPr>
        <w:t>投标文件中的大写金额与小写金额不一致的，以大写金额为准；</w:t>
      </w:r>
    </w:p>
    <w:p>
      <w:pPr>
        <w:numPr>
          <w:ilvl w:val="0"/>
          <w:numId w:val="11"/>
        </w:numPr>
        <w:autoSpaceDE w:val="0"/>
        <w:autoSpaceDN w:val="0"/>
        <w:adjustRightInd w:val="0"/>
        <w:spacing w:line="440" w:lineRule="exact"/>
        <w:ind w:firstLine="400"/>
        <w:rPr>
          <w:rFonts w:hint="default" w:ascii="Times New Roman" w:hAnsi="Times New Roman" w:cs="Times New Roman"/>
        </w:rPr>
      </w:pPr>
      <w:r>
        <w:rPr>
          <w:rFonts w:hint="default" w:ascii="Times New Roman" w:hAnsi="Times New Roman" w:cs="Times New Roman"/>
        </w:rPr>
        <w:t>投标文件中开标一览表内容与投标文件中明细表内容不一致的，以开标一览表为准。</w:t>
      </w:r>
    </w:p>
    <w:p>
      <w:pPr>
        <w:numPr>
          <w:ilvl w:val="1"/>
          <w:numId w:val="9"/>
        </w:numPr>
        <w:adjustRightInd w:val="0"/>
        <w:snapToGrid w:val="0"/>
        <w:spacing w:line="440" w:lineRule="exact"/>
        <w:ind w:left="0" w:firstLine="482"/>
        <w:rPr>
          <w:rFonts w:hint="default" w:ascii="Times New Roman" w:hAnsi="Times New Roman" w:cs="Times New Roman"/>
          <w:b/>
          <w:bCs/>
          <w:sz w:val="24"/>
        </w:rPr>
      </w:pPr>
      <w:r>
        <w:rPr>
          <w:rFonts w:hint="default" w:ascii="Times New Roman" w:hAnsi="Times New Roman" w:cs="Times New Roman"/>
          <w:b/>
          <w:bCs/>
          <w:sz w:val="24"/>
        </w:rPr>
        <w:t>详细评审</w:t>
      </w:r>
    </w:p>
    <w:p>
      <w:pPr>
        <w:numPr>
          <w:ilvl w:val="2"/>
          <w:numId w:val="9"/>
        </w:numPr>
        <w:adjustRightInd w:val="0"/>
        <w:snapToGrid w:val="0"/>
        <w:spacing w:line="440" w:lineRule="exact"/>
        <w:ind w:left="0" w:firstLine="400"/>
        <w:rPr>
          <w:rFonts w:hint="default" w:ascii="Times New Roman" w:hAnsi="Times New Roman" w:cs="Times New Roman"/>
          <w:highlight w:val="none"/>
          <w:lang w:val="zh-CN"/>
        </w:rPr>
      </w:pPr>
      <w:r>
        <w:rPr>
          <w:rFonts w:hint="default" w:ascii="Times New Roman" w:hAnsi="Times New Roman" w:cs="Times New Roman"/>
          <w:highlight w:val="none"/>
          <w:lang w:val="zh-CN"/>
        </w:rPr>
        <w:t>评标委员会按本章第2.2款的评分标准进行打分，并计算出综合评审得分。</w:t>
      </w:r>
    </w:p>
    <w:p>
      <w:pPr>
        <w:numPr>
          <w:ilvl w:val="2"/>
          <w:numId w:val="9"/>
        </w:numPr>
        <w:adjustRightInd w:val="0"/>
        <w:snapToGrid w:val="0"/>
        <w:spacing w:line="440" w:lineRule="exact"/>
        <w:ind w:left="0" w:firstLine="400"/>
        <w:rPr>
          <w:rFonts w:hint="default"/>
          <w:highlight w:val="none"/>
          <w:lang w:val="zh-CN"/>
        </w:rPr>
      </w:pPr>
      <w:r>
        <w:rPr>
          <w:rFonts w:hint="default" w:ascii="Times New Roman" w:hAnsi="Times New Roman" w:cs="Times New Roman"/>
          <w:highlight w:val="none"/>
          <w:lang w:val="zh-CN"/>
        </w:rPr>
        <w:t>评标委员会发现投标人的投标总报价</w:t>
      </w:r>
      <w:r>
        <w:rPr>
          <w:rFonts w:hint="default" w:ascii="Times New Roman" w:hAnsi="Times New Roman" w:cs="Times New Roman"/>
          <w:highlight w:val="none"/>
        </w:rPr>
        <w:t>(总投资)</w:t>
      </w:r>
      <w:r>
        <w:rPr>
          <w:rFonts w:hint="default" w:ascii="Times New Roman" w:hAnsi="Times New Roman" w:cs="Times New Roman"/>
          <w:highlight w:val="none"/>
          <w:lang w:val="zh-CN"/>
        </w:rPr>
        <w:t>低于</w:t>
      </w:r>
      <w:r>
        <w:rPr>
          <w:rFonts w:hint="default" w:ascii="Times New Roman" w:hAnsi="Times New Roman" w:cs="Times New Roman"/>
          <w:highlight w:val="none"/>
        </w:rPr>
        <w:t>招标文件规定的最低</w:t>
      </w:r>
      <w:r>
        <w:rPr>
          <w:rFonts w:hint="default" w:ascii="Times New Roman" w:hAnsi="Times New Roman" w:cs="Times New Roman"/>
          <w:highlight w:val="none"/>
          <w:lang w:val="zh-CN"/>
        </w:rPr>
        <w:t>投标报价</w:t>
      </w:r>
      <w:r>
        <w:rPr>
          <w:rFonts w:hint="default" w:ascii="Times New Roman" w:hAnsi="Times New Roman" w:cs="Times New Roman"/>
          <w:highlight w:val="none"/>
        </w:rPr>
        <w:t>(总投资)</w:t>
      </w:r>
      <w:r>
        <w:rPr>
          <w:rFonts w:hint="default" w:ascii="Times New Roman" w:hAnsi="Times New Roman" w:cs="Times New Roman"/>
          <w:highlight w:val="none"/>
          <w:lang w:val="zh-CN"/>
        </w:rPr>
        <w:t>，评标委员会应按无效投标处理。</w:t>
      </w:r>
    </w:p>
    <w:p>
      <w:pPr>
        <w:numPr>
          <w:ilvl w:val="2"/>
          <w:numId w:val="9"/>
        </w:numPr>
        <w:adjustRightInd w:val="0"/>
        <w:snapToGrid w:val="0"/>
        <w:spacing w:line="440" w:lineRule="exact"/>
        <w:ind w:left="0" w:firstLine="400"/>
        <w:rPr>
          <w:rFonts w:hint="default" w:ascii="Times New Roman" w:hAnsi="Times New Roman" w:cs="Times New Roman"/>
          <w:highlight w:val="none"/>
          <w:lang w:val="zh-CN"/>
        </w:rPr>
      </w:pPr>
      <w:r>
        <w:rPr>
          <w:rFonts w:hint="default" w:ascii="Times New Roman" w:hAnsi="Times New Roman" w:cs="Times New Roman"/>
          <w:highlight w:val="none"/>
          <w:lang w:val="zh-CN"/>
        </w:rPr>
        <w:t>评标委员会发现投标人的建筑垃圾处理费（不包括清运费）</w:t>
      </w:r>
      <w:r>
        <w:rPr>
          <w:rFonts w:hint="eastAsia" w:ascii="Times New Roman" w:hAnsi="Times New Roman" w:cs="Times New Roman"/>
          <w:highlight w:val="none"/>
          <w:lang w:val="en-US" w:eastAsia="zh-CN"/>
        </w:rPr>
        <w:t>高</w:t>
      </w:r>
      <w:r>
        <w:rPr>
          <w:rFonts w:hint="default" w:ascii="Times New Roman" w:hAnsi="Times New Roman" w:cs="Times New Roman"/>
          <w:highlight w:val="none"/>
          <w:lang w:val="zh-CN"/>
        </w:rPr>
        <w:t>于</w:t>
      </w:r>
      <w:r>
        <w:rPr>
          <w:rFonts w:hint="default" w:ascii="Times New Roman" w:hAnsi="Times New Roman" w:cs="Times New Roman"/>
          <w:highlight w:val="none"/>
        </w:rPr>
        <w:t>招标文件规定的最低</w:t>
      </w:r>
      <w:r>
        <w:rPr>
          <w:rFonts w:hint="default" w:ascii="Times New Roman" w:hAnsi="Times New Roman" w:cs="Times New Roman"/>
          <w:highlight w:val="none"/>
          <w:lang w:val="zh-CN"/>
        </w:rPr>
        <w:t>投建筑垃圾处理费（不包括清运费），评标委员会应按无效投标处理。</w:t>
      </w:r>
    </w:p>
    <w:p>
      <w:pPr>
        <w:numPr>
          <w:ilvl w:val="1"/>
          <w:numId w:val="9"/>
        </w:numPr>
        <w:adjustRightInd w:val="0"/>
        <w:snapToGrid w:val="0"/>
        <w:spacing w:line="440" w:lineRule="exact"/>
        <w:ind w:left="0" w:firstLine="482"/>
        <w:rPr>
          <w:rFonts w:hint="default" w:ascii="Times New Roman" w:hAnsi="Times New Roman" w:cs="Times New Roman"/>
          <w:b/>
          <w:bCs/>
          <w:sz w:val="24"/>
        </w:rPr>
      </w:pPr>
      <w:r>
        <w:rPr>
          <w:rFonts w:hint="default" w:ascii="Times New Roman" w:hAnsi="Times New Roman" w:cs="Times New Roman"/>
          <w:b/>
          <w:bCs/>
          <w:sz w:val="24"/>
        </w:rPr>
        <w:t>投标文件的澄清和补正</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在评标过程中，评标委员会可以书面形式要求投标人对所提交投标文件中不明确的内容进行书面澄清或说明，或者对细微偏差进行补正。</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澄清、说明和补正不得改变投标文件的实质性内容（算术性错误修正的除外）。投标人的书面澄清、说明和补正属于投标文件的组成部分。</w:t>
      </w:r>
    </w:p>
    <w:p>
      <w:pPr>
        <w:numPr>
          <w:ilvl w:val="1"/>
          <w:numId w:val="9"/>
        </w:numPr>
        <w:adjustRightInd w:val="0"/>
        <w:snapToGrid w:val="0"/>
        <w:spacing w:line="440" w:lineRule="exact"/>
        <w:ind w:left="0" w:firstLine="482"/>
        <w:rPr>
          <w:rFonts w:hint="default" w:ascii="Times New Roman" w:hAnsi="Times New Roman" w:cs="Times New Roman"/>
          <w:b/>
          <w:bCs/>
          <w:sz w:val="24"/>
        </w:rPr>
      </w:pPr>
      <w:r>
        <w:rPr>
          <w:rFonts w:hint="default" w:ascii="Times New Roman" w:hAnsi="Times New Roman" w:cs="Times New Roman"/>
          <w:b/>
          <w:bCs/>
          <w:sz w:val="24"/>
        </w:rPr>
        <w:t>评标结果</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投标人得分=投标报价得分+商务部分得分+技术部分得分</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投标人最终得分为评标委员会完成评审后所有评分的算术平均值，作为该投标人最终得分。</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投标人最终得分相同的，投标报价</w:t>
      </w:r>
      <w:r>
        <w:rPr>
          <w:rFonts w:hint="default" w:ascii="Times New Roman" w:hAnsi="Times New Roman" w:cs="Times New Roman"/>
        </w:rPr>
        <w:t>总投资额高</w:t>
      </w:r>
      <w:r>
        <w:rPr>
          <w:rFonts w:hint="default" w:ascii="Times New Roman" w:hAnsi="Times New Roman" w:cs="Times New Roman"/>
          <w:lang w:val="zh-CN"/>
        </w:rPr>
        <w:t>的优先，</w:t>
      </w:r>
      <w:r>
        <w:rPr>
          <w:rFonts w:hint="default" w:ascii="Times New Roman" w:hAnsi="Times New Roman" w:cs="Times New Roman"/>
        </w:rPr>
        <w:t>投标报价总投资额也相同的以技术得分高的优先，技术得分也相同的由招标人自行确定</w:t>
      </w:r>
      <w:r>
        <w:rPr>
          <w:rFonts w:hint="default" w:ascii="Times New Roman" w:hAnsi="Times New Roman" w:cs="Times New Roman"/>
          <w:lang w:val="zh-CN"/>
        </w:rPr>
        <w:t>。</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计分过程中按四舍五入的法则，最终结果取至小数点后两位。</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评标委员会按照得分由高到低的顺序推荐</w:t>
      </w:r>
      <w:r>
        <w:rPr>
          <w:rFonts w:hint="default" w:ascii="Times New Roman" w:hAnsi="Times New Roman" w:cs="Times New Roman"/>
        </w:rPr>
        <w:t>1-3名</w:t>
      </w:r>
      <w:r>
        <w:rPr>
          <w:rFonts w:hint="default" w:ascii="Times New Roman" w:hAnsi="Times New Roman" w:cs="Times New Roman"/>
          <w:lang w:val="zh-CN"/>
        </w:rPr>
        <w:t>中标候选人。</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评标委员会完成评标后，应当向招标人提交书面评标报告。</w:t>
      </w:r>
    </w:p>
    <w:p>
      <w:pPr>
        <w:numPr>
          <w:ilvl w:val="1"/>
          <w:numId w:val="9"/>
        </w:numPr>
        <w:adjustRightInd w:val="0"/>
        <w:snapToGrid w:val="0"/>
        <w:spacing w:line="440" w:lineRule="exact"/>
        <w:ind w:left="0" w:firstLine="482"/>
        <w:rPr>
          <w:rFonts w:hint="default" w:ascii="Times New Roman" w:hAnsi="Times New Roman" w:cs="Times New Roman"/>
          <w:b/>
          <w:bCs/>
          <w:sz w:val="24"/>
          <w:lang w:val="zh-CN"/>
        </w:rPr>
      </w:pPr>
      <w:r>
        <w:rPr>
          <w:rFonts w:hint="default" w:ascii="Times New Roman" w:hAnsi="Times New Roman" w:cs="Times New Roman"/>
          <w:b/>
          <w:bCs/>
          <w:sz w:val="24"/>
          <w:lang w:val="zh-CN"/>
        </w:rPr>
        <w:t>顺延中标人或重新招标</w:t>
      </w:r>
    </w:p>
    <w:p>
      <w:pPr>
        <w:adjustRightInd w:val="0"/>
        <w:snapToGrid w:val="0"/>
        <w:spacing w:line="440" w:lineRule="exact"/>
        <w:ind w:firstLine="400"/>
        <w:rPr>
          <w:rFonts w:hint="default" w:ascii="Times New Roman" w:hAnsi="Times New Roman" w:cs="Times New Roman"/>
          <w:lang w:val="zh-CN"/>
        </w:rPr>
      </w:pPr>
      <w:r>
        <w:rPr>
          <w:rFonts w:hint="default" w:ascii="Times New Roman" w:hAnsi="Times New Roman" w:cs="Times New Roman"/>
          <w:lang w:val="zh-CN"/>
        </w:rPr>
        <w:t>中标人因不可抗力不能履行政府采购合同的，招标人可以与排位在中标人之后第一位的中标候选人签订政府采购合同，或者重新招标。</w:t>
      </w:r>
    </w:p>
    <w:p>
      <w:pPr>
        <w:numPr>
          <w:ilvl w:val="1"/>
          <w:numId w:val="9"/>
        </w:numPr>
        <w:adjustRightInd w:val="0"/>
        <w:snapToGrid w:val="0"/>
        <w:spacing w:line="440" w:lineRule="exact"/>
        <w:ind w:left="0" w:firstLine="482"/>
        <w:rPr>
          <w:rFonts w:hint="default" w:ascii="Times New Roman" w:hAnsi="Times New Roman" w:cs="Times New Roman"/>
          <w:b/>
          <w:bCs/>
          <w:sz w:val="24"/>
        </w:rPr>
      </w:pPr>
      <w:bookmarkStart w:id="231" w:name="_Toc16293"/>
      <w:bookmarkStart w:id="232" w:name="_Toc17922"/>
      <w:bookmarkStart w:id="233" w:name="_Toc19590"/>
      <w:bookmarkStart w:id="234" w:name="_Toc7468"/>
      <w:bookmarkStart w:id="235" w:name="_Toc28863"/>
      <w:bookmarkStart w:id="236" w:name="_Toc54"/>
      <w:bookmarkStart w:id="237" w:name="_Toc11630"/>
      <w:r>
        <w:rPr>
          <w:rFonts w:hint="default" w:ascii="Times New Roman" w:hAnsi="Times New Roman" w:cs="Times New Roman"/>
          <w:b/>
          <w:bCs/>
          <w:sz w:val="24"/>
        </w:rPr>
        <w:t>保密及其他注意事项</w:t>
      </w:r>
      <w:bookmarkEnd w:id="231"/>
      <w:bookmarkEnd w:id="232"/>
      <w:bookmarkEnd w:id="233"/>
      <w:bookmarkEnd w:id="234"/>
      <w:bookmarkEnd w:id="235"/>
      <w:bookmarkEnd w:id="236"/>
      <w:bookmarkEnd w:id="237"/>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在评标期间，投标企业不得向评标委员会成员询问评标情况，不得进行旨在影响成交结果的活动。</w:t>
      </w:r>
    </w:p>
    <w:p>
      <w:pPr>
        <w:numPr>
          <w:ilvl w:val="2"/>
          <w:numId w:val="9"/>
        </w:numPr>
        <w:adjustRightInd w:val="0"/>
        <w:snapToGrid w:val="0"/>
        <w:spacing w:line="440" w:lineRule="exact"/>
        <w:ind w:left="0" w:firstLine="400"/>
        <w:rPr>
          <w:rFonts w:hint="default" w:ascii="Times New Roman" w:hAnsi="Times New Roman" w:cs="Times New Roman"/>
          <w:lang w:val="zh-CN"/>
        </w:rPr>
      </w:pPr>
      <w:r>
        <w:rPr>
          <w:rFonts w:hint="default" w:ascii="Times New Roman" w:hAnsi="Times New Roman" w:cs="Times New Roman"/>
          <w:lang w:val="zh-CN"/>
        </w:rPr>
        <w:t>在评标结束后，凡与评标情况有接触的任何人不得也不应将评标情况扩散出评标委员会成员之外。</w:t>
      </w:r>
    </w:p>
    <w:p>
      <w:pPr>
        <w:numPr>
          <w:ilvl w:val="2"/>
          <w:numId w:val="9"/>
        </w:numPr>
        <w:adjustRightInd w:val="0"/>
        <w:snapToGrid w:val="0"/>
        <w:spacing w:line="440" w:lineRule="exact"/>
        <w:ind w:left="0" w:firstLine="400"/>
        <w:rPr>
          <w:rFonts w:hint="default" w:ascii="Times New Roman" w:hAnsi="Times New Roman" w:cs="Times New Roman"/>
          <w:szCs w:val="21"/>
        </w:rPr>
      </w:pPr>
      <w:r>
        <w:rPr>
          <w:rFonts w:hint="default" w:ascii="Times New Roman" w:hAnsi="Times New Roman" w:cs="Times New Roman"/>
          <w:lang w:val="zh-CN"/>
        </w:rPr>
        <w:t>招标代理机构不向落标方解释落标原因，不退还投标文件。</w:t>
      </w:r>
    </w:p>
    <w:p>
      <w:pPr>
        <w:ind w:firstLine="400"/>
        <w:rPr>
          <w:rFonts w:hint="default" w:ascii="Times New Roman" w:hAnsi="Times New Roman" w:eastAsia="宋体" w:cs="Times New Roman"/>
        </w:rPr>
      </w:pP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36"/>
        <w:numPr>
          <w:ilvl w:val="0"/>
          <w:numId w:val="7"/>
        </w:numPr>
        <w:spacing w:line="600" w:lineRule="exact"/>
        <w:ind w:left="0" w:leftChars="0" w:right="-63" w:rightChars="-30" w:firstLine="0" w:firstLineChars="0"/>
        <w:rPr>
          <w:rFonts w:hint="eastAsia" w:asciiTheme="minorEastAsia" w:hAnsiTheme="minorEastAsia" w:eastAsiaTheme="minorEastAsia" w:cstheme="minorEastAsia"/>
          <w:sz w:val="36"/>
          <w:szCs w:val="36"/>
        </w:rPr>
      </w:pPr>
      <w:bookmarkStart w:id="238" w:name="_Toc955"/>
      <w:r>
        <w:rPr>
          <w:rFonts w:hint="eastAsia" w:asciiTheme="minorEastAsia" w:hAnsiTheme="minorEastAsia" w:eastAsiaTheme="minorEastAsia" w:cstheme="minorEastAsia"/>
          <w:sz w:val="36"/>
          <w:szCs w:val="36"/>
        </w:rPr>
        <w:t xml:space="preserve"> 合同条款及格式</w:t>
      </w:r>
      <w:bookmarkEnd w:id="222"/>
      <w:bookmarkEnd w:id="223"/>
      <w:bookmarkEnd w:id="224"/>
      <w:bookmarkEnd w:id="238"/>
    </w:p>
    <w:p>
      <w:pPr>
        <w:numPr>
          <w:ilvl w:val="0"/>
          <w:numId w:val="0"/>
        </w:numPr>
        <w:ind w:leftChars="0"/>
        <w:jc w:val="center"/>
        <w:rPr>
          <w:rFonts w:hint="eastAsia" w:eastAsia="宋体"/>
          <w:sz w:val="24"/>
          <w:szCs w:val="24"/>
          <w:lang w:eastAsia="zh-CN"/>
        </w:rPr>
      </w:pPr>
      <w:r>
        <w:rPr>
          <w:rFonts w:hint="eastAsia"/>
          <w:sz w:val="24"/>
          <w:szCs w:val="24"/>
          <w:lang w:eastAsia="zh-CN"/>
        </w:rPr>
        <w:t>（仅供参考）</w:t>
      </w:r>
    </w:p>
    <w:p>
      <w:pPr>
        <w:spacing w:line="440" w:lineRule="exact"/>
        <w:ind w:firstLine="482"/>
        <w:rPr>
          <w:rFonts w:asciiTheme="minorEastAsia" w:hAnsiTheme="minorEastAsia" w:eastAsiaTheme="minorEastAsia" w:cstheme="minorEastAsia"/>
          <w:sz w:val="24"/>
          <w:szCs w:val="24"/>
        </w:rPr>
      </w:pPr>
      <w:bookmarkStart w:id="239" w:name="_Toc12807"/>
      <w:r>
        <w:rPr>
          <w:rFonts w:hint="eastAsia" w:asciiTheme="minorEastAsia" w:hAnsiTheme="minorEastAsia" w:eastAsiaTheme="minorEastAsia" w:cstheme="minorEastAsia"/>
          <w:sz w:val="24"/>
          <w:szCs w:val="24"/>
        </w:rPr>
        <w:t xml:space="preserve">合同名称：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        （以下简称 “发包人” ） 与“承包人” ）于   年  月  日商定并签署。</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一、概述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定义： 合同文本中以下的用词及词语除根据上下文另有</w:t>
      </w:r>
      <w:r>
        <w:rPr>
          <w:rFonts w:hint="eastAsia" w:asciiTheme="minorEastAsia" w:hAnsiTheme="minorEastAsia" w:eastAsiaTheme="minorEastAsia" w:cstheme="minorEastAsia"/>
          <w:kern w:val="0"/>
          <w:sz w:val="24"/>
          <w:szCs w:val="24"/>
        </w:rPr>
        <w:t xml:space="preserve">要求外， 应具有本条所赋予的含义：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(2)发包人：</w:t>
      </w:r>
      <w:r>
        <w:rPr>
          <w:rFonts w:hint="eastAsia" w:asciiTheme="minorEastAsia" w:hAnsiTheme="minorEastAsia" w:eastAsiaTheme="minorEastAsia" w:cstheme="minorEastAsia"/>
          <w:sz w:val="24"/>
          <w:szCs w:val="24"/>
        </w:rPr>
        <w:t xml:space="preserve">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(5)项目名称：</w:t>
      </w:r>
      <w:r>
        <w:rPr>
          <w:rFonts w:hint="eastAsia" w:asciiTheme="minorEastAsia" w:hAnsiTheme="minorEastAsia" w:eastAsiaTheme="minorEastAsia" w:cstheme="minorEastAsia"/>
          <w:sz w:val="24"/>
          <w:szCs w:val="24"/>
        </w:rPr>
        <w:t xml:space="preserve">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二、项目名称及技术要求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（1）项目名称：</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（2）技术要求： </w:t>
      </w:r>
    </w:p>
    <w:p>
      <w:pPr>
        <w:spacing w:line="440" w:lineRule="exact"/>
        <w:ind w:firstLine="482"/>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 xml:space="preserve">三、双方责任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3.1 发包人责任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3.2 承包人责任 </w:t>
      </w:r>
    </w:p>
    <w:p>
      <w:pPr>
        <w:spacing w:line="440" w:lineRule="exact"/>
        <w:ind w:firstLine="482"/>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四、合同工期 </w:t>
      </w:r>
    </w:p>
    <w:p>
      <w:pPr>
        <w:spacing w:line="440" w:lineRule="exact"/>
        <w:ind w:firstLine="482"/>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服务</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kern w:val="1"/>
          <w:sz w:val="24"/>
          <w:szCs w:val="24"/>
        </w:rPr>
        <w:t xml:space="preserve">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五、合同价款与支付方式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5.1 合同价款： 本项目合同价款为人民币大写： （￥       元）。 </w:t>
      </w:r>
    </w:p>
    <w:p>
      <w:pPr>
        <w:pStyle w:val="55"/>
        <w:snapToGrid w:val="0"/>
        <w:spacing w:line="560" w:lineRule="exact"/>
        <w:ind w:firstLine="480" w:firstLineChars="200"/>
        <w:rPr>
          <w:rFonts w:hint="eastAsia" w:asciiTheme="minorEastAsia" w:hAnsiTheme="minorEastAsia" w:eastAsiaTheme="minorEastAsia" w:cstheme="minorEastAsia"/>
          <w:color w:val="auto"/>
          <w:kern w:val="2"/>
          <w:sz w:val="24"/>
          <w:szCs w:val="24"/>
          <w:lang w:val="en-US" w:eastAsia="zh-CN" w:bidi="ar-SA"/>
        </w:rPr>
      </w:pPr>
      <w:r>
        <w:rPr>
          <w:rFonts w:asciiTheme="minorEastAsia" w:hAnsiTheme="minorEastAsia" w:eastAsiaTheme="minorEastAsia" w:cstheme="minorEastAsia"/>
          <w:color w:val="auto"/>
          <w:kern w:val="2"/>
          <w:sz w:val="24"/>
          <w:szCs w:val="24"/>
        </w:rPr>
        <w:t>5.2 付款方式：</w:t>
      </w:r>
      <w:r>
        <w:rPr>
          <w:rFonts w:hint="eastAsia" w:asciiTheme="minorEastAsia" w:hAnsiTheme="minorEastAsia" w:eastAsiaTheme="minorEastAsia" w:cstheme="minorEastAsia"/>
          <w:color w:val="auto"/>
          <w:kern w:val="2"/>
          <w:sz w:val="24"/>
          <w:szCs w:val="24"/>
          <w:lang w:val="en-US" w:eastAsia="zh-CN" w:bidi="ar-SA"/>
        </w:rPr>
        <w:t xml:space="preserve">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 w:val="24"/>
          <w:szCs w:val="24"/>
        </w:rPr>
      </w:pPr>
      <w:r>
        <w:rPr>
          <w:rFonts w:hint="eastAsia" w:asciiTheme="minorEastAsia" w:hAnsiTheme="minorEastAsia" w:eastAsiaTheme="minorEastAsia" w:cstheme="minorEastAsia"/>
          <w:sz w:val="24"/>
          <w:szCs w:val="24"/>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6.6合同生效后，非发包人原因承包人要求终止或解除合同，应双倍返还已付合同价款。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七、争议与索赔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首先双方向上级管部门请求调解，调解达不成协议的，</w:t>
      </w:r>
      <w:bookmarkStart w:id="240" w:name="page"/>
      <w:bookmarkEnd w:id="240"/>
      <w:r>
        <w:rPr>
          <w:rFonts w:hint="eastAsia" w:asciiTheme="minorEastAsia" w:hAnsiTheme="minorEastAsia" w:eastAsiaTheme="minorEastAsia" w:cstheme="minorEastAsia"/>
          <w:sz w:val="24"/>
          <w:szCs w:val="24"/>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仲裁费用或一切诉讼费用由败诉方承担。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7.2 索赔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7.2.1 承包人可按以下规定向发包人索赔：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（1）有正当索赔理由，且有索赔事件发生时的有关证据；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（3）发包人在接到索赔通知后 10 天内给予响应，或要求承包人进一步补充索赔理 由和证据，发包人在 10 天内未予答复，应视为该项索赔已经认可。</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xml:space="preserve">    7.2.2 发包人可按以下规定向承包人索赔：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（1）有正当索赔理由，且有索赔事件发生时的有关证据；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八、设备、人员事故的责任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九、其它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9.1 下列文件应作为本合同的组成部分：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① 本合同及补充合同（如有）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② 投标书（发包人接受的部分）；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③ 双方认为必要的其它文件。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9.4 合同有效期：本合同经双方代表签字盖章后生效。</w:t>
      </w:r>
      <w:r>
        <w:rPr>
          <w:rFonts w:hint="eastAsia" w:asciiTheme="minorEastAsia" w:hAnsiTheme="minorEastAsia" w:eastAsiaTheme="minorEastAsia" w:cstheme="minorEastAsia"/>
          <w:color w:val="C00000"/>
          <w:sz w:val="24"/>
          <w:szCs w:val="24"/>
        </w:rPr>
        <w:t xml:space="preserve"> </w:t>
      </w:r>
    </w:p>
    <w:p>
      <w:pPr>
        <w:spacing w:line="440" w:lineRule="exact"/>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9.5 合同份数：合同正本 2 份，双方各执 1 份；副本 4 份，双方各执 2 份。 </w:t>
      </w:r>
    </w:p>
    <w:p>
      <w:pPr>
        <w:spacing w:line="44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发包人：(盖公章)  承包人：(盖公章)</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法定代表人(或授权代表)：(签名)                      法定代表人(或授权代表)：(签字)</w:t>
      </w:r>
    </w:p>
    <w:p>
      <w:pPr>
        <w:spacing w:line="44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                                         地址：</w:t>
      </w:r>
    </w:p>
    <w:p>
      <w:pPr>
        <w:spacing w:line="44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邮编：                                         邮编：</w:t>
      </w:r>
    </w:p>
    <w:p>
      <w:pPr>
        <w:spacing w:line="44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                                         传真：</w:t>
      </w:r>
    </w:p>
    <w:p>
      <w:pPr>
        <w:spacing w:line="440" w:lineRule="exact"/>
        <w:ind w:left="479" w:leftChars="228"/>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            开户行：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账号：                                         账号：</w:t>
      </w:r>
    </w:p>
    <w:p>
      <w:pPr>
        <w:spacing w:line="440" w:lineRule="exact"/>
        <w:ind w:firstLine="480"/>
        <w:rPr>
          <w:rFonts w:asciiTheme="minorEastAsia" w:hAnsiTheme="minorEastAsia" w:eastAsiaTheme="minorEastAsia" w:cstheme="minorEastAsia"/>
          <w:sz w:val="24"/>
          <w:szCs w:val="24"/>
        </w:rPr>
      </w:pPr>
    </w:p>
    <w:p>
      <w:pPr>
        <w:spacing w:line="440" w:lineRule="exact"/>
        <w:ind w:firstLine="480"/>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签字日期:   年   月   日</w:t>
      </w:r>
    </w:p>
    <w:p>
      <w:pPr>
        <w:pStyle w:val="14"/>
        <w:rPr>
          <w:sz w:val="32"/>
          <w:szCs w:val="32"/>
        </w:rPr>
      </w:pPr>
    </w:p>
    <w:p>
      <w:pPr>
        <w:pStyle w:val="14"/>
        <w:rPr>
          <w:sz w:val="32"/>
          <w:szCs w:val="32"/>
        </w:rPr>
      </w:pPr>
    </w:p>
    <w:p>
      <w:pPr>
        <w:pStyle w:val="14"/>
        <w:rPr>
          <w:sz w:val="32"/>
          <w:szCs w:val="32"/>
        </w:rPr>
      </w:pPr>
    </w:p>
    <w:p>
      <w:pPr>
        <w:pStyle w:val="14"/>
        <w:rPr>
          <w:sz w:val="32"/>
          <w:szCs w:val="32"/>
        </w:rPr>
      </w:pPr>
    </w:p>
    <w:p>
      <w:pPr>
        <w:pStyle w:val="14"/>
        <w:rPr>
          <w:sz w:val="32"/>
          <w:szCs w:val="32"/>
        </w:rPr>
      </w:pPr>
    </w:p>
    <w:p>
      <w:pPr>
        <w:pStyle w:val="14"/>
        <w:rPr>
          <w:sz w:val="32"/>
          <w:szCs w:val="32"/>
        </w:rPr>
      </w:pPr>
    </w:p>
    <w:p>
      <w:pPr>
        <w:pStyle w:val="14"/>
        <w:jc w:val="center"/>
        <w:rPr>
          <w:b/>
          <w:bCs/>
          <w:sz w:val="32"/>
          <w:szCs w:val="32"/>
        </w:rPr>
      </w:pPr>
      <w:r>
        <w:rPr>
          <w:rFonts w:hint="eastAsia"/>
          <w:b/>
          <w:bCs/>
          <w:sz w:val="32"/>
          <w:szCs w:val="32"/>
        </w:rPr>
        <w:t>第五章 服务内容及要求</w:t>
      </w:r>
    </w:p>
    <w:bookmarkEnd w:id="239"/>
    <w:p>
      <w:pPr>
        <w:wordWrap/>
        <w:spacing w:line="560" w:lineRule="exact"/>
        <w:ind w:firstLine="640"/>
        <w:textAlignment w:val="auto"/>
        <w:rPr>
          <w:rFonts w:hint="eastAsia" w:asciiTheme="minorEastAsia" w:hAnsiTheme="minorEastAsia" w:eastAsiaTheme="minorEastAsia" w:cstheme="minorEastAsia"/>
          <w:sz w:val="24"/>
          <w:szCs w:val="24"/>
        </w:rPr>
      </w:pPr>
      <w:bookmarkStart w:id="241" w:name="_Toc26235"/>
      <w:bookmarkStart w:id="242" w:name="_Toc403122572"/>
      <w:bookmarkStart w:id="243" w:name="_Toc426369533"/>
      <w:bookmarkStart w:id="244" w:name="_Toc7906"/>
      <w:r>
        <w:rPr>
          <w:rFonts w:hint="eastAsia" w:asciiTheme="minorEastAsia" w:hAnsiTheme="minorEastAsia" w:eastAsiaTheme="minorEastAsia" w:cstheme="minorEastAsia"/>
          <w:sz w:val="24"/>
          <w:szCs w:val="24"/>
        </w:rPr>
        <w:t>（一）特许经营期限</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博爱县建筑垃圾处置及资源化再利用特许经营项目的特许经营期限为自本项目正式签订《特许经营协议》之日起30年（含建设期）。</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（二）项目服务内容及用途</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博爱县城管局通过公开招标选定建筑垃圾处置及资源化再利用特许经营项目的中标企业，由中标企业出资在博爱县组建项目公司，项目公司将被授予特许经营权，在特许经营期限内项目公司对其中的废弃物进行分拣、剔除，利用废弃建筑混凝土和废弃砖瓦、石料生产粗细骨料，用于生产再生砂浆和再生透水砖、小型预制构件、再生水稳等符合国家、行业部门标准的相关产品。</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（三）项目规模</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博爱县建筑垃圾处置及资源化再利用项目，建设规模为：年处理能力不低于40万吨，投资约8000万元。</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（四）项目具体要求</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具有建筑垃圾处理设备和工艺技术，具有相应的专业技术队伍和经营管理经验。</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中标总投资（不低于8000万元）及中标建设规模（年处理不低于40万吨建筑垃圾）需在建设期内实现，具体结果由招标人组织考核认定，若达不到扣除相应履约保证金。</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配备建筑垃圾再生骨料和再生建材产品质量检测能力，需建立产品质量检测实验室。</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生产的再生建材产品质量需达到现行国家（行业）有关技术规范。</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中标企业应于合同签订后12个月内完成项目建设，包括建筑垃圾处置场地、主要处理设备、实验室等配套建设。</w:t>
      </w:r>
    </w:p>
    <w:p>
      <w:pPr>
        <w:wordWrap/>
        <w:spacing w:line="560" w:lineRule="exact"/>
        <w:ind w:firstLine="64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招标人不对建筑垃圾产生量承诺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本项目的中标企业必须确保环保达标</w:t>
      </w:r>
      <w:r>
        <w:rPr>
          <w:rFonts w:hint="eastAsia" w:asciiTheme="minorEastAsia" w:hAnsiTheme="minorEastAsia" w:eastAsiaTheme="minorEastAsia" w:cstheme="minorEastAsia"/>
          <w:sz w:val="24"/>
          <w:szCs w:val="24"/>
          <w:lang w:eastAsia="zh-CN"/>
        </w:rPr>
        <w:t>。</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五</w:t>
      </w:r>
      <w:r>
        <w:rPr>
          <w:rFonts w:hint="eastAsia" w:asciiTheme="minorEastAsia" w:hAnsiTheme="minorEastAsia" w:eastAsiaTheme="minorEastAsia" w:cstheme="minorEastAsia"/>
          <w:sz w:val="24"/>
          <w:szCs w:val="24"/>
        </w:rPr>
        <w:t>）特许经营企业权益</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博爱县城管局管理和协调特许经营企业的建筑垃圾特许经营权的具体实施。由公开招投标产生的利用建筑垃圾生产再生建材特许经营企业享有以下权益:</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1、特许经营企业可向河南省发改委申报河南省建筑垃圾综合利用产品认定和循环经济专项补贴资金，获得认定的产品享有国家规定的税收优惠。</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2、县政府出台相关建筑垃圾综合利用产业扶持政策，建筑垃圾再生产品在同等条件下优先使用。</w:t>
      </w:r>
    </w:p>
    <w:p>
      <w:pPr>
        <w:wordWrap/>
        <w:spacing w:line="560" w:lineRule="exact"/>
        <w:ind w:firstLine="64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按照“谁产生、谁负责”的原则，特许经营企业依法依规收取建筑垃圾处理费，按照《博爱县人民政府办公室关于印发博爱县城市生活垃圾处理费征收管理办法的通知》（博政办[2007]54号）文件第五条（九）规定：“建筑垃圾处理费（不包括清运费）按吨计收，每吨6元。”该费用由城管局</w:t>
      </w:r>
      <w:r>
        <w:rPr>
          <w:rFonts w:hint="eastAsia" w:asciiTheme="minorEastAsia" w:hAnsiTheme="minorEastAsia" w:eastAsiaTheme="minorEastAsia" w:cstheme="minorEastAsia"/>
          <w:sz w:val="24"/>
          <w:szCs w:val="24"/>
          <w:lang w:eastAsia="zh-CN"/>
        </w:rPr>
        <w:t>按此标准</w:t>
      </w:r>
      <w:r>
        <w:rPr>
          <w:rFonts w:hint="eastAsia" w:asciiTheme="minorEastAsia" w:hAnsiTheme="minorEastAsia" w:eastAsiaTheme="minorEastAsia" w:cstheme="minorEastAsia"/>
          <w:sz w:val="24"/>
          <w:szCs w:val="24"/>
        </w:rPr>
        <w:t>代为征收，</w:t>
      </w:r>
      <w:r>
        <w:rPr>
          <w:rFonts w:hint="eastAsia" w:asciiTheme="minorEastAsia" w:hAnsiTheme="minorEastAsia" w:eastAsiaTheme="minorEastAsia" w:cstheme="minorEastAsia"/>
          <w:sz w:val="24"/>
          <w:szCs w:val="24"/>
          <w:lang w:eastAsia="zh-CN"/>
        </w:rPr>
        <w:t>投标企业对此处理费用竞价。根据中标价格和实际处置量，每半年一次转</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lang w:eastAsia="zh-CN"/>
        </w:rPr>
        <w:t>中标</w:t>
      </w:r>
      <w:r>
        <w:rPr>
          <w:rFonts w:hint="eastAsia" w:asciiTheme="minorEastAsia" w:hAnsiTheme="minorEastAsia" w:eastAsiaTheme="minorEastAsia" w:cstheme="minorEastAsia"/>
          <w:sz w:val="24"/>
          <w:szCs w:val="24"/>
        </w:rPr>
        <w:t>企业指定账户。</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4、建设工程产生的弃土统一由特许经营企业接纳。</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六</w:t>
      </w:r>
      <w:r>
        <w:rPr>
          <w:rFonts w:hint="eastAsia" w:asciiTheme="minorEastAsia" w:hAnsiTheme="minorEastAsia" w:eastAsiaTheme="minorEastAsia" w:cstheme="minorEastAsia"/>
          <w:sz w:val="24"/>
          <w:szCs w:val="24"/>
        </w:rPr>
        <w:t>）特许经营企业承诺以下义务</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1、在规定期限内完成项目建成并投入运营，否则无条件退出，履约保证金不予退还。</w:t>
      </w:r>
    </w:p>
    <w:p>
      <w:pPr>
        <w:wordWrap/>
        <w:spacing w:line="560" w:lineRule="exact"/>
        <w:ind w:firstLine="64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2、特许经营企业应当组建建筑垃圾清运公司，按照行业规定配置车辆，在博爱县行政区域内进行建筑垃圾清运工作，政府组织的公益性建设所产生的建筑垃圾应免费清运并免收建筑垃圾处理费用。</w:t>
      </w:r>
    </w:p>
    <w:p>
      <w:pPr>
        <w:pStyle w:val="15"/>
        <w:spacing w:line="5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群众产生的少量建筑垃圾中标企业免收建筑垃圾处理费用，由属地乡镇（街道）负责落实建筑垃圾集中堆放点，定期清运。清运费用由属地乡镇（街道）和中标企业协商解决，中标企业予以最优惠照顾。城管部门负责对城乡范围内乱堆建筑垃圾情况组织考核。</w:t>
      </w:r>
    </w:p>
    <w:p>
      <w:pPr>
        <w:pStyle w:val="36"/>
        <w:spacing w:line="600" w:lineRule="exact"/>
        <w:ind w:right="-63" w:rightChars="-30"/>
        <w:rPr>
          <w:rFonts w:hint="eastAsia" w:asciiTheme="minorEastAsia" w:hAnsiTheme="minorEastAsia" w:eastAsiaTheme="minorEastAsia" w:cstheme="minorEastAsia"/>
          <w:sz w:val="36"/>
          <w:szCs w:val="36"/>
        </w:rPr>
      </w:pPr>
    </w:p>
    <w:p>
      <w:pPr>
        <w:pStyle w:val="36"/>
        <w:spacing w:line="600" w:lineRule="exact"/>
        <w:ind w:right="-63" w:rightChars="-30"/>
        <w:rPr>
          <w:rFonts w:hint="eastAsia" w:asciiTheme="minorEastAsia" w:hAnsiTheme="minorEastAsia" w:eastAsiaTheme="minorEastAsia" w:cstheme="minorEastAsia"/>
          <w:sz w:val="36"/>
          <w:szCs w:val="36"/>
        </w:rPr>
      </w:pPr>
    </w:p>
    <w:p>
      <w:pPr>
        <w:pStyle w:val="36"/>
        <w:spacing w:line="600" w:lineRule="exact"/>
        <w:ind w:right="-63" w:rightChars="-30"/>
        <w:rPr>
          <w:rFonts w:hint="eastAsia" w:asciiTheme="minorEastAsia" w:hAnsiTheme="minorEastAsia" w:eastAsiaTheme="minorEastAsia" w:cstheme="minorEastAsia"/>
          <w:sz w:val="36"/>
          <w:szCs w:val="36"/>
        </w:rPr>
      </w:pPr>
    </w:p>
    <w:p>
      <w:pPr>
        <w:pStyle w:val="36"/>
        <w:spacing w:line="600" w:lineRule="exact"/>
        <w:ind w:right="-63" w:rightChars="-30"/>
        <w:rPr>
          <w:rFonts w:hint="eastAsia" w:asciiTheme="minorEastAsia" w:hAnsiTheme="minorEastAsia" w:eastAsiaTheme="minorEastAsia" w:cstheme="minorEastAsia"/>
          <w:sz w:val="36"/>
          <w:szCs w:val="36"/>
        </w:rPr>
      </w:pPr>
    </w:p>
    <w:p>
      <w:pPr>
        <w:pStyle w:val="36"/>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1"/>
      <w:bookmarkEnd w:id="242"/>
      <w:bookmarkEnd w:id="243"/>
      <w:bookmarkEnd w:id="244"/>
    </w:p>
    <w:p>
      <w:pPr>
        <w:rPr>
          <w:rFonts w:asciiTheme="minorEastAsia" w:hAnsiTheme="minorEastAsia" w:eastAsiaTheme="minorEastAsia" w:cstheme="minorEastAsia"/>
        </w:rPr>
      </w:pPr>
      <w:bookmarkStart w:id="245" w:name="_Toc27452"/>
      <w:bookmarkStart w:id="246" w:name="_Toc18905"/>
      <w:bookmarkStart w:id="247" w:name="_Toc403122573"/>
      <w:bookmarkStart w:id="248" w:name="_Toc402961301"/>
      <w:r>
        <w:rPr>
          <w:rFonts w:hint="eastAsia" w:asciiTheme="minorEastAsia" w:hAnsiTheme="minorEastAsia" w:eastAsiaTheme="minorEastAsia" w:cstheme="minorEastAsia"/>
        </w:rPr>
        <w:t xml:space="preserve">                                                                   </w:t>
      </w: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bCs/>
          <w:sz w:val="28"/>
          <w:szCs w:val="28"/>
        </w:rPr>
        <w:t xml:space="preserve"> 正本/副本</w:t>
      </w:r>
      <w:bookmarkEnd w:id="245"/>
      <w:bookmarkEnd w:id="246"/>
      <w:bookmarkEnd w:id="247"/>
      <w:bookmarkEnd w:id="248"/>
    </w:p>
    <w:p>
      <w:pPr>
        <w:pStyle w:val="36"/>
        <w:outlineLvl w:val="9"/>
        <w:rPr>
          <w:rFonts w:asciiTheme="minorEastAsia" w:hAnsiTheme="minorEastAsia" w:eastAsiaTheme="minorEastAsia" w:cstheme="minorEastAsia"/>
          <w:kern w:val="44"/>
          <w:sz w:val="24"/>
          <w:szCs w:val="24"/>
        </w:rPr>
      </w:pPr>
    </w:p>
    <w:p>
      <w:pPr>
        <w:pStyle w:val="36"/>
        <w:outlineLvl w:val="9"/>
        <w:rPr>
          <w:rFonts w:asciiTheme="minorEastAsia" w:hAnsiTheme="minorEastAsia" w:eastAsiaTheme="minorEastAsia" w:cstheme="minorEastAsia"/>
          <w:kern w:val="44"/>
          <w:sz w:val="24"/>
          <w:szCs w:val="24"/>
        </w:rPr>
      </w:pPr>
    </w:p>
    <w:p>
      <w:pPr>
        <w:spacing w:line="360" w:lineRule="auto"/>
        <w:ind w:firstLine="2208" w:firstLineChars="611"/>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u w:val="single"/>
        </w:rPr>
        <w:t xml:space="preserve">                   </w:t>
      </w:r>
      <w:r>
        <w:rPr>
          <w:rFonts w:hint="eastAsia" w:asciiTheme="minorEastAsia" w:hAnsiTheme="minorEastAsia" w:eastAsiaTheme="minorEastAsia" w:cstheme="minorEastAsia"/>
          <w:b/>
          <w:sz w:val="36"/>
          <w:szCs w:val="36"/>
        </w:rPr>
        <w:t>（项目名称）</w:t>
      </w:r>
    </w:p>
    <w:p>
      <w:pPr>
        <w:spacing w:line="360" w:lineRule="auto"/>
        <w:jc w:val="center"/>
        <w:rPr>
          <w:rFonts w:asciiTheme="minorEastAsia" w:hAnsiTheme="minorEastAsia" w:eastAsiaTheme="minorEastAsia" w:cstheme="minorEastAsia"/>
          <w:b/>
          <w:sz w:val="32"/>
          <w:szCs w:val="32"/>
        </w:rPr>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采购编号：</w:t>
      </w: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21"/>
        <w:spacing w:line="600" w:lineRule="exact"/>
        <w:ind w:left="1050" w:leftChars="500" w:firstLine="128" w:firstLineChars="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pacing w:val="8"/>
          <w:sz w:val="24"/>
          <w:u w:val="single"/>
        </w:rPr>
        <w:t xml:space="preserve">                             </w:t>
      </w:r>
      <w:r>
        <w:rPr>
          <w:rFonts w:asciiTheme="minorEastAsia" w:hAnsiTheme="minorEastAsia" w:eastAsiaTheme="minorEastAsia" w:cstheme="minorEastAsia"/>
          <w:sz w:val="24"/>
        </w:rPr>
        <w:t>（单位公章）</w:t>
      </w:r>
    </w:p>
    <w:p>
      <w:pPr>
        <w:pStyle w:val="21"/>
        <w:spacing w:line="600" w:lineRule="exact"/>
        <w:ind w:left="1050" w:leftChars="500" w:firstLine="120" w:firstLineChars="5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pacing w:val="12"/>
          <w:sz w:val="24"/>
          <w:u w:val="single"/>
        </w:rPr>
        <w:t xml:space="preserve">                 </w:t>
      </w:r>
      <w:r>
        <w:rPr>
          <w:rFonts w:asciiTheme="minorEastAsia" w:hAnsiTheme="minorEastAsia" w:eastAsiaTheme="minorEastAsia" w:cstheme="minorEastAsia"/>
          <w:sz w:val="24"/>
        </w:rPr>
        <w:t xml:space="preserve">（签字或盖章）  </w:t>
      </w:r>
    </w:p>
    <w:p>
      <w:pPr>
        <w:pStyle w:val="21"/>
        <w:spacing w:line="600" w:lineRule="exact"/>
        <w:ind w:left="1050" w:leftChars="500" w:firstLine="120" w:firstLineChars="5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49"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0" w:name="_Toc1921"/>
      <w:r>
        <w:rPr>
          <w:rFonts w:hint="eastAsia" w:asciiTheme="minorEastAsia" w:hAnsiTheme="minorEastAsia" w:eastAsiaTheme="minorEastAsia" w:cstheme="minorEastAsia"/>
          <w:b/>
          <w:bCs/>
          <w:sz w:val="30"/>
          <w:szCs w:val="30"/>
        </w:rPr>
        <w:t>一、投标函</w:t>
      </w:r>
      <w:bookmarkEnd w:id="249"/>
      <w:r>
        <w:rPr>
          <w:rFonts w:hint="eastAsia" w:asciiTheme="minorEastAsia" w:hAnsiTheme="minorEastAsia" w:eastAsiaTheme="minorEastAsia" w:cstheme="minorEastAsia"/>
          <w:b/>
          <w:bCs/>
          <w:sz w:val="30"/>
          <w:szCs w:val="30"/>
        </w:rPr>
        <w:t>及开标一览表</w:t>
      </w:r>
      <w:bookmarkEnd w:id="250"/>
    </w:p>
    <w:p>
      <w:pPr>
        <w:jc w:val="center"/>
        <w:outlineLvl w:val="2"/>
        <w:rPr>
          <w:rFonts w:asciiTheme="minorEastAsia" w:hAnsiTheme="minorEastAsia" w:eastAsiaTheme="minorEastAsia" w:cstheme="minorEastAsia"/>
          <w:b/>
          <w:bCs/>
          <w:sz w:val="28"/>
        </w:rPr>
      </w:pPr>
      <w:bookmarkStart w:id="251" w:name="_Toc12044"/>
      <w:bookmarkStart w:id="252" w:name="_Toc27218"/>
      <w:bookmarkStart w:id="253" w:name="_Toc600"/>
      <w:r>
        <w:rPr>
          <w:rFonts w:hint="eastAsia" w:asciiTheme="minorEastAsia" w:hAnsiTheme="minorEastAsia" w:eastAsiaTheme="minorEastAsia" w:cstheme="minorEastAsia"/>
          <w:b/>
          <w:sz w:val="28"/>
          <w:szCs w:val="28"/>
        </w:rPr>
        <w:t>（一）投标函</w:t>
      </w:r>
      <w:bookmarkEnd w:id="251"/>
      <w:bookmarkEnd w:id="252"/>
      <w:bookmarkEnd w:id="253"/>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（采购人名称）： </w:t>
      </w:r>
    </w:p>
    <w:p>
      <w:pPr>
        <w:numPr>
          <w:ilvl w:val="0"/>
          <w:numId w:val="12"/>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highlight w:val="none"/>
        </w:rPr>
        <w:t>名称）招标文件的全部内容，对本项目愿意以人民币（大写）</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元（￥</w:t>
      </w:r>
      <w:r>
        <w:rPr>
          <w:rFonts w:hint="eastAsia" w:asciiTheme="minorEastAsia" w:hAnsiTheme="minorEastAsia" w:eastAsiaTheme="minorEastAsia" w:cstheme="minorEastAsia"/>
          <w:szCs w:val="21"/>
          <w:highlight w:val="none"/>
          <w:u w:val="single"/>
        </w:rPr>
        <w:t xml:space="preserve">          元</w:t>
      </w: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lang w:val="en-US" w:eastAsia="zh-CN"/>
        </w:rPr>
        <w:t>为总投资额投标</w:t>
      </w:r>
      <w:r>
        <w:rPr>
          <w:rFonts w:hint="eastAsia" w:asciiTheme="minorEastAsia" w:hAnsiTheme="minorEastAsia" w:eastAsiaTheme="minorEastAsia" w:cstheme="minorEastAsia"/>
          <w:szCs w:val="21"/>
          <w:highlight w:val="none"/>
        </w:rPr>
        <w:t>报价，以人民币（大写）</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元（￥</w:t>
      </w:r>
      <w:r>
        <w:rPr>
          <w:rFonts w:hint="eastAsia" w:asciiTheme="minorEastAsia" w:hAnsiTheme="minorEastAsia" w:eastAsiaTheme="minorEastAsia" w:cstheme="minorEastAsia"/>
          <w:szCs w:val="21"/>
          <w:highlight w:val="none"/>
          <w:u w:val="single"/>
        </w:rPr>
        <w:t xml:space="preserve">          元</w:t>
      </w: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lang w:val="en-US" w:eastAsia="zh-CN"/>
        </w:rPr>
        <w:t>为建筑垃圾处理费（不包括清运费）投标</w:t>
      </w:r>
      <w:r>
        <w:rPr>
          <w:rFonts w:hint="eastAsia" w:asciiTheme="minorEastAsia" w:hAnsiTheme="minorEastAsia" w:eastAsiaTheme="minorEastAsia" w:cstheme="minorEastAsia"/>
          <w:szCs w:val="21"/>
          <w:highlight w:val="none"/>
        </w:rPr>
        <w:t>报价</w:t>
      </w:r>
      <w:r>
        <w:rPr>
          <w:rFonts w:hint="eastAsia" w:asciiTheme="minorEastAsia" w:hAnsiTheme="minorEastAsia" w:eastAsiaTheme="minorEastAsia" w:cstheme="minorEastAsia"/>
          <w:szCs w:val="21"/>
          <w:highlight w:val="none"/>
          <w:lang w:eastAsia="zh-CN"/>
        </w:rPr>
        <w:t>，</w:t>
      </w:r>
      <w:r>
        <w:rPr>
          <w:rFonts w:asciiTheme="minorEastAsia" w:hAnsiTheme="minorEastAsia" w:eastAsiaTheme="minorEastAsia" w:cstheme="minorEastAsia"/>
          <w:highlight w:val="none"/>
        </w:rPr>
        <w:t>服</w:t>
      </w:r>
      <w:r>
        <w:rPr>
          <w:rFonts w:asciiTheme="minorEastAsia" w:hAnsiTheme="minorEastAsia" w:eastAsiaTheme="minorEastAsia" w:cstheme="minorEastAsia"/>
        </w:rPr>
        <w:t>务</w:t>
      </w:r>
      <w:r>
        <w:rPr>
          <w:rFonts w:hint="eastAsia" w:asciiTheme="minorEastAsia" w:hAnsiTheme="minorEastAsia" w:eastAsiaTheme="minorEastAsia" w:cstheme="minorEastAsia"/>
        </w:rPr>
        <w:t>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2"/>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2"/>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2"/>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（3）我方承诺按照招标文件规定向你方递交履约保证金。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（4）我们将根据招标文件的规定，严格按照《合同法》履行自己的责任和义务,并保证于投标报价表中规定的时间交货使用，否则我们的履约保证金将被贵方没收。</w:t>
      </w:r>
    </w:p>
    <w:p>
      <w:pPr>
        <w:numPr>
          <w:ilvl w:val="0"/>
          <w:numId w:val="12"/>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u w:val="single"/>
        </w:rPr>
        <w:t xml:space="preserve">                                      </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w:t>
      </w:r>
      <w:r>
        <w:rPr>
          <w:rFonts w:hint="eastAsia" w:asciiTheme="minorEastAsia" w:hAnsiTheme="minorEastAsia" w:eastAsiaTheme="minorEastAsia" w:cstheme="minorEastAsia"/>
          <w:sz w:val="24"/>
        </w:rPr>
        <w:t xml:space="preserve"> </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54" w:name="_Toc14778"/>
      <w:bookmarkStart w:id="255" w:name="_Toc9543"/>
      <w:bookmarkStart w:id="256" w:name="_Toc208"/>
      <w:r>
        <w:rPr>
          <w:rFonts w:hint="eastAsia" w:asciiTheme="minorEastAsia" w:hAnsiTheme="minorEastAsia" w:eastAsiaTheme="minorEastAsia" w:cstheme="minorEastAsia"/>
          <w:b/>
          <w:bCs/>
          <w:sz w:val="28"/>
          <w:szCs w:val="28"/>
        </w:rPr>
        <w:t>（二） 开标一览表</w:t>
      </w:r>
      <w:bookmarkEnd w:id="254"/>
      <w:bookmarkEnd w:id="255"/>
      <w:bookmarkEnd w:id="256"/>
    </w:p>
    <w:p>
      <w:pPr>
        <w:jc w:val="center"/>
        <w:rPr>
          <w:rFonts w:asciiTheme="minorEastAsia" w:hAnsiTheme="minorEastAsia" w:eastAsiaTheme="minorEastAsia" w:cstheme="minorEastAsia"/>
          <w:b/>
          <w:bCs/>
          <w:sz w:val="28"/>
        </w:rPr>
      </w:pPr>
    </w:p>
    <w:tbl>
      <w:tblPr>
        <w:tblStyle w:val="40"/>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项目名称</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投 标 人</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总投资额投标报价</w:t>
            </w:r>
          </w:p>
        </w:tc>
        <w:tc>
          <w:tcPr>
            <w:tcW w:w="5898" w:type="dxa"/>
            <w:vAlign w:val="center"/>
          </w:tcPr>
          <w:p>
            <w:pPr>
              <w:pStyle w:val="17"/>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（大写）                                </w:t>
            </w:r>
          </w:p>
          <w:p>
            <w:pPr>
              <w:pStyle w:val="17"/>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建筑垃圾处理费投标报价</w:t>
            </w:r>
          </w:p>
        </w:tc>
        <w:tc>
          <w:tcPr>
            <w:tcW w:w="5898" w:type="dxa"/>
            <w:vAlign w:val="center"/>
          </w:tcPr>
          <w:p>
            <w:pPr>
              <w:pStyle w:val="17"/>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（大写）                                </w:t>
            </w:r>
          </w:p>
          <w:p>
            <w:pPr>
              <w:pStyle w:val="17"/>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质量标准</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服务期</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hint="eastAsia" w:ascii="宋体" w:hAnsi="宋体" w:cs="宋体"/>
                <w:kern w:val="0"/>
                <w:sz w:val="24"/>
                <w:lang w:val="en-US" w:eastAsia="zh-CN"/>
              </w:rPr>
            </w:pPr>
            <w:r>
              <w:rPr>
                <w:rFonts w:hint="eastAsia" w:ascii="宋体" w:hAnsi="宋体" w:cs="宋体"/>
                <w:kern w:val="0"/>
                <w:sz w:val="24"/>
                <w:lang w:val="en-US" w:eastAsia="zh-CN"/>
              </w:rPr>
              <w:t>投标有效期</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7"/>
              <w:spacing w:line="400" w:lineRule="exact"/>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898" w:type="dxa"/>
            <w:vAlign w:val="center"/>
          </w:tcPr>
          <w:p>
            <w:pPr>
              <w:pStyle w:val="17"/>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7"/>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15"/>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24"/>
        </w:rPr>
      </w:pPr>
    </w:p>
    <w:p>
      <w:pPr>
        <w:pStyle w:val="36"/>
        <w:spacing w:before="120" w:after="120" w:line="500" w:lineRule="exact"/>
        <w:ind w:right="29" w:rightChars="14"/>
        <w:outlineLvl w:val="1"/>
        <w:rPr>
          <w:rFonts w:asciiTheme="minorEastAsia" w:hAnsiTheme="minorEastAsia" w:eastAsiaTheme="minorEastAsia" w:cstheme="minorEastAsia"/>
          <w:sz w:val="30"/>
          <w:szCs w:val="30"/>
        </w:rPr>
      </w:pPr>
      <w:bookmarkStart w:id="257" w:name="_Toc2213"/>
      <w:bookmarkStart w:id="258" w:name="_Toc5614"/>
      <w:r>
        <w:rPr>
          <w:rFonts w:hint="eastAsia" w:asciiTheme="minorEastAsia" w:hAnsiTheme="minorEastAsia" w:eastAsiaTheme="minorEastAsia" w:cstheme="minorEastAsia"/>
          <w:sz w:val="30"/>
          <w:szCs w:val="30"/>
        </w:rPr>
        <w:t>二、法定代表人身份证明书</w:t>
      </w:r>
      <w:bookmarkEnd w:id="257"/>
      <w:bookmarkEnd w:id="258"/>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r>
        <w:rPr>
          <w:rFonts w:hint="eastAsia" w:asciiTheme="minorEastAsia" w:hAnsiTheme="minorEastAsia" w:eastAsiaTheme="minorEastAsia" w:cstheme="minorEastAsia"/>
          <w:sz w:val="24"/>
          <w:u w:val="single"/>
        </w:rPr>
        <w:t xml:space="preserve">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r>
        <w:rPr>
          <w:rFonts w:hint="eastAsia" w:asciiTheme="minorEastAsia" w:hAnsiTheme="minorEastAsia" w:eastAsiaTheme="minorEastAsia" w:cstheme="minorEastAsia"/>
          <w:sz w:val="24"/>
          <w:u w:val="single"/>
        </w:rPr>
        <w:t xml:space="preserve">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性别：</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职务：</w:t>
      </w:r>
      <w:r>
        <w:rPr>
          <w:rFonts w:hint="eastAsia" w:asciiTheme="minorEastAsia" w:hAnsiTheme="minorEastAsia" w:eastAsiaTheme="minorEastAsia" w:cstheme="minorEastAsia"/>
          <w:sz w:val="24"/>
          <w:u w:val="single"/>
        </w:rPr>
        <w:t xml:space="preserve">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（盖单位公章）</w:t>
      </w: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36"/>
        <w:spacing w:before="120" w:after="120" w:line="500" w:lineRule="exact"/>
        <w:ind w:right="29" w:rightChars="14"/>
        <w:outlineLvl w:val="1"/>
        <w:rPr>
          <w:rFonts w:asciiTheme="minorEastAsia" w:hAnsiTheme="minorEastAsia" w:eastAsiaTheme="minorEastAsia" w:cstheme="minorEastAsia"/>
          <w:sz w:val="30"/>
          <w:szCs w:val="30"/>
        </w:rPr>
      </w:pPr>
      <w:bookmarkStart w:id="259" w:name="_Toc6009"/>
      <w:r>
        <w:rPr>
          <w:rFonts w:hint="eastAsia" w:asciiTheme="minorEastAsia" w:hAnsiTheme="minorEastAsia" w:eastAsiaTheme="minorEastAsia" w:cstheme="minorEastAsia"/>
          <w:sz w:val="30"/>
          <w:szCs w:val="30"/>
        </w:rPr>
        <w:br w:type="page"/>
      </w:r>
      <w:bookmarkStart w:id="260" w:name="_Toc15395"/>
      <w:r>
        <w:rPr>
          <w:rFonts w:hint="eastAsia" w:asciiTheme="minorEastAsia" w:hAnsiTheme="minorEastAsia" w:eastAsiaTheme="minorEastAsia" w:cstheme="minorEastAsia"/>
          <w:sz w:val="30"/>
          <w:szCs w:val="30"/>
        </w:rPr>
        <w:t>三、授权委托书</w:t>
      </w:r>
      <w:bookmarkEnd w:id="259"/>
      <w:bookmarkEnd w:id="260"/>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本人</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（姓名）系</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（供应商名称）的法定代表人，现委托</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（姓名）为我方代理人。代理人根据授权，以我方名义签署、澄清、说明、补正、递交、撤回、修改</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 xml:space="preserve">（项目名称）投标文件、签订合同和处理有关事宜，其法律后果由我方承担。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 xml:space="preserve">。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left="84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（盖单位公章）</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法定代表人：</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 xml:space="preserve">（签字或盖章） </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r>
        <w:rPr>
          <w:rFonts w:hint="eastAsia" w:asciiTheme="minorEastAsia" w:hAnsiTheme="minorEastAsia" w:eastAsiaTheme="minorEastAsia" w:cstheme="minorEastAsia"/>
          <w:bCs/>
          <w:sz w:val="24"/>
          <w:u w:val="single"/>
        </w:rPr>
        <w:t xml:space="preserve">                                   </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（签字或盖章）</w:t>
      </w: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r>
        <w:rPr>
          <w:rFonts w:hint="eastAsia" w:asciiTheme="minorEastAsia" w:hAnsiTheme="minorEastAsia" w:eastAsiaTheme="minorEastAsia" w:cstheme="minorEastAsia"/>
          <w:bCs/>
          <w:sz w:val="24"/>
          <w:u w:val="single"/>
        </w:rPr>
        <w:t xml:space="preserve">                                   </w:t>
      </w:r>
    </w:p>
    <w:p>
      <w:pPr>
        <w:spacing w:line="440" w:lineRule="exact"/>
        <w:ind w:left="357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left="84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w:t>
      </w:r>
    </w:p>
    <w:p>
      <w:pPr>
        <w:spacing w:line="440" w:lineRule="exact"/>
        <w:ind w:left="84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年</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月</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bCs/>
          <w:sz w:val="24"/>
        </w:rPr>
        <w:t>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36"/>
        <w:spacing w:before="120" w:after="120" w:line="500" w:lineRule="exact"/>
        <w:ind w:right="29" w:rightChars="14"/>
        <w:outlineLvl w:val="9"/>
        <w:rPr>
          <w:rFonts w:asciiTheme="minorEastAsia" w:hAnsiTheme="minorEastAsia" w:eastAsiaTheme="minorEastAsia" w:cstheme="minorEastAsia"/>
          <w:sz w:val="30"/>
          <w:szCs w:val="30"/>
        </w:rPr>
      </w:pPr>
    </w:p>
    <w:p>
      <w:pPr>
        <w:pStyle w:val="36"/>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1" w:name="_Toc19057"/>
      <w:r>
        <w:rPr>
          <w:rFonts w:hint="eastAsia" w:asciiTheme="minorEastAsia" w:hAnsiTheme="minorEastAsia" w:eastAsiaTheme="minorEastAsia" w:cstheme="minorEastAsia"/>
          <w:b/>
          <w:sz w:val="32"/>
          <w:szCs w:val="32"/>
        </w:rPr>
        <w:t>四、投标承诺函</w:t>
      </w:r>
      <w:bookmarkEnd w:id="261"/>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该中标人的投标保证金不予退还，并应赔偿采购人由此造成的损失，损失费的计算方法为该中标人的投标价与重新确定的中标人中标价的差额，否则除投标保证金不予退还外，还将取消其1年内在博爱县的投标资格，并给予通报的处罚。</w:t>
      </w: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4、不存在法律法规规定的其他违法违规行为。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投标单位名称（盖章）：</w:t>
      </w:r>
      <w:r>
        <w:rPr>
          <w:rFonts w:hint="eastAsia" w:asciiTheme="minorEastAsia" w:hAnsiTheme="minorEastAsia" w:eastAsiaTheme="minorEastAsia" w:cstheme="minorEastAsia"/>
          <w:sz w:val="24"/>
          <w:u w:val="single"/>
        </w:rPr>
        <w:t xml:space="preserve">                              </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r>
        <w:rPr>
          <w:rFonts w:hint="eastAsia" w:asciiTheme="minorEastAsia" w:hAnsiTheme="minorEastAsia" w:eastAsiaTheme="minorEastAsia" w:cstheme="minorEastAsia"/>
          <w:sz w:val="24"/>
          <w:u w:val="single"/>
        </w:rPr>
        <w:t xml:space="preserve">                 </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62" w:name="_Toc8304"/>
      <w:r>
        <w:rPr>
          <w:rFonts w:hint="eastAsia" w:asciiTheme="minorEastAsia" w:hAnsiTheme="minorEastAsia" w:eastAsiaTheme="minorEastAsia" w:cstheme="minorEastAsia"/>
          <w:b/>
          <w:bCs/>
          <w:kern w:val="2"/>
          <w:sz w:val="30"/>
          <w:szCs w:val="30"/>
        </w:rPr>
        <w:t>五</w:t>
      </w:r>
      <w:r>
        <w:rPr>
          <w:rFonts w:hint="eastAsia" w:asciiTheme="minorEastAsia" w:hAnsiTheme="minorEastAsia" w:eastAsiaTheme="minorEastAsia" w:cstheme="minorEastAsia"/>
          <w:b/>
          <w:kern w:val="2"/>
          <w:sz w:val="30"/>
          <w:szCs w:val="30"/>
        </w:rPr>
        <w:t>、项目实施方案</w:t>
      </w:r>
      <w:bookmarkEnd w:id="262"/>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 xml:space="preserve"> </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63" w:name="_Toc10043"/>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highlight w:val="none"/>
        </w:rPr>
      </w:pPr>
      <w:bookmarkStart w:id="264" w:name="_Toc20650"/>
      <w:bookmarkStart w:id="265" w:name="_Toc29492"/>
      <w:r>
        <w:rPr>
          <w:rFonts w:hint="eastAsia" w:asciiTheme="minorEastAsia" w:hAnsiTheme="minorEastAsia" w:eastAsiaTheme="minorEastAsia" w:cstheme="minorEastAsia"/>
          <w:b/>
          <w:kern w:val="2"/>
          <w:sz w:val="30"/>
          <w:szCs w:val="30"/>
          <w:highlight w:val="none"/>
        </w:rPr>
        <w:t>六、资格证明文件</w:t>
      </w:r>
      <w:bookmarkEnd w:id="263"/>
      <w:bookmarkEnd w:id="264"/>
      <w:bookmarkEnd w:id="265"/>
    </w:p>
    <w:p>
      <w:pPr>
        <w:spacing w:line="400" w:lineRule="exact"/>
        <w:jc w:val="left"/>
        <w:rPr>
          <w:rFonts w:asciiTheme="minorEastAsia" w:hAnsiTheme="minorEastAsia" w:eastAsiaTheme="minorEastAsia" w:cstheme="minorEastAsia"/>
          <w:bCs/>
          <w:sz w:val="24"/>
          <w:highlight w:val="none"/>
        </w:rPr>
      </w:pPr>
    </w:p>
    <w:p>
      <w:pPr>
        <w:spacing w:line="400" w:lineRule="exact"/>
        <w:jc w:val="left"/>
        <w:rPr>
          <w:sz w:val="24"/>
          <w:highlight w:val="none"/>
        </w:rPr>
      </w:pPr>
    </w:p>
    <w:p>
      <w:pPr>
        <w:spacing w:line="400" w:lineRule="exact"/>
        <w:jc w:val="left"/>
        <w:rPr>
          <w:sz w:val="24"/>
          <w:highlight w:val="none"/>
        </w:rPr>
      </w:pPr>
      <w:r>
        <w:rPr>
          <w:rFonts w:hint="eastAsia"/>
          <w:sz w:val="24"/>
          <w:highlight w:val="none"/>
        </w:rPr>
        <w:t>一、 供应商营业执照副本（三证合一）；</w:t>
      </w:r>
    </w:p>
    <w:p>
      <w:pPr>
        <w:spacing w:line="400" w:lineRule="exact"/>
        <w:jc w:val="left"/>
        <w:rPr>
          <w:sz w:val="24"/>
          <w:highlight w:val="none"/>
        </w:rPr>
      </w:pPr>
      <w:r>
        <w:rPr>
          <w:rFonts w:hint="eastAsia"/>
          <w:sz w:val="24"/>
          <w:highlight w:val="none"/>
        </w:rPr>
        <w:t>二、符合《中华人民共和国政府采购法》第二十二条规定:</w:t>
      </w:r>
    </w:p>
    <w:p>
      <w:pPr>
        <w:spacing w:line="400" w:lineRule="exact"/>
        <w:ind w:firstLine="480" w:firstLineChars="200"/>
        <w:jc w:val="left"/>
        <w:rPr>
          <w:sz w:val="24"/>
          <w:highlight w:val="none"/>
        </w:rPr>
      </w:pPr>
      <w:r>
        <w:rPr>
          <w:rFonts w:hint="eastAsia"/>
          <w:sz w:val="24"/>
          <w:highlight w:val="none"/>
        </w:rPr>
        <w:t>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highlight w:val="none"/>
        </w:rPr>
      </w:pPr>
      <w:r>
        <w:rPr>
          <w:rFonts w:hint="eastAsia"/>
          <w:sz w:val="24"/>
          <w:highlight w:val="none"/>
        </w:rPr>
        <w:t>2、参加政府采购活动前三年内无重大违法记录的书面声明；</w:t>
      </w:r>
    </w:p>
    <w:p>
      <w:pPr>
        <w:spacing w:line="400" w:lineRule="exact"/>
        <w:jc w:val="left"/>
        <w:rPr>
          <w:rFonts w:hint="eastAsia"/>
          <w:sz w:val="24"/>
          <w:highlight w:val="none"/>
        </w:rPr>
      </w:pPr>
      <w:r>
        <w:rPr>
          <w:rFonts w:hint="eastAsia"/>
          <w:sz w:val="24"/>
          <w:highlight w:val="none"/>
        </w:rPr>
        <w:t>三、招标文件中要求的其他资格证明材料。</w:t>
      </w:r>
    </w:p>
    <w:p>
      <w:pPr>
        <w:pStyle w:val="39"/>
        <w:rPr>
          <w:rFonts w:hint="default" w:eastAsia="宋体"/>
          <w:b/>
          <w:bCs/>
          <w:lang w:val="en-US" w:eastAsia="zh-CN"/>
        </w:rPr>
      </w:pPr>
      <w:r>
        <w:rPr>
          <w:rFonts w:hint="eastAsia"/>
          <w:b/>
          <w:bCs/>
          <w:color w:val="auto"/>
          <w:sz w:val="24"/>
          <w:lang w:val="en-US" w:eastAsia="zh-CN"/>
        </w:rPr>
        <w:t>备注：以上资格证明文件须提供原件的扫描件。</w:t>
      </w:r>
    </w:p>
    <w:p>
      <w:pPr>
        <w:pStyle w:val="39"/>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38"/>
        <w:ind w:firstLine="281"/>
        <w:rPr>
          <w:rFonts w:hint="default" w:asciiTheme="minorEastAsia" w:hAnsiTheme="minorEastAsia" w:eastAsiaTheme="minorEastAsia" w:cstheme="minorEastAsia"/>
          <w:b/>
          <w:sz w:val="28"/>
        </w:rPr>
      </w:pPr>
    </w:p>
    <w:p>
      <w:pPr>
        <w:pStyle w:val="39"/>
        <w:ind w:firstLine="562"/>
        <w:rPr>
          <w:rFonts w:asciiTheme="minorEastAsia" w:hAnsiTheme="minorEastAsia" w:eastAsiaTheme="minorEastAsia" w:cstheme="minorEastAsia"/>
          <w:b/>
          <w:sz w:val="28"/>
        </w:rPr>
      </w:pPr>
    </w:p>
    <w:p>
      <w:pPr>
        <w:pStyle w:val="39"/>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66" w:name="_Toc8330"/>
      <w:bookmarkStart w:id="267" w:name="_Toc6465"/>
      <w:bookmarkStart w:id="268" w:name="_Toc31553"/>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5"/>
        <w:widowControl w:val="0"/>
        <w:numPr>
          <w:ilvl w:val="0"/>
          <w:numId w:val="13"/>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66"/>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69" w:name="_Toc18925"/>
      <w:bookmarkStart w:id="270" w:name="_Toc24210"/>
      <w:bookmarkStart w:id="271" w:name="_Toc28422"/>
      <w:r>
        <w:rPr>
          <w:rFonts w:hint="eastAsia" w:asciiTheme="minorEastAsia" w:hAnsiTheme="minorEastAsia" w:eastAsiaTheme="minorEastAsia" w:cstheme="minorEastAsia"/>
          <w:b/>
          <w:kern w:val="2"/>
          <w:sz w:val="30"/>
          <w:szCs w:val="30"/>
        </w:rPr>
        <w:t>证明材料</w:t>
      </w:r>
      <w:bookmarkEnd w:id="267"/>
      <w:bookmarkEnd w:id="269"/>
      <w:bookmarkEnd w:id="270"/>
      <w:bookmarkEnd w:id="271"/>
      <w:r>
        <w:rPr>
          <w:rFonts w:hint="eastAsia" w:asciiTheme="minorEastAsia" w:hAnsiTheme="minorEastAsia" w:eastAsiaTheme="minorEastAsia" w:cstheme="minorEastAsia"/>
          <w:b/>
          <w:kern w:val="2"/>
          <w:sz w:val="30"/>
          <w:szCs w:val="30"/>
        </w:rPr>
        <w:t>（如有）</w:t>
      </w: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2" w:name="_Toc23227"/>
      <w:bookmarkStart w:id="273" w:name="_Toc10717"/>
      <w:r>
        <w:rPr>
          <w:rFonts w:hint="eastAsia" w:asciiTheme="minorEastAsia" w:hAnsiTheme="minorEastAsia" w:eastAsiaTheme="minorEastAsia" w:cstheme="minorEastAsia"/>
          <w:b/>
          <w:kern w:val="2"/>
          <w:sz w:val="30"/>
          <w:szCs w:val="30"/>
        </w:rPr>
        <w:t>九、中小企业声明函（如有）</w:t>
      </w:r>
      <w:bookmarkEnd w:id="272"/>
      <w:bookmarkEnd w:id="273"/>
    </w:p>
    <w:p>
      <w:pPr>
        <w:pStyle w:val="35"/>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3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74" w:name="_Toc20881"/>
      <w:bookmarkStart w:id="275" w:name="_Toc30170"/>
      <w:bookmarkStart w:id="276" w:name="_Toc14292"/>
      <w:r>
        <w:rPr>
          <w:rFonts w:hint="eastAsia" w:asciiTheme="minorEastAsia" w:hAnsiTheme="minorEastAsia" w:eastAsiaTheme="minorEastAsia" w:cstheme="minorEastAsia"/>
          <w:b/>
          <w:kern w:val="2"/>
          <w:sz w:val="30"/>
          <w:szCs w:val="30"/>
        </w:rPr>
        <w:t>十、残疾人福利性单位声明函（如有）</w:t>
      </w:r>
      <w:bookmarkEnd w:id="274"/>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268"/>
    <w:bookmarkEnd w:id="275"/>
    <w:bookmarkEnd w:id="276"/>
    <w:p>
      <w:pPr>
        <w:rPr>
          <w:rFonts w:ascii="Times New Roman" w:hAnsi="Times New Roman" w:eastAsia="仿宋"/>
          <w:sz w:val="32"/>
          <w:szCs w:val="32"/>
          <w:shd w:val="clear" w:color="FFFFFF" w:fill="D9D9D9"/>
        </w:rPr>
      </w:pPr>
    </w:p>
    <w:p>
      <w:pPr>
        <w:pStyle w:val="35"/>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77" w:name="_Toc16608"/>
      <w:r>
        <w:rPr>
          <w:rFonts w:hint="eastAsia" w:asciiTheme="minorEastAsia" w:hAnsiTheme="minorEastAsia" w:eastAsiaTheme="minorEastAsia" w:cstheme="minorEastAsia"/>
          <w:b/>
          <w:kern w:val="2"/>
          <w:sz w:val="30"/>
          <w:szCs w:val="30"/>
        </w:rPr>
        <w:t>十</w:t>
      </w:r>
      <w:r>
        <w:rPr>
          <w:rFonts w:hint="eastAsia" w:asciiTheme="minorEastAsia" w:hAnsiTheme="minorEastAsia" w:eastAsiaTheme="minorEastAsia" w:cstheme="minorEastAsia"/>
          <w:b/>
          <w:kern w:val="2"/>
          <w:sz w:val="30"/>
          <w:szCs w:val="30"/>
          <w:lang w:val="en-US" w:eastAsia="zh-CN"/>
        </w:rPr>
        <w:t>一</w:t>
      </w:r>
      <w:r>
        <w:rPr>
          <w:rFonts w:hint="eastAsia" w:asciiTheme="minorEastAsia" w:hAnsiTheme="minorEastAsia" w:eastAsiaTheme="minorEastAsia" w:cstheme="minorEastAsia"/>
          <w:b/>
          <w:kern w:val="2"/>
          <w:sz w:val="30"/>
          <w:szCs w:val="30"/>
        </w:rPr>
        <w:t>、招标文件要求的或供应商认为须提交的其他材料</w:t>
      </w:r>
      <w:bookmarkEnd w:id="277"/>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spacing w:after="100" w:afterAutospacing="1"/>
        <w:rPr>
          <w:rFonts w:hint="eastAsia" w:ascii="Calibri Light" w:hAnsi="Calibri Light"/>
          <w:b/>
          <w:bCs/>
          <w:sz w:val="32"/>
          <w:szCs w:val="32"/>
        </w:rPr>
      </w:pPr>
    </w:p>
    <w:p>
      <w:pPr>
        <w:spacing w:line="440" w:lineRule="exact"/>
        <w:jc w:val="center"/>
        <w:rPr>
          <w:rFonts w:hint="eastAsia" w:ascii="宋体" w:hAnsi="宋体" w:cs="宋体"/>
          <w:b/>
          <w:bCs w:val="0"/>
          <w:sz w:val="36"/>
          <w:szCs w:val="36"/>
          <w:highlight w:val="none"/>
        </w:rPr>
      </w:pPr>
    </w:p>
    <w:p>
      <w:pPr>
        <w:spacing w:line="440" w:lineRule="exact"/>
        <w:jc w:val="center"/>
        <w:rPr>
          <w:rFonts w:ascii="宋体" w:hAnsi="宋体" w:cs="宋体"/>
          <w:b/>
          <w:bCs w:val="0"/>
          <w:sz w:val="36"/>
          <w:szCs w:val="36"/>
          <w:highlight w:val="none"/>
        </w:rPr>
      </w:pPr>
      <w:r>
        <w:rPr>
          <w:rFonts w:hint="eastAsia" w:ascii="宋体" w:hAnsi="宋体" w:cs="宋体"/>
          <w:b/>
          <w:bCs w:val="0"/>
          <w:sz w:val="36"/>
          <w:szCs w:val="36"/>
          <w:highlight w:val="none"/>
        </w:rPr>
        <w:t>河南省政府采购合同融资政策告知函</w:t>
      </w:r>
    </w:p>
    <w:p>
      <w:pPr>
        <w:spacing w:line="420" w:lineRule="exact"/>
        <w:ind w:firstLine="367" w:firstLineChars="175"/>
        <w:rPr>
          <w:rFonts w:ascii="宋体" w:hAnsi="宋体" w:cs="宋体"/>
          <w:b w:val="0"/>
          <w:bCs/>
          <w:szCs w:val="21"/>
          <w:highlight w:val="none"/>
        </w:rPr>
      </w:pPr>
      <w:r>
        <w:rPr>
          <w:rFonts w:hint="eastAsia" w:ascii="宋体" w:hAnsi="宋体" w:cs="宋体"/>
          <w:b w:val="0"/>
          <w:bCs/>
          <w:szCs w:val="21"/>
          <w:highlight w:val="none"/>
        </w:rPr>
        <w:t>各供应商：</w:t>
      </w:r>
    </w:p>
    <w:p>
      <w:pPr>
        <w:spacing w:line="420" w:lineRule="exact"/>
        <w:ind w:firstLine="367" w:firstLineChars="175"/>
        <w:rPr>
          <w:rFonts w:ascii="宋体" w:hAnsi="宋体" w:cs="宋体"/>
          <w:b w:val="0"/>
          <w:bCs/>
          <w:szCs w:val="21"/>
          <w:highlight w:val="none"/>
        </w:rPr>
      </w:pPr>
      <w:r>
        <w:rPr>
          <w:rFonts w:hint="eastAsia" w:ascii="宋体" w:hAnsi="宋体" w:cs="宋体"/>
          <w:b w:val="0"/>
          <w:bCs/>
          <w:szCs w:val="21"/>
          <w:highlight w:val="none"/>
        </w:rPr>
        <w:t xml:space="preserve">   欢迎贵公司参与河南省政府采购活动！</w:t>
      </w:r>
    </w:p>
    <w:p>
      <w:pPr>
        <w:spacing w:line="420" w:lineRule="exact"/>
        <w:ind w:firstLine="367" w:firstLineChars="175"/>
        <w:rPr>
          <w:rFonts w:ascii="宋体" w:hAnsi="宋体" w:cs="宋体"/>
          <w:b w:val="0"/>
          <w:bCs/>
          <w:szCs w:val="21"/>
          <w:highlight w:val="none"/>
        </w:rPr>
      </w:pPr>
      <w:r>
        <w:rPr>
          <w:rFonts w:hint="eastAsia" w:ascii="宋体" w:hAnsi="宋体" w:cs="宋体"/>
          <w:b w:val="0"/>
          <w:bCs/>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 w:val="0"/>
          <w:bCs/>
          <w:szCs w:val="21"/>
          <w:highlight w:val="none"/>
        </w:rPr>
      </w:pPr>
      <w:r>
        <w:rPr>
          <w:rFonts w:hint="eastAsia" w:ascii="宋体" w:hAnsi="宋体" w:cs="宋体"/>
          <w:b w:val="0"/>
          <w:bCs/>
          <w:szCs w:val="21"/>
          <w:highlight w:val="none"/>
        </w:rPr>
        <w:t xml:space="preserve"> 贷款渠道和提供贷款的金融机构，可在河南省政府采购网“河南省政府采购合同融资平台”查询联系。</w:t>
      </w:r>
    </w:p>
    <w:p>
      <w:pPr>
        <w:jc w:val="center"/>
        <w:rPr>
          <w:rFonts w:ascii="宋体" w:hAnsi="宋体"/>
          <w:b/>
          <w:bCs w:val="0"/>
          <w:sz w:val="32"/>
          <w:szCs w:val="32"/>
          <w:highlight w:val="none"/>
        </w:rPr>
      </w:pPr>
      <w:r>
        <w:rPr>
          <w:rFonts w:hint="eastAsia" w:ascii="宋体" w:hAnsi="宋体"/>
          <w:b/>
          <w:bCs w:val="0"/>
          <w:sz w:val="32"/>
          <w:szCs w:val="32"/>
          <w:highlight w:val="none"/>
        </w:rPr>
        <w:t>焦作市政府采购合同融资合作企业</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656" w:type="dxa"/>
            <w:noWrap w:val="0"/>
            <w:vAlign w:val="center"/>
          </w:tcPr>
          <w:p>
            <w:pPr>
              <w:widowControl/>
              <w:tabs>
                <w:tab w:val="left" w:pos="0"/>
              </w:tabs>
              <w:jc w:val="center"/>
              <w:rPr>
                <w:rFonts w:hint="eastAsia" w:ascii="黑体" w:hAnsi="黑体" w:eastAsia="黑体"/>
                <w:sz w:val="30"/>
                <w:szCs w:val="30"/>
              </w:rPr>
            </w:pPr>
            <w:r>
              <w:rPr>
                <w:rFonts w:hint="eastAsia" w:ascii="黑体" w:hAnsi="黑体" w:eastAsia="黑体"/>
                <w:sz w:val="30"/>
                <w:szCs w:val="30"/>
              </w:rPr>
              <w:t>名称</w:t>
            </w:r>
          </w:p>
        </w:tc>
        <w:tc>
          <w:tcPr>
            <w:tcW w:w="1230" w:type="dxa"/>
            <w:noWrap w:val="0"/>
            <w:vAlign w:val="center"/>
          </w:tcPr>
          <w:p>
            <w:pPr>
              <w:widowControl/>
              <w:tabs>
                <w:tab w:val="left" w:pos="0"/>
              </w:tabs>
              <w:jc w:val="center"/>
              <w:rPr>
                <w:rFonts w:hint="eastAsia" w:ascii="黑体" w:hAnsi="黑体" w:eastAsia="黑体"/>
                <w:sz w:val="30"/>
                <w:szCs w:val="30"/>
              </w:rPr>
            </w:pPr>
            <w:r>
              <w:rPr>
                <w:rFonts w:hint="eastAsia" w:ascii="黑体" w:hAnsi="黑体" w:eastAsia="黑体"/>
                <w:sz w:val="30"/>
                <w:szCs w:val="30"/>
              </w:rPr>
              <w:t>联系人</w:t>
            </w:r>
          </w:p>
        </w:tc>
        <w:tc>
          <w:tcPr>
            <w:tcW w:w="1876" w:type="dxa"/>
            <w:noWrap w:val="0"/>
            <w:vAlign w:val="center"/>
          </w:tcPr>
          <w:p>
            <w:pPr>
              <w:widowControl/>
              <w:tabs>
                <w:tab w:val="left" w:pos="0"/>
              </w:tabs>
              <w:jc w:val="center"/>
              <w:rPr>
                <w:rFonts w:hint="eastAsia" w:ascii="黑体" w:hAnsi="黑体" w:eastAsia="黑体"/>
                <w:sz w:val="30"/>
                <w:szCs w:val="30"/>
              </w:rPr>
            </w:pPr>
            <w:r>
              <w:rPr>
                <w:rFonts w:hint="eastAsia" w:ascii="黑体" w:hAnsi="黑体" w:eastAsia="黑体"/>
                <w:sz w:val="30"/>
                <w:szCs w:val="30"/>
              </w:rPr>
              <w:t>联系电话</w:t>
            </w:r>
          </w:p>
        </w:tc>
        <w:tc>
          <w:tcPr>
            <w:tcW w:w="2325" w:type="dxa"/>
            <w:noWrap w:val="0"/>
            <w:vAlign w:val="center"/>
          </w:tcPr>
          <w:p>
            <w:pPr>
              <w:widowControl/>
              <w:tabs>
                <w:tab w:val="left" w:pos="0"/>
              </w:tabs>
              <w:jc w:val="center"/>
              <w:rPr>
                <w:rFonts w:hint="eastAsia"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中国农业银行股份有限公司</w:t>
            </w:r>
          </w:p>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焦作分行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薛国战</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0391-2878039       13839109026</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中国银行股份有限公司焦作分行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曹阳</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0391-8825171  13839118160</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中国建设银行股份有限公司焦作分行</w:t>
            </w:r>
          </w:p>
        </w:tc>
        <w:tc>
          <w:tcPr>
            <w:tcW w:w="1230" w:type="dxa"/>
            <w:shd w:val="clear" w:color="auto" w:fill="auto"/>
            <w:noWrap w:val="0"/>
            <w:vAlign w:val="center"/>
          </w:tcPr>
          <w:p>
            <w:pPr>
              <w:widowControl/>
              <w:tabs>
                <w:tab w:val="left" w:pos="0"/>
              </w:tabs>
              <w:spacing w:line="360" w:lineRule="exact"/>
              <w:jc w:val="center"/>
              <w:rPr>
                <w:rFonts w:hint="eastAsia" w:ascii="宋体" w:hAnsi="宋体" w:eastAsia="宋体" w:cs="宋体"/>
                <w:sz w:val="24"/>
                <w:szCs w:val="24"/>
              </w:rPr>
            </w:pPr>
            <w:r>
              <w:rPr>
                <w:rFonts w:hint="eastAsia" w:ascii="宋体" w:hAnsi="宋体" w:eastAsia="宋体" w:cs="宋体"/>
                <w:sz w:val="24"/>
                <w:szCs w:val="24"/>
                <w:lang w:eastAsia="zh-CN"/>
              </w:rPr>
              <w:t>李华莹</w:t>
            </w:r>
          </w:p>
        </w:tc>
        <w:tc>
          <w:tcPr>
            <w:tcW w:w="1876" w:type="dxa"/>
            <w:shd w:val="clear" w:color="auto" w:fill="auto"/>
            <w:noWrap w:val="0"/>
            <w:vAlign w:val="center"/>
          </w:tcPr>
          <w:p>
            <w:pPr>
              <w:widowControl/>
              <w:tabs>
                <w:tab w:val="left" w:pos="0"/>
              </w:tabs>
              <w:spacing w:line="3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0391-3918471</w:t>
            </w:r>
          </w:p>
        </w:tc>
        <w:tc>
          <w:tcPr>
            <w:tcW w:w="2325" w:type="dxa"/>
            <w:shd w:val="solid" w:color="FFFFFF" w:fill="auto"/>
            <w:noWrap w:val="0"/>
            <w:vAlign w:val="center"/>
          </w:tcPr>
          <w:p>
            <w:pPr>
              <w:widowControl/>
              <w:tabs>
                <w:tab w:val="left" w:pos="0"/>
              </w:tabs>
              <w:spacing w:line="36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中国邮政储蓄银行股份有限公司焦作市分行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李天祥</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0391-2981968 13523359082</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焦作中旅银行股份有限公司</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周建林</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 xml:space="preserve">0391-2116963 15893053027 </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中信银行股份有限公司焦作分行</w:t>
            </w:r>
          </w:p>
        </w:tc>
        <w:tc>
          <w:tcPr>
            <w:tcW w:w="1230" w:type="dxa"/>
            <w:shd w:val="clear" w:color="auto" w:fill="auto"/>
            <w:noWrap w:val="0"/>
            <w:vAlign w:val="center"/>
          </w:tcPr>
          <w:p>
            <w:pPr>
              <w:widowControl/>
              <w:tabs>
                <w:tab w:val="left" w:pos="0"/>
              </w:tabs>
              <w:spacing w:line="360" w:lineRule="exact"/>
              <w:jc w:val="center"/>
              <w:rPr>
                <w:rFonts w:hint="eastAsia" w:ascii="宋体" w:hAnsi="宋体" w:eastAsia="宋体" w:cs="宋体"/>
                <w:sz w:val="24"/>
                <w:szCs w:val="24"/>
              </w:rPr>
            </w:pPr>
            <w:r>
              <w:rPr>
                <w:rFonts w:hint="eastAsia" w:ascii="宋体" w:hAnsi="宋体" w:eastAsia="宋体" w:cs="宋体"/>
                <w:sz w:val="24"/>
                <w:szCs w:val="24"/>
                <w:lang w:eastAsia="zh-CN"/>
              </w:rPr>
              <w:t>周江江</w:t>
            </w:r>
          </w:p>
        </w:tc>
        <w:tc>
          <w:tcPr>
            <w:tcW w:w="1876" w:type="dxa"/>
            <w:shd w:val="clear" w:color="auto" w:fill="auto"/>
            <w:noWrap w:val="0"/>
            <w:vAlign w:val="center"/>
          </w:tcPr>
          <w:p>
            <w:pPr>
              <w:widowControl/>
              <w:tabs>
                <w:tab w:val="left" w:pos="0"/>
              </w:tabs>
              <w:spacing w:line="36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17639185001</w:t>
            </w:r>
          </w:p>
        </w:tc>
        <w:tc>
          <w:tcPr>
            <w:tcW w:w="2325" w:type="dxa"/>
            <w:shd w:val="solid" w:color="FFFFFF" w:fill="auto"/>
            <w:noWrap w:val="0"/>
            <w:vAlign w:val="center"/>
          </w:tcPr>
          <w:p>
            <w:pPr>
              <w:widowControl/>
              <w:tabs>
                <w:tab w:val="left" w:pos="0"/>
              </w:tabs>
              <w:spacing w:line="36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bCs/>
                <w:sz w:val="24"/>
                <w:szCs w:val="24"/>
              </w:rPr>
              <w:t>中国光大银行股份有限公司焦作分行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王海宾</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0391-8787996 13598534626</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中原银行股份有限公司焦作分行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赵伟</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0391-8796520 15738533033</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656" w:type="dxa"/>
            <w:shd w:val="clear" w:color="auto" w:fill="auto"/>
            <w:noWrap w:val="0"/>
            <w:vAlign w:val="center"/>
          </w:tcPr>
          <w:p>
            <w:pPr>
              <w:widowControl/>
              <w:tabs>
                <w:tab w:val="left" w:pos="0"/>
              </w:tabs>
              <w:spacing w:line="360" w:lineRule="exact"/>
              <w:rPr>
                <w:rFonts w:hint="eastAsia" w:ascii="宋体" w:hAnsi="宋体" w:eastAsia="宋体" w:cs="宋体"/>
                <w:sz w:val="24"/>
                <w:szCs w:val="24"/>
              </w:rPr>
            </w:pPr>
            <w:r>
              <w:rPr>
                <w:rFonts w:hint="eastAsia" w:ascii="宋体" w:hAnsi="宋体" w:eastAsia="宋体" w:cs="宋体"/>
                <w:sz w:val="24"/>
                <w:szCs w:val="24"/>
              </w:rPr>
              <w:t>广发银行股份有限公司焦作分行</w:t>
            </w:r>
          </w:p>
        </w:tc>
        <w:tc>
          <w:tcPr>
            <w:tcW w:w="1230"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sz w:val="24"/>
                <w:szCs w:val="24"/>
              </w:rPr>
            </w:pPr>
            <w:r>
              <w:rPr>
                <w:rFonts w:hint="eastAsia" w:ascii="宋体" w:hAnsi="宋体" w:eastAsia="宋体" w:cs="宋体"/>
                <w:b w:val="0"/>
                <w:i w:val="0"/>
                <w:snapToGrid/>
                <w:color w:val="000000"/>
                <w:sz w:val="24"/>
                <w:szCs w:val="24"/>
                <w:u w:val="none"/>
                <w:shd w:val="clear" w:color="auto" w:fill="FFFFFF"/>
                <w:lang w:eastAsia="zh-CN"/>
              </w:rPr>
              <w:t>张嘉强</w:t>
            </w:r>
          </w:p>
        </w:tc>
        <w:tc>
          <w:tcPr>
            <w:tcW w:w="1876"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0391-653785 13203910032</w:t>
            </w:r>
          </w:p>
        </w:tc>
        <w:tc>
          <w:tcPr>
            <w:tcW w:w="2325" w:type="dxa"/>
            <w:shd w:val="solid" w:color="FFFFFF" w:fill="auto"/>
            <w:noWrap w:val="0"/>
            <w:vAlign w:val="center"/>
          </w:tcPr>
          <w:p>
            <w:pPr>
              <w:shd w:val="solid" w:color="FFFFFF" w:fill="auto"/>
              <w:kinsoku/>
              <w:autoSpaceDE/>
              <w:autoSpaceDN w:val="0"/>
              <w:jc w:val="center"/>
              <w:textAlignment w:val="center"/>
              <w:rPr>
                <w:rFonts w:hint="eastAsia" w:ascii="宋体" w:hAnsi="宋体" w:eastAsia="宋体" w:cs="宋体"/>
                <w:b w:val="0"/>
                <w:i w:val="0"/>
                <w:snapToGrid/>
                <w:color w:val="000000"/>
                <w:sz w:val="24"/>
                <w:szCs w:val="24"/>
                <w:u w:val="none"/>
                <w:shd w:val="clear" w:color="auto" w:fill="FFFFFF"/>
                <w:lang w:eastAsia="zh-CN"/>
              </w:rPr>
            </w:pPr>
            <w:r>
              <w:rPr>
                <w:rFonts w:hint="eastAsia" w:ascii="宋体" w:hAnsi="宋体" w:eastAsia="宋体" w:cs="宋体"/>
                <w:b w:val="0"/>
                <w:i w:val="0"/>
                <w:snapToGrid/>
                <w:color w:val="000000"/>
                <w:sz w:val="24"/>
                <w:szCs w:val="24"/>
                <w:u w:val="none"/>
                <w:shd w:val="clear" w:color="auto" w:fill="FFFFFF"/>
                <w:lang w:eastAsia="zh-CN"/>
              </w:rPr>
              <w:t>焦作市塔南路1736号嘉隆金融中心</w:t>
            </w:r>
          </w:p>
        </w:tc>
      </w:tr>
    </w:tbl>
    <w:p>
      <w:pPr>
        <w:rPr>
          <w:rFonts w:hint="eastAsia" w:ascii="宋体" w:hAnsi="宋体" w:eastAsia="宋体" w:cs="宋体"/>
          <w:sz w:val="24"/>
          <w:szCs w:val="24"/>
          <w:highlight w:val="yellow"/>
        </w:rPr>
      </w:pPr>
      <w:r>
        <w:rPr>
          <w:rFonts w:hint="eastAsia" w:ascii="宋体" w:hAnsi="宋体" w:eastAsia="宋体" w:cs="宋体"/>
          <w:sz w:val="24"/>
          <w:szCs w:val="24"/>
          <w:lang w:eastAsia="zh-CN"/>
        </w:rPr>
        <w:t>备注：融资服务机构名单和人员联系方式会随时变化。具体情况可登录“</w:t>
      </w:r>
      <w:r>
        <w:rPr>
          <w:rFonts w:hint="eastAsia" w:ascii="宋体" w:hAnsi="宋体" w:eastAsia="宋体" w:cs="宋体"/>
          <w:sz w:val="24"/>
          <w:szCs w:val="24"/>
        </w:rPr>
        <w:t>焦作市政府采购网”</w:t>
      </w:r>
      <w:r>
        <w:rPr>
          <w:rFonts w:hint="eastAsia" w:ascii="宋体" w:hAnsi="宋体" w:eastAsia="宋体" w:cs="宋体"/>
          <w:sz w:val="24"/>
          <w:szCs w:val="24"/>
          <w:lang w:eastAsia="zh-CN"/>
        </w:rPr>
        <w:t>政府采购合同融资平台查询。</w:t>
      </w:r>
    </w:p>
    <w:p>
      <w:pPr>
        <w:rPr>
          <w:rFonts w:hint="eastAsia" w:ascii="宋体" w:hAnsi="宋体" w:eastAsia="宋体" w:cs="宋体"/>
          <w:sz w:val="24"/>
          <w:szCs w:val="24"/>
          <w:highlight w:val="yellow"/>
        </w:rPr>
      </w:pPr>
    </w:p>
    <w:p>
      <w:pPr>
        <w:rPr>
          <w:highlight w:val="yellow"/>
        </w:rPr>
      </w:pPr>
    </w:p>
    <w:sectPr>
      <w:footerReference r:id="rId5" w:type="default"/>
      <w:pgSz w:w="11907" w:h="16840"/>
      <w:pgMar w:top="1276" w:right="1116" w:bottom="1417" w:left="911" w:header="850"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_x000B__x000C_">
    <w:altName w:val="Times New Roman"/>
    <w:panose1 w:val="00000000000000000000"/>
    <w:charset w:val="00"/>
    <w:family w:val="auto"/>
    <w:pitch w:val="default"/>
    <w:sig w:usb0="00000000" w:usb1="00000000" w:usb2="00000000" w:usb3="00000000" w:csb0="00040001" w:csb1="00000000"/>
  </w:font>
  <w:font w:name="FZSSK--GBK1-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E-BZ">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pict>
        <v:shape id="_x0000_s3075" o:spid="_x0000_s3075"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joinstyle="miter"/>
          <v:imagedata o:title=""/>
          <o:lock v:ext="edit"/>
          <v:textbox inset="0mm,0mm,0mm,0mm" style="mso-fit-shape-to-text:t;">
            <w:txbxContent>
              <w:p>
                <w:pPr>
                  <w:pStyle w:val="26"/>
                </w:pPr>
                <w:r>
                  <w:fldChar w:fldCharType="begin"/>
                </w:r>
                <w:r>
                  <w:instrText xml:space="preserve"> PAGE  \* MERGEFORMAT </w:instrText>
                </w:r>
                <w:r>
                  <w:fldChar w:fldCharType="separate"/>
                </w:r>
                <w:r>
                  <w:t>- 2 -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26"/>
                </w:pPr>
                <w:r>
                  <w:fldChar w:fldCharType="begin"/>
                </w:r>
                <w:r>
                  <w:instrText xml:space="preserve"> PAGE  \* MERGEFORMAT </w:instrText>
                </w:r>
                <w:r>
                  <w:fldChar w:fldCharType="separate"/>
                </w:r>
                <w:r>
                  <w:t>- 1 -</w:t>
                </w:r>
                <w:r>
                  <w:fldChar w:fldCharType="end"/>
                </w:r>
              </w:p>
            </w:txbxContent>
          </v:textbox>
        </v:shape>
      </w:pict>
    </w:r>
    <w:r>
      <w:pict>
        <v:shape id="_x0000_s3076" o:spid="_x0000_s307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DdlaH3sQEAAGADAAAOAAAAAAAAAAEAIAAAACcBAABkcnMvZTJvRG9jLnhtbFBLBQYAAAAABgAG&#10;AFkBAABKBQAAAAA=&#10;">
          <v:path/>
          <v:fill on="f" focussize="0,0"/>
          <v:stroke on="f" joinstyle="miter"/>
          <v:imagedata o:title=""/>
          <o:lock v:ext="edit"/>
          <v:textbox>
            <w:txbxContent>
              <w:p>
                <w:pPr>
                  <w:snapToGrid w:val="0"/>
                  <w:rPr>
                    <w:sz w:val="18"/>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sz w:val="16"/>
        <w:szCs w:val="22"/>
      </w:rPr>
    </w:pPr>
    <w:r>
      <w:rPr>
        <w:sz w:val="20"/>
        <w:szCs w:val="22"/>
      </w:rPr>
      <w:pict>
        <v:shape id="_x0000_s3073" o:spid="_x0000_s3073"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D/zT0PSAQAApQMAAA4AAABkcnMvZTJvRG9jLnhtbK1TzY7TMBC+I/EO&#10;lu80yW4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XlJimcGBn379PP3+e/rz&#10;gyyTPL2HGrNuPebF4b0bcGlmP6AzsR5kMOmLfAjGUdzjWVwxRMLTo7flVYkRjqHqslou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P/NPQ9IBAAClAwAADgAAAAAAAAABACAAAAAfAQAA&#10;ZHJzL2Uyb0RvYy54bWxQSwUGAAAAAAYABgBZAQAAYwUAAAAA&#10;">
          <v:path/>
          <v:fill on="f" focussize="0,0"/>
          <v:stroke on="f" joinstyle="miter"/>
          <v:imagedata o:title=""/>
          <o:lock v:ext="edit"/>
          <v:textbox inset="0mm,0mm,0mm,0mm" style="mso-fit-shape-to-text:t;">
            <w:txbxContent>
              <w:p>
                <w:pPr>
                  <w:pStyle w:val="26"/>
                </w:pPr>
                <w:r>
                  <w:fldChar w:fldCharType="begin"/>
                </w:r>
                <w:r>
                  <w:instrText xml:space="preserve"> PAGE  \* MERGEFORMAT </w:instrText>
                </w:r>
                <w:r>
                  <w:fldChar w:fldCharType="separate"/>
                </w:r>
                <w:r>
                  <w:t>- 42 -</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827EB003"/>
    <w:multiLevelType w:val="singleLevel"/>
    <w:tmpl w:val="827EB003"/>
    <w:lvl w:ilvl="0" w:tentative="0">
      <w:start w:val="1"/>
      <w:numFmt w:val="decimal"/>
      <w:lvlText w:val="%1."/>
      <w:lvlJc w:val="left"/>
      <w:pPr>
        <w:tabs>
          <w:tab w:val="left" w:pos="312"/>
        </w:tabs>
        <w:ind w:left="-100"/>
      </w:pPr>
    </w:lvl>
  </w:abstractNum>
  <w:abstractNum w:abstractNumId="2">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D6A8FD69"/>
    <w:multiLevelType w:val="singleLevel"/>
    <w:tmpl w:val="D6A8FD69"/>
    <w:lvl w:ilvl="0" w:tentative="0">
      <w:start w:val="7"/>
      <w:numFmt w:val="chineseCounting"/>
      <w:suff w:val="nothing"/>
      <w:lvlText w:val="%1、"/>
      <w:lvlJc w:val="left"/>
      <w:rPr>
        <w:rFonts w:hint="eastAsia"/>
      </w:rPr>
    </w:lvl>
  </w:abstractNum>
  <w:abstractNum w:abstractNumId="4">
    <w:nsid w:val="E25B3C03"/>
    <w:multiLevelType w:val="singleLevel"/>
    <w:tmpl w:val="E25B3C03"/>
    <w:lvl w:ilvl="0" w:tentative="0">
      <w:start w:val="1"/>
      <w:numFmt w:val="decimal"/>
      <w:suff w:val="nothing"/>
      <w:lvlText w:val="（%1）"/>
      <w:lvlJc w:val="left"/>
    </w:lvl>
  </w:abstractNum>
  <w:abstractNum w:abstractNumId="5">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4"/>
    <w:multiLevelType w:val="multilevel"/>
    <w:tmpl w:val="00000004"/>
    <w:lvl w:ilvl="0" w:tentative="0">
      <w:start w:val="1"/>
      <w:numFmt w:val="decimal"/>
      <w:pStyle w:val="110"/>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340"/>
        </w:tabs>
        <w:ind w:left="340"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A8AF6D0"/>
    <w:multiLevelType w:val="singleLevel"/>
    <w:tmpl w:val="0A8AF6D0"/>
    <w:lvl w:ilvl="0" w:tentative="0">
      <w:start w:val="1"/>
      <w:numFmt w:val="decimal"/>
      <w:suff w:val="nothing"/>
      <w:lvlText w:val="%1、"/>
      <w:lvlJc w:val="left"/>
    </w:lvl>
  </w:abstractNum>
  <w:abstractNum w:abstractNumId="9">
    <w:nsid w:val="1C58BAF0"/>
    <w:multiLevelType w:val="singleLevel"/>
    <w:tmpl w:val="1C58BAF0"/>
    <w:lvl w:ilvl="0" w:tentative="0">
      <w:start w:val="1"/>
      <w:numFmt w:val="decimal"/>
      <w:suff w:val="nothing"/>
      <w:lvlText w:val="（%1）"/>
      <w:lvlJc w:val="left"/>
    </w:lvl>
  </w:abstractNum>
  <w:abstractNum w:abstractNumId="10">
    <w:nsid w:val="5A693C2F"/>
    <w:multiLevelType w:val="singleLevel"/>
    <w:tmpl w:val="5A693C2F"/>
    <w:lvl w:ilvl="0" w:tentative="0">
      <w:start w:val="3"/>
      <w:numFmt w:val="chineseCounting"/>
      <w:suff w:val="space"/>
      <w:lvlText w:val="第%1章"/>
      <w:lvlJc w:val="left"/>
    </w:lvl>
  </w:abstractNum>
  <w:abstractNum w:abstractNumId="11">
    <w:nsid w:val="60B83AE4"/>
    <w:multiLevelType w:val="singleLevel"/>
    <w:tmpl w:val="60B83AE4"/>
    <w:lvl w:ilvl="0" w:tentative="0">
      <w:start w:val="1"/>
      <w:numFmt w:val="decimal"/>
      <w:suff w:val="nothing"/>
      <w:lvlText w:val="%1、"/>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7"/>
  </w:num>
  <w:num w:numId="2">
    <w:abstractNumId w:val="12"/>
  </w:num>
  <w:num w:numId="3">
    <w:abstractNumId w:val="0"/>
  </w:num>
  <w:num w:numId="4">
    <w:abstractNumId w:val="8"/>
  </w:num>
  <w:num w:numId="5">
    <w:abstractNumId w:val="11"/>
  </w:num>
  <w:num w:numId="6">
    <w:abstractNumId w:val="6"/>
  </w:num>
  <w:num w:numId="7">
    <w:abstractNumId w:val="10"/>
  </w:num>
  <w:num w:numId="8">
    <w:abstractNumId w:val="1"/>
  </w:num>
  <w:num w:numId="9">
    <w:abstractNumId w:val="2"/>
  </w:num>
  <w:num w:numId="10">
    <w:abstractNumId w:val="9"/>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C07F7"/>
    <w:rsid w:val="0001346A"/>
    <w:rsid w:val="00063AF6"/>
    <w:rsid w:val="00076BE7"/>
    <w:rsid w:val="000A6C62"/>
    <w:rsid w:val="000B39BA"/>
    <w:rsid w:val="00166522"/>
    <w:rsid w:val="00216421"/>
    <w:rsid w:val="00253C5A"/>
    <w:rsid w:val="002A615E"/>
    <w:rsid w:val="002C1302"/>
    <w:rsid w:val="00361BC5"/>
    <w:rsid w:val="0036575F"/>
    <w:rsid w:val="003D7AE1"/>
    <w:rsid w:val="00402E99"/>
    <w:rsid w:val="004406E3"/>
    <w:rsid w:val="00462D90"/>
    <w:rsid w:val="004B5D60"/>
    <w:rsid w:val="004C597B"/>
    <w:rsid w:val="004F7D2F"/>
    <w:rsid w:val="0054352A"/>
    <w:rsid w:val="005673A3"/>
    <w:rsid w:val="005F7ECF"/>
    <w:rsid w:val="00627B00"/>
    <w:rsid w:val="006C19CE"/>
    <w:rsid w:val="006D0538"/>
    <w:rsid w:val="00793577"/>
    <w:rsid w:val="007B73C5"/>
    <w:rsid w:val="007F2A90"/>
    <w:rsid w:val="008135DE"/>
    <w:rsid w:val="008622AE"/>
    <w:rsid w:val="008A0147"/>
    <w:rsid w:val="008A46C7"/>
    <w:rsid w:val="00935B6C"/>
    <w:rsid w:val="00956B37"/>
    <w:rsid w:val="009F3EFB"/>
    <w:rsid w:val="00A83E98"/>
    <w:rsid w:val="00A85F8B"/>
    <w:rsid w:val="00A912D2"/>
    <w:rsid w:val="00AE0C96"/>
    <w:rsid w:val="00B14CBE"/>
    <w:rsid w:val="00BF0334"/>
    <w:rsid w:val="00C0226B"/>
    <w:rsid w:val="00C56912"/>
    <w:rsid w:val="00C95C47"/>
    <w:rsid w:val="00C96A00"/>
    <w:rsid w:val="00D0289A"/>
    <w:rsid w:val="00DE5275"/>
    <w:rsid w:val="00DE5B2F"/>
    <w:rsid w:val="00E00402"/>
    <w:rsid w:val="00E216F9"/>
    <w:rsid w:val="00EA50CB"/>
    <w:rsid w:val="00FC07F7"/>
    <w:rsid w:val="02AE1565"/>
    <w:rsid w:val="02BD3CA5"/>
    <w:rsid w:val="02EE394E"/>
    <w:rsid w:val="03CE7267"/>
    <w:rsid w:val="04445A6F"/>
    <w:rsid w:val="04A96AD3"/>
    <w:rsid w:val="04B50786"/>
    <w:rsid w:val="0576381C"/>
    <w:rsid w:val="058218A3"/>
    <w:rsid w:val="05D003A1"/>
    <w:rsid w:val="081E0A3F"/>
    <w:rsid w:val="08A21808"/>
    <w:rsid w:val="09BC72E8"/>
    <w:rsid w:val="0A5E12A9"/>
    <w:rsid w:val="0AE978F9"/>
    <w:rsid w:val="0B0A2060"/>
    <w:rsid w:val="0B4E0653"/>
    <w:rsid w:val="0B73403D"/>
    <w:rsid w:val="0C8F4EFE"/>
    <w:rsid w:val="0CD86A66"/>
    <w:rsid w:val="0D7F4A6C"/>
    <w:rsid w:val="0E0C2192"/>
    <w:rsid w:val="0F0D7248"/>
    <w:rsid w:val="0F1B3720"/>
    <w:rsid w:val="0F5B7462"/>
    <w:rsid w:val="10953E1F"/>
    <w:rsid w:val="114E7AAC"/>
    <w:rsid w:val="12763E2B"/>
    <w:rsid w:val="13092A1A"/>
    <w:rsid w:val="130C2333"/>
    <w:rsid w:val="133E2C29"/>
    <w:rsid w:val="135A2F84"/>
    <w:rsid w:val="14CE5ED8"/>
    <w:rsid w:val="15463B6C"/>
    <w:rsid w:val="172209D0"/>
    <w:rsid w:val="1A006299"/>
    <w:rsid w:val="1B62134A"/>
    <w:rsid w:val="1B880EE1"/>
    <w:rsid w:val="1C562EDE"/>
    <w:rsid w:val="1FEF7194"/>
    <w:rsid w:val="21E86344"/>
    <w:rsid w:val="23EC33B3"/>
    <w:rsid w:val="253C7BA7"/>
    <w:rsid w:val="271E36CB"/>
    <w:rsid w:val="29026BDF"/>
    <w:rsid w:val="292E546E"/>
    <w:rsid w:val="29496A52"/>
    <w:rsid w:val="297016C3"/>
    <w:rsid w:val="2AA24B72"/>
    <w:rsid w:val="2AC17834"/>
    <w:rsid w:val="2B092000"/>
    <w:rsid w:val="2B0D5125"/>
    <w:rsid w:val="2D152317"/>
    <w:rsid w:val="2D65425F"/>
    <w:rsid w:val="2EE50335"/>
    <w:rsid w:val="2F550E93"/>
    <w:rsid w:val="30387C7D"/>
    <w:rsid w:val="314431C2"/>
    <w:rsid w:val="317F2F66"/>
    <w:rsid w:val="31A250D5"/>
    <w:rsid w:val="3201312E"/>
    <w:rsid w:val="32317863"/>
    <w:rsid w:val="32737303"/>
    <w:rsid w:val="32C24E2D"/>
    <w:rsid w:val="33EB7154"/>
    <w:rsid w:val="348D1324"/>
    <w:rsid w:val="34BD2B9F"/>
    <w:rsid w:val="36374EF3"/>
    <w:rsid w:val="36972C30"/>
    <w:rsid w:val="36BB6A11"/>
    <w:rsid w:val="377D2C70"/>
    <w:rsid w:val="37FD624C"/>
    <w:rsid w:val="38422D98"/>
    <w:rsid w:val="38C459D3"/>
    <w:rsid w:val="39E32A71"/>
    <w:rsid w:val="3BDE757E"/>
    <w:rsid w:val="3BE67BDB"/>
    <w:rsid w:val="3C312620"/>
    <w:rsid w:val="3C521F1F"/>
    <w:rsid w:val="3C972765"/>
    <w:rsid w:val="3D693636"/>
    <w:rsid w:val="3D9028E8"/>
    <w:rsid w:val="3DA90777"/>
    <w:rsid w:val="3DF020B6"/>
    <w:rsid w:val="3E44484D"/>
    <w:rsid w:val="3E4A5E23"/>
    <w:rsid w:val="3F266A69"/>
    <w:rsid w:val="3F80118C"/>
    <w:rsid w:val="40490F85"/>
    <w:rsid w:val="40C56269"/>
    <w:rsid w:val="41897C56"/>
    <w:rsid w:val="419C3B9D"/>
    <w:rsid w:val="41C302E1"/>
    <w:rsid w:val="41D1675C"/>
    <w:rsid w:val="42C70355"/>
    <w:rsid w:val="43443E7F"/>
    <w:rsid w:val="44A936AB"/>
    <w:rsid w:val="44AB1865"/>
    <w:rsid w:val="44DC2CEC"/>
    <w:rsid w:val="44DC435C"/>
    <w:rsid w:val="461F68EC"/>
    <w:rsid w:val="48103D33"/>
    <w:rsid w:val="48165964"/>
    <w:rsid w:val="49C90449"/>
    <w:rsid w:val="4B096F1D"/>
    <w:rsid w:val="4BF3412D"/>
    <w:rsid w:val="4CD84652"/>
    <w:rsid w:val="4DE8259F"/>
    <w:rsid w:val="501D7592"/>
    <w:rsid w:val="50215CD4"/>
    <w:rsid w:val="50F72D1E"/>
    <w:rsid w:val="511A77AA"/>
    <w:rsid w:val="526E16F1"/>
    <w:rsid w:val="53791202"/>
    <w:rsid w:val="53A73B65"/>
    <w:rsid w:val="53B05F34"/>
    <w:rsid w:val="546A6089"/>
    <w:rsid w:val="551B6C77"/>
    <w:rsid w:val="55C55D4B"/>
    <w:rsid w:val="57215150"/>
    <w:rsid w:val="57F56734"/>
    <w:rsid w:val="583E24A9"/>
    <w:rsid w:val="59830E9E"/>
    <w:rsid w:val="5E25434C"/>
    <w:rsid w:val="60764CB8"/>
    <w:rsid w:val="610E7FC6"/>
    <w:rsid w:val="614E0E3D"/>
    <w:rsid w:val="615333D3"/>
    <w:rsid w:val="61772E14"/>
    <w:rsid w:val="61883013"/>
    <w:rsid w:val="62B362AA"/>
    <w:rsid w:val="63A63B3F"/>
    <w:rsid w:val="63E90DEA"/>
    <w:rsid w:val="65A036E9"/>
    <w:rsid w:val="65F06C9F"/>
    <w:rsid w:val="66060FB4"/>
    <w:rsid w:val="6699467E"/>
    <w:rsid w:val="66D90EB9"/>
    <w:rsid w:val="66E41ECF"/>
    <w:rsid w:val="674457E3"/>
    <w:rsid w:val="6798197B"/>
    <w:rsid w:val="68310FA5"/>
    <w:rsid w:val="688843AA"/>
    <w:rsid w:val="69BD2D3B"/>
    <w:rsid w:val="69F442AF"/>
    <w:rsid w:val="6A0E30DC"/>
    <w:rsid w:val="6C014247"/>
    <w:rsid w:val="6CA7784E"/>
    <w:rsid w:val="6CF62E72"/>
    <w:rsid w:val="6D556A52"/>
    <w:rsid w:val="70AC19B0"/>
    <w:rsid w:val="712216DB"/>
    <w:rsid w:val="715E1779"/>
    <w:rsid w:val="72142713"/>
    <w:rsid w:val="726D5BAE"/>
    <w:rsid w:val="730200F1"/>
    <w:rsid w:val="74E919FC"/>
    <w:rsid w:val="75294A12"/>
    <w:rsid w:val="75820774"/>
    <w:rsid w:val="75DD55C7"/>
    <w:rsid w:val="76AB3358"/>
    <w:rsid w:val="76FB60A2"/>
    <w:rsid w:val="7770408A"/>
    <w:rsid w:val="78CF314E"/>
    <w:rsid w:val="78FB36EA"/>
    <w:rsid w:val="7A422C7E"/>
    <w:rsid w:val="7BBB3515"/>
    <w:rsid w:val="7BC47911"/>
    <w:rsid w:val="7C077878"/>
    <w:rsid w:val="7C991592"/>
    <w:rsid w:val="7CF45685"/>
    <w:rsid w:val="7D4D3289"/>
    <w:rsid w:val="7FDF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0"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link w:val="94"/>
    <w:qFormat/>
    <w:uiPriority w:val="0"/>
    <w:pPr>
      <w:keepNext/>
      <w:keepLines/>
      <w:spacing w:before="340" w:after="330" w:line="578" w:lineRule="auto"/>
      <w:outlineLvl w:val="0"/>
    </w:pPr>
    <w:rPr>
      <w:rFonts w:hint="eastAsia" w:ascii="楷体_GB2312" w:hAnsi="Times New Roman" w:eastAsia="楷体_GB2312"/>
      <w:b/>
      <w:kern w:val="44"/>
      <w:sz w:val="44"/>
      <w:szCs w:val="20"/>
    </w:rPr>
  </w:style>
  <w:style w:type="paragraph" w:styleId="4">
    <w:name w:val="heading 2"/>
    <w:basedOn w:val="1"/>
    <w:next w:val="1"/>
    <w:link w:val="99"/>
    <w:qFormat/>
    <w:uiPriority w:val="0"/>
    <w:pPr>
      <w:keepNext/>
      <w:keepLines/>
      <w:spacing w:before="260" w:after="260" w:line="416" w:lineRule="auto"/>
      <w:outlineLvl w:val="1"/>
    </w:pPr>
    <w:rPr>
      <w:rFonts w:ascii="Arial" w:hAnsi="Arial" w:eastAsia="黑体"/>
      <w:b/>
      <w:sz w:val="32"/>
      <w:szCs w:val="20"/>
    </w:rPr>
  </w:style>
  <w:style w:type="paragraph" w:styleId="5">
    <w:name w:val="heading 3"/>
    <w:basedOn w:val="1"/>
    <w:next w:val="1"/>
    <w:link w:val="100"/>
    <w:qFormat/>
    <w:uiPriority w:val="0"/>
    <w:pPr>
      <w:keepNext/>
      <w:keepLines/>
      <w:spacing w:line="360" w:lineRule="auto"/>
      <w:outlineLvl w:val="2"/>
    </w:pPr>
    <w:rPr>
      <w:rFonts w:ascii="Times New Roman" w:hAnsi="Times New Roman"/>
      <w:b/>
      <w:sz w:val="32"/>
      <w:szCs w:val="20"/>
    </w:rPr>
  </w:style>
  <w:style w:type="paragraph" w:styleId="2">
    <w:name w:val="heading 4"/>
    <w:basedOn w:val="1"/>
    <w:next w:val="1"/>
    <w:link w:val="86"/>
    <w:qFormat/>
    <w:uiPriority w:val="0"/>
    <w:pPr>
      <w:keepNext/>
      <w:keepLines/>
      <w:spacing w:before="280" w:after="290" w:line="376" w:lineRule="auto"/>
      <w:outlineLvl w:val="3"/>
    </w:pPr>
    <w:rPr>
      <w:rFonts w:ascii="Times New Roman" w:hAnsi="Times New Roman"/>
      <w:sz w:val="32"/>
      <w:szCs w:val="20"/>
    </w:rPr>
  </w:style>
  <w:style w:type="paragraph" w:styleId="6">
    <w:name w:val="heading 5"/>
    <w:basedOn w:val="1"/>
    <w:next w:val="1"/>
    <w:link w:val="65"/>
    <w:qFormat/>
    <w:uiPriority w:val="0"/>
    <w:pPr>
      <w:keepNext/>
      <w:keepLines/>
      <w:spacing w:before="280" w:after="290" w:line="372" w:lineRule="auto"/>
      <w:outlineLvl w:val="4"/>
    </w:pPr>
    <w:rPr>
      <w:rFonts w:ascii="Times New Roman" w:hAnsi="Times New Roman"/>
      <w:b/>
      <w:sz w:val="28"/>
      <w:szCs w:val="28"/>
    </w:rPr>
  </w:style>
  <w:style w:type="paragraph" w:styleId="7">
    <w:name w:val="heading 6"/>
    <w:basedOn w:val="1"/>
    <w:next w:val="1"/>
    <w:link w:val="89"/>
    <w:qFormat/>
    <w:uiPriority w:val="0"/>
    <w:pPr>
      <w:keepNext/>
      <w:keepLines/>
      <w:spacing w:before="240" w:after="64" w:line="317" w:lineRule="auto"/>
      <w:outlineLvl w:val="5"/>
    </w:pPr>
    <w:rPr>
      <w:rFonts w:hint="eastAsia" w:ascii="宋体" w:hAnsi="宋体"/>
      <w:b/>
      <w:kern w:val="0"/>
      <w:sz w:val="24"/>
      <w:lang w:eastAsia="en-US"/>
    </w:rPr>
  </w:style>
  <w:style w:type="paragraph" w:styleId="8">
    <w:name w:val="heading 7"/>
    <w:basedOn w:val="1"/>
    <w:next w:val="1"/>
    <w:link w:val="69"/>
    <w:qFormat/>
    <w:uiPriority w:val="0"/>
    <w:pPr>
      <w:keepNext/>
      <w:keepLines/>
      <w:spacing w:before="240" w:after="64" w:line="317" w:lineRule="auto"/>
      <w:outlineLvl w:val="6"/>
    </w:pPr>
    <w:rPr>
      <w:rFonts w:hint="eastAsia" w:ascii="宋体" w:hAnsi="宋体"/>
      <w:b/>
      <w:kern w:val="0"/>
      <w:szCs w:val="21"/>
      <w:lang w:eastAsia="en-US"/>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0"/>
    <w:pPr>
      <w:ind w:left="2520" w:leftChars="1200"/>
    </w:pPr>
    <w:rPr>
      <w:rFonts w:ascii="Times New Roman" w:hAnsi="Times New Roman"/>
    </w:rPr>
  </w:style>
  <w:style w:type="paragraph" w:styleId="10">
    <w:name w:val="Normal Indent"/>
    <w:basedOn w:val="1"/>
    <w:unhideWhenUsed/>
    <w:qFormat/>
    <w:uiPriority w:val="99"/>
    <w:pPr>
      <w:ind w:firstLine="420"/>
    </w:pPr>
    <w:rPr>
      <w:rFonts w:ascii="Calibri" w:hAnsi="Calibri"/>
      <w:szCs w:val="20"/>
    </w:rPr>
  </w:style>
  <w:style w:type="paragraph" w:styleId="11">
    <w:name w:val="Document Map"/>
    <w:basedOn w:val="1"/>
    <w:link w:val="81"/>
    <w:unhideWhenUsed/>
    <w:qFormat/>
    <w:uiPriority w:val="0"/>
    <w:pPr>
      <w:shd w:val="clear" w:color="auto" w:fill="000080"/>
    </w:pPr>
    <w:rPr>
      <w:rFonts w:ascii="Times New Roman" w:hAnsi="Times New Roman"/>
    </w:rPr>
  </w:style>
  <w:style w:type="paragraph" w:styleId="12">
    <w:name w:val="toa heading"/>
    <w:basedOn w:val="1"/>
    <w:next w:val="1"/>
    <w:unhideWhenUsed/>
    <w:qFormat/>
    <w:uiPriority w:val="99"/>
    <w:pPr>
      <w:spacing w:before="120"/>
    </w:pPr>
    <w:rPr>
      <w:rFonts w:ascii="Arial" w:hAnsi="Arial" w:cs="Arial"/>
      <w:sz w:val="24"/>
    </w:rPr>
  </w:style>
  <w:style w:type="paragraph" w:styleId="13">
    <w:name w:val="annotation text"/>
    <w:basedOn w:val="1"/>
    <w:link w:val="80"/>
    <w:unhideWhenUsed/>
    <w:qFormat/>
    <w:uiPriority w:val="0"/>
    <w:pPr>
      <w:jc w:val="left"/>
    </w:pPr>
    <w:rPr>
      <w:rFonts w:ascii="Times New Roman" w:hAnsi="Times New Roman"/>
    </w:rPr>
  </w:style>
  <w:style w:type="paragraph" w:styleId="14">
    <w:name w:val="Body Text 3"/>
    <w:basedOn w:val="1"/>
    <w:link w:val="59"/>
    <w:unhideWhenUsed/>
    <w:qFormat/>
    <w:uiPriority w:val="0"/>
    <w:pPr>
      <w:spacing w:after="120"/>
    </w:pPr>
    <w:rPr>
      <w:rFonts w:ascii="Times New Roman" w:hAnsi="Times New Roman"/>
      <w:sz w:val="16"/>
      <w:szCs w:val="16"/>
    </w:rPr>
  </w:style>
  <w:style w:type="paragraph" w:styleId="15">
    <w:name w:val="Body Text"/>
    <w:basedOn w:val="1"/>
    <w:next w:val="16"/>
    <w:link w:val="68"/>
    <w:qFormat/>
    <w:uiPriority w:val="0"/>
    <w:rPr>
      <w:rFonts w:ascii="Times New Roman" w:hAnsi="Times New Roman"/>
    </w:rPr>
  </w:style>
  <w:style w:type="paragraph" w:styleId="16">
    <w:name w:val="Body Text 2"/>
    <w:basedOn w:val="1"/>
    <w:next w:val="15"/>
    <w:link w:val="84"/>
    <w:unhideWhenUsed/>
    <w:qFormat/>
    <w:uiPriority w:val="0"/>
    <w:pPr>
      <w:spacing w:after="120" w:line="480" w:lineRule="auto"/>
    </w:pPr>
    <w:rPr>
      <w:rFonts w:ascii="Times New Roman" w:hAnsi="Times New Roman"/>
    </w:rPr>
  </w:style>
  <w:style w:type="paragraph" w:styleId="17">
    <w:name w:val="Body Text Indent"/>
    <w:basedOn w:val="1"/>
    <w:next w:val="18"/>
    <w:link w:val="103"/>
    <w:qFormat/>
    <w:uiPriority w:val="0"/>
    <w:pPr>
      <w:ind w:firstLine="560" w:firstLineChars="200"/>
    </w:pPr>
    <w:rPr>
      <w:rFonts w:ascii="Times New Roman" w:hAnsi="Times New Roman"/>
    </w:rPr>
  </w:style>
  <w:style w:type="paragraph" w:styleId="18">
    <w:name w:val="envelope return"/>
    <w:basedOn w:val="1"/>
    <w:qFormat/>
    <w:uiPriority w:val="99"/>
    <w:pPr>
      <w:snapToGrid w:val="0"/>
    </w:pPr>
    <w:rPr>
      <w:rFonts w:ascii="Arial" w:hAnsi="Arial" w:cs="Arial"/>
    </w:rPr>
  </w:style>
  <w:style w:type="paragraph" w:styleId="19">
    <w:name w:val="toc 5"/>
    <w:basedOn w:val="1"/>
    <w:next w:val="1"/>
    <w:qFormat/>
    <w:uiPriority w:val="0"/>
    <w:pPr>
      <w:ind w:left="1680" w:leftChars="800"/>
    </w:pPr>
    <w:rPr>
      <w:rFonts w:ascii="Times New Roman" w:hAnsi="Times New Roman"/>
    </w:rPr>
  </w:style>
  <w:style w:type="paragraph" w:styleId="20">
    <w:name w:val="toc 3"/>
    <w:basedOn w:val="1"/>
    <w:next w:val="1"/>
    <w:qFormat/>
    <w:uiPriority w:val="0"/>
    <w:pPr>
      <w:ind w:left="840" w:leftChars="400"/>
    </w:pPr>
    <w:rPr>
      <w:rFonts w:ascii="Times New Roman" w:hAnsi="Times New Roman"/>
    </w:rPr>
  </w:style>
  <w:style w:type="paragraph" w:styleId="21">
    <w:name w:val="Plain Text"/>
    <w:basedOn w:val="1"/>
    <w:link w:val="61"/>
    <w:qFormat/>
    <w:uiPriority w:val="0"/>
    <w:rPr>
      <w:rFonts w:hint="eastAsia" w:ascii="宋体" w:hAnsi="Courier New"/>
      <w:szCs w:val="21"/>
    </w:rPr>
  </w:style>
  <w:style w:type="paragraph" w:styleId="22">
    <w:name w:val="toc 8"/>
    <w:basedOn w:val="1"/>
    <w:next w:val="1"/>
    <w:qFormat/>
    <w:uiPriority w:val="0"/>
    <w:pPr>
      <w:ind w:left="2940" w:leftChars="1400"/>
    </w:pPr>
    <w:rPr>
      <w:rFonts w:ascii="Times New Roman" w:hAnsi="Times New Roman"/>
    </w:rPr>
  </w:style>
  <w:style w:type="paragraph" w:styleId="23">
    <w:name w:val="Date"/>
    <w:basedOn w:val="1"/>
    <w:next w:val="1"/>
    <w:link w:val="74"/>
    <w:unhideWhenUsed/>
    <w:qFormat/>
    <w:uiPriority w:val="0"/>
    <w:pPr>
      <w:ind w:left="100" w:leftChars="2500"/>
    </w:pPr>
    <w:rPr>
      <w:rFonts w:ascii="Times New Roman" w:hAnsi="Times New Roman"/>
      <w:kern w:val="0"/>
      <w:sz w:val="28"/>
      <w:szCs w:val="20"/>
    </w:rPr>
  </w:style>
  <w:style w:type="paragraph" w:styleId="24">
    <w:name w:val="Body Text Indent 2"/>
    <w:basedOn w:val="1"/>
    <w:link w:val="83"/>
    <w:unhideWhenUsed/>
    <w:qFormat/>
    <w:uiPriority w:val="0"/>
    <w:pPr>
      <w:spacing w:after="120" w:line="480" w:lineRule="auto"/>
      <w:ind w:left="420" w:leftChars="200"/>
    </w:pPr>
    <w:rPr>
      <w:rFonts w:ascii="Times New Roman" w:hAnsi="Times New Roman"/>
    </w:rPr>
  </w:style>
  <w:style w:type="paragraph" w:styleId="25">
    <w:name w:val="Balloon Text"/>
    <w:basedOn w:val="1"/>
    <w:link w:val="91"/>
    <w:unhideWhenUsed/>
    <w:qFormat/>
    <w:uiPriority w:val="0"/>
    <w:rPr>
      <w:rFonts w:ascii="Times New Roman" w:hAnsi="Times New Roman"/>
      <w:sz w:val="18"/>
      <w:szCs w:val="18"/>
    </w:rPr>
  </w:style>
  <w:style w:type="paragraph" w:styleId="26">
    <w:name w:val="footer"/>
    <w:basedOn w:val="1"/>
    <w:link w:val="97"/>
    <w:qFormat/>
    <w:uiPriority w:val="0"/>
    <w:pPr>
      <w:tabs>
        <w:tab w:val="center" w:pos="4153"/>
        <w:tab w:val="right" w:pos="8306"/>
      </w:tabs>
      <w:snapToGrid w:val="0"/>
      <w:jc w:val="left"/>
    </w:pPr>
    <w:rPr>
      <w:rFonts w:ascii="Times New Roman" w:hAnsi="Times New Roman"/>
      <w:sz w:val="18"/>
      <w:szCs w:val="18"/>
    </w:rPr>
  </w:style>
  <w:style w:type="paragraph" w:styleId="27">
    <w:name w:val="header"/>
    <w:basedOn w:val="1"/>
    <w:link w:val="9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28">
    <w:name w:val="toc 1"/>
    <w:basedOn w:val="1"/>
    <w:next w:val="1"/>
    <w:qFormat/>
    <w:uiPriority w:val="0"/>
    <w:rPr>
      <w:rFonts w:ascii="Times New Roman" w:hAnsi="Times New Roman"/>
    </w:rPr>
  </w:style>
  <w:style w:type="paragraph" w:styleId="29">
    <w:name w:val="toc 4"/>
    <w:basedOn w:val="1"/>
    <w:next w:val="1"/>
    <w:qFormat/>
    <w:uiPriority w:val="0"/>
    <w:pPr>
      <w:ind w:left="1260" w:leftChars="600"/>
    </w:pPr>
    <w:rPr>
      <w:rFonts w:ascii="Times New Roman" w:hAnsi="Times New Roman"/>
    </w:rPr>
  </w:style>
  <w:style w:type="paragraph" w:styleId="30">
    <w:name w:val="toc 6"/>
    <w:basedOn w:val="1"/>
    <w:next w:val="1"/>
    <w:qFormat/>
    <w:uiPriority w:val="0"/>
    <w:pPr>
      <w:ind w:left="2100" w:leftChars="1000"/>
    </w:pPr>
    <w:rPr>
      <w:rFonts w:ascii="Times New Roman" w:hAnsi="Times New Roman"/>
    </w:rPr>
  </w:style>
  <w:style w:type="paragraph" w:styleId="31">
    <w:name w:val="Body Text Indent 3"/>
    <w:basedOn w:val="1"/>
    <w:link w:val="73"/>
    <w:qFormat/>
    <w:uiPriority w:val="0"/>
    <w:pPr>
      <w:ind w:firstLine="420" w:firstLineChars="200"/>
    </w:pPr>
    <w:rPr>
      <w:rFonts w:ascii="Times New Roman" w:hAnsi="Times New Roman"/>
      <w:sz w:val="16"/>
      <w:szCs w:val="16"/>
    </w:rPr>
  </w:style>
  <w:style w:type="paragraph" w:styleId="32">
    <w:name w:val="toc 2"/>
    <w:basedOn w:val="1"/>
    <w:next w:val="1"/>
    <w:qFormat/>
    <w:uiPriority w:val="0"/>
    <w:pPr>
      <w:ind w:left="420" w:leftChars="200"/>
    </w:pPr>
    <w:rPr>
      <w:rFonts w:ascii="Times New Roman" w:hAnsi="Times New Roman"/>
    </w:rPr>
  </w:style>
  <w:style w:type="paragraph" w:styleId="33">
    <w:name w:val="toc 9"/>
    <w:basedOn w:val="1"/>
    <w:next w:val="1"/>
    <w:qFormat/>
    <w:uiPriority w:val="0"/>
    <w:pPr>
      <w:ind w:left="3360" w:leftChars="1600"/>
    </w:pPr>
    <w:rPr>
      <w:rFonts w:ascii="Times New Roman" w:hAnsi="Times New Roman"/>
    </w:rPr>
  </w:style>
  <w:style w:type="paragraph" w:styleId="34">
    <w:name w:val="HTML Preformatted"/>
    <w:basedOn w:val="1"/>
    <w:link w:val="79"/>
    <w:unhideWhenUsed/>
    <w:qFormat/>
    <w:uiPriority w:val="0"/>
    <w:rPr>
      <w:rFonts w:ascii="Arial" w:hAnsi="Arial"/>
      <w:kern w:val="0"/>
      <w:sz w:val="24"/>
    </w:rPr>
  </w:style>
  <w:style w:type="paragraph" w:styleId="3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6">
    <w:name w:val="Title"/>
    <w:basedOn w:val="1"/>
    <w:next w:val="1"/>
    <w:link w:val="67"/>
    <w:qFormat/>
    <w:uiPriority w:val="0"/>
    <w:pPr>
      <w:spacing w:before="240" w:after="60"/>
      <w:jc w:val="center"/>
      <w:outlineLvl w:val="0"/>
    </w:pPr>
    <w:rPr>
      <w:rFonts w:ascii="Calibri Light" w:hAnsi="Calibri Light" w:eastAsia="Calibri Light"/>
      <w:b/>
      <w:sz w:val="32"/>
      <w:szCs w:val="32"/>
    </w:rPr>
  </w:style>
  <w:style w:type="paragraph" w:styleId="37">
    <w:name w:val="annotation subject"/>
    <w:basedOn w:val="13"/>
    <w:next w:val="13"/>
    <w:link w:val="71"/>
    <w:unhideWhenUsed/>
    <w:qFormat/>
    <w:uiPriority w:val="0"/>
    <w:rPr>
      <w:b/>
    </w:rPr>
  </w:style>
  <w:style w:type="paragraph" w:styleId="38">
    <w:name w:val="Body Text First Indent"/>
    <w:basedOn w:val="15"/>
    <w:next w:val="39"/>
    <w:link w:val="104"/>
    <w:unhideWhenUsed/>
    <w:qFormat/>
    <w:uiPriority w:val="0"/>
    <w:pPr>
      <w:ind w:firstLine="420" w:firstLineChars="100"/>
    </w:pPr>
    <w:rPr>
      <w:rFonts w:hint="eastAsia" w:ascii="楷体_GB2312" w:eastAsia="楷体_GB2312"/>
      <w:sz w:val="32"/>
    </w:rPr>
  </w:style>
  <w:style w:type="paragraph" w:styleId="39">
    <w:name w:val="Body Text First Indent 2"/>
    <w:basedOn w:val="17"/>
    <w:qFormat/>
    <w:uiPriority w:val="0"/>
    <w:pPr>
      <w:ind w:firstLine="420"/>
    </w:pPr>
  </w:style>
  <w:style w:type="table" w:styleId="41">
    <w:name w:val="Table Grid"/>
    <w:basedOn w:val="4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page number"/>
    <w:qFormat/>
    <w:uiPriority w:val="0"/>
    <w:rPr>
      <w:rFonts w:ascii="Times New Roman" w:hAnsi="Times New Roman" w:eastAsia="宋体" w:cs="Times New Roman"/>
    </w:rPr>
  </w:style>
  <w:style w:type="character" w:styleId="44">
    <w:name w:val="FollowedHyperlink"/>
    <w:unhideWhenUsed/>
    <w:qFormat/>
    <w:uiPriority w:val="99"/>
    <w:rPr>
      <w:rFonts w:ascii="Times New Roman" w:hAnsi="Times New Roman" w:eastAsia="宋体" w:cs="Times New Roman"/>
      <w:color w:val="333333"/>
      <w:u w:val="none"/>
    </w:rPr>
  </w:style>
  <w:style w:type="character" w:styleId="45">
    <w:name w:val="HTML Definition"/>
    <w:basedOn w:val="42"/>
    <w:semiHidden/>
    <w:unhideWhenUsed/>
    <w:qFormat/>
    <w:uiPriority w:val="99"/>
  </w:style>
  <w:style w:type="character" w:styleId="46">
    <w:name w:val="HTML Typewriter"/>
    <w:basedOn w:val="42"/>
    <w:semiHidden/>
    <w:unhideWhenUsed/>
    <w:qFormat/>
    <w:uiPriority w:val="99"/>
    <w:rPr>
      <w:rFonts w:hint="default" w:ascii="monospace" w:hAnsi="monospace" w:eastAsia="monospace" w:cs="monospace"/>
      <w:sz w:val="20"/>
    </w:rPr>
  </w:style>
  <w:style w:type="character" w:styleId="47">
    <w:name w:val="HTML Acronym"/>
    <w:basedOn w:val="42"/>
    <w:semiHidden/>
    <w:unhideWhenUsed/>
    <w:qFormat/>
    <w:uiPriority w:val="99"/>
  </w:style>
  <w:style w:type="character" w:styleId="48">
    <w:name w:val="HTML Variable"/>
    <w:basedOn w:val="42"/>
    <w:semiHidden/>
    <w:unhideWhenUsed/>
    <w:qFormat/>
    <w:uiPriority w:val="99"/>
  </w:style>
  <w:style w:type="character" w:styleId="49">
    <w:name w:val="Hyperlink"/>
    <w:qFormat/>
    <w:uiPriority w:val="0"/>
    <w:rPr>
      <w:rFonts w:ascii="Times New Roman" w:hAnsi="Times New Roman" w:eastAsia="宋体" w:cs="Times New Roman"/>
      <w:color w:val="0000FF"/>
      <w:u w:val="single"/>
    </w:rPr>
  </w:style>
  <w:style w:type="character" w:styleId="50">
    <w:name w:val="HTML Code"/>
    <w:basedOn w:val="42"/>
    <w:semiHidden/>
    <w:unhideWhenUsed/>
    <w:qFormat/>
    <w:uiPriority w:val="99"/>
    <w:rPr>
      <w:rFonts w:ascii="monospace" w:hAnsi="monospace" w:eastAsia="monospace" w:cs="monospace"/>
      <w:sz w:val="20"/>
    </w:rPr>
  </w:style>
  <w:style w:type="character" w:styleId="51">
    <w:name w:val="annotation reference"/>
    <w:unhideWhenUsed/>
    <w:qFormat/>
    <w:uiPriority w:val="99"/>
    <w:rPr>
      <w:rFonts w:ascii="Times New Roman" w:hAnsi="Times New Roman" w:eastAsia="宋体" w:cs="Times New Roman"/>
      <w:sz w:val="21"/>
      <w:szCs w:val="21"/>
    </w:rPr>
  </w:style>
  <w:style w:type="character" w:styleId="52">
    <w:name w:val="HTML Cite"/>
    <w:basedOn w:val="42"/>
    <w:semiHidden/>
    <w:unhideWhenUsed/>
    <w:qFormat/>
    <w:uiPriority w:val="99"/>
    <w:rPr>
      <w:vanish/>
    </w:rPr>
  </w:style>
  <w:style w:type="character" w:styleId="53">
    <w:name w:val="HTML Keyboard"/>
    <w:basedOn w:val="42"/>
    <w:semiHidden/>
    <w:unhideWhenUsed/>
    <w:qFormat/>
    <w:uiPriority w:val="99"/>
    <w:rPr>
      <w:rFonts w:hint="default" w:ascii="monospace" w:hAnsi="monospace" w:eastAsia="monospace" w:cs="monospace"/>
      <w:sz w:val="20"/>
    </w:rPr>
  </w:style>
  <w:style w:type="character" w:styleId="54">
    <w:name w:val="HTML Sample"/>
    <w:basedOn w:val="42"/>
    <w:semiHidden/>
    <w:unhideWhenUsed/>
    <w:qFormat/>
    <w:uiPriority w:val="99"/>
    <w:rPr>
      <w:rFonts w:hint="default" w:ascii="monospace" w:hAnsi="monospace" w:eastAsia="monospace" w:cs="monospace"/>
    </w:rPr>
  </w:style>
  <w:style w:type="paragraph" w:customStyle="1" w:styleId="55">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56">
    <w:name w:val="表格文字"/>
    <w:basedOn w:val="1"/>
    <w:next w:val="15"/>
    <w:qFormat/>
    <w:uiPriority w:val="0"/>
    <w:pPr>
      <w:adjustRightInd w:val="0"/>
      <w:spacing w:line="420" w:lineRule="atLeast"/>
      <w:jc w:val="left"/>
      <w:textAlignment w:val="baseline"/>
    </w:pPr>
    <w:rPr>
      <w:kern w:val="0"/>
    </w:rPr>
  </w:style>
  <w:style w:type="paragraph" w:customStyle="1" w:styleId="57">
    <w:name w:val="无间隔1"/>
    <w:qFormat/>
    <w:uiPriority w:val="1"/>
    <w:pPr>
      <w:widowControl w:val="0"/>
      <w:jc w:val="both"/>
    </w:pPr>
    <w:rPr>
      <w:rFonts w:ascii="Calibri" w:hAnsi="Calibri" w:eastAsia="宋体" w:cs="Times New Roman"/>
      <w:kern w:val="2"/>
      <w:sz w:val="24"/>
      <w:szCs w:val="22"/>
      <w:lang w:val="en-US" w:eastAsia="zh-CN" w:bidi="ar-SA"/>
    </w:rPr>
  </w:style>
  <w:style w:type="character" w:customStyle="1" w:styleId="58">
    <w:name w:val="font1"/>
    <w:qFormat/>
    <w:uiPriority w:val="0"/>
    <w:rPr>
      <w:rFonts w:ascii="Times New Roman" w:hAnsi="Times New Roman" w:eastAsia="宋体" w:cs="Times New Roman"/>
      <w:color w:val="999999"/>
      <w:sz w:val="18"/>
      <w:szCs w:val="18"/>
      <w:u w:val="none"/>
    </w:rPr>
  </w:style>
  <w:style w:type="character" w:customStyle="1" w:styleId="59">
    <w:name w:val="正文文本 3 Char"/>
    <w:link w:val="14"/>
    <w:qFormat/>
    <w:uiPriority w:val="0"/>
    <w:rPr>
      <w:rFonts w:ascii="Times New Roman" w:hAnsi="Times New Roman" w:eastAsia="宋体" w:cs="Times New Roman"/>
      <w:kern w:val="2"/>
      <w:sz w:val="16"/>
      <w:szCs w:val="16"/>
    </w:rPr>
  </w:style>
  <w:style w:type="character" w:customStyle="1" w:styleId="60">
    <w:name w:val="pt91"/>
    <w:qFormat/>
    <w:uiPriority w:val="0"/>
    <w:rPr>
      <w:rFonts w:hint="default" w:ascii="_x000B__x000C_" w:hAnsi="_x000B__x000C_" w:eastAsia="_x000B__x000C_" w:cs="_x000B__x000C_"/>
      <w:color w:val="333333"/>
      <w:sz w:val="18"/>
      <w:szCs w:val="18"/>
    </w:rPr>
  </w:style>
  <w:style w:type="character" w:customStyle="1" w:styleId="61">
    <w:name w:val="纯文本 Char"/>
    <w:link w:val="21"/>
    <w:qFormat/>
    <w:uiPriority w:val="0"/>
    <w:rPr>
      <w:rFonts w:hint="eastAsia" w:ascii="宋体" w:hAnsi="Courier New" w:eastAsia="宋体" w:cs="Courier New"/>
      <w:kern w:val="2"/>
      <w:sz w:val="21"/>
      <w:szCs w:val="21"/>
    </w:rPr>
  </w:style>
  <w:style w:type="character" w:customStyle="1" w:styleId="62">
    <w:name w:val="fontstyle01"/>
    <w:qFormat/>
    <w:uiPriority w:val="0"/>
    <w:rPr>
      <w:rFonts w:hint="default" w:ascii="FZSSK--GBK1-0" w:hAnsi="FZSSK--GBK1-0" w:eastAsia="FZSSK--GBK1-0" w:cs="FZSSK--GBK1-0"/>
      <w:color w:val="000000"/>
      <w:sz w:val="20"/>
      <w:szCs w:val="20"/>
    </w:rPr>
  </w:style>
  <w:style w:type="character" w:customStyle="1" w:styleId="63">
    <w:name w:val="Char Char15"/>
    <w:qFormat/>
    <w:uiPriority w:val="0"/>
    <w:rPr>
      <w:rFonts w:ascii="Times New Roman" w:hAnsi="Times New Roman" w:eastAsia="宋体" w:cs="Times New Roman"/>
      <w:kern w:val="2"/>
      <w:sz w:val="32"/>
    </w:rPr>
  </w:style>
  <w:style w:type="character" w:customStyle="1" w:styleId="64">
    <w:name w:val="纯文本 Char1"/>
    <w:qFormat/>
    <w:uiPriority w:val="0"/>
    <w:rPr>
      <w:rFonts w:hint="eastAsia" w:ascii="宋体" w:hAnsi="Courier New" w:eastAsia="宋体" w:cs="宋体"/>
      <w:kern w:val="2"/>
      <w:sz w:val="21"/>
      <w:lang w:eastAsia="zh-CN"/>
    </w:rPr>
  </w:style>
  <w:style w:type="character" w:customStyle="1" w:styleId="65">
    <w:name w:val="标题 5 Char"/>
    <w:link w:val="6"/>
    <w:qFormat/>
    <w:uiPriority w:val="0"/>
    <w:rPr>
      <w:rFonts w:ascii="Times New Roman" w:hAnsi="Times New Roman" w:eastAsia="宋体" w:cs="Times New Roman"/>
      <w:b/>
      <w:kern w:val="2"/>
      <w:sz w:val="28"/>
      <w:szCs w:val="28"/>
    </w:rPr>
  </w:style>
  <w:style w:type="character" w:customStyle="1" w:styleId="66">
    <w:name w:val="wen11"/>
    <w:qFormat/>
    <w:uiPriority w:val="0"/>
    <w:rPr>
      <w:rFonts w:ascii="Times New Roman" w:hAnsi="Times New Roman" w:eastAsia="宋体" w:cs="Times New Roman"/>
      <w:color w:val="000000"/>
      <w:sz w:val="21"/>
      <w:szCs w:val="21"/>
    </w:rPr>
  </w:style>
  <w:style w:type="character" w:customStyle="1" w:styleId="67">
    <w:name w:val="标题 Char"/>
    <w:link w:val="36"/>
    <w:qFormat/>
    <w:uiPriority w:val="0"/>
    <w:rPr>
      <w:rFonts w:hint="default" w:ascii="Calibri Light" w:hAnsi="Calibri Light" w:eastAsia="Calibri Light" w:cs="Calibri Light"/>
      <w:b/>
      <w:kern w:val="2"/>
      <w:sz w:val="32"/>
      <w:szCs w:val="32"/>
    </w:rPr>
  </w:style>
  <w:style w:type="character" w:customStyle="1" w:styleId="68">
    <w:name w:val="正文文本 Char"/>
    <w:link w:val="15"/>
    <w:qFormat/>
    <w:uiPriority w:val="0"/>
    <w:rPr>
      <w:rFonts w:ascii="Times New Roman" w:hAnsi="Times New Roman" w:eastAsia="宋体" w:cs="Times New Roman"/>
      <w:kern w:val="2"/>
      <w:sz w:val="21"/>
      <w:szCs w:val="24"/>
    </w:rPr>
  </w:style>
  <w:style w:type="character" w:customStyle="1" w:styleId="69">
    <w:name w:val="标题 7 Char"/>
    <w:link w:val="8"/>
    <w:qFormat/>
    <w:uiPriority w:val="0"/>
    <w:rPr>
      <w:rFonts w:hint="eastAsia" w:ascii="宋体" w:hAnsi="宋体" w:eastAsia="宋体" w:cs="宋体"/>
      <w:b/>
      <w:sz w:val="21"/>
      <w:szCs w:val="21"/>
      <w:lang w:eastAsia="en-US"/>
    </w:rPr>
  </w:style>
  <w:style w:type="character" w:customStyle="1" w:styleId="70">
    <w:name w:val="displayarti"/>
    <w:qFormat/>
    <w:uiPriority w:val="0"/>
    <w:rPr>
      <w:rFonts w:ascii="Times New Roman" w:hAnsi="Times New Roman" w:eastAsia="宋体" w:cs="Times New Roman"/>
      <w:color w:val="FFFFFF"/>
      <w:shd w:val="clear" w:color="auto" w:fill="A00000"/>
    </w:rPr>
  </w:style>
  <w:style w:type="character" w:customStyle="1" w:styleId="71">
    <w:name w:val="批注主题 Char"/>
    <w:link w:val="37"/>
    <w:qFormat/>
    <w:uiPriority w:val="0"/>
    <w:rPr>
      <w:rFonts w:ascii="Times New Roman" w:hAnsi="Times New Roman" w:eastAsia="宋体" w:cs="Times New Roman"/>
      <w:b/>
      <w:kern w:val="2"/>
      <w:sz w:val="21"/>
      <w:szCs w:val="24"/>
    </w:rPr>
  </w:style>
  <w:style w:type="character" w:customStyle="1" w:styleId="72">
    <w:name w:val="Table Text Char1"/>
    <w:qFormat/>
    <w:uiPriority w:val="0"/>
    <w:rPr>
      <w:rFonts w:hint="default" w:ascii="Arial" w:hAnsi="Arial" w:eastAsia="宋体" w:cs="Arial"/>
      <w:kern w:val="2"/>
      <w:sz w:val="18"/>
      <w:szCs w:val="24"/>
    </w:rPr>
  </w:style>
  <w:style w:type="character" w:customStyle="1" w:styleId="73">
    <w:name w:val="正文文本缩进 3 Char"/>
    <w:link w:val="31"/>
    <w:qFormat/>
    <w:uiPriority w:val="0"/>
    <w:rPr>
      <w:rFonts w:ascii="Times New Roman" w:hAnsi="Times New Roman" w:eastAsia="宋体" w:cs="Times New Roman"/>
      <w:kern w:val="2"/>
      <w:sz w:val="16"/>
      <w:szCs w:val="16"/>
    </w:rPr>
  </w:style>
  <w:style w:type="character" w:customStyle="1" w:styleId="74">
    <w:name w:val="日期 Char"/>
    <w:link w:val="23"/>
    <w:qFormat/>
    <w:uiPriority w:val="0"/>
    <w:rPr>
      <w:rFonts w:ascii="Times New Roman" w:hAnsi="Times New Roman" w:eastAsia="宋体" w:cs="Times New Roman"/>
      <w:sz w:val="28"/>
    </w:rPr>
  </w:style>
  <w:style w:type="character" w:customStyle="1" w:styleId="75">
    <w:name w:val="Char Char16"/>
    <w:qFormat/>
    <w:uiPriority w:val="0"/>
    <w:rPr>
      <w:rFonts w:ascii="Times New Roman" w:hAnsi="Times New Roman" w:eastAsia="宋体" w:cs="Times New Roman"/>
      <w:b/>
      <w:kern w:val="2"/>
      <w:sz w:val="32"/>
    </w:rPr>
  </w:style>
  <w:style w:type="character" w:customStyle="1" w:styleId="76">
    <w:name w:val="gpa"/>
    <w:qFormat/>
    <w:uiPriority w:val="0"/>
    <w:rPr>
      <w:rFonts w:hint="default" w:ascii="Arial" w:hAnsi="Arial" w:eastAsia="宋体" w:cs="Arial"/>
      <w:sz w:val="15"/>
      <w:szCs w:val="15"/>
    </w:rPr>
  </w:style>
  <w:style w:type="character" w:customStyle="1" w:styleId="77">
    <w:name w:val="p12h15"/>
    <w:basedOn w:val="42"/>
    <w:qFormat/>
    <w:uiPriority w:val="0"/>
  </w:style>
  <w:style w:type="character" w:customStyle="1" w:styleId="78">
    <w:name w:val="Char Char17"/>
    <w:qFormat/>
    <w:uiPriority w:val="0"/>
    <w:rPr>
      <w:rFonts w:hint="eastAsia" w:ascii="楷体_GB2312" w:hAnsi="Times New Roman" w:eastAsia="楷体_GB2312" w:cs="楷体_GB2312"/>
      <w:b/>
      <w:kern w:val="44"/>
      <w:sz w:val="44"/>
    </w:rPr>
  </w:style>
  <w:style w:type="character" w:customStyle="1" w:styleId="79">
    <w:name w:val="HTML 预设格式 Char"/>
    <w:link w:val="34"/>
    <w:qFormat/>
    <w:uiPriority w:val="0"/>
    <w:rPr>
      <w:rFonts w:hint="default" w:ascii="Arial" w:hAnsi="Arial" w:eastAsia="宋体" w:cs="Arial"/>
      <w:sz w:val="24"/>
      <w:szCs w:val="24"/>
    </w:rPr>
  </w:style>
  <w:style w:type="character" w:customStyle="1" w:styleId="80">
    <w:name w:val="批注文字 Char"/>
    <w:link w:val="13"/>
    <w:qFormat/>
    <w:uiPriority w:val="0"/>
    <w:rPr>
      <w:rFonts w:ascii="Times New Roman" w:hAnsi="Times New Roman" w:eastAsia="宋体" w:cs="Times New Roman"/>
      <w:kern w:val="2"/>
      <w:sz w:val="21"/>
      <w:szCs w:val="24"/>
    </w:rPr>
  </w:style>
  <w:style w:type="character" w:customStyle="1" w:styleId="81">
    <w:name w:val="文档结构图 Char"/>
    <w:link w:val="11"/>
    <w:qFormat/>
    <w:uiPriority w:val="0"/>
    <w:rPr>
      <w:rFonts w:ascii="Times New Roman" w:hAnsi="Times New Roman" w:eastAsia="宋体" w:cs="Times New Roman"/>
      <w:kern w:val="2"/>
      <w:sz w:val="21"/>
      <w:szCs w:val="24"/>
      <w:shd w:val="clear" w:color="auto" w:fill="000080"/>
    </w:rPr>
  </w:style>
  <w:style w:type="character" w:customStyle="1" w:styleId="82">
    <w:name w:val="Comment Text Char"/>
    <w:qFormat/>
    <w:uiPriority w:val="0"/>
    <w:rPr>
      <w:rFonts w:hint="default" w:ascii="Times New Roman" w:hAnsi="Times New Roman" w:eastAsia="宋体" w:cs="Times New Roman"/>
      <w:sz w:val="24"/>
    </w:rPr>
  </w:style>
  <w:style w:type="character" w:customStyle="1" w:styleId="83">
    <w:name w:val="正文文本缩进 2 Char"/>
    <w:link w:val="24"/>
    <w:qFormat/>
    <w:uiPriority w:val="0"/>
    <w:rPr>
      <w:rFonts w:ascii="Times New Roman" w:hAnsi="Times New Roman" w:eastAsia="宋体" w:cs="Times New Roman"/>
      <w:kern w:val="2"/>
      <w:sz w:val="21"/>
      <w:szCs w:val="24"/>
    </w:rPr>
  </w:style>
  <w:style w:type="character" w:customStyle="1" w:styleId="84">
    <w:name w:val="正文文本 2 Char"/>
    <w:link w:val="16"/>
    <w:qFormat/>
    <w:uiPriority w:val="0"/>
    <w:rPr>
      <w:rFonts w:ascii="Times New Roman" w:hAnsi="Times New Roman" w:eastAsia="宋体" w:cs="Times New Roman"/>
      <w:kern w:val="2"/>
      <w:sz w:val="21"/>
      <w:szCs w:val="24"/>
    </w:rPr>
  </w:style>
  <w:style w:type="character" w:customStyle="1" w:styleId="85">
    <w:name w:val="selected"/>
    <w:qFormat/>
    <w:uiPriority w:val="0"/>
    <w:rPr>
      <w:rFonts w:ascii="Times New Roman" w:hAnsi="Times New Roman" w:eastAsia="宋体" w:cs="Times New Roman"/>
      <w:shd w:val="clear" w:color="auto" w:fill="B00006"/>
    </w:rPr>
  </w:style>
  <w:style w:type="character" w:customStyle="1" w:styleId="86">
    <w:name w:val="标题 4 Char"/>
    <w:link w:val="2"/>
    <w:qFormat/>
    <w:uiPriority w:val="0"/>
    <w:rPr>
      <w:rFonts w:ascii="Times New Roman" w:hAnsi="Times New Roman" w:eastAsia="宋体" w:cs="Times New Roman"/>
      <w:kern w:val="2"/>
      <w:sz w:val="32"/>
    </w:rPr>
  </w:style>
  <w:style w:type="character" w:customStyle="1" w:styleId="87">
    <w:name w:val="Item List in Table Char Char"/>
    <w:qFormat/>
    <w:uiPriority w:val="0"/>
    <w:rPr>
      <w:rFonts w:hint="default" w:ascii="Arial" w:hAnsi="Arial" w:eastAsia="宋体" w:cs="Arial"/>
      <w:sz w:val="18"/>
      <w:szCs w:val="18"/>
    </w:rPr>
  </w:style>
  <w:style w:type="character" w:customStyle="1" w:styleId="88">
    <w:name w:val="标题 2 Char Char Char"/>
    <w:qFormat/>
    <w:uiPriority w:val="0"/>
    <w:rPr>
      <w:rFonts w:hint="default" w:ascii="Arial" w:hAnsi="Arial" w:eastAsia="黑体" w:cs="Arial"/>
      <w:b/>
      <w:kern w:val="2"/>
      <w:sz w:val="32"/>
      <w:szCs w:val="32"/>
      <w:lang w:val="en-US" w:eastAsia="zh-CN"/>
    </w:rPr>
  </w:style>
  <w:style w:type="character" w:customStyle="1" w:styleId="89">
    <w:name w:val="标题 6 Char"/>
    <w:link w:val="7"/>
    <w:qFormat/>
    <w:uiPriority w:val="0"/>
    <w:rPr>
      <w:rFonts w:hint="eastAsia" w:ascii="宋体" w:hAnsi="宋体" w:eastAsia="宋体" w:cs="宋体"/>
      <w:b/>
      <w:sz w:val="24"/>
      <w:szCs w:val="24"/>
      <w:lang w:eastAsia="en-US"/>
    </w:rPr>
  </w:style>
  <w:style w:type="character" w:customStyle="1" w:styleId="90">
    <w:name w:val="普通文字 Char Char Char Char"/>
    <w:qFormat/>
    <w:uiPriority w:val="0"/>
    <w:rPr>
      <w:rFonts w:hint="eastAsia" w:ascii="宋体" w:hAnsi="Courier New" w:eastAsia="宋体" w:cs="宋体"/>
      <w:color w:val="000080"/>
      <w:sz w:val="21"/>
      <w:szCs w:val="21"/>
      <w:lang w:val="en-US" w:eastAsia="zh-CN"/>
    </w:rPr>
  </w:style>
  <w:style w:type="character" w:customStyle="1" w:styleId="91">
    <w:name w:val="批注框文本 Char"/>
    <w:link w:val="25"/>
    <w:qFormat/>
    <w:uiPriority w:val="0"/>
    <w:rPr>
      <w:rFonts w:ascii="Times New Roman" w:hAnsi="Times New Roman" w:eastAsia="宋体" w:cs="Times New Roman"/>
      <w:kern w:val="2"/>
      <w:sz w:val="18"/>
      <w:szCs w:val="18"/>
    </w:rPr>
  </w:style>
  <w:style w:type="character" w:customStyle="1" w:styleId="92">
    <w:name w:val="Balloon Text Char"/>
    <w:qFormat/>
    <w:uiPriority w:val="0"/>
    <w:rPr>
      <w:rFonts w:ascii="Times New Roman" w:hAnsi="Times New Roman" w:eastAsia="宋体" w:cs="Times New Roman"/>
      <w:sz w:val="18"/>
    </w:rPr>
  </w:style>
  <w:style w:type="character" w:customStyle="1" w:styleId="93">
    <w:name w:val="overfont"/>
    <w:basedOn w:val="42"/>
    <w:qFormat/>
    <w:uiPriority w:val="0"/>
  </w:style>
  <w:style w:type="character" w:customStyle="1" w:styleId="94">
    <w:name w:val="标题 1 Char"/>
    <w:link w:val="3"/>
    <w:qFormat/>
    <w:uiPriority w:val="0"/>
    <w:rPr>
      <w:rFonts w:hint="eastAsia" w:ascii="楷体_GB2312" w:hAnsi="Times New Roman" w:eastAsia="楷体_GB2312" w:cs="楷体_GB2312"/>
      <w:b/>
      <w:kern w:val="44"/>
      <w:sz w:val="44"/>
    </w:rPr>
  </w:style>
  <w:style w:type="character" w:customStyle="1" w:styleId="95">
    <w:name w:val="页眉 Char"/>
    <w:link w:val="27"/>
    <w:qFormat/>
    <w:uiPriority w:val="0"/>
    <w:rPr>
      <w:rFonts w:ascii="Times New Roman" w:hAnsi="Times New Roman" w:eastAsia="宋体" w:cs="Times New Roman"/>
      <w:kern w:val="2"/>
      <w:sz w:val="18"/>
      <w:szCs w:val="18"/>
    </w:rPr>
  </w:style>
  <w:style w:type="character" w:customStyle="1" w:styleId="96">
    <w:name w:val="Char Char11"/>
    <w:qFormat/>
    <w:uiPriority w:val="0"/>
    <w:rPr>
      <w:rFonts w:ascii="Times New Roman" w:hAnsi="Times New Roman" w:eastAsia="宋体" w:cs="Times New Roman"/>
      <w:kern w:val="2"/>
      <w:sz w:val="18"/>
      <w:szCs w:val="18"/>
    </w:rPr>
  </w:style>
  <w:style w:type="character" w:customStyle="1" w:styleId="97">
    <w:name w:val="页脚 Char"/>
    <w:link w:val="26"/>
    <w:qFormat/>
    <w:uiPriority w:val="0"/>
    <w:rPr>
      <w:rFonts w:ascii="Times New Roman" w:hAnsi="Times New Roman" w:eastAsia="宋体" w:cs="Times New Roman"/>
      <w:kern w:val="2"/>
      <w:sz w:val="18"/>
      <w:szCs w:val="18"/>
    </w:rPr>
  </w:style>
  <w:style w:type="character" w:customStyle="1" w:styleId="98">
    <w:name w:val="Char Char Char"/>
    <w:qFormat/>
    <w:uiPriority w:val="0"/>
    <w:rPr>
      <w:rFonts w:hint="eastAsia" w:ascii="宋体" w:hAnsi="Courier New" w:eastAsia="宋体" w:cs="宋体"/>
      <w:kern w:val="2"/>
      <w:sz w:val="21"/>
      <w:lang w:val="en-US" w:eastAsia="zh-CN"/>
    </w:rPr>
  </w:style>
  <w:style w:type="character" w:customStyle="1" w:styleId="99">
    <w:name w:val="标题 2 Char"/>
    <w:link w:val="4"/>
    <w:qFormat/>
    <w:uiPriority w:val="0"/>
    <w:rPr>
      <w:rFonts w:ascii="Arial" w:hAnsi="Arial" w:eastAsia="黑体" w:cs="Arial"/>
      <w:b/>
      <w:kern w:val="2"/>
      <w:sz w:val="32"/>
    </w:rPr>
  </w:style>
  <w:style w:type="character" w:customStyle="1" w:styleId="100">
    <w:name w:val="标题 3 Char"/>
    <w:link w:val="5"/>
    <w:qFormat/>
    <w:uiPriority w:val="0"/>
    <w:rPr>
      <w:rFonts w:ascii="Times New Roman" w:hAnsi="Times New Roman" w:eastAsia="宋体" w:cs="Times New Roman"/>
      <w:b/>
      <w:kern w:val="2"/>
      <w:sz w:val="32"/>
    </w:rPr>
  </w:style>
  <w:style w:type="character" w:customStyle="1" w:styleId="101">
    <w:name w:val="p0 Char Char"/>
    <w:qFormat/>
    <w:uiPriority w:val="0"/>
    <w:rPr>
      <w:rFonts w:ascii="Times New Roman" w:hAnsi="Times New Roman" w:eastAsia="宋体" w:cs="Times New Roman"/>
      <w:kern w:val="2"/>
      <w:sz w:val="21"/>
    </w:rPr>
  </w:style>
  <w:style w:type="character" w:customStyle="1" w:styleId="102">
    <w:name w:val="fontstyle11"/>
    <w:qFormat/>
    <w:uiPriority w:val="0"/>
    <w:rPr>
      <w:rFonts w:hint="default" w:ascii="E-BZ" w:hAnsi="E-BZ" w:eastAsia="E-BZ" w:cs="E-BZ"/>
      <w:color w:val="000000"/>
      <w:sz w:val="20"/>
      <w:szCs w:val="20"/>
    </w:rPr>
  </w:style>
  <w:style w:type="character" w:customStyle="1" w:styleId="103">
    <w:name w:val="正文文本缩进 Char"/>
    <w:link w:val="17"/>
    <w:qFormat/>
    <w:uiPriority w:val="0"/>
    <w:rPr>
      <w:rFonts w:ascii="Times New Roman" w:hAnsi="Times New Roman" w:eastAsia="宋体" w:cs="Times New Roman"/>
      <w:kern w:val="2"/>
      <w:sz w:val="21"/>
      <w:szCs w:val="24"/>
    </w:rPr>
  </w:style>
  <w:style w:type="character" w:customStyle="1" w:styleId="104">
    <w:name w:val="正文首行缩进 Char"/>
    <w:link w:val="38"/>
    <w:qFormat/>
    <w:uiPriority w:val="0"/>
    <w:rPr>
      <w:rFonts w:hint="eastAsia" w:ascii="楷体_GB2312" w:hAnsi="Times New Roman" w:eastAsia="楷体_GB2312" w:cs="楷体_GB2312"/>
      <w:kern w:val="2"/>
      <w:sz w:val="32"/>
      <w:szCs w:val="24"/>
    </w:rPr>
  </w:style>
  <w:style w:type="character" w:customStyle="1" w:styleId="105">
    <w:name w:val="font61"/>
    <w:basedOn w:val="42"/>
    <w:qFormat/>
    <w:uiPriority w:val="0"/>
    <w:rPr>
      <w:rFonts w:hint="eastAsia" w:ascii="宋体" w:hAnsi="宋体" w:eastAsia="宋体" w:cs="宋体"/>
      <w:color w:val="000000"/>
      <w:sz w:val="21"/>
      <w:szCs w:val="21"/>
      <w:u w:val="none"/>
    </w:rPr>
  </w:style>
  <w:style w:type="paragraph" w:customStyle="1" w:styleId="106">
    <w:name w:val="Body Text First Indent1"/>
    <w:basedOn w:val="15"/>
    <w:qFormat/>
    <w:uiPriority w:val="0"/>
    <w:pPr>
      <w:ind w:firstLine="420" w:firstLineChars="100"/>
    </w:pPr>
  </w:style>
  <w:style w:type="paragraph" w:customStyle="1" w:styleId="107">
    <w:name w:val="p0"/>
    <w:basedOn w:val="1"/>
    <w:qFormat/>
    <w:uiPriority w:val="0"/>
    <w:pPr>
      <w:widowControl/>
    </w:pPr>
    <w:rPr>
      <w:rFonts w:ascii="Times New Roman" w:hAnsi="Times New Roman"/>
      <w:kern w:val="0"/>
      <w:szCs w:val="21"/>
    </w:rPr>
  </w:style>
  <w:style w:type="paragraph" w:customStyle="1" w:styleId="108">
    <w:name w:val="a2"/>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09">
    <w:name w:val="Char"/>
    <w:basedOn w:val="1"/>
    <w:qFormat/>
    <w:uiPriority w:val="0"/>
    <w:pPr>
      <w:snapToGrid w:val="0"/>
      <w:spacing w:line="360" w:lineRule="auto"/>
      <w:ind w:firstLine="200" w:firstLineChars="200"/>
    </w:pPr>
    <w:rPr>
      <w:rFonts w:ascii="Times New Roman" w:hAnsi="Times New Roman"/>
    </w:rPr>
  </w:style>
  <w:style w:type="paragraph" w:customStyle="1" w:styleId="110">
    <w:name w:val="标题3-1"/>
    <w:basedOn w:val="5"/>
    <w:qFormat/>
    <w:uiPriority w:val="0"/>
    <w:pPr>
      <w:numPr>
        <w:ilvl w:val="0"/>
        <w:numId w:val="1"/>
      </w:numPr>
    </w:pPr>
    <w:rPr>
      <w:sz w:val="24"/>
    </w:rPr>
  </w:style>
  <w:style w:type="paragraph" w:customStyle="1" w:styleId="111">
    <w:name w:val="a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12">
    <w:name w:val="列出段落1"/>
    <w:basedOn w:val="1"/>
    <w:qFormat/>
    <w:uiPriority w:val="0"/>
    <w:pPr>
      <w:ind w:firstLine="420" w:firstLineChars="200"/>
    </w:pPr>
    <w:rPr>
      <w:rFonts w:ascii="Times New Roman" w:hAnsi="Times New Roman"/>
    </w:rPr>
  </w:style>
  <w:style w:type="paragraph" w:customStyle="1" w:styleId="113">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114">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115">
    <w:name w:val="正文_13_0"/>
    <w:basedOn w:val="1"/>
    <w:qFormat/>
    <w:uiPriority w:val="0"/>
    <w:rPr>
      <w:rFonts w:ascii="Calibri" w:hAnsi="Calibri"/>
    </w:rPr>
  </w:style>
  <w:style w:type="paragraph" w:customStyle="1" w:styleId="116">
    <w:name w:val="xl41"/>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b/>
      <w:kern w:val="0"/>
      <w:sz w:val="32"/>
      <w:szCs w:val="20"/>
    </w:rPr>
  </w:style>
  <w:style w:type="paragraph" w:customStyle="1" w:styleId="117">
    <w:name w:val="Table Paragraph"/>
    <w:basedOn w:val="1"/>
    <w:unhideWhenUsed/>
    <w:qFormat/>
    <w:uiPriority w:val="1"/>
    <w:rPr>
      <w:sz w:val="24"/>
    </w:rPr>
  </w:style>
  <w:style w:type="paragraph" w:customStyle="1" w:styleId="11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p15"/>
    <w:basedOn w:val="1"/>
    <w:qFormat/>
    <w:uiPriority w:val="0"/>
    <w:pPr>
      <w:widowControl/>
      <w:spacing w:line="365" w:lineRule="atLeast"/>
      <w:ind w:left="1"/>
    </w:pPr>
    <w:rPr>
      <w:rFonts w:ascii="Times New Roman" w:hAnsi="Times New Roman"/>
      <w:kern w:val="0"/>
      <w:sz w:val="20"/>
    </w:rPr>
  </w:style>
  <w:style w:type="paragraph" w:customStyle="1" w:styleId="120">
    <w:name w:val="TOAHeading"/>
    <w:basedOn w:val="1"/>
    <w:next w:val="1"/>
    <w:qFormat/>
    <w:uiPriority w:val="0"/>
    <w:pPr>
      <w:spacing w:before="120"/>
      <w:textAlignment w:val="baseline"/>
    </w:pPr>
    <w:rPr>
      <w:rFonts w:ascii="Arial" w:hAnsi="Arial"/>
      <w:sz w:val="24"/>
      <w:szCs w:val="22"/>
    </w:rPr>
  </w:style>
  <w:style w:type="character" w:customStyle="1" w:styleId="121">
    <w:name w:val="NormalCharacter"/>
    <w:qFormat/>
    <w:uiPriority w:val="0"/>
    <w:rPr>
      <w:rFonts w:ascii="Book Antiqua" w:hAnsi="Book Antiqua" w:eastAsia="宋体" w:cs="Times New Roman"/>
      <w:kern w:val="2"/>
      <w:sz w:val="21"/>
      <w:szCs w:val="24"/>
      <w:lang w:val="en-US" w:eastAsia="zh-CN" w:bidi="ar-SA"/>
    </w:rPr>
  </w:style>
  <w:style w:type="paragraph" w:customStyle="1" w:styleId="122">
    <w:name w:val="BodyText1I"/>
    <w:basedOn w:val="123"/>
    <w:next w:val="125"/>
    <w:qFormat/>
    <w:uiPriority w:val="0"/>
    <w:pPr>
      <w:ind w:firstLine="420" w:firstLineChars="100"/>
    </w:pPr>
    <w:rPr>
      <w:rFonts w:ascii="楷体_GB2312"/>
      <w:sz w:val="32"/>
    </w:rPr>
  </w:style>
  <w:style w:type="paragraph" w:customStyle="1" w:styleId="123">
    <w:name w:val="BodyText"/>
    <w:basedOn w:val="1"/>
    <w:next w:val="124"/>
    <w:qFormat/>
    <w:uiPriority w:val="0"/>
    <w:pPr>
      <w:textAlignment w:val="baseline"/>
    </w:pPr>
    <w:rPr>
      <w:rFonts w:ascii="Calibri" w:hAnsi="Calibri" w:eastAsia="楷体_GB2312"/>
      <w:kern w:val="0"/>
      <w:sz w:val="28"/>
    </w:rPr>
  </w:style>
  <w:style w:type="paragraph" w:customStyle="1" w:styleId="124">
    <w:name w:val="BodyText2"/>
    <w:basedOn w:val="1"/>
    <w:next w:val="123"/>
    <w:qFormat/>
    <w:uiPriority w:val="0"/>
    <w:pPr>
      <w:spacing w:after="120" w:line="480" w:lineRule="auto"/>
      <w:textAlignment w:val="baseline"/>
    </w:pPr>
  </w:style>
  <w:style w:type="paragraph" w:customStyle="1" w:styleId="125">
    <w:name w:val="BodyText1I2"/>
    <w:basedOn w:val="126"/>
    <w:qFormat/>
    <w:uiPriority w:val="0"/>
    <w:pPr>
      <w:ind w:firstLine="420" w:firstLineChars="200"/>
    </w:pPr>
  </w:style>
  <w:style w:type="paragraph" w:customStyle="1" w:styleId="126">
    <w:name w:val="BodyTextIndent"/>
    <w:basedOn w:val="1"/>
    <w:qFormat/>
    <w:uiPriority w:val="0"/>
    <w:pPr>
      <w:spacing w:after="120"/>
      <w:ind w:left="420" w:leftChars="200"/>
      <w:textAlignment w:val="baseline"/>
    </w:pPr>
  </w:style>
  <w:style w:type="paragraph" w:customStyle="1" w:styleId="127">
    <w:name w:val="正文首行缩进 21"/>
    <w:basedOn w:val="1"/>
    <w:qFormat/>
    <w:uiPriority w:val="0"/>
    <w:pPr>
      <w:tabs>
        <w:tab w:val="left" w:pos="945"/>
        <w:tab w:val="left" w:pos="1155"/>
      </w:tabs>
      <w:ind w:firstLine="420" w:firstLineChars="200"/>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5"/>
    <customShpInfo spid="_x0000_s1026"/>
    <customShpInfo spid="_x0000_s3076"/>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177EE-B707-4D2D-8F2D-005F4EB19C1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42</Pages>
  <Words>3584</Words>
  <Characters>20431</Characters>
  <Lines>170</Lines>
  <Paragraphs>47</Paragraphs>
  <TotalTime>16</TotalTime>
  <ScaleCrop>false</ScaleCrop>
  <LinksUpToDate>false</LinksUpToDate>
  <CharactersWithSpaces>23968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2021-05-31T10:25:00Z</dcterms:created>
  <dc:creator>Administrator</dc:creator>
  <cp:lastModifiedBy>DELL</cp:lastModifiedBy>
  <cp:lastPrinted>2021-08-06T00:56:00Z</cp:lastPrinted>
  <dcterms:modified xsi:type="dcterms:W3CDTF">2021-09-17T03:54:33Z</dcterms:modified>
  <dc:title>博爱县磨头镇际村小学新建教学楼、厕所项目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DBBBD991D9A345F288B7F4A27FFA441B</vt:lpwstr>
  </property>
</Properties>
</file>