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Theme="minorEastAsia" w:hAnsiTheme="minorEastAsia" w:eastAsiaTheme="minorEastAsia" w:cstheme="minorEastAsia"/>
        </w:rPr>
      </w:pPr>
      <w:bookmarkStart w:id="0" w:name="_Toc281574833"/>
    </w:p>
    <w:p>
      <w:pPr>
        <w:pStyle w:val="3"/>
        <w:rPr>
          <w:rFonts w:asciiTheme="minorEastAsia" w:hAnsiTheme="minorEastAsia" w:eastAsiaTheme="minorEastAsia" w:cstheme="minorEastAsia"/>
        </w:rPr>
      </w:pP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博爱县人民医院内科楼灾后修缮1000KW发电机和配套电缆及抽水泵采购项目</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二标段</w:t>
      </w:r>
      <w:r>
        <w:rPr>
          <w:rFonts w:hint="eastAsia" w:asciiTheme="majorEastAsia" w:hAnsiTheme="majorEastAsia" w:eastAsiaTheme="majorEastAsia" w:cstheme="majorEastAsia"/>
          <w:b/>
          <w:bCs/>
          <w:sz w:val="44"/>
          <w:szCs w:val="44"/>
          <w:lang w:eastAsia="zh-CN"/>
        </w:rPr>
        <w:t>）</w:t>
      </w:r>
    </w:p>
    <w:p>
      <w:pPr>
        <w:spacing w:line="360" w:lineRule="auto"/>
        <w:jc w:val="center"/>
        <w:rPr>
          <w:rFonts w:asciiTheme="minorEastAsia" w:hAnsiTheme="minorEastAsia" w:eastAsiaTheme="minorEastAsia" w:cstheme="minorEastAsia"/>
          <w:sz w:val="28"/>
        </w:rPr>
      </w:pPr>
    </w:p>
    <w:p>
      <w:pPr>
        <w:pStyle w:val="107"/>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7"/>
      </w:pPr>
      <w:r>
        <w:rPr>
          <w:rFonts w:hint="eastAsia"/>
        </w:rPr>
        <w:t xml:space="preserve"> </w:t>
      </w: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采购编号：博政采购(2021)</w:t>
      </w:r>
      <w:r>
        <w:rPr>
          <w:rFonts w:hint="eastAsia" w:asciiTheme="minorEastAsia" w:hAnsiTheme="minorEastAsia" w:eastAsiaTheme="minorEastAsia" w:cstheme="minorEastAsia"/>
          <w:b/>
          <w:bCs/>
          <w:sz w:val="36"/>
          <w:szCs w:val="36"/>
          <w:lang w:val="en-US" w:eastAsia="zh-CN"/>
        </w:rPr>
        <w:t>111</w:t>
      </w:r>
      <w:r>
        <w:rPr>
          <w:rFonts w:hint="eastAsia" w:asciiTheme="minorEastAsia" w:hAnsiTheme="minorEastAsia" w:eastAsiaTheme="minorEastAsia" w:cstheme="minorEastAsia"/>
          <w:b/>
          <w:bCs/>
          <w:sz w:val="36"/>
          <w:szCs w:val="36"/>
        </w:rPr>
        <w:t>-</w:t>
      </w:r>
      <w:r>
        <w:rPr>
          <w:rFonts w:hint="eastAsia" w:asciiTheme="minorEastAsia" w:hAnsiTheme="minorEastAsia" w:eastAsia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博爱县人民医院</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footerReference r:id="rId6" w:type="first"/>
          <w:footerReference r:id="rId4" w:type="default"/>
          <w:headerReference r:id="rId3" w:type="even"/>
          <w:footerReference r:id="rId5"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期：2021年</w:t>
      </w:r>
      <w:r>
        <w:rPr>
          <w:rFonts w:hint="eastAsia" w:asciiTheme="minorEastAsia" w:hAnsiTheme="minorEastAsia" w:eastAsiaTheme="minorEastAsia" w:cstheme="minorEastAsia"/>
          <w:b/>
          <w:bCs/>
          <w:sz w:val="32"/>
          <w:szCs w:val="32"/>
          <w:lang w:val="en-US" w:eastAsia="zh-CN"/>
        </w:rPr>
        <w:t>11</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28"/>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- 3 -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- 20 -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- 25 -</w:t>
      </w:r>
      <w:r>
        <w:rPr>
          <w:b/>
          <w:bCs/>
        </w:rPr>
        <w:fldChar w:fldCharType="end"/>
      </w:r>
      <w:r>
        <w:rPr>
          <w:b/>
          <w:bCs/>
        </w:rPr>
        <w:fldChar w:fldCharType="end"/>
      </w:r>
    </w:p>
    <w:p>
      <w:pPr>
        <w:pStyle w:val="28"/>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- 28 -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- 28 -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6"/>
        <w:spacing w:line="360" w:lineRule="auto"/>
        <w:ind w:right="-63" w:rightChars="-30"/>
        <w:rPr>
          <w:rFonts w:asciiTheme="minorEastAsia" w:hAnsiTheme="minorEastAsia" w:eastAsiaTheme="minorEastAsia" w:cstheme="minorEastAsia"/>
          <w:bCs/>
        </w:rPr>
      </w:pPr>
      <w:bookmarkStart w:id="1" w:name="_Toc9243"/>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jc w:val="both"/>
        <w:rPr>
          <w:rFonts w:asciiTheme="minorEastAsia" w:hAnsiTheme="minorEastAsia" w:eastAsiaTheme="minorEastAsia" w:cstheme="minorEastAsia"/>
          <w:bCs/>
        </w:rPr>
      </w:pPr>
    </w:p>
    <w:p>
      <w:pPr>
        <w:pStyle w:val="36"/>
        <w:numPr>
          <w:ilvl w:val="0"/>
          <w:numId w:val="2"/>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博爱县人民医院内科楼灾后修缮1000KW发电机和配套电缆及抽水泵采购项目</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lang w:val="en-US" w:eastAsia="zh-CN"/>
        </w:rPr>
        <w:t>二标段</w:t>
      </w:r>
      <w:r>
        <w:rPr>
          <w:rFonts w:hint="eastAsia" w:asciiTheme="minorEastAsia" w:hAnsiTheme="minorEastAsia" w:eastAsiaTheme="minorEastAsia" w:cstheme="minorEastAsia"/>
          <w:b/>
          <w:bCs/>
          <w:sz w:val="32"/>
          <w:szCs w:val="32"/>
          <w:lang w:eastAsia="zh-CN"/>
        </w:rPr>
        <w:t>）</w:t>
      </w:r>
    </w:p>
    <w:tbl>
      <w:tblPr>
        <w:tblStyle w:val="4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39"/>
              <w:spacing w:line="440" w:lineRule="exact"/>
              <w:ind w:firstLine="480"/>
              <w:rPr>
                <w:rFonts w:ascii="宋体" w:hAnsi="宋体" w:cs="宋体"/>
                <w:color w:val="auto"/>
                <w:sz w:val="24"/>
              </w:rPr>
            </w:pPr>
            <w:bookmarkStart w:id="2" w:name="_Toc25354"/>
            <w:r>
              <w:rPr>
                <w:rFonts w:hint="eastAsia" w:ascii="宋体" w:hAnsi="宋体" w:cs="宋体"/>
                <w:color w:val="auto"/>
                <w:sz w:val="24"/>
              </w:rPr>
              <w:t>项目概况：</w:t>
            </w:r>
            <w:r>
              <w:rPr>
                <w:rFonts w:hint="eastAsia" w:ascii="宋体" w:hAnsi="宋体" w:cs="宋体"/>
                <w:color w:val="auto"/>
                <w:sz w:val="24"/>
                <w:lang w:val="en-US" w:eastAsia="zh-CN"/>
              </w:rPr>
              <w:t>博爱县人民医院内科楼灾后修缮1000KW发电机和配套电缆及抽水泵采购项目</w:t>
            </w:r>
            <w:r>
              <w:rPr>
                <w:rFonts w:hint="eastAsia" w:ascii="宋体" w:hAnsi="宋体" w:cs="宋体"/>
                <w:color w:val="auto"/>
                <w:sz w:val="24"/>
                <w:lang w:eastAsia="zh-CN"/>
              </w:rPr>
              <w:t>（二标段）</w:t>
            </w:r>
            <w:r>
              <w:rPr>
                <w:rFonts w:hint="eastAsia" w:ascii="宋体" w:hAnsi="宋体" w:cs="宋体"/>
                <w:color w:val="auto"/>
                <w:sz w:val="24"/>
              </w:rPr>
              <w:t>的潜在供应商应在焦作市公共资源交易中心网站获取采购文件，并于</w:t>
            </w:r>
            <w:r>
              <w:rPr>
                <w:rFonts w:hint="eastAsia" w:ascii="宋体" w:hAnsi="宋体" w:cs="宋体"/>
                <w:color w:val="auto"/>
                <w:sz w:val="24"/>
                <w:u w:val="single"/>
              </w:rPr>
              <w:t>2021年</w:t>
            </w:r>
            <w:r>
              <w:rPr>
                <w:rFonts w:hint="eastAsia" w:ascii="宋体" w:hAnsi="宋体" w:cs="宋体"/>
                <w:color w:val="auto"/>
                <w:sz w:val="24"/>
                <w:u w:val="single"/>
                <w:lang w:val="en-US" w:eastAsia="zh-CN"/>
              </w:rPr>
              <w:t xml:space="preserve">11 </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分（北京时间）</w:t>
            </w:r>
            <w:r>
              <w:rPr>
                <w:rFonts w:hint="eastAsia" w:ascii="宋体" w:hAnsi="宋体" w:cs="宋体"/>
                <w:color w:val="auto"/>
                <w:sz w:val="24"/>
              </w:rPr>
              <w:t>前提交响应文件。</w:t>
            </w:r>
          </w:p>
        </w:tc>
      </w:tr>
    </w:tbl>
    <w:p>
      <w:pPr>
        <w:pStyle w:val="114"/>
        <w:spacing w:line="440" w:lineRule="exact"/>
        <w:ind w:left="0" w:firstLine="0"/>
        <w:rPr>
          <w:b/>
          <w:bCs/>
          <w:color w:val="auto"/>
          <w:sz w:val="24"/>
          <w:lang w:eastAsia="zh-CN"/>
        </w:rPr>
      </w:pPr>
      <w:r>
        <w:rPr>
          <w:rFonts w:hint="eastAsia"/>
          <w:b/>
          <w:bCs/>
          <w:color w:val="auto"/>
          <w:sz w:val="24"/>
          <w:lang w:eastAsia="zh-CN"/>
        </w:rPr>
        <w:t>一、项目基本情况</w:t>
      </w:r>
    </w:p>
    <w:p>
      <w:pPr>
        <w:pStyle w:val="114"/>
        <w:spacing w:line="440" w:lineRule="exact"/>
        <w:ind w:left="0" w:firstLine="480" w:firstLineChars="200"/>
        <w:rPr>
          <w:color w:val="auto"/>
          <w:sz w:val="24"/>
          <w:lang w:eastAsia="zh-CN"/>
        </w:rPr>
      </w:pPr>
      <w:r>
        <w:rPr>
          <w:rFonts w:hint="eastAsia"/>
          <w:color w:val="auto"/>
          <w:sz w:val="24"/>
          <w:lang w:eastAsia="zh-CN"/>
        </w:rPr>
        <w:t>项目编号：博政采购(2021)</w:t>
      </w:r>
      <w:r>
        <w:rPr>
          <w:rFonts w:hint="eastAsia"/>
          <w:color w:val="auto"/>
          <w:sz w:val="24"/>
          <w:lang w:val="en-US" w:eastAsia="zh-CN"/>
        </w:rPr>
        <w:t>111-2</w:t>
      </w:r>
      <w:r>
        <w:rPr>
          <w:rFonts w:hint="eastAsia"/>
          <w:color w:val="auto"/>
          <w:sz w:val="24"/>
          <w:lang w:eastAsia="zh-CN"/>
        </w:rPr>
        <w:t>号</w:t>
      </w:r>
    </w:p>
    <w:p>
      <w:pPr>
        <w:pStyle w:val="114"/>
        <w:spacing w:line="440" w:lineRule="exact"/>
        <w:ind w:left="0" w:firstLine="480" w:firstLineChars="200"/>
        <w:rPr>
          <w:color w:val="auto"/>
          <w:sz w:val="24"/>
          <w:lang w:eastAsia="zh-CN"/>
        </w:rPr>
      </w:pPr>
      <w:r>
        <w:rPr>
          <w:rFonts w:hint="eastAsia"/>
          <w:color w:val="auto"/>
          <w:sz w:val="24"/>
          <w:lang w:eastAsia="zh-CN"/>
        </w:rPr>
        <w:t>项目名称：</w:t>
      </w:r>
      <w:r>
        <w:rPr>
          <w:rFonts w:hint="eastAsia"/>
          <w:color w:val="auto"/>
          <w:sz w:val="24"/>
          <w:lang w:val="en-US" w:eastAsia="zh-CN"/>
        </w:rPr>
        <w:t>博爱县人民医院内科楼灾后修缮1000KW发电机和配套电缆及抽水泵采购项目</w:t>
      </w:r>
      <w:r>
        <w:rPr>
          <w:rFonts w:hint="eastAsia"/>
          <w:color w:val="auto"/>
          <w:sz w:val="24"/>
          <w:lang w:eastAsia="zh-CN"/>
        </w:rPr>
        <w:t>（</w:t>
      </w:r>
      <w:r>
        <w:rPr>
          <w:rFonts w:hint="eastAsia"/>
          <w:color w:val="auto"/>
          <w:sz w:val="24"/>
          <w:lang w:val="en-US" w:eastAsia="zh-CN"/>
        </w:rPr>
        <w:t>二标段</w:t>
      </w:r>
      <w:r>
        <w:rPr>
          <w:rFonts w:hint="eastAsia"/>
          <w:color w:val="auto"/>
          <w:sz w:val="24"/>
          <w:lang w:eastAsia="zh-CN"/>
        </w:rPr>
        <w:t>）</w:t>
      </w:r>
    </w:p>
    <w:p>
      <w:pPr>
        <w:pStyle w:val="114"/>
        <w:spacing w:line="440" w:lineRule="exact"/>
        <w:ind w:left="0" w:firstLine="480" w:firstLineChars="200"/>
        <w:rPr>
          <w:color w:val="auto"/>
          <w:sz w:val="24"/>
          <w:lang w:eastAsia="zh-CN"/>
        </w:rPr>
      </w:pPr>
      <w:r>
        <w:rPr>
          <w:rFonts w:hint="eastAsia"/>
          <w:color w:val="auto"/>
          <w:sz w:val="24"/>
          <w:lang w:eastAsia="zh-CN"/>
        </w:rPr>
        <w:t>采购方式：公开招标</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预算金额：</w:t>
      </w:r>
      <w:r>
        <w:rPr>
          <w:rFonts w:hint="eastAsia" w:ascii="宋体" w:hAnsi="宋体" w:cs="宋体"/>
          <w:color w:val="auto"/>
          <w:kern w:val="0"/>
          <w:sz w:val="24"/>
          <w:lang w:val="en-US" w:eastAsia="zh-CN"/>
        </w:rPr>
        <w:t>1020000.00</w:t>
      </w:r>
      <w:r>
        <w:rPr>
          <w:rFonts w:hint="eastAsia" w:ascii="宋体" w:hAnsi="宋体" w:cs="宋体"/>
          <w:color w:val="auto"/>
          <w:kern w:val="0"/>
          <w:sz w:val="24"/>
        </w:rPr>
        <w:t>元</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采购内容：</w:t>
      </w:r>
      <w:r>
        <w:rPr>
          <w:rFonts w:hint="eastAsia" w:ascii="宋体" w:hAnsi="宋体" w:eastAsia="宋体" w:cs="宋体"/>
          <w:color w:val="auto"/>
          <w:sz w:val="24"/>
          <w:lang w:val="en-US" w:eastAsia="zh-CN"/>
        </w:rPr>
        <w:t>需购置1000KW发电机组1套、潜水泵2台、抽水泵2台</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具体参数</w:t>
      </w:r>
      <w:r>
        <w:rPr>
          <w:rFonts w:hint="eastAsia" w:ascii="宋体" w:hAnsi="宋体" w:eastAsia="宋体" w:cs="宋体"/>
          <w:color w:val="auto"/>
          <w:kern w:val="0"/>
          <w:sz w:val="24"/>
        </w:rPr>
        <w:t>详见招标文件）</w:t>
      </w:r>
      <w:r>
        <w:rPr>
          <w:rFonts w:hint="eastAsia" w:ascii="宋体" w:hAnsi="宋体" w:eastAsia="宋体" w:cs="宋体"/>
          <w:color w:val="auto"/>
          <w:kern w:val="0"/>
          <w:sz w:val="24"/>
          <w:lang w:eastAsia="zh-CN"/>
        </w:rPr>
        <w:t>。</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供货及安装期：</w:t>
      </w:r>
      <w:r>
        <w:rPr>
          <w:rFonts w:hint="eastAsia" w:ascii="宋体" w:hAnsi="宋体" w:cs="宋体"/>
          <w:color w:val="auto"/>
          <w:kern w:val="0"/>
          <w:sz w:val="24"/>
          <w:lang w:val="en-US" w:eastAsia="zh-CN"/>
        </w:rPr>
        <w:t>15</w:t>
      </w:r>
      <w:r>
        <w:rPr>
          <w:rFonts w:hint="eastAsia" w:ascii="宋体" w:hAnsi="宋体" w:cs="宋体"/>
          <w:color w:val="auto"/>
          <w:kern w:val="0"/>
          <w:sz w:val="24"/>
        </w:rPr>
        <w:t>日历天</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质量标准：合格</w:t>
      </w:r>
    </w:p>
    <w:p>
      <w:pPr>
        <w:adjustRightInd w:val="0"/>
        <w:snapToGrid w:val="0"/>
        <w:spacing w:line="44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3.3本项目不接受联合体投标；</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3.4资格审查方式：资格后审。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35"/>
        <w:shd w:val="clear" w:color="auto" w:fill="FFFFFF"/>
        <w:autoSpaceDE w:val="0"/>
        <w:spacing w:before="0" w:beforeAutospacing="0" w:after="0" w:afterAutospacing="0" w:line="440" w:lineRule="atLeast"/>
        <w:ind w:firstLine="480" w:firstLineChars="200"/>
        <w:rPr>
          <w:rFonts w:hint="eastAsia" w:eastAsia="宋体"/>
          <w:color w:val="auto"/>
          <w:lang w:eastAsia="zh-CN"/>
        </w:rPr>
      </w:pPr>
      <w:r>
        <w:rPr>
          <w:rFonts w:hint="eastAsia"/>
          <w:color w:val="auto"/>
        </w:rPr>
        <w:t>1.时间：2021年</w:t>
      </w:r>
      <w:r>
        <w:rPr>
          <w:rFonts w:hint="eastAsia"/>
          <w:color w:val="auto"/>
          <w:lang w:val="en-US" w:eastAsia="zh-CN"/>
        </w:rPr>
        <w:t>11</w:t>
      </w:r>
      <w:r>
        <w:rPr>
          <w:rFonts w:hint="eastAsia"/>
          <w:color w:val="auto"/>
        </w:rPr>
        <w:t>月</w:t>
      </w:r>
      <w:r>
        <w:rPr>
          <w:rFonts w:hint="eastAsia"/>
          <w:color w:val="auto"/>
          <w:lang w:val="en-US" w:eastAsia="zh-CN"/>
        </w:rPr>
        <w:t>10</w:t>
      </w:r>
      <w:r>
        <w:rPr>
          <w:rFonts w:hint="eastAsia"/>
          <w:color w:val="auto"/>
        </w:rPr>
        <w:t>日至2021年</w:t>
      </w:r>
      <w:r>
        <w:rPr>
          <w:rFonts w:hint="eastAsia"/>
          <w:color w:val="auto"/>
          <w:lang w:val="en-US" w:eastAsia="zh-CN"/>
        </w:rPr>
        <w:t>11</w:t>
      </w:r>
      <w:r>
        <w:rPr>
          <w:rFonts w:hint="eastAsia"/>
          <w:color w:val="auto"/>
        </w:rPr>
        <w:t>月</w:t>
      </w:r>
      <w:r>
        <w:rPr>
          <w:rFonts w:hint="eastAsia"/>
          <w:color w:val="auto"/>
          <w:lang w:val="en-US" w:eastAsia="zh-CN"/>
        </w:rPr>
        <w:t>16</w:t>
      </w:r>
      <w:r>
        <w:rPr>
          <w:rFonts w:hint="eastAsia"/>
          <w:color w:val="auto"/>
        </w:rPr>
        <w:t>日（北京时间）；</w:t>
      </w:r>
    </w:p>
    <w:p>
      <w:pPr>
        <w:pStyle w:val="35"/>
        <w:shd w:val="clear" w:color="auto" w:fill="FFFFFF"/>
        <w:autoSpaceDE w:val="0"/>
        <w:spacing w:before="0" w:beforeAutospacing="0" w:after="0" w:afterAutospacing="0" w:line="440" w:lineRule="atLeast"/>
        <w:ind w:firstLine="480" w:firstLineChars="200"/>
        <w:rPr>
          <w:color w:val="auto"/>
        </w:rPr>
      </w:pPr>
      <w:r>
        <w:rPr>
          <w:rFonts w:hint="eastAsia"/>
          <w:color w:val="auto"/>
        </w:rPr>
        <w:t>  2.地点：</w:t>
      </w:r>
      <w:r>
        <w:rPr>
          <w:rFonts w:hint="eastAsia"/>
          <w:color w:val="auto"/>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35"/>
        <w:shd w:val="clear" w:color="auto" w:fill="FFFFFF"/>
        <w:autoSpaceDE w:val="0"/>
        <w:spacing w:before="0" w:beforeAutospacing="0" w:after="0" w:afterAutospacing="0" w:line="440" w:lineRule="atLeast"/>
        <w:rPr>
          <w:color w:val="auto"/>
        </w:rPr>
      </w:pPr>
      <w:r>
        <w:rPr>
          <w:rFonts w:hint="eastAsia"/>
          <w:color w:val="auto"/>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1.截止时间：2021年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30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1.时间：2021年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30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35"/>
        <w:numPr>
          <w:ilvl w:val="0"/>
          <w:numId w:val="3"/>
        </w:numPr>
        <w:shd w:val="clear" w:color="auto" w:fill="FFFFFF"/>
        <w:autoSpaceDE w:val="0"/>
        <w:spacing w:before="0" w:beforeAutospacing="0" w:after="0" w:afterAutospacing="0" w:line="440" w:lineRule="exact"/>
        <w:rPr>
          <w:b/>
          <w:color w:val="auto"/>
          <w:shd w:val="clear" w:color="auto" w:fill="FFFFFF"/>
        </w:rPr>
      </w:pPr>
      <w:r>
        <w:rPr>
          <w:rFonts w:hint="eastAsia"/>
          <w:b/>
          <w:color w:val="auto"/>
          <w:shd w:val="clear" w:color="auto" w:fill="FFFFFF"/>
        </w:rPr>
        <w:t>其他补充事宜</w:t>
      </w:r>
    </w:p>
    <w:p>
      <w:pPr>
        <w:pStyle w:val="35"/>
        <w:shd w:val="clear" w:color="auto" w:fill="FFFFFF"/>
        <w:autoSpaceDE w:val="0"/>
        <w:spacing w:before="0" w:beforeAutospacing="0" w:after="0" w:afterAutospacing="0" w:line="440" w:lineRule="exact"/>
        <w:ind w:firstLine="480" w:firstLineChars="200"/>
        <w:rPr>
          <w:rFonts w:hint="eastAsia" w:eastAsia="宋体"/>
          <w:color w:val="auto"/>
          <w:shd w:val="clear" w:color="auto" w:fill="FFFFFF"/>
          <w:lang w:eastAsia="zh-CN"/>
        </w:rPr>
      </w:pPr>
      <w:r>
        <w:rPr>
          <w:rFonts w:hint="eastAsia"/>
          <w:color w:val="auto"/>
          <w:shd w:val="clear" w:color="auto" w:fill="FFFFFF"/>
        </w:rPr>
        <w:t>1.本次本公告在《河南省政府采购网》、《焦作市政府采购网》、《焦作市公共资源交易中心网》、《博爱县人民政府网》、《博爱县公共资源交易中心网》上发布</w:t>
      </w:r>
      <w:r>
        <w:rPr>
          <w:rFonts w:hint="eastAsia"/>
          <w:color w:val="auto"/>
          <w:shd w:val="clear" w:color="auto" w:fill="FFFFFF"/>
          <w:lang w:eastAsia="zh-CN"/>
        </w:rPr>
        <w:t>。</w:t>
      </w:r>
    </w:p>
    <w:p>
      <w:pPr>
        <w:pStyle w:val="35"/>
        <w:spacing w:beforeAutospacing="0" w:afterAutospacing="0" w:line="440" w:lineRule="exact"/>
        <w:ind w:firstLine="468" w:firstLineChars="195"/>
        <w:jc w:val="both"/>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5"/>
        <w:spacing w:beforeAutospacing="0" w:afterAutospacing="0" w:line="440" w:lineRule="exact"/>
        <w:ind w:firstLine="468" w:firstLineChars="195"/>
        <w:jc w:val="both"/>
        <w:rPr>
          <w:color w:val="auto"/>
        </w:rPr>
      </w:pPr>
      <w:r>
        <w:rPr>
          <w:rFonts w:hint="eastAsia"/>
          <w:color w:val="auto"/>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5"/>
        <w:spacing w:beforeAutospacing="0" w:afterAutospacing="0" w:line="440" w:lineRule="exact"/>
        <w:ind w:firstLine="468" w:firstLineChars="195"/>
        <w:jc w:val="both"/>
        <w:rPr>
          <w:color w:val="auto"/>
        </w:rPr>
      </w:pPr>
      <w:r>
        <w:rPr>
          <w:rFonts w:hint="eastAsia"/>
          <w:color w:val="auto"/>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采购人：</w:t>
      </w:r>
      <w:r>
        <w:rPr>
          <w:rFonts w:hint="eastAsia" w:ascii="宋体" w:hAnsi="宋体" w:cs="宋体"/>
          <w:color w:val="auto"/>
          <w:kern w:val="0"/>
          <w:sz w:val="24"/>
          <w:lang w:eastAsia="zh-CN"/>
        </w:rPr>
        <w:t>博爱县人民医院</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lang w:val="en-US" w:eastAsia="zh-CN"/>
        </w:rPr>
        <w:t>焦作市博爱县清化镇滨河路与淸义路交叉口</w:t>
      </w:r>
    </w:p>
    <w:p>
      <w:pPr>
        <w:adjustRightInd w:val="0"/>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kern w:val="0"/>
          <w:sz w:val="24"/>
        </w:rPr>
        <w:t>电话：</w:t>
      </w:r>
      <w:r>
        <w:rPr>
          <w:rFonts w:hint="eastAsia" w:ascii="宋体" w:hAnsi="宋体" w:cs="宋体"/>
          <w:bCs/>
          <w:color w:val="auto"/>
          <w:sz w:val="24"/>
          <w:lang w:val="en-US" w:eastAsia="zh-CN"/>
        </w:rPr>
        <w:t>13939118082</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博爱县中山路东段</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电话：0391-8690958</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项目联系人：</w:t>
      </w:r>
      <w:r>
        <w:rPr>
          <w:rFonts w:hint="eastAsia" w:ascii="宋体" w:hAnsi="宋体" w:cs="宋体"/>
          <w:bCs/>
          <w:color w:val="auto"/>
          <w:sz w:val="24"/>
          <w:lang w:val="en-US" w:eastAsia="zh-CN"/>
        </w:rPr>
        <w:t>吴先生</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电话：</w:t>
      </w:r>
      <w:r>
        <w:rPr>
          <w:rFonts w:hint="eastAsia" w:ascii="宋体" w:hAnsi="宋体" w:cs="宋体"/>
          <w:bCs/>
          <w:color w:val="auto"/>
          <w:sz w:val="24"/>
          <w:lang w:val="en-US" w:eastAsia="zh-CN"/>
        </w:rPr>
        <w:t>13939118082</w:t>
      </w:r>
    </w:p>
    <w:p>
      <w:pPr>
        <w:pStyle w:val="14"/>
        <w:rPr>
          <w:color w:val="auto"/>
        </w:rPr>
      </w:pPr>
    </w:p>
    <w:p>
      <w:pPr>
        <w:widowControl/>
        <w:spacing w:line="440" w:lineRule="exact"/>
        <w:ind w:left="2940" w:firstLine="420"/>
        <w:rPr>
          <w:rFonts w:hint="eastAsia" w:ascii="宋体" w:hAnsi="宋体" w:eastAsia="宋体" w:cs="宋体"/>
          <w:color w:val="auto"/>
          <w:sz w:val="24"/>
          <w:shd w:val="clear" w:color="auto" w:fill="FFFFFF"/>
          <w:lang w:eastAsia="zh-CN"/>
        </w:rPr>
      </w:pPr>
      <w:r>
        <w:rPr>
          <w:rFonts w:hint="eastAsia" w:ascii="宋体" w:hAnsi="宋体" w:cs="宋体"/>
          <w:color w:val="auto"/>
          <w:sz w:val="24"/>
        </w:rPr>
        <w:t>采购人：</w:t>
      </w:r>
      <w:r>
        <w:rPr>
          <w:rFonts w:hint="eastAsia" w:ascii="宋体" w:hAnsi="宋体" w:cs="宋体"/>
          <w:color w:val="auto"/>
          <w:sz w:val="24"/>
          <w:shd w:val="clear" w:color="auto" w:fill="FFFFFF"/>
          <w:lang w:eastAsia="zh-CN"/>
        </w:rPr>
        <w:t>博爱县人民医院</w:t>
      </w:r>
    </w:p>
    <w:p>
      <w:pPr>
        <w:widowControl/>
        <w:spacing w:line="440" w:lineRule="exact"/>
        <w:ind w:firstLine="2880" w:firstLineChars="1200"/>
        <w:jc w:val="left"/>
        <w:rPr>
          <w:rFonts w:ascii="宋体" w:hAnsi="宋体" w:cs="宋体"/>
          <w:color w:val="auto"/>
          <w:sz w:val="24"/>
          <w:shd w:val="clear" w:color="auto" w:fill="FFFFFF"/>
        </w:rPr>
      </w:pPr>
      <w:r>
        <w:rPr>
          <w:rFonts w:hint="eastAsia" w:ascii="宋体" w:hAnsi="宋体" w:cs="宋体"/>
          <w:color w:val="auto"/>
          <w:sz w:val="24"/>
          <w:shd w:val="clear" w:color="auto" w:fill="FFFFFF"/>
          <w:lang w:val="en-US" w:eastAsia="zh-CN"/>
        </w:rPr>
        <w:t xml:space="preserve"> </w:t>
      </w:r>
      <w:r>
        <w:rPr>
          <w:rFonts w:hint="eastAsia" w:ascii="宋体" w:hAnsi="宋体" w:cs="宋体"/>
          <w:color w:val="auto"/>
          <w:sz w:val="24"/>
          <w:shd w:val="clear" w:color="auto" w:fill="FFFFFF"/>
        </w:rPr>
        <w:t>博爱县城市建设项目管理有限公司</w:t>
      </w:r>
    </w:p>
    <w:p>
      <w:pPr>
        <w:widowControl/>
        <w:spacing w:line="440" w:lineRule="exact"/>
        <w:ind w:left="2940" w:firstLine="420"/>
        <w:rPr>
          <w:color w:val="auto"/>
        </w:rPr>
      </w:pPr>
      <w:r>
        <w:rPr>
          <w:rFonts w:hint="eastAsia" w:ascii="宋体" w:hAnsi="宋体" w:cs="宋体"/>
          <w:color w:val="auto"/>
          <w:sz w:val="24"/>
        </w:rPr>
        <w:t>发布时间：2021年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 xml:space="preserve"> 日</w:t>
      </w:r>
    </w:p>
    <w:p>
      <w:pP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p>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36"/>
        <w:spacing w:before="0" w:after="0" w:line="360" w:lineRule="auto"/>
        <w:ind w:right="-23" w:rightChars="-11"/>
        <w:rPr>
          <w:rFonts w:asciiTheme="minorEastAsia" w:hAnsiTheme="minorEastAsia" w:eastAsiaTheme="minorEastAsia" w:cstheme="minorEastAsia"/>
          <w:sz w:val="30"/>
          <w:szCs w:val="30"/>
        </w:rPr>
      </w:pPr>
      <w:bookmarkStart w:id="3" w:name="_Toc403122490"/>
      <w:bookmarkStart w:id="4" w:name="_Toc426369478"/>
      <w:bookmarkStart w:id="5" w:name="_Toc32497"/>
      <w:bookmarkStart w:id="6" w:name="_Toc9161"/>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4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color w:val="auto"/>
              </w:rPr>
            </w:pPr>
            <w:r>
              <w:rPr>
                <w:rFonts w:asciiTheme="minorEastAsia" w:hAnsiTheme="minorEastAsia" w:eastAsiaTheme="minorEastAsia" w:cstheme="minorEastAsia"/>
                <w:b/>
                <w:color w:val="auto"/>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color w:val="auto"/>
              </w:rPr>
            </w:pPr>
            <w:r>
              <w:rPr>
                <w:rFonts w:asciiTheme="minorEastAsia" w:hAnsiTheme="minorEastAsia" w:eastAsiaTheme="minorEastAsia" w:cstheme="minorEastAsia"/>
                <w:b/>
                <w:color w:val="auto"/>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color w:val="auto"/>
              </w:rPr>
            </w:pPr>
            <w:r>
              <w:rPr>
                <w:rFonts w:asciiTheme="minorEastAsia" w:hAnsiTheme="minorEastAsia" w:eastAsiaTheme="minorEastAsia" w:cstheme="minorEastAsia"/>
                <w:b/>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采购人</w:t>
            </w:r>
          </w:p>
        </w:tc>
        <w:tc>
          <w:tcPr>
            <w:tcW w:w="6112" w:type="dxa"/>
            <w:vAlign w:val="center"/>
          </w:tcPr>
          <w:p>
            <w:pPr>
              <w:pStyle w:val="21"/>
              <w:spacing w:line="360" w:lineRule="exact"/>
              <w:rPr>
                <w:rFonts w:hint="eastAsia" w:asciiTheme="minorEastAsia" w:hAnsiTheme="minorEastAsia" w:eastAsiaTheme="minorEastAsia" w:cstheme="minorEastAsia"/>
                <w:color w:val="auto"/>
                <w:lang w:eastAsia="zh-CN"/>
              </w:rPr>
            </w:pPr>
            <w:r>
              <w:rPr>
                <w:rFonts w:asciiTheme="minorEastAsia" w:hAnsiTheme="minorEastAsia" w:eastAsiaTheme="minorEastAsia" w:cstheme="minorEastAsia"/>
                <w:color w:val="auto"/>
              </w:rPr>
              <w:t>名称：</w:t>
            </w:r>
            <w:r>
              <w:rPr>
                <w:rFonts w:hint="eastAsia" w:asciiTheme="minorEastAsia" w:hAnsiTheme="minorEastAsia" w:eastAsiaTheme="minorEastAsia" w:cstheme="minorEastAsia"/>
                <w:color w:val="auto"/>
                <w:lang w:eastAsia="zh-CN"/>
              </w:rPr>
              <w:t>博爱县人民医院</w:t>
            </w:r>
          </w:p>
          <w:p>
            <w:pPr>
              <w:pStyle w:val="21"/>
              <w:spacing w:line="360" w:lineRule="exact"/>
              <w:rPr>
                <w:rFonts w:hint="default" w:asciiTheme="minorEastAsia" w:hAnsiTheme="minorEastAsia" w:eastAsiaTheme="minorEastAsia" w:cstheme="minorEastAsia"/>
                <w:color w:val="auto"/>
                <w:szCs w:val="24"/>
                <w:lang w:val="en-US" w:eastAsia="zh-CN"/>
              </w:rPr>
            </w:pPr>
            <w:r>
              <w:rPr>
                <w:rFonts w:asciiTheme="minorEastAsia" w:hAnsiTheme="minorEastAsia" w:eastAsiaTheme="minorEastAsia" w:cstheme="minorEastAsia"/>
                <w:color w:val="auto"/>
              </w:rPr>
              <w:t>联系</w:t>
            </w:r>
            <w:r>
              <w:rPr>
                <w:rFonts w:asciiTheme="minorEastAsia" w:hAnsiTheme="minorEastAsia" w:eastAsiaTheme="minorEastAsia" w:cstheme="minorEastAsia"/>
                <w:color w:val="auto"/>
                <w:szCs w:val="24"/>
              </w:rPr>
              <w:t>人：</w:t>
            </w:r>
            <w:r>
              <w:rPr>
                <w:rFonts w:hint="eastAsia" w:asciiTheme="minorEastAsia" w:hAnsiTheme="minorEastAsia" w:eastAsiaTheme="minorEastAsia" w:cstheme="minorEastAsia"/>
                <w:color w:val="auto"/>
                <w:szCs w:val="24"/>
                <w:lang w:val="en-US" w:eastAsia="zh-CN"/>
              </w:rPr>
              <w:t>吴先生</w:t>
            </w:r>
          </w:p>
          <w:p>
            <w:pPr>
              <w:pStyle w:val="21"/>
              <w:spacing w:line="360" w:lineRule="exact"/>
              <w:rPr>
                <w:rFonts w:hint="default"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4"/>
              </w:rPr>
              <w:t>电话：</w:t>
            </w:r>
            <w:r>
              <w:rPr>
                <w:rFonts w:hint="eastAsia" w:asciiTheme="minorEastAsia" w:hAnsiTheme="minorEastAsia" w:eastAsiaTheme="minorEastAsia" w:cstheme="minorEastAsia"/>
                <w:color w:val="auto"/>
                <w:szCs w:val="24"/>
                <w:lang w:val="en-US" w:eastAsia="zh-CN"/>
              </w:rPr>
              <w:t>13939118082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采购代理机构</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采购代理机构：博爱县城市建设项目管理有限公司  </w:t>
            </w:r>
          </w:p>
          <w:p>
            <w:pPr>
              <w:pStyle w:val="21"/>
              <w:spacing w:line="360" w:lineRule="exact"/>
              <w:rPr>
                <w:rFonts w:hint="default" w:asciiTheme="minorEastAsia" w:hAnsiTheme="minorEastAsia" w:eastAsiaTheme="minorEastAsia" w:cstheme="minorEastAsia"/>
                <w:bCs/>
                <w:iCs/>
                <w:color w:val="auto"/>
              </w:rPr>
            </w:pPr>
            <w:r>
              <w:rPr>
                <w:rFonts w:asciiTheme="minorEastAsia" w:hAnsiTheme="minorEastAsia" w:eastAsiaTheme="minorEastAsia" w:cstheme="minorEastAsia"/>
                <w:color w:val="auto"/>
              </w:rPr>
              <w:t>联</w:t>
            </w:r>
            <w:r>
              <w:rPr>
                <w:rFonts w:asciiTheme="minorEastAsia" w:hAnsiTheme="minorEastAsia" w:eastAsiaTheme="minorEastAsia" w:cstheme="minorEastAsia"/>
                <w:bCs/>
                <w:iCs/>
                <w:color w:val="auto"/>
              </w:rPr>
              <w:t xml:space="preserve">系人：张先生      </w:t>
            </w:r>
          </w:p>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bCs/>
                <w:iCs/>
                <w:color w:val="auto"/>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1.1.4</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Cs/>
                <w:iCs/>
                <w:color w:val="auto"/>
                <w:szCs w:val="21"/>
                <w:lang w:eastAsia="zh-CN"/>
              </w:rPr>
              <w:t>博爱县人民医院内科楼灾后修缮1000KW发电机和配套电缆及抽水泵采购项目（二标段）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1.1.5</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iCs/>
                <w:color w:val="auto"/>
                <w:szCs w:val="21"/>
              </w:rPr>
              <w:t>项目地点</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资金来源</w:t>
            </w:r>
          </w:p>
        </w:tc>
        <w:tc>
          <w:tcPr>
            <w:tcW w:w="6112" w:type="dxa"/>
            <w:vAlign w:val="center"/>
          </w:tcPr>
          <w:p>
            <w:pPr>
              <w:pStyle w:val="21"/>
              <w:spacing w:line="360" w:lineRule="exact"/>
              <w:rPr>
                <w:rFonts w:hint="default" w:asciiTheme="minorEastAsia" w:hAnsiTheme="minorEastAsia" w:eastAsiaTheme="minorEastAsia" w:cstheme="minorEastAsia"/>
                <w:color w:val="auto"/>
                <w:lang w:val="en-US" w:eastAsia="zh-CN"/>
              </w:rPr>
            </w:pPr>
            <w:r>
              <w:rPr>
                <w:rFonts w:hint="default" w:asciiTheme="minorEastAsia" w:hAnsiTheme="minorEastAsia" w:eastAsiaTheme="minorEastAsia" w:cstheme="minorEastAsia"/>
                <w:color w:val="auto"/>
              </w:rPr>
              <w:t>财政资金</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资金落实情况</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1.3.1</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采购内容</w:t>
            </w:r>
          </w:p>
        </w:tc>
        <w:tc>
          <w:tcPr>
            <w:tcW w:w="6112" w:type="dxa"/>
          </w:tcPr>
          <w:p>
            <w:pPr>
              <w:pStyle w:val="21"/>
              <w:spacing w:line="360" w:lineRule="exact"/>
              <w:rPr>
                <w:rFonts w:hint="default" w:asciiTheme="minorEastAsia" w:hAnsiTheme="minorEastAsia" w:eastAsiaTheme="minorEastAsia" w:cstheme="minorEastAsia"/>
                <w:color w:val="auto"/>
              </w:rPr>
            </w:pPr>
            <w:r>
              <w:rPr>
                <w:rFonts w:hint="eastAsia"/>
                <w:color w:val="auto"/>
                <w:sz w:val="24"/>
                <w:lang w:val="en-US" w:eastAsia="zh-CN"/>
              </w:rPr>
              <w:t>需购置1000KW发电机组1套、潜水泵2台、抽水泵2台</w:t>
            </w:r>
            <w:r>
              <w:rPr>
                <w:rFonts w:hAnsi="宋体" w:cs="宋体"/>
                <w:color w:val="auto"/>
                <w:kern w:val="0"/>
              </w:rPr>
              <w:t>（详见招标文件</w:t>
            </w:r>
            <w:r>
              <w:rPr>
                <w:rFonts w:hAnsi="宋体" w:cs="宋体"/>
                <w:bCs/>
                <w:color w:val="auto"/>
                <w:kern w:val="0"/>
              </w:rPr>
              <w:t>第五章）</w:t>
            </w:r>
            <w:r>
              <w:rPr>
                <w:rFonts w:hint="eastAsia" w:hAnsi="宋体" w:cs="宋体"/>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1.3.2</w:t>
            </w:r>
          </w:p>
        </w:tc>
        <w:tc>
          <w:tcPr>
            <w:tcW w:w="2318" w:type="dxa"/>
            <w:vAlign w:val="center"/>
          </w:tcPr>
          <w:p>
            <w:pPr>
              <w:pStyle w:val="21"/>
              <w:spacing w:line="360" w:lineRule="exact"/>
              <w:jc w:val="center"/>
              <w:rPr>
                <w:rFonts w:hint="default" w:hAnsi="宋体" w:cs="宋体"/>
                <w:color w:val="auto"/>
                <w:kern w:val="0"/>
              </w:rPr>
            </w:pPr>
            <w:r>
              <w:rPr>
                <w:rFonts w:hAnsi="宋体" w:cs="宋体"/>
                <w:color w:val="auto"/>
                <w:kern w:val="0"/>
              </w:rPr>
              <w:t>供货及安装期</w:t>
            </w:r>
          </w:p>
        </w:tc>
        <w:tc>
          <w:tcPr>
            <w:tcW w:w="6112" w:type="dxa"/>
            <w:vAlign w:val="center"/>
          </w:tcPr>
          <w:p>
            <w:pPr>
              <w:adjustRightInd w:val="0"/>
              <w:snapToGrid w:val="0"/>
              <w:spacing w:line="560" w:lineRule="exact"/>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15</w:t>
            </w:r>
            <w:r>
              <w:rPr>
                <w:rFonts w:hint="eastAsia" w:ascii="宋体" w:hAnsi="宋体" w:cs="宋体"/>
                <w:color w:val="auto"/>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1.3.3</w:t>
            </w:r>
          </w:p>
        </w:tc>
        <w:tc>
          <w:tcPr>
            <w:tcW w:w="2318" w:type="dxa"/>
            <w:vAlign w:val="center"/>
          </w:tcPr>
          <w:p>
            <w:pPr>
              <w:pStyle w:val="21"/>
              <w:spacing w:line="360" w:lineRule="exact"/>
              <w:jc w:val="center"/>
              <w:rPr>
                <w:rFonts w:hint="default" w:hAnsi="宋体" w:cs="宋体"/>
                <w:color w:val="auto"/>
                <w:kern w:val="0"/>
              </w:rPr>
            </w:pPr>
            <w:r>
              <w:rPr>
                <w:rFonts w:hint="default" w:hAnsi="宋体" w:cs="宋体"/>
                <w:color w:val="auto"/>
                <w:kern w:val="0"/>
              </w:rPr>
              <w:t>质量标准</w:t>
            </w:r>
          </w:p>
        </w:tc>
        <w:tc>
          <w:tcPr>
            <w:tcW w:w="6112" w:type="dxa"/>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1.3.4</w:t>
            </w:r>
          </w:p>
        </w:tc>
        <w:tc>
          <w:tcPr>
            <w:tcW w:w="2318" w:type="dxa"/>
            <w:vAlign w:val="center"/>
          </w:tcPr>
          <w:p>
            <w:pPr>
              <w:pStyle w:val="21"/>
              <w:spacing w:line="360" w:lineRule="exact"/>
              <w:jc w:val="center"/>
              <w:rPr>
                <w:rFonts w:hint="default" w:hAnsi="宋体" w:cs="宋体"/>
                <w:color w:val="auto"/>
                <w:kern w:val="0"/>
              </w:rPr>
            </w:pPr>
            <w:r>
              <w:rPr>
                <w:rFonts w:hAnsi="宋体" w:cs="宋体"/>
                <w:color w:val="auto"/>
                <w:kern w:val="0"/>
              </w:rPr>
              <w:t>质保期</w:t>
            </w:r>
          </w:p>
        </w:tc>
        <w:tc>
          <w:tcPr>
            <w:tcW w:w="6112" w:type="dxa"/>
            <w:vAlign w:val="center"/>
          </w:tcPr>
          <w:p>
            <w:pPr>
              <w:spacing w:line="400" w:lineRule="exac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保质期一千小时或二年，以先到为准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1.4.1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供应商资质条件</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1、符合《中华人民共和国政府采购法》第二十二条之规定；</w:t>
            </w:r>
          </w:p>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2、落实政府采购政策需满足的资格要求：促进中小企业和监狱企业发展扶持政策、政府强制采购节能产品、节能产品及环境标志产品优先采购。</w:t>
            </w:r>
          </w:p>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3、本项目的特定资格要求：</w:t>
            </w:r>
          </w:p>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3.1供应商须具有有效的营业执照</w:t>
            </w:r>
            <w:r>
              <w:rPr>
                <w:rFonts w:hint="eastAsia" w:hAnsi="宋体" w:cs="宋体"/>
                <w:color w:val="auto"/>
                <w:sz w:val="21"/>
                <w:szCs w:val="21"/>
                <w:shd w:val="clear" w:color="auto" w:fill="FFFFFF"/>
                <w:lang w:eastAsia="zh-CN"/>
              </w:rPr>
              <w:t>，</w:t>
            </w:r>
            <w:r>
              <w:rPr>
                <w:rFonts w:asciiTheme="minorEastAsia" w:hAnsiTheme="minorEastAsia" w:eastAsiaTheme="minorEastAsia" w:cstheme="minorEastAsia"/>
                <w:color w:val="auto"/>
              </w:rPr>
              <w:t>并具有实施完成本项目的经营实力和完善的售后服务体系；</w:t>
            </w:r>
          </w:p>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3.3本项目不接受联合体投标；</w:t>
            </w:r>
          </w:p>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1.4.2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是否接受联合体</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1.10.1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投标预备会</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1.10.2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供应商提出问题的</w:t>
            </w:r>
          </w:p>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1.10.3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采购人说明澄清的时间</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分包</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1.12</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w:t>
            </w:r>
          </w:p>
        </w:tc>
        <w:tc>
          <w:tcPr>
            <w:tcW w:w="6112"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供应商要求澄清招标文件的截止时间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2.2.2</w:t>
            </w:r>
          </w:p>
        </w:tc>
        <w:tc>
          <w:tcPr>
            <w:tcW w:w="2318" w:type="dxa"/>
            <w:vAlign w:val="center"/>
          </w:tcPr>
          <w:p>
            <w:pPr>
              <w:pStyle w:val="21"/>
              <w:spacing w:line="360" w:lineRule="exact"/>
              <w:jc w:val="center"/>
              <w:rPr>
                <w:rFonts w:hint="default" w:asciiTheme="minorEastAsia" w:hAnsiTheme="minorEastAsia" w:eastAsiaTheme="minorEastAsia" w:cstheme="minorEastAsia"/>
                <w:b/>
                <w:bCs/>
                <w:color w:val="auto"/>
              </w:rPr>
            </w:pPr>
            <w:r>
              <w:rPr>
                <w:rFonts w:asciiTheme="minorEastAsia" w:hAnsiTheme="minorEastAsia" w:eastAsiaTheme="minorEastAsia" w:cstheme="minorEastAsia"/>
                <w:color w:val="auto"/>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rPr>
            </w:pPr>
            <w:r>
              <w:rPr>
                <w:rFonts w:hint="eastAsia" w:ascii="宋体" w:hAnsi="宋体" w:cs="宋体"/>
                <w:color w:val="auto"/>
                <w:kern w:val="0"/>
                <w:sz w:val="24"/>
              </w:rPr>
              <w:t>2021年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30</w:t>
            </w:r>
            <w:r>
              <w:rPr>
                <w:rFonts w:hint="eastAsia" w:ascii="宋体" w:hAnsi="宋体" w:cs="宋体"/>
                <w:color w:val="auto"/>
                <w:kern w:val="0"/>
                <w:sz w:val="24"/>
              </w:rPr>
              <w:t>分</w:t>
            </w:r>
            <w:r>
              <w:rPr>
                <w:rFonts w:hint="eastAsia" w:ascii="宋体" w:hAnsi="宋体" w:cs="宋体"/>
                <w:color w:val="auto"/>
                <w:kern w:val="0"/>
                <w:sz w:val="24"/>
                <w:lang w:eastAsia="zh-CN"/>
              </w:rPr>
              <w:t>（</w:t>
            </w:r>
            <w:r>
              <w:rPr>
                <w:rFonts w:hint="eastAsia" w:ascii="宋体" w:hAnsi="宋体" w:cs="宋体"/>
                <w:color w:val="auto"/>
                <w:kern w:val="0"/>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3.1.1</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构成投标文件的</w:t>
            </w:r>
          </w:p>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其他材料</w:t>
            </w:r>
          </w:p>
        </w:tc>
        <w:tc>
          <w:tcPr>
            <w:tcW w:w="6112" w:type="dxa"/>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投标有效期</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3.6</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是否允许递交备选</w:t>
            </w:r>
          </w:p>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投标方案</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签字盖章要求</w:t>
            </w:r>
          </w:p>
        </w:tc>
        <w:tc>
          <w:tcPr>
            <w:tcW w:w="6112" w:type="dxa"/>
            <w:shd w:val="clear" w:color="auto" w:fill="auto"/>
            <w:vAlign w:val="center"/>
          </w:tcPr>
          <w:p>
            <w:pPr>
              <w:spacing w:line="360" w:lineRule="exact"/>
              <w:jc w:val="left"/>
              <w:rPr>
                <w:rFonts w:ascii="宋体" w:hAnsi="宋体" w:cs="宋体"/>
                <w:color w:val="auto"/>
                <w:szCs w:val="21"/>
              </w:rPr>
            </w:pPr>
            <w:r>
              <w:rPr>
                <w:rFonts w:hint="eastAsia" w:ascii="宋体" w:hAnsi="宋体" w:cs="宋体"/>
                <w:color w:val="auto"/>
                <w:szCs w:val="21"/>
              </w:rPr>
              <w:t>（1）所有要求投标人加盖公章的地方都须加盖投标人单位的 CA 印章。</w:t>
            </w:r>
          </w:p>
          <w:p>
            <w:pPr>
              <w:pStyle w:val="21"/>
              <w:spacing w:line="360" w:lineRule="exact"/>
              <w:rPr>
                <w:rFonts w:hint="default" w:asciiTheme="minorEastAsia" w:hAnsiTheme="minorEastAsia" w:eastAsiaTheme="minorEastAsia" w:cstheme="minorEastAsia"/>
                <w:color w:val="auto"/>
              </w:rPr>
            </w:pPr>
            <w:r>
              <w:rPr>
                <w:rFonts w:hAnsi="宋体" w:cs="宋体"/>
                <w:color w:val="auto"/>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3.7.4</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投标文件份数</w:t>
            </w:r>
          </w:p>
        </w:tc>
        <w:tc>
          <w:tcPr>
            <w:tcW w:w="6112" w:type="dxa"/>
            <w:vAlign w:val="center"/>
          </w:tcPr>
          <w:p>
            <w:pPr>
              <w:pStyle w:val="21"/>
              <w:spacing w:line="360" w:lineRule="exact"/>
              <w:rPr>
                <w:rFonts w:hint="default" w:asciiTheme="minorEastAsia" w:hAnsiTheme="minorEastAsia" w:cstheme="minorEastAsia"/>
                <w:color w:val="auto"/>
              </w:rPr>
            </w:pPr>
            <w:r>
              <w:rPr>
                <w:color w:val="auto"/>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4.2.2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递交投标文件方式和</w:t>
            </w:r>
          </w:p>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地点</w:t>
            </w:r>
          </w:p>
        </w:tc>
        <w:tc>
          <w:tcPr>
            <w:tcW w:w="6112" w:type="dxa"/>
            <w:vAlign w:val="center"/>
          </w:tcPr>
          <w:p>
            <w:pPr>
              <w:pStyle w:val="21"/>
              <w:spacing w:line="400" w:lineRule="exact"/>
              <w:rPr>
                <w:rFonts w:hint="default" w:hAnsi="宋体"/>
                <w:color w:val="auto"/>
              </w:rPr>
            </w:pPr>
            <w:r>
              <w:rPr>
                <w:rFonts w:hAnsi="宋体"/>
                <w:color w:val="auto"/>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default" w:hAnsi="宋体"/>
                <w:color w:val="auto"/>
              </w:rPr>
            </w:pPr>
            <w:r>
              <w:rPr>
                <w:rFonts w:hAnsi="宋体"/>
                <w:color w:val="auto"/>
              </w:rPr>
              <w:t>（1）电子投标文件的递交</w:t>
            </w:r>
          </w:p>
          <w:p>
            <w:pPr>
              <w:pStyle w:val="21"/>
              <w:spacing w:line="400" w:lineRule="exact"/>
              <w:rPr>
                <w:rFonts w:hint="default" w:hAnsi="宋体"/>
                <w:color w:val="auto"/>
              </w:rPr>
            </w:pPr>
            <w:r>
              <w:rPr>
                <w:rFonts w:hAnsi="宋体"/>
                <w:color w:val="auto"/>
              </w:rPr>
              <w:t>a、各投标人应在投标截止时间前上传加密的电子投标文件</w:t>
            </w:r>
          </w:p>
          <w:p>
            <w:pPr>
              <w:pStyle w:val="21"/>
              <w:spacing w:line="400" w:lineRule="exact"/>
              <w:rPr>
                <w:rFonts w:hint="default" w:hAnsi="宋体"/>
                <w:color w:val="auto"/>
              </w:rPr>
            </w:pPr>
            <w:r>
              <w:rPr>
                <w:rFonts w:hAnsi="宋体"/>
                <w:color w:val="auto"/>
              </w:rPr>
              <w:t>（.jztf 格式）到会员系统的指定位置。上传时必须得到电脑“上传成功”的确认回复。请投标人在上传时认真检查上传投标文件是否完整、正确。</w:t>
            </w:r>
          </w:p>
          <w:p>
            <w:pPr>
              <w:pStyle w:val="21"/>
              <w:spacing w:line="400" w:lineRule="exact"/>
              <w:rPr>
                <w:rFonts w:hint="default" w:hAnsi="宋体"/>
                <w:color w:val="auto"/>
              </w:rPr>
            </w:pPr>
            <w:r>
              <w:rPr>
                <w:rFonts w:hAnsi="宋体"/>
                <w:color w:val="auto"/>
              </w:rPr>
              <w:t>b、如系统故故障需上传非加密文件时，投标人应按照招标人指示将非加密文件递交给招标人。</w:t>
            </w:r>
          </w:p>
          <w:p>
            <w:pPr>
              <w:pStyle w:val="21"/>
              <w:spacing w:line="360" w:lineRule="exact"/>
              <w:rPr>
                <w:rFonts w:hint="default"/>
                <w:color w:val="auto"/>
              </w:rPr>
            </w:pPr>
            <w:r>
              <w:rPr>
                <w:rFonts w:hAnsi="宋体"/>
                <w:color w:val="auto"/>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4.2.3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是否退还投标文件</w:t>
            </w:r>
          </w:p>
        </w:tc>
        <w:tc>
          <w:tcPr>
            <w:tcW w:w="6112" w:type="dxa"/>
            <w:vAlign w:val="center"/>
          </w:tcPr>
          <w:p>
            <w:pPr>
              <w:pStyle w:val="21"/>
              <w:spacing w:line="360" w:lineRule="exac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5.1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开标时间和地点</w:t>
            </w:r>
          </w:p>
        </w:tc>
        <w:tc>
          <w:tcPr>
            <w:tcW w:w="6112" w:type="dxa"/>
            <w:vAlign w:val="center"/>
          </w:tcPr>
          <w:p>
            <w:pPr>
              <w:adjustRightInd w:val="0"/>
              <w:snapToGrid w:val="0"/>
              <w:spacing w:line="400" w:lineRule="exact"/>
              <w:rPr>
                <w:rFonts w:ascii="宋体" w:hAnsi="宋体"/>
                <w:color w:val="auto"/>
                <w:szCs w:val="21"/>
              </w:rPr>
            </w:pPr>
            <w:r>
              <w:rPr>
                <w:rFonts w:hint="eastAsia" w:ascii="宋体" w:hAnsi="宋体"/>
                <w:color w:val="auto"/>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rPr>
            </w:pPr>
            <w:r>
              <w:rPr>
                <w:rFonts w:hint="eastAsia" w:ascii="宋体" w:hAnsi="宋体"/>
                <w:color w:val="auto"/>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6.1.1</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取的评审专家4名共5人组成。</w:t>
            </w:r>
          </w:p>
          <w:p>
            <w:pPr>
              <w:spacing w:line="360" w:lineRule="exact"/>
              <w:jc w:val="lef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7.3.1</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w:t>
            </w:r>
          </w:p>
        </w:tc>
        <w:tc>
          <w:tcPr>
            <w:tcW w:w="6112" w:type="dxa"/>
            <w:vAlign w:val="center"/>
          </w:tcPr>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履约保证金为中标价的5%。</w:t>
            </w:r>
          </w:p>
          <w:p>
            <w:pPr>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履约保证金的形式包括：现金、转账和银行保函。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预算金额</w:t>
            </w:r>
          </w:p>
        </w:tc>
        <w:tc>
          <w:tcPr>
            <w:tcW w:w="6112" w:type="dxa"/>
            <w:vAlign w:val="bottom"/>
          </w:tcPr>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1、本项目预算金额为：</w:t>
            </w:r>
            <w:r>
              <w:rPr>
                <w:rFonts w:hint="eastAsia" w:asciiTheme="minorEastAsia" w:hAnsiTheme="minorEastAsia" w:eastAsiaTheme="minorEastAsia" w:cstheme="minorEastAsia"/>
                <w:color w:val="auto"/>
                <w:szCs w:val="21"/>
                <w:lang w:val="en-US" w:eastAsia="zh-CN"/>
              </w:rPr>
              <w:t>1020000.00</w:t>
            </w:r>
            <w:r>
              <w:rPr>
                <w:rFonts w:hint="eastAsia" w:asciiTheme="minorEastAsia" w:hAnsiTheme="minorEastAsia" w:eastAsiaTheme="minorEastAsia" w:cstheme="minorEastAsia"/>
                <w:color w:val="auto"/>
                <w:szCs w:val="21"/>
              </w:rPr>
              <w:t>元</w:t>
            </w:r>
          </w:p>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10.2</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1、对小型或微型企业投标的扶持：(如有）</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1.1投标供应商为小型或微型企业时，报价给予C1的价格扣除（C1的取值为6%），即：评标价＝投标报价（最后报价）×(1－C1）；</w:t>
            </w:r>
          </w:p>
          <w:p>
            <w:pPr>
              <w:autoSpaceDE w:val="0"/>
              <w:autoSpaceDN w:val="0"/>
              <w:adjustRightInd w:val="0"/>
              <w:spacing w:line="5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小微企业应当列明本项目中所投的“小型和微型企业产品的清单”并提供《中小企业声明函》（见格式）。</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1.2按照</w:t>
            </w:r>
            <w:r>
              <w:rPr>
                <w:rFonts w:hint="eastAsia" w:ascii="宋体" w:hAnsi="宋体" w:cs="宋体"/>
                <w:color w:val="auto"/>
                <w:kern w:val="0"/>
                <w:sz w:val="24"/>
                <w:szCs w:val="22"/>
              </w:rPr>
              <w:t>《</w:t>
            </w:r>
            <w:r>
              <w:rPr>
                <w:rFonts w:hint="eastAsia" w:ascii="宋体" w:hAnsi="宋体" w:cs="宋体"/>
                <w:color w:val="auto"/>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rPr>
            </w:pPr>
            <w:r>
              <w:rPr>
                <w:rFonts w:hint="eastAsia" w:ascii="宋体" w:hAnsi="宋体" w:cs="宋体"/>
                <w:color w:val="auto"/>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rPr>
            </w:pPr>
            <w:r>
              <w:rPr>
                <w:rFonts w:hint="eastAsia" w:ascii="宋体" w:hAnsi="宋体" w:cs="宋体"/>
                <w:bCs/>
                <w:color w:val="auto"/>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rPr>
            </w:pPr>
            <w:r>
              <w:rPr>
                <w:rFonts w:hint="eastAsia" w:ascii="宋体" w:hAnsi="宋体" w:cs="宋体"/>
                <w:bCs/>
                <w:color w:val="auto"/>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10.3</w:t>
            </w:r>
          </w:p>
        </w:tc>
        <w:tc>
          <w:tcPr>
            <w:tcW w:w="2318" w:type="dxa"/>
            <w:vAlign w:val="center"/>
          </w:tcPr>
          <w:p>
            <w:pPr>
              <w:spacing w:line="36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付款方式</w:t>
            </w:r>
          </w:p>
        </w:tc>
        <w:tc>
          <w:tcPr>
            <w:tcW w:w="6112" w:type="dxa"/>
            <w:vAlign w:val="center"/>
          </w:tcPr>
          <w:p>
            <w:pPr>
              <w:pStyle w:val="56"/>
              <w:snapToGrid w:val="0"/>
              <w:spacing w:line="560" w:lineRule="exact"/>
              <w:rPr>
                <w:rFonts w:hint="default" w:asciiTheme="minorEastAsia" w:hAnsiTheme="minorEastAsia" w:cstheme="minorEastAsia"/>
                <w:b/>
                <w:bCs/>
                <w:color w:val="auto"/>
                <w:szCs w:val="21"/>
              </w:rPr>
            </w:pPr>
            <w:r>
              <w:rPr>
                <w:rFonts w:hAnsi="宋体" w:cs="宋体"/>
                <w:bCs/>
                <w:color w:val="auto"/>
                <w:kern w:val="2"/>
                <w:sz w:val="21"/>
              </w:rPr>
              <w:t>供货安装完毕付合同金额的80%，经验收合格后付至合同金额的97%，剩余3%一年后无质量问题一次支付。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10.5</w:t>
            </w:r>
          </w:p>
        </w:tc>
        <w:tc>
          <w:tcPr>
            <w:tcW w:w="2318"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招标代理服务费</w:t>
            </w:r>
          </w:p>
        </w:tc>
        <w:tc>
          <w:tcPr>
            <w:tcW w:w="6112" w:type="dxa"/>
            <w:vAlign w:val="center"/>
          </w:tcPr>
          <w:p>
            <w:pPr>
              <w:spacing w:line="440" w:lineRule="exact"/>
              <w:rPr>
                <w:color w:val="auto"/>
              </w:rPr>
            </w:pPr>
            <w:r>
              <w:rPr>
                <w:rFonts w:hint="eastAsia"/>
                <w:color w:val="auto"/>
              </w:rPr>
              <w:t>1、招标</w:t>
            </w:r>
            <w:r>
              <w:rPr>
                <w:rFonts w:hint="eastAsia" w:asciiTheme="minorEastAsia" w:hAnsiTheme="minorEastAsia" w:eastAsiaTheme="minorEastAsia" w:cstheme="minorEastAsia"/>
                <w:color w:val="auto"/>
                <w:szCs w:val="21"/>
              </w:rPr>
              <w:t>代理服务费参照（国家计委（计价格[2002]1980号）文件、国家发改委（发改办价格[2003]857号）文件及国家发改委（发改价格[2011]534号）文件）的收费标准，向中标人收取</w:t>
            </w:r>
            <w:r>
              <w:rPr>
                <w:rFonts w:hint="eastAsia"/>
                <w:color w:val="auto"/>
              </w:rPr>
              <w:t>。</w:t>
            </w:r>
          </w:p>
          <w:p>
            <w:pPr>
              <w:pStyle w:val="57"/>
              <w:rPr>
                <w:color w:val="auto"/>
              </w:rPr>
            </w:pP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中标人在</w:t>
            </w:r>
            <w:r>
              <w:rPr>
                <w:rFonts w:hint="eastAsia" w:asciiTheme="minorEastAsia" w:hAnsiTheme="minorEastAsia" w:eastAsiaTheme="minorEastAsia" w:cstheme="minorEastAsia"/>
                <w:color w:val="auto"/>
              </w:rPr>
              <w:t>领取中标通知书时，将</w:t>
            </w:r>
            <w:r>
              <w:rPr>
                <w:rFonts w:asciiTheme="minorEastAsia" w:hAnsiTheme="minorEastAsia" w:eastAsiaTheme="minorEastAsia" w:cstheme="minorEastAsia"/>
                <w:color w:val="auto"/>
              </w:rPr>
              <w:t>投标文件纸质版</w:t>
            </w:r>
            <w:r>
              <w:rPr>
                <w:rFonts w:hint="eastAsia" w:asciiTheme="minorEastAsia" w:hAnsiTheme="minorEastAsia" w:eastAsiaTheme="minorEastAsia" w:cstheme="minorEastAsia"/>
                <w:color w:val="auto"/>
              </w:rPr>
              <w:t>打印</w:t>
            </w:r>
            <w:r>
              <w:rPr>
                <w:rFonts w:asciiTheme="minorEastAsia" w:hAnsiTheme="minorEastAsia" w:eastAsiaTheme="minorEastAsia" w:cstheme="minorEastAsia"/>
                <w:color w:val="auto"/>
              </w:rPr>
              <w:t>装订</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投标文件正本</w:t>
            </w:r>
            <w:r>
              <w:rPr>
                <w:rFonts w:hint="eastAsia" w:asciiTheme="minorEastAsia" w:hAnsiTheme="minorEastAsia" w:eastAsiaTheme="minorEastAsia" w:cstheme="minorEastAsia"/>
                <w:color w:val="auto"/>
              </w:rPr>
              <w:t>壹份和</w:t>
            </w:r>
            <w:r>
              <w:rPr>
                <w:rFonts w:asciiTheme="minorEastAsia" w:hAnsiTheme="minorEastAsia" w:eastAsiaTheme="minorEastAsia" w:cstheme="minorEastAsia"/>
                <w:color w:val="auto"/>
              </w:rPr>
              <w:t>副本</w:t>
            </w:r>
            <w:r>
              <w:rPr>
                <w:rFonts w:hint="eastAsia" w:asciiTheme="minorEastAsia" w:hAnsiTheme="minorEastAsia" w:eastAsiaTheme="minorEastAsia" w:cstheme="minorEastAsia"/>
                <w:color w:val="auto"/>
              </w:rPr>
              <w:t>肆份，</w:t>
            </w:r>
            <w:r>
              <w:rPr>
                <w:rFonts w:asciiTheme="minorEastAsia" w:hAnsiTheme="minorEastAsia" w:eastAsiaTheme="minorEastAsia" w:cstheme="minorEastAsia"/>
                <w:color w:val="auto"/>
              </w:rPr>
              <w:t>每册应采用左侧粘贴方式</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不得采用活页装订</w:t>
            </w:r>
            <w:r>
              <w:rPr>
                <w:rFonts w:hint="eastAsia" w:asciiTheme="minorEastAsia" w:hAnsiTheme="minorEastAsia" w:eastAsiaTheme="minorEastAsia" w:cstheme="minorEastAsia"/>
                <w:color w:val="auto"/>
              </w:rPr>
              <w:t>）递交采购人</w:t>
            </w:r>
            <w:r>
              <w:rPr>
                <w:rFonts w:asciiTheme="minorEastAsia" w:hAnsiTheme="minorEastAsia" w:eastAsiaTheme="minorEastAsia" w:cs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10.8</w:t>
            </w:r>
          </w:p>
        </w:tc>
        <w:tc>
          <w:tcPr>
            <w:tcW w:w="231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认定为不响应招标文件的其它条件</w:t>
            </w:r>
          </w:p>
        </w:tc>
        <w:tc>
          <w:tcPr>
            <w:tcW w:w="6112" w:type="dxa"/>
            <w:vAlign w:val="center"/>
          </w:tcPr>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1、未按招标文件明示的规定签字盖章的；</w:t>
            </w:r>
          </w:p>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2、投标文件的关键内容（投标报价、供货及安装期、质量等）未填写或填写字迹模糊、达不到采购要求的；</w:t>
            </w:r>
          </w:p>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3、投标报价超出招标控制价的；</w:t>
            </w:r>
          </w:p>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4、供应商递交两份或多份内容不同的投标文件，或在一份投标文件中对同一招标项目有两个或多个报价，且未声明哪一个有效的；</w:t>
            </w:r>
          </w:p>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、相关资格证明文件不合格的；</w:t>
            </w:r>
          </w:p>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、未按要求提供相关证件的；</w:t>
            </w:r>
          </w:p>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、附有采购人不能接受的条件的；</w:t>
            </w:r>
          </w:p>
          <w:p>
            <w:pPr>
              <w:pStyle w:val="39"/>
              <w:ind w:left="0" w:leftChars="0" w:firstLine="0" w:firstLineChars="0"/>
              <w:rPr>
                <w:color w:val="auto"/>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、投标文件有明显不符合招标文件其它要求和有关法律法规的。</w:t>
            </w:r>
          </w:p>
          <w:p>
            <w:pPr>
              <w:pStyle w:val="39"/>
              <w:ind w:left="0" w:leftChars="0"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本招标文件解释权归采购人</w:t>
            </w:r>
          </w:p>
        </w:tc>
      </w:tr>
    </w:tbl>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9048"/>
      <w:bookmarkStart w:id="8" w:name="_Toc23576"/>
      <w:bookmarkStart w:id="9" w:name="_Toc426369479"/>
      <w:bookmarkStart w:id="10" w:name="_Toc403122491"/>
      <w:bookmarkStart w:id="11" w:name="_Toc403122503"/>
      <w:bookmarkStart w:id="12" w:name="_Toc26894"/>
      <w:bookmarkStart w:id="13" w:name="_Toc426369491"/>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426369480"/>
      <w:bookmarkStart w:id="15" w:name="_Toc403122492"/>
      <w:bookmarkStart w:id="16" w:name="_Toc274249575"/>
      <w:bookmarkStart w:id="17" w:name="_Toc279599771"/>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274249576"/>
      <w:bookmarkStart w:id="19" w:name="_Toc279599772"/>
      <w:bookmarkStart w:id="20" w:name="_Toc426369481"/>
      <w:bookmarkStart w:id="21" w:name="_Toc403122493"/>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274249577"/>
      <w:bookmarkStart w:id="23" w:name="_Toc279599773"/>
      <w:bookmarkStart w:id="24" w:name="_Toc426369482"/>
      <w:bookmarkStart w:id="25" w:name="_Toc403122494"/>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426369483"/>
      <w:bookmarkStart w:id="27" w:name="_Toc274249578"/>
      <w:bookmarkStart w:id="28" w:name="_Toc403122495"/>
      <w:bookmarkStart w:id="29" w:name="_Toc279599774"/>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9599775"/>
      <w:bookmarkStart w:id="31" w:name="_Toc403122496"/>
      <w:bookmarkStart w:id="32" w:name="_Toc274249579"/>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26369485"/>
      <w:bookmarkStart w:id="35" w:name="_Toc403122497"/>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9599777"/>
      <w:bookmarkStart w:id="37" w:name="_Toc274249581"/>
      <w:bookmarkStart w:id="38" w:name="_Toc426369486"/>
      <w:bookmarkStart w:id="39" w:name="_Toc403122498"/>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03122499"/>
      <w:bookmarkStart w:id="41" w:name="_Toc426369487"/>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426369488"/>
      <w:bookmarkStart w:id="43" w:name="_Toc279599779"/>
      <w:bookmarkStart w:id="44" w:name="_Toc274249583"/>
      <w:bookmarkStart w:id="45" w:name="_Toc403122500"/>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26369489"/>
      <w:bookmarkStart w:id="47" w:name="_Toc403122501"/>
      <w:bookmarkStart w:id="48" w:name="_Toc274249584"/>
      <w:bookmarkStart w:id="49" w:name="_Toc279599780"/>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274249585"/>
      <w:bookmarkStart w:id="51" w:name="_Toc279599781"/>
      <w:bookmarkStart w:id="52" w:name="_Toc403122502"/>
      <w:bookmarkStart w:id="53" w:name="_Toc426369490"/>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279599783"/>
      <w:bookmarkStart w:id="56" w:name="_Toc274249587"/>
      <w:bookmarkStart w:id="57" w:name="_Toc426369492"/>
      <w:bookmarkStart w:id="58" w:name="_Toc403122504"/>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426369493"/>
      <w:bookmarkStart w:id="60" w:name="_Toc403122505"/>
      <w:bookmarkStart w:id="61" w:name="_Toc274249588"/>
      <w:bookmarkStart w:id="62" w:name="_Toc279599784"/>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403122506"/>
      <w:bookmarkStart w:id="64" w:name="_Toc279599785"/>
      <w:bookmarkStart w:id="65" w:name="_Toc274249589"/>
      <w:bookmarkStart w:id="66" w:name="_Toc426369494"/>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23265"/>
      <w:bookmarkStart w:id="68" w:name="_Toc426369495"/>
      <w:bookmarkStart w:id="69" w:name="_Toc403122507"/>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274249591"/>
      <w:bookmarkStart w:id="72" w:name="_Toc279599787"/>
      <w:bookmarkStart w:id="73" w:name="_Toc426369496"/>
      <w:bookmarkStart w:id="74" w:name="_Toc403122508"/>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279599788"/>
      <w:bookmarkStart w:id="76" w:name="_Toc274249592"/>
      <w:bookmarkStart w:id="77" w:name="_Toc403122509"/>
      <w:bookmarkStart w:id="78" w:name="_Toc426369497"/>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38"/>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质量保证费、相关的伴随服务费、货物本身已支付或将支付的各种税费以及其它交付使用前的所有费用。 投标价不是唯一的或不是固定不变的响应文件将被作为非响应性投标而予以拒绝，供应商所报的投标价在投标有效期内是固定不变的，供应商不得以任何理由予以变更。</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9599789"/>
      <w:bookmarkStart w:id="80" w:name="_Toc274249593"/>
      <w:bookmarkStart w:id="81" w:name="_Toc403122510"/>
      <w:bookmarkStart w:id="82" w:name="_Toc426369498"/>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26369501"/>
      <w:bookmarkStart w:id="84" w:name="_Toc274249595"/>
      <w:bookmarkStart w:id="85" w:name="_Toc279599791"/>
      <w:bookmarkStart w:id="86" w:name="_Toc403122512"/>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279599792"/>
      <w:bookmarkStart w:id="88" w:name="_Toc274249596"/>
      <w:bookmarkStart w:id="89" w:name="_Toc426369502"/>
      <w:bookmarkStart w:id="90" w:name="_Toc403122513"/>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03122514"/>
      <w:bookmarkStart w:id="92" w:name="_Toc426369503"/>
      <w:bookmarkStart w:id="93" w:name="_Toc274249597"/>
      <w:bookmarkStart w:id="94" w:name="_Toc279599793"/>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426369504"/>
      <w:bookmarkStart w:id="96" w:name="_Toc26998"/>
      <w:bookmarkStart w:id="97" w:name="_Toc30100"/>
      <w:bookmarkStart w:id="98" w:name="_Toc403122515"/>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426369505"/>
      <w:bookmarkStart w:id="100" w:name="_Toc274249599"/>
      <w:bookmarkStart w:id="101" w:name="_Toc279599795"/>
      <w:bookmarkStart w:id="102" w:name="_Toc403122516"/>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279599796"/>
      <w:bookmarkStart w:id="104" w:name="_Toc426369506"/>
      <w:bookmarkStart w:id="105" w:name="_Toc403122517"/>
      <w:bookmarkStart w:id="106" w:name="_Toc274249600"/>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754"/>
      <w:bookmarkEnd w:id="107"/>
      <w:bookmarkStart w:id="108" w:name="_Hlt26954862"/>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279599797"/>
      <w:bookmarkStart w:id="110" w:name="_Toc403122518"/>
      <w:bookmarkStart w:id="111" w:name="_Toc274249601"/>
      <w:bookmarkStart w:id="112" w:name="_Toc426369507"/>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6"/>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18170"/>
      <w:bookmarkStart w:id="114" w:name="_Toc426369508"/>
      <w:bookmarkStart w:id="115" w:name="_Toc32449"/>
      <w:bookmarkStart w:id="116" w:name="_Toc403122519"/>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26369509"/>
      <w:bookmarkStart w:id="118" w:name="_Toc274249603"/>
      <w:bookmarkStart w:id="119" w:name="_Toc279599799"/>
      <w:bookmarkStart w:id="120" w:name="_Toc403122520"/>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279599800"/>
      <w:bookmarkStart w:id="122" w:name="_Toc426369510"/>
      <w:bookmarkStart w:id="123" w:name="_Toc274249604"/>
      <w:bookmarkStart w:id="124" w:name="_Toc403122521"/>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426369512"/>
      <w:bookmarkStart w:id="127" w:name="_Toc12881"/>
      <w:bookmarkStart w:id="128" w:name="_Toc21662"/>
      <w:bookmarkStart w:id="129" w:name="_Toc403122522"/>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9927"/>
      <w:bookmarkStart w:id="131" w:name="_Toc13445"/>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18803"/>
      <w:bookmarkStart w:id="133" w:name="_Toc25448"/>
      <w:bookmarkStart w:id="134" w:name="_Toc15919"/>
      <w:bookmarkStart w:id="135" w:name="_Toc18806"/>
      <w:bookmarkStart w:id="136" w:name="_Toc25275"/>
      <w:bookmarkStart w:id="137" w:name="_Toc18888"/>
      <w:bookmarkStart w:id="138" w:name="_Toc2248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403122523"/>
      <w:bookmarkStart w:id="140" w:name="_Toc426369513"/>
      <w:bookmarkStart w:id="141" w:name="_Toc274249606"/>
      <w:bookmarkStart w:id="142" w:name="_Toc279599802"/>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26369514"/>
      <w:bookmarkStart w:id="144" w:name="_Toc403122524"/>
      <w:bookmarkStart w:id="145" w:name="_Toc279599803"/>
      <w:bookmarkStart w:id="146" w:name="_Toc274249607"/>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426369515"/>
      <w:bookmarkStart w:id="148" w:name="_Toc403122525"/>
      <w:bookmarkStart w:id="149" w:name="_Toc274249608"/>
      <w:bookmarkStart w:id="150" w:name="_Toc279599804"/>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36"/>
        <w:spacing w:before="120" w:after="120" w:line="500" w:lineRule="exact"/>
        <w:ind w:right="-1029" w:rightChars="-490" w:firstLine="482" w:firstLineChars="200"/>
        <w:jc w:val="both"/>
      </w:pPr>
      <w:bookmarkStart w:id="151" w:name="_Toc17811"/>
      <w:bookmarkStart w:id="152" w:name="_Toc26569"/>
      <w:bookmarkStart w:id="153" w:name="_Toc403122526"/>
      <w:bookmarkStart w:id="154" w:name="_Toc426369516"/>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403122527"/>
      <w:bookmarkStart w:id="156" w:name="_Toc279599806"/>
      <w:bookmarkStart w:id="157" w:name="_Toc274249610"/>
      <w:bookmarkStart w:id="158" w:name="_Toc426369517"/>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274249611"/>
      <w:bookmarkStart w:id="160" w:name="_Toc279599807"/>
      <w:bookmarkStart w:id="161" w:name="_Toc403122528"/>
      <w:bookmarkStart w:id="162" w:name="_Toc426369518"/>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rPr>
      </w:pPr>
      <w:bookmarkStart w:id="163" w:name="_Toc311550376"/>
      <w:bookmarkStart w:id="164" w:name="_Toc274249612"/>
      <w:bookmarkStart w:id="165" w:name="_Toc279599808"/>
      <w:bookmarkStart w:id="166" w:name="_Toc426369519"/>
      <w:bookmarkStart w:id="167" w:name="_Toc403122529"/>
      <w:r>
        <w:rPr>
          <w:rFonts w:hint="eastAsia" w:asciiTheme="minorEastAsia" w:hAnsiTheme="minorEastAsia" w:eastAsiaTheme="minorEastAsia" w:cstheme="minorEastAsia"/>
          <w:b/>
          <w:bCs/>
          <w:color w:val="auto"/>
          <w:sz w:val="24"/>
        </w:rPr>
        <w:t>7.3履约</w:t>
      </w:r>
      <w:bookmarkEnd w:id="163"/>
      <w:bookmarkEnd w:id="164"/>
      <w:bookmarkEnd w:id="165"/>
      <w:r>
        <w:rPr>
          <w:rFonts w:hint="eastAsia" w:asciiTheme="minorEastAsia" w:hAnsiTheme="minorEastAsia" w:eastAsiaTheme="minorEastAsia" w:cstheme="minorEastAsia"/>
          <w:b/>
          <w:bCs/>
          <w:color w:val="auto"/>
          <w:sz w:val="24"/>
        </w:rPr>
        <w:t>保证金</w:t>
      </w:r>
      <w:bookmarkEnd w:id="166"/>
      <w:bookmarkEnd w:id="167"/>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7.3.1</w:t>
      </w:r>
      <w:r>
        <w:rPr>
          <w:rFonts w:hint="eastAsia" w:asciiTheme="minorEastAsia" w:hAnsiTheme="minorEastAsia" w:eastAsiaTheme="minorEastAsia" w:cstheme="minorEastAsia"/>
          <w:color w:val="auto"/>
          <w:szCs w:val="21"/>
        </w:rPr>
        <w:t>履约保证金</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无</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7.3.2</w:t>
      </w:r>
      <w:r>
        <w:rPr>
          <w:rFonts w:hint="eastAsia" w:asciiTheme="minorEastAsia" w:hAnsiTheme="minorEastAsia" w:eastAsiaTheme="minorEastAsia" w:cstheme="minorEastAsia"/>
          <w:color w:val="auto"/>
          <w:szCs w:val="21"/>
        </w:rPr>
        <w:t>投标保证金</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无</w:t>
      </w:r>
    </w:p>
    <w:p>
      <w:pPr>
        <w:spacing w:line="500" w:lineRule="exact"/>
        <w:ind w:firstLine="482" w:firstLineChars="200"/>
        <w:rPr>
          <w:rFonts w:asciiTheme="minorEastAsia" w:hAnsiTheme="minorEastAsia" w:eastAsiaTheme="minorEastAsia" w:cstheme="minorEastAsia"/>
          <w:b/>
          <w:bCs/>
          <w:color w:val="auto"/>
          <w:sz w:val="24"/>
        </w:rPr>
      </w:pPr>
      <w:bookmarkStart w:id="168" w:name="_Toc274249613"/>
      <w:bookmarkStart w:id="169" w:name="_Toc403122530"/>
      <w:bookmarkStart w:id="170" w:name="_Toc426369520"/>
      <w:bookmarkStart w:id="171" w:name="_Toc279599809"/>
      <w:r>
        <w:rPr>
          <w:rFonts w:hint="eastAsia" w:asciiTheme="minorEastAsia" w:hAnsiTheme="minorEastAsia" w:eastAsiaTheme="minorEastAsia" w:cstheme="minorEastAsia"/>
          <w:b/>
          <w:bCs/>
          <w:color w:val="auto"/>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426369521"/>
      <w:bookmarkStart w:id="173" w:name="_Toc403122531"/>
      <w:bookmarkStart w:id="174" w:name="_Toc30009"/>
      <w:bookmarkStart w:id="175" w:name="_Toc1054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279599811"/>
      <w:bookmarkStart w:id="177" w:name="_Toc403122532"/>
      <w:bookmarkStart w:id="178" w:name="_Toc274249615"/>
      <w:bookmarkStart w:id="179" w:name="_Toc426369522"/>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10372"/>
      <w:bookmarkStart w:id="181" w:name="_Toc3760"/>
      <w:bookmarkStart w:id="182" w:name="_Toc426369523"/>
      <w:bookmarkStart w:id="183" w:name="_Toc403122533"/>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403122534"/>
      <w:bookmarkStart w:id="185" w:name="_Toc274249618"/>
      <w:bookmarkStart w:id="186" w:name="_Toc279599814"/>
      <w:bookmarkStart w:id="187" w:name="_Toc426369524"/>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403122535"/>
      <w:bookmarkStart w:id="189" w:name="_Toc274249619"/>
      <w:bookmarkStart w:id="190" w:name="_Toc279599815"/>
      <w:bookmarkStart w:id="191" w:name="_Toc42636952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403122536"/>
      <w:bookmarkStart w:id="193" w:name="_Toc274249620"/>
      <w:bookmarkStart w:id="194" w:name="_Toc426369526"/>
      <w:bookmarkStart w:id="195" w:name="_Toc279599816"/>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279599817"/>
      <w:bookmarkStart w:id="197" w:name="_Toc426369527"/>
      <w:bookmarkStart w:id="198" w:name="_Toc403122537"/>
      <w:bookmarkStart w:id="199" w:name="_Toc274249621"/>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274249622"/>
      <w:bookmarkStart w:id="201" w:name="_Toc403122538"/>
      <w:bookmarkStart w:id="202" w:name="_Toc279599818"/>
      <w:bookmarkStart w:id="203" w:name="_Toc426369528"/>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403122539"/>
      <w:bookmarkStart w:id="205" w:name="_Toc10880"/>
      <w:bookmarkStart w:id="206" w:name="_Toc13281"/>
      <w:bookmarkStart w:id="207" w:name="_Toc426369529"/>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57"/>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6"/>
        <w:numPr>
          <w:ilvl w:val="0"/>
          <w:numId w:val="5"/>
        </w:numPr>
        <w:spacing w:line="600" w:lineRule="exact"/>
        <w:ind w:right="-63" w:rightChars="-30"/>
        <w:rPr>
          <w:rFonts w:asciiTheme="minorEastAsia" w:hAnsiTheme="minorEastAsia" w:eastAsiaTheme="minorEastAsia" w:cstheme="minorEastAsia"/>
          <w:color w:val="auto"/>
          <w:sz w:val="36"/>
          <w:szCs w:val="36"/>
        </w:rPr>
      </w:pPr>
      <w:bookmarkStart w:id="208" w:name="_Toc426369530"/>
      <w:bookmarkStart w:id="209" w:name="_Toc403122540"/>
      <w:bookmarkStart w:id="210" w:name="_Toc28433"/>
      <w:bookmarkStart w:id="211" w:name="_Toc1253"/>
      <w:r>
        <w:rPr>
          <w:rFonts w:hint="eastAsia" w:asciiTheme="minorEastAsia" w:hAnsiTheme="minorEastAsia" w:eastAsiaTheme="minorEastAsia" w:cstheme="minorEastAsia"/>
          <w:color w:val="auto"/>
          <w:sz w:val="36"/>
          <w:szCs w:val="36"/>
        </w:rPr>
        <w:t>评标办法</w:t>
      </w:r>
      <w:bookmarkEnd w:id="208"/>
      <w:bookmarkEnd w:id="209"/>
      <w:bookmarkEnd w:id="210"/>
      <w:r>
        <w:rPr>
          <w:rFonts w:hint="eastAsia" w:asciiTheme="minorEastAsia" w:hAnsiTheme="minorEastAsia" w:eastAsiaTheme="minorEastAsia" w:cstheme="minorEastAsia"/>
          <w:color w:val="auto"/>
          <w:sz w:val="36"/>
          <w:szCs w:val="36"/>
        </w:rPr>
        <w:t>（综合评分法）</w:t>
      </w:r>
      <w:bookmarkEnd w:id="211"/>
    </w:p>
    <w:p>
      <w:pPr>
        <w:pStyle w:val="108"/>
        <w:spacing w:line="540" w:lineRule="exact"/>
        <w:jc w:val="center"/>
        <w:outlineLvl w:val="2"/>
        <w:rPr>
          <w:rFonts w:asciiTheme="minorEastAsia" w:hAnsiTheme="minorEastAsia" w:eastAsiaTheme="minorEastAsia" w:cstheme="minorEastAsia"/>
          <w:b/>
          <w:bCs/>
          <w:color w:val="auto"/>
          <w:sz w:val="28"/>
          <w:szCs w:val="28"/>
        </w:rPr>
      </w:pPr>
      <w:bookmarkStart w:id="212" w:name="_Toc30933"/>
      <w:bookmarkStart w:id="213" w:name="_Toc17859"/>
      <w:bookmarkStart w:id="214" w:name="_Toc21885"/>
      <w:bookmarkStart w:id="215" w:name="_Toc29947"/>
      <w:bookmarkStart w:id="216" w:name="_Toc16529"/>
      <w:bookmarkStart w:id="217" w:name="_Toc2761070"/>
      <w:r>
        <w:rPr>
          <w:rFonts w:hint="eastAsia" w:asciiTheme="minorEastAsia" w:hAnsiTheme="minorEastAsia" w:eastAsiaTheme="minorEastAsia" w:cstheme="minorEastAsia"/>
          <w:b/>
          <w:bCs/>
          <w:color w:val="auto"/>
          <w:sz w:val="28"/>
          <w:szCs w:val="28"/>
        </w:rPr>
        <w:t>（一）评分办法前附表</w:t>
      </w:r>
      <w:bookmarkEnd w:id="212"/>
      <w:bookmarkEnd w:id="213"/>
      <w:bookmarkEnd w:id="214"/>
      <w:bookmarkEnd w:id="215"/>
    </w:p>
    <w:tbl>
      <w:tblPr>
        <w:tblStyle w:val="40"/>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color w:val="auto"/>
                <w:szCs w:val="21"/>
              </w:rPr>
            </w:pPr>
            <w:bookmarkStart w:id="218" w:name="_Toc26394"/>
            <w:bookmarkStart w:id="219" w:name="_Toc28874"/>
            <w:bookmarkStart w:id="220" w:name="_Toc13389"/>
            <w:bookmarkStart w:id="221" w:name="_Toc471"/>
            <w:r>
              <w:rPr>
                <w:rFonts w:hint="eastAsia" w:ascii="宋体" w:hAnsi="宋体" w:cs="宋体"/>
                <w:b/>
                <w:bCs/>
                <w:color w:val="auto"/>
                <w:kern w:val="0"/>
                <w:szCs w:val="21"/>
              </w:rPr>
              <w:t>审查主体</w:t>
            </w:r>
          </w:p>
        </w:tc>
        <w:tc>
          <w:tcPr>
            <w:tcW w:w="3179" w:type="dxa"/>
            <w:gridSpan w:val="2"/>
            <w:vAlign w:val="center"/>
          </w:tcPr>
          <w:p>
            <w:pPr>
              <w:spacing w:line="440" w:lineRule="exact"/>
              <w:jc w:val="center"/>
              <w:rPr>
                <w:rFonts w:ascii="宋体" w:hAnsi="宋体" w:cs="宋体"/>
                <w:b/>
                <w:color w:val="auto"/>
                <w:szCs w:val="21"/>
              </w:rPr>
            </w:pPr>
            <w:r>
              <w:rPr>
                <w:rFonts w:hint="eastAsia" w:ascii="宋体" w:hAnsi="宋体" w:cs="宋体"/>
                <w:b/>
                <w:color w:val="auto"/>
                <w:szCs w:val="21"/>
              </w:rPr>
              <w:t>评审因素</w:t>
            </w:r>
          </w:p>
        </w:tc>
        <w:tc>
          <w:tcPr>
            <w:tcW w:w="5602" w:type="dxa"/>
            <w:vAlign w:val="center"/>
          </w:tcPr>
          <w:p>
            <w:pPr>
              <w:tabs>
                <w:tab w:val="left" w:pos="417"/>
                <w:tab w:val="center" w:pos="2999"/>
              </w:tabs>
              <w:spacing w:line="440" w:lineRule="exact"/>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0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资格审查小组</w:t>
            </w:r>
          </w:p>
        </w:tc>
        <w:tc>
          <w:tcPr>
            <w:tcW w:w="10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一、资格评审标准</w:t>
            </w:r>
          </w:p>
        </w:tc>
        <w:tc>
          <w:tcPr>
            <w:tcW w:w="2084"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营业执照、税务登记证、组织机构代码证</w:t>
            </w:r>
          </w:p>
        </w:tc>
        <w:tc>
          <w:tcPr>
            <w:tcW w:w="5602" w:type="dxa"/>
            <w:vAlign w:val="center"/>
          </w:tcPr>
          <w:p>
            <w:pPr>
              <w:spacing w:line="320" w:lineRule="exact"/>
              <w:rPr>
                <w:rFonts w:ascii="宋体" w:hAnsi="宋体" w:cs="宋体"/>
                <w:color w:val="auto"/>
                <w:szCs w:val="21"/>
              </w:rPr>
            </w:pPr>
            <w:r>
              <w:rPr>
                <w:rFonts w:hint="eastAsia" w:ascii="宋体" w:hAnsi="宋体" w:cs="宋体"/>
                <w:color w:val="auto"/>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095" w:type="dxa"/>
            <w:vMerge w:val="continue"/>
            <w:vAlign w:val="center"/>
          </w:tcPr>
          <w:p>
            <w:pPr>
              <w:spacing w:line="440" w:lineRule="exact"/>
              <w:jc w:val="center"/>
              <w:rPr>
                <w:rFonts w:ascii="宋体" w:hAnsi="宋体" w:cs="宋体"/>
                <w:color w:val="auto"/>
                <w:szCs w:val="21"/>
              </w:rPr>
            </w:pPr>
          </w:p>
        </w:tc>
        <w:tc>
          <w:tcPr>
            <w:tcW w:w="1095" w:type="dxa"/>
            <w:vMerge w:val="continue"/>
            <w:vAlign w:val="center"/>
          </w:tcPr>
          <w:p>
            <w:pPr>
              <w:spacing w:line="440" w:lineRule="exact"/>
              <w:jc w:val="center"/>
              <w:rPr>
                <w:rFonts w:ascii="宋体" w:hAnsi="宋体" w:cs="宋体"/>
                <w:color w:val="auto"/>
                <w:szCs w:val="21"/>
              </w:rPr>
            </w:pPr>
          </w:p>
        </w:tc>
        <w:tc>
          <w:tcPr>
            <w:tcW w:w="208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法人代表证明或法人授权委托书</w:t>
            </w:r>
          </w:p>
        </w:tc>
        <w:tc>
          <w:tcPr>
            <w:tcW w:w="5602" w:type="dxa"/>
            <w:vAlign w:val="center"/>
          </w:tcPr>
          <w:p>
            <w:pPr>
              <w:spacing w:line="360" w:lineRule="exact"/>
              <w:rPr>
                <w:rFonts w:ascii="宋体" w:hAnsi="宋体" w:cs="宋体"/>
                <w:color w:val="auto"/>
                <w:szCs w:val="21"/>
              </w:rPr>
            </w:pPr>
            <w:r>
              <w:rPr>
                <w:rFonts w:hint="eastAsia" w:ascii="宋体" w:hAnsi="宋体" w:cs="宋体"/>
                <w:color w:val="auto"/>
                <w:szCs w:val="21"/>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095" w:type="dxa"/>
            <w:vMerge w:val="continue"/>
            <w:vAlign w:val="center"/>
          </w:tcPr>
          <w:p>
            <w:pPr>
              <w:spacing w:line="440" w:lineRule="exact"/>
              <w:jc w:val="center"/>
              <w:rPr>
                <w:rFonts w:ascii="宋体" w:hAnsi="宋体" w:cs="宋体"/>
                <w:color w:val="auto"/>
                <w:szCs w:val="21"/>
              </w:rPr>
            </w:pPr>
          </w:p>
        </w:tc>
        <w:tc>
          <w:tcPr>
            <w:tcW w:w="1095" w:type="dxa"/>
            <w:vMerge w:val="continue"/>
            <w:vAlign w:val="center"/>
          </w:tcPr>
          <w:p>
            <w:pPr>
              <w:spacing w:line="440" w:lineRule="exact"/>
              <w:jc w:val="center"/>
              <w:rPr>
                <w:rFonts w:ascii="宋体" w:hAnsi="宋体" w:cs="宋体"/>
                <w:color w:val="auto"/>
                <w:szCs w:val="21"/>
              </w:rPr>
            </w:pPr>
          </w:p>
        </w:tc>
        <w:tc>
          <w:tcPr>
            <w:tcW w:w="208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信誉要求</w:t>
            </w:r>
          </w:p>
        </w:tc>
        <w:tc>
          <w:tcPr>
            <w:tcW w:w="5602" w:type="dxa"/>
            <w:vAlign w:val="center"/>
          </w:tcPr>
          <w:p>
            <w:pPr>
              <w:spacing w:line="360" w:lineRule="exact"/>
              <w:rPr>
                <w:rFonts w:ascii="宋体" w:hAnsi="宋体" w:cs="宋体"/>
                <w:color w:val="auto"/>
                <w:szCs w:val="21"/>
              </w:rPr>
            </w:pPr>
            <w:r>
              <w:rPr>
                <w:rFonts w:hint="eastAsia" w:ascii="宋体" w:hAnsi="宋体" w:cs="宋体"/>
                <w:color w:val="auto"/>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1095" w:type="dxa"/>
            <w:vMerge w:val="continue"/>
            <w:tcBorders>
              <w:bottom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bottom w:val="single" w:color="auto" w:sz="4" w:space="0"/>
            </w:tcBorders>
            <w:vAlign w:val="center"/>
          </w:tcPr>
          <w:p>
            <w:pPr>
              <w:spacing w:line="440" w:lineRule="exact"/>
              <w:jc w:val="center"/>
              <w:rPr>
                <w:rFonts w:ascii="宋体" w:hAnsi="宋体" w:cs="宋体"/>
                <w:color w:val="auto"/>
                <w:szCs w:val="21"/>
              </w:rPr>
            </w:pPr>
          </w:p>
        </w:tc>
        <w:tc>
          <w:tcPr>
            <w:tcW w:w="2084" w:type="dxa"/>
            <w:tcBorders>
              <w:bottom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其他要求</w:t>
            </w:r>
          </w:p>
        </w:tc>
        <w:tc>
          <w:tcPr>
            <w:tcW w:w="5602" w:type="dxa"/>
            <w:tcBorders>
              <w:bottom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供货及安装期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质量标准</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 w:val="20"/>
                <w:szCs w:val="20"/>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符合第五章“</w:t>
            </w:r>
            <w:r>
              <w:rPr>
                <w:rFonts w:hint="eastAsia" w:ascii="宋体" w:hAnsi="宋体" w:cs="宋体"/>
                <w:bCs/>
                <w:color w:val="auto"/>
                <w:szCs w:val="21"/>
              </w:rPr>
              <w:t>采购内容及需求</w:t>
            </w:r>
            <w:r>
              <w:rPr>
                <w:rFonts w:hint="eastAsia" w:ascii="宋体" w:hAnsi="宋体" w:cs="宋体"/>
                <w:color w:val="auto"/>
                <w:szCs w:val="21"/>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符合法律、法规和招标文件中规定的其他实质性要求的</w:t>
            </w:r>
          </w:p>
        </w:tc>
      </w:tr>
    </w:tbl>
    <w:p>
      <w:pPr>
        <w:pStyle w:val="108"/>
        <w:spacing w:line="540" w:lineRule="exact"/>
        <w:outlineLvl w:val="2"/>
        <w:rPr>
          <w:rFonts w:asciiTheme="minorEastAsia" w:hAnsiTheme="minorEastAsia" w:eastAsiaTheme="minorEastAsia" w:cstheme="minorEastAsia"/>
          <w:b/>
          <w:bCs/>
          <w:color w:val="auto"/>
          <w:sz w:val="28"/>
          <w:szCs w:val="28"/>
        </w:rPr>
      </w:pPr>
    </w:p>
    <w:bookmarkEnd w:id="216"/>
    <w:bookmarkEnd w:id="218"/>
    <w:bookmarkEnd w:id="219"/>
    <w:bookmarkEnd w:id="220"/>
    <w:bookmarkEnd w:id="221"/>
    <w:p>
      <w:pPr>
        <w:pStyle w:val="39"/>
        <w:ind w:firstLine="0" w:firstLineChars="0"/>
        <w:rPr>
          <w:rFonts w:asciiTheme="minorEastAsia" w:hAnsiTheme="minorEastAsia" w:eastAsiaTheme="minorEastAsia" w:cstheme="minorEastAsia"/>
          <w:b/>
          <w:bCs/>
          <w:color w:val="auto"/>
          <w:sz w:val="28"/>
          <w:szCs w:val="28"/>
        </w:rPr>
      </w:pPr>
      <w:bookmarkStart w:id="222" w:name="_Toc403122541"/>
      <w:bookmarkStart w:id="223" w:name="_Toc426369531"/>
      <w:bookmarkStart w:id="224" w:name="_Toc31084"/>
    </w:p>
    <w:p>
      <w:pPr>
        <w:spacing w:line="360" w:lineRule="auto"/>
        <w:ind w:firstLine="562" w:firstLineChars="200"/>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评标办法</w:t>
      </w:r>
    </w:p>
    <w:tbl>
      <w:tblPr>
        <w:tblStyle w:val="40"/>
        <w:tblW w:w="9620"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5"/>
        <w:gridCol w:w="1179"/>
        <w:gridCol w:w="6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2794" w:type="dxa"/>
            <w:gridSpan w:val="2"/>
            <w:tcBorders>
              <w:top w:val="single" w:color="000000" w:sz="4" w:space="0"/>
              <w:bottom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分值构成</w:t>
            </w:r>
          </w:p>
        </w:tc>
        <w:tc>
          <w:tcPr>
            <w:tcW w:w="6826" w:type="dxa"/>
            <w:tcBorders>
              <w:top w:val="single" w:color="000000" w:sz="4" w:space="0"/>
              <w:left w:val="single" w:color="000000" w:sz="4" w:space="0"/>
              <w:bottom w:val="single" w:color="000000" w:sz="4" w:space="0"/>
            </w:tcBorders>
            <w:vAlign w:val="center"/>
          </w:tcPr>
          <w:p>
            <w:pPr>
              <w:pStyle w:val="1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报价部分</w:t>
            </w:r>
            <w:r>
              <w:rPr>
                <w:rFonts w:hint="eastAsia" w:asciiTheme="minorEastAsia" w:hAnsiTheme="minorEastAsia" w:eastAsiaTheme="minorEastAsia" w:cstheme="minorEastAsia"/>
                <w:color w:val="auto"/>
                <w:sz w:val="21"/>
                <w:szCs w:val="21"/>
                <w:highlight w:val="none"/>
                <w:lang w:eastAsia="zh-CN"/>
              </w:rPr>
              <w:t>得分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p>
            <w:pPr>
              <w:pStyle w:val="1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技术及服务部分</w:t>
            </w:r>
            <w:r>
              <w:rPr>
                <w:rFonts w:hint="eastAsia" w:asciiTheme="minorEastAsia" w:hAnsiTheme="minorEastAsia" w:eastAsiaTheme="minorEastAsia" w:cstheme="minorEastAsia"/>
                <w:color w:val="auto"/>
                <w:kern w:val="0"/>
                <w:sz w:val="21"/>
                <w:szCs w:val="21"/>
                <w:highlight w:val="none"/>
                <w:lang w:eastAsia="zh-CN"/>
              </w:rPr>
              <w:t>得分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pacing w:val="-30"/>
                <w:sz w:val="21"/>
                <w:szCs w:val="21"/>
                <w:highlight w:val="none"/>
              </w:rPr>
              <w:t>分</w:t>
            </w:r>
            <w:r>
              <w:rPr>
                <w:rFonts w:hint="eastAsia" w:asciiTheme="minorEastAsia" w:hAnsiTheme="minorEastAsia" w:eastAsiaTheme="minorEastAsia" w:cstheme="minorEastAsia"/>
                <w:color w:val="auto"/>
                <w:sz w:val="21"/>
                <w:szCs w:val="21"/>
                <w:highlight w:val="none"/>
              </w:rPr>
              <w:t>）</w:t>
            </w:r>
          </w:p>
          <w:p>
            <w:pPr>
              <w:pStyle w:val="118"/>
              <w:adjustRightInd w:val="0"/>
              <w:snapToGrid w:val="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商务部分</w:t>
            </w:r>
            <w:r>
              <w:rPr>
                <w:rFonts w:hint="eastAsia" w:asciiTheme="minorEastAsia" w:hAnsiTheme="minorEastAsia" w:eastAsiaTheme="minorEastAsia" w:cstheme="minorEastAsia"/>
                <w:color w:val="auto"/>
                <w:kern w:val="0"/>
                <w:sz w:val="21"/>
                <w:szCs w:val="21"/>
                <w:highlight w:val="none"/>
                <w:lang w:eastAsia="zh-CN"/>
              </w:rPr>
              <w:t>得分（</w:t>
            </w:r>
            <w:r>
              <w:rPr>
                <w:rFonts w:hint="eastAsia" w:asciiTheme="minorEastAsia" w:hAnsiTheme="minorEastAsia" w:eastAsiaTheme="minorEastAsia" w:cstheme="minorEastAsia"/>
                <w:color w:val="auto"/>
                <w:kern w:val="0"/>
                <w:sz w:val="21"/>
                <w:szCs w:val="21"/>
                <w:highlight w:val="none"/>
                <w:lang w:val="en-US" w:eastAsia="zh-CN"/>
              </w:rPr>
              <w:t>18</w:t>
            </w:r>
            <w:r>
              <w:rPr>
                <w:rFonts w:hint="eastAsia" w:asciiTheme="minorEastAsia" w:hAnsiTheme="minorEastAsia" w:eastAsiaTheme="minorEastAsia" w:cstheme="minorEastAsia"/>
                <w:color w:val="auto"/>
                <w:kern w:val="0"/>
                <w:sz w:val="21"/>
                <w:szCs w:val="21"/>
                <w:highlight w:val="none"/>
                <w:lang w:val="zh-TW" w:eastAsia="zh-TW"/>
              </w:rPr>
              <w:t>分</w:t>
            </w:r>
            <w:r>
              <w:rPr>
                <w:rFonts w:hint="eastAsia" w:asciiTheme="minorEastAsia" w:hAnsiTheme="minorEastAsia" w:eastAsiaTheme="minorEastAsia" w:cstheme="minorEastAsia"/>
                <w:color w:val="auto"/>
                <w:kern w:val="0"/>
                <w:sz w:val="21"/>
                <w:szCs w:val="21"/>
                <w:highlight w:val="none"/>
                <w:lang w:eastAsia="zh-CN"/>
              </w:rPr>
              <w:t>）</w:t>
            </w:r>
          </w:p>
          <w:p>
            <w:pPr>
              <w:pStyle w:val="118"/>
              <w:adjustRightInd w:val="0"/>
              <w:snapToGrid w:val="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售后服务得分（10分）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15" w:type="dxa"/>
            <w:tcBorders>
              <w:top w:val="single" w:color="000000" w:sz="4" w:space="0"/>
              <w:bottom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评分要素</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分值</w:t>
            </w:r>
          </w:p>
        </w:tc>
        <w:tc>
          <w:tcPr>
            <w:tcW w:w="6826" w:type="dxa"/>
            <w:tcBorders>
              <w:top w:val="single" w:color="000000" w:sz="4" w:space="0"/>
              <w:left w:val="single" w:color="000000" w:sz="4" w:space="0"/>
              <w:bottom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615" w:type="dxa"/>
            <w:tcBorders>
              <w:top w:val="single" w:color="000000" w:sz="4" w:space="0"/>
              <w:bottom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投标报价评分标准</w:t>
            </w:r>
            <w:r>
              <w:rPr>
                <w:rFonts w:hint="eastAsia" w:asciiTheme="minorEastAsia" w:hAnsiTheme="minorEastAsia" w:eastAsia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rPr>
              <w:t>分</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评标报价4</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分</w:t>
            </w:r>
          </w:p>
        </w:tc>
        <w:tc>
          <w:tcPr>
            <w:tcW w:w="6826" w:type="dxa"/>
            <w:tcBorders>
              <w:top w:val="single" w:color="000000" w:sz="4" w:space="0"/>
              <w:left w:val="single" w:color="000000" w:sz="4" w:space="0"/>
              <w:bottom w:val="single" w:color="000000" w:sz="4" w:space="0"/>
            </w:tcBorders>
            <w:vAlign w:val="center"/>
          </w:tcPr>
          <w:p>
            <w:pPr>
              <w:snapToGrid w:val="0"/>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满足招标文件要求的投标报价为有效报价，投标报价为评标价，有效供应商中最低的评标报价为评标基准价。</w:t>
            </w:r>
          </w:p>
          <w:p>
            <w:pPr>
              <w:snapToGrid w:val="0"/>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评标基准价=有效供应商的最低报价。</w:t>
            </w:r>
          </w:p>
          <w:p>
            <w:pPr>
              <w:snapToGrid w:val="0"/>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计算方法如下：投标报价得分=评标基准价/评标报价×</w:t>
            </w:r>
            <w:r>
              <w:rPr>
                <w:rFonts w:hint="eastAsia" w:asciiTheme="minorEastAsia" w:hAnsiTheme="minorEastAsia" w:eastAsia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rPr>
              <w:t>分</w:t>
            </w:r>
          </w:p>
          <w:p>
            <w:pPr>
              <w:snapToGrid w:val="0"/>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注：1、有效供应商是指实质上响应招标文件要求并通过初步评审未被废标的所有供应商。</w:t>
            </w:r>
          </w:p>
          <w:p>
            <w:pPr>
              <w:adjustRightInd w:val="0"/>
              <w:snapToGrid w:val="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政府采购货物和服务招投标管理办法》（财政部令第87号）第六十条规定，若某供应商的评标报价明显低于其他有效供应商的投标报价，有可能影响产品质量或者不能诚信履约的，评标委员会有权要求该供应商在评标现场对其报价的合理性作出书面说明，并提供相关证明材料；供应商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615" w:type="dxa"/>
            <w:vMerge w:val="restart"/>
            <w:tcBorders>
              <w:top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商务部分</w:t>
            </w:r>
            <w:r>
              <w:rPr>
                <w:rFonts w:hint="eastAsia" w:asciiTheme="minorEastAsia" w:hAnsiTheme="minorEastAsia" w:eastAsiaTheme="minorEastAsia" w:cstheme="minorEastAsia"/>
                <w:color w:val="auto"/>
                <w:kern w:val="0"/>
                <w:sz w:val="21"/>
                <w:szCs w:val="21"/>
                <w:lang w:eastAsia="zh-TW"/>
              </w:rPr>
              <w:t>评分标</w:t>
            </w:r>
            <w:r>
              <w:rPr>
                <w:rFonts w:hint="eastAsia" w:asciiTheme="minorEastAsia" w:hAnsiTheme="minorEastAsia" w:eastAsiaTheme="minorEastAsia" w:cstheme="minorEastAsia"/>
                <w:color w:val="auto"/>
                <w:kern w:val="0"/>
                <w:sz w:val="21"/>
                <w:szCs w:val="21"/>
                <w:highlight w:val="none"/>
                <w:lang w:eastAsia="zh-TW"/>
              </w:rPr>
              <w:t>准</w:t>
            </w:r>
            <w:r>
              <w:rPr>
                <w:rFonts w:hint="eastAsia" w:asciiTheme="minorEastAsia" w:hAnsiTheme="minorEastAsia" w:eastAsiaTheme="minorEastAsia" w:cstheme="minorEastAsia"/>
                <w:color w:val="auto"/>
                <w:kern w:val="0"/>
                <w:sz w:val="21"/>
                <w:szCs w:val="21"/>
                <w:highlight w:val="none"/>
                <w:lang w:val="en-US" w:eastAsia="zh-CN"/>
              </w:rPr>
              <w:t>18</w:t>
            </w:r>
            <w:r>
              <w:rPr>
                <w:rFonts w:hint="eastAsia" w:asciiTheme="minorEastAsia" w:hAnsiTheme="minorEastAsia" w:eastAsiaTheme="minorEastAsia" w:cstheme="minorEastAsia"/>
                <w:color w:val="auto"/>
                <w:kern w:val="0"/>
                <w:sz w:val="21"/>
                <w:szCs w:val="21"/>
                <w:highlight w:val="none"/>
                <w:lang w:val="zh-TW" w:eastAsia="zh-TW"/>
              </w:rPr>
              <w:t>分</w:t>
            </w:r>
          </w:p>
        </w:tc>
        <w:tc>
          <w:tcPr>
            <w:tcW w:w="1179" w:type="dxa"/>
            <w:tcBorders>
              <w:top w:val="single" w:color="000000" w:sz="4" w:space="0"/>
              <w:left w:val="single" w:color="000000" w:sz="4" w:space="0"/>
              <w:bottom w:val="single" w:color="auto" w:sz="4" w:space="0"/>
              <w:right w:val="single" w:color="000000" w:sz="4" w:space="0"/>
            </w:tcBorders>
            <w:vAlign w:val="center"/>
          </w:tcPr>
          <w:p>
            <w:pPr>
              <w:pStyle w:val="129"/>
              <w:framePr w:wrap="auto" w:vAnchor="margin" w:hAnchor="text" w:yAlign="inline"/>
              <w:snapToGrid w:val="0"/>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体系认证</w:t>
            </w:r>
          </w:p>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（3分）</w:t>
            </w:r>
          </w:p>
        </w:tc>
        <w:tc>
          <w:tcPr>
            <w:tcW w:w="6826" w:type="dxa"/>
            <w:tcBorders>
              <w:top w:val="single" w:color="000000" w:sz="4" w:space="0"/>
              <w:left w:val="single" w:color="000000" w:sz="4" w:space="0"/>
              <w:bottom w:val="single" w:color="auto" w:sz="4" w:space="0"/>
            </w:tcBorders>
            <w:vAlign w:val="center"/>
          </w:tcPr>
          <w:p>
            <w:pPr>
              <w:widowControl/>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供应商具备有效期内的质量管理体系认证证书 、环境管理体系认证证书和职业健康安全管理体系认证证书，得3分，缺一项不得分。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615" w:type="dxa"/>
            <w:vMerge w:val="continue"/>
            <w:tcBorders>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highlight w:val="red"/>
              </w:rPr>
            </w:pPr>
          </w:p>
        </w:tc>
        <w:tc>
          <w:tcPr>
            <w:tcW w:w="1179" w:type="dxa"/>
            <w:tcBorders>
              <w:top w:val="single" w:color="auto" w:sz="4" w:space="0"/>
              <w:left w:val="single" w:color="000000" w:sz="4" w:space="0"/>
              <w:bottom w:val="single" w:color="auto" w:sz="4" w:space="0"/>
              <w:right w:val="single" w:color="000000" w:sz="4" w:space="0"/>
            </w:tcBorders>
            <w:vAlign w:val="center"/>
          </w:tcPr>
          <w:p>
            <w:pPr>
              <w:pStyle w:val="129"/>
              <w:framePr w:wrap="auto" w:vAnchor="margin" w:hAnchor="text" w:yAlign="inline"/>
              <w:snapToGrid w:val="0"/>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信用证书</w:t>
            </w:r>
          </w:p>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6826" w:type="dxa"/>
            <w:tcBorders>
              <w:top w:val="single" w:color="auto" w:sz="4" w:space="0"/>
              <w:left w:val="single" w:color="000000" w:sz="4" w:space="0"/>
              <w:bottom w:val="single" w:color="auto" w:sz="4" w:space="0"/>
            </w:tcBorders>
            <w:vAlign w:val="center"/>
          </w:tcPr>
          <w:p>
            <w:pPr>
              <w:widowControl/>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供应商获得3A信用等级证书的得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分，供应商获得2A信用等级证书的得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15" w:type="dxa"/>
            <w:vMerge w:val="continue"/>
            <w:tcBorders>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highlight w:val="red"/>
              </w:rPr>
            </w:pPr>
          </w:p>
        </w:tc>
        <w:tc>
          <w:tcPr>
            <w:tcW w:w="1179" w:type="dxa"/>
            <w:tcBorders>
              <w:top w:val="single" w:color="auto" w:sz="4" w:space="0"/>
              <w:left w:val="single" w:color="000000" w:sz="4" w:space="0"/>
              <w:bottom w:val="single" w:color="auto" w:sz="4" w:space="0"/>
              <w:right w:val="single" w:color="000000" w:sz="4" w:space="0"/>
            </w:tcBorders>
            <w:vAlign w:val="center"/>
          </w:tcPr>
          <w:p>
            <w:pPr>
              <w:pStyle w:val="129"/>
              <w:framePr w:wrap="auto" w:vAnchor="margin" w:hAnchor="text" w:yAlign="inline"/>
              <w:snapToGrid w:val="0"/>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类似项目业绩（</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分）</w:t>
            </w:r>
          </w:p>
        </w:tc>
        <w:tc>
          <w:tcPr>
            <w:tcW w:w="6826" w:type="dxa"/>
            <w:tcBorders>
              <w:top w:val="single" w:color="auto" w:sz="4" w:space="0"/>
              <w:left w:val="single" w:color="000000" w:sz="4" w:space="0"/>
              <w:bottom w:val="single" w:color="auto" w:sz="4" w:space="0"/>
            </w:tcBorders>
            <w:vAlign w:val="center"/>
          </w:tcPr>
          <w:p>
            <w:pPr>
              <w:pStyle w:val="118"/>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供应商2018年1月1日以来承担过的类似项目业绩，每有一份得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分，此项最多得</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分（提供中标通知书和合同，否则不得分）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15" w:type="dxa"/>
            <w:vMerge w:val="continue"/>
            <w:tcBorders>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highlight w:val="red"/>
              </w:rPr>
            </w:pPr>
          </w:p>
        </w:tc>
        <w:tc>
          <w:tcPr>
            <w:tcW w:w="1179" w:type="dxa"/>
            <w:tcBorders>
              <w:top w:val="single" w:color="auto" w:sz="4" w:space="0"/>
              <w:left w:val="single" w:color="000000" w:sz="4" w:space="0"/>
              <w:bottom w:val="single" w:color="auto" w:sz="4" w:space="0"/>
              <w:right w:val="single" w:color="000000" w:sz="4" w:space="0"/>
            </w:tcBorders>
            <w:vAlign w:val="center"/>
          </w:tcPr>
          <w:p>
            <w:pPr>
              <w:pStyle w:val="129"/>
              <w:framePr w:wrap="auto" w:vAnchor="margin" w:hAnchor="text" w:yAlign="inline"/>
              <w:snapToGrid w:val="0"/>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高新技术企业（</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TW"/>
              </w:rPr>
              <w:t>分</w:t>
            </w:r>
            <w:r>
              <w:rPr>
                <w:rFonts w:hint="eastAsia" w:asciiTheme="minorEastAsia" w:hAnsiTheme="minorEastAsia" w:eastAsiaTheme="minorEastAsia" w:cstheme="minorEastAsia"/>
                <w:color w:val="auto"/>
                <w:sz w:val="21"/>
                <w:szCs w:val="21"/>
                <w:lang w:eastAsia="zh-CN"/>
              </w:rPr>
              <w:t>）</w:t>
            </w:r>
          </w:p>
        </w:tc>
        <w:tc>
          <w:tcPr>
            <w:tcW w:w="6826" w:type="dxa"/>
            <w:tcBorders>
              <w:top w:val="single" w:color="auto" w:sz="4" w:space="0"/>
              <w:left w:val="single" w:color="000000" w:sz="4" w:space="0"/>
              <w:bottom w:val="single" w:color="auto" w:sz="4" w:space="0"/>
            </w:tcBorders>
            <w:vAlign w:val="center"/>
          </w:tcPr>
          <w:p>
            <w:pPr>
              <w:pStyle w:val="118"/>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w:t>
            </w:r>
            <w:r>
              <w:rPr>
                <w:rFonts w:hint="eastAsia" w:asciiTheme="minorEastAsia" w:hAnsiTheme="minorEastAsia" w:eastAsiaTheme="minorEastAsia" w:cstheme="minorEastAsia"/>
                <w:color w:val="auto"/>
                <w:sz w:val="21"/>
                <w:szCs w:val="21"/>
                <w:highlight w:val="none"/>
                <w:shd w:val="clear"/>
              </w:rPr>
              <w:t>应商具备</w:t>
            </w:r>
            <w:r>
              <w:rPr>
                <w:rFonts w:hint="eastAsia" w:asciiTheme="minorEastAsia" w:hAnsiTheme="minorEastAsia" w:eastAsiaTheme="minorEastAsia" w:cstheme="minorEastAsia"/>
                <w:color w:val="auto"/>
                <w:sz w:val="21"/>
                <w:szCs w:val="21"/>
                <w:highlight w:val="none"/>
                <w:shd w:val="clear"/>
                <w:lang w:val="en-US" w:eastAsia="zh-CN"/>
              </w:rPr>
              <w:t>国家级</w:t>
            </w:r>
            <w:r>
              <w:rPr>
                <w:rFonts w:hint="eastAsia" w:asciiTheme="minorEastAsia" w:hAnsiTheme="minorEastAsia" w:eastAsiaTheme="minorEastAsia" w:cstheme="minorEastAsia"/>
                <w:color w:val="auto"/>
                <w:sz w:val="21"/>
                <w:szCs w:val="21"/>
                <w:highlight w:val="none"/>
                <w:shd w:val="clear"/>
                <w:lang w:val="zh-TW"/>
              </w:rPr>
              <w:t>高新技术企业</w:t>
            </w:r>
            <w:r>
              <w:rPr>
                <w:rFonts w:hint="eastAsia" w:asciiTheme="minorEastAsia" w:hAnsiTheme="minorEastAsia" w:eastAsiaTheme="minorEastAsia" w:cstheme="minorEastAsia"/>
                <w:color w:val="auto"/>
                <w:sz w:val="21"/>
                <w:szCs w:val="21"/>
                <w:highlight w:val="none"/>
                <w:shd w:val="clear"/>
                <w:lang w:val="en-US" w:eastAsia="zh-CN"/>
              </w:rPr>
              <w:t>的得3</w:t>
            </w:r>
            <w:r>
              <w:rPr>
                <w:rFonts w:hint="eastAsia" w:asciiTheme="minorEastAsia" w:hAnsiTheme="minorEastAsia" w:eastAsiaTheme="minorEastAsia" w:cstheme="minorEastAsia"/>
                <w:color w:val="auto"/>
                <w:sz w:val="21"/>
                <w:szCs w:val="21"/>
                <w:highlight w:val="none"/>
                <w:shd w:val="clear"/>
                <w:lang w:val="zh-TW"/>
              </w:rPr>
              <w:t>分</w:t>
            </w:r>
            <w:r>
              <w:rPr>
                <w:rFonts w:hint="eastAsia" w:asciiTheme="minorEastAsia" w:hAnsiTheme="minorEastAsia" w:eastAsiaTheme="minorEastAsia" w:cstheme="minorEastAsia"/>
                <w:color w:val="auto"/>
                <w:sz w:val="21"/>
                <w:szCs w:val="21"/>
                <w:highlight w:val="none"/>
                <w:shd w:val="clear"/>
                <w:lang w:val="zh-TW" w:eastAsia="zh-CN"/>
              </w:rPr>
              <w:t>，</w:t>
            </w:r>
            <w:r>
              <w:rPr>
                <w:rFonts w:hint="eastAsia" w:asciiTheme="minorEastAsia" w:hAnsiTheme="minorEastAsia" w:eastAsiaTheme="minorEastAsia" w:cstheme="minorEastAsia"/>
                <w:color w:val="auto"/>
                <w:sz w:val="21"/>
                <w:szCs w:val="21"/>
                <w:highlight w:val="none"/>
                <w:shd w:val="clear"/>
                <w:lang w:val="en-US" w:eastAsia="zh-CN"/>
              </w:rPr>
              <w:t>具备省级</w:t>
            </w:r>
            <w:r>
              <w:rPr>
                <w:rFonts w:hint="eastAsia" w:asciiTheme="minorEastAsia" w:hAnsiTheme="minorEastAsia" w:eastAsiaTheme="minorEastAsia" w:cstheme="minorEastAsia"/>
                <w:color w:val="auto"/>
                <w:sz w:val="21"/>
                <w:szCs w:val="21"/>
                <w:highlight w:val="none"/>
                <w:shd w:val="clear"/>
                <w:lang w:val="zh-TW"/>
              </w:rPr>
              <w:t>高新技术企业</w:t>
            </w:r>
            <w:r>
              <w:rPr>
                <w:rFonts w:hint="eastAsia" w:asciiTheme="minorEastAsia" w:hAnsiTheme="minorEastAsia" w:eastAsiaTheme="minorEastAsia" w:cstheme="minorEastAsia"/>
                <w:color w:val="auto"/>
                <w:sz w:val="21"/>
                <w:szCs w:val="21"/>
                <w:highlight w:val="none"/>
                <w:shd w:val="clear"/>
                <w:lang w:val="en-US" w:eastAsia="zh-CN"/>
              </w:rPr>
              <w:t>的得1</w:t>
            </w:r>
            <w:r>
              <w:rPr>
                <w:rFonts w:hint="eastAsia" w:asciiTheme="minorEastAsia" w:hAnsiTheme="minorEastAsia" w:eastAsiaTheme="minorEastAsia" w:cstheme="minorEastAsia"/>
                <w:color w:val="auto"/>
                <w:sz w:val="21"/>
                <w:szCs w:val="21"/>
                <w:highlight w:val="none"/>
                <w:shd w:val="clear"/>
                <w:lang w:val="zh-TW"/>
              </w:rPr>
              <w:t>分</w:t>
            </w:r>
            <w:r>
              <w:rPr>
                <w:rFonts w:hint="eastAsia" w:asciiTheme="minorEastAsia" w:hAnsiTheme="minorEastAsia" w:eastAsiaTheme="minorEastAsia" w:cstheme="minorEastAsia"/>
                <w:color w:val="auto"/>
                <w:sz w:val="21"/>
                <w:szCs w:val="21"/>
                <w:highlight w:val="none"/>
                <w:shd w:val="clear"/>
                <w:lang w:val="zh-TW" w:eastAsia="zh-CN"/>
              </w:rPr>
              <w:t>，</w:t>
            </w:r>
            <w:r>
              <w:rPr>
                <w:rFonts w:hint="eastAsia" w:asciiTheme="minorEastAsia" w:hAnsiTheme="minorEastAsia" w:eastAsiaTheme="minorEastAsia" w:cstheme="minorEastAsia"/>
                <w:color w:val="auto"/>
                <w:sz w:val="21"/>
                <w:szCs w:val="21"/>
                <w:highlight w:val="none"/>
                <w:shd w:val="clear"/>
                <w:lang w:val="en-US" w:eastAsia="zh-CN"/>
              </w:rPr>
              <w:t>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615" w:type="dxa"/>
            <w:vMerge w:val="restart"/>
            <w:tcBorders>
              <w:top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p>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技术及服务部分</w:t>
            </w:r>
            <w:r>
              <w:rPr>
                <w:rFonts w:hint="eastAsia" w:asciiTheme="minorEastAsia" w:hAnsiTheme="minorEastAsia" w:eastAsiaTheme="minorEastAsia" w:cstheme="minorEastAsia"/>
                <w:color w:val="auto"/>
                <w:kern w:val="0"/>
                <w:sz w:val="21"/>
                <w:szCs w:val="21"/>
                <w:lang w:eastAsia="zh-TW"/>
              </w:rPr>
              <w:t>评分标准</w:t>
            </w:r>
            <w:r>
              <w:rPr>
                <w:rFonts w:hint="eastAsia" w:asciiTheme="minorEastAsia" w:hAnsiTheme="minorEastAsia" w:eastAsiaTheme="minorEastAsia" w:cstheme="minorEastAsia"/>
                <w:color w:val="auto"/>
                <w:kern w:val="0"/>
                <w:sz w:val="21"/>
                <w:szCs w:val="21"/>
                <w:lang w:val="en-US" w:eastAsia="zh-CN"/>
              </w:rPr>
              <w:t>32</w:t>
            </w:r>
            <w:r>
              <w:rPr>
                <w:rFonts w:hint="eastAsia" w:asciiTheme="minorEastAsia" w:hAnsiTheme="minorEastAsia" w:eastAsiaTheme="minorEastAsia" w:cstheme="minorEastAsia"/>
                <w:color w:val="auto"/>
                <w:kern w:val="0"/>
                <w:sz w:val="21"/>
                <w:szCs w:val="21"/>
                <w:lang w:val="zh-TW" w:eastAsia="zh-TW"/>
              </w:rPr>
              <w:t>分</w:t>
            </w:r>
          </w:p>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tc>
        <w:tc>
          <w:tcPr>
            <w:tcW w:w="1179" w:type="dxa"/>
            <w:tcBorders>
              <w:top w:val="single" w:color="000000" w:sz="4" w:space="0"/>
              <w:left w:val="single" w:color="000000" w:sz="4" w:space="0"/>
              <w:bottom w:val="single" w:color="auto"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技术部分评分标准（</w:t>
            </w: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rPr>
              <w:t>分）</w:t>
            </w:r>
          </w:p>
        </w:tc>
        <w:tc>
          <w:tcPr>
            <w:tcW w:w="6826" w:type="dxa"/>
            <w:tcBorders>
              <w:top w:val="single" w:color="000000" w:sz="4" w:space="0"/>
              <w:left w:val="single" w:color="000000" w:sz="4" w:space="0"/>
              <w:bottom w:val="single" w:color="auto" w:sz="4" w:space="0"/>
            </w:tcBorders>
            <w:vAlign w:val="center"/>
          </w:tcPr>
          <w:p>
            <w:pPr>
              <w:pStyle w:val="118"/>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color="000000"/>
              </w:rPr>
              <w:t>供应商所投产品完全满足招标文件技术参数及要求得</w:t>
            </w:r>
            <w:r>
              <w:rPr>
                <w:rFonts w:hint="eastAsia" w:asciiTheme="minorEastAsia" w:hAnsiTheme="minorEastAsia" w:eastAsiaTheme="minorEastAsia" w:cstheme="minorEastAsia"/>
                <w:color w:val="auto"/>
                <w:sz w:val="21"/>
                <w:szCs w:val="21"/>
                <w:highlight w:val="none"/>
                <w:u w:color="000000"/>
                <w:lang w:val="en-US" w:eastAsia="zh-CN"/>
              </w:rPr>
              <w:t>27</w:t>
            </w:r>
            <w:r>
              <w:rPr>
                <w:rFonts w:hint="eastAsia" w:asciiTheme="minorEastAsia" w:hAnsiTheme="minorEastAsia" w:eastAsiaTheme="minorEastAsia" w:cstheme="minorEastAsia"/>
                <w:color w:val="auto"/>
                <w:sz w:val="21"/>
                <w:szCs w:val="21"/>
                <w:highlight w:val="none"/>
                <w:u w:color="000000"/>
              </w:rPr>
              <w:t>分；</w:t>
            </w:r>
          </w:p>
          <w:p>
            <w:pPr>
              <w:pStyle w:val="118"/>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rPr>
              <w:t>注：供应商在响应技术条款时，应提供包含但不限于制造商公开发布的官网截图或检测机构出具的检测报告。如果供应商不提供官网截图或检测报告或者检测报告出现与技术规格响应不一致或无法体现供应商技术规格响应的情况时，评</w:t>
            </w:r>
            <w:r>
              <w:rPr>
                <w:rFonts w:hint="eastAsia" w:asciiTheme="minorEastAsia" w:hAnsiTheme="minorEastAsia" w:eastAsiaTheme="minorEastAsia" w:cstheme="minorEastAsia"/>
                <w:color w:val="auto"/>
                <w:sz w:val="21"/>
                <w:szCs w:val="21"/>
                <w:highlight w:val="none"/>
              </w:rPr>
              <w:t>标</w:t>
            </w:r>
            <w:r>
              <w:rPr>
                <w:rFonts w:hint="eastAsia" w:asciiTheme="minorEastAsia" w:hAnsiTheme="minorEastAsia" w:eastAsiaTheme="minorEastAsia" w:cstheme="minorEastAsia"/>
                <w:color w:val="auto"/>
                <w:sz w:val="21"/>
                <w:szCs w:val="21"/>
                <w:highlight w:val="none"/>
                <w:lang w:val="zh-TW"/>
              </w:rPr>
              <w:t>委员会有权不予以认可。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615" w:type="dxa"/>
            <w:vMerge w:val="continue"/>
            <w:tcBorders>
              <w:bottom w:val="single" w:color="auto"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供货及安装保证措施（5分）</w:t>
            </w:r>
          </w:p>
        </w:tc>
        <w:tc>
          <w:tcPr>
            <w:tcW w:w="6826" w:type="dxa"/>
            <w:tcBorders>
              <w:top w:val="single" w:color="000000" w:sz="4" w:space="0"/>
              <w:left w:val="single" w:color="000000" w:sz="4" w:space="0"/>
              <w:bottom w:val="single" w:color="000000" w:sz="4" w:space="0"/>
            </w:tcBorders>
            <w:vAlign w:val="center"/>
          </w:tcPr>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供货</w:t>
            </w:r>
            <w:r>
              <w:rPr>
                <w:rFonts w:hint="eastAsia" w:asciiTheme="minorEastAsia" w:hAnsiTheme="minorEastAsia" w:eastAsiaTheme="minorEastAsia" w:cstheme="minorEastAsia"/>
                <w:color w:val="auto"/>
                <w:sz w:val="21"/>
                <w:szCs w:val="21"/>
              </w:rPr>
              <w:t>及安装</w:t>
            </w:r>
            <w:r>
              <w:rPr>
                <w:rFonts w:hint="eastAsia" w:asciiTheme="minorEastAsia" w:hAnsiTheme="minorEastAsia" w:eastAsiaTheme="minorEastAsia" w:cstheme="minorEastAsia"/>
                <w:color w:val="auto"/>
                <w:sz w:val="21"/>
                <w:szCs w:val="21"/>
                <w:lang w:val="zh-TW"/>
              </w:rPr>
              <w:t>进度安排及保证措施合理、可行得</w:t>
            </w: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zh-TW"/>
              </w:rPr>
              <w:t>5分；</w:t>
            </w:r>
          </w:p>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供货及安装进度安排及保证措施基本合理、可行，得</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zh-TW"/>
              </w:rPr>
              <w:t>3分；</w:t>
            </w:r>
          </w:p>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供货及安装进度</w:t>
            </w:r>
            <w:r>
              <w:rPr>
                <w:rFonts w:hint="eastAsia" w:asciiTheme="minorEastAsia" w:hAnsiTheme="minorEastAsia" w:eastAsiaTheme="minorEastAsia" w:cstheme="minorEastAsia"/>
                <w:color w:val="auto"/>
                <w:sz w:val="21"/>
                <w:szCs w:val="21"/>
              </w:rPr>
              <w:t>措施</w:t>
            </w:r>
            <w:r>
              <w:rPr>
                <w:rFonts w:hint="eastAsia" w:asciiTheme="minorEastAsia" w:hAnsiTheme="minorEastAsia" w:eastAsiaTheme="minorEastAsia" w:cstheme="minorEastAsia"/>
                <w:color w:val="auto"/>
                <w:sz w:val="21"/>
                <w:szCs w:val="21"/>
                <w:lang w:val="zh-TW"/>
              </w:rPr>
              <w:t>安排</w:t>
            </w:r>
            <w:r>
              <w:rPr>
                <w:rFonts w:hint="eastAsia" w:asciiTheme="minorEastAsia" w:hAnsiTheme="minorEastAsia" w:eastAsiaTheme="minorEastAsia" w:cstheme="minorEastAsia"/>
                <w:color w:val="auto"/>
                <w:sz w:val="21"/>
                <w:szCs w:val="21"/>
              </w:rPr>
              <w:t>一般的</w:t>
            </w:r>
            <w:r>
              <w:rPr>
                <w:rFonts w:hint="eastAsia" w:asciiTheme="minorEastAsia" w:hAnsiTheme="minorEastAsia" w:eastAsiaTheme="minorEastAsia" w:cstheme="minorEastAsia"/>
                <w:color w:val="auto"/>
                <w:sz w:val="21"/>
                <w:szCs w:val="21"/>
                <w:lang w:val="zh-TW"/>
              </w:rPr>
              <w:t>得1分。</w:t>
            </w:r>
          </w:p>
          <w:p>
            <w:pPr>
              <w:pStyle w:val="118"/>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TW"/>
              </w:rPr>
              <w:t>供应商未提供</w:t>
            </w:r>
            <w:r>
              <w:rPr>
                <w:rFonts w:hint="eastAsia" w:asciiTheme="minorEastAsia" w:hAnsiTheme="minorEastAsia" w:eastAsiaTheme="minorEastAsia" w:cstheme="minorEastAsia"/>
                <w:color w:val="auto"/>
                <w:sz w:val="21"/>
                <w:szCs w:val="21"/>
              </w:rPr>
              <w:t>供货保证措施</w:t>
            </w:r>
            <w:r>
              <w:rPr>
                <w:rFonts w:hint="eastAsia" w:asciiTheme="minorEastAsia" w:hAnsiTheme="minorEastAsia" w:eastAsiaTheme="minorEastAsia" w:cstheme="minorEastAsia"/>
                <w:color w:val="auto"/>
                <w:sz w:val="21"/>
                <w:szCs w:val="21"/>
                <w:lang w:val="zh-TW"/>
              </w:rPr>
              <w:t>得0分。</w:t>
            </w:r>
            <w:r>
              <w:rPr>
                <w:rFonts w:hint="eastAsia" w:asciiTheme="minorEastAsia" w:hAnsiTheme="minorEastAsia" w:eastAsiaTheme="minorEastAsia" w:cstheme="minorEastAsia"/>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615" w:type="dxa"/>
            <w:vMerge w:val="restart"/>
            <w:tcBorders>
              <w:top w:val="single" w:color="auto" w:sz="4" w:space="0"/>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zh-TW"/>
              </w:rPr>
              <w:t>售后服务</w:t>
            </w:r>
            <w:r>
              <w:rPr>
                <w:rFonts w:hint="eastAsia" w:asciiTheme="minorEastAsia" w:hAnsiTheme="minorEastAsia" w:eastAsiaTheme="minorEastAsia" w:cstheme="minorEastAsia"/>
                <w:color w:val="auto"/>
                <w:sz w:val="21"/>
                <w:szCs w:val="21"/>
                <w:lang w:val="zh-TW" w:eastAsia="zh-CN"/>
              </w:rPr>
              <w:t>（</w:t>
            </w:r>
            <w:r>
              <w:rPr>
                <w:rFonts w:hint="eastAsia" w:asciiTheme="minorEastAsia" w:hAnsiTheme="minorEastAsia" w:eastAsiaTheme="minorEastAsia" w:cstheme="minorEastAsia"/>
                <w:color w:val="auto"/>
                <w:sz w:val="21"/>
                <w:szCs w:val="21"/>
                <w:lang w:val="en-US" w:eastAsia="zh-CN"/>
              </w:rPr>
              <w:t>10分</w:t>
            </w:r>
            <w:r>
              <w:rPr>
                <w:rFonts w:hint="eastAsia" w:asciiTheme="minorEastAsia" w:hAnsiTheme="minorEastAsia" w:eastAsiaTheme="minorEastAsia" w:cstheme="minorEastAsia"/>
                <w:color w:val="auto"/>
                <w:sz w:val="21"/>
                <w:szCs w:val="21"/>
                <w:lang w:val="zh-TW" w:eastAsia="zh-CN"/>
              </w:rPr>
              <w:t>）</w:t>
            </w:r>
          </w:p>
        </w:tc>
        <w:tc>
          <w:tcPr>
            <w:tcW w:w="1179" w:type="dxa"/>
            <w:vMerge w:val="restart"/>
            <w:tcBorders>
              <w:top w:val="single" w:color="000000" w:sz="4" w:space="0"/>
              <w:left w:val="single" w:color="000000" w:sz="4" w:space="0"/>
              <w:right w:val="single" w:color="000000" w:sz="4" w:space="0"/>
            </w:tcBorders>
            <w:vAlign w:val="center"/>
          </w:tcPr>
          <w:p>
            <w:pPr>
              <w:pStyle w:val="39"/>
              <w:snapToGrid w:val="0"/>
              <w:spacing w:line="360" w:lineRule="exact"/>
              <w:ind w:firstLine="0" w:firstLineChars="0"/>
              <w:jc w:val="center"/>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售后服务方案</w:t>
            </w:r>
          </w:p>
          <w:p>
            <w:pPr>
              <w:pStyle w:val="118"/>
              <w:adjustRightInd w:val="0"/>
              <w:snapToGrid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TW"/>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val="zh-TW"/>
              </w:rPr>
              <w:t>分）</w:t>
            </w:r>
          </w:p>
        </w:tc>
        <w:tc>
          <w:tcPr>
            <w:tcW w:w="6826" w:type="dxa"/>
            <w:tcBorders>
              <w:top w:val="single" w:color="000000" w:sz="4" w:space="0"/>
              <w:left w:val="single" w:color="000000" w:sz="4" w:space="0"/>
              <w:bottom w:val="single" w:color="000000" w:sz="4" w:space="0"/>
            </w:tcBorders>
            <w:vAlign w:val="center"/>
          </w:tcPr>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评委根据供应商提供的售后服务方案(结合采购人的需求，包含但不限于售后服务内容、</w:t>
            </w:r>
            <w:r>
              <w:rPr>
                <w:rFonts w:hint="eastAsia" w:asciiTheme="minorEastAsia" w:hAnsiTheme="minorEastAsia" w:eastAsiaTheme="minorEastAsia" w:cstheme="minorEastAsia"/>
                <w:color w:val="auto"/>
                <w:sz w:val="21"/>
                <w:szCs w:val="21"/>
                <w:lang w:val="zh-CN"/>
              </w:rPr>
              <w:t>售后服务团队、</w:t>
            </w:r>
            <w:r>
              <w:rPr>
                <w:rFonts w:hint="eastAsia" w:asciiTheme="minorEastAsia" w:hAnsiTheme="minorEastAsia" w:eastAsiaTheme="minorEastAsia" w:cstheme="minorEastAsia"/>
                <w:color w:val="auto"/>
                <w:sz w:val="21"/>
                <w:szCs w:val="21"/>
                <w:lang w:val="zh-TW"/>
              </w:rPr>
              <w:t>故障检测及排除、应急维修时间安排、解决故障承诺的时间、备品备件库、质保期年限、供应商所在位置、售后服务措施、供货期)情况</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val="zh-TW"/>
              </w:rPr>
              <w:t>打分。</w:t>
            </w:r>
          </w:p>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供应商所投方案满足且优于招标文件要求得</w:t>
            </w: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zh-TW"/>
              </w:rPr>
              <w:t>分；</w:t>
            </w:r>
          </w:p>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供应商所投方案</w:t>
            </w:r>
            <w:r>
              <w:rPr>
                <w:rFonts w:hint="eastAsia" w:asciiTheme="minorEastAsia" w:hAnsiTheme="minorEastAsia" w:eastAsiaTheme="minorEastAsia" w:cstheme="minorEastAsia"/>
                <w:color w:val="auto"/>
                <w:sz w:val="21"/>
                <w:szCs w:val="21"/>
              </w:rPr>
              <w:t>基本</w:t>
            </w:r>
            <w:r>
              <w:rPr>
                <w:rFonts w:hint="eastAsia" w:asciiTheme="minorEastAsia" w:hAnsiTheme="minorEastAsia" w:eastAsiaTheme="minorEastAsia" w:cstheme="minorEastAsia"/>
                <w:color w:val="auto"/>
                <w:sz w:val="21"/>
                <w:szCs w:val="21"/>
                <w:lang w:val="zh-TW"/>
              </w:rPr>
              <w:t>满足招标文件要求得</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zh-TW"/>
              </w:rPr>
              <w:t>分；</w:t>
            </w:r>
          </w:p>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供应商所投方案</w:t>
            </w:r>
            <w:r>
              <w:rPr>
                <w:rFonts w:hint="eastAsia" w:asciiTheme="minorEastAsia" w:hAnsiTheme="minorEastAsia" w:eastAsiaTheme="minorEastAsia" w:cstheme="minorEastAsia"/>
                <w:color w:val="auto"/>
                <w:sz w:val="21"/>
                <w:szCs w:val="21"/>
              </w:rPr>
              <w:t>一般的</w:t>
            </w:r>
            <w:r>
              <w:rPr>
                <w:rFonts w:hint="eastAsia" w:asciiTheme="minorEastAsia" w:hAnsiTheme="minorEastAsia" w:eastAsiaTheme="minorEastAsia" w:cstheme="minorEastAsia"/>
                <w:color w:val="auto"/>
                <w:sz w:val="21"/>
                <w:szCs w:val="21"/>
                <w:lang w:val="zh-TW"/>
              </w:rPr>
              <w:t>得1分；</w:t>
            </w:r>
          </w:p>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lang w:val="zh-TW"/>
              </w:rPr>
              <w:t>供应商未提供售后服务方案得0分。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615" w:type="dxa"/>
            <w:vMerge w:val="continue"/>
            <w:tcBorders>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rPr>
            </w:pPr>
          </w:p>
        </w:tc>
        <w:tc>
          <w:tcPr>
            <w:tcW w:w="1179" w:type="dxa"/>
            <w:vMerge w:val="continue"/>
            <w:tcBorders>
              <w:left w:val="single" w:color="000000" w:sz="4" w:space="0"/>
              <w:bottom w:val="single" w:color="000000" w:sz="4" w:space="0"/>
              <w:right w:val="single" w:color="000000" w:sz="4" w:space="0"/>
            </w:tcBorders>
            <w:vAlign w:val="center"/>
          </w:tcPr>
          <w:p>
            <w:pPr>
              <w:pStyle w:val="39"/>
              <w:snapToGrid w:val="0"/>
              <w:spacing w:line="360" w:lineRule="exact"/>
              <w:ind w:firstLine="0" w:firstLineChars="0"/>
              <w:jc w:val="center"/>
              <w:rPr>
                <w:rFonts w:hint="eastAsia" w:asciiTheme="minorEastAsia" w:hAnsiTheme="minorEastAsia" w:eastAsiaTheme="minorEastAsia" w:cstheme="minorEastAsia"/>
                <w:color w:val="auto"/>
                <w:sz w:val="21"/>
                <w:szCs w:val="21"/>
                <w:lang w:val="zh-TW"/>
              </w:rPr>
            </w:pPr>
          </w:p>
        </w:tc>
        <w:tc>
          <w:tcPr>
            <w:tcW w:w="6826" w:type="dxa"/>
            <w:tcBorders>
              <w:top w:val="single" w:color="000000" w:sz="4" w:space="0"/>
              <w:left w:val="single" w:color="000000" w:sz="4" w:space="0"/>
              <w:bottom w:val="single" w:color="000000" w:sz="4" w:space="0"/>
            </w:tcBorders>
            <w:vAlign w:val="center"/>
          </w:tcPr>
          <w:p>
            <w:pPr>
              <w:pStyle w:val="39"/>
              <w:snapToGrid w:val="0"/>
              <w:spacing w:line="360" w:lineRule="exact"/>
              <w:ind w:firstLine="0" w:firstLineChars="0"/>
              <w:rPr>
                <w:rFonts w:hint="eastAsia" w:asciiTheme="minorEastAsia" w:hAnsiTheme="minorEastAsia" w:eastAsiaTheme="minorEastAsia" w:cstheme="minorEastAsia"/>
                <w:color w:val="auto"/>
                <w:sz w:val="21"/>
                <w:szCs w:val="21"/>
                <w:lang w:val="zh-TW"/>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val="zh-TW"/>
              </w:rPr>
              <w:t>所投主要产品生产厂商针对本项目的售后服务承诺书的，得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TW"/>
              </w:rPr>
              <w:t>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615" w:type="dxa"/>
            <w:vMerge w:val="continue"/>
            <w:tcBorders>
              <w:right w:val="single" w:color="000000" w:sz="4" w:space="0"/>
            </w:tcBorders>
            <w:vAlign w:val="center"/>
          </w:tcPr>
          <w:p>
            <w:pPr>
              <w:pStyle w:val="118"/>
              <w:adjustRightInd w:val="0"/>
              <w:snapToGrid w:val="0"/>
              <w:jc w:val="center"/>
              <w:rPr>
                <w:rFonts w:hint="eastAsia" w:asciiTheme="minorEastAsia" w:hAnsiTheme="minorEastAsia" w:eastAsiaTheme="minorEastAsia" w:cstheme="minorEastAsia"/>
                <w:color w:val="auto"/>
                <w:sz w:val="21"/>
                <w:szCs w:val="21"/>
                <w:lang w:val="zh-TW"/>
              </w:rPr>
            </w:pPr>
          </w:p>
        </w:tc>
        <w:tc>
          <w:tcPr>
            <w:tcW w:w="1179" w:type="dxa"/>
            <w:tcBorders>
              <w:left w:val="single" w:color="000000" w:sz="4" w:space="0"/>
              <w:bottom w:val="single" w:color="000000" w:sz="4" w:space="0"/>
              <w:right w:val="single" w:color="000000" w:sz="4" w:space="0"/>
            </w:tcBorders>
            <w:vAlign w:val="center"/>
          </w:tcPr>
          <w:p>
            <w:pPr>
              <w:pStyle w:val="39"/>
              <w:snapToGrid w:val="0"/>
              <w:spacing w:line="360" w:lineRule="exact"/>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质保期（4）</w:t>
            </w:r>
          </w:p>
        </w:tc>
        <w:tc>
          <w:tcPr>
            <w:tcW w:w="6826" w:type="dxa"/>
            <w:tcBorders>
              <w:top w:val="single" w:color="000000" w:sz="4" w:space="0"/>
              <w:left w:val="single" w:color="000000" w:sz="4" w:space="0"/>
              <w:bottom w:val="single" w:color="000000" w:sz="4" w:space="0"/>
            </w:tcBorders>
            <w:vAlign w:val="center"/>
          </w:tcPr>
          <w:p>
            <w:pPr>
              <w:pStyle w:val="39"/>
              <w:snapToGrid w:val="0"/>
              <w:spacing w:line="360" w:lineRule="exact"/>
              <w:ind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供应商针对本项目的质保期优于招标文件的，3年得2分；质保期4年得4分。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9620" w:type="dxa"/>
            <w:gridSpan w:val="3"/>
            <w:tcBorders>
              <w:bottom w:val="single" w:color="000000" w:sz="4" w:space="0"/>
            </w:tcBorders>
            <w:vAlign w:val="center"/>
          </w:tcPr>
          <w:p>
            <w:pPr>
              <w:tabs>
                <w:tab w:val="left" w:pos="720"/>
              </w:tabs>
              <w:spacing w:line="360" w:lineRule="exact"/>
              <w:ind w:left="600" w:hanging="630" w:hangingChars="300"/>
              <w:rPr>
                <w:rFonts w:hint="eastAsia" w:asciiTheme="minorEastAsia" w:hAnsiTheme="minorEastAsia" w:eastAsiaTheme="minorEastAsia" w:cstheme="minorEastAsia"/>
                <w:color w:val="auto"/>
                <w:sz w:val="21"/>
                <w:szCs w:val="21"/>
                <w:u w:color="000000"/>
              </w:rPr>
            </w:pPr>
            <w:r>
              <w:rPr>
                <w:rFonts w:hint="eastAsia" w:asciiTheme="minorEastAsia" w:hAnsiTheme="minorEastAsia" w:eastAsiaTheme="minorEastAsia" w:cstheme="minorEastAsia"/>
                <w:color w:val="auto"/>
                <w:sz w:val="21"/>
                <w:szCs w:val="21"/>
                <w:u w:color="000000"/>
              </w:rPr>
              <w:t>备注：1、评标办法中所要求的各类证明材料，需提供原件</w:t>
            </w:r>
            <w:r>
              <w:rPr>
                <w:rFonts w:hint="eastAsia" w:asciiTheme="minorEastAsia" w:hAnsiTheme="minorEastAsia" w:eastAsiaTheme="minorEastAsia" w:cstheme="minorEastAsia"/>
                <w:color w:val="auto"/>
                <w:sz w:val="21"/>
                <w:szCs w:val="21"/>
                <w:u w:color="000000"/>
                <w:lang w:val="en-US" w:eastAsia="zh-CN"/>
              </w:rPr>
              <w:t>的扫描件</w:t>
            </w:r>
            <w:r>
              <w:rPr>
                <w:rFonts w:hint="eastAsia" w:asciiTheme="minorEastAsia" w:hAnsiTheme="minorEastAsia" w:eastAsiaTheme="minorEastAsia" w:cstheme="minorEastAsia"/>
                <w:color w:val="auto"/>
                <w:sz w:val="21"/>
                <w:szCs w:val="21"/>
                <w:u w:color="000000"/>
              </w:rPr>
              <w:t>。</w:t>
            </w:r>
          </w:p>
          <w:p>
            <w:pPr>
              <w:tabs>
                <w:tab w:val="left" w:pos="720"/>
              </w:tabs>
              <w:spacing w:line="360" w:lineRule="exact"/>
              <w:ind w:firstLine="210" w:firstLineChars="100"/>
              <w:rPr>
                <w:rFonts w:hint="eastAsia" w:asciiTheme="minorEastAsia" w:hAnsiTheme="minorEastAsia" w:eastAsiaTheme="minorEastAsia" w:cstheme="minorEastAsia"/>
                <w:color w:val="auto"/>
                <w:sz w:val="21"/>
                <w:szCs w:val="21"/>
                <w:u w:color="000000"/>
              </w:rPr>
            </w:pPr>
            <w:r>
              <w:rPr>
                <w:rFonts w:hint="eastAsia" w:asciiTheme="minorEastAsia" w:hAnsiTheme="minorEastAsia" w:eastAsiaTheme="minorEastAsia" w:cstheme="minorEastAsia"/>
                <w:color w:val="auto"/>
                <w:sz w:val="21"/>
                <w:szCs w:val="21"/>
                <w:u w:color="000000"/>
              </w:rPr>
              <w:t>2、投标人最终得分=</w:t>
            </w:r>
            <w:r>
              <w:rPr>
                <w:rFonts w:hint="eastAsia"/>
                <w:lang w:val="zh-CN"/>
              </w:rPr>
              <w:t>投标报价得分+</w:t>
            </w:r>
            <w:r>
              <w:rPr>
                <w:rFonts w:hint="eastAsia" w:asciiTheme="minorEastAsia" w:hAnsiTheme="minorEastAsia" w:eastAsiaTheme="minorEastAsia" w:cstheme="minorEastAsia"/>
                <w:color w:val="auto"/>
                <w:kern w:val="0"/>
                <w:sz w:val="21"/>
                <w:szCs w:val="21"/>
              </w:rPr>
              <w:t>商务部分</w:t>
            </w:r>
            <w:r>
              <w:rPr>
                <w:rFonts w:hint="eastAsia"/>
              </w:rPr>
              <w:t>得分</w:t>
            </w:r>
            <w:r>
              <w:rPr>
                <w:rFonts w:hint="eastAsia"/>
                <w:lang w:val="zh-CN"/>
              </w:rPr>
              <w:t>+</w:t>
            </w:r>
            <w:r>
              <w:rPr>
                <w:rFonts w:hint="eastAsia" w:asciiTheme="minorEastAsia" w:hAnsiTheme="minorEastAsia" w:eastAsiaTheme="minorEastAsia" w:cstheme="minorEastAsia"/>
                <w:color w:val="auto"/>
                <w:kern w:val="0"/>
                <w:sz w:val="21"/>
                <w:szCs w:val="21"/>
              </w:rPr>
              <w:t>技术及服务部分</w:t>
            </w:r>
            <w:r>
              <w:rPr>
                <w:rFonts w:hint="eastAsia"/>
              </w:rPr>
              <w:t>得分</w:t>
            </w:r>
            <w:r>
              <w:rPr>
                <w:rFonts w:hint="eastAsia"/>
                <w:lang w:val="zh-CN"/>
              </w:rPr>
              <w:t>+</w:t>
            </w:r>
            <w:r>
              <w:rPr>
                <w:rFonts w:hint="eastAsia" w:asciiTheme="minorEastAsia" w:hAnsiTheme="minorEastAsia" w:eastAsiaTheme="minorEastAsia" w:cstheme="minorEastAsia"/>
                <w:color w:val="auto"/>
                <w:sz w:val="21"/>
                <w:szCs w:val="21"/>
                <w:lang w:val="zh-TW"/>
              </w:rPr>
              <w:t>售后服务</w:t>
            </w:r>
            <w:r>
              <w:rPr>
                <w:rFonts w:hint="eastAsia" w:asciiTheme="minorEastAsia" w:hAnsiTheme="minorEastAsia" w:eastAsiaTheme="minorEastAsia" w:cstheme="minorEastAsia"/>
                <w:color w:val="auto"/>
                <w:sz w:val="21"/>
                <w:szCs w:val="21"/>
                <w:lang w:val="zh-TW" w:eastAsia="zh-CN"/>
              </w:rPr>
              <w:t>得分</w:t>
            </w:r>
            <w:r>
              <w:rPr>
                <w:rFonts w:hint="eastAsia" w:asciiTheme="minorEastAsia" w:hAnsiTheme="minorEastAsia" w:eastAsiaTheme="minorEastAsia" w:cstheme="minorEastAsia"/>
                <w:color w:val="auto"/>
                <w:sz w:val="21"/>
                <w:szCs w:val="21"/>
                <w:u w:color="000000"/>
              </w:rPr>
              <w:t>。</w:t>
            </w:r>
          </w:p>
          <w:p>
            <w:pPr>
              <w:snapToGrid w:val="0"/>
              <w:spacing w:line="360" w:lineRule="exact"/>
              <w:rPr>
                <w:rFonts w:hint="eastAsia" w:asciiTheme="minorEastAsia" w:hAnsiTheme="minorEastAsia" w:eastAsiaTheme="minorEastAsia" w:cstheme="minorEastAsia"/>
                <w:color w:val="auto"/>
                <w:sz w:val="21"/>
                <w:szCs w:val="21"/>
                <w:u w:color="000000"/>
              </w:rPr>
            </w:pPr>
            <w:r>
              <w:rPr>
                <w:rFonts w:hint="eastAsia" w:asciiTheme="minorEastAsia" w:hAnsiTheme="minorEastAsia" w:eastAsiaTheme="minorEastAsia" w:cstheme="minorEastAsia"/>
                <w:color w:val="auto"/>
                <w:sz w:val="21"/>
                <w:szCs w:val="21"/>
                <w:u w:color="000000"/>
              </w:rPr>
              <w:t>3、各供应商最终综合得分为所有评委各项打分的总和的算术平均值，评标委员会根据综合得分由高到低推荐1-3名中标候选人。计算过程和结果四舍五入保留小数点后2位。</w:t>
            </w:r>
          </w:p>
        </w:tc>
      </w:tr>
    </w:tbl>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rPr>
      </w:pPr>
      <w:bookmarkStart w:id="225" w:name="_Toc454147538"/>
      <w:bookmarkStart w:id="226" w:name="_Toc466017207"/>
      <w:bookmarkStart w:id="227" w:name="_Toc465502579"/>
      <w:bookmarkStart w:id="228" w:name="_Toc19403"/>
      <w:bookmarkStart w:id="229" w:name="_Toc21064"/>
      <w:r>
        <w:rPr>
          <w:rFonts w:hint="eastAsia" w:ascii="宋体" w:hAnsi="宋体" w:cs="仿宋_GB2312"/>
          <w:b/>
          <w:color w:val="auto"/>
          <w:sz w:val="28"/>
          <w:szCs w:val="28"/>
        </w:rPr>
        <w:t xml:space="preserve"> 评标准则和评标方法</w:t>
      </w:r>
      <w:bookmarkEnd w:id="225"/>
      <w:bookmarkEnd w:id="226"/>
      <w:bookmarkEnd w:id="227"/>
      <w:bookmarkEnd w:id="228"/>
      <w:bookmarkEnd w:id="229"/>
    </w:p>
    <w:p>
      <w:pPr>
        <w:adjustRightInd w:val="0"/>
        <w:snapToGrid w:val="0"/>
        <w:spacing w:line="560" w:lineRule="exact"/>
        <w:rPr>
          <w:szCs w:val="21"/>
        </w:rPr>
      </w:pPr>
      <w:r>
        <w:rPr>
          <w:rFonts w:hint="eastAsia"/>
          <w:szCs w:val="21"/>
        </w:rPr>
        <w:t>1.1 评标过程将遵循“公平、公正、科学、择优”的原则进行。</w:t>
      </w:r>
      <w:bookmarkStart w:id="283" w:name="_GoBack"/>
      <w:bookmarkEnd w:id="283"/>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0" w:name="_Toc15449"/>
      <w:bookmarkStart w:id="231" w:name="_Toc454147539"/>
      <w:bookmarkStart w:id="232" w:name="_Toc466017208"/>
      <w:bookmarkStart w:id="233" w:name="_Toc13195"/>
      <w:bookmarkStart w:id="234" w:name="_Toc465502580"/>
      <w:r>
        <w:rPr>
          <w:rFonts w:hint="eastAsia" w:ascii="宋体" w:hAnsi="宋体" w:cs="仿宋_GB2312"/>
          <w:b/>
          <w:sz w:val="28"/>
          <w:szCs w:val="28"/>
        </w:rPr>
        <w:t>评审标准</w:t>
      </w:r>
      <w:bookmarkEnd w:id="230"/>
      <w:bookmarkEnd w:id="231"/>
      <w:bookmarkEnd w:id="232"/>
      <w:bookmarkEnd w:id="233"/>
      <w:bookmarkEnd w:id="234"/>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w:t>
      </w:r>
      <w:r>
        <w:rPr>
          <w:rFonts w:hint="eastAsia"/>
          <w:lang w:val="zh-CN"/>
        </w:rPr>
        <w:t>投标报价、</w:t>
      </w:r>
      <w:r>
        <w:rPr>
          <w:rFonts w:hint="eastAsia" w:asciiTheme="minorEastAsia" w:hAnsiTheme="minorEastAsia" w:eastAsiaTheme="minorEastAsia" w:cstheme="minorEastAsia"/>
          <w:color w:val="auto"/>
          <w:kern w:val="0"/>
          <w:sz w:val="21"/>
          <w:szCs w:val="21"/>
        </w:rPr>
        <w:t>商务部分</w:t>
      </w:r>
      <w:r>
        <w:rPr>
          <w:rFonts w:hint="eastAsia"/>
          <w:lang w:val="zh-CN"/>
        </w:rPr>
        <w:t>、</w:t>
      </w:r>
      <w:r>
        <w:rPr>
          <w:rFonts w:hint="eastAsia" w:asciiTheme="minorEastAsia" w:hAnsiTheme="minorEastAsia" w:eastAsiaTheme="minorEastAsia" w:cstheme="minorEastAsia"/>
          <w:color w:val="auto"/>
          <w:kern w:val="0"/>
          <w:sz w:val="21"/>
          <w:szCs w:val="21"/>
        </w:rPr>
        <w:t>技术及服务部分</w:t>
      </w:r>
      <w:r>
        <w:rPr>
          <w:rFonts w:hint="eastAsia"/>
          <w:lang w:val="zh-CN"/>
        </w:rPr>
        <w:t>、</w:t>
      </w:r>
      <w:r>
        <w:rPr>
          <w:rFonts w:hint="eastAsia" w:asciiTheme="minorEastAsia" w:hAnsiTheme="minorEastAsia" w:eastAsiaTheme="minorEastAsia" w:cstheme="minorEastAsia"/>
          <w:color w:val="auto"/>
          <w:sz w:val="21"/>
          <w:szCs w:val="21"/>
          <w:lang w:val="zh-TW"/>
        </w:rPr>
        <w:t>售后服务</w:t>
      </w:r>
      <w:r>
        <w:rPr>
          <w:rFonts w:hint="eastAsia"/>
          <w:szCs w:val="21"/>
        </w:rPr>
        <w:t>评审因素。</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5" w:name="_Toc11065"/>
      <w:r>
        <w:rPr>
          <w:rFonts w:hint="eastAsia" w:ascii="宋体" w:hAnsi="宋体" w:cs="仿宋_GB2312"/>
          <w:b/>
          <w:sz w:val="28"/>
          <w:szCs w:val="28"/>
        </w:rPr>
        <w:t>评标程序</w:t>
      </w:r>
      <w:bookmarkEnd w:id="235"/>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hint="eastAsia" w:eastAsiaTheme="minorEastAsia"/>
          <w:lang w:eastAsia="zh-CN"/>
        </w:rPr>
      </w:pPr>
      <w:r>
        <w:rPr>
          <w:rFonts w:hint="eastAsia"/>
        </w:rPr>
        <w:t xml:space="preserve">3.4.1 </w:t>
      </w:r>
      <w:r>
        <w:rPr>
          <w:rFonts w:hint="eastAsia"/>
          <w:lang w:val="zh-CN"/>
        </w:rPr>
        <w:t>投标人得分=投标报价得分+</w:t>
      </w:r>
      <w:r>
        <w:rPr>
          <w:rFonts w:hint="eastAsia" w:asciiTheme="minorEastAsia" w:hAnsiTheme="minorEastAsia" w:eastAsiaTheme="minorEastAsia" w:cstheme="minorEastAsia"/>
          <w:color w:val="auto"/>
          <w:kern w:val="0"/>
          <w:sz w:val="21"/>
          <w:szCs w:val="21"/>
        </w:rPr>
        <w:t>商务部分</w:t>
      </w:r>
      <w:r>
        <w:rPr>
          <w:rFonts w:hint="eastAsia"/>
        </w:rPr>
        <w:t>得分</w:t>
      </w:r>
      <w:r>
        <w:rPr>
          <w:rFonts w:hint="eastAsia"/>
          <w:lang w:val="zh-CN"/>
        </w:rPr>
        <w:t>+</w:t>
      </w:r>
      <w:r>
        <w:rPr>
          <w:rFonts w:hint="eastAsia" w:asciiTheme="minorEastAsia" w:hAnsiTheme="minorEastAsia" w:eastAsiaTheme="minorEastAsia" w:cstheme="minorEastAsia"/>
          <w:color w:val="auto"/>
          <w:kern w:val="0"/>
          <w:sz w:val="21"/>
          <w:szCs w:val="21"/>
        </w:rPr>
        <w:t>技术及服务部分</w:t>
      </w:r>
      <w:r>
        <w:rPr>
          <w:rFonts w:hint="eastAsia"/>
        </w:rPr>
        <w:t>得分</w:t>
      </w:r>
      <w:r>
        <w:rPr>
          <w:rFonts w:hint="eastAsia"/>
          <w:lang w:val="zh-CN"/>
        </w:rPr>
        <w:t>+</w:t>
      </w:r>
      <w:r>
        <w:rPr>
          <w:rFonts w:hint="eastAsia" w:asciiTheme="minorEastAsia" w:hAnsiTheme="minorEastAsia" w:eastAsiaTheme="minorEastAsia" w:cstheme="minorEastAsia"/>
          <w:color w:val="auto"/>
          <w:sz w:val="21"/>
          <w:szCs w:val="21"/>
          <w:lang w:val="zh-TW"/>
        </w:rPr>
        <w:t>售后服务</w:t>
      </w:r>
      <w:r>
        <w:rPr>
          <w:rFonts w:hint="eastAsia" w:asciiTheme="minorEastAsia" w:hAnsiTheme="minorEastAsia" w:eastAsiaTheme="minorEastAsia" w:cstheme="minorEastAsia"/>
          <w:color w:val="auto"/>
          <w:sz w:val="21"/>
          <w:szCs w:val="21"/>
          <w:lang w:val="zh-TW" w:eastAsia="zh-CN"/>
        </w:rPr>
        <w:t>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6" w:name="_Toc7468"/>
      <w:bookmarkStart w:id="237" w:name="_Toc19590"/>
      <w:bookmarkStart w:id="238" w:name="_Toc17922"/>
      <w:bookmarkStart w:id="239" w:name="_Toc54"/>
      <w:bookmarkStart w:id="240" w:name="_Toc16293"/>
      <w:bookmarkStart w:id="241" w:name="_Toc28863"/>
      <w:bookmarkStart w:id="242" w:name="_Toc11630"/>
      <w:r>
        <w:rPr>
          <w:rFonts w:hint="eastAsia"/>
          <w:b/>
          <w:bCs/>
          <w:sz w:val="24"/>
        </w:rPr>
        <w:t>3.6 保密及其他注意事项</w:t>
      </w:r>
      <w:bookmarkEnd w:id="236"/>
      <w:bookmarkEnd w:id="237"/>
      <w:bookmarkEnd w:id="238"/>
      <w:bookmarkEnd w:id="239"/>
      <w:bookmarkEnd w:id="240"/>
      <w:bookmarkEnd w:id="241"/>
      <w:bookmarkEnd w:id="242"/>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6"/>
        <w:spacing w:line="600" w:lineRule="exact"/>
        <w:ind w:right="-63" w:rightChars="-30"/>
        <w:rPr>
          <w:rFonts w:asciiTheme="minorEastAsia" w:hAnsiTheme="minorEastAsia" w:eastAsiaTheme="minorEastAsia" w:cstheme="minorEastAsia"/>
          <w:sz w:val="36"/>
          <w:szCs w:val="36"/>
        </w:rPr>
      </w:pPr>
      <w:bookmarkStart w:id="243" w:name="_Toc955"/>
      <w:r>
        <w:rPr>
          <w:rFonts w:hint="eastAsia" w:asciiTheme="minorEastAsia" w:hAnsiTheme="minorEastAsia" w:eastAsiaTheme="minorEastAsia" w:cstheme="minorEastAsia"/>
          <w:sz w:val="36"/>
          <w:szCs w:val="36"/>
        </w:rPr>
        <w:t>第四章  合同条款及格式</w:t>
      </w:r>
      <w:bookmarkEnd w:id="222"/>
      <w:bookmarkEnd w:id="223"/>
      <w:bookmarkEnd w:id="224"/>
      <w:bookmarkEnd w:id="243"/>
    </w:p>
    <w:p>
      <w:pPr>
        <w:spacing w:line="440" w:lineRule="exact"/>
        <w:ind w:firstLine="482"/>
        <w:rPr>
          <w:rFonts w:asciiTheme="minorEastAsia" w:hAnsiTheme="minorEastAsia" w:eastAsiaTheme="minorEastAsia" w:cstheme="minorEastAsia"/>
          <w:szCs w:val="21"/>
        </w:rPr>
      </w:pPr>
      <w:bookmarkStart w:id="244"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56"/>
        <w:snapToGrid w:val="0"/>
        <w:spacing w:line="560" w:lineRule="exact"/>
        <w:ind w:firstLine="420" w:firstLineChars="20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 xml:space="preserve">5.2 付款方式：供货安装完毕付合同金额的80%，经验收合格后付至合同金额的97%，剩余3%一年后无质量问题一次支付。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5" w:name="page"/>
      <w:bookmarkEnd w:id="245"/>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9.5 合同份数：合同正本 2 份，双方各执 1 份；副本 4 份，双方各执 2 份。 </w:t>
      </w:r>
    </w:p>
    <w:p>
      <w:pPr>
        <w:spacing w:line="44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发包人：(盖公章)  承包人：(盖公章)</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开户行：            开户行：          ：</w:t>
      </w:r>
    </w:p>
    <w:p>
      <w:pPr>
        <w:spacing w:line="440" w:lineRule="exact"/>
        <w:ind w:left="479" w:leftChars="22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                                         账号：</w:t>
      </w:r>
    </w:p>
    <w:p>
      <w:pPr>
        <w:spacing w:line="440" w:lineRule="exact"/>
        <w:ind w:right="42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签字日期:   年   月   日</w:t>
      </w:r>
    </w:p>
    <w:p>
      <w:pPr>
        <w:pStyle w:val="2"/>
      </w:pPr>
    </w:p>
    <w:p>
      <w:pPr>
        <w:pStyle w:val="16"/>
        <w:numPr>
          <w:ilvl w:val="0"/>
          <w:numId w:val="5"/>
        </w:numPr>
        <w:ind w:left="0" w:leftChars="0" w:firstLine="0" w:firstLineChars="0"/>
        <w:jc w:val="center"/>
        <w:rPr>
          <w:rFonts w:hint="eastAsia"/>
          <w:b/>
          <w:bCs/>
          <w:sz w:val="32"/>
          <w:szCs w:val="32"/>
        </w:rPr>
      </w:pPr>
      <w:r>
        <w:rPr>
          <w:rFonts w:hint="eastAsia"/>
          <w:b/>
          <w:bCs/>
          <w:sz w:val="32"/>
          <w:szCs w:val="32"/>
        </w:rPr>
        <w:t>采购内容及</w:t>
      </w:r>
      <w:r>
        <w:rPr>
          <w:rFonts w:hint="eastAsia"/>
          <w:b/>
          <w:bCs/>
          <w:sz w:val="32"/>
          <w:szCs w:val="32"/>
          <w:lang w:val="en-US" w:eastAsia="zh-CN"/>
        </w:rPr>
        <w:t xml:space="preserve">技术规范 </w:t>
      </w:r>
    </w:p>
    <w:p/>
    <w:p/>
    <w:p>
      <w:pPr>
        <w:numPr>
          <w:ilvl w:val="0"/>
          <w:numId w:val="9"/>
        </w:numPr>
        <w:rPr>
          <w:rFonts w:hint="eastAsia" w:cs="Times New Roman" w:asciiTheme="minorEastAsia" w:hAnsiTheme="minorEastAsia" w:eastAsiaTheme="minorEastAsia"/>
          <w:b/>
          <w:color w:val="auto"/>
          <w:sz w:val="28"/>
          <w:szCs w:val="28"/>
          <w:lang w:val="en-US" w:eastAsia="zh-CN" w:bidi="ar-SA"/>
        </w:rPr>
      </w:pPr>
      <w:r>
        <w:rPr>
          <w:rFonts w:hint="eastAsia" w:cs="Times New Roman" w:asciiTheme="minorEastAsia" w:hAnsiTheme="minorEastAsia" w:eastAsiaTheme="minorEastAsia"/>
          <w:b/>
          <w:color w:val="auto"/>
          <w:sz w:val="28"/>
          <w:szCs w:val="28"/>
          <w:lang w:val="en-US" w:eastAsia="zh-CN" w:bidi="ar-SA"/>
        </w:rPr>
        <w:t>采购内容及要求</w:t>
      </w:r>
    </w:p>
    <w:p>
      <w:pPr>
        <w:pStyle w:val="2"/>
        <w:keepNext w:val="0"/>
        <w:keepLines w:val="0"/>
        <w:pageBreakBefore w:val="0"/>
        <w:widowControl w:val="0"/>
        <w:numPr>
          <w:ilvl w:val="0"/>
          <w:numId w:val="0"/>
        </w:numPr>
        <w:kinsoku/>
        <w:wordWrap/>
        <w:overflowPunct/>
        <w:topLinePunct w:val="0"/>
        <w:bidi w:val="0"/>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1、质保期：</w:t>
      </w:r>
      <w:r>
        <w:rPr>
          <w:rFonts w:hint="eastAsia" w:ascii="宋体" w:hAnsi="宋体" w:eastAsia="宋体" w:cs="宋体"/>
          <w:color w:val="auto"/>
          <w:sz w:val="24"/>
          <w:szCs w:val="24"/>
          <w:highlight w:val="none"/>
          <w:lang w:val="en-US" w:eastAsia="zh-CN"/>
        </w:rPr>
        <w:t>机组自安装调试之日起二年</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2、售后服务相关时间要求：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供应商有24小时服务热线，保证在接到故障电话后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小时内</w:t>
      </w:r>
      <w:r>
        <w:rPr>
          <w:rFonts w:hint="eastAsia" w:ascii="宋体" w:hAnsi="宋体" w:eastAsia="宋体" w:cs="宋体"/>
          <w:color w:val="auto"/>
          <w:sz w:val="24"/>
          <w:szCs w:val="24"/>
          <w:lang w:val="en-US" w:eastAsia="zh-CN"/>
        </w:rPr>
        <w:t>确定服务方案</w:t>
      </w:r>
      <w:r>
        <w:rPr>
          <w:rFonts w:hint="eastAsia" w:ascii="宋体" w:hAnsi="宋体" w:eastAsia="宋体" w:cs="宋体"/>
          <w:color w:val="auto"/>
          <w:sz w:val="24"/>
          <w:szCs w:val="24"/>
        </w:rPr>
        <w:t>，并能够</w:t>
      </w:r>
      <w:r>
        <w:rPr>
          <w:rFonts w:hint="eastAsia" w:ascii="宋体" w:hAnsi="宋体" w:eastAsia="宋体" w:cs="宋体"/>
          <w:color w:val="auto"/>
          <w:sz w:val="24"/>
          <w:szCs w:val="24"/>
          <w:lang w:val="en-US" w:eastAsia="zh-CN"/>
        </w:rPr>
        <w:t>保证在最短时间内人员到达现场对故障</w:t>
      </w:r>
      <w:r>
        <w:rPr>
          <w:rFonts w:hint="eastAsia" w:ascii="宋体" w:hAnsi="宋体" w:eastAsia="宋体" w:cs="宋体"/>
          <w:color w:val="auto"/>
          <w:sz w:val="24"/>
          <w:szCs w:val="24"/>
        </w:rPr>
        <w:t>排除。</w:t>
      </w:r>
    </w:p>
    <w:p>
      <w:pPr>
        <w:keepNext w:val="0"/>
        <w:keepLines w:val="0"/>
        <w:pageBreakBefore w:val="0"/>
        <w:widowControl w:val="0"/>
        <w:kinsoku/>
        <w:wordWrap/>
        <w:overflowPunct/>
        <w:topLinePunct w:val="0"/>
        <w:bidi w:val="0"/>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常见故障，非重大故障问题要求在4小时内排除。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20" w:lef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重大故障问题应在普遍认可的合理时间解决，确保24小时内排除。</w:t>
      </w:r>
    </w:p>
    <w:p>
      <w:pPr>
        <w:pStyle w:val="2"/>
        <w:keepNext w:val="0"/>
        <w:keepLines w:val="0"/>
        <w:pageBreakBefore w:val="0"/>
        <w:widowControl w:val="0"/>
        <w:numPr>
          <w:ilvl w:val="0"/>
          <w:numId w:val="0"/>
        </w:numPr>
        <w:kinsoku/>
        <w:wordWrap/>
        <w:overflowPunct/>
        <w:topLinePunct w:val="0"/>
        <w:bidi w:val="0"/>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4、培训：</w:t>
      </w:r>
      <w:r>
        <w:rPr>
          <w:rFonts w:hint="eastAsia" w:ascii="宋体" w:hAnsi="宋体" w:eastAsia="宋体" w:cs="宋体"/>
          <w:color w:val="auto"/>
          <w:sz w:val="24"/>
          <w:szCs w:val="24"/>
          <w:highlight w:val="none"/>
          <w:lang w:val="en-US" w:eastAsia="zh-CN"/>
        </w:rPr>
        <w:t>技术培训操作人员</w:t>
      </w:r>
    </w:p>
    <w:p>
      <w:pPr>
        <w:pStyle w:val="3"/>
        <w:numPr>
          <w:ilvl w:val="0"/>
          <w:numId w:val="0"/>
        </w:numPr>
        <w:ind w:leftChars="0"/>
        <w:rPr>
          <w:rFonts w:hint="default"/>
          <w:b/>
          <w:bCs/>
          <w:sz w:val="28"/>
          <w:szCs w:val="28"/>
          <w:lang w:val="en-US" w:eastAsia="zh-CN"/>
        </w:rPr>
      </w:pPr>
      <w:r>
        <w:rPr>
          <w:rFonts w:hint="eastAsia"/>
          <w:b/>
          <w:bCs/>
          <w:sz w:val="28"/>
          <w:szCs w:val="28"/>
          <w:lang w:val="en-US" w:eastAsia="zh-CN"/>
        </w:rPr>
        <w:t>二、供应商所投设备须为同一厂家生产。</w:t>
      </w:r>
    </w:p>
    <w:p>
      <w:pPr>
        <w:numPr>
          <w:ilvl w:val="0"/>
          <w:numId w:val="0"/>
        </w:numPr>
        <w:autoSpaceDE w:val="0"/>
        <w:autoSpaceDN w:val="0"/>
        <w:adjustRightInd w:val="0"/>
        <w:ind w:leftChars="0"/>
        <w:jc w:val="both"/>
        <w:rPr>
          <w:rFonts w:hint="default" w:cs="Times New Roman" w:asciiTheme="minorEastAsia" w:hAnsiTheme="minorEastAsia" w:eastAsiaTheme="minorEastAsia"/>
          <w:b/>
          <w:color w:val="auto"/>
          <w:sz w:val="28"/>
          <w:szCs w:val="28"/>
          <w:lang w:val="en-US" w:eastAsia="zh-CN" w:bidi="ar-SA"/>
        </w:rPr>
      </w:pPr>
      <w:r>
        <w:rPr>
          <w:rFonts w:hint="eastAsia" w:cs="Times New Roman" w:asciiTheme="minorEastAsia" w:hAnsiTheme="minorEastAsia" w:eastAsiaTheme="minorEastAsia"/>
          <w:b/>
          <w:color w:val="auto"/>
          <w:sz w:val="28"/>
          <w:szCs w:val="28"/>
          <w:lang w:val="en-US" w:eastAsia="zh-CN" w:bidi="ar-SA"/>
        </w:rPr>
        <w:t>三、1000KW发电机组1套、潜水泵2台、抽水泵2台技术参数</w:t>
      </w:r>
    </w:p>
    <w:tbl>
      <w:tblPr>
        <w:tblStyle w:val="40"/>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
        <w:gridCol w:w="2140"/>
        <w:gridCol w:w="5328"/>
        <w:gridCol w:w="86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60" w:type="dxa"/>
            <w:gridSpan w:val="2"/>
            <w:vAlign w:val="center"/>
          </w:tcPr>
          <w:p>
            <w:pPr>
              <w:autoSpaceDE w:val="0"/>
              <w:autoSpaceDN w:val="0"/>
              <w:adjustRightInd w:val="0"/>
              <w:jc w:val="center"/>
              <w:rPr>
                <w:rFonts w:eastAsia="Times New Roman"/>
                <w:b/>
              </w:rPr>
            </w:pPr>
            <w:r>
              <w:rPr>
                <w:rFonts w:hint="eastAsia" w:eastAsia="Times New Roman"/>
                <w:b/>
              </w:rPr>
              <w:t>序号</w:t>
            </w:r>
          </w:p>
        </w:tc>
        <w:tc>
          <w:tcPr>
            <w:tcW w:w="2140" w:type="dxa"/>
            <w:vAlign w:val="center"/>
          </w:tcPr>
          <w:p>
            <w:pPr>
              <w:autoSpaceDE w:val="0"/>
              <w:autoSpaceDN w:val="0"/>
              <w:adjustRightInd w:val="0"/>
              <w:jc w:val="center"/>
              <w:rPr>
                <w:rFonts w:eastAsia="Times New Roman"/>
                <w:b/>
              </w:rPr>
            </w:pPr>
            <w:r>
              <w:rPr>
                <w:rFonts w:hint="eastAsia" w:eastAsia="Times New Roman"/>
                <w:b/>
              </w:rPr>
              <w:t>指标名称</w:t>
            </w:r>
          </w:p>
        </w:tc>
        <w:tc>
          <w:tcPr>
            <w:tcW w:w="5328" w:type="dxa"/>
            <w:vAlign w:val="center"/>
          </w:tcPr>
          <w:p>
            <w:pPr>
              <w:autoSpaceDE w:val="0"/>
              <w:autoSpaceDN w:val="0"/>
              <w:adjustRightInd w:val="0"/>
              <w:jc w:val="center"/>
              <w:rPr>
                <w:rFonts w:eastAsia="Times New Roman"/>
                <w:b/>
              </w:rPr>
            </w:pPr>
            <w:r>
              <w:rPr>
                <w:rFonts w:hint="eastAsia" w:eastAsia="Times New Roman"/>
                <w:b/>
              </w:rPr>
              <w:t>技术参数要求</w:t>
            </w:r>
          </w:p>
        </w:tc>
        <w:tc>
          <w:tcPr>
            <w:tcW w:w="868" w:type="dxa"/>
            <w:vAlign w:val="center"/>
          </w:tcPr>
          <w:p>
            <w:pPr>
              <w:autoSpaceDE w:val="0"/>
              <w:autoSpaceDN w:val="0"/>
              <w:adjustRightInd w:val="0"/>
              <w:jc w:val="center"/>
              <w:rPr>
                <w:rFonts w:hint="eastAsia" w:eastAsia="宋体"/>
                <w:b/>
                <w:lang w:eastAsia="zh-CN"/>
              </w:rPr>
            </w:pPr>
            <w:r>
              <w:rPr>
                <w:rFonts w:hint="eastAsia" w:eastAsia="宋体"/>
                <w:b/>
                <w:lang w:val="en-US" w:eastAsia="zh-CN"/>
              </w:rPr>
              <w:t>数量</w:t>
            </w:r>
          </w:p>
        </w:tc>
        <w:tc>
          <w:tcPr>
            <w:tcW w:w="977" w:type="dxa"/>
            <w:vAlign w:val="center"/>
          </w:tcPr>
          <w:p>
            <w:pPr>
              <w:autoSpaceDE w:val="0"/>
              <w:autoSpaceDN w:val="0"/>
              <w:adjustRightInd w:val="0"/>
              <w:jc w:val="center"/>
              <w:rPr>
                <w:rFonts w:hint="eastAsia" w:eastAsia="宋体"/>
                <w:b/>
                <w:lang w:val="en-US" w:eastAsia="zh-CN"/>
              </w:rPr>
            </w:pPr>
            <w:r>
              <w:rPr>
                <w:rFonts w:hint="eastAsia" w:eastAsia="宋体"/>
                <w:b/>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gridSpan w:val="2"/>
            <w:vAlign w:val="center"/>
          </w:tcPr>
          <w:p>
            <w:pPr>
              <w:autoSpaceDE w:val="0"/>
              <w:autoSpaceDN w:val="0"/>
              <w:adjustRightInd w:val="0"/>
              <w:jc w:val="center"/>
              <w:rPr>
                <w:rFonts w:eastAsia="Times New Roman"/>
                <w:b/>
              </w:rPr>
            </w:pPr>
            <w:r>
              <w:rPr>
                <w:rFonts w:hint="eastAsia" w:eastAsia="Times New Roman"/>
                <w:b/>
              </w:rPr>
              <w:t>一</w:t>
            </w:r>
          </w:p>
        </w:tc>
        <w:tc>
          <w:tcPr>
            <w:tcW w:w="7468" w:type="dxa"/>
            <w:gridSpan w:val="2"/>
            <w:vAlign w:val="center"/>
          </w:tcPr>
          <w:p>
            <w:pPr>
              <w:autoSpaceDE w:val="0"/>
              <w:autoSpaceDN w:val="0"/>
              <w:adjustRightInd w:val="0"/>
              <w:jc w:val="center"/>
              <w:rPr>
                <w:rFonts w:eastAsia="Times New Roman"/>
                <w:b/>
              </w:rPr>
            </w:pPr>
            <w:r>
              <w:rPr>
                <w:rFonts w:hint="eastAsia" w:eastAsia="Times New Roman"/>
                <w:b/>
                <w:lang w:val="en-US" w:eastAsia="zh-CN"/>
              </w:rPr>
              <w:t>1000KW发电机</w:t>
            </w:r>
            <w:r>
              <w:rPr>
                <w:rFonts w:hint="eastAsia" w:eastAsia="Times New Roman"/>
                <w:b/>
              </w:rPr>
              <w:t>整机</w:t>
            </w:r>
          </w:p>
        </w:tc>
        <w:tc>
          <w:tcPr>
            <w:tcW w:w="868" w:type="dxa"/>
            <w:vMerge w:val="restart"/>
            <w:vAlign w:val="center"/>
          </w:tcPr>
          <w:p>
            <w:pPr>
              <w:autoSpaceDE w:val="0"/>
              <w:autoSpaceDN w:val="0"/>
              <w:adjustRightInd w:val="0"/>
              <w:jc w:val="center"/>
              <w:rPr>
                <w:rFonts w:hint="eastAsia" w:eastAsia="宋体"/>
                <w:lang w:val="en-US" w:eastAsia="zh-CN"/>
              </w:rPr>
            </w:pPr>
            <w:r>
              <w:rPr>
                <w:rFonts w:hint="eastAsia" w:eastAsia="宋体"/>
                <w:lang w:val="en-US" w:eastAsia="zh-CN"/>
              </w:rPr>
              <w:t>1</w:t>
            </w:r>
          </w:p>
        </w:tc>
        <w:tc>
          <w:tcPr>
            <w:tcW w:w="977" w:type="dxa"/>
            <w:vMerge w:val="restart"/>
            <w:vAlign w:val="center"/>
          </w:tcPr>
          <w:p>
            <w:pPr>
              <w:autoSpaceDE w:val="0"/>
              <w:autoSpaceDN w:val="0"/>
              <w:adjustRightInd w:val="0"/>
              <w:jc w:val="center"/>
              <w:rPr>
                <w:rFonts w:hint="default" w:eastAsia="宋体"/>
                <w:lang w:val="en-US" w:eastAsia="zh-CN"/>
              </w:rPr>
            </w:pPr>
            <w:r>
              <w:rPr>
                <w:rFonts w:hint="eastAsia" w:eastAsia="宋体"/>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restart"/>
            <w:vAlign w:val="center"/>
          </w:tcPr>
          <w:p>
            <w:pPr>
              <w:autoSpaceDE w:val="0"/>
              <w:autoSpaceDN w:val="0"/>
              <w:adjustRightInd w:val="0"/>
              <w:jc w:val="center"/>
              <w:rPr>
                <w:rFonts w:eastAsia="Times New Roman"/>
              </w:rPr>
            </w:pPr>
            <w:r>
              <w:rPr>
                <w:rFonts w:hint="eastAsia" w:eastAsia="Times New Roman"/>
              </w:rPr>
              <w:t>1</w:t>
            </w:r>
          </w:p>
        </w:tc>
        <w:tc>
          <w:tcPr>
            <w:tcW w:w="2140" w:type="dxa"/>
            <w:vMerge w:val="restart"/>
            <w:vAlign w:val="center"/>
          </w:tcPr>
          <w:p>
            <w:pPr>
              <w:autoSpaceDE w:val="0"/>
              <w:autoSpaceDN w:val="0"/>
              <w:adjustRightInd w:val="0"/>
              <w:jc w:val="center"/>
              <w:rPr>
                <w:rFonts w:eastAsia="Times New Roman"/>
              </w:rPr>
            </w:pPr>
            <w:r>
              <w:rPr>
                <w:rFonts w:hint="eastAsia" w:eastAsia="Times New Roman"/>
              </w:rPr>
              <w:t>工作环境</w:t>
            </w:r>
          </w:p>
        </w:tc>
        <w:tc>
          <w:tcPr>
            <w:tcW w:w="5328" w:type="dxa"/>
            <w:vAlign w:val="center"/>
          </w:tcPr>
          <w:p>
            <w:pPr>
              <w:autoSpaceDE w:val="0"/>
              <w:autoSpaceDN w:val="0"/>
              <w:adjustRightInd w:val="0"/>
              <w:rPr>
                <w:rFonts w:eastAsia="Times New Roman"/>
              </w:rPr>
            </w:pPr>
            <w:r>
              <w:rPr>
                <w:rFonts w:hint="eastAsia" w:eastAsia="Times New Roman"/>
              </w:rPr>
              <w:t>（1）海拔高度≤</w:t>
            </w:r>
            <w:r>
              <w:rPr>
                <w:rFonts w:hint="eastAsia"/>
                <w:lang w:val="en-US" w:eastAsia="zh-CN"/>
              </w:rPr>
              <w:t>1</w:t>
            </w:r>
            <w:r>
              <w:rPr>
                <w:rFonts w:hint="eastAsia" w:eastAsia="Times New Roman"/>
              </w:rPr>
              <w:t>000米</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（2）环境温度-</w:t>
            </w:r>
            <w:r>
              <w:rPr>
                <w:rFonts w:hint="eastAsia"/>
                <w:lang w:val="en-US" w:eastAsia="zh-CN"/>
              </w:rPr>
              <w:t>20</w:t>
            </w:r>
            <w:r>
              <w:rPr>
                <w:rFonts w:hint="eastAsia" w:eastAsia="Times New Roman"/>
              </w:rPr>
              <w:t>℃—40℃</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（3）最大相对湿度</w:t>
            </w:r>
            <w:r>
              <w:rPr>
                <w:rFonts w:hint="eastAsia"/>
                <w:lang w:val="en-US" w:eastAsia="zh-CN"/>
              </w:rPr>
              <w:t>85</w:t>
            </w:r>
            <w:r>
              <w:rPr>
                <w:rFonts w:hint="eastAsia" w:eastAsia="Times New Roman"/>
              </w:rPr>
              <w:t>%</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restart"/>
            <w:vAlign w:val="center"/>
          </w:tcPr>
          <w:p>
            <w:pPr>
              <w:autoSpaceDE w:val="0"/>
              <w:autoSpaceDN w:val="0"/>
              <w:adjustRightInd w:val="0"/>
              <w:jc w:val="center"/>
              <w:rPr>
                <w:rFonts w:eastAsia="Times New Roman"/>
              </w:rPr>
            </w:pPr>
            <w:r>
              <w:rPr>
                <w:rFonts w:hint="eastAsia" w:eastAsia="Times New Roman"/>
              </w:rPr>
              <w:t>2</w:t>
            </w:r>
          </w:p>
        </w:tc>
        <w:tc>
          <w:tcPr>
            <w:tcW w:w="2140" w:type="dxa"/>
            <w:vMerge w:val="restart"/>
            <w:vAlign w:val="center"/>
          </w:tcPr>
          <w:p>
            <w:pPr>
              <w:autoSpaceDE w:val="0"/>
              <w:autoSpaceDN w:val="0"/>
              <w:adjustRightInd w:val="0"/>
              <w:jc w:val="center"/>
              <w:rPr>
                <w:rFonts w:eastAsia="Times New Roman"/>
              </w:rPr>
            </w:pPr>
            <w:r>
              <w:rPr>
                <w:rFonts w:hint="eastAsia" w:eastAsia="Times New Roman"/>
              </w:rPr>
              <w:t>机组工作相关参数</w:t>
            </w:r>
          </w:p>
        </w:tc>
        <w:tc>
          <w:tcPr>
            <w:tcW w:w="5328" w:type="dxa"/>
            <w:vAlign w:val="center"/>
          </w:tcPr>
          <w:p>
            <w:pPr>
              <w:autoSpaceDE w:val="0"/>
              <w:autoSpaceDN w:val="0"/>
              <w:adjustRightInd w:val="0"/>
              <w:rPr>
                <w:rFonts w:eastAsia="Times New Roman"/>
              </w:rPr>
            </w:pPr>
            <w:r>
              <w:rPr>
                <w:rFonts w:hint="eastAsia" w:eastAsia="Times New Roman"/>
              </w:rPr>
              <w:t>（1）额定电压：AC230V/400V（负载电压AC220V/380V），三相</w:t>
            </w:r>
            <w:r>
              <w:rPr>
                <w:rFonts w:hint="eastAsia"/>
                <w:lang w:val="en-US" w:eastAsia="zh-CN"/>
              </w:rPr>
              <w:t>四</w:t>
            </w:r>
            <w:r>
              <w:rPr>
                <w:rFonts w:hint="eastAsia" w:eastAsia="Times New Roman"/>
              </w:rPr>
              <w:t>线</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（2）稳态电压调整率≤1%</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（3）瞬态电压调整率：+20%~-15%</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（4）空载线电压波形正弦畸变率≤5%</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（5）额定频率：50Hz</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（6）额定转速：1500r/min</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（7）功率因数：0.8滞后</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（8）空载电压调节范围：额定电压的95~105%。</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（9）连续工作时间：不小于8小时</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hint="eastAsia" w:eastAsia="宋体"/>
                <w:lang w:val="en-US" w:eastAsia="zh-CN"/>
              </w:rPr>
            </w:pPr>
            <w:r>
              <w:rPr>
                <w:rFonts w:hint="eastAsia" w:eastAsia="Times New Roman"/>
              </w:rPr>
              <w:t>（10）防护等级：不小于IP2</w:t>
            </w:r>
            <w:r>
              <w:rPr>
                <w:rFonts w:hint="eastAsia"/>
                <w:lang w:val="en-US" w:eastAsia="zh-CN"/>
              </w:rPr>
              <w:t>3</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（11）绝缘等级：H级</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hint="eastAsia" w:eastAsia="Times New Roman"/>
              </w:rPr>
            </w:pPr>
          </w:p>
        </w:tc>
        <w:tc>
          <w:tcPr>
            <w:tcW w:w="2140" w:type="dxa"/>
            <w:vMerge w:val="continue"/>
            <w:vAlign w:val="center"/>
          </w:tcPr>
          <w:p>
            <w:pPr>
              <w:autoSpaceDE w:val="0"/>
              <w:autoSpaceDN w:val="0"/>
              <w:adjustRightInd w:val="0"/>
              <w:jc w:val="center"/>
              <w:rPr>
                <w:rFonts w:hint="eastAsia" w:eastAsia="Times New Roman"/>
              </w:rPr>
            </w:pPr>
          </w:p>
        </w:tc>
        <w:tc>
          <w:tcPr>
            <w:tcW w:w="5328" w:type="dxa"/>
            <w:vAlign w:val="center"/>
          </w:tcPr>
          <w:p>
            <w:pPr>
              <w:autoSpaceDE w:val="0"/>
              <w:autoSpaceDN w:val="0"/>
              <w:adjustRightInd w:val="0"/>
              <w:rPr>
                <w:rFonts w:hint="eastAsia" w:ascii="宋体" w:hAnsi="宋体" w:eastAsia="Times New Roman" w:cs="宋体"/>
                <w:sz w:val="24"/>
                <w:szCs w:val="24"/>
                <w:lang w:val="en-US" w:eastAsia="zh-CN" w:bidi="ar-SA"/>
              </w:rPr>
            </w:pPr>
            <w:r>
              <w:rPr>
                <w:rFonts w:hint="eastAsia" w:eastAsia="Times New Roman"/>
              </w:rPr>
              <w:t>（</w:t>
            </w:r>
            <w:r>
              <w:rPr>
                <w:rFonts w:hint="eastAsia"/>
                <w:lang w:val="en-US" w:eastAsia="zh-CN"/>
              </w:rPr>
              <w:t>1</w:t>
            </w:r>
            <w:r>
              <w:rPr>
                <w:rFonts w:hint="eastAsia" w:eastAsia="Times New Roman"/>
              </w:rPr>
              <w:t>）市电与机组电源之间应有可靠的电气和机械联锁</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hint="eastAsia" w:eastAsia="Times New Roman"/>
              </w:rPr>
            </w:pPr>
          </w:p>
        </w:tc>
        <w:tc>
          <w:tcPr>
            <w:tcW w:w="2140" w:type="dxa"/>
            <w:vMerge w:val="continue"/>
            <w:vAlign w:val="center"/>
          </w:tcPr>
          <w:p>
            <w:pPr>
              <w:autoSpaceDE w:val="0"/>
              <w:autoSpaceDN w:val="0"/>
              <w:adjustRightInd w:val="0"/>
              <w:jc w:val="center"/>
              <w:rPr>
                <w:rFonts w:hint="eastAsia" w:eastAsia="Times New Roman"/>
              </w:rPr>
            </w:pPr>
          </w:p>
        </w:tc>
        <w:tc>
          <w:tcPr>
            <w:tcW w:w="5328" w:type="dxa"/>
            <w:vAlign w:val="center"/>
          </w:tcPr>
          <w:p>
            <w:pPr>
              <w:autoSpaceDE w:val="0"/>
              <w:autoSpaceDN w:val="0"/>
              <w:adjustRightInd w:val="0"/>
              <w:rPr>
                <w:rFonts w:hint="eastAsia" w:ascii="宋体" w:hAnsi="宋体" w:eastAsia="宋体" w:cs="宋体"/>
                <w:sz w:val="24"/>
                <w:szCs w:val="24"/>
                <w:lang w:val="en-US" w:eastAsia="zh-CN" w:bidi="ar-SA"/>
              </w:rPr>
            </w:pPr>
            <w:r>
              <w:rPr>
                <w:rFonts w:hint="eastAsia" w:eastAsia="Times New Roman"/>
              </w:rPr>
              <w:t>（</w:t>
            </w:r>
            <w:r>
              <w:rPr>
                <w:rFonts w:hint="eastAsia"/>
                <w:lang w:val="en-US" w:eastAsia="zh-CN"/>
              </w:rPr>
              <w:t>2</w:t>
            </w:r>
            <w:r>
              <w:rPr>
                <w:rFonts w:hint="eastAsia" w:eastAsia="Times New Roman"/>
              </w:rPr>
              <w:t>）配备</w:t>
            </w:r>
            <w:r>
              <w:rPr>
                <w:rFonts w:hint="eastAsia"/>
                <w:lang w:val="en-US" w:eastAsia="zh-CN"/>
              </w:rPr>
              <w:t>ATS自切换开关</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hint="eastAsia" w:eastAsia="Times New Roman"/>
              </w:rPr>
            </w:pPr>
          </w:p>
        </w:tc>
        <w:tc>
          <w:tcPr>
            <w:tcW w:w="2140" w:type="dxa"/>
            <w:vMerge w:val="continue"/>
            <w:vAlign w:val="center"/>
          </w:tcPr>
          <w:p>
            <w:pPr>
              <w:autoSpaceDE w:val="0"/>
              <w:autoSpaceDN w:val="0"/>
              <w:adjustRightInd w:val="0"/>
              <w:jc w:val="center"/>
              <w:rPr>
                <w:rFonts w:hint="eastAsia" w:eastAsia="Times New Roman"/>
              </w:rPr>
            </w:pPr>
          </w:p>
        </w:tc>
        <w:tc>
          <w:tcPr>
            <w:tcW w:w="5328" w:type="dxa"/>
            <w:vAlign w:val="center"/>
          </w:tcPr>
          <w:p>
            <w:pPr>
              <w:autoSpaceDE w:val="0"/>
              <w:autoSpaceDN w:val="0"/>
              <w:adjustRightInd w:val="0"/>
              <w:rPr>
                <w:rFonts w:hint="eastAsia" w:ascii="宋体" w:hAnsi="宋体" w:eastAsia="Times New Roman" w:cs="宋体"/>
                <w:sz w:val="24"/>
                <w:szCs w:val="24"/>
                <w:lang w:val="en-US" w:eastAsia="zh-CN" w:bidi="ar-SA"/>
              </w:rPr>
            </w:pPr>
            <w:r>
              <w:rPr>
                <w:rFonts w:hint="eastAsia" w:eastAsia="Times New Roman"/>
              </w:rPr>
              <w:t>（</w:t>
            </w:r>
            <w:r>
              <w:rPr>
                <w:rFonts w:hint="eastAsia"/>
                <w:lang w:val="en-US" w:eastAsia="zh-CN"/>
              </w:rPr>
              <w:t>3</w:t>
            </w:r>
            <w:r>
              <w:rPr>
                <w:rFonts w:hint="eastAsia" w:eastAsia="Times New Roman"/>
              </w:rPr>
              <w:t>）设备应有抑制无线干扰措施，满足GB9254、CIS—PR22或BS800标准要求</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w:t>
            </w:r>
            <w:r>
              <w:rPr>
                <w:rFonts w:hint="eastAsia"/>
                <w:lang w:val="en-US" w:eastAsia="zh-CN"/>
              </w:rPr>
              <w:t>4</w:t>
            </w:r>
            <w:r>
              <w:rPr>
                <w:rFonts w:hint="eastAsia" w:eastAsia="Times New Roman"/>
              </w:rPr>
              <w:t>）机组应设有良好的专用减震装置，消除发电机组的振动和钢化传导的98%，满载运行时，其最大振幅不大于0.5mm</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w:t>
            </w:r>
            <w:r>
              <w:rPr>
                <w:rFonts w:hint="eastAsia"/>
                <w:lang w:val="en-US" w:eastAsia="zh-CN"/>
              </w:rPr>
              <w:t>5</w:t>
            </w:r>
            <w:r>
              <w:rPr>
                <w:rFonts w:hint="eastAsia" w:eastAsia="Times New Roman"/>
              </w:rPr>
              <w:t>）机组设有良好的抗震装置，满足工程耐地震8度裂度的要求</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w:t>
            </w:r>
            <w:r>
              <w:rPr>
                <w:rFonts w:hint="eastAsia"/>
                <w:lang w:val="en-US" w:eastAsia="zh-CN"/>
              </w:rPr>
              <w:t>6</w:t>
            </w:r>
            <w:r>
              <w:rPr>
                <w:rFonts w:hint="eastAsia" w:eastAsia="Times New Roman"/>
              </w:rPr>
              <w:t>）要求安装消声降噪装置，机组的排烟、供油设施及回油管线均应符合国家环保部门的噪声强度要求；距离机组1m处小于95dB</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hint="default" w:eastAsia="宋体"/>
                <w:lang w:val="en-US" w:eastAsia="zh-CN"/>
              </w:rPr>
            </w:pPr>
            <w:r>
              <w:rPr>
                <w:rFonts w:hint="eastAsia" w:eastAsia="Times New Roman"/>
              </w:rPr>
              <w:t>（</w:t>
            </w:r>
            <w:r>
              <w:rPr>
                <w:rFonts w:hint="eastAsia"/>
                <w:lang w:val="en-US" w:eastAsia="zh-CN"/>
              </w:rPr>
              <w:t>7</w:t>
            </w:r>
            <w:r>
              <w:rPr>
                <w:rFonts w:hint="eastAsia" w:eastAsia="Times New Roman"/>
              </w:rPr>
              <w:t>）</w:t>
            </w:r>
            <w:r>
              <w:rPr>
                <w:rFonts w:hint="eastAsia" w:eastAsia="Times New Roman"/>
                <w:highlight w:val="none"/>
              </w:rPr>
              <w:t>机组应能使用招标人国内生产的燃油和机油，投标书中应注明可使用和最合适的油料标号及其冬季防冻措施</w:t>
            </w:r>
            <w:r>
              <w:rPr>
                <w:rFonts w:hint="eastAsia"/>
                <w:highlight w:val="none"/>
                <w:lang w:val="en-US" w:eastAsia="zh-CN"/>
              </w:rPr>
              <w:t>-----0号柴油、零下35度防冻液</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w:t>
            </w:r>
            <w:r>
              <w:rPr>
                <w:rFonts w:hint="eastAsia"/>
                <w:lang w:val="en-US" w:eastAsia="zh-CN"/>
              </w:rPr>
              <w:t>8</w:t>
            </w:r>
            <w:r>
              <w:rPr>
                <w:rFonts w:hint="eastAsia" w:eastAsia="Times New Roman"/>
              </w:rPr>
              <w:t>）</w:t>
            </w:r>
            <w:r>
              <w:rPr>
                <w:rFonts w:hint="eastAsia" w:eastAsia="Times New Roman"/>
                <w:highlight w:val="none"/>
              </w:rPr>
              <w:t>机组冷却系统需加防腐措施</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w:t>
            </w:r>
            <w:r>
              <w:rPr>
                <w:rFonts w:hint="eastAsia"/>
                <w:lang w:val="en-US" w:eastAsia="zh-CN"/>
              </w:rPr>
              <w:t>9</w:t>
            </w:r>
            <w:r>
              <w:rPr>
                <w:rFonts w:hint="eastAsia" w:eastAsia="Times New Roman"/>
              </w:rPr>
              <w:t>）整个机组系统不能有漏水、漏油、漏气等现象</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w:t>
            </w:r>
            <w:r>
              <w:rPr>
                <w:rFonts w:hint="eastAsia" w:eastAsia="宋体"/>
                <w:lang w:val="en-US" w:eastAsia="zh-CN"/>
              </w:rPr>
              <w:t>10</w:t>
            </w:r>
            <w:r>
              <w:rPr>
                <w:rFonts w:hint="eastAsia" w:eastAsia="Times New Roman"/>
              </w:rPr>
              <w:t>）机组的可靠性：平均故障间隔不低于2000h</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（1</w:t>
            </w:r>
            <w:r>
              <w:rPr>
                <w:rFonts w:hint="eastAsia"/>
                <w:lang w:val="en-US" w:eastAsia="zh-CN"/>
              </w:rPr>
              <w:t>1</w:t>
            </w:r>
            <w:r>
              <w:rPr>
                <w:rFonts w:hint="eastAsia" w:eastAsia="Times New Roman"/>
              </w:rPr>
              <w:t>）</w:t>
            </w:r>
            <w:r>
              <w:rPr>
                <w:rFonts w:hint="eastAsia" w:eastAsia="Times New Roman"/>
                <w:highlight w:val="none"/>
              </w:rPr>
              <w:t>机组采用的免维护直流蓄电池起动</w:t>
            </w:r>
            <w:r>
              <w:rPr>
                <w:rFonts w:hint="eastAsia" w:eastAsia="Times New Roman"/>
              </w:rPr>
              <w:t>，起动电源和控制电源共用一组蓄电池，机组自动对启动蓄电池充电；机组可以手动起动、停机，亦可自动起动停机；机组能在需方环境中以额定功率连续运行</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Align w:val="center"/>
          </w:tcPr>
          <w:p>
            <w:pPr>
              <w:autoSpaceDE w:val="0"/>
              <w:autoSpaceDN w:val="0"/>
              <w:adjustRightInd w:val="0"/>
              <w:jc w:val="center"/>
              <w:rPr>
                <w:rFonts w:eastAsia="Times New Roman"/>
                <w:b/>
              </w:rPr>
            </w:pPr>
          </w:p>
        </w:tc>
        <w:tc>
          <w:tcPr>
            <w:tcW w:w="7468" w:type="dxa"/>
            <w:gridSpan w:val="2"/>
            <w:vAlign w:val="center"/>
          </w:tcPr>
          <w:p>
            <w:pPr>
              <w:autoSpaceDE w:val="0"/>
              <w:autoSpaceDN w:val="0"/>
              <w:adjustRightInd w:val="0"/>
              <w:jc w:val="center"/>
              <w:rPr>
                <w:rFonts w:eastAsia="Times New Roman"/>
                <w:b/>
              </w:rPr>
            </w:pPr>
            <w:r>
              <w:rPr>
                <w:rFonts w:hint="eastAsia" w:eastAsia="Times New Roman"/>
                <w:b/>
              </w:rPr>
              <w:t>发</w:t>
            </w:r>
            <w:r>
              <w:rPr>
                <w:rFonts w:hint="eastAsia" w:eastAsia="宋体"/>
                <w:b/>
                <w:lang w:val="en-US" w:eastAsia="zh-CN"/>
              </w:rPr>
              <w:t>电</w:t>
            </w:r>
            <w:r>
              <w:rPr>
                <w:rFonts w:hint="eastAsia" w:eastAsia="Times New Roman"/>
                <w:b/>
              </w:rPr>
              <w:t>机组</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restart"/>
            <w:vAlign w:val="center"/>
          </w:tcPr>
          <w:p>
            <w:pPr>
              <w:autoSpaceDE w:val="0"/>
              <w:autoSpaceDN w:val="0"/>
              <w:adjustRightInd w:val="0"/>
              <w:jc w:val="center"/>
              <w:rPr>
                <w:rFonts w:eastAsia="Times New Roman"/>
              </w:rPr>
            </w:pPr>
            <w:r>
              <w:rPr>
                <w:rFonts w:hint="eastAsia" w:eastAsia="Times New Roman"/>
              </w:rPr>
              <w:t>1</w:t>
            </w:r>
          </w:p>
        </w:tc>
        <w:tc>
          <w:tcPr>
            <w:tcW w:w="2140" w:type="dxa"/>
            <w:vMerge w:val="restart"/>
            <w:vAlign w:val="center"/>
          </w:tcPr>
          <w:p>
            <w:pPr>
              <w:autoSpaceDE w:val="0"/>
              <w:autoSpaceDN w:val="0"/>
              <w:adjustRightInd w:val="0"/>
              <w:jc w:val="center"/>
              <w:rPr>
                <w:rFonts w:hint="eastAsia" w:eastAsia="Times New Roman"/>
                <w:color w:val="auto"/>
                <w:highlight w:val="none"/>
              </w:rPr>
            </w:pPr>
            <w:r>
              <w:rPr>
                <w:rFonts w:hint="eastAsia" w:eastAsia="Times New Roman"/>
                <w:color w:val="auto"/>
                <w:highlight w:val="none"/>
              </w:rPr>
              <w:t>要求</w:t>
            </w:r>
          </w:p>
          <w:p>
            <w:pPr>
              <w:autoSpaceDE w:val="0"/>
              <w:autoSpaceDN w:val="0"/>
              <w:adjustRightInd w:val="0"/>
              <w:jc w:val="center"/>
              <w:rPr>
                <w:rFonts w:hint="eastAsia" w:eastAsia="宋体"/>
                <w:lang w:eastAsia="zh-CN"/>
              </w:rPr>
            </w:pPr>
            <w:r>
              <w:rPr>
                <w:rFonts w:hint="eastAsia" w:eastAsia="宋体"/>
                <w:color w:val="000000"/>
                <w:lang w:val="en-US" w:eastAsia="zh-CN"/>
              </w:rPr>
              <w:t xml:space="preserve"> </w:t>
            </w:r>
          </w:p>
        </w:tc>
        <w:tc>
          <w:tcPr>
            <w:tcW w:w="5328" w:type="dxa"/>
            <w:vAlign w:val="center"/>
          </w:tcPr>
          <w:p>
            <w:pPr>
              <w:autoSpaceDE w:val="0"/>
              <w:autoSpaceDN w:val="0"/>
              <w:adjustRightInd w:val="0"/>
              <w:rPr>
                <w:rFonts w:eastAsia="Times New Roman"/>
              </w:rPr>
            </w:pPr>
            <w:r>
              <w:rPr>
                <w:rFonts w:hint="eastAsia" w:eastAsia="Times New Roman"/>
              </w:rPr>
              <w:t>（1）技术类型：四冲程、涡轮增压</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color w:val="000000"/>
              </w:rPr>
            </w:pPr>
          </w:p>
        </w:tc>
        <w:tc>
          <w:tcPr>
            <w:tcW w:w="5328" w:type="dxa"/>
            <w:vAlign w:val="center"/>
          </w:tcPr>
          <w:p>
            <w:pPr>
              <w:autoSpaceDE w:val="0"/>
              <w:autoSpaceDN w:val="0"/>
              <w:adjustRightInd w:val="0"/>
              <w:rPr>
                <w:rFonts w:hint="default" w:eastAsia="宋体"/>
                <w:lang w:val="en-US" w:eastAsia="zh-CN"/>
              </w:rPr>
            </w:pPr>
            <w:r>
              <w:rPr>
                <w:rFonts w:hint="eastAsia" w:eastAsia="Times New Roman"/>
              </w:rPr>
              <w:t>（2）额定</w:t>
            </w:r>
            <w:r>
              <w:rPr>
                <w:rFonts w:hint="eastAsia"/>
                <w:lang w:val="en-US" w:eastAsia="zh-CN"/>
              </w:rPr>
              <w:t>/备用</w:t>
            </w:r>
            <w:r>
              <w:rPr>
                <w:rFonts w:hint="eastAsia" w:eastAsia="Times New Roman"/>
              </w:rPr>
              <w:t>功率：</w:t>
            </w:r>
            <w:r>
              <w:rPr>
                <w:rFonts w:hint="eastAsia"/>
                <w:lang w:val="en-US" w:eastAsia="zh-CN"/>
              </w:rPr>
              <w:t>900KW/1000KW</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（3）额定转速：1500r/min，正常旋转方向为逆时针旋转，应装设电子调速稳速装置</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（3）冷却系统：强制水冷循环，可满足环境40℃的要求</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hint="default" w:eastAsia="宋体"/>
                <w:lang w:val="en-US" w:eastAsia="zh-CN"/>
              </w:rPr>
            </w:pPr>
            <w:r>
              <w:rPr>
                <w:rFonts w:hint="eastAsia" w:eastAsia="Times New Roman"/>
              </w:rPr>
              <w:t>（4）进气方式：</w:t>
            </w:r>
            <w:r>
              <w:rPr>
                <w:rFonts w:hint="eastAsia"/>
                <w:lang w:val="en-US" w:eastAsia="zh-CN"/>
              </w:rPr>
              <w:t>增压中冷</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hint="default" w:eastAsia="宋体"/>
                <w:lang w:val="en-US" w:eastAsia="zh-CN"/>
              </w:rPr>
            </w:pPr>
            <w:r>
              <w:rPr>
                <w:rFonts w:hint="eastAsia" w:eastAsia="Times New Roman"/>
              </w:rPr>
              <w:t>（5）</w:t>
            </w:r>
            <w:r>
              <w:rPr>
                <w:rFonts w:hint="eastAsia" w:eastAsia="Times New Roman"/>
                <w:highlight w:val="none"/>
              </w:rPr>
              <w:t>柴油机缸数：</w:t>
            </w:r>
            <w:r>
              <w:rPr>
                <w:rFonts w:hint="eastAsia"/>
                <w:highlight w:val="none"/>
                <w:lang w:val="en-US" w:eastAsia="zh-CN"/>
              </w:rPr>
              <w:t>12</w:t>
            </w:r>
            <w:r>
              <w:rPr>
                <w:rFonts w:hint="eastAsia" w:eastAsia="Times New Roman"/>
                <w:highlight w:val="none"/>
              </w:rPr>
              <w:t>缸</w:t>
            </w:r>
            <w:r>
              <w:rPr>
                <w:rFonts w:hint="eastAsia"/>
                <w:highlight w:val="none"/>
                <w:lang w:val="en-US" w:eastAsia="zh-CN"/>
              </w:rPr>
              <w:t xml:space="preserve"> ， 60°，V型</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（6）</w:t>
            </w:r>
            <w:r>
              <w:rPr>
                <w:rFonts w:hint="eastAsia" w:eastAsia="Times New Roman"/>
                <w:highlight w:val="none"/>
              </w:rPr>
              <w:t>排烟系统：高效降噪弹性波纹管弹性连接件</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highlight w:val="none"/>
              </w:rPr>
              <w:t>（7）启动方式：自动、手动、远程控制</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hint="default" w:eastAsia="宋体"/>
                <w:lang w:val="en-US" w:eastAsia="zh-CN"/>
              </w:rPr>
            </w:pPr>
            <w:r>
              <w:rPr>
                <w:rFonts w:hint="eastAsia" w:eastAsia="Times New Roman"/>
                <w:highlight w:val="none"/>
              </w:rPr>
              <w:t>（8）调速方式：</w:t>
            </w:r>
            <w:r>
              <w:rPr>
                <w:rFonts w:hint="eastAsia"/>
                <w:highlight w:val="none"/>
                <w:lang w:val="en-US" w:eastAsia="zh-CN"/>
              </w:rPr>
              <w:t>电控电喷</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pPr>
          </w:p>
        </w:tc>
        <w:tc>
          <w:tcPr>
            <w:tcW w:w="2140" w:type="dxa"/>
            <w:vMerge w:val="continue"/>
            <w:vAlign w:val="center"/>
          </w:tcPr>
          <w:p>
            <w:pPr>
              <w:autoSpaceDE w:val="0"/>
              <w:autoSpaceDN w:val="0"/>
              <w:adjustRightInd w:val="0"/>
              <w:jc w:val="center"/>
              <w:rPr>
                <w:rFonts w:hint="eastAsia" w:eastAsia="宋体"/>
                <w:lang w:eastAsia="zh-CN"/>
              </w:rPr>
            </w:pPr>
          </w:p>
        </w:tc>
        <w:tc>
          <w:tcPr>
            <w:tcW w:w="5328" w:type="dxa"/>
            <w:vAlign w:val="center"/>
          </w:tcPr>
          <w:p>
            <w:pPr>
              <w:autoSpaceDE w:val="0"/>
              <w:autoSpaceDN w:val="0"/>
              <w:adjustRightInd w:val="0"/>
              <w:rPr>
                <w:rFonts w:hint="eastAsia" w:eastAsia="宋体"/>
                <w:lang w:val="en-US" w:eastAsia="zh-CN"/>
              </w:rPr>
            </w:pPr>
            <w:r>
              <w:rPr>
                <w:rFonts w:hint="eastAsia" w:eastAsia="Times New Roman"/>
              </w:rPr>
              <w:t>（9）</w:t>
            </w:r>
            <w:r>
              <w:rPr>
                <w:rFonts w:hint="eastAsia" w:eastAsia="Times New Roman"/>
                <w:highlight w:val="none"/>
              </w:rPr>
              <w:t>供油方式：自带</w:t>
            </w:r>
            <w:r>
              <w:rPr>
                <w:rFonts w:eastAsia="Times New Roman"/>
                <w:highlight w:val="none"/>
              </w:rPr>
              <w:t>8小时</w:t>
            </w:r>
            <w:r>
              <w:rPr>
                <w:rFonts w:hint="eastAsia"/>
                <w:highlight w:val="none"/>
                <w:lang w:val="en-US" w:eastAsia="zh-CN"/>
              </w:rPr>
              <w:t>柴</w:t>
            </w:r>
            <w:r>
              <w:rPr>
                <w:rFonts w:eastAsia="Times New Roman"/>
                <w:highlight w:val="none"/>
              </w:rPr>
              <w:t>油</w:t>
            </w:r>
            <w:r>
              <w:rPr>
                <w:rFonts w:hint="eastAsia"/>
                <w:highlight w:val="none"/>
                <w:lang w:val="en-US" w:eastAsia="zh-CN"/>
              </w:rPr>
              <w:t>箱</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highlight w:val="none"/>
              </w:rPr>
              <w:t>（10）燃油消耗率：</w:t>
            </w:r>
            <w:r>
              <w:rPr>
                <w:rFonts w:hint="eastAsia" w:eastAsia="宋体"/>
                <w:highlight w:val="none"/>
                <w:lang w:val="en-US" w:eastAsia="zh-CN"/>
              </w:rPr>
              <w:t>≤</w:t>
            </w:r>
            <w:r>
              <w:rPr>
                <w:rFonts w:hint="eastAsia"/>
                <w:highlight w:val="none"/>
                <w:lang w:val="en-US" w:eastAsia="zh-CN"/>
              </w:rPr>
              <w:t>195</w:t>
            </w:r>
            <w:r>
              <w:rPr>
                <w:rFonts w:hint="eastAsia" w:eastAsia="Times New Roman"/>
                <w:highlight w:val="none"/>
              </w:rPr>
              <w:t>g/kwh</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0" w:type="dxa"/>
            <w:gridSpan w:val="2"/>
            <w:vAlign w:val="center"/>
          </w:tcPr>
          <w:p>
            <w:pPr>
              <w:autoSpaceDE w:val="0"/>
              <w:autoSpaceDN w:val="0"/>
              <w:adjustRightInd w:val="0"/>
              <w:jc w:val="center"/>
              <w:rPr>
                <w:rFonts w:eastAsia="Times New Roman"/>
              </w:rPr>
            </w:pPr>
            <w:r>
              <w:rPr>
                <w:rFonts w:hint="eastAsia" w:eastAsia="Times New Roman"/>
              </w:rPr>
              <w:t>2</w:t>
            </w:r>
          </w:p>
        </w:tc>
        <w:tc>
          <w:tcPr>
            <w:tcW w:w="2140" w:type="dxa"/>
            <w:vAlign w:val="center"/>
          </w:tcPr>
          <w:p>
            <w:pPr>
              <w:autoSpaceDE w:val="0"/>
              <w:autoSpaceDN w:val="0"/>
              <w:adjustRightInd w:val="0"/>
              <w:jc w:val="center"/>
              <w:rPr>
                <w:rFonts w:eastAsia="Times New Roman"/>
              </w:rPr>
            </w:pPr>
            <w:r>
              <w:rPr>
                <w:rFonts w:hint="eastAsia" w:eastAsia="Times New Roman"/>
              </w:rPr>
              <w:t>状态指示</w:t>
            </w:r>
          </w:p>
        </w:tc>
        <w:tc>
          <w:tcPr>
            <w:tcW w:w="5328" w:type="dxa"/>
            <w:vAlign w:val="center"/>
          </w:tcPr>
          <w:p>
            <w:pPr>
              <w:autoSpaceDE w:val="0"/>
              <w:autoSpaceDN w:val="0"/>
              <w:adjustRightInd w:val="0"/>
            </w:pPr>
            <w:r>
              <w:rPr>
                <w:rFonts w:hint="eastAsia" w:eastAsia="Times New Roman"/>
                <w:highlight w:val="none"/>
              </w:rPr>
              <w:t>发动机必须具备以下最低限度的状态指示：油压、油温、冷却液温度、运行时数、转速表、电池电压，并留有RS232或RS485接口</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0" w:type="dxa"/>
            <w:gridSpan w:val="2"/>
            <w:vAlign w:val="center"/>
          </w:tcPr>
          <w:p>
            <w:pPr>
              <w:autoSpaceDE w:val="0"/>
              <w:autoSpaceDN w:val="0"/>
              <w:adjustRightInd w:val="0"/>
              <w:jc w:val="center"/>
              <w:rPr>
                <w:rFonts w:eastAsia="Times New Roman"/>
                <w:b/>
              </w:rPr>
            </w:pPr>
          </w:p>
        </w:tc>
        <w:tc>
          <w:tcPr>
            <w:tcW w:w="7468" w:type="dxa"/>
            <w:gridSpan w:val="2"/>
            <w:vAlign w:val="center"/>
          </w:tcPr>
          <w:p>
            <w:pPr>
              <w:autoSpaceDE w:val="0"/>
              <w:autoSpaceDN w:val="0"/>
              <w:adjustRightInd w:val="0"/>
              <w:jc w:val="center"/>
              <w:rPr>
                <w:rFonts w:eastAsia="Times New Roman"/>
              </w:rPr>
            </w:pPr>
            <w:r>
              <w:rPr>
                <w:rFonts w:hint="eastAsia" w:eastAsia="Times New Roman"/>
                <w:b/>
              </w:rPr>
              <w:t>发电机</w:t>
            </w:r>
          </w:p>
        </w:tc>
        <w:tc>
          <w:tcPr>
            <w:tcW w:w="868" w:type="dxa"/>
            <w:vMerge w:val="continue"/>
            <w:vAlign w:val="center"/>
          </w:tcPr>
          <w:p>
            <w:pPr>
              <w:autoSpaceDE w:val="0"/>
              <w:autoSpaceDN w:val="0"/>
              <w:adjustRightInd w:val="0"/>
              <w:jc w:val="center"/>
              <w:rPr>
                <w:rFonts w:eastAsia="Times New Roman"/>
              </w:rPr>
            </w:pPr>
          </w:p>
        </w:tc>
        <w:tc>
          <w:tcPr>
            <w:tcW w:w="977" w:type="dxa"/>
            <w:vMerge w:val="continue"/>
            <w:vAlign w:val="center"/>
          </w:tcPr>
          <w:p>
            <w:pPr>
              <w:autoSpaceDE w:val="0"/>
              <w:autoSpaceDN w:val="0"/>
              <w:adjustRightInd w:val="0"/>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restart"/>
            <w:vAlign w:val="center"/>
          </w:tcPr>
          <w:p>
            <w:pPr>
              <w:autoSpaceDE w:val="0"/>
              <w:autoSpaceDN w:val="0"/>
              <w:adjustRightInd w:val="0"/>
              <w:jc w:val="center"/>
              <w:rPr>
                <w:rFonts w:eastAsia="Times New Roman"/>
              </w:rPr>
            </w:pPr>
            <w:r>
              <w:rPr>
                <w:rFonts w:hint="eastAsia" w:eastAsia="Times New Roman"/>
              </w:rPr>
              <w:t>1</w:t>
            </w:r>
          </w:p>
        </w:tc>
        <w:tc>
          <w:tcPr>
            <w:tcW w:w="2140" w:type="dxa"/>
            <w:vMerge w:val="restart"/>
            <w:vAlign w:val="center"/>
          </w:tcPr>
          <w:p>
            <w:pPr>
              <w:autoSpaceDE w:val="0"/>
              <w:autoSpaceDN w:val="0"/>
              <w:adjustRightInd w:val="0"/>
              <w:jc w:val="center"/>
              <w:rPr>
                <w:rFonts w:eastAsia="Times New Roman"/>
              </w:rPr>
            </w:pPr>
            <w:r>
              <w:rPr>
                <w:rFonts w:hint="eastAsia" w:eastAsia="Times New Roman"/>
              </w:rPr>
              <w:t>要求</w:t>
            </w:r>
          </w:p>
        </w:tc>
        <w:tc>
          <w:tcPr>
            <w:tcW w:w="5328" w:type="dxa"/>
            <w:vAlign w:val="center"/>
          </w:tcPr>
          <w:p>
            <w:pPr>
              <w:autoSpaceDE w:val="0"/>
              <w:autoSpaceDN w:val="0"/>
              <w:adjustRightInd w:val="0"/>
              <w:rPr>
                <w:rFonts w:eastAsia="Times New Roman"/>
              </w:rPr>
            </w:pPr>
            <w:r>
              <w:rPr>
                <w:rFonts w:hint="eastAsia" w:eastAsia="Times New Roman"/>
              </w:rPr>
              <w:t>（1）技术类型：无刷励磁，配有固态电子调压器</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（2）额定输出电压：AC230V/400V、50Hz，额定转速：1500r/min</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hint="eastAsia" w:eastAsia="宋体"/>
                <w:lang w:val="en-US" w:eastAsia="zh-CN"/>
              </w:rPr>
            </w:pPr>
            <w:r>
              <w:rPr>
                <w:rFonts w:hint="eastAsia" w:eastAsia="Times New Roman"/>
              </w:rPr>
              <w:t>（3）发电机的绝缘等级为H级、防护等级为IP2</w:t>
            </w:r>
            <w:r>
              <w:rPr>
                <w:rFonts w:hint="eastAsia"/>
                <w:lang w:val="en-US" w:eastAsia="zh-CN"/>
              </w:rPr>
              <w:t>3</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（3）发电机与柴油机相匹配，在现场现有条件下，即以12h为周期，可在110%额定负载运行1h，而发电机不超过升温限度</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4）发电机的设计和制造必须按照BS4999或ISO标准的相应章节的规定进行，发电机的设计必须注意抑制谐波以消除不正常波形及可能的高频干扰、感应效应，或中性线运行电流达至干扰电话或通信的程度。发电机必须承担某一相电流大于其他二相达25%的不平衡负荷</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（5）</w:t>
            </w:r>
            <w:r>
              <w:rPr>
                <w:rFonts w:hint="eastAsia" w:eastAsia="Times New Roman"/>
                <w:highlight w:val="none"/>
              </w:rPr>
              <w:t>发电机应能承受高于同步值20%的超速运转</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（6）</w:t>
            </w:r>
            <w:r>
              <w:rPr>
                <w:rFonts w:hint="eastAsia" w:eastAsia="Times New Roman"/>
                <w:highlight w:val="none"/>
              </w:rPr>
              <w:t>发电机必须内设由恒温器控制的加热器，当发电机运行时必须将加热器切断</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（7）发电机必须承受在其输出端短路达3s的短路电流而不致损坏</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gridSpan w:val="2"/>
            <w:vAlign w:val="center"/>
          </w:tcPr>
          <w:p>
            <w:pPr>
              <w:autoSpaceDE w:val="0"/>
              <w:autoSpaceDN w:val="0"/>
              <w:adjustRightInd w:val="0"/>
              <w:jc w:val="center"/>
              <w:rPr>
                <w:rFonts w:eastAsia="Times New Roman"/>
                <w:b/>
              </w:rPr>
            </w:pPr>
          </w:p>
        </w:tc>
        <w:tc>
          <w:tcPr>
            <w:tcW w:w="7468" w:type="dxa"/>
            <w:gridSpan w:val="2"/>
            <w:shd w:val="clear" w:color="auto" w:fill="auto"/>
            <w:vAlign w:val="center"/>
          </w:tcPr>
          <w:p>
            <w:pPr>
              <w:autoSpaceDE w:val="0"/>
              <w:autoSpaceDN w:val="0"/>
              <w:adjustRightInd w:val="0"/>
              <w:jc w:val="center"/>
              <w:rPr>
                <w:rFonts w:eastAsia="Times New Roman"/>
                <w:b/>
              </w:rPr>
            </w:pPr>
            <w:r>
              <w:rPr>
                <w:rFonts w:hint="eastAsia" w:eastAsia="Times New Roman"/>
                <w:b/>
              </w:rPr>
              <w:t>控制系统</w:t>
            </w:r>
          </w:p>
        </w:tc>
        <w:tc>
          <w:tcPr>
            <w:tcW w:w="868" w:type="dxa"/>
            <w:vMerge w:val="continue"/>
            <w:vAlign w:val="center"/>
          </w:tcPr>
          <w:p>
            <w:pPr>
              <w:autoSpaceDE w:val="0"/>
              <w:autoSpaceDN w:val="0"/>
              <w:adjustRightInd w:val="0"/>
              <w:jc w:val="center"/>
              <w:rPr>
                <w:rFonts w:eastAsia="Times New Roman"/>
              </w:rPr>
            </w:pPr>
          </w:p>
        </w:tc>
        <w:tc>
          <w:tcPr>
            <w:tcW w:w="977" w:type="dxa"/>
            <w:vMerge w:val="continue"/>
            <w:vAlign w:val="center"/>
          </w:tcPr>
          <w:p>
            <w:pPr>
              <w:autoSpaceDE w:val="0"/>
              <w:autoSpaceDN w:val="0"/>
              <w:adjustRightInd w:val="0"/>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restart"/>
            <w:vAlign w:val="center"/>
          </w:tcPr>
          <w:p>
            <w:pPr>
              <w:autoSpaceDE w:val="0"/>
              <w:autoSpaceDN w:val="0"/>
              <w:adjustRightInd w:val="0"/>
              <w:jc w:val="center"/>
              <w:rPr>
                <w:rFonts w:eastAsia="Times New Roman"/>
              </w:rPr>
            </w:pPr>
            <w:r>
              <w:rPr>
                <w:rFonts w:hint="eastAsia" w:eastAsia="Times New Roman"/>
              </w:rPr>
              <w:t>1</w:t>
            </w:r>
          </w:p>
        </w:tc>
        <w:tc>
          <w:tcPr>
            <w:tcW w:w="2140" w:type="dxa"/>
            <w:vMerge w:val="restart"/>
            <w:vAlign w:val="center"/>
          </w:tcPr>
          <w:p>
            <w:pPr>
              <w:autoSpaceDE w:val="0"/>
              <w:autoSpaceDN w:val="0"/>
              <w:adjustRightInd w:val="0"/>
              <w:jc w:val="center"/>
              <w:rPr>
                <w:rFonts w:eastAsia="Times New Roman"/>
              </w:rPr>
            </w:pPr>
            <w:r>
              <w:rPr>
                <w:rFonts w:hint="eastAsia" w:eastAsia="Times New Roman"/>
              </w:rPr>
              <w:t>发电机组控制屏</w:t>
            </w:r>
          </w:p>
        </w:tc>
        <w:tc>
          <w:tcPr>
            <w:tcW w:w="5328" w:type="dxa"/>
            <w:vAlign w:val="center"/>
          </w:tcPr>
          <w:p>
            <w:pPr>
              <w:autoSpaceDE w:val="0"/>
              <w:autoSpaceDN w:val="0"/>
              <w:adjustRightInd w:val="0"/>
              <w:rPr>
                <w:rFonts w:eastAsia="Times New Roman"/>
              </w:rPr>
            </w:pPr>
            <w:r>
              <w:rPr>
                <w:rFonts w:hint="eastAsia" w:eastAsia="Times New Roman"/>
              </w:rPr>
              <w:t>（1）显示方式：液晶中文显示（LCD液晶显示界面）</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（2）</w:t>
            </w:r>
            <w:r>
              <w:rPr>
                <w:rFonts w:hint="eastAsia" w:eastAsia="Times New Roman"/>
                <w:highlight w:val="none"/>
              </w:rPr>
              <w:t>具有</w:t>
            </w:r>
            <w:r>
              <w:rPr>
                <w:rFonts w:hint="eastAsia"/>
                <w:highlight w:val="none"/>
                <w:lang w:val="en-US" w:eastAsia="zh-CN"/>
              </w:rPr>
              <w:t>自启动、</w:t>
            </w:r>
            <w:r>
              <w:rPr>
                <w:rFonts w:hint="eastAsia" w:eastAsia="Times New Roman"/>
                <w:highlight w:val="none"/>
              </w:rPr>
              <w:t>三遥功能、R232/485远程信号传输接口</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（3）能承受机械、电气、震动、电和热应力及在正常运行情况下可能遭受的湿度影响，能够控制柴油发电机组的正常启动和关闭</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restart"/>
            <w:vAlign w:val="center"/>
          </w:tcPr>
          <w:p>
            <w:pPr>
              <w:autoSpaceDE w:val="0"/>
              <w:autoSpaceDN w:val="0"/>
              <w:adjustRightInd w:val="0"/>
              <w:jc w:val="center"/>
              <w:rPr>
                <w:rFonts w:eastAsia="Times New Roman"/>
              </w:rPr>
            </w:pPr>
            <w:r>
              <w:rPr>
                <w:rFonts w:hint="eastAsia" w:eastAsia="Times New Roman"/>
              </w:rPr>
              <w:t>2</w:t>
            </w:r>
          </w:p>
        </w:tc>
        <w:tc>
          <w:tcPr>
            <w:tcW w:w="2140" w:type="dxa"/>
            <w:vMerge w:val="restart"/>
            <w:vAlign w:val="center"/>
          </w:tcPr>
          <w:p>
            <w:pPr>
              <w:autoSpaceDE w:val="0"/>
              <w:autoSpaceDN w:val="0"/>
              <w:adjustRightInd w:val="0"/>
              <w:jc w:val="center"/>
              <w:rPr>
                <w:rFonts w:eastAsia="Times New Roman"/>
              </w:rPr>
            </w:pPr>
            <w:r>
              <w:rPr>
                <w:rFonts w:hint="eastAsia" w:eastAsia="Times New Roman"/>
              </w:rPr>
              <w:t>自动化功能</w:t>
            </w:r>
          </w:p>
        </w:tc>
        <w:tc>
          <w:tcPr>
            <w:tcW w:w="5328" w:type="dxa"/>
            <w:vAlign w:val="center"/>
          </w:tcPr>
          <w:p>
            <w:pPr>
              <w:autoSpaceDE w:val="0"/>
              <w:autoSpaceDN w:val="0"/>
              <w:adjustRightInd w:val="0"/>
              <w:rPr>
                <w:rFonts w:eastAsia="Times New Roman"/>
              </w:rPr>
            </w:pPr>
            <w:r>
              <w:rPr>
                <w:rFonts w:hint="eastAsia" w:eastAsia="Times New Roman"/>
              </w:rPr>
              <w:t>（1）自启动：在市电失电或者接到启动指令后，能够自动启动（允许三次启动，如果三次启动都失败，则发出启动失败报警信号），启动前有预热等程序</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（2）自投入：发电机组启动成功以后，自动升速到额定转速、并且起励建压，切换开关与机组电源闭合向负载供电，市电失电后恢复向负载供电时间不超过8-</w:t>
            </w:r>
            <w:r>
              <w:rPr>
                <w:rFonts w:hint="eastAsia"/>
              </w:rPr>
              <w:t>3</w:t>
            </w:r>
            <w:r>
              <w:rPr>
                <w:rFonts w:hint="eastAsia" w:eastAsia="Times New Roman"/>
              </w:rPr>
              <w:t>0s</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Merge w:val="continue"/>
            <w:vAlign w:val="center"/>
          </w:tcPr>
          <w:p>
            <w:pPr>
              <w:autoSpaceDE w:val="0"/>
              <w:autoSpaceDN w:val="0"/>
              <w:adjustRightInd w:val="0"/>
              <w:jc w:val="center"/>
              <w:rPr>
                <w:rFonts w:eastAsia="Times New Roman"/>
              </w:rPr>
            </w:pPr>
          </w:p>
        </w:tc>
        <w:tc>
          <w:tcPr>
            <w:tcW w:w="2140" w:type="dxa"/>
            <w:vMerge w:val="continue"/>
            <w:vAlign w:val="center"/>
          </w:tcPr>
          <w:p>
            <w:pPr>
              <w:autoSpaceDE w:val="0"/>
              <w:autoSpaceDN w:val="0"/>
              <w:adjustRightInd w:val="0"/>
              <w:jc w:val="center"/>
              <w:rPr>
                <w:rFonts w:eastAsia="Times New Roman"/>
              </w:rPr>
            </w:pPr>
          </w:p>
        </w:tc>
        <w:tc>
          <w:tcPr>
            <w:tcW w:w="5328" w:type="dxa"/>
            <w:vAlign w:val="center"/>
          </w:tcPr>
          <w:p>
            <w:pPr>
              <w:autoSpaceDE w:val="0"/>
              <w:autoSpaceDN w:val="0"/>
              <w:adjustRightInd w:val="0"/>
              <w:rPr>
                <w:rFonts w:eastAsia="Times New Roman"/>
              </w:rPr>
            </w:pPr>
            <w:r>
              <w:rPr>
                <w:rFonts w:hint="eastAsia" w:eastAsia="Times New Roman"/>
              </w:rPr>
              <w:t>（3）自动停机：当市电恢复，机组接到停机指令后，切换开关与市电电源闭合向负载供电，进入空载冷机程序，自动停机转入待机状态</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Align w:val="center"/>
          </w:tcPr>
          <w:p>
            <w:pPr>
              <w:autoSpaceDE w:val="0"/>
              <w:autoSpaceDN w:val="0"/>
              <w:adjustRightInd w:val="0"/>
              <w:jc w:val="center"/>
              <w:rPr>
                <w:rFonts w:hint="eastAsia" w:eastAsia="宋体"/>
                <w:lang w:val="en-US" w:eastAsia="zh-CN"/>
              </w:rPr>
            </w:pPr>
            <w:r>
              <w:rPr>
                <w:rFonts w:hint="eastAsia"/>
                <w:lang w:val="en-US" w:eastAsia="zh-CN"/>
              </w:rPr>
              <w:t>3</w:t>
            </w:r>
          </w:p>
        </w:tc>
        <w:tc>
          <w:tcPr>
            <w:tcW w:w="2140" w:type="dxa"/>
            <w:vAlign w:val="center"/>
          </w:tcPr>
          <w:p>
            <w:pPr>
              <w:autoSpaceDE w:val="0"/>
              <w:autoSpaceDN w:val="0"/>
              <w:adjustRightInd w:val="0"/>
              <w:jc w:val="center"/>
              <w:rPr>
                <w:rFonts w:eastAsia="Times New Roman"/>
              </w:rPr>
            </w:pPr>
            <w:r>
              <w:rPr>
                <w:rFonts w:hint="eastAsia" w:eastAsia="Times New Roman"/>
              </w:rPr>
              <w:t>自动化功能</w:t>
            </w:r>
          </w:p>
        </w:tc>
        <w:tc>
          <w:tcPr>
            <w:tcW w:w="5328" w:type="dxa"/>
            <w:vAlign w:val="center"/>
          </w:tcPr>
          <w:p>
            <w:pPr>
              <w:autoSpaceDE w:val="0"/>
              <w:autoSpaceDN w:val="0"/>
              <w:adjustRightInd w:val="0"/>
              <w:rPr>
                <w:rFonts w:eastAsia="Times New Roman"/>
              </w:rPr>
            </w:pPr>
            <w:r>
              <w:rPr>
                <w:rFonts w:hint="eastAsia" w:eastAsia="Times New Roman"/>
              </w:rPr>
              <w:t>（4）自动报警、保护系统：水温高、油温高；油压低；超速；电器过载、短路、失压等保护功能</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gridSpan w:val="2"/>
            <w:vAlign w:val="center"/>
          </w:tcPr>
          <w:p>
            <w:pPr>
              <w:autoSpaceDE w:val="0"/>
              <w:autoSpaceDN w:val="0"/>
              <w:adjustRightInd w:val="0"/>
              <w:jc w:val="center"/>
              <w:rPr>
                <w:rFonts w:hint="eastAsia" w:eastAsia="宋体"/>
                <w:lang w:val="en-US" w:eastAsia="zh-CN"/>
              </w:rPr>
            </w:pPr>
            <w:r>
              <w:rPr>
                <w:rFonts w:hint="eastAsia"/>
                <w:lang w:val="en-US" w:eastAsia="zh-CN"/>
              </w:rPr>
              <w:t>4</w:t>
            </w:r>
          </w:p>
        </w:tc>
        <w:tc>
          <w:tcPr>
            <w:tcW w:w="2140" w:type="dxa"/>
            <w:vAlign w:val="center"/>
          </w:tcPr>
          <w:p>
            <w:pPr>
              <w:autoSpaceDE w:val="0"/>
              <w:autoSpaceDN w:val="0"/>
              <w:adjustRightInd w:val="0"/>
              <w:jc w:val="center"/>
              <w:rPr>
                <w:rFonts w:eastAsia="Times New Roman"/>
              </w:rPr>
            </w:pPr>
            <w:r>
              <w:rPr>
                <w:rFonts w:hint="eastAsia" w:eastAsia="Times New Roman"/>
              </w:rPr>
              <w:t>自动切换（ATS）</w:t>
            </w:r>
          </w:p>
        </w:tc>
        <w:tc>
          <w:tcPr>
            <w:tcW w:w="5328" w:type="dxa"/>
            <w:vAlign w:val="center"/>
          </w:tcPr>
          <w:p>
            <w:pPr>
              <w:autoSpaceDE w:val="0"/>
              <w:autoSpaceDN w:val="0"/>
              <w:adjustRightInd w:val="0"/>
              <w:rPr>
                <w:rFonts w:eastAsia="Times New Roman"/>
              </w:rPr>
            </w:pPr>
            <w:r>
              <w:rPr>
                <w:rFonts w:hint="eastAsia" w:eastAsia="Times New Roman"/>
              </w:rPr>
              <w:t>配备发电机、市电、负载相互转换的自动切换柜，在市电停电后可实现发电机与市电的自动转换</w:t>
            </w:r>
          </w:p>
        </w:tc>
        <w:tc>
          <w:tcPr>
            <w:tcW w:w="868" w:type="dxa"/>
            <w:vMerge w:val="continue"/>
            <w:vAlign w:val="center"/>
          </w:tcPr>
          <w:p>
            <w:pPr>
              <w:autoSpaceDE w:val="0"/>
              <w:autoSpaceDN w:val="0"/>
              <w:adjustRightInd w:val="0"/>
              <w:jc w:val="center"/>
              <w:rPr>
                <w:rFonts w:eastAsia="Times New Roman"/>
                <w:b/>
              </w:rPr>
            </w:pPr>
          </w:p>
        </w:tc>
        <w:tc>
          <w:tcPr>
            <w:tcW w:w="977" w:type="dxa"/>
            <w:vMerge w:val="continue"/>
            <w:vAlign w:val="center"/>
          </w:tcPr>
          <w:p>
            <w:pPr>
              <w:autoSpaceDE w:val="0"/>
              <w:autoSpaceDN w:val="0"/>
              <w:adjustRightInd w:val="0"/>
              <w:jc w:val="center"/>
              <w:rPr>
                <w:rFonts w:eastAsia="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gridSpan w:val="2"/>
            <w:vAlign w:val="center"/>
          </w:tcPr>
          <w:p>
            <w:pPr>
              <w:autoSpaceDE w:val="0"/>
              <w:autoSpaceDN w:val="0"/>
              <w:adjustRightInd w:val="0"/>
              <w:jc w:val="center"/>
              <w:rPr>
                <w:rFonts w:hint="default" w:eastAsia="宋体"/>
                <w:b/>
                <w:lang w:val="en-US" w:eastAsia="zh-CN"/>
              </w:rPr>
            </w:pPr>
          </w:p>
        </w:tc>
        <w:tc>
          <w:tcPr>
            <w:tcW w:w="7468" w:type="dxa"/>
            <w:gridSpan w:val="2"/>
            <w:shd w:val="clear" w:color="auto" w:fill="auto"/>
            <w:vAlign w:val="center"/>
          </w:tcPr>
          <w:p>
            <w:pPr>
              <w:autoSpaceDE w:val="0"/>
              <w:autoSpaceDN w:val="0"/>
              <w:adjustRightInd w:val="0"/>
              <w:jc w:val="center"/>
              <w:rPr>
                <w:rFonts w:eastAsia="Times New Roman"/>
                <w:b/>
              </w:rPr>
            </w:pPr>
            <w:r>
              <w:rPr>
                <w:rFonts w:hint="eastAsia" w:eastAsia="Times New Roman"/>
                <w:b/>
                <w:highlight w:val="none"/>
                <w:shd w:val="clear"/>
              </w:rPr>
              <w:t>机房安装</w:t>
            </w:r>
          </w:p>
        </w:tc>
        <w:tc>
          <w:tcPr>
            <w:tcW w:w="868" w:type="dxa"/>
            <w:vMerge w:val="continue"/>
            <w:vAlign w:val="center"/>
          </w:tcPr>
          <w:p>
            <w:pPr>
              <w:autoSpaceDE w:val="0"/>
              <w:autoSpaceDN w:val="0"/>
              <w:adjustRightInd w:val="0"/>
              <w:jc w:val="center"/>
              <w:rPr>
                <w:rFonts w:eastAsia="Times New Roman"/>
              </w:rPr>
            </w:pPr>
          </w:p>
        </w:tc>
        <w:tc>
          <w:tcPr>
            <w:tcW w:w="977" w:type="dxa"/>
            <w:vMerge w:val="continue"/>
            <w:vAlign w:val="center"/>
          </w:tcPr>
          <w:p>
            <w:pPr>
              <w:autoSpaceDE w:val="0"/>
              <w:autoSpaceDN w:val="0"/>
              <w:adjustRightInd w:val="0"/>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gridSpan w:val="2"/>
            <w:vAlign w:val="center"/>
          </w:tcPr>
          <w:p>
            <w:pPr>
              <w:autoSpaceDE w:val="0"/>
              <w:autoSpaceDN w:val="0"/>
              <w:adjustRightInd w:val="0"/>
              <w:jc w:val="center"/>
              <w:rPr>
                <w:rFonts w:eastAsia="Times New Roman"/>
              </w:rPr>
            </w:pPr>
            <w:r>
              <w:rPr>
                <w:rFonts w:hint="eastAsia" w:eastAsia="Times New Roman"/>
              </w:rPr>
              <w:t>1</w:t>
            </w:r>
          </w:p>
        </w:tc>
        <w:tc>
          <w:tcPr>
            <w:tcW w:w="2140" w:type="dxa"/>
            <w:shd w:val="clear" w:color="auto" w:fill="auto"/>
            <w:vAlign w:val="center"/>
          </w:tcPr>
          <w:p>
            <w:pPr>
              <w:autoSpaceDE w:val="0"/>
              <w:autoSpaceDN w:val="0"/>
              <w:adjustRightInd w:val="0"/>
              <w:jc w:val="center"/>
              <w:rPr>
                <w:rFonts w:eastAsia="Times New Roman"/>
              </w:rPr>
            </w:pPr>
            <w:r>
              <w:rPr>
                <w:rFonts w:hint="eastAsia" w:eastAsia="Times New Roman"/>
              </w:rPr>
              <w:t>总体要求</w:t>
            </w:r>
          </w:p>
        </w:tc>
        <w:tc>
          <w:tcPr>
            <w:tcW w:w="5328" w:type="dxa"/>
            <w:shd w:val="clear" w:color="auto" w:fill="auto"/>
            <w:vAlign w:val="center"/>
          </w:tcPr>
          <w:p>
            <w:pPr>
              <w:autoSpaceDE w:val="0"/>
              <w:autoSpaceDN w:val="0"/>
              <w:adjustRightInd w:val="0"/>
              <w:rPr>
                <w:rFonts w:eastAsia="Times New Roman"/>
              </w:rPr>
            </w:pPr>
            <w:r>
              <w:rPr>
                <w:rFonts w:hint="eastAsia" w:eastAsia="Times New Roman"/>
                <w:highlight w:val="none"/>
              </w:rPr>
              <w:t>设备的运输、吊装、卸货、安装；储油</w:t>
            </w:r>
            <w:r>
              <w:rPr>
                <w:rFonts w:hint="eastAsia"/>
                <w:highlight w:val="none"/>
                <w:lang w:val="en-US" w:eastAsia="zh-CN"/>
              </w:rPr>
              <w:t>箱</w:t>
            </w:r>
            <w:r>
              <w:rPr>
                <w:rFonts w:hint="eastAsia" w:eastAsia="Times New Roman"/>
                <w:highlight w:val="none"/>
              </w:rPr>
              <w:t>至发动机的油路施工（有储油间的站区带油箱，需供卸油系统及油管）。</w:t>
            </w:r>
          </w:p>
        </w:tc>
        <w:tc>
          <w:tcPr>
            <w:tcW w:w="868" w:type="dxa"/>
            <w:vMerge w:val="continue"/>
            <w:vAlign w:val="center"/>
          </w:tcPr>
          <w:p>
            <w:pPr>
              <w:autoSpaceDE w:val="0"/>
              <w:autoSpaceDN w:val="0"/>
              <w:adjustRightInd w:val="0"/>
              <w:rPr>
                <w:rFonts w:eastAsia="Times New Roman"/>
              </w:rPr>
            </w:pPr>
          </w:p>
        </w:tc>
        <w:tc>
          <w:tcPr>
            <w:tcW w:w="977" w:type="dxa"/>
            <w:vMerge w:val="continue"/>
            <w:vAlign w:val="center"/>
          </w:tcPr>
          <w:p>
            <w:pPr>
              <w:autoSpaceDE w:val="0"/>
              <w:autoSpaceDN w:val="0"/>
              <w:adjustRightInd w:val="0"/>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8" w:type="dxa"/>
            <w:vAlign w:val="center"/>
          </w:tcPr>
          <w:p>
            <w:pPr>
              <w:tabs>
                <w:tab w:val="left" w:pos="3197"/>
              </w:tabs>
              <w:autoSpaceDE w:val="0"/>
              <w:autoSpaceDN w:val="0"/>
              <w:adjustRightInd w:val="0"/>
              <w:rPr>
                <w:rFonts w:hint="default" w:eastAsia="宋体"/>
                <w:lang w:val="en-US" w:eastAsia="zh-CN"/>
              </w:rPr>
            </w:pPr>
            <w:bookmarkStart w:id="246" w:name="_Toc7906"/>
            <w:bookmarkStart w:id="247" w:name="_Toc403122572"/>
            <w:bookmarkStart w:id="248" w:name="_Toc26235"/>
            <w:bookmarkStart w:id="249" w:name="_Toc426369533"/>
            <w:r>
              <w:rPr>
                <w:rFonts w:hint="eastAsia"/>
                <w:lang w:val="en-US" w:eastAsia="zh-CN"/>
              </w:rPr>
              <w:t>二</w:t>
            </w:r>
            <w:r>
              <w:rPr>
                <w:rFonts w:hint="eastAsia" w:eastAsia="宋体"/>
                <w:lang w:eastAsia="zh-CN"/>
              </w:rPr>
              <w:tab/>
            </w:r>
            <w:r>
              <w:rPr>
                <w:rFonts w:hint="eastAsia" w:eastAsia="宋体"/>
                <w:b/>
                <w:bCs/>
                <w:lang w:val="en-US" w:eastAsia="zh-CN"/>
              </w:rPr>
              <w:t>柴油机抽水泵</w:t>
            </w:r>
          </w:p>
        </w:tc>
        <w:tc>
          <w:tcPr>
            <w:tcW w:w="9325" w:type="dxa"/>
            <w:gridSpan w:val="5"/>
            <w:vAlign w:val="center"/>
          </w:tcPr>
          <w:p>
            <w:pPr>
              <w:tabs>
                <w:tab w:val="left" w:pos="3197"/>
              </w:tabs>
              <w:autoSpaceDE w:val="0"/>
              <w:autoSpaceDN w:val="0"/>
              <w:adjustRightInd w:val="0"/>
              <w:jc w:val="center"/>
              <w:rPr>
                <w:rFonts w:hint="eastAsia"/>
                <w:lang w:val="en-US" w:eastAsia="zh-CN"/>
              </w:rPr>
            </w:pPr>
            <w:r>
              <w:rPr>
                <w:rFonts w:hint="eastAsia" w:eastAsia="宋体"/>
                <w:b/>
                <w:bCs/>
                <w:lang w:eastAsia="zh-CN"/>
              </w:rPr>
              <w:t>柴油机抽水泵</w:t>
            </w:r>
          </w:p>
          <w:p>
            <w:pPr>
              <w:tabs>
                <w:tab w:val="left" w:pos="3197"/>
              </w:tabs>
              <w:autoSpaceDE w:val="0"/>
              <w:autoSpaceDN w:val="0"/>
              <w:adjustRightIn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gridSpan w:val="2"/>
            <w:vAlign w:val="center"/>
          </w:tcPr>
          <w:p>
            <w:pPr>
              <w:autoSpaceDE w:val="0"/>
              <w:autoSpaceDN w:val="0"/>
              <w:adjustRightInd w:val="0"/>
              <w:jc w:val="center"/>
              <w:rPr>
                <w:rFonts w:hint="default"/>
                <w:lang w:val="en-US" w:eastAsia="zh-CN"/>
              </w:rPr>
            </w:pPr>
            <w:r>
              <w:rPr>
                <w:rFonts w:hint="eastAsia"/>
                <w:lang w:val="en-US" w:eastAsia="zh-CN"/>
              </w:rPr>
              <w:t>1</w:t>
            </w:r>
          </w:p>
          <w:p>
            <w:pPr>
              <w:pStyle w:val="2"/>
              <w:rPr>
                <w:rFonts w:hint="eastAsia"/>
                <w:lang w:val="en-US" w:eastAsia="zh-CN"/>
              </w:rPr>
            </w:pPr>
          </w:p>
        </w:tc>
        <w:tc>
          <w:tcPr>
            <w:tcW w:w="7468" w:type="dxa"/>
            <w:gridSpan w:val="2"/>
            <w:shd w:val="clear" w:color="auto" w:fill="auto"/>
            <w:vAlign w:val="center"/>
          </w:tcPr>
          <w:p>
            <w:pPr>
              <w:autoSpaceDE w:val="0"/>
              <w:autoSpaceDN w:val="0"/>
              <w:adjustRightInd w:val="0"/>
              <w:rPr>
                <w:rFonts w:hint="eastAsia"/>
                <w:color w:val="auto"/>
                <w:szCs w:val="21"/>
              </w:rPr>
            </w:pPr>
            <w:r>
              <w:rPr>
                <w:rFonts w:hint="eastAsia"/>
                <w:color w:val="auto"/>
                <w:szCs w:val="21"/>
              </w:rPr>
              <w:t>功率9.0HP</w:t>
            </w:r>
          </w:p>
          <w:p>
            <w:pPr>
              <w:autoSpaceDE w:val="0"/>
              <w:autoSpaceDN w:val="0"/>
              <w:adjustRightInd w:val="0"/>
              <w:rPr>
                <w:rFonts w:hint="eastAsia"/>
                <w:color w:val="auto"/>
                <w:szCs w:val="21"/>
              </w:rPr>
            </w:pPr>
            <w:r>
              <w:rPr>
                <w:rFonts w:hint="eastAsia"/>
                <w:color w:val="auto"/>
                <w:szCs w:val="21"/>
              </w:rPr>
              <w:t>最高扬程30</w:t>
            </w:r>
          </w:p>
          <w:p>
            <w:pPr>
              <w:autoSpaceDE w:val="0"/>
              <w:autoSpaceDN w:val="0"/>
              <w:adjustRightInd w:val="0"/>
              <w:rPr>
                <w:rFonts w:hint="eastAsia"/>
                <w:color w:val="auto"/>
                <w:szCs w:val="21"/>
              </w:rPr>
            </w:pPr>
            <w:r>
              <w:rPr>
                <w:rFonts w:hint="eastAsia"/>
                <w:color w:val="auto"/>
                <w:szCs w:val="21"/>
              </w:rPr>
              <w:t>最大流量96m³/h</w:t>
            </w:r>
          </w:p>
          <w:p>
            <w:pPr>
              <w:autoSpaceDE w:val="0"/>
              <w:autoSpaceDN w:val="0"/>
              <w:adjustRightInd w:val="0"/>
              <w:rPr>
                <w:rFonts w:hint="eastAsia"/>
                <w:color w:val="auto"/>
                <w:szCs w:val="21"/>
              </w:rPr>
            </w:pPr>
            <w:r>
              <w:rPr>
                <w:rFonts w:hint="eastAsia"/>
                <w:color w:val="auto"/>
                <w:szCs w:val="21"/>
              </w:rPr>
              <w:t>额定吸程0~7m</w:t>
            </w:r>
          </w:p>
          <w:p>
            <w:pPr>
              <w:autoSpaceDE w:val="0"/>
              <w:autoSpaceDN w:val="0"/>
              <w:adjustRightInd w:val="0"/>
              <w:rPr>
                <w:rFonts w:hint="eastAsia"/>
                <w:color w:val="auto"/>
                <w:szCs w:val="21"/>
              </w:rPr>
            </w:pPr>
            <w:r>
              <w:rPr>
                <w:rFonts w:hint="eastAsia"/>
                <w:color w:val="auto"/>
                <w:szCs w:val="21"/>
              </w:rPr>
              <w:t>口径4寸/100mm</w:t>
            </w:r>
          </w:p>
          <w:p>
            <w:pPr>
              <w:autoSpaceDE w:val="0"/>
              <w:autoSpaceDN w:val="0"/>
              <w:adjustRightInd w:val="0"/>
              <w:rPr>
                <w:rFonts w:hint="eastAsia"/>
                <w:color w:val="auto"/>
                <w:szCs w:val="21"/>
              </w:rPr>
            </w:pPr>
            <w:r>
              <w:rPr>
                <w:rFonts w:hint="eastAsia"/>
                <w:color w:val="auto"/>
                <w:szCs w:val="21"/>
              </w:rPr>
              <w:t>转速3600r/min</w:t>
            </w:r>
          </w:p>
          <w:p>
            <w:pPr>
              <w:autoSpaceDE w:val="0"/>
              <w:autoSpaceDN w:val="0"/>
              <w:adjustRightInd w:val="0"/>
              <w:rPr>
                <w:rFonts w:hint="eastAsia" w:eastAsia="宋体"/>
                <w:color w:val="auto"/>
                <w:szCs w:val="21"/>
                <w:lang w:val="en-US" w:eastAsia="zh-CN"/>
              </w:rPr>
            </w:pPr>
            <w:r>
              <w:rPr>
                <w:rFonts w:hint="eastAsia"/>
                <w:color w:val="auto"/>
                <w:szCs w:val="21"/>
              </w:rPr>
              <w:t>电启动</w:t>
            </w:r>
          </w:p>
        </w:tc>
        <w:tc>
          <w:tcPr>
            <w:tcW w:w="868" w:type="dxa"/>
            <w:vAlign w:val="center"/>
          </w:tcPr>
          <w:p>
            <w:pPr>
              <w:autoSpaceDE w:val="0"/>
              <w:autoSpaceDN w:val="0"/>
              <w:adjustRightInd w:val="0"/>
              <w:rPr>
                <w:rFonts w:hint="eastAsia" w:eastAsia="宋体"/>
                <w:lang w:val="en-US" w:eastAsia="zh-CN"/>
              </w:rPr>
            </w:pPr>
            <w:r>
              <w:rPr>
                <w:rFonts w:hint="eastAsia" w:eastAsia="宋体"/>
                <w:lang w:val="en-US" w:eastAsia="zh-CN"/>
              </w:rPr>
              <w:t>2</w:t>
            </w:r>
          </w:p>
        </w:tc>
        <w:tc>
          <w:tcPr>
            <w:tcW w:w="977" w:type="dxa"/>
            <w:vAlign w:val="center"/>
          </w:tcPr>
          <w:p>
            <w:pPr>
              <w:autoSpaceDE w:val="0"/>
              <w:autoSpaceDN w:val="0"/>
              <w:adjustRightInd w:val="0"/>
              <w:rPr>
                <w:rFonts w:hint="default" w:eastAsia="宋体"/>
                <w:lang w:val="en-US" w:eastAsia="zh-CN"/>
              </w:rPr>
            </w:pPr>
            <w:r>
              <w:rPr>
                <w:rFonts w:hint="eastAsia" w:eastAsia="宋体"/>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gridSpan w:val="2"/>
            <w:vAlign w:val="center"/>
          </w:tcPr>
          <w:p>
            <w:pPr>
              <w:tabs>
                <w:tab w:val="left" w:pos="1987"/>
              </w:tabs>
              <w:autoSpaceDE w:val="0"/>
              <w:autoSpaceDN w:val="0"/>
              <w:adjustRightInd w:val="0"/>
              <w:jc w:val="center"/>
              <w:rPr>
                <w:rFonts w:hint="default" w:eastAsia="宋体"/>
                <w:color w:val="auto"/>
                <w:szCs w:val="21"/>
                <w:lang w:val="en-US" w:eastAsia="zh-CN"/>
              </w:rPr>
            </w:pPr>
            <w:r>
              <w:rPr>
                <w:rFonts w:hint="eastAsia"/>
                <w:color w:val="auto"/>
                <w:szCs w:val="21"/>
                <w:lang w:val="en-US" w:eastAsia="zh-CN"/>
              </w:rPr>
              <w:t>三</w:t>
            </w:r>
          </w:p>
        </w:tc>
        <w:tc>
          <w:tcPr>
            <w:tcW w:w="9313" w:type="dxa"/>
            <w:gridSpan w:val="4"/>
            <w:vAlign w:val="center"/>
          </w:tcPr>
          <w:p>
            <w:pPr>
              <w:autoSpaceDE w:val="0"/>
              <w:autoSpaceDN w:val="0"/>
              <w:adjustRightInd w:val="0"/>
              <w:jc w:val="center"/>
              <w:rPr>
                <w:rFonts w:eastAsia="Times New Roman"/>
              </w:rPr>
            </w:pPr>
            <w:r>
              <w:rPr>
                <w:rFonts w:hint="eastAsia"/>
                <w:b/>
                <w:bCs/>
                <w:color w:val="auto"/>
                <w:szCs w:val="21"/>
                <w:lang w:val="en-US" w:eastAsia="zh-CN"/>
              </w:rPr>
              <w:t>污水潜水泵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gridSpan w:val="2"/>
            <w:vAlign w:val="center"/>
          </w:tcPr>
          <w:p>
            <w:pPr>
              <w:pStyle w:val="2"/>
              <w:rPr>
                <w:rFonts w:hint="eastAsia"/>
                <w:lang w:val="en-US" w:eastAsia="zh-CN"/>
              </w:rPr>
            </w:pPr>
          </w:p>
        </w:tc>
        <w:tc>
          <w:tcPr>
            <w:tcW w:w="7468" w:type="dxa"/>
            <w:gridSpan w:val="2"/>
            <w:shd w:val="clear" w:color="auto" w:fill="auto"/>
            <w:vAlign w:val="center"/>
          </w:tcPr>
          <w:p>
            <w:pPr>
              <w:autoSpaceDE w:val="0"/>
              <w:autoSpaceDN w:val="0"/>
              <w:adjustRightInd w:val="0"/>
              <w:rPr>
                <w:rFonts w:hint="eastAsia"/>
                <w:color w:val="auto"/>
                <w:szCs w:val="21"/>
              </w:rPr>
            </w:pPr>
            <w:r>
              <w:rPr>
                <w:rFonts w:hint="eastAsia"/>
                <w:color w:val="auto"/>
                <w:szCs w:val="21"/>
              </w:rPr>
              <w:t>电压220V</w:t>
            </w:r>
          </w:p>
          <w:p>
            <w:pPr>
              <w:autoSpaceDE w:val="0"/>
              <w:autoSpaceDN w:val="0"/>
              <w:adjustRightInd w:val="0"/>
              <w:rPr>
                <w:rFonts w:hint="eastAsia"/>
                <w:color w:val="auto"/>
                <w:szCs w:val="21"/>
              </w:rPr>
            </w:pPr>
            <w:r>
              <w:rPr>
                <w:rFonts w:hint="eastAsia"/>
                <w:color w:val="auto"/>
                <w:szCs w:val="21"/>
              </w:rPr>
              <w:t>流量16m³/h</w:t>
            </w:r>
          </w:p>
          <w:p>
            <w:pPr>
              <w:autoSpaceDE w:val="0"/>
              <w:autoSpaceDN w:val="0"/>
              <w:adjustRightInd w:val="0"/>
              <w:rPr>
                <w:rFonts w:hint="eastAsia"/>
                <w:color w:val="auto"/>
                <w:szCs w:val="21"/>
              </w:rPr>
            </w:pPr>
            <w:r>
              <w:rPr>
                <w:rFonts w:hint="eastAsia"/>
                <w:color w:val="auto"/>
                <w:szCs w:val="21"/>
              </w:rPr>
              <w:t>扬程16m</w:t>
            </w:r>
          </w:p>
          <w:p>
            <w:pPr>
              <w:autoSpaceDE w:val="0"/>
              <w:autoSpaceDN w:val="0"/>
              <w:adjustRightInd w:val="0"/>
              <w:rPr>
                <w:rFonts w:hint="eastAsia" w:eastAsia="宋体"/>
                <w:color w:val="auto"/>
                <w:szCs w:val="21"/>
                <w:lang w:val="en-US" w:eastAsia="zh-CN"/>
              </w:rPr>
            </w:pPr>
            <w:r>
              <w:rPr>
                <w:rFonts w:hint="eastAsia"/>
                <w:color w:val="auto"/>
                <w:szCs w:val="21"/>
              </w:rPr>
              <w:t>口径50mm</w:t>
            </w:r>
          </w:p>
        </w:tc>
        <w:tc>
          <w:tcPr>
            <w:tcW w:w="868" w:type="dxa"/>
            <w:vAlign w:val="center"/>
          </w:tcPr>
          <w:p>
            <w:pPr>
              <w:autoSpaceDE w:val="0"/>
              <w:autoSpaceDN w:val="0"/>
              <w:adjustRightInd w:val="0"/>
              <w:rPr>
                <w:rFonts w:hint="eastAsia" w:eastAsia="宋体"/>
                <w:lang w:val="en-US" w:eastAsia="zh-CN"/>
              </w:rPr>
            </w:pPr>
            <w:r>
              <w:rPr>
                <w:rFonts w:hint="eastAsia" w:eastAsia="宋体"/>
                <w:lang w:val="en-US" w:eastAsia="zh-CN"/>
              </w:rPr>
              <w:t>2</w:t>
            </w:r>
          </w:p>
        </w:tc>
        <w:tc>
          <w:tcPr>
            <w:tcW w:w="977" w:type="dxa"/>
            <w:vAlign w:val="center"/>
          </w:tcPr>
          <w:p>
            <w:pPr>
              <w:autoSpaceDE w:val="0"/>
              <w:autoSpaceDN w:val="0"/>
              <w:adjustRightInd w:val="0"/>
              <w:rPr>
                <w:rFonts w:hint="eastAsia" w:eastAsia="宋体"/>
                <w:lang w:val="en-US" w:eastAsia="zh-CN"/>
              </w:rPr>
            </w:pPr>
            <w:r>
              <w:rPr>
                <w:rFonts w:hint="eastAsia" w:eastAsia="宋体"/>
                <w:lang w:val="en-US" w:eastAsia="zh-CN"/>
              </w:rPr>
              <w:t>台</w:t>
            </w:r>
          </w:p>
        </w:tc>
      </w:tr>
      <w:bookmarkEnd w:id="244"/>
    </w:tbl>
    <w:p>
      <w:pPr>
        <w:pStyle w:val="16"/>
        <w:numPr>
          <w:ilvl w:val="0"/>
          <w:numId w:val="0"/>
        </w:numPr>
        <w:ind w:leftChars="0"/>
        <w:jc w:val="both"/>
        <w:rPr>
          <w:rFonts w:hint="default" w:asciiTheme="minorEastAsia" w:hAnsiTheme="minorEastAsia" w:eastAsiaTheme="minorEastAsia"/>
          <w:b/>
          <w:bCs/>
          <w:color w:val="auto"/>
          <w:sz w:val="32"/>
          <w:szCs w:val="32"/>
          <w:lang w:val="en-US" w:eastAsia="zh-CN"/>
        </w:rPr>
      </w:pPr>
    </w:p>
    <w:p>
      <w:pPr>
        <w:pStyle w:val="16"/>
        <w:numPr>
          <w:ilvl w:val="0"/>
          <w:numId w:val="0"/>
        </w:numPr>
        <w:ind w:leftChars="0"/>
        <w:jc w:val="both"/>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lang w:val="en-US" w:eastAsia="zh-CN"/>
        </w:rPr>
        <w:t>二、</w:t>
      </w:r>
      <w:r>
        <w:rPr>
          <w:rFonts w:hint="eastAsia" w:asciiTheme="minorEastAsia" w:hAnsiTheme="minorEastAsia" w:eastAsiaTheme="minorEastAsia"/>
          <w:b/>
          <w:bCs/>
          <w:color w:val="auto"/>
          <w:sz w:val="32"/>
          <w:szCs w:val="32"/>
        </w:rPr>
        <w:t>相关规范、标准和要求</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GB/T10233-2005---</w:t>
      </w:r>
      <w:r>
        <w:rPr>
          <w:rFonts w:hint="eastAsia" w:cs="仿宋" w:asciiTheme="minorEastAsia" w:hAnsiTheme="minorEastAsia" w:eastAsiaTheme="minorEastAsia"/>
          <w:sz w:val="24"/>
          <w:szCs w:val="24"/>
        </w:rPr>
        <w:t>低压成套开关设备和电控设备基本试验；</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GB/T3797-2005---</w:t>
      </w:r>
      <w:r>
        <w:rPr>
          <w:rFonts w:hint="eastAsia" w:cs="仿宋" w:asciiTheme="minorEastAsia" w:hAnsiTheme="minorEastAsia" w:eastAsiaTheme="minorEastAsia"/>
          <w:sz w:val="24"/>
          <w:szCs w:val="24"/>
        </w:rPr>
        <w:t>电气控制设备；</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GB50171-92---</w:t>
      </w:r>
      <w:r>
        <w:rPr>
          <w:rFonts w:hint="eastAsia" w:cs="仿宋" w:asciiTheme="minorEastAsia" w:hAnsiTheme="minorEastAsia" w:eastAsiaTheme="minorEastAsia"/>
          <w:sz w:val="24"/>
          <w:szCs w:val="24"/>
        </w:rPr>
        <w:t>电气装置安装工程盘、柜一、二次回路结线施工及验收规范；</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DL/T 596---</w:t>
      </w:r>
      <w:r>
        <w:rPr>
          <w:rFonts w:hint="eastAsia" w:cs="仿宋" w:asciiTheme="minorEastAsia" w:hAnsiTheme="minorEastAsia" w:eastAsiaTheme="minorEastAsia"/>
          <w:sz w:val="24"/>
          <w:szCs w:val="24"/>
        </w:rPr>
        <w:t>电力设备预防性试验；</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Q/JBCK-2005---</w:t>
      </w:r>
      <w:r>
        <w:rPr>
          <w:rFonts w:hint="eastAsia" w:cs="仿宋" w:asciiTheme="minorEastAsia" w:hAnsiTheme="minorEastAsia" w:eastAsiaTheme="minorEastAsia"/>
          <w:sz w:val="24"/>
          <w:szCs w:val="24"/>
        </w:rPr>
        <w:t>电力控制及通信智能化成套配电设备技术规范；</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 14048.11-2002---</w:t>
      </w:r>
      <w:r>
        <w:rPr>
          <w:rFonts w:hint="eastAsia" w:cs="仿宋" w:asciiTheme="minorEastAsia" w:hAnsiTheme="minorEastAsia" w:eastAsiaTheme="minorEastAsia"/>
          <w:sz w:val="24"/>
          <w:szCs w:val="24"/>
        </w:rPr>
        <w:t>低压开关设备和控制设备；</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 755---</w:t>
      </w:r>
      <w:r>
        <w:rPr>
          <w:rFonts w:hint="eastAsia" w:cs="仿宋" w:asciiTheme="minorEastAsia" w:hAnsiTheme="minorEastAsia" w:eastAsiaTheme="minorEastAsia"/>
          <w:sz w:val="24"/>
          <w:szCs w:val="24"/>
        </w:rPr>
        <w:t>旋转电机基本技术要求；</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DL 427</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1991---</w:t>
      </w:r>
      <w:r>
        <w:rPr>
          <w:rFonts w:hint="eastAsia" w:cs="仿宋" w:asciiTheme="minorEastAsia" w:hAnsiTheme="minorEastAsia" w:eastAsiaTheme="minorEastAsia"/>
          <w:sz w:val="24"/>
          <w:szCs w:val="24"/>
        </w:rPr>
        <w:t>户内型发电机断路器订货技术条件；</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9</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 l105---</w:t>
      </w:r>
      <w:r>
        <w:rPr>
          <w:rFonts w:hint="eastAsia" w:cs="仿宋" w:asciiTheme="minorEastAsia" w:hAnsiTheme="minorEastAsia" w:eastAsiaTheme="minorEastAsia"/>
          <w:sz w:val="24"/>
          <w:szCs w:val="24"/>
        </w:rPr>
        <w:t>内燃机台架性能实验方法；</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10</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 1859---</w:t>
      </w:r>
      <w:r>
        <w:rPr>
          <w:rFonts w:hint="eastAsia" w:cs="仿宋" w:asciiTheme="minorEastAsia" w:hAnsiTheme="minorEastAsia" w:eastAsiaTheme="minorEastAsia"/>
          <w:sz w:val="24"/>
          <w:szCs w:val="24"/>
        </w:rPr>
        <w:t>内燃机噪声测定方法；</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11</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 l2699---</w:t>
      </w:r>
      <w:r>
        <w:rPr>
          <w:rFonts w:hint="eastAsia" w:cs="仿宋" w:asciiTheme="minorEastAsia" w:hAnsiTheme="minorEastAsia" w:eastAsiaTheme="minorEastAsia"/>
          <w:sz w:val="24"/>
          <w:szCs w:val="24"/>
        </w:rPr>
        <w:t>工频柴油发电机组额定功率、电压及转速；</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12</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ZB J91 005---</w:t>
      </w:r>
      <w:r>
        <w:rPr>
          <w:rFonts w:hint="eastAsia" w:cs="仿宋" w:asciiTheme="minorEastAsia" w:hAnsiTheme="minorEastAsia" w:eastAsiaTheme="minorEastAsia"/>
          <w:sz w:val="24"/>
          <w:szCs w:val="24"/>
        </w:rPr>
        <w:t>内燃发电机组轴系扭转振动的限值及测量方法；</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13</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ISO8528---</w:t>
      </w:r>
      <w:r>
        <w:rPr>
          <w:rFonts w:hint="eastAsia" w:cs="仿宋" w:asciiTheme="minorEastAsia" w:hAnsiTheme="minorEastAsia" w:eastAsiaTheme="minorEastAsia"/>
          <w:sz w:val="24"/>
          <w:szCs w:val="24"/>
        </w:rPr>
        <w:t>往复式内燃交流发电机组；</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14</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GB2820---</w:t>
      </w:r>
      <w:r>
        <w:rPr>
          <w:rFonts w:hint="eastAsia" w:cs="仿宋" w:asciiTheme="minorEastAsia" w:hAnsiTheme="minorEastAsia" w:eastAsiaTheme="minorEastAsia"/>
          <w:sz w:val="24"/>
          <w:szCs w:val="24"/>
        </w:rPr>
        <w:t>工频柴油发电机通用技术条件；</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15</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GB/T2820-1999---</w:t>
      </w:r>
      <w:r>
        <w:rPr>
          <w:rFonts w:hint="eastAsia" w:cs="仿宋" w:asciiTheme="minorEastAsia" w:hAnsiTheme="minorEastAsia" w:eastAsiaTheme="minorEastAsia"/>
          <w:sz w:val="24"/>
          <w:szCs w:val="24"/>
        </w:rPr>
        <w:t>往复式内燃机驱动的交流发电机组；</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16</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GB/T4712-1996---</w:t>
      </w:r>
      <w:r>
        <w:rPr>
          <w:rFonts w:hint="eastAsia" w:cs="仿宋" w:asciiTheme="minorEastAsia" w:hAnsiTheme="minorEastAsia" w:eastAsiaTheme="minorEastAsia"/>
          <w:sz w:val="24"/>
          <w:szCs w:val="24"/>
        </w:rPr>
        <w:t>自动化柴油发电机分级要求；</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17</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GB/T12786-1991---</w:t>
      </w:r>
      <w:r>
        <w:rPr>
          <w:rFonts w:hint="eastAsia" w:cs="仿宋" w:asciiTheme="minorEastAsia" w:hAnsiTheme="minorEastAsia" w:eastAsiaTheme="minorEastAsia"/>
          <w:sz w:val="24"/>
          <w:szCs w:val="24"/>
        </w:rPr>
        <w:t>自动化柴油发电机组通用技术条件；</w:t>
      </w:r>
    </w:p>
    <w:p>
      <w:pPr>
        <w:spacing w:line="48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18</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GB/T3614-1994---</w:t>
      </w:r>
      <w:r>
        <w:rPr>
          <w:rFonts w:hint="eastAsia" w:cs="仿宋" w:asciiTheme="minorEastAsia" w:hAnsiTheme="minorEastAsia" w:eastAsiaTheme="minorEastAsia"/>
          <w:sz w:val="24"/>
          <w:szCs w:val="24"/>
        </w:rPr>
        <w:t>柴油发电机安装要求；</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除本技术要求提及的内容外，均符合柴油发电机组有关国家标准及部颁标准（包括各标准的引用标准）。本技术标准中所有设备、备品备件，除本规范书中规定的技术参数和要求及所列标准外，其余均应遵照最新版本的国标（</w:t>
      </w:r>
      <w:r>
        <w:rPr>
          <w:rFonts w:cs="仿宋" w:asciiTheme="minorEastAsia" w:hAnsiTheme="minorEastAsia" w:eastAsiaTheme="minorEastAsia"/>
          <w:sz w:val="24"/>
          <w:szCs w:val="24"/>
        </w:rPr>
        <w:t>GB</w:t>
      </w:r>
      <w:r>
        <w:rPr>
          <w:rFonts w:hint="eastAsia" w:cs="仿宋" w:asciiTheme="minorEastAsia" w:hAnsiTheme="minorEastAsia" w:eastAsiaTheme="minorEastAsia"/>
          <w:sz w:val="24"/>
          <w:szCs w:val="24"/>
        </w:rPr>
        <w:t>）、部标（</w:t>
      </w:r>
      <w:r>
        <w:rPr>
          <w:rFonts w:cs="仿宋" w:asciiTheme="minorEastAsia" w:hAnsiTheme="minorEastAsia" w:eastAsiaTheme="minorEastAsia"/>
          <w:sz w:val="24"/>
          <w:szCs w:val="24"/>
        </w:rPr>
        <w:t>DL</w:t>
      </w:r>
      <w:r>
        <w:rPr>
          <w:rFonts w:hint="eastAsia" w:cs="仿宋" w:asciiTheme="minorEastAsia" w:hAnsiTheme="minorEastAsia" w:eastAsiaTheme="minorEastAsia"/>
          <w:sz w:val="24"/>
          <w:szCs w:val="24"/>
        </w:rPr>
        <w:t>）、国际电工委员会（</w:t>
      </w:r>
      <w:r>
        <w:rPr>
          <w:rFonts w:cs="仿宋" w:asciiTheme="minorEastAsia" w:hAnsiTheme="minorEastAsia" w:eastAsiaTheme="minorEastAsia"/>
          <w:sz w:val="24"/>
          <w:szCs w:val="24"/>
        </w:rPr>
        <w:t>IEC</w:t>
      </w:r>
      <w:r>
        <w:rPr>
          <w:rFonts w:hint="eastAsia" w:cs="仿宋" w:asciiTheme="minorEastAsia" w:hAnsiTheme="minorEastAsia" w:eastAsiaTheme="minorEastAsia"/>
          <w:sz w:val="24"/>
          <w:szCs w:val="24"/>
        </w:rPr>
        <w:t>）标准及国际单位制（</w:t>
      </w:r>
      <w:r>
        <w:rPr>
          <w:rFonts w:cs="仿宋" w:asciiTheme="minorEastAsia" w:hAnsiTheme="minorEastAsia" w:eastAsiaTheme="minorEastAsia"/>
          <w:sz w:val="24"/>
          <w:szCs w:val="24"/>
        </w:rPr>
        <w:t>SI</w:t>
      </w:r>
      <w:r>
        <w:rPr>
          <w:rFonts w:hint="eastAsia" w:cs="仿宋" w:asciiTheme="minorEastAsia" w:hAnsiTheme="minorEastAsia" w:eastAsiaTheme="minorEastAsia"/>
          <w:sz w:val="24"/>
          <w:szCs w:val="24"/>
        </w:rPr>
        <w:t>）。若标准之间出现矛盾时，以高标准为准，选用标准为签订合同时的最新版本。</w:t>
      </w:r>
    </w:p>
    <w:p>
      <w:pPr>
        <w:widowControl/>
        <w:spacing w:line="560" w:lineRule="exact"/>
        <w:jc w:val="left"/>
        <w:rPr>
          <w:rFonts w:hint="eastAsia" w:ascii="宋体" w:hAnsi="宋体" w:cs="宋体"/>
          <w:b/>
          <w:bCs/>
          <w:kern w:val="0"/>
          <w:szCs w:val="21"/>
        </w:rPr>
      </w:pPr>
    </w:p>
    <w:p>
      <w:pPr>
        <w:widowControl/>
        <w:spacing w:line="560" w:lineRule="exact"/>
        <w:ind w:firstLine="422" w:firstLineChars="200"/>
        <w:jc w:val="left"/>
        <w:rPr>
          <w:rFonts w:ascii="宋体" w:hAnsi="宋体" w:cs="宋体"/>
          <w:b/>
          <w:bCs/>
          <w:kern w:val="0"/>
          <w:szCs w:val="21"/>
        </w:rPr>
      </w:pPr>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8" w:type="first"/>
          <w:footerReference r:id="rId7"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36"/>
        <w:spacing w:line="600" w:lineRule="exact"/>
        <w:ind w:right="-63" w:rightChars="-30"/>
        <w:rPr>
          <w:rFonts w:asciiTheme="minorEastAsia" w:hAnsiTheme="minorEastAsia" w:eastAsiaTheme="minorEastAsia" w:cstheme="minorEastAsia"/>
          <w:sz w:val="36"/>
          <w:szCs w:val="36"/>
        </w:rPr>
      </w:pPr>
    </w:p>
    <w:p>
      <w:pPr>
        <w:pStyle w:val="36"/>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6"/>
      <w:bookmarkEnd w:id="247"/>
      <w:bookmarkEnd w:id="248"/>
      <w:bookmarkEnd w:id="249"/>
    </w:p>
    <w:p>
      <w:pPr>
        <w:rPr>
          <w:rFonts w:asciiTheme="minorEastAsia" w:hAnsiTheme="minorEastAsia" w:eastAsiaTheme="minorEastAsia" w:cstheme="minorEastAsia"/>
        </w:rPr>
      </w:pPr>
      <w:bookmarkStart w:id="250" w:name="_Toc27452"/>
      <w:bookmarkStart w:id="251" w:name="_Toc402961301"/>
      <w:bookmarkStart w:id="252" w:name="_Toc403122573"/>
      <w:bookmarkStart w:id="253" w:name="_Toc18905"/>
    </w:p>
    <w:p>
      <w:pP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 xml:space="preserve">                 </w:t>
      </w:r>
      <w:bookmarkEnd w:id="250"/>
      <w:bookmarkEnd w:id="251"/>
      <w:bookmarkEnd w:id="252"/>
      <w:bookmarkEnd w:id="253"/>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39"/>
      </w:pPr>
    </w:p>
    <w:p>
      <w:pPr>
        <w:pStyle w:val="39"/>
      </w:pPr>
    </w:p>
    <w:p>
      <w:pPr>
        <w:pStyle w:val="39"/>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1"/>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21"/>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4"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5" w:name="_Toc1921"/>
      <w:r>
        <w:rPr>
          <w:rFonts w:hint="eastAsia" w:asciiTheme="minorEastAsia" w:hAnsiTheme="minorEastAsia" w:eastAsiaTheme="minorEastAsia" w:cstheme="minorEastAsia"/>
          <w:b/>
          <w:bCs/>
          <w:sz w:val="30"/>
          <w:szCs w:val="30"/>
        </w:rPr>
        <w:t>一、投标函</w:t>
      </w:r>
      <w:bookmarkEnd w:id="254"/>
      <w:r>
        <w:rPr>
          <w:rFonts w:hint="eastAsia" w:asciiTheme="minorEastAsia" w:hAnsiTheme="minorEastAsia" w:eastAsiaTheme="minorEastAsia" w:cstheme="minorEastAsia"/>
          <w:b/>
          <w:bCs/>
          <w:sz w:val="30"/>
          <w:szCs w:val="30"/>
        </w:rPr>
        <w:t>及开标一览表</w:t>
      </w:r>
      <w:bookmarkEnd w:id="255"/>
    </w:p>
    <w:p>
      <w:pPr>
        <w:jc w:val="center"/>
        <w:outlineLvl w:val="2"/>
        <w:rPr>
          <w:rFonts w:asciiTheme="minorEastAsia" w:hAnsiTheme="minorEastAsia" w:eastAsiaTheme="minorEastAsia" w:cstheme="minorEastAsia"/>
          <w:b/>
          <w:bCs/>
          <w:sz w:val="28"/>
        </w:rPr>
      </w:pPr>
      <w:bookmarkStart w:id="256" w:name="_Toc27218"/>
      <w:bookmarkStart w:id="257" w:name="_Toc12044"/>
      <w:bookmarkStart w:id="258" w:name="_Toc600"/>
      <w:r>
        <w:rPr>
          <w:rFonts w:hint="eastAsia" w:asciiTheme="minorEastAsia" w:hAnsiTheme="minorEastAsia" w:eastAsiaTheme="minorEastAsia" w:cstheme="minorEastAsia"/>
          <w:b/>
          <w:sz w:val="28"/>
          <w:szCs w:val="28"/>
        </w:rPr>
        <w:t>（一）投标函</w:t>
      </w:r>
      <w:bookmarkEnd w:id="256"/>
      <w:bookmarkEnd w:id="257"/>
      <w:bookmarkEnd w:id="258"/>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10"/>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10"/>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0"/>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0"/>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10"/>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年月日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59" w:name="_Toc208"/>
      <w:bookmarkStart w:id="260" w:name="_Toc9543"/>
      <w:bookmarkStart w:id="261" w:name="_Toc14778"/>
      <w:r>
        <w:rPr>
          <w:rFonts w:hint="eastAsia" w:asciiTheme="minorEastAsia" w:hAnsiTheme="minorEastAsia" w:eastAsiaTheme="minorEastAsia" w:cstheme="minorEastAsia"/>
          <w:b/>
          <w:bCs/>
          <w:sz w:val="28"/>
          <w:szCs w:val="28"/>
        </w:rPr>
        <w:t>（二） 开标一览表</w:t>
      </w:r>
      <w:bookmarkEnd w:id="259"/>
      <w:bookmarkEnd w:id="260"/>
      <w:bookmarkEnd w:id="261"/>
    </w:p>
    <w:p>
      <w:pPr>
        <w:jc w:val="center"/>
        <w:rPr>
          <w:rFonts w:asciiTheme="minorEastAsia" w:hAnsiTheme="minorEastAsia" w:eastAsiaTheme="minorEastAsia" w:cstheme="minorEastAsia"/>
          <w:b/>
          <w:bCs/>
          <w:sz w:val="28"/>
        </w:rPr>
      </w:pPr>
    </w:p>
    <w:tbl>
      <w:tblPr>
        <w:tblStyle w:val="4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7"/>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7"/>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spacing w:line="440" w:lineRule="exact"/>
        <w:ind w:firstLine="443" w:firstLineChars="147"/>
        <w:jc w:val="center"/>
        <w:rPr>
          <w:rFonts w:ascii="宋体" w:hAnsi="宋体" w:cs="宋体"/>
          <w:b/>
          <w:sz w:val="30"/>
          <w:szCs w:val="30"/>
        </w:rPr>
      </w:pPr>
      <w:r>
        <w:rPr>
          <w:rFonts w:hint="eastAsia" w:ascii="宋体" w:hAnsi="宋体" w:cs="宋体"/>
          <w:b/>
          <w:sz w:val="30"/>
          <w:szCs w:val="30"/>
        </w:rPr>
        <w:t>（三）报价明细表</w:t>
      </w:r>
    </w:p>
    <w:p>
      <w:pPr>
        <w:spacing w:line="440" w:lineRule="exact"/>
        <w:ind w:firstLine="310" w:firstLineChars="147"/>
        <w:rPr>
          <w:rFonts w:ascii="宋体" w:hAnsi="宋体" w:cs="宋体"/>
          <w:b/>
          <w:szCs w:val="21"/>
        </w:rPr>
      </w:pPr>
    </w:p>
    <w:tbl>
      <w:tblPr>
        <w:tblStyle w:val="40"/>
        <w:tblW w:w="93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164"/>
        <w:gridCol w:w="1155"/>
        <w:gridCol w:w="945"/>
        <w:gridCol w:w="1515"/>
        <w:gridCol w:w="133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1226"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both"/>
              <w:rPr>
                <w:rFonts w:hint="default"/>
                <w:b/>
              </w:rPr>
            </w:pPr>
            <w:r>
              <w:rPr>
                <w:rFonts w:hint="eastAsia"/>
                <w:b/>
              </w:rPr>
              <w:t>货物名称</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投标货物</w:t>
            </w:r>
          </w:p>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品牌、型号、技术参数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单位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数量</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firstLine="236" w:firstLineChars="98"/>
              <w:jc w:val="center"/>
              <w:rPr>
                <w:rFonts w:hint="default"/>
                <w:b/>
              </w:rPr>
            </w:pPr>
          </w:p>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单价（元）</w:t>
            </w:r>
          </w:p>
          <w:p>
            <w:pPr>
              <w:pStyle w:val="35"/>
              <w:keepNext w:val="0"/>
              <w:keepLines w:val="0"/>
              <w:widowControl w:val="0"/>
              <w:suppressLineNumbers w:val="0"/>
              <w:adjustRightInd w:val="0"/>
              <w:spacing w:before="0" w:beforeAutospacing="0" w:after="0" w:afterAutospacing="0" w:line="480" w:lineRule="exact"/>
              <w:ind w:left="0" w:right="0" w:firstLine="236" w:firstLineChars="98"/>
              <w:jc w:val="center"/>
              <w:rPr>
                <w:rFonts w:hint="default"/>
                <w:b/>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both"/>
              <w:rPr>
                <w:rFonts w:hint="default"/>
                <w:b/>
              </w:rPr>
            </w:pPr>
            <w:r>
              <w:rPr>
                <w:rFonts w:hint="eastAsia"/>
                <w:b/>
              </w:rPr>
              <w:t>合价（元）</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default"/>
                <w:b/>
              </w:rPr>
            </w:pPr>
          </w:p>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eastAsia" w:eastAsia="宋体"/>
                <w:b/>
                <w:lang w:eastAsia="zh-CN"/>
              </w:rPr>
            </w:pPr>
            <w:r>
              <w:rPr>
                <w:rFonts w:hint="eastAsia"/>
                <w:b/>
              </w:rPr>
              <w:t>备注</w:t>
            </w:r>
          </w:p>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eastAsia"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sz w:val="24"/>
              </w:rPr>
            </w:pPr>
            <w:r>
              <w:rPr>
                <w:rFonts w:hint="eastAsia" w:ascii="宋体" w:hAnsi="宋体" w:cs="宋体"/>
                <w:b/>
                <w:sz w:val="24"/>
              </w:rPr>
              <w:t>合计（元）</w:t>
            </w:r>
          </w:p>
        </w:tc>
        <w:tc>
          <w:tcPr>
            <w:tcW w:w="807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sz w:val="24"/>
              </w:rPr>
            </w:pPr>
            <w:r>
              <w:rPr>
                <w:rFonts w:hint="eastAsia" w:ascii="宋体" w:hAnsi="宋体" w:cs="宋体"/>
                <w:sz w:val="24"/>
              </w:rPr>
              <w:t>大写：                                 小写：</w:t>
            </w:r>
          </w:p>
        </w:tc>
      </w:tr>
    </w:tbl>
    <w:p>
      <w:pPr>
        <w:spacing w:line="480" w:lineRule="exact"/>
        <w:rPr>
          <w:rFonts w:ascii="宋体" w:hAnsi="宋体" w:cs="宋体"/>
          <w:sz w:val="24"/>
        </w:rPr>
      </w:pPr>
      <w:r>
        <w:rPr>
          <w:rFonts w:hint="eastAsia" w:ascii="宋体" w:hAnsi="宋体" w:cs="宋体"/>
          <w:sz w:val="24"/>
        </w:rPr>
        <w:t xml:space="preserve"> </w:t>
      </w:r>
    </w:p>
    <w:p>
      <w:pPr>
        <w:spacing w:line="480" w:lineRule="exact"/>
        <w:ind w:left="6660" w:hanging="6660" w:hangingChars="2775"/>
        <w:rPr>
          <w:rFonts w:ascii="宋体" w:hAnsi="宋体" w:cs="宋体"/>
          <w:sz w:val="24"/>
        </w:rPr>
      </w:pPr>
      <w:r>
        <w:rPr>
          <w:rFonts w:hint="eastAsia" w:ascii="宋体" w:hAnsi="宋体" w:cs="宋体"/>
          <w:sz w:val="24"/>
        </w:rPr>
        <w:t xml:space="preserve">                               </w:t>
      </w:r>
    </w:p>
    <w:p>
      <w:pPr>
        <w:ind w:firstLine="3240" w:firstLineChars="1350"/>
        <w:rPr>
          <w:rFonts w:ascii="宋体" w:hAnsi="宋体" w:eastAsia="宋体" w:cs="宋体"/>
          <w:sz w:val="24"/>
        </w:rPr>
      </w:pPr>
      <w:r>
        <w:rPr>
          <w:rFonts w:hint="eastAsia" w:ascii="宋体" w:hAnsi="宋体" w:eastAsia="宋体" w:cs="宋体"/>
          <w:sz w:val="24"/>
        </w:rPr>
        <w:t>供应商：（单位公章）</w:t>
      </w:r>
    </w:p>
    <w:p>
      <w:pPr>
        <w:ind w:left="1050" w:leftChars="500"/>
        <w:jc w:val="center"/>
        <w:rPr>
          <w:rFonts w:ascii="宋体" w:hAnsi="宋体" w:eastAsia="宋体" w:cs="宋体"/>
          <w:sz w:val="24"/>
        </w:rPr>
      </w:pPr>
      <w:r>
        <w:rPr>
          <w:rFonts w:hint="eastAsia" w:ascii="宋体" w:hAnsi="宋体" w:eastAsia="宋体" w:cs="宋体"/>
          <w:sz w:val="24"/>
        </w:rPr>
        <w:t xml:space="preserve">    </w:t>
      </w:r>
    </w:p>
    <w:p>
      <w:pPr>
        <w:ind w:left="1050" w:leftChars="500"/>
        <w:jc w:val="center"/>
        <w:rPr>
          <w:rFonts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szCs w:val="20"/>
        </w:rPr>
        <w:t>或其委托代理人</w:t>
      </w:r>
      <w:r>
        <w:rPr>
          <w:rFonts w:hint="eastAsia" w:ascii="宋体" w:hAnsi="宋体" w:eastAsia="宋体" w:cs="宋体"/>
          <w:sz w:val="24"/>
        </w:rPr>
        <w:t>：（签字或盖章）</w:t>
      </w:r>
    </w:p>
    <w:p>
      <w:pPr>
        <w:ind w:left="1050" w:leftChars="500"/>
        <w:jc w:val="center"/>
        <w:rPr>
          <w:rFonts w:ascii="宋体" w:hAnsi="宋体" w:eastAsia="宋体" w:cs="宋体"/>
          <w:sz w:val="24"/>
        </w:rPr>
      </w:pPr>
    </w:p>
    <w:p>
      <w:pPr>
        <w:ind w:left="1050" w:leftChars="500"/>
        <w:jc w:val="center"/>
        <w:rPr>
          <w:rFonts w:ascii="宋体" w:hAnsi="宋体" w:eastAsia="宋体" w:cs="宋体"/>
          <w:sz w:val="24"/>
        </w:rPr>
      </w:pPr>
      <w:r>
        <w:rPr>
          <w:rFonts w:hint="eastAsia" w:ascii="宋体" w:hAnsi="宋体" w:eastAsia="宋体" w:cs="宋体"/>
          <w:sz w:val="24"/>
        </w:rPr>
        <w:t xml:space="preserve">                日  期：     年   月   日</w:t>
      </w:r>
    </w:p>
    <w:p>
      <w:pPr>
        <w:pStyle w:val="36"/>
        <w:spacing w:before="120" w:after="120" w:line="500" w:lineRule="exact"/>
        <w:ind w:right="29" w:rightChars="14"/>
        <w:outlineLvl w:val="1"/>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四</w:t>
      </w:r>
      <w:r>
        <w:rPr>
          <w:rFonts w:hint="eastAsia" w:ascii="宋体" w:hAnsi="宋体" w:cs="宋体"/>
          <w:b/>
          <w:sz w:val="30"/>
          <w:szCs w:val="30"/>
          <w:lang w:eastAsia="zh-CN"/>
        </w:rPr>
        <w:t>）</w:t>
      </w:r>
      <w:r>
        <w:rPr>
          <w:rFonts w:hint="eastAsia" w:ascii="宋体" w:hAnsi="宋体" w:cs="宋体"/>
          <w:b/>
          <w:sz w:val="30"/>
          <w:szCs w:val="30"/>
        </w:rPr>
        <w:t>技术偏离表</w:t>
      </w:r>
    </w:p>
    <w:p>
      <w:pPr>
        <w:spacing w:line="440" w:lineRule="exact"/>
        <w:rPr>
          <w:rFonts w:ascii="宋体" w:hAnsi="宋体" w:cs="宋体"/>
          <w:sz w:val="32"/>
        </w:rPr>
      </w:pPr>
    </w:p>
    <w:tbl>
      <w:tblPr>
        <w:tblStyle w:val="40"/>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886"/>
        <w:gridCol w:w="2010"/>
        <w:gridCol w:w="2135"/>
        <w:gridCol w:w="2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55"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141" w:right="0"/>
              <w:rPr>
                <w:rFonts w:hint="default" w:ascii="宋体" w:hAnsi="宋体" w:cs="宋体"/>
                <w:b/>
                <w:sz w:val="24"/>
              </w:rPr>
            </w:pPr>
            <w:r>
              <w:rPr>
                <w:rFonts w:hint="eastAsia" w:ascii="宋体" w:hAnsi="宋体" w:cs="宋体"/>
                <w:b/>
                <w:sz w:val="24"/>
              </w:rPr>
              <w:t xml:space="preserve">  序号</w:t>
            </w:r>
          </w:p>
        </w:tc>
        <w:tc>
          <w:tcPr>
            <w:tcW w:w="1886"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货物名称</w:t>
            </w:r>
          </w:p>
        </w:tc>
        <w:tc>
          <w:tcPr>
            <w:tcW w:w="201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招标技术要求</w:t>
            </w:r>
          </w:p>
        </w:tc>
        <w:tc>
          <w:tcPr>
            <w:tcW w:w="213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投标货物实际技术规格</w:t>
            </w:r>
          </w:p>
        </w:tc>
        <w:tc>
          <w:tcPr>
            <w:tcW w:w="2556"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偏离说明</w:t>
            </w:r>
          </w:p>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widowControl w:val="0"/>
              <w:suppressLineNumbers w:val="0"/>
              <w:tabs>
                <w:tab w:val="left" w:pos="420"/>
              </w:tabs>
              <w:spacing w:before="0" w:beforeAutospacing="0" w:after="0" w:afterAutospacing="0" w:line="440" w:lineRule="exact"/>
              <w:ind w:left="0" w:right="0"/>
              <w:jc w:val="both"/>
              <w:rPr>
                <w:rFonts w:hint="default"/>
                <w:bCs/>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1"/>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1"/>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eastAsia="宋体" w:cs="宋体"/>
          <w:sz w:val="24"/>
        </w:rPr>
      </w:pPr>
    </w:p>
    <w:p>
      <w:pPr>
        <w:spacing w:line="600" w:lineRule="exact"/>
        <w:rPr>
          <w:rFonts w:ascii="宋体" w:hAnsi="宋体" w:eastAsia="宋体" w:cs="宋体"/>
          <w:sz w:val="24"/>
          <w:u w:val="single"/>
        </w:rPr>
      </w:pPr>
      <w:r>
        <w:rPr>
          <w:rFonts w:hint="eastAsia" w:ascii="宋体" w:hAnsi="宋体" w:eastAsia="宋体" w:cs="宋体"/>
          <w:sz w:val="24"/>
        </w:rPr>
        <w:t>投标单位名称（盖章）：</w:t>
      </w:r>
      <w:r>
        <w:rPr>
          <w:rFonts w:hint="eastAsia" w:ascii="宋体" w:hAnsi="宋体" w:eastAsia="宋体" w:cs="宋体"/>
          <w:sz w:val="24"/>
          <w:u w:val="single"/>
        </w:rPr>
        <w:t xml:space="preserve">                              </w:t>
      </w:r>
    </w:p>
    <w:p>
      <w:pPr>
        <w:spacing w:line="600" w:lineRule="exact"/>
        <w:rPr>
          <w:rFonts w:ascii="宋体" w:hAnsi="宋体" w:eastAsia="宋体" w:cs="宋体"/>
          <w:sz w:val="24"/>
        </w:rPr>
      </w:pPr>
      <w:r>
        <w:rPr>
          <w:rFonts w:hint="eastAsia" w:ascii="宋体" w:hAnsi="宋体" w:eastAsia="宋体" w:cs="宋体"/>
          <w:sz w:val="24"/>
        </w:rPr>
        <w:t>法人代表或授权委托人（签字或盖章）：</w:t>
      </w:r>
      <w:r>
        <w:rPr>
          <w:rFonts w:hint="eastAsia" w:ascii="宋体" w:hAnsi="宋体" w:eastAsia="宋体" w:cs="宋体"/>
          <w:sz w:val="24"/>
          <w:u w:val="single"/>
        </w:rPr>
        <w:t xml:space="preserve">                 </w:t>
      </w:r>
    </w:p>
    <w:p>
      <w:pPr>
        <w:ind w:firstLine="480"/>
        <w:rPr>
          <w:rFonts w:ascii="宋体" w:hAnsi="宋体" w:eastAsia="宋体" w:cs="宋体"/>
        </w:rPr>
      </w:pPr>
      <w:r>
        <w:rPr>
          <w:rFonts w:hint="eastAsia" w:ascii="宋体" w:hAnsi="宋体" w:eastAsia="宋体" w:cs="宋体"/>
          <w:sz w:val="24"/>
        </w:rPr>
        <w:t xml:space="preserve">                                         年    月    日  </w:t>
      </w: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30"/>
          <w:szCs w:val="30"/>
        </w:rPr>
      </w:pPr>
      <w:bookmarkStart w:id="262" w:name="_Toc5614"/>
      <w:bookmarkStart w:id="263" w:name="_Toc2213"/>
      <w:r>
        <w:rPr>
          <w:rFonts w:hint="eastAsia" w:asciiTheme="minorEastAsia" w:hAnsiTheme="minorEastAsia" w:eastAsiaTheme="minorEastAsia" w:cstheme="minorEastAsia"/>
          <w:sz w:val="30"/>
          <w:szCs w:val="30"/>
        </w:rPr>
        <w:t>二、法定代表人身份证明书</w:t>
      </w:r>
      <w:bookmarkEnd w:id="262"/>
      <w:bookmarkEnd w:id="263"/>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bookmarkStart w:id="264" w:name="_Toc6009"/>
    </w:p>
    <w:p>
      <w:pPr>
        <w:pStyle w:val="36"/>
        <w:spacing w:before="120" w:after="120" w:line="500" w:lineRule="exact"/>
        <w:ind w:right="29" w:rightChars="14"/>
        <w:jc w:val="center"/>
        <w:outlineLvl w:val="1"/>
        <w:rPr>
          <w:rFonts w:asciiTheme="minorEastAsia" w:hAnsiTheme="minorEastAsia" w:eastAsiaTheme="minorEastAsia" w:cstheme="minorEastAsia"/>
          <w:sz w:val="30"/>
          <w:szCs w:val="30"/>
        </w:rPr>
      </w:pPr>
      <w:bookmarkStart w:id="265" w:name="_Toc15395"/>
      <w:r>
        <w:rPr>
          <w:rFonts w:hint="eastAsia" w:asciiTheme="minorEastAsia" w:hAnsiTheme="minorEastAsia" w:eastAsiaTheme="minorEastAsia" w:cstheme="minorEastAsia"/>
          <w:sz w:val="30"/>
          <w:szCs w:val="30"/>
        </w:rPr>
        <w:t>三、授权委托书</w:t>
      </w:r>
      <w:bookmarkEnd w:id="264"/>
      <w:bookmarkEnd w:id="265"/>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6" w:name="_Toc19057"/>
      <w:r>
        <w:rPr>
          <w:rFonts w:hint="eastAsia" w:asciiTheme="minorEastAsia" w:hAnsiTheme="minorEastAsia" w:eastAsiaTheme="minorEastAsia" w:cstheme="minorEastAsia"/>
          <w:b/>
          <w:sz w:val="32"/>
          <w:szCs w:val="32"/>
        </w:rPr>
        <w:t>四、投标承诺函</w:t>
      </w:r>
      <w:bookmarkEnd w:id="266"/>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4、不存在法律法规规定的其他违法违规行为。</w:t>
      </w:r>
    </w:p>
    <w:p>
      <w:pPr>
        <w:pStyle w:val="2"/>
        <w:rPr>
          <w:rFonts w:hint="eastAsia"/>
          <w:lang w:eastAsia="zh-CN"/>
        </w:rPr>
      </w:pP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val="0"/>
          <w:sz w:val="30"/>
          <w:szCs w:val="30"/>
        </w:rPr>
      </w:pPr>
      <w:bookmarkStart w:id="267" w:name="_Toc8304"/>
      <w:r>
        <w:rPr>
          <w:rFonts w:hint="eastAsia" w:asciiTheme="minorEastAsia" w:hAnsiTheme="minorEastAsia" w:eastAsiaTheme="minorEastAsia" w:cstheme="minorEastAsia"/>
          <w:b/>
          <w:bCs w:val="0"/>
          <w:kern w:val="2"/>
          <w:sz w:val="30"/>
          <w:szCs w:val="30"/>
        </w:rPr>
        <w:t>五、项目供货及安装保证措施、售后服务方案</w:t>
      </w:r>
      <w:bookmarkEnd w:id="267"/>
      <w:r>
        <w:rPr>
          <w:rFonts w:hint="eastAsia" w:asciiTheme="minorEastAsia" w:hAnsiTheme="minorEastAsia" w:eastAsiaTheme="minorEastAsia" w:cstheme="minorEastAsia"/>
          <w:b/>
          <w:bCs w:val="0"/>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68" w:name="_Toc10043"/>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9" w:name="_Toc20650"/>
      <w:bookmarkStart w:id="270" w:name="_Toc29492"/>
      <w:r>
        <w:rPr>
          <w:rFonts w:hint="eastAsia" w:asciiTheme="minorEastAsia" w:hAnsiTheme="minorEastAsia" w:eastAsiaTheme="minorEastAsia" w:cstheme="minorEastAsia"/>
          <w:b/>
          <w:kern w:val="2"/>
          <w:sz w:val="30"/>
          <w:szCs w:val="30"/>
        </w:rPr>
        <w:t>六、资格证明文件</w:t>
      </w:r>
      <w:bookmarkEnd w:id="268"/>
      <w:bookmarkEnd w:id="269"/>
      <w:bookmarkEnd w:id="270"/>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39"/>
        <w:ind w:firstLine="482"/>
        <w:rPr>
          <w:b/>
          <w:bCs/>
        </w:rPr>
      </w:pPr>
      <w:r>
        <w:rPr>
          <w:rFonts w:hint="eastAsia"/>
          <w:b/>
          <w:bCs/>
          <w:sz w:val="24"/>
        </w:rPr>
        <w:t>备注：以上资格证明文件须提供原件的扫描件。</w:t>
      </w:r>
    </w:p>
    <w:p>
      <w:pPr>
        <w:pStyle w:val="39"/>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8"/>
        <w:ind w:firstLine="281"/>
        <w:rPr>
          <w:rFonts w:hint="default"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1" w:name="_Toc8330"/>
      <w:bookmarkStart w:id="272" w:name="_Toc6465"/>
      <w:bookmarkStart w:id="273" w:name="_Toc31553"/>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numPr>
          <w:ilvl w:val="0"/>
          <w:numId w:val="12"/>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1"/>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4" w:name="_Toc18925"/>
      <w:bookmarkStart w:id="275" w:name="_Toc24210"/>
      <w:bookmarkStart w:id="276" w:name="_Toc28422"/>
      <w:r>
        <w:rPr>
          <w:rFonts w:hint="eastAsia" w:asciiTheme="minorEastAsia" w:hAnsiTheme="minorEastAsia" w:eastAsiaTheme="minorEastAsia" w:cstheme="minorEastAsia"/>
          <w:b/>
          <w:kern w:val="2"/>
          <w:sz w:val="30"/>
          <w:szCs w:val="30"/>
        </w:rPr>
        <w:t>证明材料</w:t>
      </w:r>
      <w:bookmarkEnd w:id="272"/>
      <w:bookmarkEnd w:id="274"/>
      <w:bookmarkEnd w:id="275"/>
      <w:bookmarkEnd w:id="276"/>
      <w:r>
        <w:rPr>
          <w:rFonts w:hint="eastAsia" w:asciiTheme="minorEastAsia" w:hAnsiTheme="minorEastAsia" w:eastAsiaTheme="minorEastAsia" w:cstheme="minorEastAsia"/>
          <w:b/>
          <w:kern w:val="2"/>
          <w:sz w:val="30"/>
          <w:szCs w:val="30"/>
        </w:rPr>
        <w:t>（如有）</w:t>
      </w: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7" w:name="_Toc10717"/>
      <w:bookmarkStart w:id="278" w:name="_Toc23227"/>
      <w:r>
        <w:rPr>
          <w:rFonts w:hint="eastAsia" w:asciiTheme="minorEastAsia" w:hAnsiTheme="minorEastAsia" w:eastAsiaTheme="minorEastAsia" w:cstheme="minorEastAsia"/>
          <w:b/>
          <w:kern w:val="2"/>
          <w:sz w:val="30"/>
          <w:szCs w:val="30"/>
        </w:rPr>
        <w:t>九、中小企业声明函（如有）</w:t>
      </w:r>
      <w:bookmarkEnd w:id="277"/>
      <w:bookmarkEnd w:id="278"/>
    </w:p>
    <w:p>
      <w:pPr>
        <w:pStyle w:val="35"/>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79" w:name="_Toc20881"/>
      <w:bookmarkStart w:id="280" w:name="_Toc30170"/>
      <w:bookmarkStart w:id="281" w:name="_Toc14292"/>
      <w:r>
        <w:rPr>
          <w:rFonts w:hint="eastAsia" w:asciiTheme="minorEastAsia" w:hAnsiTheme="minorEastAsia" w:eastAsiaTheme="minorEastAsia" w:cstheme="minorEastAsia"/>
          <w:b/>
          <w:kern w:val="2"/>
          <w:sz w:val="30"/>
          <w:szCs w:val="30"/>
        </w:rPr>
        <w:t>十、残疾人福利性单位声明函（如有）</w:t>
      </w:r>
      <w:bookmarkEnd w:id="279"/>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73"/>
    <w:bookmarkEnd w:id="280"/>
    <w:bookmarkEnd w:id="281"/>
    <w:p>
      <w:pPr>
        <w:rPr>
          <w:rFonts w:ascii="Times New Roman" w:hAnsi="Times New Roman" w:eastAsia="仿宋"/>
          <w:sz w:val="32"/>
          <w:szCs w:val="32"/>
          <w:shd w:val="clear" w:color="FFFFFF" w:fill="D9D9D9"/>
        </w:rPr>
      </w:pPr>
    </w:p>
    <w:p>
      <w:pPr>
        <w:pStyle w:val="7"/>
        <w:rPr>
          <w:shd w:val="clear" w:color="FFFFFF" w:fill="D9D9D9"/>
        </w:rPr>
      </w:pPr>
    </w:p>
    <w:p>
      <w:pPr>
        <w:pStyle w:val="35"/>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3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2"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2"/>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230"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187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325"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1876"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187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footerReference r:id="rId9"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w:r>
    <w:r>
      <w:pict>
        <v:shape id="_x0000_s3076" o:spid="_x0000_s307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Text Box 3" o:spid="_x0000_s3080" o:spt="202" type="#_x0000_t202" style="position:absolute;left:0pt;margin-left:200.9pt;margin-top:-14.2pt;height:33.35pt;width:58.5pt;mso-position-horizontal-relative:margin;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00wrA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">
          <v:path/>
          <v:fill on="f" focussize="0,0"/>
          <v:stroke on="f" joinstyle="miter"/>
          <v:imagedata o:title=""/>
          <o:lock v:ext="edit"/>
          <v:textbox inset="0mm,0mm,0mm,0mm">
            <w:txbxContent>
              <w:p>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Text Box 4" o:spid="_x0000_s3081"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w:pict>
        <v:shape id="_x0000_s3073" o:spid="_x0000_s3073"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- 34 -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83DC81A2"/>
    <w:multiLevelType w:val="singleLevel"/>
    <w:tmpl w:val="83DC81A2"/>
    <w:lvl w:ilvl="0" w:tentative="0">
      <w:start w:val="1"/>
      <w:numFmt w:val="chineseCounting"/>
      <w:suff w:val="nothing"/>
      <w:lvlText w:val="%1、"/>
      <w:lvlJc w:val="left"/>
      <w:rPr>
        <w:rFonts w:hint="eastAsia"/>
      </w:rPr>
    </w:lvl>
  </w:abstractNum>
  <w:abstractNum w:abstractNumId="2">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6A8FD69"/>
    <w:multiLevelType w:val="singleLevel"/>
    <w:tmpl w:val="D6A8FD69"/>
    <w:lvl w:ilvl="0" w:tentative="0">
      <w:start w:val="7"/>
      <w:numFmt w:val="chineseCounting"/>
      <w:suff w:val="nothing"/>
      <w:lvlText w:val="%1、"/>
      <w:lvlJc w:val="left"/>
      <w:rPr>
        <w:rFonts w:hint="eastAsia"/>
      </w:r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4"/>
    <w:multiLevelType w:val="multilevel"/>
    <w:tmpl w:val="00000004"/>
    <w:lvl w:ilvl="0" w:tentative="0">
      <w:start w:val="1"/>
      <w:numFmt w:val="decimal"/>
      <w:pStyle w:val="111"/>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C58BAF0"/>
    <w:multiLevelType w:val="singleLevel"/>
    <w:tmpl w:val="1C58BAF0"/>
    <w:lvl w:ilvl="0" w:tentative="0">
      <w:start w:val="1"/>
      <w:numFmt w:val="decimal"/>
      <w:suff w:val="nothing"/>
      <w:lvlText w:val="（%1）"/>
      <w:lvlJc w:val="left"/>
    </w:lvl>
  </w:abstractNum>
  <w:abstractNum w:abstractNumId="9">
    <w:nsid w:val="59CCA2E1"/>
    <w:multiLevelType w:val="singleLevel"/>
    <w:tmpl w:val="59CCA2E1"/>
    <w:lvl w:ilvl="0" w:tentative="0">
      <w:start w:val="1"/>
      <w:numFmt w:val="decimal"/>
      <w:suff w:val="nothing"/>
      <w:lvlText w:val="（%1）"/>
      <w:lvlJc w:val="left"/>
    </w:lvl>
  </w:abstractNum>
  <w:abstractNum w:abstractNumId="10">
    <w:nsid w:val="5A693C2F"/>
    <w:multiLevelType w:val="singleLevel"/>
    <w:tmpl w:val="5A693C2F"/>
    <w:lvl w:ilvl="0" w:tentative="0">
      <w:start w:val="3"/>
      <w:numFmt w:val="chineseCounting"/>
      <w:suff w:val="space"/>
      <w:lvlText w:val="第%1章"/>
      <w:lvlJc w:val="left"/>
    </w:lvl>
  </w:abstractNum>
  <w:abstractNum w:abstractNumId="11">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11"/>
  </w:num>
  <w:num w:numId="3">
    <w:abstractNumId w:val="0"/>
  </w:num>
  <w:num w:numId="4">
    <w:abstractNumId w:val="6"/>
  </w:num>
  <w:num w:numId="5">
    <w:abstractNumId w:val="10"/>
  </w:num>
  <w:num w:numId="6">
    <w:abstractNumId w:val="2"/>
  </w:num>
  <w:num w:numId="7">
    <w:abstractNumId w:val="8"/>
  </w:num>
  <w:num w:numId="8">
    <w:abstractNumId w:val="4"/>
  </w:num>
  <w:num w:numId="9">
    <w:abstractNumId w:val="1"/>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07F7"/>
    <w:rsid w:val="0001346A"/>
    <w:rsid w:val="00063AF6"/>
    <w:rsid w:val="00076BE7"/>
    <w:rsid w:val="000A6C62"/>
    <w:rsid w:val="000B39BA"/>
    <w:rsid w:val="00107925"/>
    <w:rsid w:val="00166522"/>
    <w:rsid w:val="00216421"/>
    <w:rsid w:val="00221091"/>
    <w:rsid w:val="00225CFB"/>
    <w:rsid w:val="00253C5A"/>
    <w:rsid w:val="00284820"/>
    <w:rsid w:val="002A2493"/>
    <w:rsid w:val="002A615E"/>
    <w:rsid w:val="002C1302"/>
    <w:rsid w:val="002C2B66"/>
    <w:rsid w:val="00323857"/>
    <w:rsid w:val="00361BC5"/>
    <w:rsid w:val="0036575F"/>
    <w:rsid w:val="00367F1D"/>
    <w:rsid w:val="003D7AE1"/>
    <w:rsid w:val="00402E99"/>
    <w:rsid w:val="00407805"/>
    <w:rsid w:val="004406E3"/>
    <w:rsid w:val="00455C00"/>
    <w:rsid w:val="00462D90"/>
    <w:rsid w:val="004A0AB5"/>
    <w:rsid w:val="004A2465"/>
    <w:rsid w:val="004B5D60"/>
    <w:rsid w:val="004C597B"/>
    <w:rsid w:val="004F7D2F"/>
    <w:rsid w:val="0054352A"/>
    <w:rsid w:val="005673A3"/>
    <w:rsid w:val="005A353E"/>
    <w:rsid w:val="005F7ECF"/>
    <w:rsid w:val="00627B00"/>
    <w:rsid w:val="00661C96"/>
    <w:rsid w:val="006C19CE"/>
    <w:rsid w:val="006D0538"/>
    <w:rsid w:val="006E30FC"/>
    <w:rsid w:val="006F5C16"/>
    <w:rsid w:val="007017D0"/>
    <w:rsid w:val="007278C0"/>
    <w:rsid w:val="00793577"/>
    <w:rsid w:val="007B73C5"/>
    <w:rsid w:val="007F2A90"/>
    <w:rsid w:val="008135DE"/>
    <w:rsid w:val="008622AE"/>
    <w:rsid w:val="008849BB"/>
    <w:rsid w:val="008A0147"/>
    <w:rsid w:val="008A46C7"/>
    <w:rsid w:val="008C7300"/>
    <w:rsid w:val="00910B21"/>
    <w:rsid w:val="00935B6C"/>
    <w:rsid w:val="00956B37"/>
    <w:rsid w:val="009E601D"/>
    <w:rsid w:val="009F3EFB"/>
    <w:rsid w:val="009F60AB"/>
    <w:rsid w:val="00A101A6"/>
    <w:rsid w:val="00A218F8"/>
    <w:rsid w:val="00A445A3"/>
    <w:rsid w:val="00A83E98"/>
    <w:rsid w:val="00A85F8B"/>
    <w:rsid w:val="00A86084"/>
    <w:rsid w:val="00A912D2"/>
    <w:rsid w:val="00AE0C96"/>
    <w:rsid w:val="00B14CBE"/>
    <w:rsid w:val="00BF0334"/>
    <w:rsid w:val="00C0226B"/>
    <w:rsid w:val="00C2010F"/>
    <w:rsid w:val="00C56912"/>
    <w:rsid w:val="00C825EA"/>
    <w:rsid w:val="00C95C47"/>
    <w:rsid w:val="00C96A00"/>
    <w:rsid w:val="00D0289A"/>
    <w:rsid w:val="00D67F58"/>
    <w:rsid w:val="00DB1EFC"/>
    <w:rsid w:val="00DE5275"/>
    <w:rsid w:val="00DE5B2F"/>
    <w:rsid w:val="00E00402"/>
    <w:rsid w:val="00E216F9"/>
    <w:rsid w:val="00E325EF"/>
    <w:rsid w:val="00EA50CB"/>
    <w:rsid w:val="00F1461D"/>
    <w:rsid w:val="00F826BC"/>
    <w:rsid w:val="00FC07F7"/>
    <w:rsid w:val="022C5D05"/>
    <w:rsid w:val="02AE1565"/>
    <w:rsid w:val="02EE394E"/>
    <w:rsid w:val="03842927"/>
    <w:rsid w:val="04445A6F"/>
    <w:rsid w:val="04B50786"/>
    <w:rsid w:val="0576381C"/>
    <w:rsid w:val="058218A3"/>
    <w:rsid w:val="05D003A1"/>
    <w:rsid w:val="069263FB"/>
    <w:rsid w:val="081E0A3F"/>
    <w:rsid w:val="084A394D"/>
    <w:rsid w:val="08A21808"/>
    <w:rsid w:val="09BC72E8"/>
    <w:rsid w:val="0A1351AF"/>
    <w:rsid w:val="0A4530D7"/>
    <w:rsid w:val="0A5E12A9"/>
    <w:rsid w:val="0AE978F9"/>
    <w:rsid w:val="0B0A2060"/>
    <w:rsid w:val="0B2951FF"/>
    <w:rsid w:val="0B4E0653"/>
    <w:rsid w:val="0B73403D"/>
    <w:rsid w:val="0C8F4EFE"/>
    <w:rsid w:val="0CD86A66"/>
    <w:rsid w:val="0D460F85"/>
    <w:rsid w:val="0D6123E3"/>
    <w:rsid w:val="0D7F4A6C"/>
    <w:rsid w:val="0D9C0264"/>
    <w:rsid w:val="0E0C2192"/>
    <w:rsid w:val="0EEF270B"/>
    <w:rsid w:val="0F0D7248"/>
    <w:rsid w:val="0F1B3720"/>
    <w:rsid w:val="0F5B7462"/>
    <w:rsid w:val="10953E1F"/>
    <w:rsid w:val="114E7AAC"/>
    <w:rsid w:val="11562B0A"/>
    <w:rsid w:val="12763E2B"/>
    <w:rsid w:val="13023A54"/>
    <w:rsid w:val="13092A1A"/>
    <w:rsid w:val="131F34A3"/>
    <w:rsid w:val="13374ADE"/>
    <w:rsid w:val="133E2C29"/>
    <w:rsid w:val="135A2F84"/>
    <w:rsid w:val="13C77543"/>
    <w:rsid w:val="14290222"/>
    <w:rsid w:val="15283D98"/>
    <w:rsid w:val="15463B6C"/>
    <w:rsid w:val="16A56DBD"/>
    <w:rsid w:val="172209D0"/>
    <w:rsid w:val="17D05C25"/>
    <w:rsid w:val="188A4E87"/>
    <w:rsid w:val="19A92222"/>
    <w:rsid w:val="1A006299"/>
    <w:rsid w:val="1A1014FB"/>
    <w:rsid w:val="1A1F7191"/>
    <w:rsid w:val="1B700604"/>
    <w:rsid w:val="1C562EDE"/>
    <w:rsid w:val="1D035432"/>
    <w:rsid w:val="1E065139"/>
    <w:rsid w:val="1E0F1483"/>
    <w:rsid w:val="1E2F2D92"/>
    <w:rsid w:val="1F6E6AE2"/>
    <w:rsid w:val="21191D63"/>
    <w:rsid w:val="218F6745"/>
    <w:rsid w:val="23EC33B3"/>
    <w:rsid w:val="253C7BA7"/>
    <w:rsid w:val="25B32047"/>
    <w:rsid w:val="268C5940"/>
    <w:rsid w:val="271E36CB"/>
    <w:rsid w:val="29026BDF"/>
    <w:rsid w:val="291C5FBB"/>
    <w:rsid w:val="292E546E"/>
    <w:rsid w:val="29496A52"/>
    <w:rsid w:val="2A380375"/>
    <w:rsid w:val="2AA24B72"/>
    <w:rsid w:val="2AC17834"/>
    <w:rsid w:val="2B092000"/>
    <w:rsid w:val="2B0D5125"/>
    <w:rsid w:val="2B4E6FA0"/>
    <w:rsid w:val="2C1D4CB9"/>
    <w:rsid w:val="2D114C8E"/>
    <w:rsid w:val="2D152317"/>
    <w:rsid w:val="2D5F155B"/>
    <w:rsid w:val="2D65425F"/>
    <w:rsid w:val="2DBE2615"/>
    <w:rsid w:val="2DE00113"/>
    <w:rsid w:val="2E4E6D98"/>
    <w:rsid w:val="2EC40B19"/>
    <w:rsid w:val="2EE50335"/>
    <w:rsid w:val="2F550E93"/>
    <w:rsid w:val="30387C7D"/>
    <w:rsid w:val="30695BAB"/>
    <w:rsid w:val="30B45B2C"/>
    <w:rsid w:val="314431C2"/>
    <w:rsid w:val="317F2F66"/>
    <w:rsid w:val="31A250D5"/>
    <w:rsid w:val="31E73F1A"/>
    <w:rsid w:val="3201312E"/>
    <w:rsid w:val="32737303"/>
    <w:rsid w:val="32C24E2D"/>
    <w:rsid w:val="33EB7154"/>
    <w:rsid w:val="33F15DD4"/>
    <w:rsid w:val="348D1324"/>
    <w:rsid w:val="34BD2B9F"/>
    <w:rsid w:val="353D694F"/>
    <w:rsid w:val="35E74477"/>
    <w:rsid w:val="36374EF3"/>
    <w:rsid w:val="367E7AA1"/>
    <w:rsid w:val="36972C30"/>
    <w:rsid w:val="377D2C70"/>
    <w:rsid w:val="378B5E52"/>
    <w:rsid w:val="37FD624C"/>
    <w:rsid w:val="38422D98"/>
    <w:rsid w:val="38C459D3"/>
    <w:rsid w:val="39E32A71"/>
    <w:rsid w:val="3AB46B78"/>
    <w:rsid w:val="3BBA29B9"/>
    <w:rsid w:val="3BDE757E"/>
    <w:rsid w:val="3BE67BDB"/>
    <w:rsid w:val="3C312620"/>
    <w:rsid w:val="3C521F1F"/>
    <w:rsid w:val="3C972765"/>
    <w:rsid w:val="3D693636"/>
    <w:rsid w:val="3D9028E8"/>
    <w:rsid w:val="3DA90777"/>
    <w:rsid w:val="3DDE615E"/>
    <w:rsid w:val="3DF020B6"/>
    <w:rsid w:val="3E44484D"/>
    <w:rsid w:val="3E4A5E23"/>
    <w:rsid w:val="3EAD19EB"/>
    <w:rsid w:val="3F0967A7"/>
    <w:rsid w:val="3F266A69"/>
    <w:rsid w:val="3F80118C"/>
    <w:rsid w:val="40490F85"/>
    <w:rsid w:val="40C56269"/>
    <w:rsid w:val="417115FA"/>
    <w:rsid w:val="41897C56"/>
    <w:rsid w:val="418D68CC"/>
    <w:rsid w:val="419C3B9D"/>
    <w:rsid w:val="41A34B74"/>
    <w:rsid w:val="41C302E1"/>
    <w:rsid w:val="429C0182"/>
    <w:rsid w:val="42C70355"/>
    <w:rsid w:val="4330328D"/>
    <w:rsid w:val="43443E7F"/>
    <w:rsid w:val="44A936AB"/>
    <w:rsid w:val="44D87D9F"/>
    <w:rsid w:val="44DC2CEC"/>
    <w:rsid w:val="44DC435C"/>
    <w:rsid w:val="44FC3702"/>
    <w:rsid w:val="45D66742"/>
    <w:rsid w:val="461F68EC"/>
    <w:rsid w:val="46C303A3"/>
    <w:rsid w:val="48103D33"/>
    <w:rsid w:val="48165964"/>
    <w:rsid w:val="48227F5A"/>
    <w:rsid w:val="486E0C15"/>
    <w:rsid w:val="491803D9"/>
    <w:rsid w:val="49C90449"/>
    <w:rsid w:val="4B096F1D"/>
    <w:rsid w:val="4BF3412D"/>
    <w:rsid w:val="4CD84652"/>
    <w:rsid w:val="4DE8259F"/>
    <w:rsid w:val="4E4F631E"/>
    <w:rsid w:val="50215CD4"/>
    <w:rsid w:val="50F72D1E"/>
    <w:rsid w:val="511A77AA"/>
    <w:rsid w:val="526E16F1"/>
    <w:rsid w:val="52CD2504"/>
    <w:rsid w:val="536F5171"/>
    <w:rsid w:val="53791202"/>
    <w:rsid w:val="53A73B65"/>
    <w:rsid w:val="53B05F34"/>
    <w:rsid w:val="543F0B9B"/>
    <w:rsid w:val="546A6089"/>
    <w:rsid w:val="551B6C77"/>
    <w:rsid w:val="55C55D4B"/>
    <w:rsid w:val="564F0B7D"/>
    <w:rsid w:val="567C55B4"/>
    <w:rsid w:val="57215150"/>
    <w:rsid w:val="57F56734"/>
    <w:rsid w:val="583E24A9"/>
    <w:rsid w:val="59391C7F"/>
    <w:rsid w:val="59830E9E"/>
    <w:rsid w:val="59A91FBA"/>
    <w:rsid w:val="59DA4B29"/>
    <w:rsid w:val="5AEA7658"/>
    <w:rsid w:val="5B3A30E1"/>
    <w:rsid w:val="5E141259"/>
    <w:rsid w:val="5E25434C"/>
    <w:rsid w:val="5E986ABC"/>
    <w:rsid w:val="5F794779"/>
    <w:rsid w:val="614E0E3D"/>
    <w:rsid w:val="615333D3"/>
    <w:rsid w:val="61684B33"/>
    <w:rsid w:val="61772E14"/>
    <w:rsid w:val="61883013"/>
    <w:rsid w:val="62401092"/>
    <w:rsid w:val="62A807CE"/>
    <w:rsid w:val="62B362AA"/>
    <w:rsid w:val="6389551B"/>
    <w:rsid w:val="63A63B3F"/>
    <w:rsid w:val="646A343C"/>
    <w:rsid w:val="64D87A8D"/>
    <w:rsid w:val="65A036E9"/>
    <w:rsid w:val="65F06C9F"/>
    <w:rsid w:val="6699467E"/>
    <w:rsid w:val="66CA4FB7"/>
    <w:rsid w:val="66D90EB9"/>
    <w:rsid w:val="674457E3"/>
    <w:rsid w:val="6798197B"/>
    <w:rsid w:val="68310FA5"/>
    <w:rsid w:val="692748D6"/>
    <w:rsid w:val="69BD2D3B"/>
    <w:rsid w:val="69E4197E"/>
    <w:rsid w:val="69F442AF"/>
    <w:rsid w:val="6A0E30DC"/>
    <w:rsid w:val="6A7A0A59"/>
    <w:rsid w:val="6ADC5089"/>
    <w:rsid w:val="6BE958AB"/>
    <w:rsid w:val="6C014247"/>
    <w:rsid w:val="6C2E4B30"/>
    <w:rsid w:val="6CA7784E"/>
    <w:rsid w:val="6CD01F61"/>
    <w:rsid w:val="6CF62E72"/>
    <w:rsid w:val="6D556A52"/>
    <w:rsid w:val="6D6444CB"/>
    <w:rsid w:val="712216DB"/>
    <w:rsid w:val="715E1779"/>
    <w:rsid w:val="72142713"/>
    <w:rsid w:val="726D5BAE"/>
    <w:rsid w:val="730200F1"/>
    <w:rsid w:val="73B63BCA"/>
    <w:rsid w:val="75294A12"/>
    <w:rsid w:val="75820774"/>
    <w:rsid w:val="75DD55C7"/>
    <w:rsid w:val="76800FE4"/>
    <w:rsid w:val="76F46F44"/>
    <w:rsid w:val="76FB60A2"/>
    <w:rsid w:val="770735A8"/>
    <w:rsid w:val="7770408A"/>
    <w:rsid w:val="7796732B"/>
    <w:rsid w:val="78CF314E"/>
    <w:rsid w:val="78FB36EA"/>
    <w:rsid w:val="7BBB3515"/>
    <w:rsid w:val="7BC47911"/>
    <w:rsid w:val="7C077878"/>
    <w:rsid w:val="7C991592"/>
    <w:rsid w:val="7CF45685"/>
    <w:rsid w:val="7CF87660"/>
    <w:rsid w:val="7D4D3289"/>
    <w:rsid w:val="7DF35835"/>
    <w:rsid w:val="7E282897"/>
    <w:rsid w:val="7F77520A"/>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link w:val="95"/>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5">
    <w:name w:val="heading 2"/>
    <w:basedOn w:val="1"/>
    <w:next w:val="1"/>
    <w:link w:val="100"/>
    <w:qFormat/>
    <w:uiPriority w:val="0"/>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101"/>
    <w:qFormat/>
    <w:uiPriority w:val="0"/>
    <w:pPr>
      <w:keepNext/>
      <w:keepLines/>
      <w:spacing w:line="360" w:lineRule="auto"/>
      <w:outlineLvl w:val="2"/>
    </w:pPr>
    <w:rPr>
      <w:rFonts w:ascii="Times New Roman" w:hAnsi="Times New Roman"/>
      <w:b/>
      <w:sz w:val="32"/>
      <w:szCs w:val="20"/>
    </w:rPr>
  </w:style>
  <w:style w:type="paragraph" w:styleId="7">
    <w:name w:val="heading 4"/>
    <w:basedOn w:val="1"/>
    <w:next w:val="1"/>
    <w:link w:val="87"/>
    <w:qFormat/>
    <w:uiPriority w:val="0"/>
    <w:pPr>
      <w:keepNext/>
      <w:keepLines/>
      <w:spacing w:before="280" w:after="290" w:line="376" w:lineRule="auto"/>
      <w:outlineLvl w:val="3"/>
    </w:pPr>
    <w:rPr>
      <w:rFonts w:ascii="Times New Roman" w:hAnsi="Times New Roman"/>
      <w:sz w:val="32"/>
      <w:szCs w:val="20"/>
    </w:rPr>
  </w:style>
  <w:style w:type="paragraph" w:styleId="8">
    <w:name w:val="heading 5"/>
    <w:basedOn w:val="1"/>
    <w:next w:val="1"/>
    <w:link w:val="66"/>
    <w:qFormat/>
    <w:uiPriority w:val="0"/>
    <w:pPr>
      <w:keepNext/>
      <w:keepLines/>
      <w:spacing w:before="280" w:after="290" w:line="372" w:lineRule="auto"/>
      <w:outlineLvl w:val="4"/>
    </w:pPr>
    <w:rPr>
      <w:rFonts w:ascii="Times New Roman" w:hAnsi="Times New Roman"/>
      <w:b/>
      <w:sz w:val="28"/>
      <w:szCs w:val="28"/>
    </w:rPr>
  </w:style>
  <w:style w:type="paragraph" w:styleId="9">
    <w:name w:val="heading 6"/>
    <w:basedOn w:val="1"/>
    <w:next w:val="1"/>
    <w:link w:val="90"/>
    <w:qFormat/>
    <w:uiPriority w:val="0"/>
    <w:pPr>
      <w:keepNext/>
      <w:keepLines/>
      <w:spacing w:before="240" w:after="64" w:line="317" w:lineRule="auto"/>
      <w:outlineLvl w:val="5"/>
    </w:pPr>
    <w:rPr>
      <w:rFonts w:hint="eastAsia" w:ascii="宋体" w:hAnsi="宋体"/>
      <w:b/>
      <w:kern w:val="0"/>
      <w:sz w:val="24"/>
      <w:lang w:eastAsia="en-US"/>
    </w:rPr>
  </w:style>
  <w:style w:type="paragraph" w:styleId="10">
    <w:name w:val="heading 7"/>
    <w:basedOn w:val="1"/>
    <w:next w:val="1"/>
    <w:link w:val="70"/>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9"/>
    <w:qFormat/>
    <w:uiPriority w:val="0"/>
    <w:rPr>
      <w:rFonts w:ascii="Times New Roman" w:hAnsi="Times New Roman"/>
    </w:rPr>
  </w:style>
  <w:style w:type="paragraph" w:styleId="3">
    <w:name w:val="Body Text 2"/>
    <w:basedOn w:val="1"/>
    <w:next w:val="2"/>
    <w:link w:val="85"/>
    <w:unhideWhenUsed/>
    <w:qFormat/>
    <w:uiPriority w:val="0"/>
    <w:pPr>
      <w:spacing w:after="120" w:line="480" w:lineRule="auto"/>
    </w:pPr>
    <w:rPr>
      <w:rFonts w:ascii="Times New Roman" w:hAnsi="Times New Roman"/>
    </w:rPr>
  </w:style>
  <w:style w:type="paragraph" w:styleId="11">
    <w:name w:val="toc 7"/>
    <w:basedOn w:val="1"/>
    <w:next w:val="1"/>
    <w:qFormat/>
    <w:uiPriority w:val="0"/>
    <w:pPr>
      <w:ind w:left="2520" w:leftChars="1200"/>
    </w:pPr>
    <w:rPr>
      <w:rFonts w:ascii="Times New Roman" w:hAnsi="Times New Roman"/>
    </w:rPr>
  </w:style>
  <w:style w:type="paragraph" w:styleId="12">
    <w:name w:val="Normal Indent"/>
    <w:basedOn w:val="1"/>
    <w:unhideWhenUsed/>
    <w:qFormat/>
    <w:uiPriority w:val="99"/>
    <w:pPr>
      <w:ind w:firstLine="420"/>
    </w:pPr>
    <w:rPr>
      <w:rFonts w:ascii="Calibri" w:hAnsi="Calibri"/>
      <w:szCs w:val="20"/>
    </w:rPr>
  </w:style>
  <w:style w:type="paragraph" w:styleId="13">
    <w:name w:val="Document Map"/>
    <w:basedOn w:val="1"/>
    <w:link w:val="82"/>
    <w:unhideWhenUsed/>
    <w:qFormat/>
    <w:uiPriority w:val="0"/>
    <w:pPr>
      <w:shd w:val="clear" w:color="auto" w:fill="000080"/>
    </w:pPr>
    <w:rPr>
      <w:rFonts w:ascii="Times New Roman" w:hAnsi="Times New Roman"/>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link w:val="81"/>
    <w:unhideWhenUsed/>
    <w:qFormat/>
    <w:uiPriority w:val="0"/>
    <w:pPr>
      <w:jc w:val="left"/>
    </w:pPr>
    <w:rPr>
      <w:rFonts w:ascii="Times New Roman" w:hAnsi="Times New Roman"/>
    </w:rPr>
  </w:style>
  <w:style w:type="paragraph" w:styleId="16">
    <w:name w:val="Body Text 3"/>
    <w:basedOn w:val="1"/>
    <w:link w:val="60"/>
    <w:unhideWhenUsed/>
    <w:qFormat/>
    <w:uiPriority w:val="0"/>
    <w:pPr>
      <w:spacing w:after="120"/>
    </w:pPr>
    <w:rPr>
      <w:rFonts w:ascii="Times New Roman" w:hAnsi="Times New Roman"/>
      <w:sz w:val="16"/>
      <w:szCs w:val="16"/>
    </w:rPr>
  </w:style>
  <w:style w:type="paragraph" w:styleId="17">
    <w:name w:val="Body Text Indent"/>
    <w:basedOn w:val="1"/>
    <w:next w:val="18"/>
    <w:link w:val="104"/>
    <w:qFormat/>
    <w:uiPriority w:val="0"/>
    <w:pPr>
      <w:ind w:firstLine="560" w:firstLineChars="200"/>
    </w:pPr>
    <w:rPr>
      <w:rFonts w:ascii="Times New Roman" w:hAnsi="Times New Roman"/>
    </w:rPr>
  </w:style>
  <w:style w:type="paragraph" w:styleId="18">
    <w:name w:val="envelope return"/>
    <w:basedOn w:val="1"/>
    <w:qFormat/>
    <w:uiPriority w:val="99"/>
    <w:pPr>
      <w:snapToGrid w:val="0"/>
    </w:pPr>
    <w:rPr>
      <w:rFonts w:ascii="Arial" w:hAnsi="Arial" w:cs="Arial"/>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2"/>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5"/>
    <w:unhideWhenUsed/>
    <w:qFormat/>
    <w:uiPriority w:val="0"/>
    <w:pPr>
      <w:ind w:left="100" w:leftChars="2500"/>
    </w:pPr>
    <w:rPr>
      <w:rFonts w:ascii="Times New Roman" w:hAnsi="Times New Roman"/>
      <w:kern w:val="0"/>
      <w:sz w:val="28"/>
      <w:szCs w:val="20"/>
    </w:rPr>
  </w:style>
  <w:style w:type="paragraph" w:styleId="24">
    <w:name w:val="Body Text Indent 2"/>
    <w:basedOn w:val="1"/>
    <w:link w:val="84"/>
    <w:unhideWhenUsed/>
    <w:qFormat/>
    <w:uiPriority w:val="0"/>
    <w:pPr>
      <w:spacing w:after="120" w:line="480" w:lineRule="auto"/>
      <w:ind w:left="420" w:leftChars="200"/>
    </w:pPr>
    <w:rPr>
      <w:rFonts w:ascii="Times New Roman" w:hAnsi="Times New Roman"/>
    </w:rPr>
  </w:style>
  <w:style w:type="paragraph" w:styleId="25">
    <w:name w:val="Balloon Text"/>
    <w:basedOn w:val="1"/>
    <w:link w:val="92"/>
    <w:unhideWhenUsed/>
    <w:qFormat/>
    <w:uiPriority w:val="0"/>
    <w:rPr>
      <w:rFonts w:ascii="Times New Roman" w:hAnsi="Times New Roman"/>
      <w:sz w:val="18"/>
      <w:szCs w:val="18"/>
    </w:rPr>
  </w:style>
  <w:style w:type="paragraph" w:styleId="26">
    <w:name w:val="footer"/>
    <w:basedOn w:val="1"/>
    <w:link w:val="98"/>
    <w:qFormat/>
    <w:uiPriority w:val="0"/>
    <w:pPr>
      <w:tabs>
        <w:tab w:val="center" w:pos="4153"/>
        <w:tab w:val="right" w:pos="8306"/>
      </w:tabs>
      <w:snapToGrid w:val="0"/>
      <w:jc w:val="left"/>
    </w:pPr>
    <w:rPr>
      <w:rFonts w:ascii="Times New Roman" w:hAnsi="Times New Roman"/>
      <w:sz w:val="18"/>
      <w:szCs w:val="18"/>
    </w:rPr>
  </w:style>
  <w:style w:type="paragraph" w:styleId="27">
    <w:name w:val="header"/>
    <w:basedOn w:val="1"/>
    <w:link w:val="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8">
    <w:name w:val="toc 1"/>
    <w:basedOn w:val="1"/>
    <w:next w:val="1"/>
    <w:qFormat/>
    <w:uiPriority w:val="0"/>
    <w:rPr>
      <w:rFonts w:ascii="Times New Roman" w:hAnsi="Times New Roman"/>
    </w:rPr>
  </w:style>
  <w:style w:type="paragraph" w:styleId="29">
    <w:name w:val="toc 4"/>
    <w:basedOn w:val="1"/>
    <w:next w:val="1"/>
    <w:qFormat/>
    <w:uiPriority w:val="0"/>
    <w:pPr>
      <w:ind w:left="1260" w:leftChars="600"/>
    </w:pPr>
    <w:rPr>
      <w:rFonts w:ascii="Times New Roman" w:hAnsi="Times New Roman"/>
    </w:rPr>
  </w:style>
  <w:style w:type="paragraph" w:styleId="30">
    <w:name w:val="toc 6"/>
    <w:basedOn w:val="1"/>
    <w:next w:val="1"/>
    <w:qFormat/>
    <w:uiPriority w:val="0"/>
    <w:pPr>
      <w:ind w:left="2100" w:leftChars="1000"/>
    </w:pPr>
    <w:rPr>
      <w:rFonts w:ascii="Times New Roman" w:hAnsi="Times New Roman"/>
    </w:rPr>
  </w:style>
  <w:style w:type="paragraph" w:styleId="31">
    <w:name w:val="Body Text Indent 3"/>
    <w:basedOn w:val="1"/>
    <w:link w:val="74"/>
    <w:qFormat/>
    <w:uiPriority w:val="0"/>
    <w:pPr>
      <w:ind w:firstLine="420" w:firstLineChars="200"/>
    </w:pPr>
    <w:rPr>
      <w:rFonts w:ascii="Times New Roman" w:hAnsi="Times New Roman"/>
      <w:sz w:val="16"/>
      <w:szCs w:val="16"/>
    </w:rPr>
  </w:style>
  <w:style w:type="paragraph" w:styleId="32">
    <w:name w:val="toc 2"/>
    <w:basedOn w:val="1"/>
    <w:next w:val="1"/>
    <w:qFormat/>
    <w:uiPriority w:val="0"/>
    <w:pPr>
      <w:ind w:left="420" w:leftChars="200"/>
    </w:pPr>
    <w:rPr>
      <w:rFonts w:ascii="Times New Roman" w:hAnsi="Times New Roman"/>
    </w:rPr>
  </w:style>
  <w:style w:type="paragraph" w:styleId="33">
    <w:name w:val="toc 9"/>
    <w:basedOn w:val="1"/>
    <w:next w:val="1"/>
    <w:qFormat/>
    <w:uiPriority w:val="0"/>
    <w:pPr>
      <w:ind w:left="3360" w:leftChars="1600"/>
    </w:pPr>
    <w:rPr>
      <w:rFonts w:ascii="Times New Roman" w:hAnsi="Times New Roman"/>
    </w:rPr>
  </w:style>
  <w:style w:type="paragraph" w:styleId="34">
    <w:name w:val="HTML Preformatted"/>
    <w:basedOn w:val="1"/>
    <w:link w:val="80"/>
    <w:unhideWhenUsed/>
    <w:qFormat/>
    <w:uiPriority w:val="0"/>
    <w:rPr>
      <w:rFonts w:ascii="Arial" w:hAnsi="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libri Light" w:hAnsi="Calibri Light" w:eastAsia="Calibri Light"/>
      <w:b/>
      <w:sz w:val="32"/>
      <w:szCs w:val="32"/>
    </w:rPr>
  </w:style>
  <w:style w:type="paragraph" w:styleId="37">
    <w:name w:val="annotation subject"/>
    <w:basedOn w:val="15"/>
    <w:next w:val="15"/>
    <w:link w:val="72"/>
    <w:unhideWhenUsed/>
    <w:qFormat/>
    <w:uiPriority w:val="0"/>
    <w:rPr>
      <w:b/>
    </w:rPr>
  </w:style>
  <w:style w:type="paragraph" w:styleId="38">
    <w:name w:val="Body Text First Indent"/>
    <w:basedOn w:val="2"/>
    <w:next w:val="39"/>
    <w:link w:val="105"/>
    <w:unhideWhenUsed/>
    <w:qFormat/>
    <w:uiPriority w:val="0"/>
    <w:pPr>
      <w:ind w:firstLine="420" w:firstLineChars="100"/>
    </w:pPr>
    <w:rPr>
      <w:rFonts w:hint="eastAsia" w:ascii="楷体_GB2312" w:eastAsia="楷体_GB2312"/>
      <w:sz w:val="32"/>
    </w:rPr>
  </w:style>
  <w:style w:type="paragraph" w:styleId="39">
    <w:name w:val="Body Text First Indent 2"/>
    <w:basedOn w:val="17"/>
    <w:qFormat/>
    <w:uiPriority w:val="0"/>
    <w:pPr>
      <w:ind w:firstLine="42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rFonts w:ascii="Times New Roman" w:hAnsi="Times New Roman" w:eastAsia="宋体" w:cs="Times New Roman"/>
      <w:color w:val="333333"/>
      <w:u w:val="none"/>
    </w:rPr>
  </w:style>
  <w:style w:type="character" w:styleId="45">
    <w:name w:val="Emphasis"/>
    <w:basedOn w:val="42"/>
    <w:qFormat/>
    <w:uiPriority w:val="20"/>
    <w:rPr>
      <w:color w:val="F73131"/>
    </w:rPr>
  </w:style>
  <w:style w:type="character" w:styleId="46">
    <w:name w:val="HTML Definition"/>
    <w:basedOn w:val="42"/>
    <w:semiHidden/>
    <w:unhideWhenUsed/>
    <w:qFormat/>
    <w:uiPriority w:val="99"/>
  </w:style>
  <w:style w:type="character" w:styleId="47">
    <w:name w:val="HTML Typewriter"/>
    <w:basedOn w:val="42"/>
    <w:semiHidden/>
    <w:unhideWhenUsed/>
    <w:qFormat/>
    <w:uiPriority w:val="99"/>
    <w:rPr>
      <w:rFonts w:hint="default" w:ascii="monospace" w:hAnsi="monospace" w:eastAsia="monospace" w:cs="monospace"/>
      <w:sz w:val="20"/>
    </w:rPr>
  </w:style>
  <w:style w:type="character" w:styleId="48">
    <w:name w:val="HTML Acronym"/>
    <w:basedOn w:val="42"/>
    <w:semiHidden/>
    <w:unhideWhenUsed/>
    <w:qFormat/>
    <w:uiPriority w:val="99"/>
  </w:style>
  <w:style w:type="character" w:styleId="49">
    <w:name w:val="HTML Variable"/>
    <w:basedOn w:val="42"/>
    <w:semiHidden/>
    <w:unhideWhenUsed/>
    <w:qFormat/>
    <w:uiPriority w:val="99"/>
  </w:style>
  <w:style w:type="character" w:styleId="50">
    <w:name w:val="Hyperlink"/>
    <w:qFormat/>
    <w:uiPriority w:val="0"/>
    <w:rPr>
      <w:rFonts w:ascii="Times New Roman" w:hAnsi="Times New Roman" w:eastAsia="宋体" w:cs="Times New Roman"/>
      <w:color w:val="0000FF"/>
      <w:u w:val="single"/>
    </w:rPr>
  </w:style>
  <w:style w:type="character" w:styleId="51">
    <w:name w:val="HTML Code"/>
    <w:basedOn w:val="42"/>
    <w:semiHidden/>
    <w:unhideWhenUsed/>
    <w:qFormat/>
    <w:uiPriority w:val="99"/>
    <w:rPr>
      <w:rFonts w:ascii="monospace" w:hAnsi="monospace" w:eastAsia="monospace" w:cs="monospace"/>
      <w:sz w:val="20"/>
    </w:rPr>
  </w:style>
  <w:style w:type="character" w:styleId="52">
    <w:name w:val="annotation reference"/>
    <w:unhideWhenUsed/>
    <w:qFormat/>
    <w:uiPriority w:val="99"/>
    <w:rPr>
      <w:rFonts w:ascii="Times New Roman" w:hAnsi="Times New Roman" w:eastAsia="宋体" w:cs="Times New Roman"/>
      <w:sz w:val="21"/>
      <w:szCs w:val="21"/>
    </w:rPr>
  </w:style>
  <w:style w:type="character" w:styleId="53">
    <w:name w:val="HTML Cite"/>
    <w:basedOn w:val="42"/>
    <w:semiHidden/>
    <w:unhideWhenUsed/>
    <w:qFormat/>
    <w:uiPriority w:val="99"/>
    <w:rPr>
      <w:vanish/>
    </w:rPr>
  </w:style>
  <w:style w:type="character" w:styleId="54">
    <w:name w:val="HTML Keyboard"/>
    <w:basedOn w:val="42"/>
    <w:semiHidden/>
    <w:unhideWhenUsed/>
    <w:qFormat/>
    <w:uiPriority w:val="99"/>
    <w:rPr>
      <w:rFonts w:hint="default" w:ascii="monospace" w:hAnsi="monospace" w:eastAsia="monospace" w:cs="monospace"/>
      <w:sz w:val="20"/>
    </w:rPr>
  </w:style>
  <w:style w:type="character" w:styleId="55">
    <w:name w:val="HTML Sample"/>
    <w:basedOn w:val="42"/>
    <w:semiHidden/>
    <w:unhideWhenUsed/>
    <w:qFormat/>
    <w:uiPriority w:val="99"/>
    <w:rPr>
      <w:rFonts w:hint="default" w:ascii="monospace" w:hAnsi="monospace" w:eastAsia="monospace" w:cs="monospace"/>
    </w:rPr>
  </w:style>
  <w:style w:type="paragraph" w:customStyle="1" w:styleId="56">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7">
    <w:name w:val="表格文字"/>
    <w:basedOn w:val="1"/>
    <w:next w:val="2"/>
    <w:qFormat/>
    <w:uiPriority w:val="0"/>
    <w:pPr>
      <w:adjustRightInd w:val="0"/>
      <w:spacing w:line="420" w:lineRule="atLeast"/>
      <w:jc w:val="left"/>
      <w:textAlignment w:val="baseline"/>
    </w:pPr>
    <w:rPr>
      <w:kern w:val="0"/>
    </w:rPr>
  </w:style>
  <w:style w:type="paragraph" w:customStyle="1" w:styleId="58">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9">
    <w:name w:val="font1"/>
    <w:qFormat/>
    <w:uiPriority w:val="0"/>
    <w:rPr>
      <w:rFonts w:ascii="Times New Roman" w:hAnsi="Times New Roman" w:eastAsia="宋体" w:cs="Times New Roman"/>
      <w:color w:val="999999"/>
      <w:sz w:val="18"/>
      <w:szCs w:val="18"/>
      <w:u w:val="none"/>
    </w:rPr>
  </w:style>
  <w:style w:type="character" w:customStyle="1" w:styleId="60">
    <w:name w:val="正文文本 3 Char"/>
    <w:link w:val="16"/>
    <w:qFormat/>
    <w:uiPriority w:val="0"/>
    <w:rPr>
      <w:rFonts w:ascii="Times New Roman" w:hAnsi="Times New Roman" w:eastAsia="宋体" w:cs="Times New Roman"/>
      <w:kern w:val="2"/>
      <w:sz w:val="16"/>
      <w:szCs w:val="16"/>
    </w:rPr>
  </w:style>
  <w:style w:type="character" w:customStyle="1" w:styleId="61">
    <w:name w:val="pt91"/>
    <w:qFormat/>
    <w:uiPriority w:val="0"/>
    <w:rPr>
      <w:rFonts w:hint="default" w:ascii="_x000B__x000C_" w:hAnsi="_x000B__x000C_" w:eastAsia="_x000B__x000C_" w:cs="_x000B__x000C_"/>
      <w:color w:val="333333"/>
      <w:sz w:val="18"/>
      <w:szCs w:val="18"/>
    </w:rPr>
  </w:style>
  <w:style w:type="character" w:customStyle="1" w:styleId="62">
    <w:name w:val="纯文本 Char"/>
    <w:link w:val="21"/>
    <w:qFormat/>
    <w:uiPriority w:val="0"/>
    <w:rPr>
      <w:rFonts w:hint="eastAsia" w:ascii="宋体" w:hAnsi="Courier New" w:eastAsia="宋体" w:cs="Courier New"/>
      <w:kern w:val="2"/>
      <w:sz w:val="21"/>
      <w:szCs w:val="21"/>
    </w:rPr>
  </w:style>
  <w:style w:type="character" w:customStyle="1" w:styleId="63">
    <w:name w:val="fontstyle01"/>
    <w:qFormat/>
    <w:uiPriority w:val="0"/>
    <w:rPr>
      <w:rFonts w:hint="default" w:ascii="FZSSK--GBK1-0" w:hAnsi="FZSSK--GBK1-0" w:eastAsia="FZSSK--GBK1-0" w:cs="FZSSK--GBK1-0"/>
      <w:color w:val="000000"/>
      <w:sz w:val="20"/>
      <w:szCs w:val="20"/>
    </w:rPr>
  </w:style>
  <w:style w:type="character" w:customStyle="1" w:styleId="64">
    <w:name w:val="Char Char15"/>
    <w:qFormat/>
    <w:uiPriority w:val="0"/>
    <w:rPr>
      <w:rFonts w:ascii="Times New Roman" w:hAnsi="Times New Roman" w:eastAsia="宋体" w:cs="Times New Roman"/>
      <w:kern w:val="2"/>
      <w:sz w:val="32"/>
    </w:rPr>
  </w:style>
  <w:style w:type="character" w:customStyle="1" w:styleId="65">
    <w:name w:val="纯文本 Char1"/>
    <w:qFormat/>
    <w:uiPriority w:val="0"/>
    <w:rPr>
      <w:rFonts w:hint="eastAsia" w:ascii="宋体" w:hAnsi="Courier New" w:eastAsia="宋体" w:cs="宋体"/>
      <w:kern w:val="2"/>
      <w:sz w:val="21"/>
      <w:lang w:eastAsia="zh-CN"/>
    </w:rPr>
  </w:style>
  <w:style w:type="character" w:customStyle="1" w:styleId="66">
    <w:name w:val="标题 5 Char"/>
    <w:link w:val="8"/>
    <w:qFormat/>
    <w:uiPriority w:val="0"/>
    <w:rPr>
      <w:rFonts w:ascii="Times New Roman" w:hAnsi="Times New Roman" w:eastAsia="宋体" w:cs="Times New Roman"/>
      <w:b/>
      <w:kern w:val="2"/>
      <w:sz w:val="28"/>
      <w:szCs w:val="28"/>
    </w:rPr>
  </w:style>
  <w:style w:type="character" w:customStyle="1" w:styleId="67">
    <w:name w:val="wen11"/>
    <w:qFormat/>
    <w:uiPriority w:val="0"/>
    <w:rPr>
      <w:rFonts w:ascii="Times New Roman" w:hAnsi="Times New Roman" w:eastAsia="宋体" w:cs="Times New Roman"/>
      <w:color w:val="000000"/>
      <w:sz w:val="21"/>
      <w:szCs w:val="21"/>
    </w:rPr>
  </w:style>
  <w:style w:type="character" w:customStyle="1" w:styleId="68">
    <w:name w:val="标题 Char"/>
    <w:link w:val="36"/>
    <w:qFormat/>
    <w:uiPriority w:val="0"/>
    <w:rPr>
      <w:rFonts w:hint="default" w:ascii="Calibri Light" w:hAnsi="Calibri Light" w:eastAsia="Calibri Light" w:cs="Calibri Light"/>
      <w:b/>
      <w:kern w:val="2"/>
      <w:sz w:val="32"/>
      <w:szCs w:val="32"/>
    </w:rPr>
  </w:style>
  <w:style w:type="character" w:customStyle="1" w:styleId="69">
    <w:name w:val="正文文本 Char"/>
    <w:link w:val="2"/>
    <w:qFormat/>
    <w:uiPriority w:val="0"/>
    <w:rPr>
      <w:rFonts w:ascii="Times New Roman" w:hAnsi="Times New Roman" w:eastAsia="宋体" w:cs="Times New Roman"/>
      <w:kern w:val="2"/>
      <w:sz w:val="21"/>
      <w:szCs w:val="24"/>
    </w:rPr>
  </w:style>
  <w:style w:type="character" w:customStyle="1" w:styleId="70">
    <w:name w:val="标题 7 Char"/>
    <w:link w:val="10"/>
    <w:qFormat/>
    <w:uiPriority w:val="0"/>
    <w:rPr>
      <w:rFonts w:hint="eastAsia" w:ascii="宋体" w:hAnsi="宋体" w:eastAsia="宋体" w:cs="宋体"/>
      <w:b/>
      <w:sz w:val="21"/>
      <w:szCs w:val="21"/>
      <w:lang w:eastAsia="en-US"/>
    </w:rPr>
  </w:style>
  <w:style w:type="character" w:customStyle="1" w:styleId="71">
    <w:name w:val="displayarti"/>
    <w:qFormat/>
    <w:uiPriority w:val="0"/>
    <w:rPr>
      <w:rFonts w:ascii="Times New Roman" w:hAnsi="Times New Roman" w:eastAsia="宋体" w:cs="Times New Roman"/>
      <w:color w:val="FFFFFF"/>
      <w:shd w:val="clear" w:color="auto" w:fill="A00000"/>
    </w:rPr>
  </w:style>
  <w:style w:type="character" w:customStyle="1" w:styleId="72">
    <w:name w:val="批注主题 Char"/>
    <w:link w:val="37"/>
    <w:qFormat/>
    <w:uiPriority w:val="0"/>
    <w:rPr>
      <w:rFonts w:ascii="Times New Roman" w:hAnsi="Times New Roman" w:eastAsia="宋体" w:cs="Times New Roman"/>
      <w:b/>
      <w:kern w:val="2"/>
      <w:sz w:val="21"/>
      <w:szCs w:val="24"/>
    </w:rPr>
  </w:style>
  <w:style w:type="character" w:customStyle="1" w:styleId="73">
    <w:name w:val="Table Text Char1"/>
    <w:qFormat/>
    <w:uiPriority w:val="0"/>
    <w:rPr>
      <w:rFonts w:hint="default" w:ascii="Arial" w:hAnsi="Arial" w:eastAsia="宋体" w:cs="Arial"/>
      <w:kern w:val="2"/>
      <w:sz w:val="18"/>
      <w:szCs w:val="24"/>
    </w:rPr>
  </w:style>
  <w:style w:type="character" w:customStyle="1" w:styleId="74">
    <w:name w:val="正文文本缩进 3 Char"/>
    <w:link w:val="31"/>
    <w:qFormat/>
    <w:uiPriority w:val="0"/>
    <w:rPr>
      <w:rFonts w:ascii="Times New Roman" w:hAnsi="Times New Roman" w:eastAsia="宋体" w:cs="Times New Roman"/>
      <w:kern w:val="2"/>
      <w:sz w:val="16"/>
      <w:szCs w:val="16"/>
    </w:rPr>
  </w:style>
  <w:style w:type="character" w:customStyle="1" w:styleId="75">
    <w:name w:val="日期 Char"/>
    <w:link w:val="23"/>
    <w:qFormat/>
    <w:uiPriority w:val="0"/>
    <w:rPr>
      <w:rFonts w:ascii="Times New Roman" w:hAnsi="Times New Roman" w:eastAsia="宋体" w:cs="Times New Roman"/>
      <w:sz w:val="28"/>
    </w:rPr>
  </w:style>
  <w:style w:type="character" w:customStyle="1" w:styleId="76">
    <w:name w:val="Char Char16"/>
    <w:qFormat/>
    <w:uiPriority w:val="0"/>
    <w:rPr>
      <w:rFonts w:ascii="Times New Roman" w:hAnsi="Times New Roman" w:eastAsia="宋体" w:cs="Times New Roman"/>
      <w:b/>
      <w:kern w:val="2"/>
      <w:sz w:val="32"/>
    </w:rPr>
  </w:style>
  <w:style w:type="character" w:customStyle="1" w:styleId="77">
    <w:name w:val="gpa"/>
    <w:qFormat/>
    <w:uiPriority w:val="0"/>
    <w:rPr>
      <w:rFonts w:hint="default" w:ascii="Arial" w:hAnsi="Arial" w:eastAsia="宋体" w:cs="Arial"/>
      <w:sz w:val="15"/>
      <w:szCs w:val="15"/>
    </w:rPr>
  </w:style>
  <w:style w:type="character" w:customStyle="1" w:styleId="78">
    <w:name w:val="p12h15"/>
    <w:basedOn w:val="42"/>
    <w:qFormat/>
    <w:uiPriority w:val="0"/>
  </w:style>
  <w:style w:type="character" w:customStyle="1" w:styleId="79">
    <w:name w:val="Char Char17"/>
    <w:qFormat/>
    <w:uiPriority w:val="0"/>
    <w:rPr>
      <w:rFonts w:hint="eastAsia" w:ascii="楷体_GB2312" w:hAnsi="Times New Roman" w:eastAsia="楷体_GB2312" w:cs="楷体_GB2312"/>
      <w:b/>
      <w:kern w:val="44"/>
      <w:sz w:val="44"/>
    </w:rPr>
  </w:style>
  <w:style w:type="character" w:customStyle="1" w:styleId="80">
    <w:name w:val="HTML 预设格式 Char"/>
    <w:link w:val="34"/>
    <w:qFormat/>
    <w:uiPriority w:val="0"/>
    <w:rPr>
      <w:rFonts w:hint="default" w:ascii="Arial" w:hAnsi="Arial" w:eastAsia="宋体" w:cs="Arial"/>
      <w:sz w:val="24"/>
      <w:szCs w:val="24"/>
    </w:rPr>
  </w:style>
  <w:style w:type="character" w:customStyle="1" w:styleId="81">
    <w:name w:val="批注文字 Char"/>
    <w:link w:val="15"/>
    <w:qFormat/>
    <w:uiPriority w:val="0"/>
    <w:rPr>
      <w:rFonts w:ascii="Times New Roman" w:hAnsi="Times New Roman" w:eastAsia="宋体" w:cs="Times New Roman"/>
      <w:kern w:val="2"/>
      <w:sz w:val="21"/>
      <w:szCs w:val="24"/>
    </w:rPr>
  </w:style>
  <w:style w:type="character" w:customStyle="1" w:styleId="82">
    <w:name w:val="文档结构图 Char"/>
    <w:link w:val="13"/>
    <w:qFormat/>
    <w:uiPriority w:val="0"/>
    <w:rPr>
      <w:rFonts w:ascii="Times New Roman" w:hAnsi="Times New Roman" w:eastAsia="宋体" w:cs="Times New Roman"/>
      <w:kern w:val="2"/>
      <w:sz w:val="21"/>
      <w:szCs w:val="24"/>
      <w:shd w:val="clear" w:color="auto" w:fill="000080"/>
    </w:rPr>
  </w:style>
  <w:style w:type="character" w:customStyle="1" w:styleId="83">
    <w:name w:val="Comment Text Char"/>
    <w:qFormat/>
    <w:uiPriority w:val="0"/>
    <w:rPr>
      <w:rFonts w:hint="default" w:ascii="Times New Roman" w:hAnsi="Times New Roman" w:eastAsia="宋体" w:cs="Times New Roman"/>
      <w:sz w:val="24"/>
    </w:rPr>
  </w:style>
  <w:style w:type="character" w:customStyle="1" w:styleId="84">
    <w:name w:val="正文文本缩进 2 Char"/>
    <w:link w:val="24"/>
    <w:qFormat/>
    <w:uiPriority w:val="0"/>
    <w:rPr>
      <w:rFonts w:ascii="Times New Roman" w:hAnsi="Times New Roman" w:eastAsia="宋体" w:cs="Times New Roman"/>
      <w:kern w:val="2"/>
      <w:sz w:val="21"/>
      <w:szCs w:val="24"/>
    </w:rPr>
  </w:style>
  <w:style w:type="character" w:customStyle="1" w:styleId="85">
    <w:name w:val="正文文本 2 Char"/>
    <w:link w:val="3"/>
    <w:qFormat/>
    <w:uiPriority w:val="0"/>
    <w:rPr>
      <w:rFonts w:ascii="Times New Roman" w:hAnsi="Times New Roman" w:eastAsia="宋体" w:cs="Times New Roman"/>
      <w:kern w:val="2"/>
      <w:sz w:val="21"/>
      <w:szCs w:val="24"/>
    </w:rPr>
  </w:style>
  <w:style w:type="character" w:customStyle="1" w:styleId="86">
    <w:name w:val="selected"/>
    <w:qFormat/>
    <w:uiPriority w:val="0"/>
    <w:rPr>
      <w:rFonts w:ascii="Times New Roman" w:hAnsi="Times New Roman" w:eastAsia="宋体" w:cs="Times New Roman"/>
      <w:shd w:val="clear" w:color="auto" w:fill="B00006"/>
    </w:rPr>
  </w:style>
  <w:style w:type="character" w:customStyle="1" w:styleId="87">
    <w:name w:val="标题 4 Char"/>
    <w:link w:val="7"/>
    <w:qFormat/>
    <w:uiPriority w:val="0"/>
    <w:rPr>
      <w:rFonts w:ascii="Times New Roman" w:hAnsi="Times New Roman" w:eastAsia="宋体" w:cs="Times New Roman"/>
      <w:kern w:val="2"/>
      <w:sz w:val="32"/>
    </w:rPr>
  </w:style>
  <w:style w:type="character" w:customStyle="1" w:styleId="88">
    <w:name w:val="Item List in Table Char Char"/>
    <w:qFormat/>
    <w:uiPriority w:val="0"/>
    <w:rPr>
      <w:rFonts w:hint="default" w:ascii="Arial" w:hAnsi="Arial" w:eastAsia="宋体" w:cs="Arial"/>
      <w:sz w:val="18"/>
      <w:szCs w:val="18"/>
    </w:rPr>
  </w:style>
  <w:style w:type="character" w:customStyle="1" w:styleId="89">
    <w:name w:val="标题 2 Char Char Char"/>
    <w:qFormat/>
    <w:uiPriority w:val="0"/>
    <w:rPr>
      <w:rFonts w:hint="default" w:ascii="Arial" w:hAnsi="Arial" w:eastAsia="黑体" w:cs="Arial"/>
      <w:b/>
      <w:kern w:val="2"/>
      <w:sz w:val="32"/>
      <w:szCs w:val="32"/>
      <w:lang w:val="en-US" w:eastAsia="zh-CN"/>
    </w:rPr>
  </w:style>
  <w:style w:type="character" w:customStyle="1" w:styleId="90">
    <w:name w:val="标题 6 Char"/>
    <w:link w:val="9"/>
    <w:qFormat/>
    <w:uiPriority w:val="0"/>
    <w:rPr>
      <w:rFonts w:hint="eastAsia" w:ascii="宋体" w:hAnsi="宋体" w:eastAsia="宋体" w:cs="宋体"/>
      <w:b/>
      <w:sz w:val="24"/>
      <w:szCs w:val="24"/>
      <w:lang w:eastAsia="en-US"/>
    </w:rPr>
  </w:style>
  <w:style w:type="character" w:customStyle="1" w:styleId="91">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2">
    <w:name w:val="批注框文本 Char"/>
    <w:link w:val="25"/>
    <w:qFormat/>
    <w:uiPriority w:val="0"/>
    <w:rPr>
      <w:rFonts w:ascii="Times New Roman" w:hAnsi="Times New Roman" w:eastAsia="宋体" w:cs="Times New Roman"/>
      <w:kern w:val="2"/>
      <w:sz w:val="18"/>
      <w:szCs w:val="18"/>
    </w:rPr>
  </w:style>
  <w:style w:type="character" w:customStyle="1" w:styleId="93">
    <w:name w:val="Balloon Text Char"/>
    <w:qFormat/>
    <w:uiPriority w:val="0"/>
    <w:rPr>
      <w:rFonts w:ascii="Times New Roman" w:hAnsi="Times New Roman" w:eastAsia="宋体" w:cs="Times New Roman"/>
      <w:sz w:val="18"/>
    </w:rPr>
  </w:style>
  <w:style w:type="character" w:customStyle="1" w:styleId="94">
    <w:name w:val="overfont"/>
    <w:basedOn w:val="42"/>
    <w:qFormat/>
    <w:uiPriority w:val="0"/>
  </w:style>
  <w:style w:type="character" w:customStyle="1" w:styleId="95">
    <w:name w:val="标题 1 Char"/>
    <w:link w:val="4"/>
    <w:qFormat/>
    <w:uiPriority w:val="0"/>
    <w:rPr>
      <w:rFonts w:hint="eastAsia" w:ascii="楷体_GB2312" w:hAnsi="Times New Roman" w:eastAsia="楷体_GB2312" w:cs="楷体_GB2312"/>
      <w:b/>
      <w:kern w:val="44"/>
      <w:sz w:val="44"/>
    </w:rPr>
  </w:style>
  <w:style w:type="character" w:customStyle="1" w:styleId="96">
    <w:name w:val="页眉 Char"/>
    <w:link w:val="27"/>
    <w:qFormat/>
    <w:uiPriority w:val="0"/>
    <w:rPr>
      <w:rFonts w:ascii="Times New Roman" w:hAnsi="Times New Roman" w:eastAsia="宋体" w:cs="Times New Roman"/>
      <w:kern w:val="2"/>
      <w:sz w:val="18"/>
      <w:szCs w:val="18"/>
    </w:rPr>
  </w:style>
  <w:style w:type="character" w:customStyle="1" w:styleId="97">
    <w:name w:val="Char Char11"/>
    <w:qFormat/>
    <w:uiPriority w:val="0"/>
    <w:rPr>
      <w:rFonts w:ascii="Times New Roman" w:hAnsi="Times New Roman" w:eastAsia="宋体" w:cs="Times New Roman"/>
      <w:kern w:val="2"/>
      <w:sz w:val="18"/>
      <w:szCs w:val="18"/>
    </w:rPr>
  </w:style>
  <w:style w:type="character" w:customStyle="1" w:styleId="98">
    <w:name w:val="页脚 Char"/>
    <w:link w:val="26"/>
    <w:qFormat/>
    <w:uiPriority w:val="0"/>
    <w:rPr>
      <w:rFonts w:ascii="Times New Roman" w:hAnsi="Times New Roman" w:eastAsia="宋体" w:cs="Times New Roman"/>
      <w:kern w:val="2"/>
      <w:sz w:val="18"/>
      <w:szCs w:val="18"/>
    </w:rPr>
  </w:style>
  <w:style w:type="character" w:customStyle="1" w:styleId="99">
    <w:name w:val="Char Char Char"/>
    <w:qFormat/>
    <w:uiPriority w:val="0"/>
    <w:rPr>
      <w:rFonts w:hint="eastAsia" w:ascii="宋体" w:hAnsi="Courier New" w:eastAsia="宋体" w:cs="宋体"/>
      <w:kern w:val="2"/>
      <w:sz w:val="21"/>
      <w:lang w:val="en-US" w:eastAsia="zh-CN"/>
    </w:rPr>
  </w:style>
  <w:style w:type="character" w:customStyle="1" w:styleId="100">
    <w:name w:val="标题 2 Char"/>
    <w:link w:val="5"/>
    <w:qFormat/>
    <w:uiPriority w:val="0"/>
    <w:rPr>
      <w:rFonts w:ascii="Arial" w:hAnsi="Arial" w:eastAsia="黑体" w:cs="Arial"/>
      <w:b/>
      <w:kern w:val="2"/>
      <w:sz w:val="32"/>
    </w:rPr>
  </w:style>
  <w:style w:type="character" w:customStyle="1" w:styleId="101">
    <w:name w:val="标题 3 Char"/>
    <w:link w:val="6"/>
    <w:qFormat/>
    <w:uiPriority w:val="0"/>
    <w:rPr>
      <w:rFonts w:ascii="Times New Roman" w:hAnsi="Times New Roman" w:eastAsia="宋体" w:cs="Times New Roman"/>
      <w:b/>
      <w:kern w:val="2"/>
      <w:sz w:val="32"/>
    </w:rPr>
  </w:style>
  <w:style w:type="character" w:customStyle="1" w:styleId="102">
    <w:name w:val="p0 Char Char"/>
    <w:qFormat/>
    <w:uiPriority w:val="0"/>
    <w:rPr>
      <w:rFonts w:ascii="Times New Roman" w:hAnsi="Times New Roman" w:eastAsia="宋体" w:cs="Times New Roman"/>
      <w:kern w:val="2"/>
      <w:sz w:val="21"/>
    </w:rPr>
  </w:style>
  <w:style w:type="character" w:customStyle="1" w:styleId="103">
    <w:name w:val="fontstyle11"/>
    <w:qFormat/>
    <w:uiPriority w:val="0"/>
    <w:rPr>
      <w:rFonts w:hint="default" w:ascii="E-BZ" w:hAnsi="E-BZ" w:eastAsia="E-BZ" w:cs="E-BZ"/>
      <w:color w:val="000000"/>
      <w:sz w:val="20"/>
      <w:szCs w:val="20"/>
    </w:rPr>
  </w:style>
  <w:style w:type="character" w:customStyle="1" w:styleId="104">
    <w:name w:val="正文文本缩进 Char"/>
    <w:link w:val="17"/>
    <w:qFormat/>
    <w:uiPriority w:val="0"/>
    <w:rPr>
      <w:rFonts w:ascii="Times New Roman" w:hAnsi="Times New Roman" w:eastAsia="宋体" w:cs="Times New Roman"/>
      <w:kern w:val="2"/>
      <w:sz w:val="21"/>
      <w:szCs w:val="24"/>
    </w:rPr>
  </w:style>
  <w:style w:type="character" w:customStyle="1" w:styleId="105">
    <w:name w:val="正文首行缩进 Char"/>
    <w:link w:val="38"/>
    <w:qFormat/>
    <w:uiPriority w:val="0"/>
    <w:rPr>
      <w:rFonts w:hint="eastAsia" w:ascii="楷体_GB2312" w:hAnsi="Times New Roman" w:eastAsia="楷体_GB2312" w:cs="楷体_GB2312"/>
      <w:kern w:val="2"/>
      <w:sz w:val="32"/>
      <w:szCs w:val="24"/>
    </w:rPr>
  </w:style>
  <w:style w:type="character" w:customStyle="1" w:styleId="106">
    <w:name w:val="font61"/>
    <w:basedOn w:val="42"/>
    <w:qFormat/>
    <w:uiPriority w:val="0"/>
    <w:rPr>
      <w:rFonts w:hint="eastAsia" w:ascii="宋体" w:hAnsi="宋体" w:eastAsia="宋体" w:cs="宋体"/>
      <w:color w:val="000000"/>
      <w:sz w:val="21"/>
      <w:szCs w:val="21"/>
      <w:u w:val="none"/>
    </w:rPr>
  </w:style>
  <w:style w:type="paragraph" w:customStyle="1" w:styleId="107">
    <w:name w:val="Body Text First Indent1"/>
    <w:basedOn w:val="2"/>
    <w:qFormat/>
    <w:uiPriority w:val="0"/>
    <w:pPr>
      <w:ind w:firstLine="420" w:firstLineChars="100"/>
    </w:pPr>
  </w:style>
  <w:style w:type="paragraph" w:customStyle="1" w:styleId="108">
    <w:name w:val="p0"/>
    <w:basedOn w:val="1"/>
    <w:qFormat/>
    <w:uiPriority w:val="0"/>
    <w:pPr>
      <w:widowControl/>
    </w:pPr>
    <w:rPr>
      <w:rFonts w:ascii="Times New Roman" w:hAnsi="Times New Roman"/>
      <w:kern w:val="0"/>
      <w:szCs w:val="21"/>
    </w:rPr>
  </w:style>
  <w:style w:type="paragraph" w:customStyle="1" w:styleId="109">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w:basedOn w:val="1"/>
    <w:qFormat/>
    <w:uiPriority w:val="0"/>
    <w:pPr>
      <w:snapToGrid w:val="0"/>
      <w:spacing w:line="360" w:lineRule="auto"/>
      <w:ind w:firstLine="200" w:firstLineChars="200"/>
    </w:pPr>
    <w:rPr>
      <w:rFonts w:ascii="Times New Roman" w:hAnsi="Times New Roman"/>
    </w:rPr>
  </w:style>
  <w:style w:type="paragraph" w:customStyle="1" w:styleId="111">
    <w:name w:val="标题3-1"/>
    <w:basedOn w:val="6"/>
    <w:qFormat/>
    <w:uiPriority w:val="0"/>
    <w:pPr>
      <w:numPr>
        <w:ilvl w:val="0"/>
        <w:numId w:val="1"/>
      </w:numPr>
    </w:pPr>
    <w:rPr>
      <w:sz w:val="24"/>
    </w:rPr>
  </w:style>
  <w:style w:type="paragraph" w:customStyle="1" w:styleId="112">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3">
    <w:name w:val="列出段落1"/>
    <w:basedOn w:val="1"/>
    <w:qFormat/>
    <w:uiPriority w:val="0"/>
    <w:pPr>
      <w:ind w:firstLine="420" w:firstLineChars="200"/>
    </w:pPr>
    <w:rPr>
      <w:rFonts w:ascii="Times New Roman" w:hAnsi="Times New Roman"/>
    </w:rPr>
  </w:style>
  <w:style w:type="paragraph" w:customStyle="1" w:styleId="11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5">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6">
    <w:name w:val="正文_13_0"/>
    <w:basedOn w:val="1"/>
    <w:qFormat/>
    <w:uiPriority w:val="0"/>
    <w:rPr>
      <w:rFonts w:ascii="Calibri" w:hAnsi="Calibri"/>
    </w:rPr>
  </w:style>
  <w:style w:type="paragraph" w:customStyle="1" w:styleId="11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8">
    <w:name w:val="Table Paragraph"/>
    <w:basedOn w:val="1"/>
    <w:unhideWhenUsed/>
    <w:qFormat/>
    <w:uiPriority w:val="1"/>
    <w:rPr>
      <w:sz w:val="24"/>
    </w:rPr>
  </w:style>
  <w:style w:type="paragraph" w:customStyle="1" w:styleId="1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p15"/>
    <w:basedOn w:val="1"/>
    <w:qFormat/>
    <w:uiPriority w:val="0"/>
    <w:pPr>
      <w:widowControl/>
      <w:spacing w:line="365" w:lineRule="atLeast"/>
      <w:ind w:left="1"/>
    </w:pPr>
    <w:rPr>
      <w:rFonts w:ascii="Times New Roman" w:hAnsi="Times New Roman"/>
      <w:kern w:val="0"/>
      <w:sz w:val="20"/>
    </w:rPr>
  </w:style>
  <w:style w:type="paragraph" w:customStyle="1" w:styleId="121">
    <w:name w:val="TOAHeading"/>
    <w:basedOn w:val="1"/>
    <w:next w:val="1"/>
    <w:qFormat/>
    <w:uiPriority w:val="0"/>
    <w:pPr>
      <w:spacing w:before="120"/>
      <w:textAlignment w:val="baseline"/>
    </w:pPr>
    <w:rPr>
      <w:rFonts w:ascii="Arial" w:hAnsi="Arial"/>
      <w:sz w:val="24"/>
      <w:szCs w:val="22"/>
    </w:rPr>
  </w:style>
  <w:style w:type="character" w:customStyle="1" w:styleId="122">
    <w:name w:val="NormalCharacter"/>
    <w:qFormat/>
    <w:uiPriority w:val="0"/>
    <w:rPr>
      <w:rFonts w:ascii="Book Antiqua" w:hAnsi="Book Antiqua" w:eastAsia="宋体" w:cs="Times New Roman"/>
      <w:kern w:val="2"/>
      <w:sz w:val="21"/>
      <w:szCs w:val="24"/>
      <w:lang w:val="en-US" w:eastAsia="zh-CN" w:bidi="ar-SA"/>
    </w:rPr>
  </w:style>
  <w:style w:type="paragraph" w:customStyle="1" w:styleId="123">
    <w:name w:val="BodyText1I"/>
    <w:basedOn w:val="124"/>
    <w:next w:val="126"/>
    <w:qFormat/>
    <w:uiPriority w:val="0"/>
    <w:pPr>
      <w:ind w:firstLine="420" w:firstLineChars="100"/>
    </w:pPr>
    <w:rPr>
      <w:rFonts w:ascii="楷体_GB2312"/>
      <w:sz w:val="32"/>
    </w:rPr>
  </w:style>
  <w:style w:type="paragraph" w:customStyle="1" w:styleId="124">
    <w:name w:val="BodyText"/>
    <w:basedOn w:val="1"/>
    <w:next w:val="125"/>
    <w:qFormat/>
    <w:uiPriority w:val="0"/>
    <w:pPr>
      <w:textAlignment w:val="baseline"/>
    </w:pPr>
    <w:rPr>
      <w:rFonts w:ascii="Calibri" w:hAnsi="Calibri" w:eastAsia="楷体_GB2312"/>
      <w:kern w:val="0"/>
      <w:sz w:val="28"/>
    </w:rPr>
  </w:style>
  <w:style w:type="paragraph" w:customStyle="1" w:styleId="125">
    <w:name w:val="BodyText2"/>
    <w:basedOn w:val="1"/>
    <w:next w:val="124"/>
    <w:qFormat/>
    <w:uiPriority w:val="0"/>
    <w:pPr>
      <w:spacing w:after="120" w:line="480" w:lineRule="auto"/>
      <w:textAlignment w:val="baseline"/>
    </w:pPr>
  </w:style>
  <w:style w:type="paragraph" w:customStyle="1" w:styleId="126">
    <w:name w:val="BodyText1I2"/>
    <w:basedOn w:val="127"/>
    <w:qFormat/>
    <w:uiPriority w:val="0"/>
    <w:pPr>
      <w:ind w:firstLine="420" w:firstLineChars="200"/>
    </w:pPr>
  </w:style>
  <w:style w:type="paragraph" w:customStyle="1" w:styleId="127">
    <w:name w:val="BodyTextIndent"/>
    <w:basedOn w:val="1"/>
    <w:qFormat/>
    <w:uiPriority w:val="0"/>
    <w:pPr>
      <w:spacing w:after="120"/>
      <w:ind w:left="420" w:leftChars="200"/>
      <w:textAlignment w:val="baseline"/>
    </w:pPr>
  </w:style>
  <w:style w:type="paragraph" w:customStyle="1" w:styleId="128">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9">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0">
    <w:name w:val="font31"/>
    <w:basedOn w:val="42"/>
    <w:qFormat/>
    <w:uiPriority w:val="0"/>
    <w:rPr>
      <w:rFonts w:hint="eastAsia" w:ascii="宋体" w:hAnsi="宋体" w:eastAsia="宋体" w:cs="宋体"/>
      <w:color w:val="000000"/>
      <w:sz w:val="22"/>
      <w:szCs w:val="22"/>
      <w:u w:val="none"/>
    </w:rPr>
  </w:style>
  <w:style w:type="character" w:customStyle="1" w:styleId="131">
    <w:name w:val="hover26"/>
    <w:basedOn w:val="42"/>
    <w:qFormat/>
    <w:uiPriority w:val="0"/>
    <w:rPr>
      <w:color w:val="315EFB"/>
      <w:shd w:val="clear" w:fill="F0F3FD"/>
    </w:rPr>
  </w:style>
  <w:style w:type="character" w:customStyle="1" w:styleId="132">
    <w:name w:val="hover27"/>
    <w:basedOn w:val="42"/>
    <w:qFormat/>
    <w:uiPriority w:val="0"/>
  </w:style>
  <w:style w:type="character" w:customStyle="1" w:styleId="133">
    <w:name w:val="hover28"/>
    <w:basedOn w:val="42"/>
    <w:qFormat/>
    <w:uiPriority w:val="0"/>
    <w:rPr>
      <w:color w:val="315EFB"/>
    </w:rPr>
  </w:style>
  <w:style w:type="character" w:customStyle="1" w:styleId="134">
    <w:name w:val="c-icon31"/>
    <w:basedOn w:val="42"/>
    <w:qFormat/>
    <w:uiPriority w:val="0"/>
  </w:style>
  <w:style w:type="character" w:customStyle="1" w:styleId="135">
    <w:name w:val="c-icon32"/>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1026"/>
    <customShpInfo spid="_x0000_s3076"/>
    <customShpInfo spid="_x0000_s3080"/>
    <customShpInfo spid="_x0000_s3081"/>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2EA3-D59A-4A73-A1FB-6FC3A6D0E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3594</Words>
  <Characters>20489</Characters>
  <Lines>170</Lines>
  <Paragraphs>48</Paragraphs>
  <TotalTime>0</TotalTime>
  <ScaleCrop>false</ScaleCrop>
  <LinksUpToDate>false</LinksUpToDate>
  <CharactersWithSpaces>24035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2021-08-31T07:37:00Z</dcterms:created>
  <dc:creator>Administrator</dc:creator>
  <cp:lastModifiedBy>Trumen</cp:lastModifiedBy>
  <cp:lastPrinted>2021-10-14T07:51:00Z</cp:lastPrinted>
  <dcterms:modified xsi:type="dcterms:W3CDTF">2021-11-09T08:48:35Z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E45C5F2A36D04F2CAE74050244D19556</vt:lpwstr>
  </property>
</Properties>
</file>