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
        <w:rPr>
          <w:rFonts w:asciiTheme="minorEastAsia" w:hAnsiTheme="minorEastAsia" w:eastAsiaTheme="minorEastAsia" w:cstheme="minorEastAsia"/>
        </w:rPr>
      </w:pPr>
      <w:bookmarkStart w:id="0" w:name="_Toc281574833"/>
    </w:p>
    <w:p>
      <w:pPr>
        <w:pStyle w:val="16"/>
        <w:rPr>
          <w:rFonts w:asciiTheme="minorEastAsia" w:hAnsiTheme="minorEastAsia" w:eastAsiaTheme="minorEastAsia" w:cstheme="minorEastAsia"/>
        </w:rPr>
      </w:pPr>
    </w:p>
    <w:p>
      <w:pPr>
        <w:spacing w:line="560" w:lineRule="exact"/>
        <w:ind w:right="-330" w:rightChars="-157"/>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焦作市静脉产业园西部园区生活垃圾焚烧发电所产炉渣处置及资源化再利用项目</w:t>
      </w:r>
    </w:p>
    <w:p>
      <w:pPr>
        <w:spacing w:line="360" w:lineRule="auto"/>
        <w:jc w:val="center"/>
        <w:rPr>
          <w:rFonts w:asciiTheme="minorEastAsia" w:hAnsiTheme="minorEastAsia" w:eastAsiaTheme="minorEastAsia" w:cstheme="minorEastAsia"/>
          <w:sz w:val="28"/>
        </w:rPr>
      </w:pPr>
      <w:r>
        <w:rPr>
          <w:rFonts w:hint="eastAsia" w:eastAsia="方正小标宋简体"/>
          <w:sz w:val="44"/>
          <w:szCs w:val="44"/>
          <w:lang w:val="en-US" w:eastAsia="zh-CN"/>
        </w:rPr>
        <w:t xml:space="preserve"> </w:t>
      </w:r>
    </w:p>
    <w:p>
      <w:pPr>
        <w:pStyle w:val="106"/>
        <w:ind w:firstLine="210"/>
        <w:rPr>
          <w:rFonts w:asciiTheme="minorEastAsia" w:hAnsiTheme="minorEastAsia" w:eastAsiaTheme="minorEastAsia" w:cstheme="minorEastAsia"/>
          <w:highlight w:val="yellow"/>
        </w:rPr>
      </w:pPr>
    </w:p>
    <w:p>
      <w:pPr>
        <w:spacing w:line="360" w:lineRule="auto"/>
        <w:jc w:val="center"/>
        <w:rPr>
          <w:rFonts w:asciiTheme="minorEastAsia" w:hAnsiTheme="minorEastAsia" w:eastAsiaTheme="minorEastAsia" w:cstheme="minorEastAsia"/>
          <w:b/>
          <w:sz w:val="84"/>
          <w:szCs w:val="84"/>
        </w:rPr>
      </w:pPr>
    </w:p>
    <w:p>
      <w:pPr>
        <w:pStyle w:val="2"/>
      </w:pP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rPr>
        <w:t>采购编号：</w:t>
      </w:r>
      <w:r>
        <w:rPr>
          <w:rFonts w:hint="eastAsia" w:asciiTheme="minorEastAsia" w:hAnsiTheme="minorEastAsia" w:eastAsiaTheme="minorEastAsia" w:cstheme="minorEastAsia"/>
          <w:b/>
          <w:bCs/>
          <w:sz w:val="36"/>
          <w:szCs w:val="36"/>
          <w:lang w:eastAsia="zh-CN"/>
        </w:rPr>
        <w:t>博政采购(2021)</w:t>
      </w:r>
      <w:r>
        <w:rPr>
          <w:rFonts w:hint="eastAsia" w:asciiTheme="minorEastAsia" w:hAnsiTheme="minorEastAsia" w:eastAsiaTheme="minorEastAsia" w:cstheme="minorEastAsia"/>
          <w:b/>
          <w:bCs/>
          <w:sz w:val="36"/>
          <w:szCs w:val="36"/>
          <w:lang w:val="en-US" w:eastAsia="zh-CN"/>
        </w:rPr>
        <w:t>130</w:t>
      </w:r>
      <w:r>
        <w:rPr>
          <w:rFonts w:hint="eastAsia" w:asciiTheme="minorEastAsia" w:hAnsiTheme="minorEastAsia" w:eastAsiaTheme="minorEastAsia" w:cstheme="minorEastAsia"/>
          <w:b/>
          <w:bCs/>
          <w:sz w:val="36"/>
          <w:szCs w:val="36"/>
          <w:lang w:eastAsia="zh-CN"/>
        </w:rPr>
        <w:t>号</w:t>
      </w:r>
    </w:p>
    <w:p>
      <w:pPr>
        <w:jc w:val="center"/>
        <w:rPr>
          <w:rFonts w:asciiTheme="minorEastAsia" w:hAnsiTheme="minorEastAsia" w:eastAsiaTheme="minorEastAsia" w:cstheme="minorEastAsia"/>
          <w:sz w:val="30"/>
        </w:rPr>
      </w:pPr>
    </w:p>
    <w:p>
      <w:pPr>
        <w:rPr>
          <w:rFonts w:asciiTheme="minorEastAsia" w:hAnsiTheme="minorEastAsia" w:eastAsiaTheme="minorEastAsia" w:cstheme="minorEastAsia"/>
          <w:sz w:val="30"/>
        </w:rPr>
      </w:pPr>
      <w:r>
        <w:rPr>
          <w:rFonts w:hint="eastAsia" w:asciiTheme="minorEastAsia" w:hAnsiTheme="minorEastAsia" w:eastAsiaTheme="minorEastAsia" w:cstheme="minorEastAsia"/>
          <w:sz w:val="30"/>
        </w:rPr>
        <w:t xml:space="preserve"> </w:t>
      </w: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ind w:firstLine="1928" w:firstLineChars="600"/>
        <w:rPr>
          <w:rFonts w:asciiTheme="minorEastAsia" w:hAnsiTheme="minorEastAsia" w:eastAsiaTheme="minorEastAsia" w:cstheme="minorEastAsia"/>
          <w:b/>
          <w:bCs/>
          <w:sz w:val="32"/>
          <w:szCs w:val="32"/>
        </w:rPr>
      </w:pPr>
    </w:p>
    <w:p>
      <w:pPr>
        <w:ind w:firstLine="1928" w:firstLineChars="600"/>
        <w:rPr>
          <w:rFonts w:asciiTheme="minorEastAsia" w:hAnsiTheme="minorEastAsia" w:eastAsiaTheme="minorEastAsia" w:cstheme="minorEastAsia"/>
          <w:b/>
          <w:bCs/>
          <w:sz w:val="32"/>
          <w:szCs w:val="32"/>
        </w:rPr>
      </w:pPr>
    </w:p>
    <w:p>
      <w:pPr>
        <w:ind w:firstLine="1928" w:firstLineChars="6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博爱县城市管理局</w:t>
      </w: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代理机构：博爱县城市建设项目管理有限公司</w:t>
      </w:r>
    </w:p>
    <w:p>
      <w:pPr>
        <w:ind w:firstLine="1928" w:firstLineChars="600"/>
        <w:rPr>
          <w:rFonts w:asciiTheme="minorEastAsia" w:hAnsiTheme="minorEastAsia" w:eastAsiaTheme="minorEastAsia" w:cstheme="minorEastAsia"/>
          <w:b/>
          <w:bCs/>
          <w:sz w:val="32"/>
          <w:szCs w:val="32"/>
        </w:rPr>
        <w:sectPr>
          <w:footerReference r:id="rId4" w:type="first"/>
          <w:footerReference r:id="rId3" w:type="default"/>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期：2021年</w:t>
      </w:r>
      <w:r>
        <w:rPr>
          <w:rFonts w:hint="eastAsia" w:asciiTheme="minorEastAsia" w:hAnsiTheme="minorEastAsia" w:eastAsiaTheme="minorEastAsia" w:cstheme="minorEastAsia"/>
          <w:b/>
          <w:bCs/>
          <w:sz w:val="32"/>
          <w:szCs w:val="32"/>
          <w:lang w:val="en-US" w:eastAsia="zh-CN"/>
        </w:rPr>
        <w:t>11</w:t>
      </w:r>
      <w:r>
        <w:rPr>
          <w:rFonts w:hint="eastAsia" w:asciiTheme="minorEastAsia" w:hAnsiTheme="minorEastAsia" w:eastAsiaTheme="minorEastAsia" w:cstheme="minorEastAsia"/>
          <w:b/>
          <w:bCs/>
          <w:sz w:val="32"/>
          <w:szCs w:val="32"/>
        </w:rPr>
        <w:t>月</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     录</w:t>
      </w:r>
    </w:p>
    <w:p>
      <w:pPr>
        <w:pStyle w:val="28"/>
        <w:tabs>
          <w:tab w:val="right" w:leader="dot" w:pos="9460"/>
        </w:tabs>
        <w:spacing w:line="520" w:lineRule="exact"/>
        <w:rPr>
          <w:b/>
          <w:bCs/>
        </w:rPr>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r>
        <w:fldChar w:fldCharType="begin"/>
      </w:r>
      <w:r>
        <w:instrText xml:space="preserve"> HYPERLINK \l "_Toc9243" </w:instrText>
      </w:r>
      <w:r>
        <w:fldChar w:fldCharType="separate"/>
      </w:r>
      <w:r>
        <w:rPr>
          <w:rFonts w:hint="eastAsia" w:asciiTheme="minorEastAsia" w:hAnsiTheme="minorEastAsia" w:eastAsiaTheme="minorEastAsia" w:cstheme="minorEastAsia"/>
          <w:b/>
          <w:bCs/>
        </w:rPr>
        <w:t>第一章   招标公告</w:t>
      </w:r>
      <w:r>
        <w:rPr>
          <w:b/>
          <w:bCs/>
        </w:rPr>
        <w:tab/>
      </w:r>
      <w:r>
        <w:rPr>
          <w:b/>
          <w:bCs/>
        </w:rPr>
        <w:fldChar w:fldCharType="begin"/>
      </w:r>
      <w:r>
        <w:rPr>
          <w:b/>
          <w:bCs/>
        </w:rPr>
        <w:instrText xml:space="preserve"> PAGEREF _Toc9243 </w:instrText>
      </w:r>
      <w:r>
        <w:rPr>
          <w:b/>
          <w:bCs/>
        </w:rPr>
        <w:fldChar w:fldCharType="separate"/>
      </w:r>
      <w:r>
        <w:rPr>
          <w:b/>
          <w:bCs/>
        </w:rPr>
        <w:t>- 3 -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"_Toc25354" </w:instrText>
      </w:r>
      <w:r>
        <w:fldChar w:fldCharType="separate"/>
      </w:r>
      <w:r>
        <w:rPr>
          <w:rFonts w:hint="eastAsia" w:asciiTheme="minorEastAsia" w:hAnsiTheme="minorEastAsia" w:eastAsiaTheme="minorEastAsia" w:cstheme="minorEastAsia"/>
          <w:b/>
          <w:bCs/>
          <w:szCs w:val="32"/>
        </w:rPr>
        <w:t>第二章  供应商须知</w:t>
      </w:r>
      <w:r>
        <w:rPr>
          <w:b/>
          <w:bCs/>
        </w:rPr>
        <w:tab/>
      </w:r>
      <w:r>
        <w:rPr>
          <w:b/>
          <w:bCs/>
        </w:rPr>
        <w:fldChar w:fldCharType="begin"/>
      </w:r>
      <w:r>
        <w:rPr>
          <w:b/>
          <w:bCs/>
        </w:rPr>
        <w:instrText xml:space="preserve"> PAGEREF _Toc25354 </w:instrText>
      </w:r>
      <w:r>
        <w:rPr>
          <w:b/>
          <w:bCs/>
        </w:rPr>
        <w:fldChar w:fldCharType="separate"/>
      </w:r>
      <w:r>
        <w:rPr>
          <w:b/>
          <w:bCs/>
        </w:rPr>
        <w:t>- 6 -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"_Toc1253" </w:instrText>
      </w:r>
      <w:r>
        <w:fldChar w:fldCharType="separate"/>
      </w:r>
      <w:r>
        <w:rPr>
          <w:rFonts w:asciiTheme="minorEastAsia" w:hAnsiTheme="minorEastAsia" w:eastAsiaTheme="minorEastAsia" w:cstheme="minorEastAsia"/>
          <w:b/>
          <w:bCs/>
          <w:szCs w:val="36"/>
        </w:rPr>
        <w:t xml:space="preserve">第三章 </w:t>
      </w:r>
      <w:r>
        <w:rPr>
          <w:rFonts w:hint="eastAsia" w:asciiTheme="minorEastAsia" w:hAnsiTheme="minorEastAsia" w:eastAsiaTheme="minorEastAsia" w:cstheme="minorEastAsia"/>
          <w:b/>
          <w:bCs/>
          <w:szCs w:val="36"/>
        </w:rPr>
        <w:t>评标办法（综合评分法）</w:t>
      </w:r>
      <w:r>
        <w:rPr>
          <w:b/>
          <w:bCs/>
        </w:rPr>
        <w:tab/>
      </w:r>
      <w:r>
        <w:rPr>
          <w:b/>
          <w:bCs/>
        </w:rPr>
        <w:fldChar w:fldCharType="begin"/>
      </w:r>
      <w:r>
        <w:rPr>
          <w:b/>
          <w:bCs/>
        </w:rPr>
        <w:instrText xml:space="preserve"> PAGEREF _Toc1253 </w:instrText>
      </w:r>
      <w:r>
        <w:rPr>
          <w:b/>
          <w:bCs/>
        </w:rPr>
        <w:fldChar w:fldCharType="separate"/>
      </w:r>
      <w:r>
        <w:rPr>
          <w:b/>
          <w:bCs/>
        </w:rPr>
        <w:t>- 18 -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"_Toc955" </w:instrText>
      </w:r>
      <w:r>
        <w:fldChar w:fldCharType="separate"/>
      </w:r>
      <w:r>
        <w:rPr>
          <w:rFonts w:hint="eastAsia" w:asciiTheme="minorEastAsia" w:hAnsiTheme="minorEastAsia" w:eastAsiaTheme="minorEastAsia" w:cstheme="minorEastAsia"/>
          <w:b/>
          <w:bCs/>
          <w:szCs w:val="36"/>
        </w:rPr>
        <w:t>第四章  合同条款及格式</w:t>
      </w:r>
      <w:r>
        <w:rPr>
          <w:b/>
          <w:bCs/>
        </w:rPr>
        <w:tab/>
      </w:r>
      <w:r>
        <w:rPr>
          <w:b/>
          <w:bCs/>
        </w:rPr>
        <w:fldChar w:fldCharType="begin"/>
      </w:r>
      <w:r>
        <w:rPr>
          <w:b/>
          <w:bCs/>
        </w:rPr>
        <w:instrText xml:space="preserve"> PAGEREF _Toc955 </w:instrText>
      </w:r>
      <w:r>
        <w:rPr>
          <w:b/>
          <w:bCs/>
        </w:rPr>
        <w:fldChar w:fldCharType="separate"/>
      </w:r>
      <w:r>
        <w:rPr>
          <w:b/>
          <w:bCs/>
        </w:rPr>
        <w:t>- 23 -</w:t>
      </w:r>
      <w:r>
        <w:rPr>
          <w:b/>
          <w:bCs/>
        </w:rPr>
        <w:fldChar w:fldCharType="end"/>
      </w:r>
      <w:r>
        <w:rPr>
          <w:b/>
          <w:bCs/>
        </w:rPr>
        <w:fldChar w:fldCharType="end"/>
      </w:r>
    </w:p>
    <w:p>
      <w:pPr>
        <w:pStyle w:val="28"/>
        <w:tabs>
          <w:tab w:val="right" w:leader="dot" w:pos="9460"/>
        </w:tabs>
        <w:spacing w:line="520" w:lineRule="exact"/>
        <w:rPr>
          <w:rFonts w:asciiTheme="minorEastAsia" w:hAnsiTheme="minorEastAsia" w:eastAsiaTheme="minorEastAsia" w:cstheme="minorEastAsia"/>
          <w:b/>
          <w:bCs/>
          <w:caps/>
          <w:szCs w:val="21"/>
          <w:lang w:val="zh-CN"/>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第五章  服务内容及要求</w:t>
      </w:r>
      <w:r>
        <w:rPr>
          <w:b/>
          <w:bCs/>
        </w:rPr>
        <w:tab/>
      </w:r>
      <w:r>
        <w:rPr>
          <w:b/>
          <w:bCs/>
        </w:rPr>
        <w:fldChar w:fldCharType="begin"/>
      </w:r>
      <w:r>
        <w:rPr>
          <w:b/>
          <w:bCs/>
        </w:rPr>
        <w:instrText xml:space="preserve"> PAGEREF _Toc26235 </w:instrText>
      </w:r>
      <w:r>
        <w:rPr>
          <w:b/>
          <w:bCs/>
        </w:rPr>
        <w:fldChar w:fldCharType="separate"/>
      </w:r>
      <w:r>
        <w:rPr>
          <w:b/>
          <w:bCs/>
        </w:rPr>
        <w:t>- 26 -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第六章  投标文件格式</w:t>
      </w:r>
      <w:r>
        <w:rPr>
          <w:b/>
          <w:bCs/>
        </w:rPr>
        <w:tab/>
      </w:r>
      <w:r>
        <w:rPr>
          <w:b/>
          <w:bCs/>
        </w:rPr>
        <w:fldChar w:fldCharType="begin"/>
      </w:r>
      <w:r>
        <w:rPr>
          <w:b/>
          <w:bCs/>
        </w:rPr>
        <w:instrText xml:space="preserve"> PAGEREF _Toc26235 </w:instrText>
      </w:r>
      <w:r>
        <w:rPr>
          <w:b/>
          <w:bCs/>
        </w:rPr>
        <w:fldChar w:fldCharType="separate"/>
      </w:r>
      <w:r>
        <w:rPr>
          <w:b/>
          <w:bCs/>
        </w:rPr>
        <w:t>- 26 -</w:t>
      </w:r>
      <w:r>
        <w:rPr>
          <w:b/>
          <w:bCs/>
        </w:rPr>
        <w:fldChar w:fldCharType="end"/>
      </w:r>
      <w:r>
        <w:rPr>
          <w:b/>
          <w:bCs/>
        </w:rPr>
        <w:fldChar w:fldCharType="end"/>
      </w:r>
    </w:p>
    <w:p>
      <w:pPr>
        <w:spacing w:line="520" w:lineRule="exact"/>
        <w:rPr>
          <w:b/>
          <w:bCs/>
        </w:rPr>
      </w:pPr>
    </w:p>
    <w:p>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
          <w:bCs/>
          <w:caps/>
          <w:szCs w:val="21"/>
          <w:lang w:val="zh-CN"/>
        </w:rPr>
        <w:fldChar w:fldCharType="end"/>
      </w:r>
    </w:p>
    <w:p>
      <w:pPr>
        <w:pStyle w:val="36"/>
        <w:spacing w:line="360" w:lineRule="auto"/>
        <w:ind w:right="-63" w:rightChars="-30"/>
        <w:rPr>
          <w:rFonts w:asciiTheme="minorEastAsia" w:hAnsiTheme="minorEastAsia" w:eastAsiaTheme="minorEastAsia" w:cstheme="minorEastAsia"/>
          <w:bCs/>
        </w:rPr>
      </w:pPr>
      <w:bookmarkStart w:id="1" w:name="_Toc9243"/>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jc w:val="both"/>
        <w:rPr>
          <w:rFonts w:asciiTheme="minorEastAsia" w:hAnsiTheme="minorEastAsia" w:eastAsiaTheme="minorEastAsia" w:cstheme="minorEastAsia"/>
          <w:bCs/>
        </w:rPr>
      </w:pPr>
    </w:p>
    <w:p>
      <w:pPr>
        <w:pStyle w:val="36"/>
        <w:keepNext w:val="0"/>
        <w:keepLines w:val="0"/>
        <w:pageBreakBefore w:val="0"/>
        <w:widowControl w:val="0"/>
        <w:numPr>
          <w:ilvl w:val="0"/>
          <w:numId w:val="2"/>
        </w:numPr>
        <w:kinsoku/>
        <w:wordWrap/>
        <w:overflowPunct/>
        <w:topLinePunct w:val="0"/>
        <w:autoSpaceDE/>
        <w:autoSpaceDN/>
        <w:bidi w:val="0"/>
        <w:adjustRightInd/>
        <w:snapToGrid/>
        <w:spacing w:line="440" w:lineRule="exact"/>
        <w:ind w:left="630" w:leftChars="0" w:right="-63" w:rightChars="-30" w:firstLineChars="0"/>
        <w:textAlignment w:val="auto"/>
      </w:pPr>
      <w:r>
        <w:rPr>
          <w:rFonts w:hint="eastAsia" w:asciiTheme="minorEastAsia" w:hAnsiTheme="minorEastAsia" w:eastAsiaTheme="minorEastAsia" w:cstheme="minorEastAsia"/>
          <w:bCs/>
        </w:rPr>
        <w:t xml:space="preserve">  招标公告</w:t>
      </w:r>
      <w:bookmarkEnd w:id="1"/>
    </w:p>
    <w:p>
      <w:pPr>
        <w:keepNext w:val="0"/>
        <w:keepLines w:val="0"/>
        <w:pageBreakBefore w:val="0"/>
        <w:widowControl w:val="0"/>
        <w:kinsoku/>
        <w:wordWrap/>
        <w:overflowPunct/>
        <w:topLinePunct w:val="0"/>
        <w:autoSpaceDE/>
        <w:autoSpaceDN/>
        <w:bidi w:val="0"/>
        <w:adjustRightInd/>
        <w:snapToGrid/>
        <w:spacing w:line="440" w:lineRule="exact"/>
        <w:ind w:right="-330" w:rightChars="-157"/>
        <w:jc w:val="center"/>
        <w:textAlignment w:val="auto"/>
      </w:pPr>
      <w:r>
        <w:rPr>
          <w:rFonts w:hint="eastAsia" w:asciiTheme="majorEastAsia" w:hAnsiTheme="majorEastAsia" w:eastAsiaTheme="majorEastAsia" w:cstheme="majorEastAsia"/>
          <w:b/>
          <w:bCs/>
          <w:sz w:val="32"/>
          <w:szCs w:val="32"/>
          <w:lang w:eastAsia="zh-CN"/>
        </w:rPr>
        <w:t>焦作市静脉产业园西部园区生活垃圾焚烧发电所产炉渣处置及资源化再利用项目招标公告（</w:t>
      </w:r>
      <w:r>
        <w:rPr>
          <w:rFonts w:hint="eastAsia" w:asciiTheme="majorEastAsia" w:hAnsiTheme="majorEastAsia" w:eastAsiaTheme="majorEastAsia" w:cstheme="majorEastAsia"/>
          <w:b/>
          <w:bCs/>
          <w:sz w:val="32"/>
          <w:szCs w:val="32"/>
          <w:lang w:val="en-US" w:eastAsia="zh-CN"/>
        </w:rPr>
        <w:t>不见面开标</w:t>
      </w:r>
      <w:r>
        <w:rPr>
          <w:rFonts w:hint="eastAsia" w:asciiTheme="majorEastAsia" w:hAnsiTheme="majorEastAsia" w:eastAsiaTheme="majorEastAsia" w:cstheme="majorEastAsia"/>
          <w:b/>
          <w:bCs/>
          <w:sz w:val="32"/>
          <w:szCs w:val="32"/>
          <w:lang w:eastAsia="zh-CN"/>
        </w:rPr>
        <w:t>）</w:t>
      </w:r>
    </w:p>
    <w:tbl>
      <w:tblPr>
        <w:tblStyle w:val="40"/>
        <w:tblW w:w="10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10000" w:type="dxa"/>
          </w:tcPr>
          <w:p>
            <w:pPr>
              <w:pStyle w:val="39"/>
              <w:spacing w:line="440" w:lineRule="exact"/>
              <w:ind w:firstLine="480"/>
              <w:rPr>
                <w:rFonts w:ascii="宋体" w:hAnsi="宋体" w:cs="宋体"/>
                <w:sz w:val="24"/>
              </w:rPr>
            </w:pPr>
            <w:r>
              <w:rPr>
                <w:rFonts w:hint="eastAsia" w:ascii="宋体" w:hAnsi="宋体" w:cs="宋体"/>
                <w:sz w:val="24"/>
              </w:rPr>
              <w:t>项目概况：</w:t>
            </w:r>
            <w:r>
              <w:rPr>
                <w:rFonts w:hint="eastAsia" w:ascii="宋体" w:hAnsi="宋体" w:cs="宋体"/>
                <w:sz w:val="24"/>
                <w:lang w:eastAsia="zh-CN"/>
              </w:rPr>
              <w:t>焦作市静脉产业园西部园区生活垃圾焚烧发电所产炉渣处置及资源化再利用项目</w:t>
            </w:r>
            <w:r>
              <w:rPr>
                <w:rFonts w:hint="eastAsia" w:ascii="宋体" w:hAnsi="宋体" w:cs="宋体"/>
                <w:sz w:val="24"/>
              </w:rPr>
              <w:t>的潜在供应商应在焦作市公共资源交易中心网站获取采购文件</w:t>
            </w:r>
            <w:r>
              <w:rPr>
                <w:rFonts w:hint="eastAsia" w:ascii="宋体" w:hAnsi="宋体" w:cs="宋体"/>
                <w:color w:val="auto"/>
                <w:sz w:val="24"/>
              </w:rPr>
              <w:t>，并于</w:t>
            </w:r>
            <w:r>
              <w:rPr>
                <w:rFonts w:hint="eastAsia" w:ascii="宋体" w:hAnsi="宋体" w:cs="宋体"/>
                <w:color w:val="auto"/>
                <w:sz w:val="24"/>
                <w:u w:val="single"/>
              </w:rPr>
              <w:t>2021年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6</w:t>
            </w:r>
            <w:r>
              <w:rPr>
                <w:rFonts w:hint="eastAsia" w:ascii="宋体" w:hAnsi="宋体" w:cs="宋体"/>
                <w:color w:val="auto"/>
                <w:sz w:val="24"/>
                <w:u w:val="single"/>
              </w:rPr>
              <w:t>日上午</w:t>
            </w:r>
            <w:r>
              <w:rPr>
                <w:rFonts w:hint="eastAsia" w:ascii="宋体" w:hAnsi="宋体" w:cs="宋体"/>
                <w:color w:val="auto"/>
                <w:sz w:val="24"/>
                <w:u w:val="single"/>
                <w:lang w:val="en-US" w:eastAsia="zh-CN"/>
              </w:rPr>
              <w:t xml:space="preserve">  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分（北京时间）</w:t>
            </w:r>
            <w:r>
              <w:rPr>
                <w:rFonts w:hint="eastAsia" w:ascii="宋体" w:hAnsi="宋体" w:cs="宋体"/>
                <w:color w:val="auto"/>
                <w:sz w:val="24"/>
              </w:rPr>
              <w:t>前提交响应文件。</w:t>
            </w:r>
          </w:p>
        </w:tc>
      </w:tr>
    </w:tbl>
    <w:p>
      <w:pPr>
        <w:pStyle w:val="113"/>
        <w:spacing w:line="440" w:lineRule="exact"/>
        <w:ind w:left="0" w:firstLine="0"/>
        <w:rPr>
          <w:b/>
          <w:bCs/>
          <w:sz w:val="24"/>
          <w:lang w:eastAsia="zh-CN"/>
        </w:rPr>
      </w:pPr>
      <w:r>
        <w:rPr>
          <w:rFonts w:hint="eastAsia"/>
          <w:b/>
          <w:bCs/>
          <w:sz w:val="24"/>
          <w:lang w:eastAsia="zh-CN"/>
        </w:rPr>
        <w:t>一、项目基本情况</w:t>
      </w:r>
    </w:p>
    <w:p>
      <w:pPr>
        <w:pStyle w:val="113"/>
        <w:spacing w:line="440" w:lineRule="exact"/>
        <w:ind w:left="0" w:firstLine="480" w:firstLineChars="200"/>
        <w:rPr>
          <w:sz w:val="24"/>
          <w:lang w:eastAsia="zh-CN"/>
        </w:rPr>
      </w:pPr>
      <w:r>
        <w:rPr>
          <w:rFonts w:hint="eastAsia"/>
          <w:sz w:val="24"/>
          <w:lang w:eastAsia="zh-CN"/>
        </w:rPr>
        <w:t>项目编号：博政采购(2021)</w:t>
      </w:r>
      <w:r>
        <w:rPr>
          <w:rFonts w:hint="eastAsia"/>
          <w:sz w:val="24"/>
          <w:lang w:val="en-US" w:eastAsia="zh-CN"/>
        </w:rPr>
        <w:t>130</w:t>
      </w:r>
      <w:r>
        <w:rPr>
          <w:rFonts w:hint="eastAsia"/>
          <w:sz w:val="24"/>
          <w:lang w:eastAsia="zh-CN"/>
        </w:rPr>
        <w:t>号</w:t>
      </w:r>
    </w:p>
    <w:p>
      <w:pPr>
        <w:pStyle w:val="113"/>
        <w:spacing w:line="440" w:lineRule="exact"/>
        <w:ind w:left="0" w:firstLine="480" w:firstLineChars="200"/>
        <w:rPr>
          <w:sz w:val="24"/>
          <w:lang w:eastAsia="zh-CN"/>
        </w:rPr>
      </w:pPr>
      <w:r>
        <w:rPr>
          <w:rFonts w:hint="eastAsia"/>
          <w:sz w:val="24"/>
          <w:lang w:eastAsia="zh-CN"/>
        </w:rPr>
        <w:t>项目名称：焦作市静脉产业园西部园区生活垃圾焚烧发电所产炉渣处置及资源化再利用项目</w:t>
      </w:r>
    </w:p>
    <w:p>
      <w:pPr>
        <w:pStyle w:val="113"/>
        <w:spacing w:line="440" w:lineRule="exact"/>
        <w:ind w:left="0" w:firstLine="480" w:firstLineChars="200"/>
        <w:rPr>
          <w:sz w:val="24"/>
          <w:lang w:eastAsia="zh-CN"/>
        </w:rPr>
      </w:pPr>
      <w:r>
        <w:rPr>
          <w:rFonts w:hint="eastAsia"/>
          <w:sz w:val="24"/>
          <w:lang w:eastAsia="zh-CN"/>
        </w:rPr>
        <w:t>采购方式：公开招标</w:t>
      </w:r>
    </w:p>
    <w:p>
      <w:pPr>
        <w:widowControl/>
        <w:spacing w:line="440" w:lineRule="exact"/>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预算金额：炉渣处置费不低于25元/吨</w:t>
      </w:r>
      <w:r>
        <w:rPr>
          <w:rFonts w:hint="eastAsia" w:ascii="宋体" w:hAnsi="宋体" w:cs="宋体"/>
          <w:kern w:val="0"/>
          <w:sz w:val="24"/>
          <w:lang w:val="en-US" w:eastAsia="zh-CN"/>
        </w:rPr>
        <w:t xml:space="preserve"> </w:t>
      </w:r>
    </w:p>
    <w:p>
      <w:pPr>
        <w:widowControl/>
        <w:spacing w:line="440" w:lineRule="exact"/>
        <w:ind w:firstLine="480" w:firstLineChars="200"/>
        <w:jc w:val="left"/>
        <w:rPr>
          <w:rFonts w:hint="eastAsia" w:ascii="宋体" w:hAnsi="宋体" w:cs="宋体"/>
          <w:kern w:val="0"/>
          <w:sz w:val="24"/>
        </w:rPr>
      </w:pPr>
      <w:r>
        <w:rPr>
          <w:rFonts w:hint="eastAsia" w:ascii="宋体" w:hAnsi="宋体" w:eastAsia="宋体" w:cs="宋体"/>
          <w:kern w:val="0"/>
          <w:sz w:val="24"/>
          <w:szCs w:val="22"/>
          <w:lang w:val="en-US" w:eastAsia="zh-CN" w:bidi="ar-SA"/>
        </w:rPr>
        <w:t>采购内容</w:t>
      </w:r>
      <w:r>
        <w:rPr>
          <w:rFonts w:hint="eastAsia" w:ascii="宋体" w:hAnsi="宋体" w:cs="宋体"/>
          <w:kern w:val="0"/>
          <w:sz w:val="24"/>
        </w:rPr>
        <w:t>：博爱县城市管理局通过公开招标，选定焦作市静脉产业园西部园区生活垃圾焚烧发电所产炉渣处置及资源化再利用项目的中标人，由中标人出资在博爱县组建项目公司，项目公司负责焦作市静脉产业园西部园区生活垃圾焚烧发电所产炉渣处置及再利用项目运营。炉渣处置及资源化再利用项目建成后，对炉渣实行定时、定点、密闭运输，然后对其中的可回收物进行分选，分选后的炉渣生产粗细骨料，可用于生产符合国家、行业部门标准的建筑材料等相关产品。</w:t>
      </w:r>
    </w:p>
    <w:p>
      <w:pPr>
        <w:widowControl/>
        <w:spacing w:line="440" w:lineRule="exact"/>
        <w:ind w:firstLine="480" w:firstLineChars="200"/>
        <w:jc w:val="left"/>
        <w:rPr>
          <w:rFonts w:hint="eastAsia" w:eastAsia="宋体" w:asciiTheme="minorEastAsia" w:hAnsiTheme="minorEastAsia" w:cstheme="minorEastAsia"/>
          <w:color w:val="FF0000"/>
          <w:kern w:val="0"/>
          <w:sz w:val="24"/>
          <w:highlight w:val="none"/>
          <w:lang w:eastAsia="zh-CN"/>
        </w:rPr>
      </w:pPr>
      <w:r>
        <w:rPr>
          <w:rFonts w:hint="eastAsia" w:ascii="宋体" w:hAnsi="宋体" w:cs="宋体"/>
          <w:kern w:val="0"/>
          <w:sz w:val="24"/>
        </w:rPr>
        <w:t>本次拟实施的焦作市静脉产业园西部园区生活垃圾焚烧发电所产炉渣处置及资源化再利用项目炉渣价格不低于25元/吨（根据市场情况，每5年对中标价格进行一次评估，根据评估结果，经协商后进行调整）。建设规模为年处理不低于10万吨，中标企业预算投资约5000万元，经营期限为30年。项目建设拟用地位于许良镇与磨头镇交界辛河路东，焦西静脉产业园生活垃圾发电项目对面，由企业采用招拍挂或租赁方式取得。</w:t>
      </w:r>
    </w:p>
    <w:p>
      <w:pPr>
        <w:widowControl/>
        <w:spacing w:line="440" w:lineRule="exact"/>
        <w:ind w:firstLine="480" w:firstLineChars="20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服务期</w:t>
      </w:r>
      <w:r>
        <w:rPr>
          <w:rFonts w:hint="eastAsia" w:ascii="宋体" w:hAnsi="宋体" w:cs="宋体"/>
          <w:kern w:val="0"/>
          <w:sz w:val="24"/>
        </w:rPr>
        <w:t>：焦作市静脉产业园西部园区生活垃圾焚烧发电所产炉渣处置及资源化再利用项目周期为30年，其中建设期1年，运营期29年。（若建设期延长运营期相应减少，总周期30年不变）</w:t>
      </w:r>
    </w:p>
    <w:p>
      <w:pPr>
        <w:widowControl/>
        <w:spacing w:line="440" w:lineRule="exact"/>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质量标准：合格</w:t>
      </w:r>
    </w:p>
    <w:p>
      <w:pPr>
        <w:adjustRightInd w:val="0"/>
        <w:snapToGrid w:val="0"/>
        <w:spacing w:line="440" w:lineRule="exact"/>
        <w:rPr>
          <w:rFonts w:ascii="宋体" w:hAnsi="宋体" w:cs="宋体"/>
          <w:color w:val="121212"/>
          <w:kern w:val="0"/>
          <w:sz w:val="24"/>
        </w:rPr>
      </w:pPr>
      <w:r>
        <w:rPr>
          <w:rFonts w:hint="eastAsia" w:ascii="宋体" w:hAnsi="宋体" w:cs="宋体"/>
          <w:b/>
          <w:bCs/>
          <w:color w:val="121212"/>
          <w:kern w:val="0"/>
          <w:sz w:val="24"/>
        </w:rPr>
        <w:t>二、申请人资格要求：</w:t>
      </w:r>
    </w:p>
    <w:p>
      <w:pPr>
        <w:widowControl/>
        <w:spacing w:line="440" w:lineRule="exact"/>
        <w:ind w:firstLine="480" w:firstLineChars="20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1、符合《中华人民共和国政府采购法》第二十二条之规定；</w:t>
      </w:r>
    </w:p>
    <w:p>
      <w:pPr>
        <w:widowControl/>
        <w:spacing w:line="440" w:lineRule="exact"/>
        <w:ind w:firstLine="480" w:firstLineChars="20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3、本项目的特定资格要求：</w:t>
      </w:r>
    </w:p>
    <w:p>
      <w:pPr>
        <w:widowControl/>
        <w:spacing w:line="440" w:lineRule="exact"/>
        <w:ind w:firstLine="480" w:firstLineChars="20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widowControl/>
        <w:spacing w:line="440" w:lineRule="exact"/>
        <w:ind w:firstLine="480" w:firstLineChars="20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3.3投标人提供近三年（2018年、2019年、2020年）完整的财务审计报告（成立不足三年的企业，以现有年份提供）；</w:t>
      </w:r>
    </w:p>
    <w:p>
      <w:pPr>
        <w:widowControl/>
        <w:spacing w:line="440" w:lineRule="exact"/>
        <w:ind w:firstLine="480" w:firstLineChars="20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3.4本项目不接受联合体投标；</w:t>
      </w:r>
    </w:p>
    <w:p>
      <w:pPr>
        <w:widowControl/>
        <w:spacing w:line="440" w:lineRule="exact"/>
        <w:ind w:firstLine="480" w:firstLineChars="20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3.5资格审查方式：资格后审。</w:t>
      </w:r>
    </w:p>
    <w:p>
      <w:pPr>
        <w:widowControl/>
        <w:spacing w:line="440" w:lineRule="exact"/>
        <w:jc w:val="left"/>
        <w:rPr>
          <w:rFonts w:ascii="宋体" w:hAnsi="宋体" w:cs="宋体"/>
          <w:b/>
          <w:bCs/>
          <w:kern w:val="0"/>
          <w:sz w:val="24"/>
        </w:rPr>
      </w:pPr>
      <w:r>
        <w:rPr>
          <w:rFonts w:hint="eastAsia" w:ascii="宋体" w:hAnsi="宋体" w:cs="宋体"/>
          <w:b/>
          <w:bCs/>
          <w:kern w:val="0"/>
          <w:sz w:val="24"/>
        </w:rPr>
        <w:t>三、获取采购文件</w:t>
      </w:r>
    </w:p>
    <w:p>
      <w:pPr>
        <w:pStyle w:val="35"/>
        <w:shd w:val="clear" w:color="auto" w:fill="FFFFFF"/>
        <w:autoSpaceDE w:val="0"/>
        <w:spacing w:before="0" w:beforeAutospacing="0" w:after="0" w:afterAutospacing="0" w:line="440" w:lineRule="atLeast"/>
        <w:ind w:firstLine="480" w:firstLineChars="200"/>
      </w:pPr>
      <w:r>
        <w:rPr>
          <w:rFonts w:hint="eastAsia"/>
          <w:color w:val="auto"/>
          <w:u w:val="none"/>
        </w:rPr>
        <w:t>1.时</w:t>
      </w:r>
      <w:r>
        <w:rPr>
          <w:rFonts w:hint="eastAsia"/>
          <w:color w:val="auto"/>
          <w:highlight w:val="none"/>
          <w:u w:val="none"/>
        </w:rPr>
        <w:t>间：2021年</w:t>
      </w:r>
      <w:r>
        <w:rPr>
          <w:rFonts w:hint="eastAsia"/>
          <w:color w:val="auto"/>
          <w:highlight w:val="none"/>
          <w:u w:val="none"/>
          <w:lang w:val="en-US" w:eastAsia="zh-CN"/>
        </w:rPr>
        <w:t>11</w:t>
      </w:r>
      <w:r>
        <w:rPr>
          <w:rFonts w:hint="eastAsia"/>
          <w:color w:val="auto"/>
          <w:highlight w:val="none"/>
          <w:u w:val="none"/>
        </w:rPr>
        <w:t>月</w:t>
      </w:r>
      <w:r>
        <w:rPr>
          <w:rFonts w:hint="eastAsia"/>
          <w:color w:val="auto"/>
          <w:highlight w:val="none"/>
          <w:u w:val="none"/>
          <w:lang w:val="en-US" w:eastAsia="zh-CN"/>
        </w:rPr>
        <w:t xml:space="preserve">16 </w:t>
      </w:r>
      <w:r>
        <w:rPr>
          <w:rFonts w:hint="eastAsia"/>
          <w:color w:val="auto"/>
          <w:highlight w:val="none"/>
          <w:u w:val="none"/>
        </w:rPr>
        <w:t>日至2021年</w:t>
      </w:r>
      <w:r>
        <w:rPr>
          <w:rFonts w:hint="eastAsia"/>
          <w:color w:val="auto"/>
          <w:highlight w:val="none"/>
          <w:u w:val="none"/>
          <w:lang w:val="en-US" w:eastAsia="zh-CN"/>
        </w:rPr>
        <w:t>11</w:t>
      </w:r>
      <w:r>
        <w:rPr>
          <w:rFonts w:hint="eastAsia"/>
          <w:color w:val="auto"/>
          <w:highlight w:val="none"/>
          <w:u w:val="none"/>
        </w:rPr>
        <w:t>月</w:t>
      </w:r>
      <w:r>
        <w:rPr>
          <w:rFonts w:hint="eastAsia"/>
          <w:color w:val="auto"/>
          <w:highlight w:val="none"/>
          <w:u w:val="none"/>
          <w:lang w:val="en-US" w:eastAsia="zh-CN"/>
        </w:rPr>
        <w:t>22</w:t>
      </w:r>
      <w:r>
        <w:rPr>
          <w:rFonts w:hint="eastAsia"/>
          <w:color w:val="auto"/>
          <w:highlight w:val="none"/>
          <w:u w:val="none"/>
        </w:rPr>
        <w:t>日（北京时间）；</w:t>
      </w:r>
      <w:r>
        <w:rPr>
          <w:rFonts w:hint="eastAsia"/>
        </w:rPr>
        <w:br w:type="textWrapping"/>
      </w:r>
      <w:r>
        <w:rPr>
          <w:rFonts w:hint="eastAsia"/>
        </w:rPr>
        <w:t>  2.地点：</w:t>
      </w:r>
      <w:r>
        <w:rPr>
          <w:rFonts w:hint="eastAsia"/>
          <w:shd w:val="clear" w:color="auto" w:fill="FFFFFF"/>
        </w:rPr>
        <w:t>凡有意参加投标者，请登陆焦作市公共资源交易中心网站会员系统进行网上下载。凡未在规定时间内完成下载文件者，视为无效。（联系电话：0391-3568920，QQ：232850725、361532918（群）；</w:t>
      </w:r>
    </w:p>
    <w:p>
      <w:pPr>
        <w:pStyle w:val="35"/>
        <w:shd w:val="clear" w:color="auto" w:fill="FFFFFF"/>
        <w:autoSpaceDE w:val="0"/>
        <w:spacing w:before="0" w:beforeAutospacing="0" w:after="0" w:afterAutospacing="0" w:line="440" w:lineRule="atLeast"/>
      </w:pPr>
      <w:r>
        <w:rPr>
          <w:rFonts w:hint="eastAsia"/>
        </w:rPr>
        <w:t>  3.方式：本项目采用电子开评标（不见面开标），凡有意参加投标者，请登陆焦作市公共资源交易中心网站“交易主体登录”栏目下载招标文件；</w:t>
      </w:r>
    </w:p>
    <w:p>
      <w:pPr>
        <w:adjustRightInd w:val="0"/>
        <w:snapToGrid w:val="0"/>
        <w:spacing w:line="440" w:lineRule="exact"/>
        <w:rPr>
          <w:rFonts w:ascii="宋体" w:hAnsi="宋体" w:cs="宋体"/>
          <w:b/>
          <w:color w:val="auto"/>
          <w:kern w:val="0"/>
          <w:sz w:val="24"/>
        </w:rPr>
      </w:pPr>
      <w:r>
        <w:rPr>
          <w:rFonts w:hint="eastAsia" w:ascii="宋体" w:hAnsi="宋体" w:cs="宋体"/>
          <w:b/>
          <w:kern w:val="0"/>
          <w:sz w:val="24"/>
        </w:rPr>
        <w:t>四、响应文件</w:t>
      </w:r>
      <w:r>
        <w:rPr>
          <w:rFonts w:hint="eastAsia" w:ascii="宋体" w:hAnsi="宋体" w:cs="宋体"/>
          <w:b/>
          <w:color w:val="auto"/>
          <w:kern w:val="0"/>
          <w:sz w:val="24"/>
        </w:rPr>
        <w:t>提交</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1、截止时间：2021年</w:t>
      </w:r>
      <w:r>
        <w:rPr>
          <w:rFonts w:hint="eastAsia" w:ascii="宋体" w:hAnsi="宋体" w:cs="宋体"/>
          <w:color w:val="auto"/>
          <w:kern w:val="0"/>
          <w:sz w:val="24"/>
          <w:lang w:val="en-US" w:eastAsia="zh-CN"/>
        </w:rPr>
        <w:t>12</w:t>
      </w:r>
      <w:r>
        <w:rPr>
          <w:rFonts w:hint="eastAsia" w:ascii="宋体" w:hAnsi="宋体" w:cs="宋体"/>
          <w:color w:val="auto"/>
          <w:kern w:val="0"/>
          <w:sz w:val="24"/>
        </w:rPr>
        <w:t>月</w:t>
      </w:r>
      <w:r>
        <w:rPr>
          <w:rFonts w:hint="eastAsia" w:ascii="宋体" w:hAnsi="宋体" w:cs="宋体"/>
          <w:color w:val="auto"/>
          <w:kern w:val="0"/>
          <w:sz w:val="24"/>
          <w:lang w:val="en-US" w:eastAsia="zh-CN"/>
        </w:rPr>
        <w:t>6日9</w:t>
      </w:r>
      <w:r>
        <w:rPr>
          <w:rFonts w:hint="eastAsia" w:ascii="宋体" w:hAnsi="宋体" w:cs="宋体"/>
          <w:color w:val="auto"/>
          <w:kern w:val="0"/>
          <w:sz w:val="24"/>
        </w:rPr>
        <w:t>点</w:t>
      </w:r>
      <w:r>
        <w:rPr>
          <w:rFonts w:hint="eastAsia" w:ascii="宋体" w:hAnsi="宋体" w:cs="宋体"/>
          <w:color w:val="auto"/>
          <w:kern w:val="0"/>
          <w:sz w:val="24"/>
          <w:lang w:val="en-US" w:eastAsia="zh-CN"/>
        </w:rPr>
        <w:t>00</w:t>
      </w:r>
      <w:r>
        <w:rPr>
          <w:rFonts w:hint="eastAsia" w:ascii="宋体" w:hAnsi="宋体" w:cs="宋体"/>
          <w:color w:val="auto"/>
          <w:kern w:val="0"/>
          <w:sz w:val="24"/>
        </w:rPr>
        <w:t>分（北京时间）；</w:t>
      </w:r>
    </w:p>
    <w:p>
      <w:pPr>
        <w:adjustRightInd w:val="0"/>
        <w:snapToGrid w:val="0"/>
        <w:spacing w:line="440" w:lineRule="exact"/>
        <w:ind w:firstLine="480" w:firstLineChars="200"/>
        <w:rPr>
          <w:rFonts w:hint="eastAsia" w:ascii="宋体" w:hAnsi="宋体" w:eastAsia="宋体" w:cs="宋体"/>
          <w:kern w:val="0"/>
          <w:sz w:val="24"/>
          <w:lang w:val="en-US" w:eastAsia="zh-CN"/>
        </w:rPr>
      </w:pPr>
      <w:r>
        <w:rPr>
          <w:rFonts w:hint="eastAsia" w:ascii="宋体" w:hAnsi="宋体" w:cs="宋体"/>
          <w:kern w:val="0"/>
          <w:sz w:val="24"/>
        </w:rPr>
        <w:t>2、地点：博爱县公共资源交易中心二楼不见面开标一</w:t>
      </w:r>
      <w:r>
        <w:rPr>
          <w:rFonts w:hint="eastAsia" w:ascii="宋体" w:hAnsi="宋体" w:cs="宋体"/>
          <w:kern w:val="0"/>
          <w:sz w:val="24"/>
          <w:lang w:val="en-US" w:eastAsia="zh-CN"/>
        </w:rPr>
        <w:t>室；</w:t>
      </w:r>
    </w:p>
    <w:p>
      <w:pPr>
        <w:adjustRightInd w:val="0"/>
        <w:snapToGrid w:val="0"/>
        <w:spacing w:line="440" w:lineRule="exact"/>
        <w:rPr>
          <w:rFonts w:ascii="宋体" w:hAnsi="宋体" w:cs="宋体"/>
          <w:b/>
          <w:kern w:val="0"/>
          <w:sz w:val="24"/>
        </w:rPr>
      </w:pPr>
      <w:r>
        <w:rPr>
          <w:rFonts w:hint="eastAsia" w:ascii="宋体" w:hAnsi="宋体" w:cs="宋体"/>
          <w:b/>
          <w:kern w:val="0"/>
          <w:sz w:val="24"/>
        </w:rPr>
        <w:t>五、开启</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color w:val="auto"/>
          <w:kern w:val="0"/>
          <w:sz w:val="24"/>
        </w:rPr>
        <w:t>、时间：2021年</w:t>
      </w:r>
      <w:r>
        <w:rPr>
          <w:rFonts w:hint="eastAsia" w:ascii="宋体" w:hAnsi="宋体" w:cs="宋体"/>
          <w:color w:val="auto"/>
          <w:kern w:val="0"/>
          <w:sz w:val="24"/>
          <w:lang w:val="en-US" w:eastAsia="zh-CN"/>
        </w:rPr>
        <w:t>12</w:t>
      </w:r>
      <w:r>
        <w:rPr>
          <w:rFonts w:hint="eastAsia" w:ascii="宋体" w:hAnsi="宋体" w:cs="宋体"/>
          <w:color w:val="auto"/>
          <w:kern w:val="0"/>
          <w:sz w:val="24"/>
        </w:rPr>
        <w:t>月</w:t>
      </w:r>
      <w:r>
        <w:rPr>
          <w:rFonts w:hint="eastAsia" w:ascii="宋体" w:hAnsi="宋体" w:cs="宋体"/>
          <w:color w:val="auto"/>
          <w:kern w:val="0"/>
          <w:sz w:val="24"/>
          <w:lang w:val="en-US" w:eastAsia="zh-CN"/>
        </w:rPr>
        <w:t>6</w:t>
      </w:r>
      <w:r>
        <w:rPr>
          <w:rFonts w:hint="eastAsia" w:ascii="宋体" w:hAnsi="宋体" w:cs="宋体"/>
          <w:color w:val="auto"/>
          <w:kern w:val="0"/>
          <w:sz w:val="24"/>
        </w:rPr>
        <w:t>日</w:t>
      </w:r>
      <w:r>
        <w:rPr>
          <w:rFonts w:hint="eastAsia" w:ascii="宋体" w:hAnsi="宋体" w:cs="宋体"/>
          <w:color w:val="auto"/>
          <w:kern w:val="0"/>
          <w:sz w:val="24"/>
          <w:lang w:val="en-US" w:eastAsia="zh-CN"/>
        </w:rPr>
        <w:t>9</w:t>
      </w:r>
      <w:r>
        <w:rPr>
          <w:rFonts w:hint="eastAsia" w:ascii="宋体" w:hAnsi="宋体" w:cs="宋体"/>
          <w:color w:val="auto"/>
          <w:kern w:val="0"/>
          <w:sz w:val="24"/>
        </w:rPr>
        <w:t>点</w:t>
      </w:r>
      <w:r>
        <w:rPr>
          <w:rFonts w:hint="eastAsia" w:ascii="宋体" w:hAnsi="宋体" w:cs="宋体"/>
          <w:color w:val="auto"/>
          <w:kern w:val="0"/>
          <w:sz w:val="24"/>
          <w:lang w:val="en-US" w:eastAsia="zh-CN"/>
        </w:rPr>
        <w:t>00</w:t>
      </w:r>
      <w:r>
        <w:rPr>
          <w:rFonts w:hint="eastAsia" w:ascii="宋体" w:hAnsi="宋体" w:cs="宋体"/>
          <w:color w:val="auto"/>
          <w:kern w:val="0"/>
          <w:sz w:val="24"/>
        </w:rPr>
        <w:t>分（北京时间）；</w:t>
      </w:r>
    </w:p>
    <w:p>
      <w:pPr>
        <w:adjustRightInd w:val="0"/>
        <w:snapToGrid w:val="0"/>
        <w:spacing w:line="440" w:lineRule="exact"/>
        <w:ind w:firstLine="480" w:firstLineChars="200"/>
        <w:rPr>
          <w:rFonts w:hint="eastAsia" w:ascii="宋体" w:hAnsi="宋体" w:cs="宋体"/>
          <w:color w:val="0000FF"/>
          <w:kern w:val="0"/>
          <w:sz w:val="24"/>
        </w:rPr>
      </w:pPr>
      <w:r>
        <w:rPr>
          <w:rFonts w:hint="eastAsia" w:ascii="宋体" w:hAnsi="宋体" w:cs="宋体"/>
          <w:kern w:val="0"/>
          <w:sz w:val="24"/>
        </w:rPr>
        <w:t>2、地点：博爱县公共资源交易中心二楼不见面开标一</w:t>
      </w:r>
      <w:r>
        <w:rPr>
          <w:rFonts w:hint="eastAsia" w:ascii="宋体" w:hAnsi="宋体" w:cs="宋体"/>
          <w:kern w:val="0"/>
          <w:sz w:val="24"/>
          <w:lang w:val="en-US" w:eastAsia="zh-CN"/>
        </w:rPr>
        <w:t>室；</w:t>
      </w:r>
    </w:p>
    <w:p>
      <w:pPr>
        <w:adjustRightInd w:val="0"/>
        <w:snapToGrid w:val="0"/>
        <w:spacing w:line="440" w:lineRule="exact"/>
        <w:rPr>
          <w:rFonts w:ascii="宋体" w:hAnsi="宋体" w:cs="宋体"/>
          <w:b/>
          <w:bCs/>
          <w:sz w:val="24"/>
        </w:rPr>
      </w:pPr>
      <w:r>
        <w:rPr>
          <w:rFonts w:hint="eastAsia" w:ascii="宋体" w:hAnsi="宋体" w:cs="宋体"/>
          <w:b/>
          <w:bCs/>
          <w:sz w:val="24"/>
        </w:rPr>
        <w:t>六、公告期限</w:t>
      </w:r>
    </w:p>
    <w:p>
      <w:pPr>
        <w:adjustRightInd w:val="0"/>
        <w:snapToGrid w:val="0"/>
        <w:spacing w:line="440" w:lineRule="exact"/>
        <w:ind w:firstLine="480" w:firstLineChars="200"/>
        <w:rPr>
          <w:rFonts w:ascii="宋体" w:hAnsi="宋体" w:cs="宋体"/>
          <w:kern w:val="0"/>
          <w:sz w:val="24"/>
        </w:rPr>
      </w:pPr>
      <w:r>
        <w:rPr>
          <w:rFonts w:hint="eastAsia" w:ascii="宋体" w:hAnsi="宋体" w:cs="宋体"/>
          <w:sz w:val="24"/>
        </w:rPr>
        <w:t>自本公告发布之</w:t>
      </w:r>
      <w:r>
        <w:rPr>
          <w:rFonts w:hint="eastAsia" w:ascii="宋体" w:hAnsi="宋体" w:cs="宋体"/>
          <w:kern w:val="0"/>
          <w:sz w:val="24"/>
        </w:rPr>
        <w:t>日起5个工作日。</w:t>
      </w:r>
    </w:p>
    <w:p>
      <w:pPr>
        <w:pStyle w:val="35"/>
        <w:numPr>
          <w:ilvl w:val="0"/>
          <w:numId w:val="3"/>
        </w:numPr>
        <w:shd w:val="clear" w:color="auto" w:fill="FFFFFF"/>
        <w:autoSpaceDE w:val="0"/>
        <w:spacing w:before="0" w:beforeAutospacing="0" w:after="0" w:afterAutospacing="0" w:line="440" w:lineRule="exact"/>
        <w:rPr>
          <w:rFonts w:hint="eastAsia"/>
          <w:b/>
          <w:shd w:val="clear" w:color="auto" w:fill="FFFFFF"/>
        </w:rPr>
      </w:pPr>
      <w:r>
        <w:rPr>
          <w:rFonts w:hint="eastAsia"/>
          <w:b/>
          <w:shd w:val="clear" w:color="auto" w:fill="FFFFFF"/>
        </w:rPr>
        <w:t>其他补充事宜</w:t>
      </w:r>
    </w:p>
    <w:p>
      <w:pPr>
        <w:pStyle w:val="35"/>
        <w:shd w:val="clear" w:color="auto" w:fill="FFFFFF"/>
        <w:autoSpaceDE w:val="0"/>
        <w:spacing w:before="0" w:beforeAutospacing="0" w:after="0" w:afterAutospacing="0" w:line="440" w:lineRule="exact"/>
        <w:ind w:firstLine="480" w:firstLineChars="200"/>
        <w:rPr>
          <w:shd w:val="clear" w:color="auto" w:fill="FFFFFF"/>
        </w:rPr>
      </w:pPr>
      <w:r>
        <w:rPr>
          <w:rFonts w:hint="eastAsia"/>
          <w:highlight w:val="none"/>
          <w:shd w:val="clear" w:color="auto" w:fill="FFFFFF"/>
          <w:lang w:val="en-US" w:eastAsia="zh-CN"/>
        </w:rPr>
        <w:t>7.1、</w:t>
      </w:r>
      <w:r>
        <w:rPr>
          <w:rFonts w:hint="eastAsia"/>
          <w:highlight w:val="none"/>
          <w:shd w:val="clear" w:color="auto" w:fill="FFFFFF"/>
        </w:rPr>
        <w:t>本</w:t>
      </w:r>
      <w:r>
        <w:rPr>
          <w:rFonts w:hint="eastAsia"/>
          <w:shd w:val="clear" w:color="auto" w:fill="FFFFFF"/>
        </w:rPr>
        <w:t>公告在《河南省政府采购网》、《焦作市政府采购网》、《焦作市公共资源交易中心网》、《博爱县人民政府网》、《博爱县公共资源交易中心网》上发布.</w:t>
      </w:r>
    </w:p>
    <w:p>
      <w:pPr>
        <w:pStyle w:val="35"/>
        <w:spacing w:beforeAutospacing="0" w:afterAutospacing="0" w:line="440" w:lineRule="exact"/>
        <w:ind w:firstLine="468" w:firstLineChars="195"/>
        <w:jc w:val="both"/>
      </w:pPr>
      <w:r>
        <w:rPr>
          <w:rFonts w:hint="eastAsia"/>
          <w:lang w:val="en-US" w:eastAsia="zh-CN"/>
        </w:rPr>
        <w:t>7.2、</w:t>
      </w:r>
      <w:r>
        <w:rPr>
          <w:rFonts w:hint="eastAsia"/>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35"/>
        <w:spacing w:beforeAutospacing="0" w:afterAutospacing="0" w:line="440" w:lineRule="exact"/>
        <w:ind w:firstLine="468" w:firstLineChars="195"/>
        <w:jc w:val="both"/>
        <w:rPr>
          <w:color w:val="auto"/>
        </w:rPr>
      </w:pPr>
      <w:r>
        <w:rPr>
          <w:rFonts w:hint="eastAsia"/>
        </w:rPr>
        <w:t>（http://122.112.246.33/BidOpening/bidopeninghallaction/hall/login ）进行签到，按要求解密投标文件。因文件未及时上传导致投标失败的责任由投标人自行承担，具体要求详见招标文件。 平台统一技术服务电话：400-998-0000，服务 QQ：4008503300，</w:t>
      </w:r>
      <w:r>
        <w:rPr>
          <w:rFonts w:hint="eastAsia"/>
          <w:color w:val="auto"/>
        </w:rPr>
        <w:t>服务时间：周一至周日 8：00-17：30。</w:t>
      </w:r>
    </w:p>
    <w:p>
      <w:pPr>
        <w:pStyle w:val="35"/>
        <w:spacing w:beforeAutospacing="0" w:afterAutospacing="0" w:line="440" w:lineRule="exact"/>
        <w:ind w:firstLine="468" w:firstLineChars="195"/>
        <w:jc w:val="both"/>
      </w:pPr>
      <w:r>
        <w:rPr>
          <w:rFonts w:hint="eastAsia"/>
          <w:color w:val="auto"/>
          <w:highlight w:val="none"/>
          <w:lang w:val="en-US" w:eastAsia="zh-CN"/>
        </w:rPr>
        <w:t>7.3、</w:t>
      </w:r>
      <w:r>
        <w:rPr>
          <w:rFonts w:hint="eastAsia"/>
          <w:color w:val="auto"/>
          <w:highlight w:val="none"/>
        </w:rPr>
        <w:t>投标</w:t>
      </w:r>
      <w:r>
        <w:rPr>
          <w:rFonts w:hint="eastAsia"/>
          <w:color w:val="auto"/>
        </w:rPr>
        <w:t>人无需到现场参加开标会议，无需到达现场提交原件资料。投标人应当在投标截止前，登录远程开标大厅进行签到，在线准时参加开标活动并进行文件解密、答疑澄清等。加密电子投标文件须在焦作市公</w:t>
      </w:r>
      <w:r>
        <w:rPr>
          <w:rFonts w:hint="eastAsia"/>
        </w:rPr>
        <w:t>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凡对本次采购提出询问，请按以下方式联系</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1、采购人信息：</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采购人：</w:t>
      </w:r>
      <w:r>
        <w:rPr>
          <w:rFonts w:hint="eastAsia" w:ascii="宋体" w:hAnsi="宋体" w:cs="宋体"/>
          <w:kern w:val="0"/>
          <w:sz w:val="24"/>
          <w:lang w:eastAsia="zh-CN"/>
        </w:rPr>
        <w:t>博爱县城市管理局</w:t>
      </w:r>
      <w:r>
        <w:rPr>
          <w:rFonts w:hint="eastAsia" w:ascii="宋体" w:hAnsi="宋体" w:cs="宋体"/>
          <w:kern w:val="0"/>
          <w:sz w:val="24"/>
        </w:rPr>
        <w:t xml:space="preserve">   </w:t>
      </w:r>
    </w:p>
    <w:p>
      <w:pPr>
        <w:adjustRightInd w:val="0"/>
        <w:snapToGrid w:val="0"/>
        <w:spacing w:line="440" w:lineRule="exact"/>
        <w:ind w:firstLine="480" w:firstLineChars="200"/>
        <w:rPr>
          <w:rFonts w:hint="eastAsia" w:ascii="宋体" w:hAnsi="宋体" w:eastAsia="宋体" w:cs="宋体"/>
          <w:kern w:val="0"/>
          <w:sz w:val="24"/>
          <w:lang w:val="en-US" w:eastAsia="zh-CN"/>
        </w:rPr>
      </w:pPr>
      <w:r>
        <w:rPr>
          <w:rFonts w:hint="eastAsia" w:ascii="宋体" w:hAnsi="宋体" w:cs="宋体"/>
          <w:kern w:val="0"/>
          <w:sz w:val="24"/>
        </w:rPr>
        <w:t>地址：</w:t>
      </w:r>
      <w:r>
        <w:rPr>
          <w:rFonts w:hint="eastAsia" w:ascii="宋体" w:hAnsi="宋体" w:cs="宋体"/>
          <w:kern w:val="0"/>
          <w:sz w:val="24"/>
          <w:lang w:eastAsia="zh-CN"/>
        </w:rPr>
        <w:t>博爱县团结路中段</w:t>
      </w:r>
    </w:p>
    <w:p>
      <w:pPr>
        <w:adjustRightInd w:val="0"/>
        <w:snapToGrid w:val="0"/>
        <w:spacing w:line="440" w:lineRule="exact"/>
        <w:ind w:firstLine="480" w:firstLineChars="200"/>
        <w:rPr>
          <w:rFonts w:hint="default" w:ascii="宋体" w:hAnsi="宋体" w:eastAsia="宋体" w:cs="宋体"/>
          <w:sz w:val="24"/>
          <w:lang w:val="en-US" w:eastAsia="zh-CN"/>
        </w:rPr>
      </w:pPr>
      <w:r>
        <w:rPr>
          <w:rFonts w:hint="eastAsia" w:ascii="宋体" w:hAnsi="宋体" w:cs="宋体"/>
          <w:kern w:val="0"/>
          <w:sz w:val="24"/>
        </w:rPr>
        <w:t>电话：</w:t>
      </w:r>
      <w:r>
        <w:rPr>
          <w:rFonts w:hint="eastAsia" w:ascii="宋体" w:hAnsi="宋体" w:cs="宋体"/>
          <w:color w:val="000000"/>
          <w:sz w:val="24"/>
          <w:shd w:val="clear" w:color="auto" w:fill="FFFFFF"/>
          <w:lang w:val="en-US" w:eastAsia="zh-CN"/>
        </w:rPr>
        <w:t>13462455300</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2、采购代理机构信息：</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名称：博爱县城市建设项目管理有限公司 </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地址：</w:t>
      </w:r>
      <w:r>
        <w:rPr>
          <w:rFonts w:hint="eastAsia" w:ascii="宋体" w:hAnsi="宋体" w:cs="宋体"/>
          <w:color w:val="000000"/>
          <w:sz w:val="24"/>
          <w:shd w:val="clear" w:color="auto" w:fill="FFFFFF"/>
        </w:rPr>
        <w:t>博爱县中山路东段</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电话：0391-8690958</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3、项目联系方式</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项目联系人：</w:t>
      </w:r>
      <w:r>
        <w:rPr>
          <w:rFonts w:hint="eastAsia" w:ascii="宋体" w:hAnsi="宋体" w:cs="宋体"/>
          <w:sz w:val="24"/>
          <w:lang w:val="en-US" w:eastAsia="zh-CN"/>
        </w:rPr>
        <w:t>赵先生</w:t>
      </w:r>
    </w:p>
    <w:p>
      <w:pPr>
        <w:adjustRightInd w:val="0"/>
        <w:snapToGrid w:val="0"/>
        <w:spacing w:line="440" w:lineRule="exact"/>
        <w:ind w:firstLine="480" w:firstLineChars="200"/>
        <w:rPr>
          <w:rFonts w:hint="eastAsia" w:ascii="宋体" w:hAnsi="宋体" w:eastAsia="宋体" w:cs="宋体"/>
          <w:kern w:val="0"/>
          <w:sz w:val="24"/>
          <w:lang w:eastAsia="zh-CN"/>
        </w:rPr>
      </w:pPr>
      <w:r>
        <w:rPr>
          <w:rFonts w:hint="eastAsia" w:ascii="宋体" w:hAnsi="宋体" w:cs="宋体"/>
          <w:sz w:val="24"/>
        </w:rPr>
        <w:t>电话：</w:t>
      </w:r>
      <w:r>
        <w:rPr>
          <w:rFonts w:hint="eastAsia" w:ascii="宋体" w:hAnsi="宋体" w:cs="宋体"/>
          <w:color w:val="000000"/>
          <w:sz w:val="24"/>
          <w:shd w:val="clear" w:color="auto" w:fill="FFFFFF"/>
          <w:lang w:val="en-US" w:eastAsia="zh-CN"/>
        </w:rPr>
        <w:t xml:space="preserve">13462455300 </w:t>
      </w:r>
    </w:p>
    <w:p>
      <w:pPr>
        <w:pStyle w:val="12"/>
      </w:pPr>
    </w:p>
    <w:p>
      <w:pPr>
        <w:widowControl/>
        <w:spacing w:line="440" w:lineRule="exact"/>
        <w:ind w:left="2940" w:firstLine="420"/>
        <w:rPr>
          <w:rFonts w:hint="eastAsia" w:ascii="宋体" w:hAnsi="宋体" w:cs="宋体"/>
          <w:sz w:val="24"/>
        </w:rPr>
      </w:pPr>
    </w:p>
    <w:p>
      <w:pPr>
        <w:widowControl/>
        <w:spacing w:line="440" w:lineRule="exact"/>
        <w:ind w:left="2940" w:firstLine="420"/>
        <w:rPr>
          <w:rFonts w:ascii="宋体" w:hAnsi="宋体" w:cs="宋体"/>
          <w:color w:val="000000"/>
          <w:sz w:val="24"/>
          <w:shd w:val="clear" w:color="auto" w:fill="FFFFFF"/>
        </w:rPr>
      </w:pPr>
      <w:r>
        <w:rPr>
          <w:rFonts w:hint="eastAsia" w:ascii="宋体" w:hAnsi="宋体" w:cs="宋体"/>
          <w:sz w:val="24"/>
        </w:rPr>
        <w:t>采购人：</w:t>
      </w:r>
      <w:r>
        <w:rPr>
          <w:rFonts w:hint="eastAsia" w:ascii="宋体" w:hAnsi="宋体" w:cs="宋体"/>
          <w:color w:val="000000"/>
          <w:sz w:val="24"/>
          <w:shd w:val="clear" w:color="auto" w:fill="FFFFFF"/>
          <w:lang w:eastAsia="zh-CN"/>
        </w:rPr>
        <w:t>博爱县城市管理局</w:t>
      </w:r>
      <w:r>
        <w:rPr>
          <w:rFonts w:hint="eastAsia" w:ascii="宋体" w:hAnsi="宋体" w:cs="宋体"/>
          <w:color w:val="000000"/>
          <w:sz w:val="24"/>
          <w:shd w:val="clear" w:color="auto" w:fill="FFFFFF"/>
        </w:rPr>
        <w:t xml:space="preserve">  </w:t>
      </w:r>
    </w:p>
    <w:p>
      <w:pPr>
        <w:widowControl/>
        <w:spacing w:line="440" w:lineRule="exact"/>
        <w:ind w:firstLine="3360" w:firstLineChars="140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采购代理机构：博爱县城市建设项目管理有限公司</w:t>
      </w:r>
    </w:p>
    <w:p>
      <w:pPr>
        <w:widowControl/>
        <w:spacing w:line="440" w:lineRule="exact"/>
        <w:ind w:left="2940" w:firstLine="420"/>
        <w:rPr>
          <w:highlight w:val="red"/>
        </w:rPr>
      </w:pPr>
      <w:r>
        <w:rPr>
          <w:rFonts w:hint="eastAsia" w:ascii="宋体" w:hAnsi="宋体" w:cs="宋体"/>
          <w:sz w:val="24"/>
        </w:rPr>
        <w:t>发布时间：</w:t>
      </w:r>
      <w:r>
        <w:rPr>
          <w:rFonts w:hint="eastAsia" w:ascii="宋体" w:hAnsi="宋体" w:cs="宋体"/>
          <w:color w:val="000000"/>
          <w:sz w:val="24"/>
          <w:shd w:val="clear" w:color="auto" w:fill="FFFFFF"/>
        </w:rPr>
        <w:t>2021年</w:t>
      </w:r>
      <w:r>
        <w:rPr>
          <w:rFonts w:hint="eastAsia" w:ascii="宋体" w:hAnsi="宋体" w:cs="宋体"/>
          <w:color w:val="000000"/>
          <w:sz w:val="24"/>
          <w:shd w:val="clear" w:color="auto" w:fill="FFFFFF"/>
          <w:lang w:val="en-US" w:eastAsia="zh-CN"/>
        </w:rPr>
        <w:t>11</w:t>
      </w:r>
      <w:r>
        <w:rPr>
          <w:rFonts w:hint="eastAsia" w:ascii="宋体" w:hAnsi="宋体" w:cs="宋体"/>
          <w:color w:val="000000"/>
          <w:sz w:val="24"/>
          <w:shd w:val="clear" w:color="auto" w:fill="FFFFFF"/>
        </w:rPr>
        <w:t>月</w:t>
      </w:r>
      <w:r>
        <w:rPr>
          <w:rFonts w:hint="eastAsia" w:ascii="宋体" w:hAnsi="宋体" w:cs="宋体"/>
          <w:color w:val="000000"/>
          <w:sz w:val="24"/>
          <w:shd w:val="clear" w:color="auto" w:fill="FFFFFF"/>
          <w:lang w:val="en-US" w:eastAsia="zh-CN"/>
        </w:rPr>
        <w:t>15</w:t>
      </w:r>
      <w:r>
        <w:rPr>
          <w:rFonts w:hint="eastAsia" w:ascii="宋体" w:hAnsi="宋体" w:cs="宋体"/>
          <w:color w:val="000000"/>
          <w:sz w:val="24"/>
          <w:shd w:val="clear" w:color="auto" w:fill="FFFFFF"/>
        </w:rPr>
        <w:t>日</w:t>
      </w: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bookmarkStart w:id="2" w:name="_Toc25354"/>
      <w:r>
        <w:rPr>
          <w:rFonts w:hint="eastAsia" w:asciiTheme="minorEastAsia" w:hAnsiTheme="minorEastAsia" w:eastAsiaTheme="minorEastAsia" w:cstheme="minorEastAsia"/>
          <w:b/>
          <w:sz w:val="32"/>
          <w:szCs w:val="32"/>
        </w:rPr>
        <w:t>第二章  供应商须知</w:t>
      </w:r>
      <w:bookmarkEnd w:id="2"/>
    </w:p>
    <w:bookmarkEnd w:id="0"/>
    <w:p>
      <w:pPr>
        <w:pStyle w:val="36"/>
        <w:spacing w:before="0" w:after="0" w:line="360" w:lineRule="auto"/>
        <w:ind w:right="-23" w:rightChars="-11"/>
        <w:rPr>
          <w:rFonts w:asciiTheme="minorEastAsia" w:hAnsiTheme="minorEastAsia" w:eastAsiaTheme="minorEastAsia" w:cstheme="minorEastAsia"/>
          <w:sz w:val="30"/>
          <w:szCs w:val="30"/>
        </w:rPr>
      </w:pPr>
      <w:bookmarkStart w:id="3" w:name="_Toc426369478"/>
      <w:bookmarkStart w:id="4" w:name="_Toc32497"/>
      <w:bookmarkStart w:id="5" w:name="_Toc9161"/>
      <w:bookmarkStart w:id="6" w:name="_Toc403122490"/>
      <w:r>
        <w:rPr>
          <w:rFonts w:hint="eastAsia" w:asciiTheme="minorEastAsia" w:hAnsiTheme="minorEastAsia" w:eastAsiaTheme="minorEastAsia" w:cstheme="minorEastAsia"/>
          <w:sz w:val="30"/>
          <w:szCs w:val="30"/>
        </w:rPr>
        <w:t>供应商须知前附表</w:t>
      </w:r>
      <w:bookmarkEnd w:id="3"/>
      <w:bookmarkEnd w:id="4"/>
      <w:bookmarkEnd w:id="5"/>
      <w:bookmarkEnd w:id="6"/>
    </w:p>
    <w:tbl>
      <w:tblPr>
        <w:tblStyle w:val="40"/>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条款号</w:t>
            </w:r>
          </w:p>
        </w:tc>
        <w:tc>
          <w:tcPr>
            <w:tcW w:w="2318" w:type="dxa"/>
            <w:vAlign w:val="center"/>
          </w:tcPr>
          <w:p>
            <w:pPr>
              <w:pStyle w:val="21"/>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112" w:type="dxa"/>
            <w:vAlign w:val="center"/>
          </w:tcPr>
          <w:p>
            <w:pPr>
              <w:pStyle w:val="21"/>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w:t>
            </w:r>
          </w:p>
        </w:tc>
        <w:tc>
          <w:tcPr>
            <w:tcW w:w="6112" w:type="dxa"/>
            <w:vAlign w:val="center"/>
          </w:tcPr>
          <w:p>
            <w:pPr>
              <w:pStyle w:val="21"/>
              <w:spacing w:line="360" w:lineRule="exact"/>
              <w:rPr>
                <w:rFonts w:hint="eastAsia" w:asciiTheme="minorEastAsia" w:hAnsiTheme="minorEastAsia" w:eastAsiaTheme="minorEastAsia" w:cstheme="minorEastAsia"/>
                <w:lang w:eastAsia="zh-CN"/>
              </w:rPr>
            </w:pPr>
            <w:r>
              <w:rPr>
                <w:rFonts w:asciiTheme="minorEastAsia" w:hAnsiTheme="minorEastAsia" w:eastAsiaTheme="minorEastAsia" w:cstheme="minorEastAsia"/>
              </w:rPr>
              <w:t>名称：</w:t>
            </w:r>
            <w:r>
              <w:rPr>
                <w:rFonts w:hint="eastAsia" w:asciiTheme="minorEastAsia" w:hAnsiTheme="minorEastAsia" w:eastAsiaTheme="minorEastAsia" w:cstheme="minorEastAsia"/>
                <w:lang w:eastAsia="zh-CN"/>
              </w:rPr>
              <w:t>博爱县城市管理局</w:t>
            </w:r>
          </w:p>
          <w:p>
            <w:pPr>
              <w:pStyle w:val="21"/>
              <w:spacing w:line="360" w:lineRule="exact"/>
              <w:rPr>
                <w:rFonts w:asciiTheme="minorEastAsia" w:hAnsiTheme="minorEastAsia" w:eastAsiaTheme="minorEastAsia" w:cstheme="minorEastAsia"/>
                <w:szCs w:val="24"/>
              </w:rPr>
            </w:pPr>
            <w:r>
              <w:rPr>
                <w:rFonts w:asciiTheme="minorEastAsia" w:hAnsiTheme="minorEastAsia" w:eastAsiaTheme="minorEastAsia" w:cstheme="minorEastAsia"/>
              </w:rPr>
              <w:t>联系</w:t>
            </w:r>
            <w:r>
              <w:rPr>
                <w:rFonts w:asciiTheme="minorEastAsia" w:hAnsiTheme="minorEastAsia" w:eastAsiaTheme="minorEastAsia" w:cstheme="minorEastAsia"/>
                <w:szCs w:val="24"/>
              </w:rPr>
              <w:t>人：</w:t>
            </w:r>
            <w:r>
              <w:rPr>
                <w:rFonts w:hint="eastAsia" w:asciiTheme="minorEastAsia" w:hAnsiTheme="minorEastAsia" w:eastAsiaTheme="minorEastAsia" w:cstheme="minorEastAsia"/>
                <w:szCs w:val="24"/>
                <w:lang w:val="en-US" w:eastAsia="zh-CN"/>
              </w:rPr>
              <w:t>赵先生</w:t>
            </w:r>
          </w:p>
          <w:p>
            <w:pPr>
              <w:pStyle w:val="21"/>
              <w:spacing w:line="360" w:lineRule="exact"/>
              <w:rPr>
                <w:rFonts w:hint="default" w:asciiTheme="minorEastAsia" w:hAnsiTheme="minorEastAsia" w:eastAsiaTheme="minorEastAsia" w:cstheme="minorEastAsia"/>
              </w:rPr>
            </w:pPr>
            <w:r>
              <w:rPr>
                <w:rFonts w:hint="eastAsia" w:asciiTheme="minorEastAsia" w:hAnsiTheme="minorEastAsia" w:eastAsiaTheme="minorEastAsia" w:cstheme="minorEastAsia"/>
                <w:szCs w:val="24"/>
              </w:rPr>
              <w:t>电话：</w:t>
            </w:r>
            <w:r>
              <w:rPr>
                <w:rFonts w:hint="eastAsia" w:asciiTheme="minorEastAsia" w:hAnsiTheme="minorEastAsia" w:eastAsiaTheme="minorEastAsia" w:cstheme="minorEastAsia"/>
                <w:szCs w:val="24"/>
                <w:lang w:val="en-US" w:eastAsia="zh-CN"/>
              </w:rPr>
              <w:t xml:space="preserve">13462455300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1.1.3</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 xml:space="preserve">采购代理机构：博爱县城市建设项目管理有限公司  </w:t>
            </w:r>
          </w:p>
          <w:p>
            <w:pPr>
              <w:pStyle w:val="21"/>
              <w:spacing w:line="360" w:lineRule="exact"/>
              <w:rPr>
                <w:rFonts w:hint="default" w:asciiTheme="minorEastAsia" w:hAnsiTheme="minorEastAsia" w:eastAsiaTheme="minorEastAsia" w:cstheme="minorEastAsia"/>
                <w:bCs/>
                <w:iCs/>
              </w:rPr>
            </w:pPr>
            <w:r>
              <w:rPr>
                <w:rFonts w:asciiTheme="minorEastAsia" w:hAnsiTheme="minorEastAsia" w:eastAsiaTheme="minorEastAsia" w:cstheme="minorEastAsia"/>
              </w:rPr>
              <w:t>联</w:t>
            </w:r>
            <w:r>
              <w:rPr>
                <w:rFonts w:asciiTheme="minorEastAsia" w:hAnsiTheme="minorEastAsia" w:eastAsiaTheme="minorEastAsia" w:cstheme="minorEastAsia"/>
                <w:bCs/>
                <w:iCs/>
              </w:rPr>
              <w:t xml:space="preserve">系人：张先生      </w:t>
            </w:r>
          </w:p>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bCs/>
                <w:iCs/>
              </w:rPr>
              <w:t>电话：0391-8690958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1.1.4</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Cs/>
                <w:iCs/>
                <w:szCs w:val="21"/>
                <w:lang w:eastAsia="zh-CN"/>
              </w:rPr>
              <w:t>焦作市静脉产业园西部园区生活垃圾焚烧发电所产炉渣处置及资源化再利用项目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项目地点</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资金来源</w:t>
            </w:r>
          </w:p>
        </w:tc>
        <w:tc>
          <w:tcPr>
            <w:tcW w:w="6112" w:type="dxa"/>
            <w:vAlign w:val="center"/>
          </w:tcPr>
          <w:p>
            <w:pPr>
              <w:pStyle w:val="21"/>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项目建设、运营资金由中标企业自筹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1.2.2</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资金落实情况</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1.3.1</w:t>
            </w:r>
          </w:p>
        </w:tc>
        <w:tc>
          <w:tcPr>
            <w:tcW w:w="2318" w:type="dxa"/>
            <w:vAlign w:val="center"/>
          </w:tcPr>
          <w:p>
            <w:pPr>
              <w:spacing w:line="3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采购内容</w:t>
            </w:r>
          </w:p>
        </w:tc>
        <w:tc>
          <w:tcPr>
            <w:tcW w:w="6112" w:type="dxa"/>
          </w:tcPr>
          <w:p>
            <w:pPr>
              <w:pStyle w:val="21"/>
              <w:spacing w:line="360" w:lineRule="exact"/>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博爱县城市管理局通过公开招标，选定焦作市静脉产业园西部园区生活垃圾焚烧发电所产炉渣处置及资源化再利用项目的中标人，由中标人出资在博爱县组建项目公司，项目公司负责焦作市静脉产业园西部园区生活垃圾焚烧发电所产炉渣处置及再利用项目的建设、运营。炉渣处置及资源化再利用项目建成后，对炉渣实行定时、定点、密闭运输，然后对其中的可回收物进行分选，分选后的炉渣生产粗细骨料，可用于生产符合国家、行业部门标准的建筑材料等相关产品。</w:t>
            </w:r>
          </w:p>
          <w:p>
            <w:pPr>
              <w:pStyle w:val="21"/>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本次拟实施的焦作市静脉产业园西部园区生活垃圾焚烧发电所产炉渣处置及资源化再利用项目炉渣价格不低于25元/吨（根据市场情况，每5年对中标价格进行一次评估，根据评估结果，经协商后进行调整）。建设规模为年处理不低于10万吨，中标企业预算投资约5000万元，经营期限为30年。项目建设拟用地位于许良镇与磨头镇交界辛河路东，焦西静脉产业园生活垃圾发电项目对面，由企业采用招拍挂或租赁方式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1.3.2</w:t>
            </w:r>
          </w:p>
        </w:tc>
        <w:tc>
          <w:tcPr>
            <w:tcW w:w="2318" w:type="dxa"/>
            <w:vAlign w:val="center"/>
          </w:tcPr>
          <w:p>
            <w:pPr>
              <w:pStyle w:val="21"/>
              <w:spacing w:line="360" w:lineRule="exact"/>
              <w:jc w:val="center"/>
              <w:rPr>
                <w:rFonts w:hint="default" w:asciiTheme="minorEastAsia" w:hAnsiTheme="minorEastAsia" w:eastAsiaTheme="minorEastAsia" w:cstheme="minorEastAsia"/>
                <w:color w:val="FF0000"/>
              </w:rPr>
            </w:pPr>
            <w:r>
              <w:rPr>
                <w:rFonts w:asciiTheme="minorEastAsia" w:hAnsiTheme="minorEastAsia" w:eastAsiaTheme="minorEastAsia" w:cstheme="minorEastAsia"/>
                <w:iCs/>
                <w:color w:val="121212"/>
              </w:rPr>
              <w:t>服务期</w:t>
            </w:r>
          </w:p>
        </w:tc>
        <w:tc>
          <w:tcPr>
            <w:tcW w:w="6112" w:type="dxa"/>
            <w:vAlign w:val="center"/>
          </w:tcPr>
          <w:p>
            <w:pPr>
              <w:adjustRightInd w:val="0"/>
              <w:snapToGrid w:val="0"/>
              <w:spacing w:line="560" w:lineRule="exac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项目周期为30年，其中建设期1年，运营期29年。（若建设期延长运营期相应减少，总周期30年不变）</w:t>
            </w:r>
          </w:p>
          <w:p>
            <w:pPr>
              <w:adjustRightInd w:val="0"/>
              <w:snapToGrid w:val="0"/>
              <w:spacing w:line="560" w:lineRule="exact"/>
              <w:rPr>
                <w:rFonts w:hint="default" w:asciiTheme="minorEastAsia" w:hAnsiTheme="minorEastAsia" w:eastAsiaTheme="minorEastAsia" w:cstheme="minorEastAsia"/>
                <w:b/>
                <w:color w:val="FF0000"/>
                <w:lang w:val="en-US" w:eastAsia="zh-CN"/>
              </w:rPr>
            </w:pPr>
            <w:r>
              <w:rPr>
                <w:rFonts w:hint="eastAsia" w:asciiTheme="minorEastAsia" w:hAnsiTheme="minorEastAsia" w:eastAsiaTheme="minorEastAsia" w:cstheme="minorEastAsia"/>
                <w:color w:val="auto"/>
                <w:kern w:val="2"/>
                <w:sz w:val="21"/>
                <w:szCs w:val="21"/>
                <w:lang w:val="en-US" w:eastAsia="zh-CN" w:bidi="ar-SA"/>
              </w:rPr>
              <w:t>目标任务：双方签订协议后，工期1年，完成生活垃圾焚烧发电所产炉渣处置及资源化利用场地及设施建设，经相关部门验收符</w:t>
            </w:r>
            <w:r>
              <w:rPr>
                <w:rFonts w:hint="eastAsia" w:asciiTheme="minorEastAsia" w:hAnsiTheme="minorEastAsia" w:eastAsiaTheme="minorEastAsia" w:cstheme="minorEastAsia"/>
                <w:kern w:val="0"/>
                <w:sz w:val="21"/>
                <w:szCs w:val="21"/>
                <w:lang w:val="en-US" w:eastAsia="zh-CN" w:bidi="ar-SA"/>
              </w:rPr>
              <w:t>合环保及相关要求，开始运行。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1.3.3</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hint="eastAsia" w:ascii="宋体" w:hAnsi="宋体" w:cs="宋体"/>
                <w:kern w:val="0"/>
                <w:sz w:val="24"/>
                <w:lang w:val="en-US" w:eastAsia="zh-CN"/>
              </w:rPr>
              <w:t>质量标准</w:t>
            </w:r>
          </w:p>
        </w:tc>
        <w:tc>
          <w:tcPr>
            <w:tcW w:w="6112" w:type="dxa"/>
            <w:vAlign w:val="center"/>
          </w:tcPr>
          <w:p>
            <w:pPr>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供应商资质条件</w:t>
            </w:r>
          </w:p>
        </w:tc>
        <w:tc>
          <w:tcPr>
            <w:tcW w:w="6112" w:type="dxa"/>
            <w:vAlign w:val="center"/>
          </w:tcPr>
          <w:p>
            <w:pPr>
              <w:pStyle w:val="35"/>
              <w:shd w:val="clear" w:color="auto" w:fill="FFFFFF"/>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1、符合《中华人民共和国政府采购法》第二十二条之规定；</w:t>
            </w:r>
          </w:p>
          <w:p>
            <w:pPr>
              <w:pStyle w:val="35"/>
              <w:shd w:val="clear" w:color="auto" w:fill="FFFFFF"/>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2、落实政府采购政策需满足的资格要求：促进中小企业和监狱企业发展扶持政策、政府强制采购节能产品、节能产品及环境标志产品优先采购。</w:t>
            </w:r>
          </w:p>
          <w:p>
            <w:pPr>
              <w:pStyle w:val="35"/>
              <w:shd w:val="clear" w:color="auto" w:fill="FFFFFF"/>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3、本项目的特定资格要求：</w:t>
            </w:r>
          </w:p>
          <w:p>
            <w:pPr>
              <w:pStyle w:val="35"/>
              <w:shd w:val="clear" w:color="auto" w:fill="FFFFFF"/>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3.1供应商须具有有效的营业执照，并具有实施完成本项目的经营实力和完善的售后服务体系；</w:t>
            </w:r>
          </w:p>
          <w:p>
            <w:pPr>
              <w:pStyle w:val="35"/>
              <w:shd w:val="clear" w:color="auto" w:fill="FFFFFF"/>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pStyle w:val="35"/>
              <w:shd w:val="clear" w:color="auto" w:fill="FFFFFF"/>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3.3投标人提供近三年（2018年、2019年、2020年）完整的财务审计报告（成立不足三年的企业，以现有年份提供）；</w:t>
            </w:r>
          </w:p>
          <w:p>
            <w:pPr>
              <w:pStyle w:val="35"/>
              <w:shd w:val="clear" w:color="auto" w:fill="FFFFFF"/>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3.4本项目不接受联合体投标；</w:t>
            </w:r>
          </w:p>
          <w:p>
            <w:pPr>
              <w:pStyle w:val="35"/>
              <w:shd w:val="clear" w:color="auto" w:fill="FFFFFF"/>
              <w:spacing w:before="0" w:beforeAutospacing="0" w:after="0" w:afterAutospacing="0"/>
              <w:rPr>
                <w:rFonts w:asciiTheme="minorEastAsia" w:hAnsiTheme="minorEastAsia" w:eastAsiaTheme="minorEastAsia" w:cstheme="minorEastAsia"/>
              </w:rPr>
            </w:pPr>
            <w:r>
              <w:rPr>
                <w:rFonts w:hint="eastAsia" w:asciiTheme="minorEastAsia" w:hAnsiTheme="minorEastAsia" w:eastAsiaTheme="minorEastAsia" w:cstheme="minorEastAsia"/>
                <w:sz w:val="21"/>
                <w:szCs w:val="21"/>
              </w:rPr>
              <w:t>3.5资格审查方式：资格后审。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1.4.2</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1.10.2</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供应商提出问题的</w:t>
            </w:r>
          </w:p>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截止时间</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1.10.3</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采购人说明澄清的时间</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分包</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供应商要求澄清招标文件的截止时间</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2.2.2</w:t>
            </w:r>
          </w:p>
        </w:tc>
        <w:tc>
          <w:tcPr>
            <w:tcW w:w="2318" w:type="dxa"/>
            <w:vAlign w:val="center"/>
          </w:tcPr>
          <w:p>
            <w:pPr>
              <w:pStyle w:val="21"/>
              <w:spacing w:line="360" w:lineRule="exact"/>
              <w:jc w:val="center"/>
              <w:rPr>
                <w:rFonts w:hint="default" w:asciiTheme="minorEastAsia" w:hAnsiTheme="minorEastAsia" w:eastAsiaTheme="minorEastAsia" w:cstheme="minorEastAsia"/>
                <w:b/>
                <w:bCs/>
                <w:color w:val="0000FF"/>
              </w:rPr>
            </w:pPr>
            <w:r>
              <w:rPr>
                <w:rFonts w:asciiTheme="minorEastAsia" w:hAnsiTheme="minorEastAsia" w:eastAsiaTheme="minorEastAsia" w:cstheme="minorEastAsia"/>
              </w:rPr>
              <w:t>投标截止时间</w:t>
            </w:r>
          </w:p>
        </w:tc>
        <w:tc>
          <w:tcPr>
            <w:tcW w:w="6112" w:type="dxa"/>
            <w:vAlign w:val="center"/>
          </w:tcPr>
          <w:p>
            <w:pPr>
              <w:spacing w:line="360" w:lineRule="exact"/>
              <w:jc w:val="left"/>
              <w:rPr>
                <w:rFonts w:hint="default" w:asciiTheme="minorEastAsia" w:hAnsiTheme="minorEastAsia" w:eastAsiaTheme="minorEastAsia" w:cstheme="minorEastAsia"/>
                <w:b/>
                <w:bCs/>
                <w:color w:val="0000FF"/>
              </w:rPr>
            </w:pPr>
            <w:r>
              <w:rPr>
                <w:rFonts w:hint="eastAsia" w:ascii="宋体" w:hAnsi="宋体" w:cs="宋体"/>
                <w:b/>
                <w:bCs/>
                <w:color w:val="auto"/>
                <w:szCs w:val="21"/>
              </w:rPr>
              <w:t>2021年</w:t>
            </w:r>
            <w:r>
              <w:rPr>
                <w:rFonts w:hint="eastAsia" w:ascii="宋体" w:hAnsi="宋体" w:cs="宋体"/>
                <w:b/>
                <w:bCs/>
                <w:color w:val="auto"/>
                <w:szCs w:val="21"/>
                <w:lang w:val="en-US" w:eastAsia="zh-CN"/>
              </w:rPr>
              <w:t>12</w:t>
            </w:r>
            <w:r>
              <w:rPr>
                <w:rFonts w:hint="eastAsia" w:ascii="宋体" w:hAnsi="宋体" w:cs="宋体"/>
                <w:b/>
                <w:bCs/>
                <w:color w:val="auto"/>
                <w:szCs w:val="21"/>
              </w:rPr>
              <w:t>月</w:t>
            </w:r>
            <w:r>
              <w:rPr>
                <w:rFonts w:hint="eastAsia" w:ascii="宋体" w:hAnsi="宋体" w:cs="宋体"/>
                <w:b/>
                <w:bCs/>
                <w:color w:val="auto"/>
                <w:szCs w:val="21"/>
                <w:lang w:val="en-US" w:eastAsia="zh-CN"/>
              </w:rPr>
              <w:t>6</w:t>
            </w:r>
            <w:r>
              <w:rPr>
                <w:rFonts w:hint="eastAsia" w:ascii="宋体" w:hAnsi="宋体" w:cs="宋体"/>
                <w:b/>
                <w:bCs/>
                <w:color w:val="auto"/>
                <w:szCs w:val="21"/>
              </w:rPr>
              <w:t>日</w:t>
            </w:r>
            <w:r>
              <w:rPr>
                <w:rFonts w:hint="eastAsia" w:ascii="宋体" w:hAnsi="宋体" w:cs="宋体"/>
                <w:b/>
                <w:bCs/>
                <w:color w:val="auto"/>
                <w:szCs w:val="21"/>
                <w:lang w:val="en-US" w:eastAsia="zh-CN"/>
              </w:rPr>
              <w:t>09</w:t>
            </w:r>
            <w:r>
              <w:rPr>
                <w:rFonts w:hint="eastAsia" w:ascii="宋体" w:hAnsi="宋体" w:cs="宋体"/>
                <w:b/>
                <w:bCs/>
                <w:color w:val="auto"/>
                <w:szCs w:val="21"/>
              </w:rPr>
              <w:t>时</w:t>
            </w:r>
            <w:r>
              <w:rPr>
                <w:rFonts w:hint="eastAsia" w:ascii="宋体" w:hAnsi="宋体" w:cs="宋体"/>
                <w:b/>
                <w:bCs/>
                <w:color w:val="auto"/>
                <w:szCs w:val="21"/>
                <w:lang w:val="en-US" w:eastAsia="zh-CN"/>
              </w:rPr>
              <w:t>00</w:t>
            </w:r>
            <w:r>
              <w:rPr>
                <w:rFonts w:hint="eastAsia" w:ascii="宋体" w:hAnsi="宋体" w:cs="宋体"/>
                <w:b/>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供应商确认收到招标文件澄清的时间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供应商确认收到招标文件修改的时间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3.3.1</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112" w:type="dxa"/>
            <w:vAlign w:val="center"/>
          </w:tcPr>
          <w:p>
            <w:pPr>
              <w:pStyle w:val="21"/>
              <w:spacing w:line="360" w:lineRule="exact"/>
              <w:rPr>
                <w:rFonts w:hint="default" w:asciiTheme="minorEastAsia" w:hAnsiTheme="minorEastAsia" w:eastAsiaTheme="minorEastAsia" w:cstheme="minorEastAsia"/>
                <w:color w:val="FF0000"/>
              </w:rPr>
            </w:pPr>
            <w:r>
              <w:rPr>
                <w:rFonts w:asciiTheme="minorEastAsia" w:hAnsiTheme="minorEastAsia" w:eastAsiaTheme="minorEastAsia" w:cstheme="minorEastAsia"/>
                <w:color w:val="000000" w:themeColor="text1"/>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3.6</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是否允许递交备选</w:t>
            </w:r>
          </w:p>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投标方案</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签字盖章要求</w:t>
            </w:r>
          </w:p>
        </w:tc>
        <w:tc>
          <w:tcPr>
            <w:tcW w:w="6112" w:type="dxa"/>
            <w:shd w:val="clear" w:color="auto" w:fill="auto"/>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（1）所有要求投标人加盖公章的地方都须加盖投标人单位的 CA 印章。</w:t>
            </w:r>
          </w:p>
          <w:p>
            <w:pPr>
              <w:pStyle w:val="21"/>
              <w:spacing w:line="360" w:lineRule="exact"/>
              <w:rPr>
                <w:rFonts w:hint="default" w:asciiTheme="minorEastAsia" w:hAnsiTheme="minorEastAsia" w:eastAsiaTheme="minorEastAsia" w:cstheme="minorEastAsia"/>
                <w:color w:val="auto"/>
                <w:highlight w:val="none"/>
              </w:rPr>
            </w:pPr>
            <w:r>
              <w:rPr>
                <w:rFonts w:hint="eastAsia" w:ascii="宋体" w:hAnsi="宋体" w:cs="宋体"/>
                <w:color w:val="auto"/>
                <w:szCs w:val="21"/>
                <w:highlight w:val="none"/>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3.7.4</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112" w:type="dxa"/>
            <w:vAlign w:val="center"/>
          </w:tcPr>
          <w:p>
            <w:pPr>
              <w:pStyle w:val="21"/>
              <w:spacing w:line="360" w:lineRule="exact"/>
              <w:rPr>
                <w:rFonts w:hint="eastAsia" w:eastAsia="宋体" w:asciiTheme="minorEastAsia" w:hAnsiTheme="minorEastAsia" w:cstheme="minorEastAsia"/>
                <w:lang w:eastAsia="zh-CN"/>
              </w:rPr>
            </w:pPr>
            <w:r>
              <w:rPr>
                <w:rFonts w:hint="eastAsia"/>
                <w:szCs w:val="21"/>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4.2.2</w:t>
            </w:r>
          </w:p>
        </w:tc>
        <w:tc>
          <w:tcPr>
            <w:tcW w:w="2318" w:type="dxa"/>
            <w:vAlign w:val="center"/>
          </w:tcPr>
          <w:p>
            <w:pPr>
              <w:pStyle w:val="21"/>
              <w:spacing w:line="360" w:lineRule="exact"/>
              <w:jc w:val="center"/>
              <w:rPr>
                <w:rFonts w:hint="eastAsia" w:asciiTheme="minorEastAsia" w:hAnsiTheme="minorEastAsia" w:eastAsiaTheme="minorEastAsia" w:cstheme="minorEastAsia"/>
                <w:highlight w:val="none"/>
                <w:lang w:eastAsia="zh-CN"/>
              </w:rPr>
            </w:pPr>
            <w:r>
              <w:rPr>
                <w:rFonts w:asciiTheme="minorEastAsia" w:hAnsiTheme="minorEastAsia" w:eastAsiaTheme="minorEastAsia" w:cstheme="minorEastAsia"/>
                <w:highlight w:val="none"/>
              </w:rPr>
              <w:t>递交投标文件</w:t>
            </w:r>
            <w:r>
              <w:rPr>
                <w:rFonts w:hint="eastAsia" w:asciiTheme="minorEastAsia" w:hAnsiTheme="minorEastAsia" w:eastAsiaTheme="minorEastAsia" w:cstheme="minorEastAsia"/>
                <w:highlight w:val="none"/>
                <w:lang w:eastAsia="zh-CN"/>
              </w:rPr>
              <w:t>方式和</w:t>
            </w:r>
          </w:p>
          <w:p>
            <w:pPr>
              <w:pStyle w:val="21"/>
              <w:spacing w:line="360" w:lineRule="exact"/>
              <w:jc w:val="center"/>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地点</w:t>
            </w:r>
          </w:p>
        </w:tc>
        <w:tc>
          <w:tcPr>
            <w:tcW w:w="6112" w:type="dxa"/>
            <w:vAlign w:val="center"/>
          </w:tcPr>
          <w:p>
            <w:pPr>
              <w:pStyle w:val="21"/>
              <w:spacing w:line="400" w:lineRule="exact"/>
              <w:rPr>
                <w:rFonts w:hint="eastAsia" w:ascii="宋体" w:hAnsi="宋体"/>
                <w:szCs w:val="21"/>
                <w:highlight w:val="none"/>
              </w:rPr>
            </w:pPr>
            <w:r>
              <w:rPr>
                <w:rFonts w:hint="eastAsia" w:asciiTheme="minorEastAsia" w:hAnsiTheme="minorEastAsia" w:eastAsiaTheme="minorEastAsia" w:cstheme="minorEastAsia"/>
                <w:bCs/>
                <w:highlight w:val="none"/>
                <w:lang w:val="en-US" w:eastAsia="zh-CN"/>
              </w:rPr>
              <w:t xml:space="preserve"> </w:t>
            </w:r>
            <w:r>
              <w:rPr>
                <w:rFonts w:hint="eastAsia" w:ascii="宋体" w:hAnsi="宋体"/>
                <w:szCs w:val="21"/>
                <w:highlight w:val="none"/>
              </w:rPr>
              <w:t xml:space="preserve">本项目采用“远程不见面”开标方式，远程开标大厅网址为http://122.112.246.33/BidOpening/bidopeninghallaction/hall/login。投标人不需到开标现场参加开标会议，不需提交原件资料等。 </w:t>
            </w:r>
          </w:p>
          <w:p>
            <w:pPr>
              <w:pStyle w:val="21"/>
              <w:spacing w:line="400" w:lineRule="exact"/>
              <w:rPr>
                <w:rFonts w:hint="eastAsia" w:ascii="宋体" w:hAnsi="宋体"/>
                <w:szCs w:val="21"/>
                <w:highlight w:val="none"/>
              </w:rPr>
            </w:pPr>
            <w:r>
              <w:rPr>
                <w:rFonts w:hint="eastAsia" w:ascii="宋体" w:hAnsi="宋体"/>
                <w:szCs w:val="21"/>
                <w:highlight w:val="none"/>
              </w:rPr>
              <w:t>（1）电子投标文件的递交</w:t>
            </w:r>
          </w:p>
          <w:p>
            <w:pPr>
              <w:pStyle w:val="21"/>
              <w:spacing w:line="400" w:lineRule="exact"/>
              <w:rPr>
                <w:rFonts w:hint="eastAsia" w:ascii="宋体" w:hAnsi="宋体"/>
                <w:szCs w:val="21"/>
                <w:highlight w:val="none"/>
              </w:rPr>
            </w:pPr>
            <w:r>
              <w:rPr>
                <w:rFonts w:hint="eastAsia" w:ascii="宋体" w:hAnsi="宋体"/>
                <w:szCs w:val="21"/>
                <w:highlight w:val="none"/>
              </w:rPr>
              <w:t>a、各投标人应在投标截</w:t>
            </w:r>
            <w:r>
              <w:rPr>
                <w:rFonts w:hint="eastAsia" w:hAnsi="宋体"/>
                <w:szCs w:val="21"/>
                <w:highlight w:val="none"/>
                <w:lang w:val="en-US" w:eastAsia="zh-CN"/>
              </w:rPr>
              <w:t>止</w:t>
            </w:r>
            <w:r>
              <w:rPr>
                <w:rFonts w:hint="eastAsia" w:ascii="宋体" w:hAnsi="宋体"/>
                <w:szCs w:val="21"/>
                <w:highlight w:val="none"/>
              </w:rPr>
              <w:t>时间前上传加密的电子投标文件</w:t>
            </w:r>
          </w:p>
          <w:p>
            <w:pPr>
              <w:pStyle w:val="21"/>
              <w:spacing w:line="400" w:lineRule="exact"/>
              <w:rPr>
                <w:rFonts w:hint="eastAsia" w:ascii="宋体" w:hAnsi="宋体"/>
                <w:szCs w:val="21"/>
                <w:highlight w:val="none"/>
              </w:rPr>
            </w:pPr>
            <w:r>
              <w:rPr>
                <w:rFonts w:hint="eastAsia" w:ascii="宋体" w:hAnsi="宋体"/>
                <w:szCs w:val="21"/>
                <w:highlight w:val="none"/>
              </w:rPr>
              <w:t>（.jztf 格式）到会员系统的指定位置。上传时必须得到电脑“上传成功”的确认回复。请投标人在上传时认真检查上传投标文件是否完整、正确。</w:t>
            </w:r>
          </w:p>
          <w:p>
            <w:pPr>
              <w:pStyle w:val="21"/>
              <w:spacing w:line="400" w:lineRule="exact"/>
              <w:rPr>
                <w:rFonts w:hint="eastAsia" w:ascii="宋体" w:hAnsi="宋体"/>
                <w:szCs w:val="21"/>
                <w:highlight w:val="none"/>
              </w:rPr>
            </w:pPr>
            <w:r>
              <w:rPr>
                <w:rFonts w:hint="eastAsia" w:ascii="宋体" w:hAnsi="宋体"/>
                <w:szCs w:val="21"/>
                <w:highlight w:val="none"/>
              </w:rPr>
              <w:t>b、如系统故故障需上传非加密文件时，投标人应按照招标人指示将非加密文件递交给招标人。</w:t>
            </w:r>
          </w:p>
          <w:p>
            <w:pPr>
              <w:pStyle w:val="21"/>
              <w:spacing w:line="360" w:lineRule="exact"/>
              <w:rPr>
                <w:rFonts w:hint="eastAsia"/>
                <w:color w:val="0000FF"/>
                <w:sz w:val="21"/>
                <w:szCs w:val="21"/>
                <w:highlight w:val="none"/>
                <w:lang w:eastAsia="zh-CN"/>
              </w:rPr>
            </w:pPr>
            <w:r>
              <w:rPr>
                <w:rFonts w:hint="eastAsia" w:ascii="宋体" w:hAnsi="宋体"/>
                <w:szCs w:val="21"/>
                <w:highlight w:val="none"/>
              </w:rPr>
              <w:t>C、投标人因交易中心投标系统无法上传电子投标文件时， 请在工作时间与</w:t>
            </w:r>
            <w:r>
              <w:rPr>
                <w:rFonts w:hint="eastAsia" w:ascii="宋体" w:hAnsi="宋体"/>
                <w:color w:val="auto"/>
                <w:szCs w:val="21"/>
                <w:highlight w:val="none"/>
              </w:rPr>
              <w:t>博爱县公共资源交易中心</w:t>
            </w:r>
            <w:r>
              <w:rPr>
                <w:rFonts w:hint="eastAsia" w:ascii="宋体" w:hAnsi="宋体"/>
                <w:szCs w:val="21"/>
                <w:highlight w:val="none"/>
              </w:rPr>
              <w:t>联系，联系电话：03</w:t>
            </w:r>
            <w:r>
              <w:rPr>
                <w:rFonts w:hint="eastAsia" w:ascii="宋体" w:hAnsi="宋体"/>
                <w:color w:val="auto"/>
                <w:szCs w:val="21"/>
                <w:highlight w:val="none"/>
              </w:rPr>
              <w:t>91-</w:t>
            </w:r>
            <w:r>
              <w:rPr>
                <w:rFonts w:hint="eastAsia" w:hAnsi="宋体"/>
                <w:color w:val="auto"/>
                <w:szCs w:val="21"/>
                <w:highlight w:val="none"/>
                <w:lang w:val="en-US" w:eastAsia="zh-CN"/>
              </w:rPr>
              <w:t>8301661</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4.2.3</w:t>
            </w:r>
          </w:p>
        </w:tc>
        <w:tc>
          <w:tcPr>
            <w:tcW w:w="2318"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112" w:type="dxa"/>
            <w:vAlign w:val="center"/>
          </w:tcPr>
          <w:p>
            <w:pPr>
              <w:pStyle w:val="21"/>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5.1</w:t>
            </w:r>
          </w:p>
        </w:tc>
        <w:tc>
          <w:tcPr>
            <w:tcW w:w="2318" w:type="dxa"/>
            <w:vAlign w:val="center"/>
          </w:tcPr>
          <w:p>
            <w:pPr>
              <w:pStyle w:val="21"/>
              <w:spacing w:line="360" w:lineRule="exact"/>
              <w:jc w:val="center"/>
              <w:rPr>
                <w:rFonts w:hint="default" w:asciiTheme="minorEastAsia" w:hAnsiTheme="minorEastAsia" w:eastAsiaTheme="minorEastAsia" w:cstheme="minorEastAsia"/>
                <w:color w:val="auto"/>
                <w:highlight w:val="none"/>
                <w:lang w:val="en-US" w:eastAsia="zh-CN"/>
              </w:rPr>
            </w:pPr>
            <w:r>
              <w:rPr>
                <w:rFonts w:asciiTheme="minorEastAsia" w:hAnsiTheme="minorEastAsia" w:eastAsiaTheme="minorEastAsia" w:cstheme="minorEastAsia"/>
                <w:color w:val="auto"/>
                <w:highlight w:val="none"/>
              </w:rPr>
              <w:t>开标时间</w:t>
            </w:r>
            <w:r>
              <w:rPr>
                <w:rFonts w:hint="eastAsia" w:asciiTheme="minorEastAsia" w:hAnsiTheme="minorEastAsia" w:eastAsiaTheme="minorEastAsia" w:cstheme="minorEastAsia"/>
                <w:color w:val="auto"/>
                <w:highlight w:val="none"/>
                <w:lang w:val="en-US" w:eastAsia="zh-CN"/>
              </w:rPr>
              <w:t>和地点</w:t>
            </w:r>
          </w:p>
        </w:tc>
        <w:tc>
          <w:tcPr>
            <w:tcW w:w="6112" w:type="dxa"/>
            <w:vAlign w:val="center"/>
          </w:tcPr>
          <w:p>
            <w:pPr>
              <w:adjustRightInd w:val="0"/>
              <w:snapToGrid w:val="0"/>
              <w:spacing w:line="400" w:lineRule="exact"/>
              <w:ind w:firstLine="0" w:firstLineChars="0"/>
              <w:rPr>
                <w:rFonts w:hint="eastAsia" w:ascii="宋体" w:hAnsi="宋体"/>
                <w:color w:val="auto"/>
                <w:szCs w:val="21"/>
                <w:highlight w:val="none"/>
              </w:rPr>
            </w:pPr>
            <w:r>
              <w:rPr>
                <w:rFonts w:hint="eastAsia" w:ascii="宋体" w:hAnsi="宋体"/>
                <w:color w:val="auto"/>
                <w:szCs w:val="21"/>
                <w:highlight w:val="none"/>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color w:val="auto"/>
                <w:highlight w:val="none"/>
              </w:rPr>
            </w:pPr>
            <w:r>
              <w:rPr>
                <w:rFonts w:hint="eastAsia" w:ascii="宋体" w:hAnsi="宋体"/>
                <w:color w:val="auto"/>
                <w:szCs w:val="21"/>
                <w:highlight w:val="none"/>
              </w:rPr>
              <w:t>现场开标地点：博爱县公共资源交易中心二楼第</w:t>
            </w:r>
            <w:r>
              <w:rPr>
                <w:rFonts w:hint="eastAsia" w:ascii="宋体" w:hAnsi="宋体"/>
                <w:color w:val="auto"/>
                <w:szCs w:val="21"/>
                <w:highlight w:val="none"/>
                <w:lang w:val="en-US" w:eastAsia="zh-CN"/>
              </w:rPr>
              <w:t>一</w:t>
            </w:r>
            <w:r>
              <w:rPr>
                <w:rFonts w:hint="eastAsia" w:ascii="宋体" w:hAnsi="宋体"/>
                <w:color w:val="auto"/>
                <w:szCs w:val="21"/>
                <w:highlight w:val="none"/>
              </w:rPr>
              <w:t>开标室</w:t>
            </w:r>
            <w:r>
              <w:rPr>
                <w:rFonts w:hint="eastAsia" w:hAnsi="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评标委员会构成：由采购人代表</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名和政府采购专家库中随机抽</w:t>
            </w:r>
          </w:p>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取的评审专家</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名共</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人组成。</w:t>
            </w:r>
          </w:p>
          <w:p>
            <w:pPr>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否，由评标委员会从认定的合理报价中，按得分由</w:t>
            </w:r>
            <w:r>
              <w:rPr>
                <w:rFonts w:hint="eastAsia" w:asciiTheme="minorEastAsia" w:hAnsiTheme="minorEastAsia" w:eastAsiaTheme="minorEastAsia" w:cstheme="minorEastAsia"/>
                <w:color w:val="auto"/>
                <w:szCs w:val="21"/>
                <w:highlight w:val="none"/>
              </w:rPr>
              <w:t>高到</w:t>
            </w:r>
            <w:r>
              <w:rPr>
                <w:rFonts w:hint="eastAsia" w:asciiTheme="minorEastAsia" w:hAnsiTheme="minorEastAsia" w:eastAsiaTheme="minorEastAsia" w:cstheme="minorEastAsia"/>
                <w:color w:val="auto"/>
                <w:szCs w:val="21"/>
                <w:highlight w:val="none"/>
                <w:lang w:val="en-US" w:eastAsia="zh-CN"/>
              </w:rPr>
              <w:t>低</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szCs w:val="21"/>
              </w:rPr>
              <w:t>顺序，依次推荐1～3名中标候选人。</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因不可抗力因素放弃中标的，或排名第一的中标候选人未按规定期限与采购人签订合同的，该中标人的投标保证金不予退还，应赔偿采购人由此造成的损失，损失费的计算方法为该中标候选人的投标价与重新确定的中标人中标价的差额，同时按照相关法律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21"/>
              <w:spacing w:line="360" w:lineRule="exact"/>
              <w:jc w:val="center"/>
              <w:rPr>
                <w:rFonts w:hint="eastAsia" w:asciiTheme="minorEastAsia" w:hAnsiTheme="minorEastAsia" w:eastAsiaTheme="minorEastAsia" w:cstheme="minorEastAsia"/>
                <w:highlight w:val="none"/>
                <w:lang w:val="en-US" w:eastAsia="zh-CN"/>
              </w:rPr>
            </w:pPr>
            <w:r>
              <w:rPr>
                <w:rFonts w:asciiTheme="minorEastAsia" w:hAnsiTheme="minorEastAsia" w:eastAsiaTheme="minorEastAsia" w:cstheme="minorEastAsia"/>
                <w:highlight w:val="none"/>
              </w:rPr>
              <w:t>7.</w:t>
            </w:r>
            <w:r>
              <w:rPr>
                <w:rFonts w:hint="eastAsia" w:asciiTheme="minorEastAsia" w:hAnsiTheme="minorEastAsia" w:eastAsiaTheme="minorEastAsia" w:cstheme="minorEastAsia"/>
                <w:highlight w:val="none"/>
                <w:lang w:val="en-US" w:eastAsia="zh-CN"/>
              </w:rPr>
              <w:t>2</w:t>
            </w:r>
          </w:p>
        </w:tc>
        <w:tc>
          <w:tcPr>
            <w:tcW w:w="2318" w:type="dxa"/>
            <w:shd w:val="clear" w:color="auto" w:fill="auto"/>
            <w:vAlign w:val="center"/>
          </w:tcPr>
          <w:p>
            <w:pPr>
              <w:spacing w:line="360" w:lineRule="exact"/>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投标保证金</w:t>
            </w:r>
          </w:p>
        </w:tc>
        <w:tc>
          <w:tcPr>
            <w:tcW w:w="6112" w:type="dxa"/>
            <w:shd w:val="clear" w:color="auto" w:fill="auto"/>
            <w:vAlign w:val="center"/>
          </w:tcPr>
          <w:p>
            <w:pPr>
              <w:spacing w:line="38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投标保证金：800000.00元。</w:t>
            </w:r>
          </w:p>
          <w:p>
            <w:pPr>
              <w:spacing w:line="38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投标保证金交纳形式：保函（含电子保函）或由投标人基本账户转账。</w:t>
            </w:r>
          </w:p>
          <w:p>
            <w:pPr>
              <w:spacing w:line="38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电子保函具体操作方法，投标人自行登录博爱县公共资源交易中心网站，参照《博爱县公共资源交易中心关于推行电子投标保函的通知》，下载《电子保函申请操作手册》操作（保函形式提交保证金的须将扫描件做入投标文件，作为其投标文件的组成部分）。</w:t>
            </w:r>
          </w:p>
          <w:p>
            <w:pPr>
              <w:spacing w:line="38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2、递交投标保证金的开户银行及账号如下：</w:t>
            </w:r>
          </w:p>
          <w:p>
            <w:pPr>
              <w:spacing w:line="38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户名：博爱县公共资源交易中心</w:t>
            </w:r>
          </w:p>
          <w:p>
            <w:pPr>
              <w:spacing w:line="38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开户行1：中国邮政储蓄银行股份有限公司博爱县清化镇支行</w:t>
            </w:r>
          </w:p>
          <w:p>
            <w:pPr>
              <w:spacing w:line="38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银行账号：100549513510010002</w:t>
            </w:r>
          </w:p>
          <w:p>
            <w:pPr>
              <w:spacing w:line="38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开户行2：中国银行股份有限公司博爱支行</w:t>
            </w:r>
          </w:p>
          <w:p>
            <w:pPr>
              <w:spacing w:line="38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银行帐号：262419116795</w:t>
            </w:r>
          </w:p>
          <w:p>
            <w:pPr>
              <w:spacing w:line="38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开户行3：河南博爱农村商业银行股份有限公司营业部</w:t>
            </w:r>
          </w:p>
          <w:p>
            <w:pPr>
              <w:spacing w:line="38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银行帐号：00000117360002831012</w:t>
            </w:r>
          </w:p>
          <w:p>
            <w:pPr>
              <w:spacing w:line="38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投标保证金递交截止时间：2021年12月5日17:00时。</w:t>
            </w:r>
          </w:p>
          <w:p>
            <w:pPr>
              <w:spacing w:line="38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3、其他要求：</w:t>
            </w:r>
          </w:p>
          <w:p>
            <w:pPr>
              <w:numPr>
                <w:ilvl w:val="0"/>
                <w:numId w:val="0"/>
              </w:numPr>
              <w:spacing w:line="38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3.1对非中标人保证金的退还：在中标结果公示期满后，一个工作日内原路退还未中标人的投标保证金。</w:t>
            </w:r>
          </w:p>
          <w:p>
            <w:pPr>
              <w:numPr>
                <w:ilvl w:val="0"/>
                <w:numId w:val="0"/>
              </w:numPr>
              <w:spacing w:line="38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3.2对中标人保证金的退还：中标人签订施工合同后，一个工作日内原路退还中标人的投标保证金。</w:t>
            </w:r>
          </w:p>
          <w:p>
            <w:pPr>
              <w:spacing w:line="38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3.3投标人退还保证金需要提供收款收据和交款凭证，咨询电话0391-3859600。</w:t>
            </w:r>
          </w:p>
          <w:p>
            <w:pPr>
              <w:spacing w:line="38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3.4招标代理费由招标代理机构通知中标企业结清后，领取中标通知书。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Cs/>
                <w:szCs w:val="21"/>
                <w:lang w:val="en-US" w:eastAsia="zh-CN"/>
              </w:rPr>
              <w:t>8</w:t>
            </w:r>
          </w:p>
        </w:tc>
        <w:tc>
          <w:tcPr>
            <w:tcW w:w="8430" w:type="dxa"/>
            <w:gridSpan w:val="2"/>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.1</w:t>
            </w:r>
          </w:p>
        </w:tc>
        <w:tc>
          <w:tcPr>
            <w:tcW w:w="2318" w:type="dxa"/>
            <w:vAlign w:val="center"/>
          </w:tcPr>
          <w:p>
            <w:pPr>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highlight w:val="none"/>
                <w:lang w:val="en-US" w:eastAsia="zh-CN"/>
              </w:rPr>
              <w:t>预算价</w:t>
            </w:r>
          </w:p>
        </w:tc>
        <w:tc>
          <w:tcPr>
            <w:tcW w:w="6112" w:type="dxa"/>
            <w:vAlign w:val="bottom"/>
          </w:tcPr>
          <w:p>
            <w:pPr>
              <w:numPr>
                <w:ilvl w:val="0"/>
                <w:numId w:val="4"/>
              </w:numPr>
              <w:spacing w:line="440" w:lineRule="exac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本项目要求炉渣处置费不低于25元/吨</w:t>
            </w:r>
          </w:p>
          <w:p>
            <w:pPr>
              <w:numPr>
                <w:ilvl w:val="0"/>
                <w:numId w:val="4"/>
              </w:num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不符合以上要求的投标报价，招标人将不予接受。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1、对小型或微型企业投标的扶持：(如有）</w:t>
            </w:r>
          </w:p>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1.1投标供应商为小型或微型企业时，报价给予C1的价格扣除（C1的取值为6%），即：评标价＝投标报价（最后报价）×(1－C1）；</w:t>
            </w:r>
          </w:p>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小微企业应当提供《中小企业声明函》（见格式）。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1.2按照</w:t>
            </w:r>
            <w:r>
              <w:rPr>
                <w:rFonts w:hint="eastAsia" w:ascii="宋体" w:hAnsi="宋体" w:cs="宋体"/>
                <w:color w:val="000000" w:themeColor="text1"/>
                <w:kern w:val="0"/>
                <w:sz w:val="24"/>
                <w:szCs w:val="22"/>
              </w:rPr>
              <w:t>《</w:t>
            </w:r>
            <w:r>
              <w:rPr>
                <w:rFonts w:hint="eastAsia" w:ascii="宋体" w:hAnsi="宋体" w:cs="宋体"/>
                <w:color w:val="000000" w:themeColor="text1"/>
                <w:kern w:val="0"/>
                <w:szCs w:val="21"/>
              </w:rPr>
              <w:t>政府采购促进中小企业发展管理办法》有关规定，中小企业的标准为：</w:t>
            </w:r>
          </w:p>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000000" w:themeColor="text1"/>
              </w:rPr>
            </w:pPr>
            <w:r>
              <w:rPr>
                <w:rFonts w:hint="eastAsia" w:ascii="宋体" w:hAnsi="宋体" w:cs="宋体"/>
                <w:bCs/>
                <w:color w:val="000000" w:themeColor="text1"/>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szCs w:val="21"/>
              </w:rPr>
            </w:pPr>
            <w:r>
              <w:rPr>
                <w:rFonts w:hint="eastAsia" w:ascii="宋体" w:hAnsi="宋体" w:cs="宋体"/>
                <w:bCs/>
                <w:color w:val="000000" w:themeColor="text1"/>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112" w:type="dxa"/>
            <w:vAlign w:val="center"/>
          </w:tcPr>
          <w:p>
            <w:pPr>
              <w:spacing w:line="440" w:lineRule="exact"/>
              <w:rPr>
                <w:rFonts w:hint="eastAsia"/>
              </w:rPr>
            </w:pPr>
            <w:r>
              <w:rPr>
                <w:rFonts w:hint="eastAsia"/>
                <w:lang w:val="en-US" w:eastAsia="zh-CN"/>
              </w:rPr>
              <w:t>1、</w:t>
            </w:r>
            <w:r>
              <w:rPr>
                <w:rFonts w:hint="eastAsia"/>
              </w:rPr>
              <w:t>招标</w:t>
            </w:r>
            <w:r>
              <w:rPr>
                <w:rFonts w:hint="eastAsia" w:asciiTheme="minorEastAsia" w:hAnsiTheme="minorEastAsia" w:eastAsiaTheme="minorEastAsia" w:cstheme="minorEastAsia"/>
                <w:sz w:val="21"/>
                <w:szCs w:val="21"/>
              </w:rPr>
              <w:t>代理服务费参照（国家计委（计价格[2002]1980号）文件、国家发改委（发改办价格[2003]857号）文件及国家发改委（发改价格[2011]534号）文件）的收费标准，向中标人收取</w:t>
            </w:r>
            <w:r>
              <w:rPr>
                <w:rFonts w:hint="eastAsia"/>
              </w:rPr>
              <w:t>。</w:t>
            </w:r>
          </w:p>
          <w:p>
            <w:pPr>
              <w:pStyle w:val="56"/>
            </w:pPr>
            <w:r>
              <w:rPr>
                <w:rFonts w:hint="eastAsia" w:asciiTheme="minorEastAsia" w:hAnsiTheme="minorEastAsia" w:eastAsiaTheme="minorEastAsia" w:cstheme="minorEastAsia"/>
                <w:color w:val="auto"/>
                <w:lang w:val="en-US" w:eastAsia="zh-CN"/>
              </w:rPr>
              <w:t>2、</w:t>
            </w:r>
            <w:r>
              <w:rPr>
                <w:rFonts w:hint="default" w:asciiTheme="minorEastAsia" w:hAnsiTheme="minorEastAsia" w:eastAsiaTheme="minorEastAsia" w:cstheme="minorEastAsia"/>
                <w:color w:val="auto"/>
                <w:lang w:val="en-US" w:eastAsia="zh-CN"/>
              </w:rPr>
              <w:t>中</w:t>
            </w:r>
            <w:r>
              <w:rPr>
                <w:rFonts w:hint="default" w:asciiTheme="minorEastAsia" w:hAnsiTheme="minorEastAsia" w:eastAsiaTheme="minorEastAsia" w:cstheme="minorEastAsia"/>
                <w:color w:val="auto"/>
                <w:highlight w:val="none"/>
                <w:lang w:val="en-US" w:eastAsia="zh-CN"/>
              </w:rPr>
              <w:t>标人在</w:t>
            </w:r>
            <w:r>
              <w:rPr>
                <w:rFonts w:hint="eastAsia" w:asciiTheme="minorEastAsia" w:hAnsiTheme="minorEastAsia" w:eastAsiaTheme="minorEastAsia" w:cstheme="minorEastAsia"/>
                <w:color w:val="auto"/>
                <w:highlight w:val="none"/>
                <w:lang w:val="en-US" w:eastAsia="zh-CN"/>
              </w:rPr>
              <w:t>领取中标通知书时，将</w:t>
            </w:r>
            <w:r>
              <w:rPr>
                <w:rFonts w:hint="default" w:asciiTheme="minorEastAsia" w:hAnsiTheme="minorEastAsia" w:eastAsiaTheme="minorEastAsia" w:cstheme="minorEastAsia"/>
                <w:color w:val="auto"/>
                <w:highlight w:val="none"/>
                <w:lang w:val="en-US" w:eastAsia="zh-CN"/>
              </w:rPr>
              <w:t>投标文件纸质版</w:t>
            </w:r>
            <w:r>
              <w:rPr>
                <w:rFonts w:hint="eastAsia" w:asciiTheme="minorEastAsia" w:hAnsiTheme="minorEastAsia" w:eastAsiaTheme="minorEastAsia" w:cstheme="minorEastAsia"/>
                <w:color w:val="auto"/>
                <w:highlight w:val="none"/>
                <w:lang w:val="en-US" w:eastAsia="zh-CN"/>
              </w:rPr>
              <w:t>打印</w:t>
            </w:r>
            <w:r>
              <w:rPr>
                <w:rFonts w:asciiTheme="minorEastAsia" w:hAnsiTheme="minorEastAsia" w:eastAsiaTheme="minorEastAsia" w:cstheme="minorEastAsia"/>
                <w:color w:val="auto"/>
                <w:highlight w:val="none"/>
              </w:rPr>
              <w:t>装订</w:t>
            </w:r>
            <w:r>
              <w:rPr>
                <w:rFonts w:hint="eastAsia" w:asciiTheme="minorEastAsia" w:hAnsiTheme="minorEastAsia" w:eastAsiaTheme="minorEastAsia" w:cstheme="minorEastAsia"/>
                <w:color w:val="auto"/>
                <w:highlight w:val="none"/>
                <w:lang w:eastAsia="zh-CN"/>
              </w:rPr>
              <w:t>（</w:t>
            </w:r>
            <w:r>
              <w:rPr>
                <w:rFonts w:asciiTheme="minorEastAsia" w:hAnsiTheme="minorEastAsia" w:eastAsiaTheme="minorEastAsia" w:cstheme="minorEastAsia"/>
                <w:color w:val="auto"/>
                <w:highlight w:val="none"/>
              </w:rPr>
              <w:t>投标文件正本</w:t>
            </w:r>
            <w:r>
              <w:rPr>
                <w:rFonts w:hint="eastAsia" w:asciiTheme="minorEastAsia" w:hAnsiTheme="minorEastAsia" w:eastAsiaTheme="minorEastAsia" w:cstheme="minorEastAsia"/>
                <w:color w:val="auto"/>
                <w:highlight w:val="none"/>
                <w:lang w:val="en-US" w:eastAsia="zh-CN"/>
              </w:rPr>
              <w:t>壹份和</w:t>
            </w:r>
            <w:r>
              <w:rPr>
                <w:rFonts w:asciiTheme="minorEastAsia" w:hAnsiTheme="minorEastAsia" w:eastAsiaTheme="minorEastAsia" w:cstheme="minorEastAsia"/>
                <w:color w:val="auto"/>
                <w:highlight w:val="none"/>
              </w:rPr>
              <w:t>副本</w:t>
            </w:r>
            <w:r>
              <w:rPr>
                <w:rFonts w:hint="eastAsia" w:asciiTheme="minorEastAsia" w:hAnsiTheme="minorEastAsia" w:eastAsiaTheme="minorEastAsia" w:cstheme="minorEastAsia"/>
                <w:color w:val="auto"/>
                <w:highlight w:val="none"/>
                <w:lang w:val="en-US" w:eastAsia="zh-CN"/>
              </w:rPr>
              <w:t>肆份，</w:t>
            </w:r>
            <w:r>
              <w:rPr>
                <w:rFonts w:asciiTheme="minorEastAsia" w:hAnsiTheme="minorEastAsia" w:eastAsiaTheme="minorEastAsia" w:cstheme="minorEastAsia"/>
                <w:color w:val="auto"/>
                <w:highlight w:val="none"/>
              </w:rPr>
              <w:t>每册应采用左侧粘贴方式</w:t>
            </w:r>
            <w:r>
              <w:rPr>
                <w:rFonts w:hint="eastAsia" w:asciiTheme="minorEastAsia" w:hAnsiTheme="minorEastAsia" w:eastAsiaTheme="minorEastAsia" w:cstheme="minorEastAsia"/>
                <w:color w:val="auto"/>
                <w:highlight w:val="none"/>
                <w:lang w:eastAsia="zh-CN"/>
              </w:rPr>
              <w:t>，</w:t>
            </w:r>
            <w:r>
              <w:rPr>
                <w:rFonts w:asciiTheme="minorEastAsia" w:hAnsiTheme="minorEastAsia" w:eastAsiaTheme="minorEastAsia" w:cstheme="minorEastAsia"/>
                <w:color w:val="auto"/>
                <w:highlight w:val="none"/>
              </w:rPr>
              <w:t>不得采用活页装订</w:t>
            </w:r>
            <w:r>
              <w:rPr>
                <w:rFonts w:hint="eastAsia" w:asciiTheme="minorEastAsia" w:hAnsiTheme="minorEastAsia" w:eastAsiaTheme="minorEastAsia" w:cstheme="minorEastAsia"/>
                <w:color w:val="auto"/>
                <w:highlight w:val="none"/>
                <w:lang w:eastAsia="zh-CN"/>
              </w:rPr>
              <w:t>）递交采购人</w:t>
            </w:r>
            <w:r>
              <w:rPr>
                <w:rFonts w:asciiTheme="minorEastAsia" w:hAnsiTheme="minorEastAsia" w:eastAsiaTheme="minorEastAsia" w:cstheme="minor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65" w:type="dxa"/>
            <w:vAlign w:val="center"/>
          </w:tcPr>
          <w:p>
            <w:pPr>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4</w:t>
            </w:r>
          </w:p>
        </w:tc>
        <w:tc>
          <w:tcPr>
            <w:tcW w:w="231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认定为不响应招标文件的其它条件</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、未按招标文件明示的规定签字盖章的；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、投标文件的关键内容（投标报价、</w:t>
            </w:r>
            <w:r>
              <w:rPr>
                <w:rFonts w:hint="eastAsia" w:asciiTheme="minorEastAsia" w:hAnsiTheme="minorEastAsia" w:eastAsiaTheme="minorEastAsia" w:cstheme="minorEastAsia"/>
                <w:bCs/>
                <w:iCs/>
                <w:szCs w:val="21"/>
              </w:rPr>
              <w:t>服务期</w:t>
            </w:r>
            <w:r>
              <w:rPr>
                <w:rFonts w:hint="eastAsia" w:asciiTheme="minorEastAsia" w:hAnsiTheme="minorEastAsia" w:eastAsiaTheme="minorEastAsia" w:cstheme="minorEastAsia"/>
                <w:szCs w:val="21"/>
              </w:rPr>
              <w:t>、质</w:t>
            </w:r>
            <w:r>
              <w:rPr>
                <w:rFonts w:hint="eastAsia" w:asciiTheme="minorEastAsia" w:hAnsiTheme="minorEastAsia" w:eastAsiaTheme="minorEastAsia" w:cstheme="minorEastAsia"/>
              </w:rPr>
              <w:t>量等）</w:t>
            </w:r>
            <w:r>
              <w:rPr>
                <w:rFonts w:hint="eastAsia" w:asciiTheme="minorEastAsia" w:hAnsiTheme="minorEastAsia" w:eastAsiaTheme="minorEastAsia" w:cstheme="minorEastAsia"/>
                <w:szCs w:val="21"/>
              </w:rPr>
              <w:t>未填写或填写字迹模糊、达不到采购要求的；</w:t>
            </w:r>
          </w:p>
          <w:p>
            <w:pPr>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、投标报</w:t>
            </w:r>
            <w:r>
              <w:rPr>
                <w:rFonts w:hint="eastAsia" w:asciiTheme="minorEastAsia" w:hAnsiTheme="minorEastAsia" w:eastAsiaTheme="minorEastAsia" w:cstheme="minorEastAsia"/>
                <w:szCs w:val="21"/>
                <w:highlight w:val="none"/>
              </w:rPr>
              <w:t>价</w:t>
            </w:r>
            <w:r>
              <w:rPr>
                <w:rFonts w:hint="eastAsia" w:asciiTheme="minorEastAsia" w:hAnsiTheme="minorEastAsia" w:eastAsiaTheme="minorEastAsia" w:cstheme="minorEastAsia"/>
                <w:szCs w:val="21"/>
                <w:highlight w:val="none"/>
                <w:lang w:val="en-US" w:eastAsia="zh-CN"/>
              </w:rPr>
              <w:t>不符合</w:t>
            </w:r>
            <w:r>
              <w:rPr>
                <w:rFonts w:hint="eastAsia" w:asciiTheme="minorEastAsia" w:hAnsiTheme="minorEastAsia" w:eastAsiaTheme="minorEastAsia" w:cstheme="minorEastAsia"/>
                <w:szCs w:val="21"/>
                <w:highlight w:val="none"/>
              </w:rPr>
              <w:t>招标控制价</w:t>
            </w:r>
            <w:r>
              <w:rPr>
                <w:rFonts w:hint="eastAsia" w:asciiTheme="minorEastAsia" w:hAnsiTheme="minorEastAsia" w:eastAsiaTheme="minorEastAsia" w:cstheme="minorEastAsia"/>
                <w:szCs w:val="21"/>
                <w:highlight w:val="none"/>
                <w:lang w:val="en-US" w:eastAsia="zh-CN"/>
              </w:rPr>
              <w:t>要求</w:t>
            </w:r>
            <w:r>
              <w:rPr>
                <w:rFonts w:hint="eastAsia" w:asciiTheme="minorEastAsia" w:hAnsiTheme="minorEastAsia" w:eastAsiaTheme="minorEastAsia" w:cstheme="minorEastAsia"/>
                <w:szCs w:val="21"/>
                <w:highlight w:val="none"/>
              </w:rPr>
              <w:t>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、供应商递交两份或多份内容不同的投标文件，且未声明哪一个有效的；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、相关资格证明文件不合格的；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、未按要求提供相关证件的；</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、附有采购人不能接受的条件的；</w:t>
            </w:r>
          </w:p>
          <w:p>
            <w:pPr>
              <w:adjustRightInd w:val="0"/>
              <w:snapToGrid w:val="0"/>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 xml:space="preserve">8 </w:t>
            </w:r>
            <w:r>
              <w:rPr>
                <w:rFonts w:hint="eastAsia" w:asciiTheme="minorEastAsia" w:hAnsiTheme="minorEastAsia" w:eastAsiaTheme="minorEastAsia" w:cstheme="minorEastAsia"/>
                <w:szCs w:val="21"/>
              </w:rPr>
              <w:t>、投标文件有明显不符合招标文件其它要求和有关法律法规的。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5</w:t>
            </w:r>
          </w:p>
        </w:tc>
        <w:tc>
          <w:tcPr>
            <w:tcW w:w="8430" w:type="dxa"/>
            <w:gridSpan w:val="2"/>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本招标文件解释权归采购人</w:t>
            </w:r>
          </w:p>
        </w:tc>
      </w:tr>
    </w:tbl>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 w:name="_Toc9048"/>
      <w:bookmarkStart w:id="8" w:name="_Toc426369479"/>
      <w:bookmarkStart w:id="9" w:name="_Toc23576"/>
      <w:bookmarkStart w:id="10" w:name="_Toc403122491"/>
      <w:bookmarkStart w:id="11" w:name="_Toc26894"/>
      <w:bookmarkStart w:id="12" w:name="_Toc403122503"/>
      <w:bookmarkStart w:id="13" w:name="_Toc426369491"/>
      <w:r>
        <w:rPr>
          <w:rFonts w:hint="eastAsia" w:asciiTheme="minorEastAsia" w:hAnsiTheme="minorEastAsia" w:eastAsiaTheme="minorEastAsia" w:cstheme="minorEastAsia"/>
          <w:sz w:val="24"/>
          <w:szCs w:val="24"/>
        </w:rPr>
        <w:t>1. 总则</w:t>
      </w:r>
      <w:bookmarkEnd w:id="7"/>
      <w:bookmarkEnd w:id="8"/>
      <w:bookmarkEnd w:id="9"/>
      <w:bookmarkEnd w:id="10"/>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4" w:name="_Toc403122492"/>
      <w:bookmarkStart w:id="15" w:name="_Toc279599771"/>
      <w:bookmarkStart w:id="16" w:name="_Toc274249575"/>
      <w:bookmarkStart w:id="17" w:name="_Toc426369480"/>
      <w:r>
        <w:rPr>
          <w:rFonts w:hint="eastAsia" w:asciiTheme="minorEastAsia" w:hAnsiTheme="minorEastAsia" w:eastAsiaTheme="minorEastAsia" w:cstheme="minorEastAsia"/>
          <w:b/>
          <w:bCs/>
          <w:sz w:val="24"/>
        </w:rPr>
        <w:t>1.1 项目概况</w:t>
      </w:r>
      <w:bookmarkEnd w:id="14"/>
      <w:bookmarkEnd w:id="15"/>
      <w:bookmarkEnd w:id="16"/>
      <w:bookmarkEnd w:id="17"/>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rPr>
      </w:pPr>
      <w:bookmarkStart w:id="18" w:name="_Toc426369481"/>
      <w:bookmarkStart w:id="19" w:name="_Toc274249576"/>
      <w:bookmarkStart w:id="20" w:name="_Toc279599772"/>
      <w:bookmarkStart w:id="21" w:name="_Toc403122493"/>
      <w:r>
        <w:rPr>
          <w:rFonts w:hint="eastAsia" w:asciiTheme="minorEastAsia" w:hAnsiTheme="minorEastAsia" w:eastAsiaTheme="minorEastAsia" w:cstheme="minorEastAsia"/>
          <w:b/>
          <w:bCs/>
          <w:sz w:val="24"/>
        </w:rPr>
        <w:t>1.2 资金来源和落实情况</w:t>
      </w:r>
      <w:bookmarkEnd w:id="18"/>
      <w:bookmarkEnd w:id="19"/>
      <w:bookmarkEnd w:id="20"/>
      <w:bookmarkEnd w:id="21"/>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rPr>
      </w:pPr>
      <w:bookmarkStart w:id="22" w:name="_Toc403122494"/>
      <w:bookmarkStart w:id="23" w:name="_Toc426369482"/>
      <w:bookmarkStart w:id="24" w:name="_Toc279599773"/>
      <w:bookmarkStart w:id="25" w:name="_Toc274249577"/>
      <w:r>
        <w:rPr>
          <w:rFonts w:hint="eastAsia" w:asciiTheme="minorEastAsia" w:hAnsiTheme="minorEastAsia" w:eastAsiaTheme="minorEastAsia" w:cstheme="minorEastAsia"/>
          <w:b/>
          <w:bCs/>
          <w:sz w:val="24"/>
        </w:rPr>
        <w:t>1.3 采购内容、项目完成期和质量要求</w:t>
      </w:r>
      <w:bookmarkEnd w:id="22"/>
      <w:bookmarkEnd w:id="23"/>
      <w:bookmarkEnd w:id="24"/>
      <w:bookmarkEnd w:id="25"/>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26" w:name="_Toc274249578"/>
      <w:bookmarkStart w:id="27" w:name="_Toc403122495"/>
      <w:bookmarkStart w:id="28" w:name="_Toc279599774"/>
      <w:bookmarkStart w:id="29" w:name="_Toc426369483"/>
      <w:r>
        <w:rPr>
          <w:rFonts w:hint="eastAsia" w:asciiTheme="minorEastAsia" w:hAnsiTheme="minorEastAsia" w:eastAsiaTheme="minorEastAsia" w:cstheme="minorEastAsia"/>
          <w:b/>
          <w:bCs/>
          <w:sz w:val="24"/>
        </w:rPr>
        <w:t>1.4 供应商资格要求</w:t>
      </w:r>
      <w:bookmarkEnd w:id="26"/>
      <w:bookmarkEnd w:id="27"/>
      <w:bookmarkEnd w:id="28"/>
      <w:bookmarkEnd w:id="2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rPr>
      </w:pPr>
      <w:bookmarkStart w:id="30" w:name="_Toc403122496"/>
      <w:bookmarkStart w:id="31" w:name="_Toc274249579"/>
      <w:bookmarkStart w:id="32" w:name="_Toc279599775"/>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asciiTheme="minorEastAsia" w:hAnsiTheme="minorEastAsia" w:eastAsiaTheme="minorEastAsia" w:cstheme="minorEastAsia"/>
          <w:b/>
          <w:bCs/>
          <w:sz w:val="24"/>
        </w:rPr>
      </w:pPr>
      <w:bookmarkStart w:id="33" w:name="_Toc426369484"/>
      <w:r>
        <w:rPr>
          <w:rFonts w:hint="eastAsia" w:asciiTheme="minorEastAsia" w:hAnsiTheme="minorEastAsia" w:eastAsiaTheme="minorEastAsia" w:cstheme="minorEastAsia"/>
          <w:b/>
          <w:bCs/>
          <w:sz w:val="24"/>
        </w:rPr>
        <w:t>1.5 费用承担</w:t>
      </w:r>
      <w:bookmarkEnd w:id="30"/>
      <w:bookmarkEnd w:id="31"/>
      <w:bookmarkEnd w:id="32"/>
      <w:bookmarkEnd w:id="33"/>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rPr>
      </w:pPr>
      <w:bookmarkStart w:id="34" w:name="_Toc403122497"/>
      <w:bookmarkStart w:id="35" w:name="_Toc426369485"/>
      <w:r>
        <w:rPr>
          <w:rFonts w:hint="eastAsia" w:asciiTheme="minorEastAsia" w:hAnsiTheme="minorEastAsia" w:eastAsiaTheme="minorEastAsia" w:cstheme="minorEastAsia"/>
          <w:b/>
          <w:bCs/>
          <w:sz w:val="24"/>
        </w:rPr>
        <w:t>1.6 保密</w:t>
      </w:r>
      <w:bookmarkEnd w:id="34"/>
      <w:bookmarkEnd w:id="3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rPr>
      </w:pPr>
      <w:bookmarkStart w:id="36" w:name="_Toc403122498"/>
      <w:bookmarkStart w:id="37" w:name="_Toc279599777"/>
      <w:bookmarkStart w:id="38" w:name="_Toc426369486"/>
      <w:bookmarkStart w:id="39" w:name="_Toc274249581"/>
      <w:r>
        <w:rPr>
          <w:rFonts w:hint="eastAsia" w:asciiTheme="minorEastAsia" w:hAnsiTheme="minorEastAsia" w:eastAsiaTheme="minorEastAsia" w:cstheme="minorEastAsia"/>
          <w:b/>
          <w:bCs/>
          <w:sz w:val="24"/>
        </w:rPr>
        <w:t>1.7 语言文字</w:t>
      </w:r>
      <w:bookmarkEnd w:id="36"/>
      <w:bookmarkEnd w:id="37"/>
      <w:bookmarkEnd w:id="38"/>
      <w:bookmarkEnd w:id="39"/>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除专用术语外，与招标投标有关的语言均使用中文。必要时专用术语应附有中文注释。 </w:t>
      </w:r>
    </w:p>
    <w:p>
      <w:pPr>
        <w:spacing w:line="500" w:lineRule="exact"/>
        <w:ind w:firstLine="482" w:firstLineChars="200"/>
        <w:rPr>
          <w:rFonts w:asciiTheme="minorEastAsia" w:hAnsiTheme="minorEastAsia" w:eastAsiaTheme="minorEastAsia" w:cstheme="minorEastAsia"/>
          <w:b/>
          <w:bCs/>
          <w:sz w:val="24"/>
        </w:rPr>
      </w:pPr>
      <w:bookmarkStart w:id="40" w:name="_Toc403122499"/>
      <w:bookmarkStart w:id="41" w:name="_Toc426369487"/>
      <w:r>
        <w:rPr>
          <w:rFonts w:hint="eastAsia" w:asciiTheme="minorEastAsia" w:hAnsiTheme="minorEastAsia" w:eastAsiaTheme="minorEastAsia" w:cstheme="minorEastAsia"/>
          <w:b/>
          <w:bCs/>
          <w:sz w:val="24"/>
        </w:rPr>
        <w:t>1.8 计量单位</w:t>
      </w:r>
      <w:bookmarkEnd w:id="40"/>
      <w:bookmarkEnd w:id="4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所有计量均采用中华人民共和国法定计量单位。</w:t>
      </w:r>
    </w:p>
    <w:p>
      <w:pPr>
        <w:spacing w:line="500" w:lineRule="exact"/>
        <w:ind w:firstLine="482" w:firstLineChars="200"/>
        <w:rPr>
          <w:rFonts w:asciiTheme="minorEastAsia" w:hAnsiTheme="minorEastAsia" w:eastAsiaTheme="minorEastAsia" w:cstheme="minorEastAsia"/>
          <w:b/>
          <w:bCs/>
          <w:sz w:val="24"/>
        </w:rPr>
      </w:pPr>
      <w:bookmarkStart w:id="42" w:name="_Toc403122500"/>
      <w:bookmarkStart w:id="43" w:name="_Toc274249583"/>
      <w:bookmarkStart w:id="44" w:name="_Toc279599779"/>
      <w:bookmarkStart w:id="45" w:name="_Toc426369488"/>
      <w:r>
        <w:rPr>
          <w:rFonts w:hint="eastAsia" w:asciiTheme="minorEastAsia" w:hAnsiTheme="minorEastAsia" w:eastAsiaTheme="minorEastAsia" w:cstheme="minorEastAsia"/>
          <w:b/>
          <w:bCs/>
          <w:sz w:val="24"/>
        </w:rPr>
        <w:t>1.9 踏勘现场</w:t>
      </w:r>
      <w:bookmarkEnd w:id="42"/>
      <w:bookmarkEnd w:id="43"/>
      <w:bookmarkEnd w:id="44"/>
      <w:bookmarkEnd w:id="45"/>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rPr>
      </w:pPr>
      <w:bookmarkStart w:id="46" w:name="_Toc403122501"/>
      <w:bookmarkStart w:id="47" w:name="_Toc279599780"/>
      <w:bookmarkStart w:id="48" w:name="_Toc426369489"/>
      <w:bookmarkStart w:id="49" w:name="_Toc274249584"/>
      <w:r>
        <w:rPr>
          <w:rFonts w:hint="eastAsia" w:asciiTheme="minorEastAsia" w:hAnsiTheme="minorEastAsia" w:eastAsiaTheme="minorEastAsia" w:cstheme="minorEastAsia"/>
          <w:b/>
          <w:bCs/>
          <w:sz w:val="24"/>
        </w:rPr>
        <w:t>1.10 投标预备会</w:t>
      </w:r>
      <w:bookmarkEnd w:id="46"/>
      <w:bookmarkEnd w:id="47"/>
      <w:bookmarkEnd w:id="48"/>
      <w:bookmarkEnd w:id="49"/>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50" w:name="_Toc403122502"/>
      <w:bookmarkStart w:id="51" w:name="_Toc426369490"/>
      <w:bookmarkStart w:id="52" w:name="_Toc279599781"/>
      <w:bookmarkStart w:id="53" w:name="_Toc274249585"/>
      <w:r>
        <w:rPr>
          <w:rFonts w:hint="eastAsia" w:asciiTheme="minorEastAsia" w:hAnsiTheme="minorEastAsia" w:eastAsiaTheme="minorEastAsia" w:cstheme="minorEastAsia"/>
          <w:b/>
          <w:bCs/>
          <w:sz w:val="24"/>
        </w:rPr>
        <w:t>1.11 分包</w:t>
      </w:r>
      <w:bookmarkEnd w:id="50"/>
      <w:bookmarkEnd w:id="51"/>
      <w:bookmarkEnd w:id="52"/>
      <w:bookmarkEnd w:id="53"/>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54" w:name="_Toc28663"/>
      <w:r>
        <w:rPr>
          <w:rFonts w:hint="eastAsia" w:asciiTheme="minorEastAsia" w:hAnsiTheme="minorEastAsia" w:eastAsiaTheme="minorEastAsia" w:cstheme="minorEastAsia"/>
          <w:sz w:val="24"/>
          <w:szCs w:val="24"/>
        </w:rPr>
        <w:t>2. 招标文件</w:t>
      </w:r>
      <w:bookmarkEnd w:id="11"/>
      <w:bookmarkEnd w:id="12"/>
      <w:bookmarkEnd w:id="13"/>
      <w:bookmarkEnd w:id="54"/>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55" w:name="_Toc426369492"/>
      <w:bookmarkStart w:id="56" w:name="_Toc403122504"/>
      <w:bookmarkStart w:id="57" w:name="_Toc279599783"/>
      <w:bookmarkStart w:id="58" w:name="_Toc274249587"/>
      <w:r>
        <w:rPr>
          <w:rFonts w:hint="eastAsia" w:asciiTheme="minorEastAsia" w:hAnsiTheme="minorEastAsia" w:eastAsiaTheme="minorEastAsia" w:cstheme="minorEastAsia"/>
          <w:b/>
          <w:bCs/>
          <w:sz w:val="24"/>
        </w:rPr>
        <w:t>2.1 招标文件的组成</w:t>
      </w:r>
      <w:bookmarkEnd w:id="55"/>
      <w:bookmarkEnd w:id="56"/>
      <w:bookmarkEnd w:id="57"/>
      <w:bookmarkEnd w:id="58"/>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服务内容及要求</w:t>
      </w:r>
      <w:r>
        <w:rPr>
          <w:rFonts w:hint="eastAsia" w:asciiTheme="minorEastAsia" w:hAnsiTheme="minorEastAsia" w:eastAsiaTheme="minorEastAsia" w:cstheme="minorEastAsia"/>
          <w:szCs w:val="21"/>
          <w:highlight w:val="none"/>
        </w:rPr>
        <w:t xml:space="preserve">； </w:t>
      </w:r>
    </w:p>
    <w:p>
      <w:pPr>
        <w:numPr>
          <w:ilvl w:val="0"/>
          <w:numId w:val="5"/>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59" w:name="_Toc279599784"/>
      <w:bookmarkStart w:id="60" w:name="_Toc274249588"/>
      <w:bookmarkStart w:id="61" w:name="_Toc403122505"/>
      <w:bookmarkStart w:id="62" w:name="_Toc426369493"/>
      <w:r>
        <w:rPr>
          <w:rFonts w:hint="eastAsia" w:asciiTheme="minorEastAsia" w:hAnsiTheme="minorEastAsia" w:eastAsiaTheme="minorEastAsia" w:cstheme="minorEastAsia"/>
          <w:b/>
          <w:bCs/>
          <w:sz w:val="24"/>
        </w:rPr>
        <w:t>2.2 招标文件的澄清</w:t>
      </w:r>
      <w:bookmarkEnd w:id="59"/>
      <w:bookmarkEnd w:id="60"/>
      <w:bookmarkEnd w:id="61"/>
      <w:bookmarkEnd w:id="62"/>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w:t>
      </w:r>
      <w:r>
        <w:rPr>
          <w:rFonts w:hint="eastAsia" w:asciiTheme="minorEastAsia" w:hAnsiTheme="minorEastAsia" w:eastAsiaTheme="minorEastAsia" w:cstheme="minorEastAsia"/>
          <w:color w:val="auto"/>
          <w:szCs w:val="21"/>
        </w:rPr>
        <w:t xml:space="preserve">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63" w:name="_Toc403122506"/>
      <w:bookmarkStart w:id="64" w:name="_Toc279599785"/>
      <w:bookmarkStart w:id="65" w:name="_Toc426369494"/>
      <w:bookmarkStart w:id="66" w:name="_Toc274249589"/>
      <w:r>
        <w:rPr>
          <w:rFonts w:hint="eastAsia" w:asciiTheme="minorEastAsia" w:hAnsiTheme="minorEastAsia" w:eastAsiaTheme="minorEastAsia" w:cstheme="minorEastAsia"/>
          <w:b/>
          <w:bCs/>
          <w:sz w:val="24"/>
        </w:rPr>
        <w:t>2.3 招标文件的修改</w:t>
      </w:r>
      <w:bookmarkEnd w:id="63"/>
      <w:bookmarkEnd w:id="64"/>
      <w:bookmarkEnd w:id="65"/>
      <w:bookmarkEnd w:id="66"/>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67" w:name="_Toc23265"/>
      <w:bookmarkStart w:id="68" w:name="_Toc403122507"/>
      <w:bookmarkStart w:id="69" w:name="_Toc426369495"/>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0" w:name="_Toc13865"/>
      <w:r>
        <w:rPr>
          <w:rFonts w:hint="eastAsia" w:asciiTheme="minorEastAsia" w:hAnsiTheme="minorEastAsia" w:eastAsiaTheme="minorEastAsia" w:cstheme="minorEastAsia"/>
          <w:sz w:val="24"/>
          <w:szCs w:val="24"/>
        </w:rPr>
        <w:t>3. 投标文件</w:t>
      </w:r>
      <w:bookmarkEnd w:id="67"/>
      <w:bookmarkEnd w:id="68"/>
      <w:bookmarkEnd w:id="69"/>
      <w:bookmarkEnd w:id="70"/>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71" w:name="_Toc279599787"/>
      <w:bookmarkStart w:id="72" w:name="_Toc426369496"/>
      <w:bookmarkStart w:id="73" w:name="_Toc274249591"/>
      <w:bookmarkStart w:id="74" w:name="_Toc403122508"/>
      <w:r>
        <w:rPr>
          <w:rFonts w:hint="eastAsia" w:asciiTheme="minorEastAsia" w:hAnsiTheme="minorEastAsia" w:eastAsiaTheme="minorEastAsia" w:cstheme="minorEastAsia"/>
          <w:b/>
          <w:bCs/>
          <w:sz w:val="24"/>
        </w:rPr>
        <w:t>3.1 投标文件的组成</w:t>
      </w:r>
      <w:bookmarkEnd w:id="71"/>
      <w:bookmarkEnd w:id="72"/>
      <w:bookmarkEnd w:id="73"/>
      <w:bookmarkEnd w:id="74"/>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ascii="宋体" w:hAnsi="宋体" w:cs="宋体"/>
          <w:szCs w:val="21"/>
        </w:rPr>
      </w:pPr>
      <w:bookmarkStart w:id="75" w:name="_Toc274249592"/>
      <w:bookmarkStart w:id="76" w:name="_Toc426369497"/>
      <w:bookmarkStart w:id="77" w:name="_Toc279599788"/>
      <w:bookmarkStart w:id="78" w:name="_Toc403122509"/>
      <w:r>
        <w:rPr>
          <w:rFonts w:hint="eastAsia" w:ascii="宋体" w:hAnsi="宋体" w:cs="宋体"/>
          <w:szCs w:val="21"/>
        </w:rPr>
        <w:t>一、投标函及开标一览表</w:t>
      </w:r>
    </w:p>
    <w:p>
      <w:pPr>
        <w:spacing w:line="440" w:lineRule="exact"/>
        <w:ind w:firstLine="420" w:firstLineChars="200"/>
        <w:rPr>
          <w:rFonts w:ascii="宋体" w:hAnsi="宋体" w:cs="宋体"/>
          <w:szCs w:val="21"/>
        </w:rPr>
      </w:pPr>
      <w:r>
        <w:rPr>
          <w:rFonts w:hint="eastAsia" w:ascii="宋体" w:hAnsi="宋体" w:cs="宋体"/>
          <w:szCs w:val="21"/>
        </w:rPr>
        <w:t>（一）投标函</w:t>
      </w:r>
    </w:p>
    <w:p>
      <w:pPr>
        <w:spacing w:line="440" w:lineRule="exact"/>
        <w:ind w:firstLine="420" w:firstLineChars="200"/>
        <w:rPr>
          <w:rFonts w:ascii="宋体" w:hAnsi="宋体" w:cs="宋体"/>
          <w:szCs w:val="21"/>
        </w:rPr>
      </w:pPr>
      <w:r>
        <w:rPr>
          <w:rFonts w:hint="eastAsia" w:ascii="宋体" w:hAnsi="宋体" w:cs="宋体"/>
          <w:szCs w:val="21"/>
        </w:rPr>
        <w:t>（二）开标一览表</w:t>
      </w:r>
    </w:p>
    <w:p>
      <w:pPr>
        <w:spacing w:line="440" w:lineRule="exact"/>
        <w:ind w:firstLine="420" w:firstLineChars="200"/>
        <w:rPr>
          <w:rFonts w:ascii="宋体" w:hAnsi="宋体" w:cs="宋体"/>
          <w:szCs w:val="21"/>
        </w:rPr>
      </w:pPr>
      <w:r>
        <w:rPr>
          <w:rFonts w:hint="eastAsia" w:ascii="宋体" w:hAnsi="宋体" w:cs="宋体"/>
          <w:szCs w:val="21"/>
        </w:rPr>
        <w:t>（三）报价明细表</w:t>
      </w:r>
    </w:p>
    <w:p>
      <w:pPr>
        <w:spacing w:line="440" w:lineRule="exact"/>
        <w:ind w:firstLine="420" w:firstLineChars="200"/>
        <w:rPr>
          <w:rFonts w:ascii="宋体" w:hAnsi="宋体" w:cs="宋体"/>
          <w:szCs w:val="21"/>
        </w:rPr>
      </w:pPr>
      <w:r>
        <w:rPr>
          <w:rFonts w:hint="eastAsia" w:ascii="宋体" w:hAnsi="宋体" w:cs="宋体"/>
          <w:szCs w:val="21"/>
        </w:rPr>
        <w:t>二、法定代表人身份证明书</w:t>
      </w:r>
    </w:p>
    <w:p>
      <w:pPr>
        <w:spacing w:line="440" w:lineRule="exact"/>
        <w:ind w:firstLine="420" w:firstLineChars="200"/>
        <w:rPr>
          <w:rFonts w:ascii="宋体" w:hAnsi="宋体" w:cs="宋体"/>
          <w:szCs w:val="21"/>
        </w:rPr>
      </w:pPr>
      <w:r>
        <w:rPr>
          <w:rFonts w:hint="eastAsia" w:ascii="宋体" w:hAnsi="宋体" w:cs="宋体"/>
          <w:szCs w:val="21"/>
        </w:rPr>
        <w:t>三、授权委托书</w:t>
      </w:r>
    </w:p>
    <w:p>
      <w:pPr>
        <w:spacing w:line="440" w:lineRule="exact"/>
        <w:ind w:firstLine="420" w:firstLineChars="200"/>
        <w:rPr>
          <w:rFonts w:ascii="宋体" w:hAnsi="宋体" w:cs="宋体"/>
          <w:szCs w:val="21"/>
        </w:rPr>
      </w:pPr>
      <w:r>
        <w:rPr>
          <w:rFonts w:hint="eastAsia" w:ascii="宋体" w:hAnsi="宋体" w:cs="宋体"/>
          <w:szCs w:val="21"/>
        </w:rPr>
        <w:t>四、 投标承诺函</w:t>
      </w:r>
    </w:p>
    <w:p>
      <w:pPr>
        <w:spacing w:line="440" w:lineRule="exact"/>
        <w:ind w:firstLine="420" w:firstLineChars="200"/>
        <w:rPr>
          <w:rFonts w:ascii="宋体" w:hAnsi="宋体" w:cs="宋体"/>
          <w:szCs w:val="21"/>
        </w:rPr>
      </w:pPr>
      <w:r>
        <w:rPr>
          <w:rFonts w:hint="eastAsia" w:ascii="宋体" w:hAnsi="宋体" w:cs="宋体"/>
          <w:szCs w:val="21"/>
        </w:rPr>
        <w:t>五、项目实施方案</w:t>
      </w:r>
    </w:p>
    <w:p>
      <w:pPr>
        <w:spacing w:line="440" w:lineRule="exact"/>
        <w:ind w:firstLine="420" w:firstLineChars="200"/>
        <w:rPr>
          <w:rFonts w:ascii="宋体" w:hAnsi="宋体" w:cs="宋体"/>
          <w:szCs w:val="21"/>
        </w:rPr>
      </w:pPr>
      <w:r>
        <w:rPr>
          <w:rFonts w:hint="eastAsia" w:ascii="宋体" w:hAnsi="宋体" w:cs="宋体"/>
          <w:szCs w:val="21"/>
        </w:rPr>
        <w:t>六、资格证明文件；</w:t>
      </w:r>
    </w:p>
    <w:p>
      <w:pPr>
        <w:pStyle w:val="38"/>
        <w:spacing w:line="440" w:lineRule="exact"/>
        <w:ind w:firstLineChars="200"/>
        <w:rPr>
          <w:rFonts w:hint="default" w:ascii="宋体" w:hAnsi="宋体" w:eastAsia="宋体" w:cs="宋体"/>
          <w:sz w:val="21"/>
          <w:szCs w:val="21"/>
        </w:rPr>
      </w:pPr>
      <w:r>
        <w:rPr>
          <w:rFonts w:ascii="宋体" w:hAnsi="宋体" w:eastAsia="宋体" w:cs="宋体"/>
          <w:sz w:val="21"/>
          <w:szCs w:val="21"/>
        </w:rPr>
        <w:t>七、供应商服务承诺和优惠承诺</w:t>
      </w:r>
    </w:p>
    <w:p>
      <w:pPr>
        <w:spacing w:line="440" w:lineRule="exact"/>
        <w:ind w:firstLine="420" w:firstLineChars="200"/>
        <w:rPr>
          <w:rFonts w:ascii="宋体" w:hAnsi="宋体" w:cs="宋体"/>
          <w:szCs w:val="21"/>
        </w:rPr>
      </w:pPr>
      <w:r>
        <w:rPr>
          <w:rFonts w:hint="eastAsia" w:ascii="宋体" w:hAnsi="宋体" w:cs="宋体"/>
          <w:szCs w:val="21"/>
        </w:rPr>
        <w:t>八、供应商所投产品属于当期政府采购清单规定的节能环保产品的证明材料</w:t>
      </w:r>
      <w:r>
        <w:rPr>
          <w:rFonts w:hint="eastAsia" w:ascii="宋体" w:hAnsi="宋体" w:cs="宋体"/>
          <w:szCs w:val="21"/>
          <w:lang w:eastAsia="zh-CN"/>
        </w:rPr>
        <w:t>（如有）</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九、中小企业声明函（如为中小企业）；</w:t>
      </w:r>
    </w:p>
    <w:p>
      <w:pPr>
        <w:spacing w:line="440" w:lineRule="exact"/>
        <w:ind w:firstLine="420" w:firstLineChars="200"/>
        <w:rPr>
          <w:rFonts w:ascii="宋体" w:hAnsi="宋体" w:cs="宋体"/>
          <w:szCs w:val="21"/>
        </w:rPr>
      </w:pPr>
      <w:r>
        <w:rPr>
          <w:rFonts w:hint="eastAsia" w:ascii="宋体" w:hAnsi="宋体" w:cs="宋体"/>
          <w:szCs w:val="21"/>
        </w:rPr>
        <w:t>十、残疾人福利性单位声明函（如有）；</w:t>
      </w:r>
    </w:p>
    <w:p>
      <w:pPr>
        <w:spacing w:line="440" w:lineRule="exact"/>
        <w:ind w:firstLine="420" w:firstLineChars="200"/>
        <w:rPr>
          <w:rFonts w:ascii="宋体" w:hAnsi="宋体" w:cs="宋体"/>
          <w:szCs w:val="21"/>
        </w:rPr>
      </w:pPr>
      <w:r>
        <w:rPr>
          <w:rFonts w:hint="eastAsia" w:ascii="宋体" w:hAnsi="宋体" w:cs="宋体"/>
          <w:szCs w:val="21"/>
        </w:rPr>
        <w:t>十</w:t>
      </w:r>
      <w:r>
        <w:rPr>
          <w:rFonts w:hint="eastAsia" w:ascii="宋体" w:hAnsi="宋体" w:cs="宋体"/>
          <w:szCs w:val="21"/>
          <w:lang w:val="en-US" w:eastAsia="zh-CN"/>
        </w:rPr>
        <w:t>一</w:t>
      </w:r>
      <w:r>
        <w:rPr>
          <w:rFonts w:hint="eastAsia" w:ascii="宋体" w:hAnsi="宋体" w:cs="宋体"/>
          <w:szCs w:val="21"/>
        </w:rPr>
        <w:t>、招标文件要求的或投标人认为需要加以说明的其他内容。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75"/>
      <w:bookmarkEnd w:id="76"/>
      <w:bookmarkEnd w:id="77"/>
      <w:bookmarkEnd w:id="78"/>
      <w:r>
        <w:rPr>
          <w:rFonts w:hint="eastAsia" w:asciiTheme="minorEastAsia" w:hAnsiTheme="minorEastAsia" w:eastAsiaTheme="minorEastAsia" w:cstheme="minorEastAsia"/>
          <w:b/>
          <w:bCs/>
          <w:sz w:val="24"/>
        </w:rPr>
        <w:t xml:space="preserve"> </w:t>
      </w:r>
    </w:p>
    <w:p>
      <w:pPr>
        <w:spacing w:line="420" w:lineRule="exact"/>
        <w:ind w:firstLine="420" w:firstLineChars="200"/>
        <w:rPr>
          <w:rFonts w:hint="eastAsia" w:asciiTheme="minorEastAsia" w:hAnsiTheme="minorEastAsia" w:eastAsiaTheme="minorEastAsia" w:cstheme="minorEastAsia"/>
          <w:color w:val="C00000"/>
          <w:szCs w:val="21"/>
          <w:lang w:eastAsia="zh-CN"/>
        </w:rPr>
      </w:pPr>
      <w:r>
        <w:rPr>
          <w:rFonts w:hint="eastAsia" w:asciiTheme="minorEastAsia" w:hAnsiTheme="minorEastAsia" w:eastAsiaTheme="minorEastAsia" w:cstheme="minorEastAsia"/>
          <w:szCs w:val="21"/>
        </w:rPr>
        <w:t>3.2</w:t>
      </w:r>
      <w:r>
        <w:rPr>
          <w:rFonts w:hint="eastAsia" w:asciiTheme="minorEastAsia" w:hAnsiTheme="minorEastAsia" w:eastAsiaTheme="minorEastAsia" w:cstheme="minorEastAsia"/>
          <w:b w:val="0"/>
          <w:bCs w:val="0"/>
          <w:szCs w:val="21"/>
        </w:rPr>
        <w:t>.1投标报价包括：供应商的投标报价应包括设备、劳务、材料、管理、利润、税金、政策性规费等所有费用。 投标价不是唯一的或不是固定不变的响应文件将被作为非响应性投标而予以拒绝</w:t>
      </w:r>
      <w:r>
        <w:rPr>
          <w:rFonts w:hint="eastAsia" w:asciiTheme="minorEastAsia" w:hAnsiTheme="minorEastAsia" w:eastAsiaTheme="minorEastAsia" w:cstheme="minorEastAsia"/>
          <w:b w:val="0"/>
          <w:bCs w:val="0"/>
          <w:szCs w:val="21"/>
          <w:lang w:eastAsia="zh-CN"/>
        </w:rPr>
        <w:t>。</w:t>
      </w:r>
    </w:p>
    <w:p>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79" w:name="_Toc403122510"/>
      <w:bookmarkStart w:id="80" w:name="_Toc279599789"/>
      <w:bookmarkStart w:id="81" w:name="_Toc274249593"/>
      <w:bookmarkStart w:id="82" w:name="_Toc426369498"/>
      <w:r>
        <w:rPr>
          <w:rFonts w:hint="eastAsia" w:asciiTheme="minorEastAsia" w:hAnsiTheme="minorEastAsia" w:eastAsiaTheme="minorEastAsia" w:cstheme="minorEastAsia"/>
          <w:b/>
          <w:bCs/>
          <w:sz w:val="24"/>
        </w:rPr>
        <w:t>3.3 投标有效期</w:t>
      </w:r>
      <w:bookmarkEnd w:id="79"/>
      <w:bookmarkEnd w:id="80"/>
      <w:bookmarkEnd w:id="81"/>
      <w:bookmarkEnd w:id="82"/>
      <w:r>
        <w:rPr>
          <w:rFonts w:hint="eastAsia" w:asciiTheme="minorEastAsia" w:hAnsiTheme="minorEastAsia" w:eastAsiaTheme="minorEastAsia" w:cstheme="minorEastAsia"/>
          <w:b/>
          <w:bCs/>
          <w:sz w:val="24"/>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83" w:name="_Toc279599791"/>
      <w:bookmarkStart w:id="84" w:name="_Toc403122512"/>
      <w:bookmarkStart w:id="85" w:name="_Toc274249595"/>
      <w:bookmarkStart w:id="86" w:name="_Toc426369501"/>
      <w:r>
        <w:rPr>
          <w:rFonts w:hint="eastAsia" w:asciiTheme="minorEastAsia" w:hAnsiTheme="minorEastAsia" w:eastAsiaTheme="minorEastAsia" w:cstheme="minorEastAsia"/>
          <w:b/>
          <w:bCs/>
          <w:sz w:val="24"/>
        </w:rPr>
        <w:t>3.5 资格审查资料</w:t>
      </w:r>
      <w:bookmarkEnd w:id="83"/>
      <w:bookmarkEnd w:id="84"/>
      <w:bookmarkEnd w:id="85"/>
      <w:bookmarkEnd w:id="86"/>
      <w:r>
        <w:rPr>
          <w:rFonts w:hint="eastAsia" w:asciiTheme="minorEastAsia" w:hAnsiTheme="minorEastAsia" w:eastAsiaTheme="minorEastAsia" w:cstheme="minorEastAsia"/>
          <w:b/>
          <w:bCs/>
          <w:sz w:val="24"/>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3.5.2招标文件规定的供应商资格条件。</w:t>
      </w:r>
      <w:r>
        <w:rPr>
          <w:rFonts w:hint="eastAsia" w:asciiTheme="minorEastAsia" w:hAnsiTheme="minorEastAsia" w:eastAsiaTheme="minorEastAsia" w:cstheme="minorEastAsia"/>
          <w:szCs w:val="21"/>
        </w:rPr>
        <w:t xml:space="preserve">  </w:t>
      </w:r>
    </w:p>
    <w:p>
      <w:pPr>
        <w:spacing w:line="500" w:lineRule="exact"/>
        <w:ind w:firstLine="482" w:firstLineChars="200"/>
        <w:rPr>
          <w:rFonts w:asciiTheme="minorEastAsia" w:hAnsiTheme="minorEastAsia" w:eastAsiaTheme="minorEastAsia" w:cstheme="minorEastAsia"/>
          <w:b/>
          <w:bCs/>
          <w:sz w:val="24"/>
        </w:rPr>
      </w:pPr>
      <w:bookmarkStart w:id="87" w:name="_Toc403122513"/>
      <w:bookmarkStart w:id="88" w:name="_Toc426369502"/>
      <w:bookmarkStart w:id="89" w:name="_Toc274249596"/>
      <w:bookmarkStart w:id="90" w:name="_Toc279599792"/>
      <w:r>
        <w:rPr>
          <w:rFonts w:hint="eastAsia" w:asciiTheme="minorEastAsia" w:hAnsiTheme="minorEastAsia" w:eastAsiaTheme="minorEastAsia" w:cstheme="minorEastAsia"/>
          <w:b/>
          <w:bCs/>
          <w:sz w:val="24"/>
        </w:rPr>
        <w:t>3.6 备选投标方案</w:t>
      </w:r>
      <w:bookmarkEnd w:id="87"/>
      <w:bookmarkEnd w:id="88"/>
      <w:bookmarkEnd w:id="89"/>
      <w:bookmarkEnd w:id="90"/>
      <w:r>
        <w:rPr>
          <w:rFonts w:hint="eastAsia" w:asciiTheme="minorEastAsia" w:hAnsiTheme="minorEastAsia" w:eastAsiaTheme="minorEastAsia" w:cstheme="minorEastAsia"/>
          <w:b/>
          <w:bCs/>
          <w:sz w:val="24"/>
        </w:rPr>
        <w:t xml:space="preserve">    </w:t>
      </w:r>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rPr>
      </w:pPr>
      <w:bookmarkStart w:id="91" w:name="_Toc426369503"/>
      <w:bookmarkStart w:id="92" w:name="_Toc279599793"/>
      <w:bookmarkStart w:id="93" w:name="_Toc403122514"/>
      <w:bookmarkStart w:id="94" w:name="_Toc274249597"/>
      <w:r>
        <w:rPr>
          <w:rFonts w:hint="eastAsia" w:asciiTheme="minorEastAsia" w:hAnsiTheme="minorEastAsia" w:eastAsiaTheme="minorEastAsia" w:cstheme="minorEastAsia"/>
          <w:b/>
          <w:bCs/>
          <w:sz w:val="24"/>
        </w:rPr>
        <w:t>3.7 投标文件的编制</w:t>
      </w:r>
      <w:bookmarkEnd w:id="91"/>
      <w:bookmarkEnd w:id="92"/>
      <w:bookmarkEnd w:id="93"/>
      <w:bookmarkEnd w:id="94"/>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3.7.1 投标文件应按招标文件中要求</w:t>
      </w:r>
      <w:r>
        <w:rPr>
          <w:rFonts w:hint="eastAsia" w:ascii="宋体" w:hAnsi="宋体" w:cs="宋体"/>
          <w:color w:val="auto"/>
          <w:kern w:val="0"/>
          <w:szCs w:val="21"/>
        </w:rPr>
        <w:t>使用焦作市公共资源交易系统投标文件制作专用工具软件编制</w:t>
      </w:r>
      <w:r>
        <w:rPr>
          <w:rFonts w:hint="eastAsia" w:asciiTheme="minorEastAsia" w:hAnsiTheme="minorEastAsia" w:eastAsiaTheme="minorEastAsia" w:cstheme="minorEastAsia"/>
          <w:color w:val="auto"/>
          <w:szCs w:val="21"/>
        </w:rPr>
        <w:t xml:space="preserve">。 </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3.7.2  投标文件应当对招标文件有关项目完成期、投标有效期、质量要求、采购</w:t>
      </w:r>
      <w:r>
        <w:rPr>
          <w:rFonts w:hint="eastAsia" w:asciiTheme="minorEastAsia" w:hAnsiTheme="minorEastAsia" w:eastAsiaTheme="minorEastAsia" w:cstheme="minorEastAsia"/>
          <w:color w:val="auto"/>
          <w:szCs w:val="21"/>
          <w:lang w:val="en-US" w:eastAsia="zh-CN"/>
        </w:rPr>
        <w:t>要求</w:t>
      </w:r>
      <w:r>
        <w:rPr>
          <w:rFonts w:hint="eastAsia" w:asciiTheme="minorEastAsia" w:hAnsiTheme="minorEastAsia" w:eastAsiaTheme="minorEastAsia" w:cstheme="minorEastAsia"/>
          <w:color w:val="auto"/>
          <w:szCs w:val="21"/>
        </w:rPr>
        <w:t>及</w:t>
      </w:r>
      <w:r>
        <w:rPr>
          <w:rFonts w:hint="eastAsia" w:asciiTheme="minorEastAsia" w:hAnsiTheme="minorEastAsia" w:eastAsiaTheme="minorEastAsia" w:cstheme="minorEastAsia"/>
          <w:color w:val="auto"/>
          <w:szCs w:val="21"/>
          <w:lang w:val="en-US" w:eastAsia="zh-CN"/>
        </w:rPr>
        <w:t>服务内容</w:t>
      </w:r>
      <w:r>
        <w:rPr>
          <w:rFonts w:hint="eastAsia" w:asciiTheme="minorEastAsia" w:hAnsiTheme="minorEastAsia" w:eastAsiaTheme="minorEastAsia" w:cstheme="minorEastAsia"/>
          <w:color w:val="auto"/>
          <w:szCs w:val="21"/>
        </w:rPr>
        <w:t>、等实质性内容作出响应。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3.7.3 </w:t>
      </w:r>
      <w:r>
        <w:rPr>
          <w:rFonts w:hint="eastAsia" w:ascii="宋体" w:hAnsi="宋体" w:cs="宋体"/>
          <w:color w:val="auto"/>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pStyle w:val="3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rPr>
      </w:pPr>
      <w:bookmarkStart w:id="95" w:name="_Toc403122515"/>
      <w:bookmarkStart w:id="96" w:name="_Toc30100"/>
      <w:bookmarkStart w:id="97" w:name="_Toc426369504"/>
      <w:bookmarkStart w:id="98" w:name="_Toc26998"/>
      <w:r>
        <w:rPr>
          <w:rFonts w:hint="eastAsia" w:asciiTheme="minorEastAsia" w:hAnsiTheme="minorEastAsia" w:eastAsiaTheme="minorEastAsia" w:cstheme="minorEastAsia"/>
          <w:color w:val="auto"/>
          <w:sz w:val="24"/>
          <w:szCs w:val="24"/>
        </w:rPr>
        <w:t>4. 投标</w:t>
      </w:r>
      <w:bookmarkEnd w:id="95"/>
      <w:bookmarkEnd w:id="96"/>
      <w:bookmarkEnd w:id="97"/>
      <w:bookmarkEnd w:id="98"/>
      <w:r>
        <w:rPr>
          <w:rFonts w:hint="eastAsia" w:asciiTheme="minorEastAsia" w:hAnsiTheme="minorEastAsia" w:eastAsiaTheme="minorEastAsia" w:cstheme="minorEastAsia"/>
          <w:color w:val="auto"/>
          <w:sz w:val="24"/>
          <w:szCs w:val="24"/>
        </w:rPr>
        <w:t xml:space="preserve"> </w:t>
      </w:r>
    </w:p>
    <w:p>
      <w:pPr>
        <w:spacing w:line="500" w:lineRule="exact"/>
        <w:ind w:firstLine="482" w:firstLineChars="200"/>
        <w:rPr>
          <w:rFonts w:asciiTheme="minorEastAsia" w:hAnsiTheme="minorEastAsia" w:eastAsiaTheme="minorEastAsia" w:cstheme="minorEastAsia"/>
          <w:b/>
          <w:bCs/>
          <w:sz w:val="24"/>
          <w:highlight w:val="none"/>
        </w:rPr>
      </w:pPr>
      <w:bookmarkStart w:id="99" w:name="_Toc426369505"/>
      <w:bookmarkStart w:id="100" w:name="_Toc279599795"/>
      <w:bookmarkStart w:id="101" w:name="_Toc403122516"/>
      <w:bookmarkStart w:id="102" w:name="_Toc274249599"/>
      <w:r>
        <w:rPr>
          <w:rFonts w:hint="eastAsia" w:asciiTheme="minorEastAsia" w:hAnsiTheme="minorEastAsia" w:eastAsiaTheme="minorEastAsia" w:cstheme="minorEastAsia"/>
          <w:b/>
          <w:bCs/>
          <w:sz w:val="24"/>
          <w:highlight w:val="none"/>
        </w:rPr>
        <w:t>4.1 投标文件的密封和标记</w:t>
      </w:r>
      <w:bookmarkEnd w:id="99"/>
      <w:bookmarkEnd w:id="100"/>
      <w:bookmarkEnd w:id="101"/>
      <w:bookmarkEnd w:id="102"/>
      <w:r>
        <w:rPr>
          <w:rFonts w:hint="eastAsia" w:asciiTheme="minorEastAsia" w:hAnsiTheme="minorEastAsia" w:eastAsiaTheme="minorEastAsia" w:cstheme="minorEastAsia"/>
          <w:b/>
          <w:bCs/>
          <w:sz w:val="24"/>
          <w:highlight w:val="none"/>
        </w:rPr>
        <w:t xml:space="preserve"> </w:t>
      </w:r>
    </w:p>
    <w:p>
      <w:pPr>
        <w:autoSpaceDE w:val="0"/>
        <w:autoSpaceDN w:val="0"/>
        <w:adjustRightInd w:val="0"/>
        <w:spacing w:line="44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宋体" w:hAnsi="宋体" w:cs="宋体"/>
          <w:color w:val="auto"/>
          <w:kern w:val="0"/>
          <w:szCs w:val="21"/>
          <w:highlight w:val="none"/>
        </w:rPr>
        <w:t>4.1.1.</w:t>
      </w:r>
      <w:r>
        <w:rPr>
          <w:rFonts w:hint="eastAsia" w:ascii="宋体" w:hAnsi="宋体" w:cs="宋体"/>
          <w:color w:val="auto"/>
          <w:kern w:val="0"/>
          <w:szCs w:val="21"/>
          <w:highlight w:val="none"/>
          <w:lang w:val="en-US" w:eastAsia="zh-CN"/>
        </w:rPr>
        <w:t>本项目采用</w:t>
      </w:r>
      <w:r>
        <w:rPr>
          <w:rFonts w:hint="eastAsia" w:ascii="宋体" w:hAnsi="宋体" w:cs="宋体"/>
          <w:color w:val="auto"/>
          <w:kern w:val="0"/>
          <w:szCs w:val="21"/>
          <w:highlight w:val="none"/>
          <w:lang w:val="zh-CN"/>
        </w:rPr>
        <w:t>网上上传的电子投标文件</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rPr>
      </w:pPr>
      <w:bookmarkStart w:id="103" w:name="_Toc426369506"/>
      <w:bookmarkStart w:id="104" w:name="_Toc279599796"/>
      <w:bookmarkStart w:id="105" w:name="_Toc403122517"/>
      <w:bookmarkStart w:id="106" w:name="_Toc274249600"/>
      <w:r>
        <w:rPr>
          <w:rFonts w:hint="eastAsia" w:asciiTheme="minorEastAsia" w:hAnsiTheme="minorEastAsia" w:eastAsiaTheme="minorEastAsia" w:cstheme="minorEastAsia"/>
          <w:b/>
          <w:bCs/>
          <w:sz w:val="24"/>
        </w:rPr>
        <w:t>4.2 投标文件的递交</w:t>
      </w:r>
      <w:bookmarkEnd w:id="103"/>
      <w:bookmarkEnd w:id="104"/>
      <w:bookmarkEnd w:id="105"/>
      <w:bookmarkEnd w:id="106"/>
      <w:r>
        <w:rPr>
          <w:rFonts w:hint="eastAsia" w:asciiTheme="minorEastAsia" w:hAnsiTheme="minorEastAsia" w:eastAsiaTheme="minorEastAsia" w:cstheme="minorEastAsia"/>
          <w:b/>
          <w:bCs/>
          <w:sz w:val="24"/>
        </w:rPr>
        <w:t xml:space="preserve"> </w:t>
      </w:r>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en-US" w:eastAsia="zh-CN"/>
        </w:rPr>
        <w:t>4.2.1</w:t>
      </w:r>
      <w:r>
        <w:rPr>
          <w:rFonts w:hint="eastAsia" w:ascii="宋体" w:hAnsi="宋体" w:cs="宋体"/>
          <w:color w:val="auto"/>
          <w:kern w:val="0"/>
          <w:szCs w:val="21"/>
          <w:highlight w:val="none"/>
          <w:lang w:val="zh-CN"/>
        </w:rPr>
        <w:t>所有投标文件必须在本招标文件中规定的投标截止时间之前</w:t>
      </w:r>
      <w:r>
        <w:rPr>
          <w:rFonts w:hint="eastAsia" w:ascii="宋体" w:hAnsi="宋体" w:cs="宋体"/>
          <w:color w:val="auto"/>
          <w:kern w:val="0"/>
          <w:szCs w:val="21"/>
          <w:highlight w:val="none"/>
        </w:rPr>
        <w:t>提前上传，并在开标截止时间前登录不见面开标大厅，按要求</w:t>
      </w:r>
      <w:r>
        <w:rPr>
          <w:rFonts w:hint="eastAsia" w:ascii="宋体" w:hAnsi="宋体"/>
          <w:color w:val="auto"/>
          <w:szCs w:val="21"/>
          <w:highlight w:val="none"/>
        </w:rPr>
        <w:t>在线签到、解密文件等，解密时间为投标截止时后30分钟内</w:t>
      </w:r>
      <w:r>
        <w:rPr>
          <w:rFonts w:hint="eastAsia" w:ascii="宋体" w:hAnsi="宋体"/>
          <w:color w:val="auto"/>
          <w:szCs w:val="21"/>
          <w:highlight w:val="none"/>
          <w:lang w:eastAsia="zh-CN"/>
        </w:rPr>
        <w:t>，</w:t>
      </w:r>
      <w:r>
        <w:rPr>
          <w:rFonts w:hint="eastAsia" w:ascii="宋体" w:hAnsi="宋体" w:cs="宋体"/>
          <w:color w:val="auto"/>
          <w:kern w:val="0"/>
          <w:szCs w:val="21"/>
          <w:highlight w:val="none"/>
        </w:rPr>
        <w:t>不能按时上传、签到、解密者视为自动放弃投标。</w:t>
      </w:r>
    </w:p>
    <w:p>
      <w:pPr>
        <w:autoSpaceDE w:val="0"/>
        <w:autoSpaceDN w:val="0"/>
        <w:adjustRightInd w:val="0"/>
        <w:spacing w:line="44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4.2.</w:t>
      </w:r>
      <w:r>
        <w:rPr>
          <w:rFonts w:hint="eastAsia" w:ascii="宋体" w:hAnsi="宋体" w:cs="宋体"/>
          <w:color w:val="auto"/>
          <w:kern w:val="0"/>
          <w:szCs w:val="21"/>
          <w:highlight w:val="none"/>
          <w:lang w:val="zh-CN"/>
        </w:rPr>
        <w:t>2.采购人拒绝接收在投标文件递交截止时间后上传的投标文件。</w:t>
      </w:r>
      <w:bookmarkStart w:id="107" w:name="_Hlt26954862"/>
      <w:bookmarkEnd w:id="107"/>
      <w:bookmarkStart w:id="108" w:name="_Hlt26954754"/>
      <w:bookmarkEnd w:id="108"/>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500" w:lineRule="exact"/>
        <w:ind w:firstLine="482" w:firstLineChars="200"/>
        <w:rPr>
          <w:rFonts w:asciiTheme="minorEastAsia" w:hAnsiTheme="minorEastAsia" w:eastAsiaTheme="minorEastAsia" w:cstheme="minorEastAsia"/>
          <w:b/>
          <w:bCs/>
          <w:sz w:val="24"/>
          <w:highlight w:val="yellow"/>
        </w:rPr>
      </w:pPr>
      <w:bookmarkStart w:id="109" w:name="_Toc274249601"/>
      <w:bookmarkStart w:id="110" w:name="_Toc403122518"/>
      <w:bookmarkStart w:id="111" w:name="_Toc279599797"/>
      <w:bookmarkStart w:id="112" w:name="_Toc426369507"/>
      <w:r>
        <w:rPr>
          <w:rFonts w:hint="eastAsia" w:asciiTheme="minorEastAsia" w:hAnsiTheme="minorEastAsia" w:eastAsiaTheme="minorEastAsia" w:cstheme="minorEastAsia"/>
          <w:b/>
          <w:bCs/>
          <w:sz w:val="24"/>
        </w:rPr>
        <w:t xml:space="preserve">4.3 </w:t>
      </w:r>
      <w:r>
        <w:rPr>
          <w:rFonts w:hint="eastAsia" w:asciiTheme="minorEastAsia" w:hAnsiTheme="minorEastAsia" w:eastAsiaTheme="minorEastAsia" w:cstheme="minorEastAsia"/>
          <w:b/>
          <w:bCs/>
          <w:sz w:val="24"/>
          <w:highlight w:val="none"/>
        </w:rPr>
        <w:t>投标文件的修改与撤回</w:t>
      </w:r>
      <w:bookmarkEnd w:id="109"/>
      <w:bookmarkEnd w:id="110"/>
      <w:bookmarkEnd w:id="111"/>
      <w:bookmarkEnd w:id="112"/>
      <w:r>
        <w:rPr>
          <w:rFonts w:hint="eastAsia" w:asciiTheme="minorEastAsia" w:hAnsiTheme="minorEastAsia" w:eastAsiaTheme="minorEastAsia" w:cstheme="minorEastAsia"/>
          <w:b/>
          <w:bCs/>
          <w:sz w:val="24"/>
          <w:highlight w:val="none"/>
        </w:rPr>
        <w:t xml:space="preserve"> </w:t>
      </w:r>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4.3.1  在本章第 2.2.2 项规定的投标截止时间前，供应商可以修改或撤回已递交的投标文件</w:t>
      </w:r>
      <w:r>
        <w:rPr>
          <w:rFonts w:hint="eastAsia" w:asciiTheme="minorEastAsia" w:hAnsiTheme="minorEastAsia" w:eastAsiaTheme="minorEastAsia" w:cstheme="minorEastAsia"/>
          <w:szCs w:val="21"/>
          <w:highlight w:val="none"/>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36"/>
        <w:spacing w:before="120" w:after="120" w:line="500" w:lineRule="exact"/>
        <w:ind w:right="-1029" w:rightChars="-490" w:firstLine="482" w:firstLineChars="200"/>
        <w:jc w:val="left"/>
        <w:rPr>
          <w:rFonts w:hint="eastAsia" w:asciiTheme="minorEastAsia" w:hAnsiTheme="minorEastAsia" w:eastAsiaTheme="minorEastAsia" w:cstheme="minorEastAsia"/>
          <w:sz w:val="24"/>
          <w:szCs w:val="24"/>
        </w:rPr>
      </w:pPr>
      <w:bookmarkStart w:id="113" w:name="_Toc18170"/>
      <w:bookmarkStart w:id="114" w:name="_Toc32449"/>
      <w:bookmarkStart w:id="115" w:name="_Toc426369508"/>
      <w:bookmarkStart w:id="116" w:name="_Toc403122519"/>
      <w:r>
        <w:rPr>
          <w:rFonts w:hint="eastAsia" w:asciiTheme="minorEastAsia" w:hAnsiTheme="minorEastAsia" w:eastAsiaTheme="minorEastAsia" w:cstheme="minorEastAsia"/>
          <w:sz w:val="24"/>
          <w:szCs w:val="24"/>
        </w:rPr>
        <w:t>5. 开标</w:t>
      </w:r>
      <w:bookmarkEnd w:id="113"/>
      <w:bookmarkEnd w:id="114"/>
      <w:bookmarkEnd w:id="115"/>
      <w:bookmarkEnd w:id="116"/>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 </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所有投标文件必须在本招标文件中规定的投标截止时间之前提前上传投标文件，并在开标截止时间前登录不见面开标大厅进行签到，按要求解密投标文件，不能按时上传、签到、解密者视为自动放弃投标。</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5.1.2</w:t>
      </w:r>
      <w:r>
        <w:rPr>
          <w:rFonts w:hint="eastAsia" w:asciiTheme="minorEastAsia" w:hAnsiTheme="minorEastAsia" w:eastAsiaTheme="minorEastAsia" w:cstheme="minorEastAsia"/>
          <w:szCs w:val="21"/>
        </w:rPr>
        <w:t xml:space="preserve">投标人不足3家的，不得开标。  </w:t>
      </w:r>
    </w:p>
    <w:p>
      <w:pPr>
        <w:spacing w:line="500" w:lineRule="exact"/>
        <w:ind w:firstLine="482" w:firstLineChars="200"/>
        <w:rPr>
          <w:rFonts w:asciiTheme="minorEastAsia" w:hAnsiTheme="minorEastAsia" w:eastAsiaTheme="minorEastAsia" w:cstheme="minorEastAsia"/>
          <w:b/>
          <w:bCs/>
          <w:sz w:val="24"/>
        </w:rPr>
      </w:pPr>
      <w:bookmarkStart w:id="117" w:name="_Toc403122520"/>
      <w:bookmarkStart w:id="118" w:name="_Toc274249603"/>
      <w:bookmarkStart w:id="119" w:name="_Toc426369509"/>
      <w:bookmarkStart w:id="120" w:name="_Toc279599799"/>
      <w:r>
        <w:rPr>
          <w:rFonts w:hint="eastAsia" w:asciiTheme="minorEastAsia" w:hAnsiTheme="minorEastAsia" w:eastAsiaTheme="minorEastAsia" w:cstheme="minorEastAsia"/>
          <w:b/>
          <w:bCs/>
          <w:sz w:val="24"/>
        </w:rPr>
        <w:t>5.</w:t>
      </w:r>
      <w:r>
        <w:rPr>
          <w:rFonts w:hint="eastAsia" w:asciiTheme="minorEastAsia" w:hAnsiTheme="minorEastAsia" w:eastAsiaTheme="minorEastAsia" w:cstheme="minorEastAsia"/>
          <w:b/>
          <w:bCs/>
          <w:sz w:val="24"/>
          <w:lang w:val="en-US" w:eastAsia="zh-CN"/>
        </w:rPr>
        <w:t>2</w:t>
      </w:r>
      <w:r>
        <w:rPr>
          <w:rFonts w:hint="eastAsia" w:asciiTheme="minorEastAsia" w:hAnsiTheme="minorEastAsia" w:eastAsiaTheme="minorEastAsia" w:cstheme="minorEastAsia"/>
          <w:b/>
          <w:bCs/>
          <w:sz w:val="24"/>
        </w:rPr>
        <w:t xml:space="preserve"> 开标时间和地点</w:t>
      </w:r>
      <w:bookmarkEnd w:id="117"/>
      <w:bookmarkEnd w:id="118"/>
      <w:bookmarkEnd w:id="119"/>
      <w:bookmarkEnd w:id="120"/>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21" w:name="_Toc279599800"/>
      <w:bookmarkStart w:id="122" w:name="_Toc274249604"/>
      <w:bookmarkStart w:id="123" w:name="_Toc403122521"/>
      <w:bookmarkStart w:id="124" w:name="_Toc426369510"/>
      <w:r>
        <w:rPr>
          <w:rFonts w:hint="eastAsia" w:asciiTheme="minorEastAsia" w:hAnsiTheme="minorEastAsia" w:eastAsiaTheme="minorEastAsia" w:cstheme="minorEastAsia"/>
          <w:b/>
          <w:bCs/>
          <w:sz w:val="24"/>
        </w:rPr>
        <w:t>5.</w:t>
      </w:r>
      <w:r>
        <w:rPr>
          <w:rFonts w:hint="eastAsia" w:asciiTheme="minorEastAsia" w:hAnsiTheme="minorEastAsia" w:eastAsiaTheme="minorEastAsia" w:cstheme="minorEastAsia"/>
          <w:b/>
          <w:bCs/>
          <w:sz w:val="24"/>
          <w:lang w:val="en-US" w:eastAsia="zh-CN"/>
        </w:rPr>
        <w:t>3</w:t>
      </w:r>
      <w:r>
        <w:rPr>
          <w:rFonts w:hint="eastAsia" w:asciiTheme="minorEastAsia" w:hAnsiTheme="minorEastAsia" w:eastAsiaTheme="minorEastAsia" w:cstheme="minorEastAsia"/>
          <w:b/>
          <w:bCs/>
          <w:sz w:val="24"/>
        </w:rPr>
        <w:t>开标程序</w:t>
      </w:r>
      <w:bookmarkEnd w:id="121"/>
      <w:bookmarkEnd w:id="122"/>
      <w:bookmarkEnd w:id="123"/>
      <w:bookmarkEnd w:id="124"/>
      <w:r>
        <w:rPr>
          <w:rFonts w:hint="eastAsia" w:asciiTheme="minorEastAsia" w:hAnsiTheme="minorEastAsia" w:eastAsiaTheme="minorEastAsia" w:cstheme="minorEastAsia"/>
          <w:b/>
          <w:bCs/>
          <w:sz w:val="24"/>
        </w:rPr>
        <w:t xml:space="preserve"> </w:t>
      </w:r>
    </w:p>
    <w:p>
      <w:pPr>
        <w:spacing w:line="400" w:lineRule="exact"/>
        <w:ind w:firstLine="420" w:firstLineChars="200"/>
        <w:rPr>
          <w:rFonts w:hint="eastAsia" w:asciiTheme="minorEastAsia" w:hAnsiTheme="minorEastAsia" w:eastAsiaTheme="minorEastAsia" w:cstheme="minorEastAsia"/>
          <w:szCs w:val="21"/>
          <w:lang w:val="zh-CN"/>
        </w:rPr>
      </w:pPr>
      <w:bookmarkStart w:id="125" w:name="_Toc426369511"/>
      <w:r>
        <w:rPr>
          <w:rFonts w:hint="eastAsia" w:asciiTheme="minorEastAsia" w:hAnsiTheme="minorEastAsia" w:eastAsiaTheme="minorEastAsia" w:cstheme="minorEastAsia"/>
          <w:szCs w:val="21"/>
          <w:lang w:val="en-US" w:eastAsia="zh-CN"/>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lang w:val="en-US" w:eastAsia="zh-CN"/>
        </w:rPr>
        <w:t>项目</w:t>
      </w:r>
      <w:r>
        <w:rPr>
          <w:rFonts w:hint="eastAsia" w:asciiTheme="minorEastAsia" w:hAnsiTheme="minorEastAsia" w:eastAsiaTheme="minorEastAsia" w:cstheme="minor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（2）宣布开标纪律；</w:t>
      </w:r>
    </w:p>
    <w:p>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(3）宣布开标人、唱标人、记录人、监标人等有关人员姓名；</w:t>
      </w:r>
    </w:p>
    <w:p>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(4）电子投标文件解密；</w:t>
      </w:r>
    </w:p>
    <w:p>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（5）宣布投标文件开标顺序，电子唱标并记录在案；</w:t>
      </w:r>
    </w:p>
    <w:p>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（6）投标人代表</w:t>
      </w:r>
      <w:r>
        <w:rPr>
          <w:rFonts w:hint="eastAsia" w:asciiTheme="minorEastAsia" w:hAnsiTheme="minorEastAsia" w:eastAsiaTheme="minorEastAsia" w:cstheme="minorEastAsia"/>
          <w:szCs w:val="21"/>
          <w:highlight w:val="none"/>
          <w:lang w:val="zh-CN"/>
        </w:rPr>
        <w:t>、</w:t>
      </w:r>
      <w:r>
        <w:rPr>
          <w:rFonts w:hint="eastAsia" w:asciiTheme="minorEastAsia" w:hAnsiTheme="minorEastAsia" w:eastAsiaTheme="minorEastAsia" w:cstheme="minorEastAsia"/>
          <w:szCs w:val="21"/>
          <w:highlight w:val="none"/>
          <w:lang w:val="en-US" w:eastAsia="zh-CN"/>
        </w:rPr>
        <w:t>采购</w:t>
      </w:r>
      <w:r>
        <w:rPr>
          <w:rFonts w:hint="eastAsia" w:asciiTheme="minorEastAsia" w:hAnsiTheme="minorEastAsia" w:eastAsiaTheme="minorEastAsia" w:cstheme="minorEastAsia"/>
          <w:szCs w:val="21"/>
          <w:highlight w:val="none"/>
          <w:lang w:val="zh-CN"/>
        </w:rPr>
        <w:t>人、</w:t>
      </w:r>
      <w:r>
        <w:rPr>
          <w:rFonts w:hint="eastAsia" w:asciiTheme="minorEastAsia" w:hAnsiTheme="minorEastAsia" w:eastAsiaTheme="minorEastAsia" w:cstheme="minorEastAsia"/>
          <w:szCs w:val="21"/>
          <w:lang w:val="zh-CN"/>
        </w:rPr>
        <w:t>监标人等有关人员在开标记录上签字确认；</w:t>
      </w:r>
    </w:p>
    <w:p>
      <w:pPr>
        <w:spacing w:line="400" w:lineRule="exact"/>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(7）开标结束。</w:t>
      </w:r>
    </w:p>
    <w:p>
      <w:pPr>
        <w:spacing w:line="500" w:lineRule="exact"/>
        <w:ind w:firstLine="482" w:firstLineChars="200"/>
        <w:rPr>
          <w:rFonts w:hint="eastAsia" w:asciiTheme="minorEastAsia" w:hAnsiTheme="minorEastAsia" w:eastAsiaTheme="minorEastAsia" w:cstheme="minorEastAsia"/>
          <w:b/>
          <w:bCs/>
          <w:color w:val="auto"/>
          <w:sz w:val="24"/>
          <w:lang w:val="zh-CN"/>
        </w:rPr>
      </w:pPr>
      <w:r>
        <w:rPr>
          <w:rFonts w:hint="eastAsia" w:asciiTheme="minorEastAsia" w:hAnsiTheme="minorEastAsia" w:eastAsiaTheme="minorEastAsia" w:cstheme="minorEastAsia"/>
          <w:b/>
          <w:bCs/>
          <w:color w:val="auto"/>
          <w:sz w:val="24"/>
          <w:lang w:val="en-US" w:eastAsia="zh-CN"/>
        </w:rPr>
        <w:t>5.3</w:t>
      </w:r>
      <w:r>
        <w:rPr>
          <w:rFonts w:hint="eastAsia" w:asciiTheme="minorEastAsia" w:hAnsiTheme="minorEastAsia" w:eastAsiaTheme="minorEastAsia" w:cstheme="minorEastAsia"/>
          <w:b/>
          <w:bCs/>
          <w:color w:val="auto"/>
          <w:sz w:val="24"/>
          <w:lang w:val="zh-CN"/>
        </w:rPr>
        <w:t>.2开标时出现下列情况的，采购人将拒绝其投标文件。</w:t>
      </w:r>
    </w:p>
    <w:p>
      <w:pPr>
        <w:spacing w:line="400" w:lineRule="exact"/>
        <w:ind w:firstLine="420" w:firstLineChars="200"/>
        <w:rPr>
          <w:rFonts w:hint="eastAsia" w:asciiTheme="minorEastAsia" w:hAnsiTheme="minorEastAsia" w:eastAsiaTheme="minorEastAsia" w:cstheme="minorEastAsia"/>
          <w:szCs w:val="21"/>
          <w:lang w:val="zh-CN" w:eastAsia="zh-CN"/>
        </w:rPr>
      </w:pPr>
      <w:r>
        <w:rPr>
          <w:rFonts w:hint="eastAsia" w:asciiTheme="minorEastAsia" w:hAnsiTheme="minorEastAsia" w:eastAsiaTheme="minorEastAsia" w:cstheme="minorEastAsia"/>
          <w:szCs w:val="21"/>
          <w:lang w:val="zh-CN" w:eastAsia="zh-CN"/>
        </w:rPr>
        <w:t>（1）经检查数字证书无效的投标文件；</w:t>
      </w:r>
    </w:p>
    <w:p>
      <w:pPr>
        <w:spacing w:line="400" w:lineRule="exact"/>
        <w:ind w:firstLine="420" w:firstLineChars="200"/>
        <w:rPr>
          <w:rFonts w:hint="eastAsia" w:asciiTheme="minorEastAsia" w:hAnsiTheme="minorEastAsia" w:eastAsiaTheme="minorEastAsia" w:cstheme="minorEastAsia"/>
          <w:szCs w:val="21"/>
          <w:lang w:val="zh-CN" w:eastAsia="zh-CN"/>
        </w:rPr>
      </w:pPr>
      <w:r>
        <w:rPr>
          <w:rFonts w:hint="eastAsia" w:asciiTheme="minorEastAsia" w:hAnsiTheme="minorEastAsia" w:eastAsiaTheme="minorEastAsia" w:cstheme="minorEastAsia"/>
          <w:szCs w:val="21"/>
          <w:lang w:val="zh-CN" w:eastAsia="zh-CN"/>
        </w:rPr>
        <w:t>（2）投标人未按</w:t>
      </w:r>
      <w:r>
        <w:rPr>
          <w:rFonts w:hint="eastAsia" w:asciiTheme="minorEastAsia" w:hAnsiTheme="minorEastAsia" w:eastAsiaTheme="minorEastAsia" w:cstheme="minorEastAsia"/>
          <w:szCs w:val="21"/>
          <w:highlight w:val="none"/>
          <w:lang w:val="zh-CN" w:eastAsia="zh-CN"/>
        </w:rPr>
        <w:t>投标人须知前附表规定的</w:t>
      </w:r>
      <w:r>
        <w:rPr>
          <w:rFonts w:hint="eastAsia" w:asciiTheme="minorEastAsia" w:hAnsiTheme="minorEastAsia" w:eastAsiaTheme="minorEastAsia" w:cstheme="minorEastAsia"/>
          <w:szCs w:val="21"/>
          <w:lang w:val="zh-CN" w:eastAsia="zh-CN"/>
        </w:rPr>
        <w:t>时间内解密投标文件的；</w:t>
      </w:r>
    </w:p>
    <w:p>
      <w:pPr>
        <w:spacing w:line="400" w:lineRule="exact"/>
        <w:ind w:firstLine="420" w:firstLineChars="200"/>
        <w:rPr>
          <w:rFonts w:hint="eastAsia" w:asciiTheme="minorEastAsia" w:hAnsiTheme="minorEastAsia" w:eastAsiaTheme="minorEastAsia" w:cstheme="minorEastAsia"/>
          <w:szCs w:val="21"/>
          <w:lang w:val="zh-CN" w:eastAsia="zh-CN"/>
        </w:rPr>
      </w:pPr>
      <w:r>
        <w:rPr>
          <w:rFonts w:hint="eastAsia" w:asciiTheme="minorEastAsia" w:hAnsiTheme="minorEastAsia" w:eastAsiaTheme="minorEastAsia" w:cstheme="minorEastAsia"/>
          <w:szCs w:val="21"/>
          <w:lang w:val="en-US" w:eastAsia="zh-CN"/>
        </w:rPr>
        <w:t xml:space="preserve"> </w:t>
      </w:r>
    </w:p>
    <w:p>
      <w:pPr>
        <w:spacing w:line="400" w:lineRule="exact"/>
        <w:ind w:firstLine="422" w:firstLineChars="200"/>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5.4开标异议</w:t>
      </w:r>
      <w:bookmarkEnd w:id="125"/>
    </w:p>
    <w:p>
      <w:pPr>
        <w:spacing w:line="400" w:lineRule="exact"/>
        <w:ind w:firstLine="420" w:firstLineChars="200"/>
        <w:rPr>
          <w:rFonts w:hint="eastAsia" w:asciiTheme="minorEastAsia" w:hAnsiTheme="minorEastAsia" w:eastAsiaTheme="minorEastAsia" w:cstheme="minorEastAsia"/>
          <w:szCs w:val="21"/>
          <w:lang w:val="en-US" w:eastAsia="zh-CN"/>
        </w:rPr>
      </w:pPr>
      <w:bookmarkStart w:id="126" w:name="_Toc21662"/>
      <w:bookmarkStart w:id="127" w:name="_Toc426369512"/>
      <w:bookmarkStart w:id="128" w:name="_Toc12881"/>
      <w:bookmarkStart w:id="129" w:name="_Toc403122522"/>
      <w:r>
        <w:rPr>
          <w:rFonts w:hint="eastAsia" w:asciiTheme="minorEastAsia" w:hAnsiTheme="minorEastAsia" w:eastAsiaTheme="minorEastAsia" w:cstheme="minorEastAsia"/>
          <w:szCs w:val="21"/>
          <w:lang w:val="en-US" w:eastAsia="zh-CN"/>
        </w:rPr>
        <w:t>投标人对开标有异议的，应当在开标现场提出，采购人当场作出答复，并制作记录。</w:t>
      </w:r>
    </w:p>
    <w:p>
      <w:pPr>
        <w:spacing w:line="400" w:lineRule="exact"/>
        <w:ind w:firstLine="422" w:firstLineChars="200"/>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5.</w:t>
      </w:r>
      <w:bookmarkStart w:id="130" w:name="_Toc9927"/>
      <w:bookmarkStart w:id="131" w:name="_Toc13445"/>
      <w:r>
        <w:rPr>
          <w:rFonts w:hint="eastAsia" w:asciiTheme="minorEastAsia" w:hAnsiTheme="minorEastAsia" w:eastAsiaTheme="minorEastAsia" w:cstheme="minorEastAsia"/>
          <w:b/>
          <w:bCs/>
          <w:szCs w:val="21"/>
          <w:lang w:val="en-US" w:eastAsia="zh-CN"/>
        </w:rPr>
        <w:t>5.资格审查工作</w:t>
      </w:r>
      <w:bookmarkEnd w:id="130"/>
      <w:bookmarkEnd w:id="131"/>
    </w:p>
    <w:p>
      <w:pPr>
        <w:spacing w:line="400" w:lineRule="exact"/>
        <w:ind w:firstLine="420" w:firstLineChars="200"/>
        <w:rPr>
          <w:rFonts w:hint="eastAsia" w:asciiTheme="minorEastAsia" w:hAnsiTheme="minorEastAsia" w:eastAsiaTheme="minorEastAsia" w:cstheme="minorEastAsia"/>
          <w:szCs w:val="21"/>
          <w:lang w:val="en-US" w:eastAsia="zh-CN"/>
        </w:rPr>
      </w:pPr>
      <w:bookmarkStart w:id="132" w:name="_Toc18803"/>
      <w:bookmarkStart w:id="133" w:name="_Toc15919"/>
      <w:bookmarkStart w:id="134" w:name="_Toc25448"/>
      <w:bookmarkStart w:id="135" w:name="_Toc25275"/>
      <w:bookmarkStart w:id="136" w:name="_Toc18888"/>
      <w:bookmarkStart w:id="137" w:name="_Toc22488"/>
      <w:bookmarkStart w:id="138" w:name="_Toc18806"/>
      <w:r>
        <w:rPr>
          <w:rFonts w:hint="eastAsia" w:asciiTheme="minorEastAsia" w:hAnsiTheme="minorEastAsia" w:eastAsiaTheme="minorEastAsia" w:cstheme="minorEastAsia"/>
          <w:szCs w:val="21"/>
          <w:lang w:val="zh-CN" w:eastAsia="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32"/>
      <w:bookmarkEnd w:id="133"/>
      <w:bookmarkEnd w:id="134"/>
      <w:bookmarkEnd w:id="135"/>
      <w:bookmarkEnd w:id="136"/>
      <w:bookmarkEnd w:id="137"/>
      <w:bookmarkEnd w:id="138"/>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评标</w:t>
      </w:r>
      <w:bookmarkEnd w:id="126"/>
      <w:bookmarkEnd w:id="127"/>
      <w:bookmarkEnd w:id="128"/>
      <w:bookmarkEnd w:id="129"/>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39" w:name="_Toc403122523"/>
      <w:bookmarkStart w:id="140" w:name="_Toc279599802"/>
      <w:bookmarkStart w:id="141" w:name="_Toc426369513"/>
      <w:bookmarkStart w:id="142" w:name="_Toc274249606"/>
      <w:r>
        <w:rPr>
          <w:rFonts w:hint="eastAsia" w:asciiTheme="minorEastAsia" w:hAnsiTheme="minorEastAsia" w:eastAsiaTheme="minorEastAsia" w:cstheme="minorEastAsia"/>
          <w:b/>
          <w:bCs/>
          <w:sz w:val="24"/>
        </w:rPr>
        <w:t>6.1 评标委员会</w:t>
      </w:r>
      <w:bookmarkEnd w:id="139"/>
      <w:bookmarkEnd w:id="140"/>
      <w:bookmarkEnd w:id="141"/>
      <w:bookmarkEnd w:id="142"/>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43" w:name="_Toc403122524"/>
      <w:bookmarkStart w:id="144" w:name="_Toc426369514"/>
      <w:bookmarkStart w:id="145" w:name="_Toc274249607"/>
      <w:bookmarkStart w:id="146" w:name="_Toc279599803"/>
      <w:r>
        <w:rPr>
          <w:rFonts w:hint="eastAsia" w:asciiTheme="minorEastAsia" w:hAnsiTheme="minorEastAsia" w:eastAsiaTheme="minorEastAsia" w:cstheme="minorEastAsia"/>
          <w:b/>
          <w:bCs/>
          <w:sz w:val="24"/>
        </w:rPr>
        <w:t>6.2 评标原则</w:t>
      </w:r>
      <w:bookmarkEnd w:id="143"/>
      <w:bookmarkEnd w:id="144"/>
      <w:bookmarkEnd w:id="145"/>
      <w:bookmarkEnd w:id="146"/>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500" w:lineRule="exact"/>
        <w:ind w:firstLine="482" w:firstLineChars="200"/>
        <w:rPr>
          <w:rFonts w:asciiTheme="minorEastAsia" w:hAnsiTheme="minorEastAsia" w:eastAsiaTheme="minorEastAsia" w:cstheme="minorEastAsia"/>
          <w:b/>
          <w:bCs/>
          <w:sz w:val="24"/>
        </w:rPr>
      </w:pPr>
      <w:bookmarkStart w:id="147" w:name="_Toc426369515"/>
      <w:bookmarkStart w:id="148" w:name="_Toc279599804"/>
      <w:bookmarkStart w:id="149" w:name="_Toc274249608"/>
      <w:bookmarkStart w:id="150" w:name="_Toc403122525"/>
      <w:r>
        <w:rPr>
          <w:rFonts w:hint="eastAsia" w:asciiTheme="minorEastAsia" w:hAnsiTheme="minorEastAsia" w:eastAsiaTheme="minorEastAsia" w:cstheme="minorEastAsia"/>
          <w:b/>
          <w:bCs/>
          <w:sz w:val="24"/>
        </w:rPr>
        <w:t>6.3 评标</w:t>
      </w:r>
      <w:bookmarkEnd w:id="147"/>
      <w:bookmarkEnd w:id="148"/>
      <w:bookmarkEnd w:id="149"/>
      <w:bookmarkEnd w:id="150"/>
      <w:r>
        <w:rPr>
          <w:rFonts w:hint="eastAsia" w:asciiTheme="minorEastAsia" w:hAnsiTheme="minorEastAsia" w:eastAsiaTheme="minorEastAsia" w:cstheme="minorEastAsia"/>
          <w:b/>
          <w:bCs/>
          <w:sz w:val="24"/>
        </w:rPr>
        <w:t xml:space="preserve"> </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.3.1评标委员会应当按照招标文件中规定的评标方法和标准，对符合性审查合格的投标文件进行商务和技术评估，综合比较与评价。招标文件没有规定的评标方法、评审因素和标准，不作为评标依据。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.3.2评标时，评标委员会各成员应当独立对每个投标人的投标文件进行评价，并汇总每个投标人的得分。</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评标完成后，评标委员会应当向采购人提交书面评标报告和中标候选人名单。评标委员会推荐中标候选人的人数见投标人须知前附表。</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.3.3 评标委员会负责具体评标事务，并独立履行下列职责：</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）审查、评价投标文件是否符合招标文件的实质性要求；</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）要求投标人对投标文件有关事项作出澄清或者说明；</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）对投标文件进行比较和评价；</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）确定中标候选人名单；</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lang w:val="en-US" w:eastAsia="zh-CN"/>
        </w:rPr>
        <w:t>6</w:t>
      </w:r>
      <w:r>
        <w:rPr>
          <w:rFonts w:hint="eastAsia" w:ascii="宋体" w:hAnsi="宋体" w:cs="宋体"/>
          <w:b/>
          <w:bCs/>
          <w:spacing w:val="1"/>
          <w:kern w:val="0"/>
          <w:szCs w:val="21"/>
        </w:rPr>
        <w:t>.4  废标</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）符合专业条件的投标人或者对招标文件作实质响应的投标人不足三家的；</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）出现影响采购公正的违法、违规行为的；</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）投标人的报价均超过了采购预算，采购人不能支付的；</w:t>
      </w:r>
    </w:p>
    <w:p>
      <w:pPr>
        <w:spacing w:line="400" w:lineRule="exact"/>
        <w:ind w:firstLine="420" w:firstLineChars="200"/>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）因重大变故，采购任务取消的。废标后，采购人应当将废标理由通知所有投标人。</w:t>
      </w:r>
    </w:p>
    <w:p>
      <w:pPr>
        <w:pStyle w:val="36"/>
        <w:spacing w:before="120" w:after="120" w:line="500" w:lineRule="exact"/>
        <w:ind w:right="-1029" w:rightChars="-490" w:firstLine="482" w:firstLineChars="200"/>
        <w:jc w:val="both"/>
      </w:pPr>
      <w:bookmarkStart w:id="151" w:name="_Toc26569"/>
      <w:bookmarkStart w:id="152" w:name="_Toc426369516"/>
      <w:bookmarkStart w:id="153" w:name="_Toc17811"/>
      <w:bookmarkStart w:id="154" w:name="_Toc403122526"/>
      <w:r>
        <w:rPr>
          <w:rFonts w:hint="eastAsia" w:asciiTheme="minorEastAsia" w:hAnsiTheme="minorEastAsia" w:eastAsiaTheme="minorEastAsia" w:cstheme="minorEastAsia"/>
          <w:sz w:val="24"/>
          <w:szCs w:val="24"/>
        </w:rPr>
        <w:t>7. 合同授予</w:t>
      </w:r>
      <w:bookmarkEnd w:id="151"/>
      <w:bookmarkEnd w:id="152"/>
      <w:bookmarkEnd w:id="153"/>
      <w:bookmarkEnd w:id="154"/>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55" w:name="_Toc426369517"/>
      <w:bookmarkStart w:id="156" w:name="_Toc403122527"/>
      <w:bookmarkStart w:id="157" w:name="_Toc279599806"/>
      <w:bookmarkStart w:id="158" w:name="_Toc274249610"/>
      <w:r>
        <w:rPr>
          <w:rFonts w:hint="eastAsia" w:asciiTheme="minorEastAsia" w:hAnsiTheme="minorEastAsia" w:eastAsiaTheme="minorEastAsia" w:cstheme="minorEastAsia"/>
          <w:b/>
          <w:bCs/>
          <w:sz w:val="24"/>
        </w:rPr>
        <w:t>7.1 定标方式</w:t>
      </w:r>
      <w:bookmarkEnd w:id="155"/>
      <w:bookmarkEnd w:id="156"/>
      <w:bookmarkEnd w:id="157"/>
      <w:bookmarkEnd w:id="158"/>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highlight w:val="none"/>
        </w:rPr>
        <w:t>1.1采购人依据评标委员会推荐的中标候选人确定中标人，评标委员会推荐中标人候选人的人数见供应商须知前附表。</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sz w:val="24"/>
        </w:rPr>
      </w:pPr>
      <w:bookmarkStart w:id="159" w:name="_Toc426369518"/>
      <w:bookmarkStart w:id="160" w:name="_Toc274249611"/>
      <w:bookmarkStart w:id="161" w:name="_Toc279599807"/>
      <w:bookmarkStart w:id="162" w:name="_Toc403122528"/>
      <w:r>
        <w:rPr>
          <w:rFonts w:hint="eastAsia" w:asciiTheme="minorEastAsia" w:hAnsiTheme="minorEastAsia" w:eastAsiaTheme="minorEastAsia" w:cstheme="minorEastAsia"/>
          <w:b/>
          <w:bCs/>
          <w:sz w:val="24"/>
        </w:rPr>
        <w:t>7.2 中标通知</w:t>
      </w:r>
      <w:bookmarkEnd w:id="159"/>
      <w:bookmarkEnd w:id="160"/>
      <w:bookmarkEnd w:id="161"/>
      <w:bookmarkEnd w:id="162"/>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hint="eastAsia" w:asciiTheme="minorEastAsia" w:hAnsiTheme="minorEastAsia" w:eastAsiaTheme="minorEastAsia" w:cstheme="minorEastAsia"/>
          <w:b/>
          <w:bCs/>
          <w:sz w:val="24"/>
        </w:rPr>
      </w:pPr>
      <w:bookmarkStart w:id="163" w:name="_Toc274249612"/>
      <w:bookmarkStart w:id="164" w:name="_Toc279599808"/>
      <w:bookmarkStart w:id="165" w:name="_Toc311550376"/>
      <w:bookmarkStart w:id="166" w:name="_Toc426369519"/>
      <w:bookmarkStart w:id="167" w:name="_Toc403122529"/>
      <w:r>
        <w:rPr>
          <w:rFonts w:hint="eastAsia" w:asciiTheme="minorEastAsia" w:hAnsiTheme="minorEastAsia" w:eastAsiaTheme="minorEastAsia" w:cstheme="minorEastAsia"/>
          <w:b/>
          <w:bCs/>
          <w:sz w:val="24"/>
        </w:rPr>
        <w:t>7.3履约</w:t>
      </w:r>
      <w:bookmarkEnd w:id="163"/>
      <w:bookmarkEnd w:id="164"/>
      <w:bookmarkEnd w:id="165"/>
      <w:r>
        <w:rPr>
          <w:rFonts w:hint="eastAsia" w:asciiTheme="minorEastAsia" w:hAnsiTheme="minorEastAsia" w:eastAsiaTheme="minorEastAsia" w:cstheme="minorEastAsia"/>
          <w:b/>
          <w:bCs/>
          <w:sz w:val="24"/>
        </w:rPr>
        <w:t>保证金</w:t>
      </w:r>
      <w:bookmarkEnd w:id="166"/>
      <w:bookmarkEnd w:id="167"/>
      <w:r>
        <w:rPr>
          <w:rFonts w:hint="eastAsia" w:asciiTheme="minorEastAsia" w:hAnsiTheme="minorEastAsia" w:eastAsiaTheme="minorEastAsia" w:cstheme="minorEastAsia"/>
          <w:b/>
          <w:bCs/>
          <w:sz w:val="24"/>
        </w:rPr>
        <w:t>和投标保证金</w:t>
      </w:r>
    </w:p>
    <w:p>
      <w:pPr>
        <w:spacing w:line="400" w:lineRule="exact"/>
        <w:ind w:firstLine="420" w:firstLineChars="200"/>
        <w:rPr>
          <w:rFonts w:hint="eastAsia" w:asciiTheme="minorEastAsia" w:hAnsiTheme="minorEastAsia" w:eastAsiaTheme="minorEastAsia" w:cstheme="minorEastAsia"/>
          <w:szCs w:val="21"/>
          <w:lang w:val="en-US" w:eastAsia="zh-CN"/>
        </w:rPr>
      </w:pPr>
      <w:bookmarkStart w:id="168" w:name="_Toc279599809"/>
      <w:bookmarkStart w:id="169" w:name="_Toc426369520"/>
      <w:bookmarkStart w:id="170" w:name="_Toc403122530"/>
      <w:bookmarkStart w:id="171" w:name="_Toc274249613"/>
      <w:r>
        <w:rPr>
          <w:rFonts w:hint="eastAsia" w:asciiTheme="minorEastAsia" w:hAnsiTheme="minorEastAsia" w:eastAsiaTheme="minorEastAsia" w:cstheme="minorEastAsia"/>
          <w:szCs w:val="21"/>
          <w:lang w:val="en-US" w:eastAsia="zh-CN"/>
        </w:rPr>
        <w:t xml:space="preserve">7.3.1 在签订合同前，中标人应按投标人须知前附表规定的金额、担保形式向招标人提交履约担保。 </w:t>
      </w:r>
    </w:p>
    <w:p>
      <w:pPr>
        <w:spacing w:line="400" w:lineRule="exact"/>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7.3.2 投标人应按投标人须知前附表的要求提供投标保证金； </w:t>
      </w:r>
    </w:p>
    <w:p>
      <w:pPr>
        <w:spacing w:line="40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 xml:space="preserve">7.3.3投标人不按本章第 7.3.2 项要求提交投标保证金的，其投标文件作废标处理。 </w:t>
      </w:r>
    </w:p>
    <w:p>
      <w:pPr>
        <w:spacing w:line="400" w:lineRule="exact"/>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highlight w:val="none"/>
          <w:lang w:val="en-US" w:eastAsia="zh-CN"/>
        </w:rPr>
        <w:t>3.4.4 有下列情</w:t>
      </w:r>
      <w:r>
        <w:rPr>
          <w:rFonts w:hint="eastAsia" w:asciiTheme="minorEastAsia" w:hAnsiTheme="minorEastAsia" w:eastAsiaTheme="minorEastAsia" w:cstheme="minorEastAsia"/>
          <w:szCs w:val="21"/>
          <w:lang w:val="en-US" w:eastAsia="zh-CN"/>
        </w:rPr>
        <w:t>形之一的，投标保证金将不予退还：</w:t>
      </w:r>
    </w:p>
    <w:p>
      <w:pPr>
        <w:spacing w:line="400" w:lineRule="exact"/>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（1）投标人在规定的投标有效期内撤销或修改其投标文件；</w:t>
      </w:r>
    </w:p>
    <w:p>
      <w:pPr>
        <w:spacing w:line="400" w:lineRule="exact"/>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（2）投标人无故不参加投标且未书面通知招标人，给招标人造成损失的。</w:t>
      </w:r>
    </w:p>
    <w:p>
      <w:pPr>
        <w:spacing w:line="500" w:lineRule="exac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rPr>
        <w:t>7.4 签订合同</w:t>
      </w:r>
      <w:bookmarkEnd w:id="168"/>
      <w:bookmarkEnd w:id="169"/>
      <w:bookmarkEnd w:id="170"/>
      <w:bookmarkEnd w:id="171"/>
      <w:r>
        <w:rPr>
          <w:rFonts w:hint="eastAsia" w:asciiTheme="minorEastAsia" w:hAnsiTheme="minorEastAsia" w:eastAsiaTheme="minorEastAsia" w:cstheme="minorEastAsia"/>
          <w:b/>
          <w:bCs/>
          <w:sz w:val="24"/>
        </w:rPr>
        <w:t xml:space="preserve"> </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7.4.1  中标人的投标报价为中标价，采购人和中标人应当自中标通知书发出之日起15日内，根据招标文件和中标人的投标文件订立书面合同。非因</w:t>
      </w:r>
      <w:r>
        <w:rPr>
          <w:rFonts w:hint="eastAsia" w:asciiTheme="minorEastAsia" w:hAnsiTheme="minorEastAsia" w:eastAsiaTheme="minorEastAsia" w:cstheme="minorEastAsia"/>
          <w:szCs w:val="21"/>
        </w:rPr>
        <w:t>不可抗力因素放弃中标的，或排名第一的中标候选人未按规定期限与采购人签订合同的，该中标人的投标保证金不予退还，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72" w:name="_Toc30009"/>
      <w:bookmarkStart w:id="173" w:name="_Toc426369521"/>
      <w:bookmarkStart w:id="174" w:name="_Toc403122531"/>
      <w:bookmarkStart w:id="175" w:name="_Toc10541"/>
      <w:r>
        <w:rPr>
          <w:rFonts w:hint="eastAsia" w:asciiTheme="minorEastAsia" w:hAnsiTheme="minorEastAsia" w:eastAsiaTheme="minorEastAsia" w:cstheme="minorEastAsia"/>
          <w:sz w:val="24"/>
          <w:szCs w:val="24"/>
        </w:rPr>
        <w:t>8. 重新招标</w:t>
      </w:r>
      <w:bookmarkEnd w:id="172"/>
      <w:bookmarkEnd w:id="173"/>
      <w:bookmarkEnd w:id="174"/>
      <w:bookmarkEnd w:id="175"/>
    </w:p>
    <w:p>
      <w:pPr>
        <w:spacing w:line="500" w:lineRule="exact"/>
        <w:ind w:firstLine="482" w:firstLineChars="200"/>
        <w:rPr>
          <w:rFonts w:asciiTheme="minorEastAsia" w:hAnsiTheme="minorEastAsia" w:eastAsiaTheme="minorEastAsia" w:cstheme="minorEastAsia"/>
          <w:b/>
          <w:bCs/>
          <w:sz w:val="24"/>
        </w:rPr>
      </w:pPr>
      <w:bookmarkStart w:id="176" w:name="_Toc426369522"/>
      <w:bookmarkStart w:id="177" w:name="_Toc403122532"/>
      <w:bookmarkStart w:id="178" w:name="_Toc274249615"/>
      <w:bookmarkStart w:id="179" w:name="_Toc279599811"/>
      <w:r>
        <w:rPr>
          <w:rFonts w:hint="eastAsia" w:asciiTheme="minorEastAsia" w:hAnsiTheme="minorEastAsia" w:eastAsiaTheme="minorEastAsia" w:cstheme="minorEastAsia"/>
          <w:b/>
          <w:bCs/>
          <w:sz w:val="24"/>
        </w:rPr>
        <w:t>8.1 重新招标</w:t>
      </w:r>
      <w:bookmarkEnd w:id="176"/>
      <w:bookmarkEnd w:id="177"/>
      <w:bookmarkEnd w:id="178"/>
      <w:bookmarkEnd w:id="179"/>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80" w:name="_Toc3760"/>
      <w:bookmarkStart w:id="181" w:name="_Toc426369523"/>
      <w:bookmarkStart w:id="182" w:name="_Toc403122533"/>
      <w:bookmarkStart w:id="183" w:name="_Toc10372"/>
      <w:r>
        <w:rPr>
          <w:rFonts w:hint="eastAsia" w:asciiTheme="minorEastAsia" w:hAnsiTheme="minorEastAsia" w:eastAsiaTheme="minorEastAsia" w:cstheme="minorEastAsia"/>
          <w:sz w:val="24"/>
          <w:szCs w:val="24"/>
        </w:rPr>
        <w:t>9. 纪律和监督</w:t>
      </w:r>
      <w:bookmarkEnd w:id="180"/>
      <w:bookmarkEnd w:id="181"/>
      <w:bookmarkEnd w:id="182"/>
      <w:bookmarkEnd w:id="183"/>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84" w:name="_Toc403122534"/>
      <w:bookmarkStart w:id="185" w:name="_Toc279599814"/>
      <w:bookmarkStart w:id="186" w:name="_Toc426369524"/>
      <w:bookmarkStart w:id="187" w:name="_Toc274249618"/>
      <w:r>
        <w:rPr>
          <w:rFonts w:hint="eastAsia" w:asciiTheme="minorEastAsia" w:hAnsiTheme="minorEastAsia" w:eastAsiaTheme="minorEastAsia" w:cstheme="minorEastAsia"/>
          <w:b/>
          <w:bCs/>
          <w:sz w:val="24"/>
        </w:rPr>
        <w:t>9.1 对采购人的纪律要求</w:t>
      </w:r>
      <w:bookmarkEnd w:id="184"/>
      <w:bookmarkEnd w:id="185"/>
      <w:bookmarkEnd w:id="186"/>
      <w:bookmarkEnd w:id="187"/>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188" w:name="_Toc426369525"/>
      <w:bookmarkStart w:id="189" w:name="_Toc274249619"/>
      <w:bookmarkStart w:id="190" w:name="_Toc279599815"/>
      <w:bookmarkStart w:id="191" w:name="_Toc403122535"/>
      <w:r>
        <w:rPr>
          <w:rFonts w:hint="eastAsia" w:asciiTheme="minorEastAsia" w:hAnsiTheme="minorEastAsia" w:eastAsiaTheme="minorEastAsia" w:cstheme="minorEastAsia"/>
          <w:b/>
          <w:bCs/>
          <w:sz w:val="24"/>
        </w:rPr>
        <w:t>9.2 对投标人的纪律要求</w:t>
      </w:r>
      <w:bookmarkEnd w:id="188"/>
      <w:bookmarkEnd w:id="189"/>
      <w:bookmarkEnd w:id="190"/>
      <w:bookmarkEnd w:id="191"/>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192" w:name="_Toc403122536"/>
      <w:bookmarkStart w:id="193" w:name="_Toc426369526"/>
      <w:bookmarkStart w:id="194" w:name="_Toc274249620"/>
      <w:bookmarkStart w:id="195" w:name="_Toc279599816"/>
      <w:r>
        <w:rPr>
          <w:rFonts w:hint="eastAsia" w:asciiTheme="minorEastAsia" w:hAnsiTheme="minorEastAsia" w:eastAsiaTheme="minorEastAsia" w:cstheme="minorEastAsia"/>
          <w:b/>
          <w:bCs/>
          <w:sz w:val="24"/>
        </w:rPr>
        <w:t>9.3 对评标委员会成员的纪律要求</w:t>
      </w:r>
      <w:bookmarkEnd w:id="192"/>
      <w:bookmarkEnd w:id="193"/>
      <w:bookmarkEnd w:id="194"/>
      <w:bookmarkEnd w:id="195"/>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196" w:name="_Toc279599817"/>
      <w:bookmarkStart w:id="197" w:name="_Toc426369527"/>
      <w:bookmarkStart w:id="198" w:name="_Toc403122537"/>
      <w:bookmarkStart w:id="199" w:name="_Toc274249621"/>
      <w:r>
        <w:rPr>
          <w:rFonts w:hint="eastAsia" w:asciiTheme="minorEastAsia" w:hAnsiTheme="minorEastAsia" w:eastAsiaTheme="minorEastAsia" w:cstheme="minorEastAsia"/>
          <w:b/>
          <w:bCs/>
          <w:sz w:val="24"/>
        </w:rPr>
        <w:t>9.4 对与评标活动有关的工作人员的纪律要求</w:t>
      </w:r>
      <w:bookmarkEnd w:id="196"/>
      <w:bookmarkEnd w:id="197"/>
      <w:bookmarkEnd w:id="198"/>
      <w:bookmarkEnd w:id="199"/>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200" w:name="_Toc274249622"/>
      <w:bookmarkStart w:id="201" w:name="_Toc426369528"/>
      <w:bookmarkStart w:id="202" w:name="_Toc279599818"/>
      <w:bookmarkStart w:id="203" w:name="_Toc403122538"/>
      <w:r>
        <w:rPr>
          <w:rFonts w:hint="eastAsia" w:asciiTheme="minorEastAsia" w:hAnsiTheme="minorEastAsia" w:eastAsiaTheme="minorEastAsia" w:cstheme="minorEastAsia"/>
          <w:b/>
          <w:bCs/>
          <w:sz w:val="24"/>
        </w:rPr>
        <w:t>9.5 投诉</w:t>
      </w:r>
      <w:bookmarkEnd w:id="200"/>
      <w:bookmarkEnd w:id="201"/>
      <w:bookmarkEnd w:id="202"/>
      <w:bookmarkEnd w:id="203"/>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pPr>
        <w:pStyle w:val="36"/>
        <w:spacing w:before="120" w:after="120" w:line="500" w:lineRule="exact"/>
        <w:ind w:right="-1029" w:rightChars="-490" w:firstLine="482" w:firstLineChars="200"/>
        <w:jc w:val="both"/>
        <w:rPr>
          <w:rFonts w:asciiTheme="minorEastAsia" w:hAnsiTheme="minorEastAsia" w:eastAsiaTheme="minorEastAsia" w:cstheme="minorEastAsia"/>
          <w:color w:val="auto"/>
          <w:sz w:val="24"/>
          <w:szCs w:val="24"/>
        </w:rPr>
      </w:pPr>
      <w:bookmarkStart w:id="204" w:name="_Toc426369529"/>
      <w:bookmarkStart w:id="205" w:name="_Toc13281"/>
      <w:bookmarkStart w:id="206" w:name="_Toc10880"/>
      <w:bookmarkStart w:id="207" w:name="_Toc403122539"/>
      <w:r>
        <w:rPr>
          <w:rFonts w:hint="eastAsia" w:asciiTheme="minorEastAsia" w:hAnsiTheme="minorEastAsia" w:eastAsiaTheme="minorEastAsia" w:cstheme="minorEastAsia"/>
          <w:color w:val="auto"/>
          <w:sz w:val="24"/>
          <w:szCs w:val="24"/>
        </w:rPr>
        <w:t>10. 需要补充的其他内容</w:t>
      </w:r>
      <w:bookmarkEnd w:id="204"/>
      <w:bookmarkEnd w:id="205"/>
      <w:bookmarkEnd w:id="206"/>
      <w:bookmarkEnd w:id="207"/>
      <w:r>
        <w:rPr>
          <w:rFonts w:hint="eastAsia" w:asciiTheme="minorEastAsia" w:hAnsiTheme="minorEastAsia" w:eastAsiaTheme="minorEastAsia" w:cstheme="minorEastAsia"/>
          <w:color w:val="auto"/>
          <w:sz w:val="24"/>
          <w:szCs w:val="24"/>
        </w:rPr>
        <w:t xml:space="preserve"> </w:t>
      </w:r>
    </w:p>
    <w:p>
      <w:pPr>
        <w:autoSpaceDE w:val="0"/>
        <w:autoSpaceDN w:val="0"/>
        <w:adjustRightInd w:val="0"/>
        <w:spacing w:line="440" w:lineRule="exact"/>
        <w:ind w:firstLine="482" w:firstLineChars="200"/>
        <w:rPr>
          <w:rFonts w:ascii="宋体" w:hAnsi="宋体" w:cs="宋体"/>
          <w:color w:val="auto"/>
          <w:kern w:val="0"/>
          <w:sz w:val="24"/>
        </w:rPr>
      </w:pPr>
      <w:r>
        <w:rPr>
          <w:rFonts w:hint="eastAsia" w:ascii="宋体" w:hAnsi="宋体" w:cs="宋体"/>
          <w:b/>
          <w:color w:val="auto"/>
          <w:kern w:val="0"/>
          <w:sz w:val="24"/>
        </w:rPr>
        <w:t>10.1 费用承担</w:t>
      </w:r>
    </w:p>
    <w:p>
      <w:pPr>
        <w:autoSpaceDE w:val="0"/>
        <w:autoSpaceDN w:val="0"/>
        <w:adjustRightInd w:val="0"/>
        <w:spacing w:line="440" w:lineRule="exact"/>
        <w:ind w:left="17" w:leftChars="8" w:firstLine="420" w:firstLineChars="200"/>
        <w:jc w:val="left"/>
        <w:rPr>
          <w:rFonts w:ascii="宋体" w:hAnsi="宋体" w:cs="宋体"/>
          <w:color w:val="auto"/>
          <w:szCs w:val="21"/>
        </w:rPr>
      </w:pPr>
      <w:r>
        <w:rPr>
          <w:rFonts w:hint="eastAsia" w:ascii="宋体" w:hAnsi="宋体" w:cs="宋体"/>
          <w:color w:val="auto"/>
          <w:szCs w:val="21"/>
        </w:rPr>
        <w:t>（1）无论投标结果如何，投标人应自行承担所有参与投标</w:t>
      </w:r>
      <w:r>
        <w:rPr>
          <w:rFonts w:hint="eastAsia" w:ascii="宋体" w:hAnsi="宋体" w:cs="宋体"/>
          <w:color w:val="auto"/>
          <w:szCs w:val="21"/>
          <w:lang w:val="en-US" w:eastAsia="zh-CN"/>
        </w:rPr>
        <w:t>的</w:t>
      </w:r>
      <w:r>
        <w:rPr>
          <w:rFonts w:hint="eastAsia" w:ascii="宋体" w:hAnsi="宋体" w:cs="宋体"/>
          <w:color w:val="auto"/>
          <w:szCs w:val="21"/>
        </w:rPr>
        <w:t>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color w:val="auto"/>
          <w:szCs w:val="21"/>
        </w:rPr>
      </w:pPr>
      <w:r>
        <w:rPr>
          <w:rFonts w:hint="eastAsia" w:ascii="宋体" w:hAnsi="宋体" w:cs="宋体"/>
          <w:color w:val="auto"/>
          <w:szCs w:val="21"/>
        </w:rPr>
        <w:t>（2）招标代理服务费由中标人支付。</w:t>
      </w:r>
    </w:p>
    <w:p>
      <w:pPr>
        <w:autoSpaceDE w:val="0"/>
        <w:autoSpaceDN w:val="0"/>
        <w:adjustRightInd w:val="0"/>
        <w:spacing w:line="500" w:lineRule="exact"/>
        <w:ind w:firstLine="420"/>
        <w:jc w:val="left"/>
        <w:rPr>
          <w:rFonts w:hint="eastAsia" w:ascii="宋体" w:hAnsi="宋体" w:cs="宋体"/>
          <w:color w:val="auto"/>
          <w:szCs w:val="21"/>
        </w:rPr>
      </w:pPr>
      <w:r>
        <w:rPr>
          <w:rFonts w:hint="eastAsia" w:ascii="宋体" w:hAnsi="宋体" w:cs="宋体"/>
          <w:color w:val="auto"/>
          <w:szCs w:val="21"/>
        </w:rPr>
        <w:t>（3）供应商与采购人签订合同后，将合同报采购代理机构备案。</w:t>
      </w:r>
    </w:p>
    <w:p>
      <w:pPr>
        <w:pStyle w:val="56"/>
        <w:ind w:firstLine="482" w:firstLineChars="200"/>
        <w:rPr>
          <w:color w:val="auto"/>
        </w:rPr>
      </w:pPr>
      <w:r>
        <w:rPr>
          <w:rFonts w:hint="eastAsia" w:ascii="宋体" w:hAnsi="宋体" w:cs="宋体"/>
          <w:b/>
          <w:color w:val="auto"/>
          <w:kern w:val="0"/>
          <w:sz w:val="24"/>
        </w:rPr>
        <w:t>10.</w:t>
      </w:r>
      <w:r>
        <w:rPr>
          <w:rFonts w:hint="eastAsia" w:ascii="宋体" w:hAnsi="宋体" w:cs="宋体"/>
          <w:b/>
          <w:color w:val="auto"/>
          <w:kern w:val="0"/>
          <w:sz w:val="24"/>
          <w:lang w:val="en-US" w:eastAsia="zh-CN"/>
        </w:rPr>
        <w:t>2</w:t>
      </w:r>
      <w:r>
        <w:rPr>
          <w:rFonts w:hint="eastAsia" w:ascii="宋体" w:hAnsi="宋体" w:cs="宋体"/>
          <w:b/>
          <w:color w:val="auto"/>
          <w:kern w:val="0"/>
          <w:sz w:val="24"/>
        </w:rPr>
        <w:t xml:space="preserve"> </w:t>
      </w:r>
      <w:r>
        <w:rPr>
          <w:rFonts w:hint="eastAsia" w:ascii="宋体" w:hAnsi="宋体" w:cs="宋体"/>
          <w:b/>
          <w:color w:val="auto"/>
          <w:kern w:val="0"/>
          <w:szCs w:val="21"/>
        </w:rPr>
        <w:t>本招标文件未尽事宜，按《中华人民共和国政府采购法》等法律法规的有关规定执行。</w:t>
      </w:r>
    </w:p>
    <w:p>
      <w:pPr>
        <w:pStyle w:val="15"/>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36"/>
        <w:numPr>
          <w:ilvl w:val="0"/>
          <w:numId w:val="6"/>
        </w:numPr>
        <w:spacing w:line="600" w:lineRule="exact"/>
        <w:ind w:right="-63" w:rightChars="-30"/>
        <w:rPr>
          <w:rFonts w:asciiTheme="minorEastAsia" w:hAnsiTheme="minorEastAsia" w:eastAsiaTheme="minorEastAsia" w:cstheme="minorEastAsia"/>
          <w:sz w:val="36"/>
          <w:szCs w:val="36"/>
        </w:rPr>
      </w:pPr>
      <w:bookmarkStart w:id="208" w:name="_Toc28433"/>
      <w:bookmarkStart w:id="209" w:name="_Toc403122540"/>
      <w:bookmarkStart w:id="210" w:name="_Toc426369530"/>
      <w:bookmarkStart w:id="211" w:name="_Toc1253"/>
      <w:r>
        <w:rPr>
          <w:rFonts w:hint="eastAsia" w:asciiTheme="minorEastAsia" w:hAnsiTheme="minorEastAsia" w:eastAsiaTheme="minorEastAsia" w:cstheme="minorEastAsia"/>
          <w:sz w:val="36"/>
          <w:szCs w:val="36"/>
        </w:rPr>
        <w:t>评标办法</w:t>
      </w:r>
      <w:bookmarkEnd w:id="208"/>
      <w:bookmarkEnd w:id="209"/>
      <w:bookmarkEnd w:id="210"/>
      <w:r>
        <w:rPr>
          <w:rFonts w:hint="eastAsia" w:asciiTheme="minorEastAsia" w:hAnsiTheme="minorEastAsia" w:eastAsiaTheme="minorEastAsia" w:cstheme="minorEastAsia"/>
          <w:sz w:val="36"/>
          <w:szCs w:val="36"/>
        </w:rPr>
        <w:t>（综合评分法）</w:t>
      </w:r>
      <w:bookmarkEnd w:id="211"/>
    </w:p>
    <w:p>
      <w:pPr>
        <w:pStyle w:val="107"/>
        <w:spacing w:line="540" w:lineRule="exact"/>
        <w:outlineLvl w:val="2"/>
        <w:rPr>
          <w:rFonts w:asciiTheme="minorEastAsia" w:hAnsiTheme="minorEastAsia" w:eastAsiaTheme="minorEastAsia" w:cstheme="minorEastAsia"/>
          <w:b/>
          <w:bCs/>
          <w:sz w:val="28"/>
          <w:szCs w:val="28"/>
        </w:rPr>
      </w:pPr>
      <w:bookmarkStart w:id="212" w:name="_Toc21885"/>
      <w:bookmarkStart w:id="213" w:name="_Toc30933"/>
      <w:bookmarkStart w:id="214" w:name="_Toc29947"/>
      <w:bookmarkStart w:id="215" w:name="_Toc17859"/>
      <w:bookmarkStart w:id="216" w:name="_Toc16529"/>
      <w:bookmarkStart w:id="217" w:name="_Toc2761070"/>
      <w:r>
        <w:rPr>
          <w:rFonts w:hint="eastAsia" w:asciiTheme="minorEastAsia" w:hAnsiTheme="minorEastAsia" w:eastAsiaTheme="minorEastAsia" w:cstheme="minorEastAsia"/>
          <w:b/>
          <w:bCs/>
          <w:sz w:val="28"/>
          <w:szCs w:val="28"/>
        </w:rPr>
        <w:t>（一）评分办法前附表</w:t>
      </w:r>
      <w:bookmarkEnd w:id="212"/>
      <w:bookmarkEnd w:id="213"/>
      <w:bookmarkEnd w:id="214"/>
      <w:bookmarkEnd w:id="215"/>
    </w:p>
    <w:tbl>
      <w:tblPr>
        <w:tblStyle w:val="40"/>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3"/>
        <w:gridCol w:w="118"/>
        <w:gridCol w:w="1222"/>
        <w:gridCol w:w="363"/>
        <w:gridCol w:w="339"/>
        <w:gridCol w:w="6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2996" w:type="dxa"/>
            <w:gridSpan w:val="4"/>
            <w:vAlign w:val="center"/>
          </w:tcPr>
          <w:p>
            <w:pPr>
              <w:pStyle w:val="117"/>
              <w:spacing w:line="440" w:lineRule="exact"/>
              <w:ind w:left="105" w:leftChars="50" w:firstLine="402"/>
              <w:jc w:val="center"/>
              <w:rPr>
                <w:rFonts w:hint="default" w:ascii="Times New Roman" w:hAnsi="Times New Roman" w:cs="Times New Roman"/>
                <w:b/>
                <w:color w:val="auto"/>
                <w:szCs w:val="21"/>
                <w:highlight w:val="none"/>
              </w:rPr>
            </w:pPr>
            <w:bookmarkStart w:id="218" w:name="_Toc26394"/>
            <w:bookmarkStart w:id="219" w:name="_Toc13389"/>
            <w:bookmarkStart w:id="220" w:name="_Toc28874"/>
            <w:bookmarkStart w:id="221" w:name="_Toc471"/>
            <w:r>
              <w:rPr>
                <w:rFonts w:hint="default" w:ascii="Times New Roman" w:hAnsi="Times New Roman" w:cs="Times New Roman"/>
                <w:b/>
                <w:color w:val="auto"/>
                <w:szCs w:val="21"/>
                <w:highlight w:val="none"/>
              </w:rPr>
              <w:t>评审因素</w:t>
            </w:r>
          </w:p>
        </w:tc>
        <w:tc>
          <w:tcPr>
            <w:tcW w:w="6643" w:type="dxa"/>
            <w:gridSpan w:val="2"/>
            <w:vAlign w:val="center"/>
          </w:tcPr>
          <w:p>
            <w:pPr>
              <w:pStyle w:val="117"/>
              <w:spacing w:line="440" w:lineRule="exact"/>
              <w:ind w:left="105" w:leftChars="50" w:firstLine="402"/>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411" w:type="dxa"/>
            <w:gridSpan w:val="2"/>
            <w:vMerge w:val="restart"/>
            <w:vAlign w:val="center"/>
          </w:tcPr>
          <w:p>
            <w:pPr>
              <w:pStyle w:val="117"/>
              <w:spacing w:line="44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资格评审标准</w:t>
            </w:r>
          </w:p>
        </w:tc>
        <w:tc>
          <w:tcPr>
            <w:tcW w:w="1585" w:type="dxa"/>
            <w:gridSpan w:val="2"/>
            <w:vAlign w:val="center"/>
          </w:tcPr>
          <w:p>
            <w:pPr>
              <w:pStyle w:val="117"/>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营业执照</w:t>
            </w:r>
          </w:p>
        </w:tc>
        <w:tc>
          <w:tcPr>
            <w:tcW w:w="6643" w:type="dxa"/>
            <w:gridSpan w:val="2"/>
            <w:vAlign w:val="center"/>
          </w:tcPr>
          <w:p>
            <w:pPr>
              <w:pStyle w:val="117"/>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具备有效的营业执照（三证合一的营业执照副本）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jc w:val="center"/>
        </w:trPr>
        <w:tc>
          <w:tcPr>
            <w:tcW w:w="1411" w:type="dxa"/>
            <w:gridSpan w:val="2"/>
            <w:vMerge w:val="continue"/>
            <w:tcBorders/>
            <w:vAlign w:val="center"/>
          </w:tcPr>
          <w:p>
            <w:pPr>
              <w:spacing w:line="440" w:lineRule="exact"/>
              <w:ind w:left="105" w:leftChars="50" w:firstLine="420"/>
              <w:jc w:val="center"/>
              <w:rPr>
                <w:rFonts w:hint="default" w:ascii="Times New Roman" w:hAnsi="Times New Roman" w:cs="Times New Roman"/>
                <w:color w:val="auto"/>
                <w:kern w:val="2"/>
                <w:sz w:val="21"/>
                <w:szCs w:val="21"/>
                <w:highlight w:val="none"/>
              </w:rPr>
            </w:pPr>
          </w:p>
        </w:tc>
        <w:tc>
          <w:tcPr>
            <w:tcW w:w="1585" w:type="dxa"/>
            <w:gridSpan w:val="2"/>
            <w:vAlign w:val="center"/>
          </w:tcPr>
          <w:p>
            <w:pPr>
              <w:pStyle w:val="117"/>
              <w:spacing w:line="240" w:lineRule="auto"/>
              <w:ind w:firstLine="0" w:firstLineChars="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法人代表证明或法人授权委托书</w:t>
            </w:r>
          </w:p>
        </w:tc>
        <w:tc>
          <w:tcPr>
            <w:tcW w:w="6643" w:type="dxa"/>
            <w:gridSpan w:val="2"/>
            <w:vAlign w:val="center"/>
          </w:tcPr>
          <w:p>
            <w:pPr>
              <w:pStyle w:val="117"/>
              <w:spacing w:line="240" w:lineRule="auto"/>
              <w:ind w:left="105" w:leftChars="50" w:firstLine="42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法人代表（负责人）证明或法人授权委托书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1411" w:type="dxa"/>
            <w:gridSpan w:val="2"/>
            <w:vMerge w:val="continue"/>
            <w:tcBorders/>
            <w:vAlign w:val="center"/>
          </w:tcPr>
          <w:p>
            <w:pPr>
              <w:spacing w:line="440" w:lineRule="exact"/>
              <w:ind w:left="105" w:leftChars="50" w:firstLine="420"/>
              <w:jc w:val="center"/>
              <w:rPr>
                <w:rFonts w:hint="default" w:ascii="Times New Roman" w:hAnsi="Times New Roman" w:cs="Times New Roman"/>
                <w:color w:val="auto"/>
                <w:kern w:val="2"/>
                <w:sz w:val="21"/>
                <w:szCs w:val="21"/>
                <w:highlight w:val="none"/>
              </w:rPr>
            </w:pPr>
          </w:p>
        </w:tc>
        <w:tc>
          <w:tcPr>
            <w:tcW w:w="1585" w:type="dxa"/>
            <w:gridSpan w:val="2"/>
            <w:vAlign w:val="center"/>
          </w:tcPr>
          <w:p>
            <w:pPr>
              <w:spacing w:line="360" w:lineRule="exact"/>
              <w:ind w:firstLine="420" w:firstLineChars="200"/>
              <w:jc w:val="center"/>
              <w:rPr>
                <w:rFonts w:hint="default"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rPr>
              <w:t>资质要求</w:t>
            </w:r>
          </w:p>
        </w:tc>
        <w:tc>
          <w:tcPr>
            <w:tcW w:w="6643" w:type="dxa"/>
            <w:gridSpan w:val="2"/>
            <w:vAlign w:val="center"/>
          </w:tcPr>
          <w:p>
            <w:pPr>
              <w:spacing w:line="360" w:lineRule="exact"/>
              <w:ind w:firstLine="420" w:firstLineChars="200"/>
              <w:rPr>
                <w:rFonts w:hint="default"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rPr>
              <w:t>符合第二章“供应商须知”第1.4.1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1411" w:type="dxa"/>
            <w:gridSpan w:val="2"/>
            <w:vMerge w:val="continue"/>
            <w:tcBorders/>
            <w:vAlign w:val="center"/>
          </w:tcPr>
          <w:p>
            <w:pPr>
              <w:spacing w:line="440" w:lineRule="exact"/>
              <w:ind w:left="105" w:leftChars="50" w:firstLine="420"/>
              <w:jc w:val="center"/>
              <w:rPr>
                <w:rFonts w:hint="default" w:ascii="Times New Roman" w:hAnsi="Times New Roman" w:cs="Times New Roman"/>
                <w:color w:val="auto"/>
                <w:kern w:val="2"/>
                <w:sz w:val="21"/>
                <w:szCs w:val="21"/>
                <w:highlight w:val="none"/>
              </w:rPr>
            </w:pPr>
          </w:p>
        </w:tc>
        <w:tc>
          <w:tcPr>
            <w:tcW w:w="1585" w:type="dxa"/>
            <w:gridSpan w:val="2"/>
            <w:vAlign w:val="center"/>
          </w:tcPr>
          <w:p>
            <w:pPr>
              <w:spacing w:line="360" w:lineRule="exact"/>
              <w:ind w:firstLine="420" w:firstLineChars="200"/>
              <w:jc w:val="center"/>
              <w:rPr>
                <w:rFonts w:hint="default"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rPr>
              <w:t>信誉要求</w:t>
            </w:r>
          </w:p>
        </w:tc>
        <w:tc>
          <w:tcPr>
            <w:tcW w:w="6643" w:type="dxa"/>
            <w:gridSpan w:val="2"/>
            <w:vAlign w:val="center"/>
          </w:tcPr>
          <w:p>
            <w:pPr>
              <w:spacing w:line="360" w:lineRule="exact"/>
              <w:ind w:firstLine="420" w:firstLineChars="200"/>
              <w:rPr>
                <w:rFonts w:hint="default"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rPr>
              <w:t>符合第二章“供应商须知”第1.4.1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1411" w:type="dxa"/>
            <w:gridSpan w:val="2"/>
            <w:vMerge w:val="continue"/>
            <w:tcBorders/>
            <w:vAlign w:val="center"/>
          </w:tcPr>
          <w:p>
            <w:pPr>
              <w:spacing w:line="440" w:lineRule="exact"/>
              <w:ind w:left="105" w:leftChars="50" w:firstLine="420"/>
              <w:jc w:val="center"/>
              <w:rPr>
                <w:rFonts w:hint="default" w:ascii="Times New Roman" w:hAnsi="Times New Roman" w:cs="Times New Roman"/>
                <w:color w:val="auto"/>
                <w:kern w:val="2"/>
                <w:sz w:val="21"/>
                <w:szCs w:val="21"/>
                <w:highlight w:val="none"/>
              </w:rPr>
            </w:pPr>
          </w:p>
        </w:tc>
        <w:tc>
          <w:tcPr>
            <w:tcW w:w="1585" w:type="dxa"/>
            <w:gridSpan w:val="2"/>
            <w:vAlign w:val="center"/>
          </w:tcPr>
          <w:p>
            <w:pPr>
              <w:spacing w:line="360" w:lineRule="exact"/>
              <w:ind w:firstLine="420" w:firstLineChars="20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其他要求</w:t>
            </w:r>
          </w:p>
        </w:tc>
        <w:tc>
          <w:tcPr>
            <w:tcW w:w="6643" w:type="dxa"/>
            <w:gridSpan w:val="2"/>
            <w:vAlign w:val="center"/>
          </w:tcPr>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符合第二章“供应商须知”第1.4.1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1411" w:type="dxa"/>
            <w:gridSpan w:val="2"/>
            <w:vMerge w:val="restart"/>
            <w:vAlign w:val="center"/>
          </w:tcPr>
          <w:p>
            <w:pPr>
              <w:pStyle w:val="117"/>
              <w:spacing w:line="440" w:lineRule="exact"/>
              <w:ind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形式评审标准</w:t>
            </w:r>
          </w:p>
        </w:tc>
        <w:tc>
          <w:tcPr>
            <w:tcW w:w="1585" w:type="dxa"/>
            <w:gridSpan w:val="2"/>
            <w:vAlign w:val="center"/>
          </w:tcPr>
          <w:p>
            <w:pPr>
              <w:pStyle w:val="117"/>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投标人名称</w:t>
            </w:r>
          </w:p>
        </w:tc>
        <w:tc>
          <w:tcPr>
            <w:tcW w:w="6643" w:type="dxa"/>
            <w:gridSpan w:val="2"/>
            <w:vAlign w:val="center"/>
          </w:tcPr>
          <w:p>
            <w:pPr>
              <w:pStyle w:val="117"/>
              <w:spacing w:line="440" w:lineRule="exact"/>
              <w:ind w:left="105" w:leftChars="50" w:firstLine="609" w:firstLineChars="29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与营业执照等证件一致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jc w:val="center"/>
        </w:trPr>
        <w:tc>
          <w:tcPr>
            <w:tcW w:w="1411" w:type="dxa"/>
            <w:gridSpan w:val="2"/>
            <w:vMerge w:val="continue"/>
            <w:tcBorders>
              <w:top w:val="nil"/>
            </w:tcBorders>
            <w:vAlign w:val="center"/>
          </w:tcPr>
          <w:p>
            <w:pPr>
              <w:spacing w:line="440" w:lineRule="exact"/>
              <w:ind w:left="105" w:leftChars="50" w:firstLine="400"/>
              <w:jc w:val="center"/>
              <w:rPr>
                <w:rFonts w:hint="default" w:ascii="Times New Roman" w:hAnsi="Times New Roman" w:cs="Times New Roman"/>
                <w:color w:val="auto"/>
                <w:sz w:val="21"/>
                <w:szCs w:val="21"/>
                <w:highlight w:val="none"/>
              </w:rPr>
            </w:pPr>
          </w:p>
        </w:tc>
        <w:tc>
          <w:tcPr>
            <w:tcW w:w="1585" w:type="dxa"/>
            <w:gridSpan w:val="2"/>
            <w:vAlign w:val="center"/>
          </w:tcPr>
          <w:p>
            <w:pPr>
              <w:pStyle w:val="117"/>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投标函签字</w:t>
            </w:r>
          </w:p>
          <w:p>
            <w:pPr>
              <w:pStyle w:val="117"/>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盖章</w:t>
            </w:r>
          </w:p>
        </w:tc>
        <w:tc>
          <w:tcPr>
            <w:tcW w:w="6643" w:type="dxa"/>
            <w:gridSpan w:val="2"/>
            <w:vAlign w:val="center"/>
          </w:tcPr>
          <w:p>
            <w:pPr>
              <w:pStyle w:val="117"/>
              <w:spacing w:line="440" w:lineRule="exact"/>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加盖企业公章并有法定代表人或其委托代理人签字或盖章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411" w:type="dxa"/>
            <w:gridSpan w:val="2"/>
            <w:vMerge w:val="continue"/>
            <w:tcBorders>
              <w:top w:val="nil"/>
            </w:tcBorders>
            <w:vAlign w:val="center"/>
          </w:tcPr>
          <w:p>
            <w:pPr>
              <w:spacing w:line="440" w:lineRule="exact"/>
              <w:ind w:left="105" w:leftChars="50" w:firstLine="400"/>
              <w:jc w:val="center"/>
              <w:rPr>
                <w:rFonts w:hint="default" w:ascii="Times New Roman" w:hAnsi="Times New Roman" w:cs="Times New Roman"/>
                <w:color w:val="auto"/>
                <w:sz w:val="21"/>
                <w:szCs w:val="21"/>
                <w:highlight w:val="none"/>
              </w:rPr>
            </w:pPr>
          </w:p>
        </w:tc>
        <w:tc>
          <w:tcPr>
            <w:tcW w:w="1585" w:type="dxa"/>
            <w:gridSpan w:val="2"/>
            <w:vAlign w:val="center"/>
          </w:tcPr>
          <w:p>
            <w:pPr>
              <w:pStyle w:val="117"/>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投标文件格式</w:t>
            </w:r>
          </w:p>
        </w:tc>
        <w:tc>
          <w:tcPr>
            <w:tcW w:w="6643" w:type="dxa"/>
            <w:gridSpan w:val="2"/>
            <w:vAlign w:val="center"/>
          </w:tcPr>
          <w:p>
            <w:pPr>
              <w:pStyle w:val="117"/>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符合招标文件格式要求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1411" w:type="dxa"/>
            <w:gridSpan w:val="2"/>
            <w:vMerge w:val="restart"/>
            <w:vAlign w:val="center"/>
          </w:tcPr>
          <w:p>
            <w:pPr>
              <w:pStyle w:val="117"/>
              <w:spacing w:line="440" w:lineRule="exact"/>
              <w:ind w:left="105" w:leftChars="50" w:firstLine="400"/>
              <w:jc w:val="center"/>
              <w:rPr>
                <w:rFonts w:hint="default" w:ascii="Times New Roman" w:hAnsi="Times New Roman" w:cs="Times New Roman"/>
                <w:color w:val="auto"/>
                <w:sz w:val="21"/>
                <w:szCs w:val="21"/>
                <w:highlight w:val="none"/>
              </w:rPr>
            </w:pPr>
          </w:p>
          <w:p>
            <w:pPr>
              <w:pStyle w:val="117"/>
              <w:spacing w:line="440" w:lineRule="exact"/>
              <w:ind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响应性评审标准</w:t>
            </w:r>
          </w:p>
        </w:tc>
        <w:tc>
          <w:tcPr>
            <w:tcW w:w="1585" w:type="dxa"/>
            <w:gridSpan w:val="2"/>
            <w:vAlign w:val="center"/>
          </w:tcPr>
          <w:p>
            <w:pPr>
              <w:pStyle w:val="117"/>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采购内容</w:t>
            </w:r>
          </w:p>
        </w:tc>
        <w:tc>
          <w:tcPr>
            <w:tcW w:w="6643" w:type="dxa"/>
            <w:gridSpan w:val="2"/>
            <w:vAlign w:val="center"/>
          </w:tcPr>
          <w:p>
            <w:pPr>
              <w:pStyle w:val="117"/>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符合第二章“投标人须知”第 1.1.6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411" w:type="dxa"/>
            <w:gridSpan w:val="2"/>
            <w:vMerge w:val="continue"/>
            <w:tcBorders>
              <w:top w:val="nil"/>
            </w:tcBorders>
            <w:vAlign w:val="center"/>
          </w:tcPr>
          <w:p>
            <w:pPr>
              <w:spacing w:line="440" w:lineRule="exact"/>
              <w:ind w:left="105" w:leftChars="50" w:firstLine="400"/>
              <w:jc w:val="center"/>
              <w:rPr>
                <w:rFonts w:hint="default" w:ascii="Times New Roman" w:hAnsi="Times New Roman" w:cs="Times New Roman"/>
                <w:color w:val="auto"/>
                <w:sz w:val="21"/>
                <w:szCs w:val="21"/>
                <w:highlight w:val="none"/>
              </w:rPr>
            </w:pPr>
          </w:p>
        </w:tc>
        <w:tc>
          <w:tcPr>
            <w:tcW w:w="1585" w:type="dxa"/>
            <w:gridSpan w:val="2"/>
            <w:vAlign w:val="center"/>
          </w:tcPr>
          <w:p>
            <w:pPr>
              <w:pStyle w:val="117"/>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服务期</w:t>
            </w:r>
          </w:p>
        </w:tc>
        <w:tc>
          <w:tcPr>
            <w:tcW w:w="6643" w:type="dxa"/>
            <w:gridSpan w:val="2"/>
            <w:vAlign w:val="center"/>
          </w:tcPr>
          <w:p>
            <w:pPr>
              <w:pStyle w:val="117"/>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1411" w:type="dxa"/>
            <w:gridSpan w:val="2"/>
            <w:vMerge w:val="continue"/>
            <w:tcBorders>
              <w:top w:val="nil"/>
            </w:tcBorders>
            <w:vAlign w:val="center"/>
          </w:tcPr>
          <w:p>
            <w:pPr>
              <w:spacing w:line="440" w:lineRule="exact"/>
              <w:ind w:left="105" w:leftChars="50" w:firstLine="400"/>
              <w:jc w:val="center"/>
              <w:rPr>
                <w:rFonts w:hint="default" w:ascii="Times New Roman" w:hAnsi="Times New Roman" w:cs="Times New Roman"/>
                <w:color w:val="auto"/>
                <w:sz w:val="21"/>
                <w:szCs w:val="21"/>
                <w:highlight w:val="none"/>
              </w:rPr>
            </w:pPr>
          </w:p>
        </w:tc>
        <w:tc>
          <w:tcPr>
            <w:tcW w:w="1585" w:type="dxa"/>
            <w:gridSpan w:val="2"/>
            <w:vAlign w:val="center"/>
          </w:tcPr>
          <w:p>
            <w:pPr>
              <w:pStyle w:val="117"/>
              <w:tabs>
                <w:tab w:val="left" w:pos="489"/>
              </w:tabs>
              <w:spacing w:line="440" w:lineRule="exact"/>
              <w:ind w:firstLine="4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质量标准</w:t>
            </w:r>
          </w:p>
        </w:tc>
        <w:tc>
          <w:tcPr>
            <w:tcW w:w="6643" w:type="dxa"/>
            <w:gridSpan w:val="2"/>
            <w:vAlign w:val="center"/>
          </w:tcPr>
          <w:p>
            <w:pPr>
              <w:pStyle w:val="117"/>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411" w:type="dxa"/>
            <w:gridSpan w:val="2"/>
            <w:vMerge w:val="continue"/>
            <w:tcBorders>
              <w:top w:val="nil"/>
            </w:tcBorders>
            <w:vAlign w:val="center"/>
          </w:tcPr>
          <w:p>
            <w:pPr>
              <w:spacing w:line="440" w:lineRule="exact"/>
              <w:ind w:left="105" w:leftChars="50" w:firstLine="400"/>
              <w:jc w:val="center"/>
              <w:rPr>
                <w:rFonts w:hint="default" w:ascii="Times New Roman" w:hAnsi="Times New Roman" w:cs="Times New Roman"/>
                <w:color w:val="auto"/>
                <w:sz w:val="21"/>
                <w:szCs w:val="21"/>
                <w:highlight w:val="none"/>
              </w:rPr>
            </w:pPr>
          </w:p>
        </w:tc>
        <w:tc>
          <w:tcPr>
            <w:tcW w:w="1585" w:type="dxa"/>
            <w:gridSpan w:val="2"/>
            <w:vAlign w:val="center"/>
          </w:tcPr>
          <w:p>
            <w:pPr>
              <w:pStyle w:val="117"/>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投标有效期</w:t>
            </w:r>
          </w:p>
        </w:tc>
        <w:tc>
          <w:tcPr>
            <w:tcW w:w="6643" w:type="dxa"/>
            <w:gridSpan w:val="2"/>
            <w:vAlign w:val="center"/>
          </w:tcPr>
          <w:p>
            <w:pPr>
              <w:pStyle w:val="117"/>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411" w:type="dxa"/>
            <w:gridSpan w:val="2"/>
            <w:vMerge w:val="continue"/>
            <w:tcBorders>
              <w:top w:val="nil"/>
            </w:tcBorders>
            <w:vAlign w:val="center"/>
          </w:tcPr>
          <w:p>
            <w:pPr>
              <w:spacing w:line="440" w:lineRule="exact"/>
              <w:ind w:left="105" w:leftChars="50" w:firstLine="400"/>
              <w:jc w:val="center"/>
              <w:rPr>
                <w:rFonts w:hint="default" w:ascii="Times New Roman" w:hAnsi="Times New Roman" w:cs="Times New Roman"/>
                <w:color w:val="auto"/>
                <w:sz w:val="21"/>
                <w:szCs w:val="21"/>
                <w:highlight w:val="none"/>
              </w:rPr>
            </w:pPr>
          </w:p>
        </w:tc>
        <w:tc>
          <w:tcPr>
            <w:tcW w:w="1585" w:type="dxa"/>
            <w:gridSpan w:val="2"/>
            <w:vAlign w:val="center"/>
          </w:tcPr>
          <w:p>
            <w:pPr>
              <w:pStyle w:val="117"/>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权利义务</w:t>
            </w:r>
          </w:p>
        </w:tc>
        <w:tc>
          <w:tcPr>
            <w:tcW w:w="6643" w:type="dxa"/>
            <w:gridSpan w:val="2"/>
            <w:vAlign w:val="center"/>
          </w:tcPr>
          <w:p>
            <w:pPr>
              <w:pStyle w:val="117"/>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411" w:type="dxa"/>
            <w:gridSpan w:val="2"/>
            <w:vMerge w:val="continue"/>
            <w:tcBorders>
              <w:top w:val="nil"/>
            </w:tcBorders>
            <w:vAlign w:val="center"/>
          </w:tcPr>
          <w:p>
            <w:pPr>
              <w:spacing w:line="440" w:lineRule="exact"/>
              <w:ind w:left="105" w:leftChars="50" w:firstLine="400"/>
              <w:jc w:val="center"/>
              <w:rPr>
                <w:rFonts w:hint="default" w:ascii="Times New Roman" w:hAnsi="Times New Roman" w:cs="Times New Roman"/>
                <w:color w:val="auto"/>
                <w:sz w:val="21"/>
                <w:szCs w:val="21"/>
                <w:highlight w:val="none"/>
              </w:rPr>
            </w:pPr>
          </w:p>
        </w:tc>
        <w:tc>
          <w:tcPr>
            <w:tcW w:w="1585" w:type="dxa"/>
            <w:gridSpan w:val="2"/>
            <w:vAlign w:val="center"/>
          </w:tcPr>
          <w:p>
            <w:pPr>
              <w:pStyle w:val="117"/>
              <w:spacing w:line="440" w:lineRule="exact"/>
              <w:ind w:firstLine="0" w:firstLineChars="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投标保证金</w:t>
            </w:r>
          </w:p>
        </w:tc>
        <w:tc>
          <w:tcPr>
            <w:tcW w:w="6643" w:type="dxa"/>
            <w:gridSpan w:val="2"/>
            <w:vAlign w:val="center"/>
          </w:tcPr>
          <w:p>
            <w:pPr>
              <w:pStyle w:val="117"/>
              <w:spacing w:line="440" w:lineRule="exact"/>
              <w:ind w:left="105" w:leftChars="50" w:firstLine="42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人民币</w:t>
            </w:r>
            <w:r>
              <w:rPr>
                <w:rFonts w:hint="eastAsia" w:ascii="Times New Roman" w:hAnsi="Times New Roman" w:cs="Times New Roman"/>
                <w:color w:val="auto"/>
                <w:kern w:val="2"/>
                <w:sz w:val="21"/>
                <w:szCs w:val="21"/>
                <w:highlight w:val="none"/>
                <w:lang w:val="en-US" w:eastAsia="zh-CN"/>
              </w:rPr>
              <w:t>80</w:t>
            </w:r>
            <w:r>
              <w:rPr>
                <w:rFonts w:hint="default" w:ascii="Times New Roman" w:hAnsi="Times New Roman" w:cs="Times New Roman"/>
                <w:color w:val="auto"/>
                <w:kern w:val="2"/>
                <w:sz w:val="21"/>
                <w:szCs w:val="21"/>
                <w:highlight w:val="none"/>
              </w:rPr>
              <w:t>0000 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jc w:val="center"/>
        </w:trPr>
        <w:tc>
          <w:tcPr>
            <w:tcW w:w="1411" w:type="dxa"/>
            <w:gridSpan w:val="2"/>
            <w:vMerge w:val="continue"/>
            <w:tcBorders>
              <w:top w:val="nil"/>
            </w:tcBorders>
            <w:vAlign w:val="center"/>
          </w:tcPr>
          <w:p>
            <w:pPr>
              <w:spacing w:line="440" w:lineRule="exact"/>
              <w:ind w:left="105" w:leftChars="50" w:firstLine="400"/>
              <w:jc w:val="center"/>
              <w:rPr>
                <w:rFonts w:hint="default" w:ascii="Times New Roman" w:hAnsi="Times New Roman" w:cs="Times New Roman"/>
                <w:color w:val="auto"/>
                <w:sz w:val="21"/>
                <w:szCs w:val="21"/>
                <w:highlight w:val="none"/>
              </w:rPr>
            </w:pPr>
          </w:p>
        </w:tc>
        <w:tc>
          <w:tcPr>
            <w:tcW w:w="1585" w:type="dxa"/>
            <w:gridSpan w:val="2"/>
            <w:vAlign w:val="center"/>
          </w:tcPr>
          <w:p>
            <w:pPr>
              <w:pStyle w:val="117"/>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技术标准和要求</w:t>
            </w:r>
          </w:p>
        </w:tc>
        <w:tc>
          <w:tcPr>
            <w:tcW w:w="6643" w:type="dxa"/>
            <w:gridSpan w:val="2"/>
            <w:vAlign w:val="center"/>
          </w:tcPr>
          <w:p>
            <w:pPr>
              <w:pStyle w:val="117"/>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符合第五章“招标项目技术要求”规定，若不符合第五章技术要求规定，将不再进行评审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jc w:val="center"/>
        </w:trPr>
        <w:tc>
          <w:tcPr>
            <w:tcW w:w="1411" w:type="dxa"/>
            <w:gridSpan w:val="2"/>
            <w:vMerge w:val="continue"/>
            <w:tcBorders>
              <w:top w:val="nil"/>
              <w:bottom w:val="single" w:color="000000" w:sz="4" w:space="0"/>
            </w:tcBorders>
            <w:vAlign w:val="center"/>
          </w:tcPr>
          <w:p>
            <w:pPr>
              <w:spacing w:line="440" w:lineRule="exact"/>
              <w:ind w:left="105" w:leftChars="50" w:firstLine="400"/>
              <w:jc w:val="center"/>
              <w:rPr>
                <w:rFonts w:hint="default" w:ascii="Times New Roman" w:hAnsi="Times New Roman" w:cs="Times New Roman"/>
                <w:color w:val="auto"/>
                <w:sz w:val="21"/>
                <w:szCs w:val="21"/>
                <w:highlight w:val="none"/>
              </w:rPr>
            </w:pPr>
          </w:p>
        </w:tc>
        <w:tc>
          <w:tcPr>
            <w:tcW w:w="1585" w:type="dxa"/>
            <w:gridSpan w:val="2"/>
            <w:tcBorders>
              <w:bottom w:val="single" w:color="000000" w:sz="4" w:space="0"/>
            </w:tcBorders>
            <w:vAlign w:val="center"/>
          </w:tcPr>
          <w:p>
            <w:pPr>
              <w:pStyle w:val="117"/>
              <w:spacing w:line="440" w:lineRule="exact"/>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投标文件其他响应</w:t>
            </w:r>
          </w:p>
        </w:tc>
        <w:tc>
          <w:tcPr>
            <w:tcW w:w="6643" w:type="dxa"/>
            <w:gridSpan w:val="2"/>
            <w:tcBorders>
              <w:bottom w:val="single" w:color="000000" w:sz="4" w:space="0"/>
            </w:tcBorders>
            <w:vAlign w:val="center"/>
          </w:tcPr>
          <w:p>
            <w:pPr>
              <w:pStyle w:val="117"/>
              <w:spacing w:line="440" w:lineRule="exact"/>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符合法律、法规和招标文件中规定的其他实质性要求的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jc w:val="center"/>
        </w:trPr>
        <w:tc>
          <w:tcPr>
            <w:tcW w:w="3335" w:type="dxa"/>
            <w:gridSpan w:val="5"/>
            <w:tcBorders>
              <w:top w:val="single" w:color="000000" w:sz="4" w:space="0"/>
              <w:bottom w:val="single" w:color="000000" w:sz="4" w:space="0"/>
              <w:right w:val="single" w:color="000000" w:sz="4" w:space="0"/>
            </w:tcBorders>
            <w:vAlign w:val="center"/>
          </w:tcPr>
          <w:p>
            <w:pPr>
              <w:pStyle w:val="117"/>
              <w:spacing w:line="240" w:lineRule="auto"/>
              <w:ind w:left="105" w:leftChars="50" w:right="903"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分值构成</w:t>
            </w:r>
          </w:p>
        </w:tc>
        <w:tc>
          <w:tcPr>
            <w:tcW w:w="6304" w:type="dxa"/>
            <w:tcBorders>
              <w:top w:val="single" w:color="000000" w:sz="4" w:space="0"/>
              <w:left w:val="single" w:color="000000" w:sz="4" w:space="0"/>
              <w:bottom w:val="single" w:color="000000" w:sz="4" w:space="0"/>
            </w:tcBorders>
            <w:vAlign w:val="center"/>
          </w:tcPr>
          <w:p>
            <w:pPr>
              <w:pStyle w:val="117"/>
              <w:spacing w:line="240" w:lineRule="auto"/>
              <w:ind w:left="105" w:leftChars="50" w:firstLine="4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报价部分（</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0分）</w:t>
            </w:r>
          </w:p>
          <w:p>
            <w:pPr>
              <w:pStyle w:val="117"/>
              <w:spacing w:line="240" w:lineRule="auto"/>
              <w:ind w:left="105" w:leftChars="50" w:firstLine="4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技术部分（</w:t>
            </w:r>
            <w:r>
              <w:rPr>
                <w:rFonts w:hint="eastAsia" w:ascii="Times New Roman" w:hAnsi="Times New Roman" w:cs="Times New Roman"/>
                <w:color w:val="auto"/>
                <w:sz w:val="21"/>
                <w:szCs w:val="21"/>
                <w:highlight w:val="none"/>
                <w:lang w:val="en-US" w:eastAsia="zh-CN"/>
              </w:rPr>
              <w:t>40</w:t>
            </w:r>
            <w:r>
              <w:rPr>
                <w:rFonts w:hint="default" w:ascii="Times New Roman" w:hAnsi="Times New Roman" w:cs="Times New Roman"/>
                <w:color w:val="auto"/>
                <w:spacing w:val="-30"/>
                <w:sz w:val="21"/>
                <w:szCs w:val="21"/>
                <w:highlight w:val="none"/>
              </w:rPr>
              <w:t>分</w:t>
            </w:r>
            <w:r>
              <w:rPr>
                <w:rFonts w:hint="default" w:ascii="Times New Roman" w:hAnsi="Times New Roman" w:cs="Times New Roman"/>
                <w:color w:val="auto"/>
                <w:sz w:val="21"/>
                <w:szCs w:val="21"/>
                <w:highlight w:val="none"/>
              </w:rPr>
              <w:t>）</w:t>
            </w:r>
          </w:p>
          <w:p>
            <w:pPr>
              <w:pStyle w:val="117"/>
              <w:spacing w:line="240" w:lineRule="auto"/>
              <w:ind w:left="105" w:leftChars="50" w:right="903" w:firstLine="4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商务部分（</w:t>
            </w:r>
            <w:r>
              <w:rPr>
                <w:rFonts w:hint="eastAsia" w:ascii="Times New Roman" w:hAnsi="Times New Roman" w:cs="Times New Roman"/>
                <w:color w:val="auto"/>
                <w:sz w:val="21"/>
                <w:szCs w:val="21"/>
                <w:highlight w:val="none"/>
                <w:lang w:val="en-US" w:eastAsia="zh-CN"/>
              </w:rPr>
              <w:t>20</w:t>
            </w:r>
            <w:r>
              <w:rPr>
                <w:rFonts w:hint="default" w:ascii="Times New Roman" w:hAnsi="Times New Roman" w:cs="Times New Roman"/>
                <w:color w:val="auto"/>
                <w:spacing w:val="-30"/>
                <w:sz w:val="21"/>
                <w:szCs w:val="21"/>
                <w:highlight w:val="none"/>
              </w:rPr>
              <w:t>分</w:t>
            </w:r>
            <w:r>
              <w:rPr>
                <w:rFonts w:hint="default" w:ascii="Times New Roman" w:hAnsi="Times New Roman" w:cs="Times New Roman"/>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633" w:type="dxa"/>
            <w:gridSpan w:val="3"/>
            <w:tcBorders>
              <w:top w:val="single" w:color="000000" w:sz="4" w:space="0"/>
              <w:bottom w:val="single" w:color="000000" w:sz="4" w:space="0"/>
              <w:right w:val="single" w:color="000000" w:sz="4" w:space="0"/>
            </w:tcBorders>
            <w:vAlign w:val="center"/>
          </w:tcPr>
          <w:p>
            <w:pPr>
              <w:pStyle w:val="117"/>
              <w:spacing w:line="240" w:lineRule="auto"/>
              <w:ind w:left="105" w:leftChars="50" w:firstLine="482"/>
              <w:jc w:val="center"/>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评分要素</w:t>
            </w: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pPr>
              <w:pStyle w:val="117"/>
              <w:spacing w:line="240" w:lineRule="auto"/>
              <w:ind w:right="87"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分值</w:t>
            </w:r>
          </w:p>
        </w:tc>
        <w:tc>
          <w:tcPr>
            <w:tcW w:w="6304" w:type="dxa"/>
            <w:tcBorders>
              <w:top w:val="single" w:color="000000" w:sz="4" w:space="0"/>
              <w:left w:val="single" w:color="000000" w:sz="4" w:space="0"/>
              <w:bottom w:val="single" w:color="000000" w:sz="4" w:space="0"/>
            </w:tcBorders>
            <w:vAlign w:val="center"/>
          </w:tcPr>
          <w:p>
            <w:pPr>
              <w:pStyle w:val="117"/>
              <w:spacing w:line="240" w:lineRule="auto"/>
              <w:ind w:left="105" w:leftChars="50" w:right="14" w:firstLine="482"/>
              <w:jc w:val="center"/>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jc w:val="center"/>
        </w:trPr>
        <w:tc>
          <w:tcPr>
            <w:tcW w:w="2633" w:type="dxa"/>
            <w:gridSpan w:val="3"/>
            <w:tcBorders>
              <w:top w:val="single" w:color="000000" w:sz="4" w:space="0"/>
              <w:bottom w:val="single" w:color="000000" w:sz="4" w:space="0"/>
              <w:right w:val="single" w:color="000000" w:sz="4" w:space="0"/>
            </w:tcBorders>
            <w:vAlign w:val="center"/>
          </w:tcPr>
          <w:p>
            <w:pPr>
              <w:pStyle w:val="117"/>
              <w:spacing w:line="240" w:lineRule="auto"/>
              <w:ind w:left="105" w:leftChars="50" w:firstLine="40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报价部分</w:t>
            </w: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pPr>
              <w:pStyle w:val="117"/>
              <w:spacing w:line="240" w:lineRule="auto"/>
              <w:ind w:right="88" w:firstLine="0" w:firstLineChars="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40</w:t>
            </w:r>
            <w:r>
              <w:rPr>
                <w:rFonts w:hint="default" w:ascii="Times New Roman" w:hAnsi="Times New Roman" w:cs="Times New Roman"/>
                <w:color w:val="auto"/>
                <w:sz w:val="21"/>
                <w:szCs w:val="21"/>
                <w:highlight w:val="none"/>
              </w:rPr>
              <w:t>分</w:t>
            </w:r>
          </w:p>
        </w:tc>
        <w:tc>
          <w:tcPr>
            <w:tcW w:w="6304" w:type="dxa"/>
            <w:tcBorders>
              <w:top w:val="single" w:color="000000" w:sz="4" w:space="0"/>
              <w:left w:val="single" w:color="000000" w:sz="4" w:space="0"/>
              <w:bottom w:val="single" w:color="000000" w:sz="4" w:space="0"/>
            </w:tcBorders>
            <w:vAlign w:val="center"/>
          </w:tcPr>
          <w:p>
            <w:pPr>
              <w:pStyle w:val="117"/>
              <w:numPr>
                <w:ilvl w:val="0"/>
                <w:numId w:val="0"/>
              </w:numPr>
              <w:spacing w:line="240" w:lineRule="auto"/>
              <w:ind w:firstLine="420" w:firstLineChars="200"/>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炉渣</w:t>
            </w:r>
            <w:r>
              <w:rPr>
                <w:rFonts w:hint="eastAsia" w:ascii="Times New Roman" w:hAnsi="Times New Roman" w:cs="Times New Roman"/>
                <w:color w:val="auto"/>
                <w:sz w:val="21"/>
                <w:szCs w:val="21"/>
                <w:highlight w:val="none"/>
                <w:lang w:eastAsia="zh-CN"/>
              </w:rPr>
              <w:t>报价不低于25元/吨，</w:t>
            </w:r>
            <w:r>
              <w:rPr>
                <w:rFonts w:hint="default" w:ascii="Times New Roman" w:hAnsi="Times New Roman" w:cs="Times New Roman"/>
                <w:color w:val="auto"/>
                <w:sz w:val="21"/>
                <w:szCs w:val="21"/>
                <w:highlight w:val="none"/>
              </w:rPr>
              <w:t>对通过初审的投标人报价，以满足招标文件要求且</w:t>
            </w:r>
            <w:r>
              <w:rPr>
                <w:rFonts w:hint="eastAsia" w:ascii="Times New Roman" w:hAnsi="Times New Roman" w:cs="Times New Roman"/>
                <w:color w:val="auto"/>
                <w:sz w:val="21"/>
                <w:szCs w:val="21"/>
                <w:highlight w:val="none"/>
                <w:lang w:eastAsia="zh-CN"/>
              </w:rPr>
              <w:t>报价</w:t>
            </w:r>
            <w:r>
              <w:rPr>
                <w:rFonts w:hint="default" w:ascii="Times New Roman" w:hAnsi="Times New Roman" w:cs="Times New Roman"/>
                <w:color w:val="auto"/>
                <w:sz w:val="21"/>
                <w:szCs w:val="21"/>
                <w:highlight w:val="none"/>
              </w:rPr>
              <w:t>最高的报价为评标基准价，其得分为满分，其他投标人的报价得分按照以下公式计算：报价得分=（投标报价/评标基准价）×</w:t>
            </w:r>
            <w:r>
              <w:rPr>
                <w:rFonts w:hint="eastAsia" w:ascii="Times New Roman" w:hAnsi="Times New Roman" w:cs="Times New Roman"/>
                <w:color w:val="auto"/>
                <w:sz w:val="21"/>
                <w:szCs w:val="21"/>
                <w:highlight w:val="none"/>
                <w:lang w:val="en-US" w:eastAsia="zh-CN"/>
              </w:rPr>
              <w:t>40</w:t>
            </w:r>
            <w:r>
              <w:rPr>
                <w:rFonts w:hint="default" w:ascii="Times New Roman" w:hAnsi="Times New Roman" w:cs="Times New Roman"/>
                <w:color w:val="auto"/>
                <w:sz w:val="21"/>
                <w:szCs w:val="21"/>
                <w:highlight w:val="none"/>
              </w:rPr>
              <w:t>(最终计算分值保留小数点后两位)</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40分</w:t>
            </w:r>
            <w:r>
              <w:rPr>
                <w:rFonts w:hint="eastAsia" w:ascii="Times New Roman" w:hAnsi="Times New Roman" w:cs="Times New Roman"/>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2" w:hRule="atLeast"/>
          <w:jc w:val="center"/>
        </w:trPr>
        <w:tc>
          <w:tcPr>
            <w:tcW w:w="1293" w:type="dxa"/>
            <w:vMerge w:val="restart"/>
            <w:tcBorders>
              <w:top w:val="single" w:color="000000" w:sz="4" w:space="0"/>
              <w:bottom w:val="single" w:color="000000" w:sz="4" w:space="0"/>
              <w:right w:val="single" w:color="000000" w:sz="4" w:space="0"/>
            </w:tcBorders>
            <w:vAlign w:val="center"/>
          </w:tcPr>
          <w:p>
            <w:pPr>
              <w:pStyle w:val="117"/>
              <w:spacing w:line="240" w:lineRule="auto"/>
              <w:ind w:right="304" w:firstLine="0" w:firstLineChars="0"/>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技术部分（</w:t>
            </w:r>
            <w:r>
              <w:rPr>
                <w:rFonts w:hint="eastAsia" w:ascii="Times New Roman" w:hAnsi="Times New Roman" w:cs="Times New Roman"/>
                <w:color w:val="auto"/>
                <w:sz w:val="21"/>
                <w:szCs w:val="21"/>
                <w:highlight w:val="none"/>
                <w:lang w:val="en-US" w:eastAsia="zh-CN"/>
              </w:rPr>
              <w:t>40</w:t>
            </w:r>
            <w:r>
              <w:rPr>
                <w:rFonts w:hint="default" w:ascii="Times New Roman" w:hAnsi="Times New Roman" w:cs="Times New Roman"/>
                <w:color w:val="auto"/>
                <w:spacing w:val="-33"/>
                <w:sz w:val="21"/>
                <w:szCs w:val="21"/>
                <w:highlight w:val="none"/>
              </w:rPr>
              <w:t>分</w:t>
            </w:r>
            <w:r>
              <w:rPr>
                <w:rFonts w:hint="default" w:ascii="Times New Roman" w:hAnsi="Times New Roman" w:cs="Times New Roman"/>
                <w:color w:val="auto"/>
                <w:spacing w:val="-11"/>
                <w:sz w:val="21"/>
                <w:szCs w:val="21"/>
                <w:highlight w:val="none"/>
              </w:rPr>
              <w:t>）</w:t>
            </w:r>
          </w:p>
        </w:tc>
        <w:tc>
          <w:tcPr>
            <w:tcW w:w="13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综合利用</w:t>
            </w:r>
          </w:p>
          <w:p>
            <w:pPr>
              <w:keepNext w:val="0"/>
              <w:keepLines w:val="0"/>
              <w:widowControl/>
              <w:suppressLineNumbers w:val="0"/>
              <w:ind w:left="0" w:leftChars="0" w:firstLine="0" w:firstLineChars="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方案</w:t>
            </w:r>
          </w:p>
          <w:p>
            <w:pPr>
              <w:pStyle w:val="117"/>
              <w:spacing w:line="240" w:lineRule="auto"/>
              <w:ind w:right="129" w:firstLine="0" w:firstLineChars="0"/>
              <w:jc w:val="both"/>
              <w:rPr>
                <w:rFonts w:hint="default" w:ascii="Times New Roman" w:hAnsi="Times New Roman" w:cs="Times New Roman"/>
                <w:color w:val="auto"/>
                <w:sz w:val="21"/>
                <w:szCs w:val="21"/>
                <w:highlight w:val="none"/>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pPr>
              <w:pStyle w:val="117"/>
              <w:spacing w:line="240" w:lineRule="auto"/>
              <w:ind w:right="88"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分</w:t>
            </w:r>
          </w:p>
        </w:tc>
        <w:tc>
          <w:tcPr>
            <w:tcW w:w="6304"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rPr>
                <w:color w:val="auto"/>
                <w:sz w:val="21"/>
                <w:szCs w:val="21"/>
                <w:highlight w:val="none"/>
              </w:rPr>
            </w:pPr>
            <w:r>
              <w:rPr>
                <w:rFonts w:hint="eastAsia"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炉渣综合利用的工艺方案，具有技术先进性和可行性，</w:t>
            </w:r>
            <w:r>
              <w:rPr>
                <w:rFonts w:hint="eastAsia" w:cs="Times New Roman"/>
                <w:color w:val="auto"/>
                <w:sz w:val="21"/>
                <w:szCs w:val="21"/>
                <w:highlight w:val="none"/>
                <w:lang w:val="en-US" w:eastAsia="zh-CN"/>
              </w:rPr>
              <w:t>0-4分</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（4分）</w:t>
            </w:r>
          </w:p>
          <w:p>
            <w:pPr>
              <w:keepNext w:val="0"/>
              <w:keepLines w:val="0"/>
              <w:widowControl/>
              <w:suppressLineNumbers w:val="0"/>
              <w:jc w:val="left"/>
              <w:rPr>
                <w:color w:val="auto"/>
                <w:sz w:val="21"/>
                <w:szCs w:val="21"/>
                <w:highlight w:val="none"/>
              </w:rPr>
            </w:pPr>
            <w:r>
              <w:rPr>
                <w:rFonts w:hint="eastAsia"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炉渣综合利用处理工厂建设科学方案，布局合理，场地规模与地理位置合理，建设进度计划安排合理，</w:t>
            </w:r>
            <w:r>
              <w:rPr>
                <w:rFonts w:hint="eastAsia" w:cs="Times New Roman"/>
                <w:color w:val="auto"/>
                <w:sz w:val="21"/>
                <w:szCs w:val="21"/>
                <w:highlight w:val="none"/>
                <w:lang w:val="en-US" w:eastAsia="zh-CN"/>
              </w:rPr>
              <w:t>0-4分</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（4分）</w:t>
            </w:r>
            <w:r>
              <w:rPr>
                <w:rFonts w:hint="eastAsia" w:ascii="宋体" w:hAnsi="宋体" w:eastAsia="宋体" w:cs="宋体"/>
                <w:color w:val="auto"/>
                <w:kern w:val="0"/>
                <w:sz w:val="21"/>
                <w:szCs w:val="21"/>
                <w:highlight w:val="none"/>
                <w:lang w:val="en-US" w:eastAsia="zh-CN" w:bidi="ar"/>
              </w:rPr>
              <w:t xml:space="preserve"> </w:t>
            </w:r>
          </w:p>
          <w:p>
            <w:pPr>
              <w:keepNext w:val="0"/>
              <w:keepLines w:val="0"/>
              <w:widowControl/>
              <w:suppressLineNumbers w:val="0"/>
              <w:jc w:val="left"/>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炉渣综合利用运营方案完</w:t>
            </w:r>
            <w:r>
              <w:rPr>
                <w:rFonts w:hint="eastAsia" w:ascii="Times New Roman" w:hAnsi="Times New Roman" w:eastAsia="宋体" w:cs="Times New Roman"/>
                <w:color w:val="auto"/>
                <w:kern w:val="2"/>
                <w:sz w:val="21"/>
                <w:szCs w:val="21"/>
                <w:highlight w:val="none"/>
                <w:lang w:val="en-US" w:eastAsia="zh-CN" w:bidi="ar-SA"/>
              </w:rPr>
              <w:t>善，生产和财务数据分析科学，公司组织架构配置合理，0-4分；（4分）</w:t>
            </w:r>
          </w:p>
          <w:p>
            <w:pPr>
              <w:keepNext w:val="0"/>
              <w:keepLines w:val="0"/>
              <w:widowControl/>
              <w:suppressLineNumbers w:val="0"/>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管理制度；建设运行资料、实施方案及保障措施，0-4分。（4分）</w:t>
            </w:r>
          </w:p>
          <w:p>
            <w:pPr>
              <w:keepNext w:val="0"/>
              <w:keepLines w:val="0"/>
              <w:widowControl/>
              <w:suppressLineNumbers w:val="0"/>
              <w:jc w:val="left"/>
              <w:rPr>
                <w:rFonts w:hint="default" w:ascii="Times New Roman" w:hAnsi="Times New Roman"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jc w:val="center"/>
        </w:trPr>
        <w:tc>
          <w:tcPr>
            <w:tcW w:w="1293" w:type="dxa"/>
            <w:vMerge w:val="continue"/>
            <w:tcBorders>
              <w:top w:val="single" w:color="000000" w:sz="4" w:space="0"/>
              <w:bottom w:val="single" w:color="000000" w:sz="4" w:space="0"/>
              <w:right w:val="single" w:color="000000" w:sz="4" w:space="0"/>
            </w:tcBorders>
            <w:vAlign w:val="center"/>
          </w:tcPr>
          <w:p>
            <w:pPr>
              <w:pStyle w:val="117"/>
              <w:spacing w:line="240" w:lineRule="auto"/>
              <w:ind w:left="105" w:leftChars="50" w:right="903" w:firstLine="400"/>
              <w:jc w:val="center"/>
              <w:rPr>
                <w:rFonts w:hint="default" w:ascii="Times New Roman" w:hAnsi="Times New Roman" w:cs="Times New Roman"/>
                <w:color w:val="auto"/>
                <w:sz w:val="21"/>
                <w:szCs w:val="21"/>
                <w:highlight w:val="none"/>
              </w:rPr>
            </w:pPr>
          </w:p>
        </w:tc>
        <w:tc>
          <w:tcPr>
            <w:tcW w:w="1340" w:type="dxa"/>
            <w:gridSpan w:val="2"/>
            <w:tcBorders>
              <w:top w:val="single" w:color="000000" w:sz="4" w:space="0"/>
              <w:left w:val="single" w:color="000000" w:sz="4" w:space="0"/>
              <w:bottom w:val="single" w:color="000000" w:sz="4" w:space="0"/>
              <w:right w:val="single" w:color="000000" w:sz="4" w:space="0"/>
            </w:tcBorders>
            <w:vAlign w:val="center"/>
          </w:tcPr>
          <w:p>
            <w:pPr>
              <w:pStyle w:val="117"/>
              <w:spacing w:line="240" w:lineRule="auto"/>
              <w:ind w:right="129" w:firstLine="0" w:firstLineChars="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设计方案及工艺</w:t>
            </w: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pPr>
              <w:pStyle w:val="117"/>
              <w:spacing w:line="240" w:lineRule="auto"/>
              <w:ind w:right="88"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10分</w:t>
            </w:r>
          </w:p>
        </w:tc>
        <w:tc>
          <w:tcPr>
            <w:tcW w:w="6304" w:type="dxa"/>
            <w:tcBorders>
              <w:top w:val="single" w:color="000000" w:sz="4" w:space="0"/>
              <w:left w:val="single" w:color="000000" w:sz="4" w:space="0"/>
              <w:bottom w:val="single" w:color="000000" w:sz="4" w:space="0"/>
            </w:tcBorders>
            <w:vAlign w:val="center"/>
          </w:tcPr>
          <w:p>
            <w:pPr>
              <w:pStyle w:val="117"/>
              <w:spacing w:line="240" w:lineRule="auto"/>
              <w:ind w:left="105" w:leftChars="50" w:right="91" w:firstLine="392"/>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2"/>
                <w:sz w:val="21"/>
                <w:szCs w:val="21"/>
                <w:highlight w:val="none"/>
              </w:rPr>
              <w:t>设计方案科学实用，总图布局合理，工艺选择技术可行经济合理，熟悉周边环境，适应博爱县当地发展建设模</w:t>
            </w:r>
            <w:r>
              <w:rPr>
                <w:rFonts w:hint="default" w:ascii="Times New Roman" w:hAnsi="Times New Roman" w:cs="Times New Roman"/>
                <w:color w:val="auto"/>
                <w:spacing w:val="-4"/>
                <w:sz w:val="21"/>
                <w:szCs w:val="21"/>
                <w:highlight w:val="none"/>
              </w:rPr>
              <w:t>式</w:t>
            </w:r>
            <w:r>
              <w:rPr>
                <w:rFonts w:hint="eastAsia" w:ascii="Times New Roman" w:hAnsi="Times New Roman" w:cs="Times New Roman"/>
                <w:color w:val="auto"/>
                <w:spacing w:val="-2"/>
                <w:sz w:val="21"/>
                <w:szCs w:val="21"/>
                <w:highlight w:val="none"/>
                <w:lang w:eastAsia="zh-CN"/>
              </w:rPr>
              <w:t>，</w:t>
            </w:r>
            <w:r>
              <w:rPr>
                <w:rFonts w:hint="default" w:ascii="Times New Roman" w:hAnsi="Times New Roman" w:cs="Times New Roman"/>
                <w:color w:val="auto"/>
                <w:spacing w:val="-2"/>
                <w:sz w:val="21"/>
                <w:szCs w:val="21"/>
                <w:highlight w:val="none"/>
              </w:rPr>
              <w:t>方案优者得7-10分、良好者得</w:t>
            </w:r>
            <w:r>
              <w:rPr>
                <w:rFonts w:hint="eastAsia" w:ascii="Times New Roman" w:hAnsi="Times New Roman" w:cs="Times New Roman"/>
                <w:color w:val="auto"/>
                <w:spacing w:val="-2"/>
                <w:sz w:val="21"/>
                <w:szCs w:val="21"/>
                <w:highlight w:val="none"/>
                <w:lang w:val="en-US" w:eastAsia="zh-CN"/>
              </w:rPr>
              <w:t>4</w:t>
            </w:r>
            <w:r>
              <w:rPr>
                <w:rFonts w:hint="default" w:ascii="Times New Roman" w:hAnsi="Times New Roman" w:cs="Times New Roman"/>
                <w:color w:val="auto"/>
                <w:spacing w:val="-2"/>
                <w:sz w:val="21"/>
                <w:szCs w:val="21"/>
                <w:highlight w:val="none"/>
              </w:rPr>
              <w:t>-6分、一般者得0-3分。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2" w:hRule="atLeast"/>
          <w:jc w:val="center"/>
        </w:trPr>
        <w:tc>
          <w:tcPr>
            <w:tcW w:w="1293" w:type="dxa"/>
            <w:vMerge w:val="continue"/>
            <w:tcBorders>
              <w:top w:val="single" w:color="000000" w:sz="4" w:space="0"/>
              <w:bottom w:val="single" w:color="000000" w:sz="4" w:space="0"/>
              <w:right w:val="single" w:color="000000" w:sz="4" w:space="0"/>
            </w:tcBorders>
            <w:vAlign w:val="center"/>
          </w:tcPr>
          <w:p>
            <w:pPr>
              <w:pStyle w:val="117"/>
              <w:spacing w:line="240" w:lineRule="auto"/>
              <w:ind w:left="105" w:leftChars="50" w:right="903" w:firstLine="400"/>
              <w:jc w:val="center"/>
              <w:rPr>
                <w:rFonts w:hint="default" w:ascii="Times New Roman" w:hAnsi="Times New Roman" w:cs="Times New Roman"/>
                <w:color w:val="auto"/>
                <w:sz w:val="21"/>
                <w:szCs w:val="21"/>
                <w:highlight w:val="none"/>
              </w:rPr>
            </w:pPr>
          </w:p>
        </w:tc>
        <w:tc>
          <w:tcPr>
            <w:tcW w:w="1340" w:type="dxa"/>
            <w:gridSpan w:val="2"/>
            <w:tcBorders>
              <w:top w:val="single" w:color="000000" w:sz="4" w:space="0"/>
              <w:left w:val="single" w:color="000000" w:sz="4" w:space="0"/>
              <w:bottom w:val="single" w:color="000000" w:sz="4" w:space="0"/>
              <w:right w:val="single" w:color="000000" w:sz="4" w:space="0"/>
            </w:tcBorders>
            <w:vAlign w:val="center"/>
          </w:tcPr>
          <w:p>
            <w:pPr>
              <w:pStyle w:val="117"/>
              <w:spacing w:line="240" w:lineRule="auto"/>
              <w:ind w:firstLine="0" w:firstLineChars="0"/>
              <w:jc w:val="both"/>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环保措施</w:t>
            </w: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pPr>
              <w:pStyle w:val="117"/>
              <w:spacing w:line="240" w:lineRule="auto"/>
              <w:ind w:right="88"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c>
          <w:tcPr>
            <w:tcW w:w="6304" w:type="dxa"/>
            <w:tcBorders>
              <w:top w:val="single" w:color="000000" w:sz="4" w:space="0"/>
              <w:left w:val="single" w:color="000000" w:sz="4" w:space="0"/>
              <w:bottom w:val="single" w:color="000000" w:sz="4" w:space="0"/>
            </w:tcBorders>
            <w:vAlign w:val="center"/>
          </w:tcPr>
          <w:p>
            <w:pPr>
              <w:pStyle w:val="117"/>
              <w:spacing w:line="240" w:lineRule="auto"/>
              <w:ind w:left="105" w:leftChars="50" w:right="14" w:firstLine="400"/>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1.对炉渣运输方式进行环保优化方案，0-5分</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5分</w:t>
            </w:r>
            <w:r>
              <w:rPr>
                <w:rFonts w:hint="eastAsia" w:ascii="Times New Roman" w:hAnsi="Times New Roman" w:cs="Times New Roman"/>
                <w:color w:val="auto"/>
                <w:sz w:val="21"/>
                <w:szCs w:val="21"/>
                <w:highlight w:val="none"/>
                <w:lang w:eastAsia="zh-CN"/>
              </w:rPr>
              <w:t>）</w:t>
            </w:r>
          </w:p>
          <w:p>
            <w:pPr>
              <w:pStyle w:val="117"/>
              <w:spacing w:line="240" w:lineRule="auto"/>
              <w:ind w:left="105" w:leftChars="50" w:right="14" w:firstLine="400"/>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2.生产工艺及生产过程中进行环保优化方案，0-5分</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5分</w:t>
            </w:r>
            <w:r>
              <w:rPr>
                <w:rFonts w:hint="eastAsia" w:ascii="Times New Roman" w:hAnsi="Times New Roman" w:cs="Times New Roman"/>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jc w:val="center"/>
        </w:trPr>
        <w:tc>
          <w:tcPr>
            <w:tcW w:w="1293" w:type="dxa"/>
            <w:vMerge w:val="continue"/>
            <w:tcBorders>
              <w:top w:val="single" w:color="000000" w:sz="4" w:space="0"/>
              <w:bottom w:val="single" w:color="000000" w:sz="4" w:space="0"/>
              <w:right w:val="single" w:color="000000" w:sz="4" w:space="0"/>
            </w:tcBorders>
            <w:vAlign w:val="center"/>
          </w:tcPr>
          <w:p>
            <w:pPr>
              <w:pStyle w:val="117"/>
              <w:spacing w:line="240" w:lineRule="auto"/>
              <w:ind w:left="105" w:leftChars="50" w:right="903" w:firstLine="400"/>
              <w:jc w:val="center"/>
              <w:rPr>
                <w:rFonts w:hint="default" w:ascii="Times New Roman" w:hAnsi="Times New Roman" w:cs="Times New Roman"/>
                <w:color w:val="auto"/>
                <w:sz w:val="21"/>
                <w:szCs w:val="21"/>
                <w:highlight w:val="none"/>
              </w:rPr>
            </w:pPr>
          </w:p>
        </w:tc>
        <w:tc>
          <w:tcPr>
            <w:tcW w:w="1340" w:type="dxa"/>
            <w:gridSpan w:val="2"/>
            <w:tcBorders>
              <w:top w:val="single" w:color="000000" w:sz="4" w:space="0"/>
              <w:left w:val="single" w:color="000000" w:sz="4" w:space="0"/>
              <w:bottom w:val="single" w:color="000000" w:sz="4" w:space="0"/>
              <w:right w:val="single" w:color="000000" w:sz="4" w:space="0"/>
            </w:tcBorders>
            <w:vAlign w:val="center"/>
          </w:tcPr>
          <w:p>
            <w:pPr>
              <w:pStyle w:val="117"/>
              <w:spacing w:line="240" w:lineRule="auto"/>
              <w:ind w:firstLine="0" w:firstLineChars="0"/>
              <w:jc w:val="both"/>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cs="宋体"/>
                <w:color w:val="auto"/>
                <w:sz w:val="21"/>
                <w:szCs w:val="21"/>
                <w:highlight w:val="none"/>
              </w:rPr>
              <w:t>事故应急预案与响应</w:t>
            </w: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pPr>
              <w:pStyle w:val="117"/>
              <w:spacing w:line="240" w:lineRule="auto"/>
              <w:ind w:right="88"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4分</w:t>
            </w:r>
          </w:p>
        </w:tc>
        <w:tc>
          <w:tcPr>
            <w:tcW w:w="6304" w:type="dxa"/>
            <w:tcBorders>
              <w:top w:val="single" w:color="000000" w:sz="4" w:space="0"/>
              <w:left w:val="single" w:color="000000" w:sz="4" w:space="0"/>
              <w:bottom w:val="single" w:color="000000" w:sz="4" w:space="0"/>
            </w:tcBorders>
            <w:vAlign w:val="center"/>
          </w:tcPr>
          <w:p>
            <w:pPr>
              <w:pStyle w:val="117"/>
              <w:spacing w:line="240" w:lineRule="auto"/>
              <w:ind w:left="105" w:leftChars="50" w:right="14" w:rightChars="0" w:firstLine="400" w:firstLineChars="0"/>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包括生产应急方案、运输应急方案、环保应急方案、安全应急方案、应急备选处理场地</w:t>
            </w:r>
            <w:r>
              <w:rPr>
                <w:rFonts w:hint="eastAsia" w:ascii="宋体" w:hAnsi="宋体"/>
                <w:color w:val="auto"/>
                <w:sz w:val="21"/>
                <w:szCs w:val="21"/>
                <w:highlight w:val="none"/>
                <w:lang w:eastAsia="zh-CN"/>
              </w:rPr>
              <w:t>等</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0-4分</w:t>
            </w:r>
            <w:r>
              <w:rPr>
                <w:rFonts w:hint="eastAsia" w:ascii="宋体" w:hAnsi="宋体" w:eastAsia="宋体" w:cs="宋体"/>
                <w:color w:val="auto"/>
                <w:kern w:val="0"/>
                <w:sz w:val="21"/>
                <w:szCs w:val="21"/>
                <w:highlight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0" w:hRule="atLeast"/>
          <w:jc w:val="center"/>
        </w:trPr>
        <w:tc>
          <w:tcPr>
            <w:tcW w:w="1293" w:type="dxa"/>
            <w:vMerge w:val="restart"/>
            <w:tcBorders>
              <w:top w:val="single" w:color="000000" w:sz="4" w:space="0"/>
              <w:bottom w:val="single" w:color="000000" w:sz="4" w:space="0"/>
              <w:right w:val="single" w:color="000000" w:sz="4" w:space="0"/>
            </w:tcBorders>
            <w:vAlign w:val="center"/>
          </w:tcPr>
          <w:p>
            <w:pPr>
              <w:pStyle w:val="117"/>
              <w:spacing w:line="240" w:lineRule="auto"/>
              <w:ind w:left="105" w:leftChars="50" w:firstLine="400"/>
              <w:jc w:val="center"/>
              <w:rPr>
                <w:rFonts w:hint="default" w:ascii="Times New Roman" w:hAnsi="Times New Roman" w:cs="Times New Roman"/>
                <w:color w:val="auto"/>
                <w:sz w:val="21"/>
                <w:szCs w:val="21"/>
                <w:highlight w:val="none"/>
              </w:rPr>
            </w:pPr>
          </w:p>
          <w:p>
            <w:pPr>
              <w:pStyle w:val="117"/>
              <w:spacing w:line="240" w:lineRule="auto"/>
              <w:ind w:left="105" w:leftChars="50" w:firstLine="400"/>
              <w:jc w:val="center"/>
              <w:rPr>
                <w:rFonts w:hint="default" w:ascii="Times New Roman" w:hAnsi="Times New Roman" w:cs="Times New Roman"/>
                <w:color w:val="auto"/>
                <w:sz w:val="21"/>
                <w:szCs w:val="21"/>
                <w:highlight w:val="none"/>
              </w:rPr>
            </w:pPr>
          </w:p>
          <w:p>
            <w:pPr>
              <w:pStyle w:val="117"/>
              <w:spacing w:line="240" w:lineRule="auto"/>
              <w:ind w:right="304" w:firstLine="0" w:firstLineChars="0"/>
              <w:jc w:val="both"/>
              <w:rPr>
                <w:rFonts w:hint="default" w:ascii="Times New Roman" w:hAnsi="Times New Roman" w:cs="Times New Roman"/>
                <w:color w:val="auto"/>
                <w:spacing w:val="-11"/>
                <w:sz w:val="21"/>
                <w:szCs w:val="21"/>
                <w:highlight w:val="none"/>
              </w:rPr>
            </w:pPr>
            <w:r>
              <w:rPr>
                <w:rFonts w:hint="default" w:ascii="Times New Roman" w:hAnsi="Times New Roman" w:cs="Times New Roman"/>
                <w:color w:val="auto"/>
                <w:sz w:val="21"/>
                <w:szCs w:val="21"/>
                <w:highlight w:val="none"/>
              </w:rPr>
              <w:t>商务部分（</w:t>
            </w:r>
            <w:r>
              <w:rPr>
                <w:rFonts w:hint="eastAsia" w:ascii="Times New Roman" w:hAnsi="Times New Roman" w:cs="Times New Roman"/>
                <w:color w:val="auto"/>
                <w:sz w:val="21"/>
                <w:szCs w:val="21"/>
                <w:highlight w:val="none"/>
                <w:lang w:val="en-US" w:eastAsia="zh-CN"/>
              </w:rPr>
              <w:t>20</w:t>
            </w:r>
            <w:r>
              <w:rPr>
                <w:rFonts w:hint="default" w:ascii="Times New Roman" w:hAnsi="Times New Roman" w:cs="Times New Roman"/>
                <w:color w:val="auto"/>
                <w:spacing w:val="-33"/>
                <w:sz w:val="21"/>
                <w:szCs w:val="21"/>
                <w:highlight w:val="none"/>
              </w:rPr>
              <w:t>分</w:t>
            </w:r>
            <w:r>
              <w:rPr>
                <w:rFonts w:hint="default" w:ascii="Times New Roman" w:hAnsi="Times New Roman" w:cs="Times New Roman"/>
                <w:color w:val="auto"/>
                <w:spacing w:val="-11"/>
                <w:sz w:val="21"/>
                <w:szCs w:val="21"/>
                <w:highlight w:val="none"/>
              </w:rPr>
              <w:t>）</w:t>
            </w:r>
          </w:p>
          <w:p>
            <w:pPr>
              <w:pStyle w:val="117"/>
              <w:spacing w:line="240" w:lineRule="auto"/>
              <w:ind w:right="304" w:firstLine="0" w:firstLineChars="0"/>
              <w:jc w:val="both"/>
              <w:rPr>
                <w:rFonts w:hint="eastAsia" w:ascii="Times New Roman" w:hAnsi="Times New Roman" w:eastAsia="宋体" w:cs="Times New Roman"/>
                <w:color w:val="auto"/>
                <w:spacing w:val="-11"/>
                <w:sz w:val="21"/>
                <w:szCs w:val="21"/>
                <w:highlight w:val="none"/>
                <w:lang w:eastAsia="zh-CN"/>
              </w:rPr>
            </w:pPr>
          </w:p>
        </w:tc>
        <w:tc>
          <w:tcPr>
            <w:tcW w:w="1340" w:type="dxa"/>
            <w:gridSpan w:val="2"/>
            <w:tcBorders>
              <w:top w:val="single" w:color="000000" w:sz="4" w:space="0"/>
              <w:left w:val="single" w:color="000000" w:sz="4" w:space="0"/>
              <w:bottom w:val="single" w:color="000000" w:sz="4" w:space="0"/>
              <w:right w:val="single" w:color="000000" w:sz="4" w:space="0"/>
            </w:tcBorders>
            <w:vAlign w:val="center"/>
          </w:tcPr>
          <w:p>
            <w:pPr>
              <w:pStyle w:val="117"/>
              <w:spacing w:line="240" w:lineRule="auto"/>
              <w:ind w:right="129"/>
              <w:jc w:val="center"/>
              <w:rPr>
                <w:rFonts w:hint="default" w:ascii="Times New Roman" w:hAnsi="Times New Roman" w:cs="Times New Roman"/>
                <w:color w:val="auto"/>
                <w:sz w:val="21"/>
                <w:szCs w:val="21"/>
                <w:highlight w:val="none"/>
              </w:rPr>
            </w:pPr>
            <w:r>
              <w:rPr>
                <w:rFonts w:hint="default" w:ascii="宋体" w:hAnsi="宋体" w:cs="宋体"/>
                <w:color w:val="auto"/>
                <w:sz w:val="21"/>
                <w:szCs w:val="21"/>
                <w:highlight w:val="none"/>
              </w:rPr>
              <w:t>自有资金情况</w:t>
            </w: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pPr>
              <w:pStyle w:val="117"/>
              <w:spacing w:line="240" w:lineRule="auto"/>
              <w:ind w:right="88"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6分</w:t>
            </w:r>
          </w:p>
        </w:tc>
        <w:tc>
          <w:tcPr>
            <w:tcW w:w="6304" w:type="dxa"/>
            <w:tcBorders>
              <w:top w:val="single" w:color="000000" w:sz="4" w:space="0"/>
              <w:left w:val="single" w:color="000000" w:sz="4" w:space="0"/>
              <w:bottom w:val="single" w:color="000000" w:sz="4" w:space="0"/>
            </w:tcBorders>
            <w:vAlign w:val="center"/>
          </w:tcPr>
          <w:p>
            <w:pPr>
              <w:pStyle w:val="117"/>
              <w:spacing w:line="240" w:lineRule="auto"/>
              <w:ind w:left="105" w:leftChars="50" w:firstLine="4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能提供自有资本金（不低于2000万元）证明者得</w:t>
            </w:r>
            <w:r>
              <w:rPr>
                <w:rFonts w:hint="eastAsia"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分，不提供者不得分。（提供</w:t>
            </w:r>
            <w:r>
              <w:rPr>
                <w:rFonts w:hint="default" w:ascii="Times New Roman" w:hAnsi="Times New Roman" w:cs="Times New Roman"/>
                <w:color w:val="auto"/>
                <w:sz w:val="21"/>
                <w:szCs w:val="21"/>
                <w:highlight w:val="none"/>
                <w:lang w:eastAsia="zh-CN"/>
              </w:rPr>
              <w:t>开标前</w:t>
            </w:r>
            <w:r>
              <w:rPr>
                <w:rFonts w:hint="default" w:ascii="Times New Roman" w:hAnsi="Times New Roman" w:cs="Times New Roman"/>
                <w:color w:val="auto"/>
                <w:sz w:val="21"/>
                <w:szCs w:val="21"/>
                <w:highlight w:val="none"/>
                <w:lang w:val="en-US" w:eastAsia="zh-CN"/>
              </w:rPr>
              <w:t>3个月内</w:t>
            </w:r>
            <w:r>
              <w:rPr>
                <w:rFonts w:hint="default" w:ascii="Times New Roman" w:hAnsi="Times New Roman" w:cs="Times New Roman"/>
                <w:color w:val="auto"/>
                <w:sz w:val="21"/>
                <w:szCs w:val="21"/>
                <w:highlight w:val="none"/>
              </w:rPr>
              <w:t>银行对公账户的存款证明及企业用于本项目资金的承诺，承诺的自有资金必须按实际的投资计划及时到位。）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jc w:val="center"/>
        </w:trPr>
        <w:tc>
          <w:tcPr>
            <w:tcW w:w="1293" w:type="dxa"/>
            <w:vMerge w:val="continue"/>
            <w:tcBorders>
              <w:top w:val="single" w:color="000000" w:sz="4" w:space="0"/>
              <w:bottom w:val="single" w:color="000000" w:sz="4" w:space="0"/>
              <w:right w:val="single" w:color="000000" w:sz="4" w:space="0"/>
            </w:tcBorders>
            <w:vAlign w:val="center"/>
          </w:tcPr>
          <w:p>
            <w:pPr>
              <w:pStyle w:val="117"/>
              <w:spacing w:line="240" w:lineRule="auto"/>
              <w:ind w:left="105" w:leftChars="50" w:right="903" w:firstLine="400"/>
              <w:jc w:val="center"/>
              <w:rPr>
                <w:rFonts w:hint="default" w:ascii="Times New Roman" w:hAnsi="Times New Roman" w:cs="Times New Roman"/>
                <w:color w:val="auto"/>
                <w:sz w:val="21"/>
                <w:szCs w:val="21"/>
                <w:highlight w:val="none"/>
              </w:rPr>
            </w:pPr>
          </w:p>
        </w:tc>
        <w:tc>
          <w:tcPr>
            <w:tcW w:w="1340" w:type="dxa"/>
            <w:gridSpan w:val="2"/>
            <w:tcBorders>
              <w:top w:val="single" w:color="000000" w:sz="4" w:space="0"/>
              <w:left w:val="single" w:color="000000" w:sz="4" w:space="0"/>
              <w:bottom w:val="single" w:color="000000" w:sz="4" w:space="0"/>
              <w:right w:val="single" w:color="000000" w:sz="4" w:space="0"/>
            </w:tcBorders>
            <w:vAlign w:val="center"/>
          </w:tcPr>
          <w:p>
            <w:pPr>
              <w:pStyle w:val="117"/>
              <w:spacing w:line="240" w:lineRule="auto"/>
              <w:ind w:right="249"/>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体系认证</w:t>
            </w: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pPr>
              <w:pStyle w:val="117"/>
              <w:spacing w:line="240" w:lineRule="auto"/>
              <w:ind w:right="88" w:firstLine="0" w:firstLineChars="0"/>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分</w:t>
            </w:r>
          </w:p>
        </w:tc>
        <w:tc>
          <w:tcPr>
            <w:tcW w:w="6304" w:type="dxa"/>
            <w:tcBorders>
              <w:top w:val="single" w:color="000000" w:sz="4" w:space="0"/>
              <w:left w:val="single" w:color="000000" w:sz="4" w:space="0"/>
              <w:bottom w:val="single" w:color="000000" w:sz="4" w:space="0"/>
            </w:tcBorders>
            <w:vAlign w:val="center"/>
          </w:tcPr>
          <w:p>
            <w:pPr>
              <w:pStyle w:val="117"/>
              <w:spacing w:line="240" w:lineRule="auto"/>
              <w:ind w:left="105" w:leftChars="50" w:right="96" w:firstLine="336"/>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投标人通过质量管理体系认证、环境管理体系认证、职业健康安全管理体系认证的，</w:t>
            </w:r>
            <w:r>
              <w:rPr>
                <w:rFonts w:hint="eastAsia" w:ascii="Times New Roman" w:hAnsi="Times New Roman" w:cs="Times New Roman"/>
                <w:color w:val="auto"/>
                <w:sz w:val="21"/>
                <w:szCs w:val="21"/>
                <w:highlight w:val="none"/>
                <w:lang w:eastAsia="zh-CN"/>
              </w:rPr>
              <w:t>每提供一项得一分，满分</w:t>
            </w:r>
            <w:r>
              <w:rPr>
                <w:rFonts w:hint="eastAsia" w:ascii="Times New Roman" w:hAnsi="Times New Roman" w:cs="Times New Roman"/>
                <w:color w:val="auto"/>
                <w:sz w:val="21"/>
                <w:szCs w:val="21"/>
                <w:highlight w:val="none"/>
                <w:lang w:val="en-US" w:eastAsia="zh-CN"/>
              </w:rPr>
              <w:t>3分</w:t>
            </w:r>
            <w:r>
              <w:rPr>
                <w:rFonts w:hint="default" w:ascii="Times New Roman" w:hAnsi="Times New Roman" w:cs="Times New Roman"/>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jc w:val="center"/>
        </w:trPr>
        <w:tc>
          <w:tcPr>
            <w:tcW w:w="1293" w:type="dxa"/>
            <w:vMerge w:val="continue"/>
            <w:tcBorders>
              <w:top w:val="single" w:color="000000" w:sz="4" w:space="0"/>
              <w:bottom w:val="single" w:color="000000" w:sz="4" w:space="0"/>
              <w:right w:val="single" w:color="000000" w:sz="4" w:space="0"/>
            </w:tcBorders>
            <w:vAlign w:val="center"/>
          </w:tcPr>
          <w:p>
            <w:pPr>
              <w:pStyle w:val="117"/>
              <w:spacing w:line="240" w:lineRule="auto"/>
              <w:ind w:left="105" w:leftChars="50" w:right="903" w:firstLine="400"/>
              <w:jc w:val="center"/>
              <w:rPr>
                <w:rFonts w:hint="default" w:ascii="Times New Roman" w:hAnsi="Times New Roman" w:cs="Times New Roman"/>
                <w:color w:val="auto"/>
                <w:sz w:val="21"/>
                <w:szCs w:val="21"/>
                <w:highlight w:val="none"/>
              </w:rPr>
            </w:pPr>
          </w:p>
        </w:tc>
        <w:tc>
          <w:tcPr>
            <w:tcW w:w="1340" w:type="dxa"/>
            <w:gridSpan w:val="2"/>
            <w:tcBorders>
              <w:top w:val="single" w:color="000000" w:sz="4" w:space="0"/>
              <w:left w:val="single" w:color="000000" w:sz="4" w:space="0"/>
              <w:bottom w:val="single" w:color="000000" w:sz="4" w:space="0"/>
              <w:right w:val="single" w:color="000000" w:sz="4" w:space="0"/>
            </w:tcBorders>
            <w:vAlign w:val="center"/>
          </w:tcPr>
          <w:p>
            <w:pPr>
              <w:pStyle w:val="117"/>
              <w:spacing w:line="240" w:lineRule="auto"/>
              <w:ind w:right="249"/>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服务承</w:t>
            </w:r>
          </w:p>
          <w:p>
            <w:pPr>
              <w:pStyle w:val="117"/>
              <w:spacing w:line="240" w:lineRule="auto"/>
              <w:ind w:right="249"/>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诺</w:t>
            </w: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pPr>
              <w:pStyle w:val="117"/>
              <w:spacing w:line="240" w:lineRule="auto"/>
              <w:ind w:right="88"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7分</w:t>
            </w:r>
          </w:p>
        </w:tc>
        <w:tc>
          <w:tcPr>
            <w:tcW w:w="6304" w:type="dxa"/>
            <w:tcBorders>
              <w:top w:val="single" w:color="000000" w:sz="4" w:space="0"/>
              <w:left w:val="single" w:color="000000" w:sz="4" w:space="0"/>
              <w:bottom w:val="single" w:color="000000" w:sz="4" w:space="0"/>
            </w:tcBorders>
            <w:vAlign w:val="center"/>
          </w:tcPr>
          <w:p>
            <w:pPr>
              <w:pStyle w:val="117"/>
              <w:spacing w:line="240" w:lineRule="auto"/>
              <w:ind w:left="105" w:leftChars="50" w:right="96" w:firstLine="336"/>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投标人对项目运维期间的相关服务方面的承诺及方案进行综合评价，</w:t>
            </w:r>
            <w:r>
              <w:rPr>
                <w:rFonts w:hint="default" w:ascii="Times New Roman" w:hAnsi="Times New Roman" w:cs="Times New Roman"/>
                <w:color w:val="auto"/>
                <w:sz w:val="21"/>
                <w:szCs w:val="21"/>
                <w:highlight w:val="none"/>
              </w:rPr>
              <w:t>方案优者得</w:t>
            </w:r>
            <w:r>
              <w:rPr>
                <w:rFonts w:hint="eastAsia" w:ascii="Times New Roman" w:hAnsi="Times New Roman" w:cs="Times New Roman"/>
                <w:color w:val="auto"/>
                <w:sz w:val="21"/>
                <w:szCs w:val="21"/>
                <w:highlight w:val="none"/>
                <w:lang w:val="en-US" w:eastAsia="zh-CN"/>
              </w:rPr>
              <w:t>6-7</w:t>
            </w:r>
            <w:r>
              <w:rPr>
                <w:rFonts w:hint="default" w:ascii="Times New Roman" w:hAnsi="Times New Roman" w:cs="Times New Roman"/>
                <w:color w:val="auto"/>
                <w:sz w:val="21"/>
                <w:szCs w:val="21"/>
                <w:highlight w:val="none"/>
              </w:rPr>
              <w:t>分、良好者得</w:t>
            </w:r>
            <w:r>
              <w:rPr>
                <w:rFonts w:hint="eastAsia" w:ascii="Times New Roman" w:hAnsi="Times New Roman" w:cs="Times New Roman"/>
                <w:color w:val="auto"/>
                <w:sz w:val="21"/>
                <w:szCs w:val="21"/>
                <w:highlight w:val="none"/>
                <w:lang w:val="en-US" w:eastAsia="zh-CN"/>
              </w:rPr>
              <w:t>3-5</w:t>
            </w:r>
            <w:r>
              <w:rPr>
                <w:rFonts w:hint="default" w:ascii="Times New Roman" w:hAnsi="Times New Roman" w:cs="Times New Roman"/>
                <w:color w:val="auto"/>
                <w:sz w:val="21"/>
                <w:szCs w:val="21"/>
                <w:highlight w:val="none"/>
              </w:rPr>
              <w:t>分、一般者得0-</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分</w:t>
            </w:r>
            <w:r>
              <w:rPr>
                <w:rFonts w:hint="eastAsia" w:ascii="Times New Roman" w:hAnsi="Times New Roman" w:cs="Times New Roman"/>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jc w:val="center"/>
        </w:trPr>
        <w:tc>
          <w:tcPr>
            <w:tcW w:w="1293" w:type="dxa"/>
            <w:vMerge w:val="continue"/>
            <w:tcBorders>
              <w:top w:val="single" w:color="000000" w:sz="4" w:space="0"/>
              <w:bottom w:val="single" w:color="000000" w:sz="4" w:space="0"/>
              <w:right w:val="single" w:color="000000" w:sz="4" w:space="0"/>
            </w:tcBorders>
            <w:vAlign w:val="center"/>
          </w:tcPr>
          <w:p>
            <w:pPr>
              <w:pStyle w:val="117"/>
              <w:spacing w:line="240" w:lineRule="auto"/>
              <w:ind w:left="105" w:leftChars="50" w:right="903" w:firstLine="400"/>
              <w:jc w:val="center"/>
              <w:rPr>
                <w:rFonts w:hint="default" w:ascii="Times New Roman" w:hAnsi="Times New Roman" w:cs="Times New Roman"/>
                <w:color w:val="auto"/>
                <w:sz w:val="21"/>
                <w:szCs w:val="21"/>
                <w:highlight w:val="none"/>
              </w:rPr>
            </w:pPr>
          </w:p>
        </w:tc>
        <w:tc>
          <w:tcPr>
            <w:tcW w:w="1340" w:type="dxa"/>
            <w:gridSpan w:val="2"/>
            <w:tcBorders>
              <w:top w:val="single" w:color="000000" w:sz="4" w:space="0"/>
              <w:left w:val="single" w:color="000000" w:sz="4" w:space="0"/>
              <w:bottom w:val="single" w:color="000000" w:sz="4" w:space="0"/>
              <w:right w:val="single" w:color="000000" w:sz="4" w:space="0"/>
            </w:tcBorders>
            <w:vAlign w:val="center"/>
          </w:tcPr>
          <w:p>
            <w:pPr>
              <w:pStyle w:val="117"/>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其他</w:t>
            </w: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pPr>
              <w:pStyle w:val="117"/>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4分</w:t>
            </w:r>
          </w:p>
        </w:tc>
        <w:tc>
          <w:tcPr>
            <w:tcW w:w="6304" w:type="dxa"/>
            <w:tcBorders>
              <w:top w:val="single" w:color="000000" w:sz="4" w:space="0"/>
              <w:left w:val="single" w:color="000000" w:sz="4" w:space="0"/>
              <w:bottom w:val="single" w:color="000000" w:sz="4" w:space="0"/>
            </w:tcBorders>
            <w:vAlign w:val="center"/>
          </w:tcPr>
          <w:p>
            <w:pPr>
              <w:pStyle w:val="117"/>
              <w:spacing w:line="240" w:lineRule="auto"/>
              <w:ind w:left="105" w:leftChars="50" w:right="96" w:firstLine="336"/>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年处置能力在</w:t>
            </w:r>
            <w:r>
              <w:rPr>
                <w:rFonts w:hint="eastAsia" w:ascii="Times New Roman" w:hAnsi="Times New Roman" w:cs="Times New Roman"/>
                <w:color w:val="auto"/>
                <w:sz w:val="21"/>
                <w:szCs w:val="21"/>
                <w:highlight w:val="none"/>
                <w:lang w:val="en-US" w:eastAsia="zh-CN"/>
              </w:rPr>
              <w:t>12</w:t>
            </w:r>
            <w:r>
              <w:rPr>
                <w:rFonts w:hint="default" w:ascii="Times New Roman" w:hAnsi="Times New Roman" w:cs="Times New Roman"/>
                <w:color w:val="auto"/>
                <w:sz w:val="21"/>
                <w:szCs w:val="21"/>
                <w:highlight w:val="none"/>
              </w:rPr>
              <w:t>万吨以上得</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分</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年处置能力在</w:t>
            </w:r>
            <w:r>
              <w:rPr>
                <w:rFonts w:hint="eastAsia" w:ascii="Times New Roman" w:hAnsi="Times New Roman" w:cs="Times New Roman"/>
                <w:color w:val="auto"/>
                <w:sz w:val="21"/>
                <w:szCs w:val="21"/>
                <w:highlight w:val="none"/>
                <w:lang w:val="en-US" w:eastAsia="zh-CN"/>
              </w:rPr>
              <w:t>15</w:t>
            </w:r>
            <w:r>
              <w:rPr>
                <w:rFonts w:hint="default" w:ascii="Times New Roman" w:hAnsi="Times New Roman" w:cs="Times New Roman"/>
                <w:color w:val="auto"/>
                <w:sz w:val="21"/>
                <w:szCs w:val="21"/>
                <w:highlight w:val="none"/>
              </w:rPr>
              <w:t>万吨以上得</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分</w:t>
            </w:r>
          </w:p>
        </w:tc>
      </w:tr>
    </w:tbl>
    <w:p>
      <w:pPr>
        <w:pStyle w:val="107"/>
        <w:spacing w:line="540" w:lineRule="exact"/>
        <w:outlineLvl w:val="2"/>
        <w:rPr>
          <w:rFonts w:asciiTheme="minorEastAsia" w:hAnsiTheme="minorEastAsia" w:eastAsiaTheme="minorEastAsia" w:cstheme="minorEastAsia"/>
          <w:b/>
          <w:bCs/>
          <w:sz w:val="28"/>
          <w:szCs w:val="28"/>
        </w:rPr>
      </w:pPr>
    </w:p>
    <w:bookmarkEnd w:id="216"/>
    <w:bookmarkEnd w:id="218"/>
    <w:bookmarkEnd w:id="219"/>
    <w:bookmarkEnd w:id="220"/>
    <w:bookmarkEnd w:id="221"/>
    <w:p>
      <w:pPr>
        <w:numPr>
          <w:ilvl w:val="0"/>
          <w:numId w:val="7"/>
        </w:numPr>
        <w:tabs>
          <w:tab w:val="left" w:pos="170"/>
          <w:tab w:val="left" w:pos="303"/>
          <w:tab w:val="left" w:pos="420"/>
        </w:tabs>
        <w:adjustRightInd w:val="0"/>
        <w:snapToGrid w:val="0"/>
        <w:spacing w:line="440" w:lineRule="exact"/>
        <w:ind w:left="0" w:firstLine="562"/>
        <w:outlineLvl w:val="1"/>
        <w:rPr>
          <w:rFonts w:hint="default" w:ascii="Times New Roman" w:hAnsi="Times New Roman" w:cs="Times New Roman"/>
          <w:b/>
          <w:sz w:val="28"/>
          <w:szCs w:val="28"/>
        </w:rPr>
      </w:pPr>
      <w:bookmarkStart w:id="222" w:name="_Toc426369531"/>
      <w:bookmarkStart w:id="223" w:name="_Toc31084"/>
      <w:bookmarkStart w:id="224" w:name="_Toc403122541"/>
      <w:r>
        <w:rPr>
          <w:rFonts w:hint="default" w:ascii="Times New Roman" w:hAnsi="Times New Roman" w:cs="Times New Roman"/>
          <w:b/>
          <w:sz w:val="28"/>
          <w:szCs w:val="28"/>
        </w:rPr>
        <w:t>评标准则和评标方法</w:t>
      </w:r>
    </w:p>
    <w:p>
      <w:pPr>
        <w:numPr>
          <w:ilvl w:val="1"/>
          <w:numId w:val="7"/>
        </w:numPr>
        <w:adjustRightInd w:val="0"/>
        <w:snapToGrid w:val="0"/>
        <w:spacing w:line="440" w:lineRule="exact"/>
        <w:ind w:left="0" w:firstLine="400"/>
        <w:rPr>
          <w:rFonts w:hint="default" w:ascii="Times New Roman" w:hAnsi="Times New Roman" w:cs="Times New Roman"/>
          <w:szCs w:val="21"/>
        </w:rPr>
      </w:pPr>
      <w:r>
        <w:rPr>
          <w:rFonts w:hint="default" w:ascii="Times New Roman" w:hAnsi="Times New Roman" w:cs="Times New Roman"/>
          <w:szCs w:val="21"/>
        </w:rPr>
        <w:t>评标过程将遵循“公平、公正、科学、择优”的原则进行。</w:t>
      </w:r>
    </w:p>
    <w:p>
      <w:pPr>
        <w:numPr>
          <w:ilvl w:val="1"/>
          <w:numId w:val="7"/>
        </w:numPr>
        <w:adjustRightInd w:val="0"/>
        <w:snapToGrid w:val="0"/>
        <w:spacing w:line="440" w:lineRule="exact"/>
        <w:ind w:left="0" w:firstLine="400"/>
        <w:rPr>
          <w:rFonts w:hint="default" w:ascii="Times New Roman" w:hAnsi="Times New Roman" w:cs="Times New Roman"/>
          <w:szCs w:val="21"/>
        </w:rPr>
      </w:pPr>
      <w:r>
        <w:rPr>
          <w:rFonts w:hint="default" w:ascii="Times New Roman" w:hAnsi="Times New Roman" w:cs="Times New Roman"/>
          <w:szCs w:val="21"/>
        </w:rPr>
        <w:t>评标将严格按照招标文件的要求和条件进行。</w:t>
      </w:r>
    </w:p>
    <w:p>
      <w:pPr>
        <w:numPr>
          <w:ilvl w:val="1"/>
          <w:numId w:val="7"/>
        </w:numPr>
        <w:adjustRightInd w:val="0"/>
        <w:snapToGrid w:val="0"/>
        <w:spacing w:line="440" w:lineRule="exact"/>
        <w:ind w:left="0" w:firstLine="400"/>
        <w:rPr>
          <w:rFonts w:hint="default" w:ascii="Times New Roman" w:hAnsi="Times New Roman" w:cs="Times New Roman"/>
          <w:szCs w:val="21"/>
        </w:rPr>
      </w:pPr>
      <w:r>
        <w:rPr>
          <w:rFonts w:hint="default" w:ascii="Times New Roman" w:hAnsi="Times New Roman" w:cs="Times New Roman"/>
          <w:szCs w:val="21"/>
        </w:rPr>
        <w:t>本次评标采用综合评分法。</w:t>
      </w:r>
    </w:p>
    <w:p>
      <w:pPr>
        <w:numPr>
          <w:ilvl w:val="0"/>
          <w:numId w:val="7"/>
        </w:numPr>
        <w:tabs>
          <w:tab w:val="left" w:pos="170"/>
          <w:tab w:val="left" w:pos="303"/>
          <w:tab w:val="left" w:pos="420"/>
        </w:tabs>
        <w:adjustRightInd w:val="0"/>
        <w:snapToGrid w:val="0"/>
        <w:spacing w:line="440" w:lineRule="exact"/>
        <w:ind w:left="0" w:firstLine="562"/>
        <w:outlineLvl w:val="1"/>
        <w:rPr>
          <w:rFonts w:hint="default" w:ascii="Times New Roman" w:hAnsi="Times New Roman" w:cs="Times New Roman"/>
          <w:b/>
          <w:sz w:val="28"/>
          <w:szCs w:val="28"/>
        </w:rPr>
      </w:pPr>
      <w:bookmarkStart w:id="225" w:name="_Toc15449"/>
      <w:bookmarkStart w:id="226" w:name="_Toc465502580"/>
      <w:bookmarkStart w:id="227" w:name="_Toc454147539"/>
      <w:bookmarkStart w:id="228" w:name="_Toc13195"/>
      <w:bookmarkStart w:id="229" w:name="_Toc466017208"/>
      <w:r>
        <w:rPr>
          <w:rFonts w:hint="default" w:ascii="Times New Roman" w:hAnsi="Times New Roman" w:cs="Times New Roman"/>
          <w:b/>
          <w:sz w:val="28"/>
          <w:szCs w:val="28"/>
        </w:rPr>
        <w:t>评审标准</w:t>
      </w:r>
      <w:bookmarkEnd w:id="225"/>
      <w:bookmarkEnd w:id="226"/>
      <w:bookmarkEnd w:id="227"/>
      <w:bookmarkEnd w:id="228"/>
      <w:bookmarkEnd w:id="229"/>
    </w:p>
    <w:p>
      <w:pPr>
        <w:numPr>
          <w:ilvl w:val="1"/>
          <w:numId w:val="7"/>
        </w:numPr>
        <w:adjustRightInd w:val="0"/>
        <w:snapToGrid w:val="0"/>
        <w:spacing w:line="440" w:lineRule="exact"/>
        <w:ind w:left="0" w:firstLine="400"/>
        <w:rPr>
          <w:rFonts w:hint="default" w:ascii="Times New Roman" w:hAnsi="Times New Roman" w:cs="Times New Roman"/>
          <w:szCs w:val="21"/>
        </w:rPr>
      </w:pPr>
      <w:r>
        <w:rPr>
          <w:rFonts w:hint="default" w:ascii="Times New Roman" w:hAnsi="Times New Roman" w:cs="Times New Roman"/>
          <w:szCs w:val="21"/>
        </w:rPr>
        <w:t>资格评审标准：详见《评分办法前附表》中资格评审标准。</w:t>
      </w:r>
    </w:p>
    <w:p>
      <w:pPr>
        <w:numPr>
          <w:ilvl w:val="1"/>
          <w:numId w:val="7"/>
        </w:numPr>
        <w:adjustRightInd w:val="0"/>
        <w:snapToGrid w:val="0"/>
        <w:spacing w:line="440" w:lineRule="exact"/>
        <w:ind w:left="0" w:firstLine="400"/>
        <w:rPr>
          <w:rFonts w:hint="default" w:ascii="Times New Roman" w:hAnsi="Times New Roman" w:cs="Times New Roman"/>
          <w:szCs w:val="21"/>
        </w:rPr>
      </w:pPr>
      <w:r>
        <w:rPr>
          <w:rFonts w:hint="default" w:ascii="Times New Roman" w:hAnsi="Times New Roman" w:cs="Times New Roman"/>
          <w:szCs w:val="21"/>
        </w:rPr>
        <w:t>评分标准：详见《评分办法前附表》报价部分、技术部分、商务部分评审因素。</w:t>
      </w:r>
    </w:p>
    <w:p>
      <w:pPr>
        <w:numPr>
          <w:ilvl w:val="0"/>
          <w:numId w:val="7"/>
        </w:numPr>
        <w:tabs>
          <w:tab w:val="left" w:pos="170"/>
          <w:tab w:val="left" w:pos="303"/>
          <w:tab w:val="left" w:pos="420"/>
        </w:tabs>
        <w:adjustRightInd w:val="0"/>
        <w:snapToGrid w:val="0"/>
        <w:spacing w:line="440" w:lineRule="exact"/>
        <w:ind w:left="0" w:firstLine="562"/>
        <w:outlineLvl w:val="1"/>
        <w:rPr>
          <w:rFonts w:hint="default" w:ascii="Times New Roman" w:hAnsi="Times New Roman" w:cs="Times New Roman"/>
          <w:b/>
          <w:sz w:val="28"/>
          <w:szCs w:val="28"/>
        </w:rPr>
      </w:pPr>
      <w:bookmarkStart w:id="230" w:name="_Toc11065"/>
      <w:r>
        <w:rPr>
          <w:rFonts w:hint="default" w:ascii="Times New Roman" w:hAnsi="Times New Roman" w:cs="Times New Roman"/>
          <w:b/>
          <w:sz w:val="28"/>
          <w:szCs w:val="28"/>
        </w:rPr>
        <w:t>评标程序</w:t>
      </w:r>
      <w:bookmarkEnd w:id="230"/>
    </w:p>
    <w:p>
      <w:pPr>
        <w:numPr>
          <w:ilvl w:val="1"/>
          <w:numId w:val="7"/>
        </w:numPr>
        <w:adjustRightInd w:val="0"/>
        <w:snapToGrid w:val="0"/>
        <w:spacing w:line="440" w:lineRule="exact"/>
        <w:ind w:left="0" w:firstLine="482"/>
        <w:rPr>
          <w:rFonts w:hint="default" w:ascii="Times New Roman" w:hAnsi="Times New Roman" w:cs="Times New Roman"/>
          <w:b/>
          <w:bCs/>
          <w:sz w:val="24"/>
        </w:rPr>
      </w:pPr>
      <w:r>
        <w:rPr>
          <w:rFonts w:hint="default" w:ascii="Times New Roman" w:hAnsi="Times New Roman" w:cs="Times New Roman"/>
          <w:b/>
          <w:bCs/>
          <w:sz w:val="24"/>
        </w:rPr>
        <w:t>初步评审</w:t>
      </w:r>
    </w:p>
    <w:p>
      <w:pPr>
        <w:numPr>
          <w:ilvl w:val="2"/>
          <w:numId w:val="7"/>
        </w:numPr>
        <w:adjustRightInd w:val="0"/>
        <w:snapToGrid w:val="0"/>
        <w:spacing w:line="440" w:lineRule="exact"/>
        <w:ind w:left="0" w:firstLine="400"/>
        <w:rPr>
          <w:rFonts w:hint="default" w:ascii="Times New Roman" w:hAnsi="Times New Roman" w:cs="Times New Roman"/>
          <w:lang w:val="zh-CN"/>
        </w:rPr>
      </w:pPr>
      <w:r>
        <w:rPr>
          <w:rFonts w:hint="default" w:ascii="Times New Roman" w:hAnsi="Times New Roman" w:cs="Times New Roman"/>
          <w:lang w:val="zh-CN"/>
        </w:rPr>
        <w:t>采购人或代理机构可以要求投标人提交第二章“投标人须知”规定的有关证明和证件的原件，以便核验。采购人或代理机构依据本章第2.1款规定的标准对投标文件进行资格评审。有一项不符合资格评审标准的，作无效投标处理。</w:t>
      </w:r>
    </w:p>
    <w:p>
      <w:pPr>
        <w:numPr>
          <w:ilvl w:val="2"/>
          <w:numId w:val="7"/>
        </w:numPr>
        <w:adjustRightInd w:val="0"/>
        <w:snapToGrid w:val="0"/>
        <w:spacing w:line="440" w:lineRule="exact"/>
        <w:ind w:left="0" w:firstLine="400"/>
        <w:rPr>
          <w:rFonts w:hint="default" w:ascii="Times New Roman" w:hAnsi="Times New Roman" w:cs="Times New Roman"/>
          <w:lang w:val="zh-CN"/>
        </w:rPr>
      </w:pPr>
      <w:r>
        <w:rPr>
          <w:rFonts w:hint="default" w:ascii="Times New Roman" w:hAnsi="Times New Roman" w:cs="Times New Roman"/>
          <w:lang w:val="zh-CN"/>
        </w:rPr>
        <w:t>投标文件属下列情况之一的，应当在资格性、符合性检查时按照无效投标处理：</w:t>
      </w:r>
    </w:p>
    <w:p>
      <w:pPr>
        <w:numPr>
          <w:ilvl w:val="0"/>
          <w:numId w:val="8"/>
        </w:numPr>
        <w:autoSpaceDE w:val="0"/>
        <w:autoSpaceDN w:val="0"/>
        <w:adjustRightInd w:val="0"/>
        <w:spacing w:line="440" w:lineRule="exact"/>
        <w:ind w:firstLine="400"/>
        <w:rPr>
          <w:rFonts w:hint="default" w:ascii="Times New Roman" w:hAnsi="Times New Roman" w:cs="Times New Roman"/>
        </w:rPr>
      </w:pPr>
      <w:r>
        <w:rPr>
          <w:rFonts w:hint="default" w:ascii="Times New Roman" w:hAnsi="Times New Roman" w:cs="Times New Roman"/>
          <w:szCs w:val="21"/>
        </w:rPr>
        <w:t>应交未交投标保证金的；</w:t>
      </w:r>
    </w:p>
    <w:p>
      <w:pPr>
        <w:numPr>
          <w:ilvl w:val="0"/>
          <w:numId w:val="8"/>
        </w:numPr>
        <w:autoSpaceDE w:val="0"/>
        <w:autoSpaceDN w:val="0"/>
        <w:adjustRightInd w:val="0"/>
        <w:spacing w:line="440" w:lineRule="exact"/>
        <w:ind w:firstLine="400"/>
        <w:rPr>
          <w:rFonts w:hint="default" w:ascii="Times New Roman" w:hAnsi="Times New Roman" w:cs="Times New Roman"/>
        </w:rPr>
      </w:pPr>
      <w:r>
        <w:rPr>
          <w:rFonts w:hint="default" w:ascii="Times New Roman" w:hAnsi="Times New Roman" w:cs="Times New Roman"/>
        </w:rPr>
        <w:t>未按照招标文件规定要求密封、签署、盖章的；</w:t>
      </w:r>
    </w:p>
    <w:p>
      <w:pPr>
        <w:numPr>
          <w:ilvl w:val="0"/>
          <w:numId w:val="8"/>
        </w:numPr>
        <w:autoSpaceDE w:val="0"/>
        <w:autoSpaceDN w:val="0"/>
        <w:adjustRightInd w:val="0"/>
        <w:spacing w:line="440" w:lineRule="exact"/>
        <w:ind w:firstLine="400"/>
        <w:rPr>
          <w:rFonts w:hint="default" w:ascii="Times New Roman" w:hAnsi="Times New Roman" w:cs="Times New Roman"/>
        </w:rPr>
      </w:pPr>
      <w:r>
        <w:rPr>
          <w:rFonts w:hint="default" w:ascii="Times New Roman" w:hAnsi="Times New Roman" w:cs="Times New Roman"/>
        </w:rPr>
        <w:t>不具备招标文件中规定资格要求的；</w:t>
      </w:r>
    </w:p>
    <w:p>
      <w:pPr>
        <w:numPr>
          <w:ilvl w:val="0"/>
          <w:numId w:val="8"/>
        </w:numPr>
        <w:autoSpaceDE w:val="0"/>
        <w:autoSpaceDN w:val="0"/>
        <w:adjustRightInd w:val="0"/>
        <w:spacing w:line="440" w:lineRule="exact"/>
        <w:ind w:firstLine="400"/>
        <w:rPr>
          <w:rFonts w:hint="default" w:ascii="Times New Roman" w:hAnsi="Times New Roman" w:cs="Times New Roman"/>
        </w:rPr>
      </w:pPr>
      <w:r>
        <w:rPr>
          <w:rFonts w:hint="default" w:ascii="Times New Roman" w:hAnsi="Times New Roman" w:cs="Times New Roman"/>
        </w:rPr>
        <w:t>不符合法律、法规和招标文件中规定的其他实质性要求的。</w:t>
      </w:r>
    </w:p>
    <w:p>
      <w:pPr>
        <w:numPr>
          <w:ilvl w:val="2"/>
          <w:numId w:val="7"/>
        </w:numPr>
        <w:adjustRightInd w:val="0"/>
        <w:snapToGrid w:val="0"/>
        <w:spacing w:line="440" w:lineRule="exact"/>
        <w:ind w:left="0" w:firstLine="400"/>
        <w:rPr>
          <w:rFonts w:hint="default" w:ascii="Times New Roman" w:hAnsi="Times New Roman" w:cs="Times New Roman"/>
          <w:lang w:val="zh-CN"/>
        </w:rPr>
      </w:pPr>
      <w:r>
        <w:rPr>
          <w:rFonts w:hint="default" w:ascii="Times New Roman" w:hAnsi="Times New Roman" w:cs="Times New Roman"/>
          <w:lang w:val="zh-CN"/>
        </w:rPr>
        <w:t>投标报价有算数错误的，评标委员会按以下原则对投标报价进行修正，修正的价格经投标人书面确认后具有约束力。投标人不接受修正价格的，其投标作无效投标处理。</w:t>
      </w:r>
    </w:p>
    <w:p>
      <w:pPr>
        <w:numPr>
          <w:ilvl w:val="0"/>
          <w:numId w:val="9"/>
        </w:numPr>
        <w:autoSpaceDE w:val="0"/>
        <w:autoSpaceDN w:val="0"/>
        <w:adjustRightInd w:val="0"/>
        <w:spacing w:line="440" w:lineRule="exact"/>
        <w:ind w:firstLine="400"/>
        <w:rPr>
          <w:rFonts w:hint="default" w:ascii="Times New Roman" w:hAnsi="Times New Roman" w:cs="Times New Roman"/>
        </w:rPr>
      </w:pPr>
      <w:r>
        <w:rPr>
          <w:rFonts w:hint="default" w:ascii="Times New Roman" w:hAnsi="Times New Roman" w:cs="Times New Roman"/>
        </w:rPr>
        <w:t>投标文件中的大写金额与小写金额不一致的，以大写金额为准；</w:t>
      </w:r>
    </w:p>
    <w:p>
      <w:pPr>
        <w:numPr>
          <w:ilvl w:val="0"/>
          <w:numId w:val="9"/>
        </w:numPr>
        <w:autoSpaceDE w:val="0"/>
        <w:autoSpaceDN w:val="0"/>
        <w:adjustRightInd w:val="0"/>
        <w:spacing w:line="440" w:lineRule="exact"/>
        <w:ind w:firstLine="400"/>
        <w:rPr>
          <w:rFonts w:hint="default" w:ascii="Times New Roman" w:hAnsi="Times New Roman" w:cs="Times New Roman"/>
        </w:rPr>
      </w:pPr>
      <w:r>
        <w:rPr>
          <w:rFonts w:hint="default" w:ascii="Times New Roman" w:hAnsi="Times New Roman" w:cs="Times New Roman"/>
        </w:rPr>
        <w:t>投标文件中开标一览表内容与投标文件中明细表内容不一致的，以开标一览表为准。</w:t>
      </w:r>
    </w:p>
    <w:p>
      <w:pPr>
        <w:numPr>
          <w:ilvl w:val="1"/>
          <w:numId w:val="7"/>
        </w:numPr>
        <w:adjustRightInd w:val="0"/>
        <w:snapToGrid w:val="0"/>
        <w:spacing w:line="440" w:lineRule="exact"/>
        <w:ind w:left="0" w:firstLine="482"/>
        <w:rPr>
          <w:rFonts w:hint="default" w:ascii="Times New Roman" w:hAnsi="Times New Roman" w:cs="Times New Roman"/>
          <w:b/>
          <w:bCs/>
          <w:sz w:val="24"/>
        </w:rPr>
      </w:pPr>
      <w:r>
        <w:rPr>
          <w:rFonts w:hint="default" w:ascii="Times New Roman" w:hAnsi="Times New Roman" w:cs="Times New Roman"/>
          <w:b/>
          <w:bCs/>
          <w:sz w:val="24"/>
        </w:rPr>
        <w:t>详细评审</w:t>
      </w:r>
    </w:p>
    <w:p>
      <w:pPr>
        <w:numPr>
          <w:ilvl w:val="2"/>
          <w:numId w:val="7"/>
        </w:numPr>
        <w:adjustRightInd w:val="0"/>
        <w:snapToGrid w:val="0"/>
        <w:spacing w:line="440" w:lineRule="exact"/>
        <w:ind w:left="0" w:firstLine="400"/>
        <w:rPr>
          <w:rFonts w:hint="default" w:ascii="Times New Roman" w:hAnsi="Times New Roman" w:cs="Times New Roman"/>
          <w:highlight w:val="none"/>
          <w:lang w:val="zh-CN"/>
        </w:rPr>
      </w:pPr>
      <w:r>
        <w:rPr>
          <w:rFonts w:hint="default" w:ascii="Times New Roman" w:hAnsi="Times New Roman" w:cs="Times New Roman"/>
          <w:highlight w:val="none"/>
          <w:lang w:val="zh-CN"/>
        </w:rPr>
        <w:t>评标委员会按本章第2.2款的评分标准进行打分，并计算出综合评审得分。</w:t>
      </w:r>
    </w:p>
    <w:p>
      <w:pPr>
        <w:numPr>
          <w:ilvl w:val="2"/>
          <w:numId w:val="7"/>
        </w:numPr>
        <w:adjustRightInd w:val="0"/>
        <w:snapToGrid w:val="0"/>
        <w:spacing w:line="440" w:lineRule="exact"/>
        <w:ind w:left="0" w:firstLine="400"/>
        <w:rPr>
          <w:rFonts w:hint="default"/>
          <w:highlight w:val="none"/>
          <w:lang w:val="zh-CN"/>
        </w:rPr>
      </w:pPr>
      <w:r>
        <w:rPr>
          <w:rFonts w:hint="default" w:ascii="Times New Roman" w:hAnsi="Times New Roman" w:cs="Times New Roman"/>
          <w:highlight w:val="none"/>
          <w:lang w:val="zh-CN"/>
        </w:rPr>
        <w:t>评标委员会发现投标人的投标报价低于</w:t>
      </w:r>
      <w:r>
        <w:rPr>
          <w:rFonts w:hint="default" w:ascii="Times New Roman" w:hAnsi="Times New Roman" w:cs="Times New Roman"/>
          <w:highlight w:val="none"/>
        </w:rPr>
        <w:t>招标文件规定的最低</w:t>
      </w:r>
      <w:r>
        <w:rPr>
          <w:rFonts w:hint="default" w:ascii="Times New Roman" w:hAnsi="Times New Roman" w:cs="Times New Roman"/>
          <w:highlight w:val="none"/>
          <w:lang w:val="zh-CN"/>
        </w:rPr>
        <w:t>投标报价，评标委员会应按无效投标处理。</w:t>
      </w:r>
    </w:p>
    <w:p>
      <w:pPr>
        <w:numPr>
          <w:ilvl w:val="0"/>
          <w:numId w:val="0"/>
        </w:numPr>
        <w:adjustRightInd w:val="0"/>
        <w:snapToGrid w:val="0"/>
        <w:spacing w:line="440" w:lineRule="exact"/>
        <w:ind w:left="482" w:leftChars="0"/>
        <w:rPr>
          <w:rFonts w:hint="default" w:ascii="Times New Roman" w:hAnsi="Times New Roman" w:cs="Times New Roman"/>
          <w:b/>
          <w:bCs/>
          <w:sz w:val="24"/>
          <w:highlight w:val="none"/>
        </w:rPr>
      </w:pPr>
      <w:r>
        <w:rPr>
          <w:rFonts w:hint="eastAsia" w:ascii="Times New Roman" w:hAnsi="Times New Roman" w:cs="Times New Roman"/>
          <w:b/>
          <w:bCs/>
          <w:sz w:val="24"/>
          <w:highlight w:val="none"/>
          <w:lang w:val="en-US" w:eastAsia="zh-CN"/>
        </w:rPr>
        <w:t>3.3</w:t>
      </w:r>
      <w:r>
        <w:rPr>
          <w:rFonts w:hint="default" w:ascii="Times New Roman" w:hAnsi="Times New Roman" w:cs="Times New Roman"/>
          <w:b/>
          <w:bCs/>
          <w:sz w:val="24"/>
          <w:highlight w:val="none"/>
        </w:rPr>
        <w:t>投标文件的澄清和补正</w:t>
      </w:r>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3.3.1</w:t>
      </w:r>
      <w:r>
        <w:rPr>
          <w:rFonts w:hint="default" w:ascii="Times New Roman" w:hAnsi="Times New Roman" w:cs="Times New Roman"/>
          <w:lang w:val="zh-CN"/>
        </w:rPr>
        <w:t>在评标过程中，评标委员会可以书面形式要求投标人对所提交投标文件中不明确的内容进行书面澄清或说明，或者对细微偏差进行补正。</w:t>
      </w:r>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3.3.2</w:t>
      </w:r>
      <w:r>
        <w:rPr>
          <w:rFonts w:hint="default" w:ascii="Times New Roman" w:hAnsi="Times New Roman" w:cs="Times New Roman"/>
          <w:lang w:val="zh-CN"/>
        </w:rPr>
        <w:t>澄清、说明和补正不得改变投标文件的实质性内容（算术性错误修正的除外）。投标人的书面澄清、说明和补正属于投标文件的组成部分。</w:t>
      </w:r>
    </w:p>
    <w:p>
      <w:pPr>
        <w:numPr>
          <w:ilvl w:val="0"/>
          <w:numId w:val="0"/>
        </w:numPr>
        <w:adjustRightInd w:val="0"/>
        <w:snapToGrid w:val="0"/>
        <w:spacing w:line="440" w:lineRule="exact"/>
        <w:ind w:left="482" w:leftChars="0"/>
        <w:rPr>
          <w:rFonts w:hint="default" w:ascii="Times New Roman" w:hAnsi="Times New Roman" w:cs="Times New Roman"/>
          <w:b/>
          <w:bCs/>
          <w:sz w:val="24"/>
        </w:rPr>
      </w:pPr>
      <w:r>
        <w:rPr>
          <w:rFonts w:hint="eastAsia" w:ascii="Times New Roman" w:hAnsi="Times New Roman" w:cs="Times New Roman"/>
          <w:b/>
          <w:bCs/>
          <w:sz w:val="24"/>
          <w:lang w:val="en-US" w:eastAsia="zh-CN"/>
        </w:rPr>
        <w:t>3.4</w:t>
      </w:r>
      <w:r>
        <w:rPr>
          <w:rFonts w:hint="default" w:ascii="Times New Roman" w:hAnsi="Times New Roman" w:cs="Times New Roman"/>
          <w:b/>
          <w:bCs/>
          <w:sz w:val="24"/>
        </w:rPr>
        <w:t>评标结果</w:t>
      </w:r>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3.4.1</w:t>
      </w:r>
      <w:r>
        <w:rPr>
          <w:rFonts w:hint="default" w:ascii="Times New Roman" w:hAnsi="Times New Roman" w:cs="Times New Roman"/>
          <w:lang w:val="zh-CN"/>
        </w:rPr>
        <w:t>投标人得分=投标报价得分+商务部分得分+技术部分得分</w:t>
      </w:r>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3.4.2</w:t>
      </w:r>
      <w:r>
        <w:rPr>
          <w:rFonts w:hint="default" w:ascii="Times New Roman" w:hAnsi="Times New Roman" w:cs="Times New Roman"/>
          <w:lang w:val="zh-CN"/>
        </w:rPr>
        <w:t>投标人最终得分为评标委员会完成评审后所有评分的算术平均值，作为该投标人最终得分。</w:t>
      </w:r>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3.4.3</w:t>
      </w:r>
      <w:r>
        <w:rPr>
          <w:rFonts w:hint="default" w:ascii="Times New Roman" w:hAnsi="Times New Roman" w:cs="Times New Roman"/>
          <w:lang w:val="zh-CN"/>
        </w:rPr>
        <w:t>投标人最终得分相同的，投标报价</w:t>
      </w:r>
      <w:r>
        <w:rPr>
          <w:rFonts w:hint="default" w:ascii="Times New Roman" w:hAnsi="Times New Roman" w:cs="Times New Roman"/>
        </w:rPr>
        <w:t>总投资额高</w:t>
      </w:r>
      <w:r>
        <w:rPr>
          <w:rFonts w:hint="default" w:ascii="Times New Roman" w:hAnsi="Times New Roman" w:cs="Times New Roman"/>
          <w:lang w:val="zh-CN"/>
        </w:rPr>
        <w:t>的优先，</w:t>
      </w:r>
      <w:r>
        <w:rPr>
          <w:rFonts w:hint="default" w:ascii="Times New Roman" w:hAnsi="Times New Roman" w:cs="Times New Roman"/>
        </w:rPr>
        <w:t>投标报价总投资额也相同的以技术得分高的优先，技术得分也相同的由招标人自行确定</w:t>
      </w:r>
      <w:r>
        <w:rPr>
          <w:rFonts w:hint="default" w:ascii="Times New Roman" w:hAnsi="Times New Roman" w:cs="Times New Roman"/>
          <w:lang w:val="zh-CN"/>
        </w:rPr>
        <w:t>。</w:t>
      </w:r>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3.4.5</w:t>
      </w:r>
      <w:r>
        <w:rPr>
          <w:rFonts w:hint="default" w:ascii="Times New Roman" w:hAnsi="Times New Roman" w:cs="Times New Roman"/>
          <w:lang w:val="zh-CN"/>
        </w:rPr>
        <w:t>计分过程中按四舍五入的法则，最终结果取至小数点后两位。</w:t>
      </w:r>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3.4.6</w:t>
      </w:r>
      <w:r>
        <w:rPr>
          <w:rFonts w:hint="default" w:ascii="Times New Roman" w:hAnsi="Times New Roman" w:cs="Times New Roman"/>
          <w:lang w:val="zh-CN"/>
        </w:rPr>
        <w:t>评标委员会按照得分由高到低的顺序推荐</w:t>
      </w:r>
      <w:r>
        <w:rPr>
          <w:rFonts w:hint="default" w:ascii="Times New Roman" w:hAnsi="Times New Roman" w:cs="Times New Roman"/>
        </w:rPr>
        <w:t>1-3名</w:t>
      </w:r>
      <w:r>
        <w:rPr>
          <w:rFonts w:hint="default" w:ascii="Times New Roman" w:hAnsi="Times New Roman" w:cs="Times New Roman"/>
          <w:lang w:val="zh-CN"/>
        </w:rPr>
        <w:t>中标候选人。</w:t>
      </w:r>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3.4.7</w:t>
      </w:r>
      <w:r>
        <w:rPr>
          <w:rFonts w:hint="default" w:ascii="Times New Roman" w:hAnsi="Times New Roman" w:cs="Times New Roman"/>
          <w:lang w:val="zh-CN"/>
        </w:rPr>
        <w:t>评标委员会完成评标后，应当向招标人提交书面评标报告。</w:t>
      </w:r>
    </w:p>
    <w:p>
      <w:pPr>
        <w:numPr>
          <w:ilvl w:val="0"/>
          <w:numId w:val="0"/>
        </w:numPr>
        <w:adjustRightInd w:val="0"/>
        <w:snapToGrid w:val="0"/>
        <w:spacing w:line="440" w:lineRule="exact"/>
        <w:ind w:left="482" w:leftChars="0"/>
        <w:rPr>
          <w:rFonts w:hint="default" w:ascii="Times New Roman" w:hAnsi="Times New Roman" w:cs="Times New Roman"/>
          <w:b/>
          <w:bCs/>
          <w:sz w:val="24"/>
          <w:lang w:val="zh-CN"/>
        </w:rPr>
      </w:pPr>
      <w:r>
        <w:rPr>
          <w:rFonts w:hint="eastAsia" w:ascii="Times New Roman" w:hAnsi="Times New Roman" w:cs="Times New Roman"/>
          <w:b/>
          <w:bCs/>
          <w:sz w:val="24"/>
          <w:lang w:val="en-US" w:eastAsia="zh-CN"/>
        </w:rPr>
        <w:t>3.5</w:t>
      </w:r>
      <w:r>
        <w:rPr>
          <w:rFonts w:hint="default" w:ascii="Times New Roman" w:hAnsi="Times New Roman" w:cs="Times New Roman"/>
          <w:b/>
          <w:bCs/>
          <w:sz w:val="24"/>
          <w:lang w:val="zh-CN"/>
        </w:rPr>
        <w:t>顺延中标人或重新招标</w:t>
      </w:r>
    </w:p>
    <w:p>
      <w:pPr>
        <w:adjustRightInd w:val="0"/>
        <w:snapToGrid w:val="0"/>
        <w:spacing w:line="440" w:lineRule="exact"/>
        <w:ind w:firstLine="400"/>
        <w:rPr>
          <w:rFonts w:hint="default" w:ascii="Times New Roman" w:hAnsi="Times New Roman" w:cs="Times New Roman"/>
          <w:lang w:val="zh-CN"/>
        </w:rPr>
      </w:pPr>
      <w:r>
        <w:rPr>
          <w:rFonts w:hint="default" w:ascii="Times New Roman" w:hAnsi="Times New Roman" w:cs="Times New Roman"/>
          <w:lang w:val="zh-CN"/>
        </w:rPr>
        <w:t>中标人因不可抗力不能履行政府采购合同的，招标人可以与排位在中标人之后第一位的中标候选人签订政府采购合同，或者重新招标。</w:t>
      </w:r>
    </w:p>
    <w:p>
      <w:pPr>
        <w:numPr>
          <w:ilvl w:val="0"/>
          <w:numId w:val="0"/>
        </w:numPr>
        <w:adjustRightInd w:val="0"/>
        <w:snapToGrid w:val="0"/>
        <w:spacing w:line="440" w:lineRule="exact"/>
        <w:ind w:left="482" w:leftChars="0"/>
        <w:rPr>
          <w:rFonts w:hint="default" w:ascii="Times New Roman" w:hAnsi="Times New Roman" w:cs="Times New Roman"/>
          <w:b/>
          <w:bCs/>
          <w:sz w:val="24"/>
        </w:rPr>
      </w:pPr>
      <w:bookmarkStart w:id="231" w:name="_Toc16293"/>
      <w:bookmarkStart w:id="232" w:name="_Toc11630"/>
      <w:bookmarkStart w:id="233" w:name="_Toc54"/>
      <w:bookmarkStart w:id="234" w:name="_Toc28863"/>
      <w:bookmarkStart w:id="235" w:name="_Toc19590"/>
      <w:bookmarkStart w:id="236" w:name="_Toc17922"/>
      <w:bookmarkStart w:id="237" w:name="_Toc7468"/>
      <w:r>
        <w:rPr>
          <w:rFonts w:hint="eastAsia" w:ascii="Times New Roman" w:hAnsi="Times New Roman" w:cs="Times New Roman"/>
          <w:b/>
          <w:bCs/>
          <w:sz w:val="24"/>
          <w:lang w:val="en-US" w:eastAsia="zh-CN"/>
        </w:rPr>
        <w:t>3.6</w:t>
      </w:r>
      <w:r>
        <w:rPr>
          <w:rFonts w:hint="default" w:ascii="Times New Roman" w:hAnsi="Times New Roman" w:cs="Times New Roman"/>
          <w:b/>
          <w:bCs/>
          <w:sz w:val="24"/>
        </w:rPr>
        <w:t>保密及其他注意事项</w:t>
      </w:r>
      <w:bookmarkEnd w:id="231"/>
      <w:bookmarkEnd w:id="232"/>
      <w:bookmarkEnd w:id="233"/>
      <w:bookmarkEnd w:id="234"/>
      <w:bookmarkEnd w:id="235"/>
      <w:bookmarkEnd w:id="236"/>
      <w:bookmarkEnd w:id="237"/>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3.6.1</w:t>
      </w:r>
      <w:r>
        <w:rPr>
          <w:rFonts w:hint="default" w:ascii="Times New Roman" w:hAnsi="Times New Roman" w:cs="Times New Roman"/>
          <w:lang w:val="zh-CN"/>
        </w:rPr>
        <w:t>在评标期间，投标企业不得向评标委员会成员询问评标情况，不得进行旨在影响成交结果的活动。</w:t>
      </w:r>
    </w:p>
    <w:p>
      <w:pPr>
        <w:numPr>
          <w:ilvl w:val="0"/>
          <w:numId w:val="0"/>
        </w:numPr>
        <w:adjustRightInd w:val="0"/>
        <w:snapToGrid w:val="0"/>
        <w:spacing w:line="440" w:lineRule="exact"/>
        <w:ind w:left="400" w:leftChars="0"/>
        <w:rPr>
          <w:rFonts w:hint="default" w:ascii="Times New Roman" w:hAnsi="Times New Roman" w:cs="Times New Roman"/>
          <w:lang w:val="zh-CN"/>
        </w:rPr>
      </w:pPr>
      <w:r>
        <w:rPr>
          <w:rFonts w:hint="eastAsia" w:ascii="Times New Roman" w:hAnsi="Times New Roman" w:cs="Times New Roman"/>
          <w:lang w:val="en-US" w:eastAsia="zh-CN"/>
        </w:rPr>
        <w:t>3.6.2</w:t>
      </w:r>
      <w:r>
        <w:rPr>
          <w:rFonts w:hint="default" w:ascii="Times New Roman" w:hAnsi="Times New Roman" w:cs="Times New Roman"/>
          <w:lang w:val="zh-CN"/>
        </w:rPr>
        <w:t>在评标结束后，凡与评标情况有接触的任何人不得也不应将评标情况扩散出评标委员会成员之外。</w:t>
      </w:r>
    </w:p>
    <w:p>
      <w:pPr>
        <w:numPr>
          <w:ilvl w:val="0"/>
          <w:numId w:val="0"/>
        </w:numPr>
        <w:adjustRightInd w:val="0"/>
        <w:snapToGrid w:val="0"/>
        <w:spacing w:line="440" w:lineRule="exact"/>
        <w:ind w:left="400" w:leftChars="0"/>
        <w:rPr>
          <w:rFonts w:hint="default" w:ascii="Times New Roman" w:hAnsi="Times New Roman" w:cs="Times New Roman"/>
          <w:szCs w:val="21"/>
        </w:rPr>
      </w:pPr>
      <w:r>
        <w:rPr>
          <w:rFonts w:hint="eastAsia" w:ascii="Times New Roman" w:hAnsi="Times New Roman" w:cs="Times New Roman"/>
          <w:lang w:val="en-US" w:eastAsia="zh-CN"/>
        </w:rPr>
        <w:t>3.6.3</w:t>
      </w:r>
      <w:r>
        <w:rPr>
          <w:rFonts w:hint="default" w:ascii="Times New Roman" w:hAnsi="Times New Roman" w:cs="Times New Roman"/>
          <w:lang w:val="zh-CN"/>
        </w:rPr>
        <w:t>招标代理机构不向落标方解释落标原因，不退还投标文件。</w:t>
      </w:r>
    </w:p>
    <w:p>
      <w:pPr>
        <w:ind w:firstLine="400"/>
        <w:rPr>
          <w:rFonts w:hint="default" w:ascii="Times New Roman" w:hAnsi="Times New Roman" w:eastAsia="宋体" w:cs="Times New Roman"/>
        </w:rPr>
      </w:pP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36"/>
        <w:numPr>
          <w:ilvl w:val="0"/>
          <w:numId w:val="6"/>
        </w:numPr>
        <w:spacing w:line="600" w:lineRule="exact"/>
        <w:ind w:left="0" w:leftChars="0" w:right="-63" w:rightChars="-30" w:firstLine="0" w:firstLineChars="0"/>
        <w:rPr>
          <w:rFonts w:hint="eastAsia" w:asciiTheme="minorEastAsia" w:hAnsiTheme="minorEastAsia" w:eastAsiaTheme="minorEastAsia" w:cstheme="minorEastAsia"/>
          <w:sz w:val="36"/>
          <w:szCs w:val="36"/>
        </w:rPr>
      </w:pPr>
      <w:bookmarkStart w:id="238" w:name="_Toc955"/>
      <w:r>
        <w:rPr>
          <w:rFonts w:hint="eastAsia" w:asciiTheme="minorEastAsia" w:hAnsiTheme="minorEastAsia" w:eastAsiaTheme="minorEastAsia" w:cstheme="minorEastAsia"/>
          <w:sz w:val="36"/>
          <w:szCs w:val="36"/>
        </w:rPr>
        <w:t xml:space="preserve"> 合同条款及格式</w:t>
      </w:r>
      <w:bookmarkEnd w:id="222"/>
      <w:bookmarkEnd w:id="223"/>
      <w:bookmarkEnd w:id="224"/>
      <w:bookmarkEnd w:id="238"/>
    </w:p>
    <w:p>
      <w:pPr>
        <w:numPr>
          <w:ilvl w:val="0"/>
          <w:numId w:val="0"/>
        </w:numPr>
        <w:ind w:leftChars="0"/>
        <w:jc w:val="center"/>
        <w:rPr>
          <w:rFonts w:hint="eastAsia" w:eastAsia="宋体"/>
          <w:sz w:val="24"/>
          <w:szCs w:val="24"/>
          <w:lang w:eastAsia="zh-CN"/>
        </w:rPr>
      </w:pPr>
      <w:r>
        <w:rPr>
          <w:rFonts w:hint="eastAsia"/>
          <w:sz w:val="24"/>
          <w:szCs w:val="24"/>
          <w:lang w:eastAsia="zh-CN"/>
        </w:rPr>
        <w:t>（仅供参考）</w:t>
      </w:r>
    </w:p>
    <w:p>
      <w:pPr>
        <w:spacing w:line="440" w:lineRule="exact"/>
        <w:ind w:firstLine="482"/>
        <w:rPr>
          <w:rFonts w:asciiTheme="minorEastAsia" w:hAnsiTheme="minorEastAsia" w:eastAsiaTheme="minorEastAsia" w:cstheme="minorEastAsia"/>
          <w:sz w:val="24"/>
          <w:szCs w:val="24"/>
        </w:rPr>
      </w:pPr>
      <w:bookmarkStart w:id="239" w:name="_Toc12807"/>
      <w:r>
        <w:rPr>
          <w:rFonts w:hint="eastAsia" w:asciiTheme="minorEastAsia" w:hAnsiTheme="minorEastAsia" w:eastAsiaTheme="minorEastAsia" w:cstheme="minorEastAsia"/>
          <w:sz w:val="24"/>
          <w:szCs w:val="24"/>
        </w:rPr>
        <w:t xml:space="preserve">合同名称：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合同编号：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        （以下简称 “发包人” ） 与“承包人” ）于   年  月  日商定并签署。</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一、概述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定义： 合同文本中以下的用词及词语除根据上下文另有</w:t>
      </w:r>
      <w:r>
        <w:rPr>
          <w:rFonts w:hint="eastAsia" w:asciiTheme="minorEastAsia" w:hAnsiTheme="minorEastAsia" w:eastAsiaTheme="minorEastAsia" w:cstheme="minorEastAsia"/>
          <w:kern w:val="0"/>
          <w:sz w:val="24"/>
          <w:szCs w:val="24"/>
        </w:rPr>
        <w:t xml:space="preserve">要求外， 应具有本条所赋予的含义：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(1)合同：指本合同条款、合同协议书以及其它明确列入或合同协议书中的文件；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(2)发包人：</w:t>
      </w:r>
      <w:r>
        <w:rPr>
          <w:rFonts w:hint="eastAsia" w:asciiTheme="minorEastAsia" w:hAnsiTheme="minorEastAsia" w:eastAsiaTheme="minorEastAsia" w:cstheme="minorEastAsia"/>
          <w:sz w:val="24"/>
          <w:szCs w:val="24"/>
        </w:rPr>
        <w:t xml:space="preserve">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(3)承包人：具有承包主体资格并被发包人接受的当事人。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(4)投标书：指承包人为项目向发包人提供的，为项目而作的有报价的投标文件。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(5)项目名称：</w:t>
      </w:r>
      <w:r>
        <w:rPr>
          <w:rFonts w:hint="eastAsia" w:asciiTheme="minorEastAsia" w:hAnsiTheme="minorEastAsia" w:eastAsiaTheme="minorEastAsia" w:cstheme="minorEastAsia"/>
          <w:sz w:val="24"/>
          <w:szCs w:val="24"/>
        </w:rPr>
        <w:t xml:space="preserve">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(6)合同价款： 指根据合同条款， 用以支付承包人为完成本项目有关工作应付的总金额。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(7)不可抗力：不能预见、无法避免又不能克服的客观强制力量。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二、项目名称及技术要求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（1）项目名称：</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（2）技术要求： </w:t>
      </w:r>
    </w:p>
    <w:p>
      <w:pPr>
        <w:spacing w:line="440" w:lineRule="exact"/>
        <w:ind w:firstLine="482"/>
        <w:rPr>
          <w:rFonts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 xml:space="preserve">三、双方责任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3.1 发包人责任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(1)发包人向承包人提供开展本项目所需的有关基础资料，并对提供的时间、进度和资料的可靠性负责，时间为合同签订后 5天内。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(2)发包人应按合同规定向承包人支付合同价款；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(3)发包人负责协调本项目工作过程中与有关部门的配合问题；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3.2 承包人责任 </w:t>
      </w:r>
    </w:p>
    <w:p>
      <w:pPr>
        <w:spacing w:line="440" w:lineRule="exact"/>
        <w:ind w:firstLine="482"/>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(1)按照国家及行业现行的标准、规程、规范、技术条例进行工作；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(2)承包人应按照合同的规定和投标书中有关服务质量方面的承诺进行合同任务的 组织和具体实施，保证服务的质量；</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(4)承包人应依据合同，接受发包人的建议、检查、确认、同意、批准或类似行为， 并不因此变更或免除承包人的责任；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(5)承包人未经发包人同意不得向第三方转让， 或用于本合同以外的任何项目。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四、合同工期 </w:t>
      </w:r>
    </w:p>
    <w:p>
      <w:pPr>
        <w:spacing w:line="440" w:lineRule="exact"/>
        <w:ind w:firstLine="482"/>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kern w:val="1"/>
          <w:sz w:val="24"/>
          <w:szCs w:val="24"/>
        </w:rPr>
        <w:t xml:space="preserve">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五、合同价款与支付方式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5.1 合同价款： 本项目合同价款为人民币大写： （￥       元）。 </w:t>
      </w:r>
    </w:p>
    <w:p>
      <w:pPr>
        <w:pStyle w:val="55"/>
        <w:snapToGrid w:val="0"/>
        <w:spacing w:line="560" w:lineRule="exact"/>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asciiTheme="minorEastAsia" w:hAnsiTheme="minorEastAsia" w:eastAsiaTheme="minorEastAsia" w:cstheme="minorEastAsia"/>
          <w:color w:val="auto"/>
          <w:kern w:val="2"/>
          <w:sz w:val="24"/>
          <w:szCs w:val="24"/>
        </w:rPr>
        <w:t>5.2 付款方式：</w:t>
      </w:r>
      <w:r>
        <w:rPr>
          <w:rFonts w:hint="eastAsia" w:asciiTheme="minorEastAsia" w:hAnsiTheme="minorEastAsia" w:eastAsiaTheme="minorEastAsia" w:cstheme="minorEastAsia"/>
          <w:color w:val="auto"/>
          <w:kern w:val="2"/>
          <w:sz w:val="24"/>
          <w:szCs w:val="24"/>
          <w:lang w:val="en-US" w:eastAsia="zh-CN" w:bidi="ar-SA"/>
        </w:rPr>
        <w:t xml:space="preserve"> </w:t>
      </w:r>
    </w:p>
    <w:p>
      <w:pPr>
        <w:spacing w:line="440" w:lineRule="exact"/>
        <w:ind w:firstLine="48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六、合同主要条款</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6.1 发包人或承包人违反合同规定造成损失的应承担违约责任；</w:t>
      </w:r>
      <w:r>
        <w:rPr>
          <w:rFonts w:hint="eastAsia" w:asciiTheme="minorEastAsia" w:hAnsiTheme="minorEastAsia" w:eastAsiaTheme="minorEastAsia" w:cstheme="minorEastAsia"/>
          <w:sz w:val="24"/>
          <w:szCs w:val="24"/>
        </w:rPr>
        <w:t xml:space="preserve">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6.2 因承包人提供的成果造成发包人损失的，由承包人继续完善成果，并按损失的大小减收服务费； </w:t>
      </w:r>
    </w:p>
    <w:p>
      <w:pPr>
        <w:spacing w:line="440" w:lineRule="exact"/>
        <w:ind w:firstLine="482"/>
        <w:rPr>
          <w:rFonts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sz w:val="24"/>
          <w:szCs w:val="24"/>
        </w:rPr>
        <w:t xml:space="preserve">6.3 如由于承包人错误造成重大损失，承包人除负责采取补救措施外，应免收损失部分的服务费，并根据损失程度向发包人偿付赔偿金，赔偿金最多与免收的服务费金额相等。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6.4 发包人违约变更合同内容，未按期提交资料或提交资料错误及对所提资料作较 大修改，以致造成承包人返工或增加工作量时，双方除需另行协商签订补充合同、重新 明确有关条款外，发包人应按承包人所耗工作量向承包人支付返工费或追加工作量的补偿。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6.5 在合同履行期间，非承包人原因，发包人要求终止或解除合同，承包人不退还发包人已付的合同价款；承包人已开始服务工作的，发包人应根据承包人已进行的实际 工作量，支付价款。 </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6.6合同生效后，非发包人原因承包人要求终止或解除合同，应双倍返还已付合同价款。</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6.7</w:t>
      </w:r>
      <w:r>
        <w:rPr>
          <w:rFonts w:hint="eastAsia" w:asciiTheme="minorEastAsia" w:hAnsiTheme="minorEastAsia" w:eastAsiaTheme="minorEastAsia" w:cstheme="minorEastAsia"/>
          <w:sz w:val="24"/>
          <w:szCs w:val="24"/>
        </w:rPr>
        <w:t xml:space="preserve"> 履约保证金：转账或银行保函，且由中标方名义出具。</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投标企业中标后在招标人指定账户上缴纳投资总额的10%或以银行提供的履约保函的形式（不低于500万元）做为履约保证金。</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七、争议与索赔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7.1 争议：发包人、承包人双方因合同发生争议时，双方应通过友好协商解决，协商不能达成协议，要求调解、仲裁、或诉讼的，可采用以下程序解决：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首先双方向上级管部门请求调解，调解达不成协议的，</w:t>
      </w:r>
      <w:bookmarkStart w:id="240" w:name="page"/>
      <w:bookmarkEnd w:id="240"/>
      <w:r>
        <w:rPr>
          <w:rFonts w:hint="eastAsia" w:asciiTheme="minorEastAsia" w:hAnsiTheme="minorEastAsia" w:eastAsiaTheme="minorEastAsia" w:cstheme="minorEastAsia"/>
          <w:sz w:val="24"/>
          <w:szCs w:val="24"/>
        </w:rPr>
        <w:t xml:space="preserve">双方向有管辖权的仲 裁机关申请仲裁或直接向人民法院起诉。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仲裁费用或一切诉讼费用由败诉方承担。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仲裁及诉讼期间，发包人、承包人应继续履行合同规定的各自义务。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7.2 索赔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7.2.1 承包人可按以下规定向发包人索赔：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（1）有正当索赔理由，且有索赔事件发生时的有关证据；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（2）索赔事件发生后 20 天内，向发包人发出要求索赔的通知；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（3）发包人在接到索赔通知后 10 天内给予响应，或要求承包人进一步补充索赔理 由和证据，发包人在 10 天内未予答复，应视为该项索赔已经认可。</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7.2.2 发包人可按以下规定向承包人索赔：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（1）有正当索赔理由，且有索赔事件发生时的有关证据；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（2）索赔事件发生后 20 天内，向承包人发出要求索赔的通知；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（3）承包人在接到索赔通知后 10 天内给予响应，或要求发包人进一步补充索赔理 由或证据，承包人在 10 天内未予答复，应视为该项索赔已经认可。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八、设备、人员事故的责任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承包人应为其执行本合同所投入的设备及雇佣的全部人员承担事故责任。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九、其它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9.1 下列文件应作为本合同的组成部分：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① 本合同及补充合同（如有）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② 投标书（发包人接受的部分）；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③ 双方认为必要的其它文件。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9.2 由于不可抗力因素致使合同无法履行时，双方应及时协商解决；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9.3 本合同未尽事宜，双方可签订补充协议作为附件，补充协议与合同具有同等法律效力；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 合同有效期：本合同经双方代表签字盖章后生效。</w:t>
      </w:r>
      <w:r>
        <w:rPr>
          <w:rFonts w:hint="eastAsia" w:asciiTheme="minorEastAsia" w:hAnsiTheme="minorEastAsia" w:eastAsiaTheme="minorEastAsia" w:cstheme="minorEastAsia"/>
          <w:color w:val="C00000"/>
          <w:sz w:val="24"/>
          <w:szCs w:val="24"/>
        </w:rPr>
        <w:t xml:space="preserve"> </w:t>
      </w:r>
    </w:p>
    <w:p>
      <w:pPr>
        <w:spacing w:line="440" w:lineRule="exact"/>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9.5 合同份数：合同正本 2 份，双方各执 1 份；副本 4 份，双方各执 2 份。 </w:t>
      </w:r>
    </w:p>
    <w:p>
      <w:pPr>
        <w:spacing w:line="44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发包人：(盖公章)  承包人：(盖公章)</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法定代表人(或授权代表)：(签名)                      法定代表人(或授权代表)：(签字)</w:t>
      </w:r>
    </w:p>
    <w:p>
      <w:pPr>
        <w:spacing w:line="44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                                         地址：</w:t>
      </w:r>
    </w:p>
    <w:p>
      <w:pPr>
        <w:spacing w:line="44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                                         邮编：</w:t>
      </w:r>
    </w:p>
    <w:p>
      <w:pPr>
        <w:spacing w:line="44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                                         传真：</w:t>
      </w:r>
    </w:p>
    <w:p>
      <w:pPr>
        <w:spacing w:line="440" w:lineRule="exact"/>
        <w:ind w:left="479" w:leftChars="22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            开户行：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账号：                                         账号：</w:t>
      </w:r>
    </w:p>
    <w:p>
      <w:pPr>
        <w:spacing w:line="440" w:lineRule="exact"/>
        <w:ind w:firstLine="480"/>
        <w:rPr>
          <w:rFonts w:asciiTheme="minorEastAsia" w:hAnsiTheme="minorEastAsia" w:eastAsiaTheme="minorEastAsia" w:cstheme="minorEastAsia"/>
          <w:sz w:val="24"/>
          <w:szCs w:val="24"/>
        </w:rPr>
      </w:pPr>
    </w:p>
    <w:p>
      <w:pPr>
        <w:spacing w:line="440" w:lineRule="exact"/>
        <w:ind w:firstLine="48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签字日期:   年   月   日</w:t>
      </w:r>
    </w:p>
    <w:p>
      <w:pPr>
        <w:pStyle w:val="14"/>
        <w:rPr>
          <w:sz w:val="32"/>
          <w:szCs w:val="32"/>
        </w:rPr>
      </w:pPr>
    </w:p>
    <w:p>
      <w:pPr>
        <w:pStyle w:val="14"/>
        <w:rPr>
          <w:sz w:val="32"/>
          <w:szCs w:val="32"/>
        </w:rPr>
      </w:pPr>
    </w:p>
    <w:p>
      <w:pPr>
        <w:pStyle w:val="14"/>
        <w:rPr>
          <w:sz w:val="32"/>
          <w:szCs w:val="32"/>
        </w:rPr>
      </w:pPr>
    </w:p>
    <w:p>
      <w:pPr>
        <w:pStyle w:val="14"/>
        <w:jc w:val="center"/>
        <w:rPr>
          <w:b/>
          <w:bCs/>
          <w:sz w:val="32"/>
          <w:szCs w:val="32"/>
        </w:rPr>
      </w:pPr>
      <w:r>
        <w:rPr>
          <w:rFonts w:hint="eastAsia"/>
          <w:b/>
          <w:bCs/>
          <w:sz w:val="32"/>
          <w:szCs w:val="32"/>
        </w:rPr>
        <w:t>第五章 服务内容及要求</w:t>
      </w:r>
    </w:p>
    <w:bookmarkEnd w:id="239"/>
    <w:p>
      <w:pPr>
        <w:spacing w:line="440" w:lineRule="exact"/>
        <w:ind w:firstLine="482"/>
        <w:rPr>
          <w:rFonts w:hint="eastAsia" w:asciiTheme="minorEastAsia" w:hAnsiTheme="minorEastAsia" w:eastAsiaTheme="minorEastAsia" w:cstheme="minorEastAsia"/>
          <w:sz w:val="24"/>
          <w:szCs w:val="24"/>
        </w:rPr>
      </w:pPr>
      <w:bookmarkStart w:id="241" w:name="_Toc426369533"/>
      <w:bookmarkStart w:id="242" w:name="_Toc26235"/>
      <w:bookmarkStart w:id="243" w:name="_Toc7906"/>
      <w:bookmarkStart w:id="244" w:name="_Toc403122572"/>
      <w:r>
        <w:rPr>
          <w:rFonts w:hint="eastAsia" w:asciiTheme="minorEastAsia" w:hAnsiTheme="minorEastAsia" w:eastAsiaTheme="minorEastAsia" w:cstheme="minorEastAsia"/>
          <w:sz w:val="24"/>
          <w:szCs w:val="24"/>
        </w:rPr>
        <w:t>（一）经营期限</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博爱县生活垃圾焚烧发电所产炉渣处置及资源化再利用项目的经营期限为自本项目正式签订《特许经营协议》之日起30年（含建设期）。</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（二）项目服务内容及用途</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博爱县城市管理局通过公开招标选定焦作市静脉产业园西部园区生活垃圾焚烧发电所产炉渣处置及资源化再利用项目的中标人，由中标人出资在博爱县组建项目公司，项目公司</w:t>
      </w:r>
      <w:r>
        <w:rPr>
          <w:rFonts w:hint="eastAsia" w:asciiTheme="minorEastAsia" w:hAnsiTheme="minorEastAsia" w:eastAsiaTheme="minorEastAsia" w:cstheme="minorEastAsia"/>
          <w:sz w:val="24"/>
          <w:szCs w:val="24"/>
          <w:lang w:eastAsia="zh-CN"/>
        </w:rPr>
        <w:t>负责</w:t>
      </w:r>
      <w:r>
        <w:rPr>
          <w:rFonts w:hint="eastAsia" w:asciiTheme="minorEastAsia" w:hAnsiTheme="minorEastAsia" w:eastAsiaTheme="minorEastAsia" w:cstheme="minorEastAsia"/>
          <w:sz w:val="24"/>
          <w:szCs w:val="24"/>
        </w:rPr>
        <w:t>焦作市静脉产业园西部园区生活垃圾焚烧发电所产炉渣处置及再利用</w:t>
      </w:r>
      <w:r>
        <w:rPr>
          <w:rFonts w:hint="eastAsia" w:asciiTheme="minorEastAsia" w:hAnsiTheme="minorEastAsia" w:eastAsiaTheme="minorEastAsia" w:cstheme="minorEastAsia"/>
          <w:sz w:val="24"/>
          <w:szCs w:val="24"/>
          <w:lang w:eastAsia="zh-CN"/>
        </w:rPr>
        <w:t>项目运营</w:t>
      </w:r>
      <w:r>
        <w:rPr>
          <w:rFonts w:hint="eastAsia" w:asciiTheme="minorEastAsia" w:hAnsiTheme="minorEastAsia" w:eastAsiaTheme="minorEastAsia" w:cstheme="minorEastAsia"/>
          <w:sz w:val="24"/>
          <w:szCs w:val="24"/>
        </w:rPr>
        <w:t>。炉渣处置及资源化再利用项目建成后，对炉渣实行定时、定点、密闭运输，然后对其中的可回收物进行分选，分选后的炉渣生产粗细骨料，可用于生产符合国家、行业部门标准的建筑材料等相关产品。</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（三）项目规模</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建设规模为年处理不低于10万吨，中标企业预算投资约</w:t>
      </w:r>
      <w:r>
        <w:rPr>
          <w:rFonts w:hint="eastAsia" w:asciiTheme="minorEastAsia" w:hAnsiTheme="minorEastAsia" w:eastAsiaTheme="minorEastAsia" w:cstheme="minorEastAsia"/>
          <w:sz w:val="24"/>
          <w:szCs w:val="24"/>
          <w:lang w:val="en-US" w:eastAsia="zh-CN"/>
        </w:rPr>
        <w:t>5000</w:t>
      </w:r>
      <w:r>
        <w:rPr>
          <w:rFonts w:hint="eastAsia" w:asciiTheme="minorEastAsia" w:hAnsiTheme="minorEastAsia" w:eastAsiaTheme="minorEastAsia" w:cstheme="minorEastAsia"/>
          <w:sz w:val="24"/>
          <w:szCs w:val="24"/>
        </w:rPr>
        <w:t>万元，经营期限为30年。</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（四）项目具体要求</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具有生活垃圾焚烧发电所产炉渣处置及资源化再利用技术，具有相应的专业技术队伍和经营管理经验。</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本次拟实施的焦作市静脉产业园西部园区生活垃圾焚烧发电所产炉渣处置及资源化再利用项目炉渣价格</w:t>
      </w:r>
      <w:r>
        <w:rPr>
          <w:rFonts w:hint="eastAsia" w:asciiTheme="minorEastAsia" w:hAnsiTheme="minorEastAsia" w:eastAsiaTheme="minorEastAsia" w:cstheme="minorEastAsia"/>
          <w:sz w:val="24"/>
          <w:szCs w:val="24"/>
          <w:lang w:eastAsia="zh-CN"/>
        </w:rPr>
        <w:t>不低于</w:t>
      </w:r>
      <w:r>
        <w:rPr>
          <w:rFonts w:hint="eastAsia" w:asciiTheme="minorEastAsia" w:hAnsiTheme="minorEastAsia" w:eastAsiaTheme="minorEastAsia" w:cstheme="minorEastAsia"/>
          <w:sz w:val="24"/>
          <w:szCs w:val="24"/>
        </w:rPr>
        <w:t>25元/吨</w:t>
      </w:r>
      <w:r>
        <w:rPr>
          <w:rFonts w:hint="eastAsia" w:asciiTheme="minorEastAsia" w:hAnsiTheme="minorEastAsia" w:eastAsiaTheme="minorEastAsia" w:cstheme="minorEastAsia"/>
          <w:sz w:val="24"/>
          <w:szCs w:val="24"/>
          <w:lang w:val="en-US" w:eastAsia="zh-CN"/>
        </w:rPr>
        <w:t>（根据市场情况，每5年对中标价格进行一次评估，根据评估结果，经协商后进行调整）</w:t>
      </w:r>
      <w:r>
        <w:rPr>
          <w:rFonts w:hint="eastAsia" w:asciiTheme="minorEastAsia" w:hAnsiTheme="minorEastAsia" w:eastAsiaTheme="minorEastAsia" w:cstheme="minorEastAsia"/>
          <w:sz w:val="24"/>
          <w:szCs w:val="24"/>
        </w:rPr>
        <w:t>。</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生活垃圾焚烧发电所产炉渣处置及资源化再利用</w:t>
      </w:r>
      <w:r>
        <w:rPr>
          <w:rFonts w:hint="eastAsia" w:asciiTheme="minorEastAsia" w:hAnsiTheme="minorEastAsia" w:eastAsiaTheme="minorEastAsia" w:cstheme="minorEastAsia"/>
          <w:sz w:val="24"/>
          <w:szCs w:val="24"/>
          <w:lang w:val="en-US" w:eastAsia="zh-CN"/>
        </w:rPr>
        <w:t>生产线符合国家环保要求、产品</w:t>
      </w:r>
      <w:r>
        <w:rPr>
          <w:rFonts w:hint="eastAsia" w:asciiTheme="minorEastAsia" w:hAnsiTheme="minorEastAsia" w:eastAsiaTheme="minorEastAsia" w:cstheme="minorEastAsia"/>
          <w:sz w:val="24"/>
          <w:szCs w:val="24"/>
        </w:rPr>
        <w:t>质量需达到现行国家（行业）有关技术规范。</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中标企业应于《特许经营协议》签订后12个月内完成项目建设，包括生活垃圾处置场地、主要处理设备等配套建设</w:t>
      </w:r>
      <w:r>
        <w:rPr>
          <w:rFonts w:hint="eastAsia" w:asciiTheme="minorEastAsia" w:hAnsiTheme="minorEastAsia" w:eastAsiaTheme="minorEastAsia" w:cstheme="minorEastAsia"/>
          <w:sz w:val="24"/>
          <w:szCs w:val="24"/>
          <w:lang w:val="en-US" w:eastAsia="zh-CN"/>
        </w:rPr>
        <w:t>及运营</w:t>
      </w:r>
      <w:r>
        <w:rPr>
          <w:rFonts w:hint="eastAsia" w:asciiTheme="minorEastAsia" w:hAnsiTheme="minorEastAsia" w:eastAsiaTheme="minorEastAsia" w:cstheme="minorEastAsia"/>
          <w:sz w:val="24"/>
          <w:szCs w:val="24"/>
        </w:rPr>
        <w:t>。</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企业权益</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博爱县城管局管理和协调</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企业的生活垃圾焚烧发电所产炉渣处置及资源化再利用</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的具体实施。由公开招投标产生的利用生活垃圾焚烧发电所产炉渣处置及资源化再利用企业享有以下权益:</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企业可向河南省发改委申报河南省生活垃圾综合利用产品认定和循环经济专项补贴资金，获得认定的产品享有国家规定的税收优惠。</w:t>
      </w:r>
    </w:p>
    <w:p>
      <w:pPr>
        <w:spacing w:line="440" w:lineRule="exact"/>
        <w:ind w:firstLine="48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焦作市静脉产业园西部园区生活垃圾焚烧发电所</w:t>
      </w:r>
      <w:r>
        <w:rPr>
          <w:rFonts w:hint="eastAsia" w:asciiTheme="minorEastAsia" w:hAnsiTheme="minorEastAsia" w:eastAsiaTheme="minorEastAsia" w:cstheme="minorEastAsia"/>
          <w:sz w:val="24"/>
          <w:szCs w:val="24"/>
        </w:rPr>
        <w:t>产炉渣</w:t>
      </w:r>
      <w:r>
        <w:rPr>
          <w:rFonts w:hint="eastAsia" w:asciiTheme="minorEastAsia" w:hAnsiTheme="minorEastAsia" w:eastAsiaTheme="minorEastAsia" w:cstheme="minorEastAsia"/>
          <w:sz w:val="24"/>
          <w:szCs w:val="24"/>
          <w:lang w:eastAsia="zh-CN"/>
        </w:rPr>
        <w:t>除中标</w:t>
      </w:r>
      <w:r>
        <w:rPr>
          <w:rFonts w:hint="eastAsia" w:asciiTheme="minorEastAsia" w:hAnsiTheme="minorEastAsia" w:eastAsiaTheme="minorEastAsia" w:cstheme="minorEastAsia"/>
          <w:sz w:val="24"/>
          <w:szCs w:val="24"/>
        </w:rPr>
        <w:t>企业</w:t>
      </w:r>
      <w:r>
        <w:rPr>
          <w:rFonts w:hint="eastAsia" w:asciiTheme="minorEastAsia" w:hAnsiTheme="minorEastAsia" w:eastAsiaTheme="minorEastAsia" w:cstheme="minorEastAsia"/>
          <w:sz w:val="24"/>
          <w:szCs w:val="24"/>
          <w:lang w:eastAsia="zh-CN"/>
        </w:rPr>
        <w:t>以外，不得售与其他企业或个人</w:t>
      </w:r>
      <w:r>
        <w:rPr>
          <w:rFonts w:hint="eastAsia" w:asciiTheme="minorEastAsia" w:hAnsiTheme="minorEastAsia" w:eastAsiaTheme="minorEastAsia" w:cstheme="minorEastAsia"/>
          <w:sz w:val="24"/>
          <w:szCs w:val="24"/>
        </w:rPr>
        <w:t>。</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企业承诺以下义务：</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1、在规定期限内完成项目建成并投入运营，否则无条件退出，履约保证金不予退还。</w:t>
      </w:r>
    </w:p>
    <w:p>
      <w:pPr>
        <w:spacing w:line="440" w:lineRule="exact"/>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企业应当</w:t>
      </w:r>
      <w:r>
        <w:rPr>
          <w:rFonts w:hint="eastAsia" w:asciiTheme="minorEastAsia" w:hAnsiTheme="minorEastAsia" w:eastAsiaTheme="minorEastAsia" w:cstheme="minorEastAsia"/>
          <w:sz w:val="24"/>
          <w:szCs w:val="24"/>
          <w:lang w:eastAsia="zh-CN"/>
        </w:rPr>
        <w:t>成立专业</w:t>
      </w:r>
      <w:r>
        <w:rPr>
          <w:rFonts w:hint="eastAsia" w:asciiTheme="minorEastAsia" w:hAnsiTheme="minorEastAsia" w:eastAsiaTheme="minorEastAsia" w:cstheme="minorEastAsia"/>
          <w:sz w:val="24"/>
          <w:szCs w:val="24"/>
        </w:rPr>
        <w:t>清运</w:t>
      </w:r>
      <w:r>
        <w:rPr>
          <w:rFonts w:hint="eastAsia" w:asciiTheme="minorEastAsia" w:hAnsiTheme="minorEastAsia" w:eastAsiaTheme="minorEastAsia" w:cstheme="minorEastAsia"/>
          <w:sz w:val="24"/>
          <w:szCs w:val="24"/>
          <w:lang w:eastAsia="zh-CN"/>
        </w:rPr>
        <w:t>队伍</w:t>
      </w:r>
      <w:r>
        <w:rPr>
          <w:rFonts w:hint="eastAsia" w:asciiTheme="minorEastAsia" w:hAnsiTheme="minorEastAsia" w:eastAsiaTheme="minorEastAsia" w:cstheme="minorEastAsia"/>
          <w:sz w:val="24"/>
          <w:szCs w:val="24"/>
        </w:rPr>
        <w:t>，按照行业规定配置车辆，</w:t>
      </w:r>
      <w:r>
        <w:rPr>
          <w:rFonts w:hint="eastAsia" w:asciiTheme="minorEastAsia" w:hAnsiTheme="minorEastAsia" w:eastAsiaTheme="minorEastAsia" w:cstheme="minorEastAsia"/>
          <w:sz w:val="24"/>
          <w:szCs w:val="24"/>
          <w:lang w:eastAsia="zh-CN"/>
        </w:rPr>
        <w:t>开展炉渣</w:t>
      </w:r>
      <w:r>
        <w:rPr>
          <w:rFonts w:hint="eastAsia" w:asciiTheme="minorEastAsia" w:hAnsiTheme="minorEastAsia" w:eastAsiaTheme="minorEastAsia" w:cstheme="minorEastAsia"/>
          <w:sz w:val="24"/>
          <w:szCs w:val="24"/>
        </w:rPr>
        <w:t>清运工作。</w:t>
      </w:r>
    </w:p>
    <w:p>
      <w:pPr>
        <w:pStyle w:val="36"/>
        <w:spacing w:line="600" w:lineRule="exact"/>
        <w:ind w:right="-63" w:rightChars="-30"/>
        <w:rPr>
          <w:rFonts w:hint="eastAsia" w:asciiTheme="minorEastAsia" w:hAnsiTheme="minorEastAsia" w:eastAsiaTheme="minorEastAsia" w:cstheme="minorEastAsia"/>
          <w:sz w:val="36"/>
          <w:szCs w:val="36"/>
          <w:highlight w:val="red"/>
        </w:rPr>
      </w:pPr>
    </w:p>
    <w:p>
      <w:pPr>
        <w:pStyle w:val="36"/>
        <w:spacing w:line="600" w:lineRule="exact"/>
        <w:ind w:right="-63" w:rightChars="-30"/>
        <w:rPr>
          <w:rFonts w:hint="eastAsia" w:asciiTheme="minorEastAsia" w:hAnsiTheme="minorEastAsia" w:eastAsiaTheme="minorEastAsia" w:cstheme="minorEastAsia"/>
          <w:sz w:val="36"/>
          <w:szCs w:val="36"/>
        </w:rPr>
      </w:pPr>
    </w:p>
    <w:p>
      <w:pPr>
        <w:pStyle w:val="36"/>
        <w:spacing w:line="600" w:lineRule="exact"/>
        <w:ind w:right="-63" w:rightChars="-30"/>
        <w:rPr>
          <w:rFonts w:hint="eastAsia" w:asciiTheme="minorEastAsia" w:hAnsiTheme="minorEastAsia" w:eastAsiaTheme="minorEastAsia" w:cstheme="minorEastAsia"/>
          <w:sz w:val="36"/>
          <w:szCs w:val="36"/>
        </w:rPr>
      </w:pPr>
    </w:p>
    <w:p>
      <w:pPr>
        <w:pStyle w:val="36"/>
        <w:spacing w:line="600" w:lineRule="exact"/>
        <w:ind w:right="-63" w:rightChars="-30"/>
        <w:rPr>
          <w:rFonts w:hint="eastAsia" w:asciiTheme="minorEastAsia" w:hAnsiTheme="minorEastAsia" w:eastAsiaTheme="minorEastAsia" w:cstheme="minorEastAsia"/>
          <w:sz w:val="36"/>
          <w:szCs w:val="36"/>
        </w:rPr>
      </w:pPr>
    </w:p>
    <w:p>
      <w:pPr>
        <w:rPr>
          <w:rFonts w:hint="eastAsia" w:asciiTheme="minorEastAsia" w:hAnsiTheme="minorEastAsia" w:eastAsiaTheme="minorEastAsia" w:cstheme="minorEastAsia"/>
          <w:sz w:val="36"/>
          <w:szCs w:val="36"/>
        </w:rPr>
      </w:pPr>
    </w:p>
    <w:p>
      <w:pPr>
        <w:pStyle w:val="2"/>
        <w:rPr>
          <w:rFonts w:hint="eastAsia" w:asciiTheme="minorEastAsia" w:hAnsiTheme="minorEastAsia" w:eastAsiaTheme="minorEastAsia" w:cstheme="minorEastAsia"/>
          <w:sz w:val="36"/>
          <w:szCs w:val="36"/>
        </w:rPr>
      </w:pPr>
    </w:p>
    <w:p>
      <w:pPr>
        <w:rPr>
          <w:rFonts w:hint="eastAsia" w:asciiTheme="minorEastAsia" w:hAnsiTheme="minorEastAsia" w:eastAsiaTheme="minorEastAsia" w:cstheme="minorEastAsia"/>
          <w:sz w:val="36"/>
          <w:szCs w:val="36"/>
        </w:rPr>
      </w:pPr>
    </w:p>
    <w:p>
      <w:pPr>
        <w:pStyle w:val="2"/>
        <w:rPr>
          <w:rFonts w:hint="eastAsia" w:asciiTheme="minorEastAsia" w:hAnsiTheme="minorEastAsia" w:eastAsiaTheme="minorEastAsia" w:cstheme="minorEastAsia"/>
          <w:sz w:val="36"/>
          <w:szCs w:val="36"/>
        </w:rPr>
      </w:pPr>
    </w:p>
    <w:p>
      <w:pPr>
        <w:rPr>
          <w:rFonts w:hint="eastAsia" w:asciiTheme="minorEastAsia" w:hAnsiTheme="minorEastAsia" w:eastAsiaTheme="minorEastAsia" w:cstheme="minorEastAsia"/>
          <w:sz w:val="36"/>
          <w:szCs w:val="36"/>
        </w:rPr>
      </w:pPr>
    </w:p>
    <w:p>
      <w:pPr>
        <w:pStyle w:val="2"/>
        <w:rPr>
          <w:rFonts w:hint="eastAsia" w:asciiTheme="minorEastAsia" w:hAnsiTheme="minorEastAsia" w:eastAsiaTheme="minorEastAsia" w:cstheme="minorEastAsia"/>
          <w:sz w:val="36"/>
          <w:szCs w:val="36"/>
        </w:rPr>
      </w:pPr>
    </w:p>
    <w:p>
      <w:pPr>
        <w:rPr>
          <w:rFonts w:hint="eastAsia" w:asciiTheme="minorEastAsia" w:hAnsiTheme="minorEastAsia" w:eastAsiaTheme="minorEastAsia" w:cstheme="minorEastAsia"/>
          <w:sz w:val="36"/>
          <w:szCs w:val="36"/>
        </w:rPr>
      </w:pPr>
    </w:p>
    <w:p>
      <w:pPr>
        <w:pStyle w:val="2"/>
        <w:rPr>
          <w:rFonts w:hint="eastAsia" w:asciiTheme="minorEastAsia" w:hAnsiTheme="minorEastAsia" w:eastAsiaTheme="minorEastAsia" w:cstheme="minorEastAsia"/>
          <w:sz w:val="36"/>
          <w:szCs w:val="36"/>
        </w:rPr>
      </w:pPr>
    </w:p>
    <w:p>
      <w:pPr>
        <w:rPr>
          <w:rFonts w:hint="eastAsia"/>
        </w:rPr>
      </w:pPr>
      <w:bookmarkStart w:id="278" w:name="_GoBack"/>
      <w:bookmarkEnd w:id="278"/>
    </w:p>
    <w:p>
      <w:pPr>
        <w:rPr>
          <w:rFonts w:hint="eastAsia"/>
        </w:rPr>
      </w:pPr>
    </w:p>
    <w:p>
      <w:pPr>
        <w:pStyle w:val="36"/>
        <w:spacing w:line="600" w:lineRule="exact"/>
        <w:ind w:right="-63" w:rightChars="-30"/>
        <w:rPr>
          <w:rFonts w:hint="eastAsia" w:asciiTheme="minorEastAsia" w:hAnsiTheme="minorEastAsia" w:eastAsiaTheme="minorEastAsia" w:cstheme="minorEastAsia"/>
          <w:sz w:val="36"/>
          <w:szCs w:val="36"/>
        </w:rPr>
      </w:pPr>
    </w:p>
    <w:p>
      <w:pPr>
        <w:pStyle w:val="36"/>
        <w:spacing w:line="600" w:lineRule="exact"/>
        <w:ind w:right="-63" w:rightChars="-3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第六章  投标文件格式</w:t>
      </w:r>
      <w:bookmarkEnd w:id="241"/>
      <w:bookmarkEnd w:id="242"/>
      <w:bookmarkEnd w:id="243"/>
      <w:bookmarkEnd w:id="244"/>
    </w:p>
    <w:p>
      <w:pPr>
        <w:rPr>
          <w:rFonts w:asciiTheme="minorEastAsia" w:hAnsiTheme="minorEastAsia" w:eastAsiaTheme="minorEastAsia" w:cstheme="minorEastAsia"/>
        </w:rPr>
      </w:pPr>
      <w:bookmarkStart w:id="245" w:name="_Toc27452"/>
      <w:bookmarkStart w:id="246" w:name="_Toc18905"/>
      <w:bookmarkStart w:id="247" w:name="_Toc402961301"/>
      <w:bookmarkStart w:id="248" w:name="_Toc403122573"/>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 xml:space="preserve"> 正本/副本</w:t>
      </w:r>
      <w:bookmarkEnd w:id="245"/>
      <w:bookmarkEnd w:id="246"/>
      <w:bookmarkEnd w:id="247"/>
      <w:bookmarkEnd w:id="248"/>
    </w:p>
    <w:p>
      <w:pPr>
        <w:pStyle w:val="36"/>
        <w:outlineLvl w:val="9"/>
        <w:rPr>
          <w:rFonts w:asciiTheme="minorEastAsia" w:hAnsiTheme="minorEastAsia" w:eastAsiaTheme="minorEastAsia" w:cstheme="minorEastAsia"/>
          <w:kern w:val="44"/>
          <w:sz w:val="24"/>
          <w:szCs w:val="24"/>
        </w:rPr>
      </w:pPr>
    </w:p>
    <w:p>
      <w:pPr>
        <w:pStyle w:val="36"/>
        <w:outlineLvl w:val="9"/>
        <w:rPr>
          <w:rFonts w:asciiTheme="minorEastAsia" w:hAnsiTheme="minorEastAsia" w:eastAsiaTheme="minorEastAsia" w:cstheme="minorEastAsia"/>
          <w:kern w:val="44"/>
          <w:sz w:val="24"/>
          <w:szCs w:val="24"/>
        </w:rPr>
      </w:pPr>
    </w:p>
    <w:p>
      <w:pPr>
        <w:spacing w:line="360" w:lineRule="auto"/>
        <w:ind w:firstLine="2208" w:firstLineChars="611"/>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u w:val="single"/>
        </w:rPr>
        <w:t xml:space="preserve">                   </w:t>
      </w:r>
      <w:r>
        <w:rPr>
          <w:rFonts w:hint="eastAsia" w:asciiTheme="minorEastAsia" w:hAnsiTheme="minorEastAsia" w:eastAsiaTheme="minorEastAsia" w:cstheme="minorEastAsia"/>
          <w:b/>
          <w:sz w:val="36"/>
          <w:szCs w:val="36"/>
        </w:rPr>
        <w:t>（项目名称）</w:t>
      </w:r>
    </w:p>
    <w:p>
      <w:pPr>
        <w:spacing w:line="360" w:lineRule="auto"/>
        <w:jc w:val="center"/>
        <w:rPr>
          <w:rFonts w:asciiTheme="minorEastAsia" w:hAnsiTheme="minorEastAsia" w:eastAsiaTheme="minorEastAsia" w:cstheme="minorEastAsia"/>
          <w:b/>
          <w:sz w:val="32"/>
          <w:szCs w:val="32"/>
        </w:rPr>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采购编号：</w:t>
      </w: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21"/>
        <w:spacing w:line="600" w:lineRule="exact"/>
        <w:ind w:left="1050" w:leftChars="500" w:firstLine="128" w:firstLineChars="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pacing w:val="8"/>
          <w:sz w:val="24"/>
          <w:u w:val="single"/>
        </w:rPr>
        <w:t xml:space="preserve">                             </w:t>
      </w:r>
      <w:r>
        <w:rPr>
          <w:rFonts w:asciiTheme="minorEastAsia" w:hAnsiTheme="minorEastAsia" w:eastAsiaTheme="minorEastAsia" w:cstheme="minorEastAsia"/>
          <w:sz w:val="24"/>
        </w:rPr>
        <w:t>（单位公章）</w:t>
      </w:r>
    </w:p>
    <w:p>
      <w:pPr>
        <w:pStyle w:val="21"/>
        <w:spacing w:line="600" w:lineRule="exact"/>
        <w:ind w:left="1050" w:leftChars="500" w:firstLine="120" w:firstLineChars="5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pacing w:val="12"/>
          <w:sz w:val="24"/>
          <w:u w:val="single"/>
        </w:rPr>
        <w:t xml:space="preserve">                 </w:t>
      </w:r>
      <w:r>
        <w:rPr>
          <w:rFonts w:asciiTheme="minorEastAsia" w:hAnsiTheme="minorEastAsia" w:eastAsiaTheme="minorEastAsia" w:cstheme="minorEastAsia"/>
          <w:sz w:val="24"/>
        </w:rPr>
        <w:t xml:space="preserve">（签字或盖章）  </w:t>
      </w:r>
    </w:p>
    <w:p>
      <w:pPr>
        <w:pStyle w:val="21"/>
        <w:spacing w:line="600" w:lineRule="exact"/>
        <w:ind w:left="1050" w:leftChars="500" w:firstLine="120" w:firstLineChars="5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500" w:lineRule="exact"/>
        <w:jc w:val="center"/>
        <w:outlineLvl w:val="1"/>
        <w:rPr>
          <w:rFonts w:asciiTheme="minorEastAsia" w:hAnsiTheme="minorEastAsia" w:eastAsiaTheme="minorEastAsia" w:cstheme="minorEastAsia"/>
          <w:b/>
          <w:bCs/>
          <w:sz w:val="28"/>
          <w:szCs w:val="28"/>
        </w:rPr>
      </w:pPr>
      <w:bookmarkStart w:id="249" w:name="_Toc31547"/>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50" w:name="_Toc1921"/>
      <w:r>
        <w:rPr>
          <w:rFonts w:hint="eastAsia" w:asciiTheme="minorEastAsia" w:hAnsiTheme="minorEastAsia" w:eastAsiaTheme="minorEastAsia" w:cstheme="minorEastAsia"/>
          <w:b/>
          <w:bCs/>
          <w:sz w:val="30"/>
          <w:szCs w:val="30"/>
        </w:rPr>
        <w:t>一、投标函</w:t>
      </w:r>
      <w:bookmarkEnd w:id="249"/>
      <w:r>
        <w:rPr>
          <w:rFonts w:hint="eastAsia" w:asciiTheme="minorEastAsia" w:hAnsiTheme="minorEastAsia" w:eastAsiaTheme="minorEastAsia" w:cstheme="minorEastAsia"/>
          <w:b/>
          <w:bCs/>
          <w:sz w:val="30"/>
          <w:szCs w:val="30"/>
        </w:rPr>
        <w:t>及开标一览表</w:t>
      </w:r>
      <w:bookmarkEnd w:id="250"/>
    </w:p>
    <w:p>
      <w:pPr>
        <w:jc w:val="center"/>
        <w:outlineLvl w:val="2"/>
        <w:rPr>
          <w:rFonts w:asciiTheme="minorEastAsia" w:hAnsiTheme="minorEastAsia" w:eastAsiaTheme="minorEastAsia" w:cstheme="minorEastAsia"/>
          <w:b/>
          <w:bCs/>
          <w:sz w:val="28"/>
        </w:rPr>
      </w:pPr>
      <w:bookmarkStart w:id="251" w:name="_Toc27218"/>
      <w:bookmarkStart w:id="252" w:name="_Toc600"/>
      <w:bookmarkStart w:id="253" w:name="_Toc12044"/>
      <w:r>
        <w:rPr>
          <w:rFonts w:hint="eastAsia" w:asciiTheme="minorEastAsia" w:hAnsiTheme="minorEastAsia" w:eastAsiaTheme="minorEastAsia" w:cstheme="minorEastAsia"/>
          <w:b/>
          <w:sz w:val="28"/>
          <w:szCs w:val="28"/>
        </w:rPr>
        <w:t>（一）投标函</w:t>
      </w:r>
      <w:bookmarkEnd w:id="251"/>
      <w:bookmarkEnd w:id="252"/>
      <w:bookmarkEnd w:id="253"/>
    </w:p>
    <w:p>
      <w:pPr>
        <w:spacing w:line="44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（采购人名称）： </w:t>
      </w:r>
    </w:p>
    <w:p>
      <w:pPr>
        <w:numPr>
          <w:ilvl w:val="0"/>
          <w:numId w:val="10"/>
        </w:numPr>
        <w:tabs>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我方已仔细研究了</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highlight w:val="none"/>
        </w:rPr>
        <w:t>名称）招标文件的全部内容，对本项目愿意以以人民币（大写）</w:t>
      </w:r>
      <w:r>
        <w:rPr>
          <w:rFonts w:hint="eastAsia" w:asciiTheme="minorEastAsia" w:hAnsiTheme="minorEastAsia" w:eastAsiaTheme="minorEastAsia" w:cstheme="minorEastAsia"/>
          <w:szCs w:val="21"/>
          <w:highlight w:val="none"/>
          <w:u w:val="single"/>
        </w:rPr>
        <w:t xml:space="preserve">            </w:t>
      </w:r>
      <w:r>
        <w:rPr>
          <w:rFonts w:hint="eastAsia" w:ascii="宋体" w:hAnsi="宋体" w:cs="宋体"/>
          <w:kern w:val="0"/>
          <w:sz w:val="24"/>
        </w:rPr>
        <w:t>元/吨</w:t>
      </w:r>
      <w:r>
        <w:rPr>
          <w:rFonts w:hint="eastAsia" w:ascii="宋体" w:hAnsi="宋体" w:cs="宋体"/>
          <w:kern w:val="0"/>
          <w:sz w:val="24"/>
          <w:lang w:val="en-US" w:eastAsia="zh-CN"/>
        </w:rPr>
        <w:t xml:space="preserve"> </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u w:val="single"/>
        </w:rPr>
        <w:t xml:space="preserve">          </w:t>
      </w:r>
      <w:r>
        <w:rPr>
          <w:rFonts w:hint="eastAsia" w:ascii="宋体" w:hAnsi="宋体" w:cs="宋体"/>
          <w:kern w:val="0"/>
          <w:sz w:val="24"/>
        </w:rPr>
        <w:t>元/吨</w:t>
      </w:r>
      <w:r>
        <w:rPr>
          <w:rFonts w:hint="eastAsia" w:ascii="宋体" w:hAnsi="宋体" w:cs="宋体"/>
          <w:kern w:val="0"/>
          <w:sz w:val="24"/>
          <w:lang w:val="en-US" w:eastAsia="zh-CN"/>
        </w:rPr>
        <w:t xml:space="preserve"> </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lang w:val="en-US" w:eastAsia="zh-CN"/>
        </w:rPr>
        <w:t>为炉渣处置费投标</w:t>
      </w:r>
      <w:r>
        <w:rPr>
          <w:rFonts w:hint="eastAsia" w:asciiTheme="minorEastAsia" w:hAnsiTheme="minorEastAsia" w:eastAsiaTheme="minorEastAsia" w:cstheme="minorEastAsia"/>
          <w:szCs w:val="21"/>
          <w:highlight w:val="none"/>
        </w:rPr>
        <w:t>报价</w:t>
      </w:r>
      <w:r>
        <w:rPr>
          <w:rFonts w:hint="eastAsia" w:asciiTheme="minorEastAsia" w:hAnsiTheme="minorEastAsia" w:eastAsiaTheme="minorEastAsia" w:cstheme="minorEastAsia"/>
          <w:szCs w:val="21"/>
          <w:highlight w:val="none"/>
          <w:lang w:eastAsia="zh-CN"/>
        </w:rPr>
        <w:t>，</w:t>
      </w:r>
      <w:r>
        <w:rPr>
          <w:rFonts w:asciiTheme="minorEastAsia" w:hAnsiTheme="minorEastAsia" w:eastAsiaTheme="minorEastAsia" w:cstheme="minorEastAsia"/>
          <w:highlight w:val="none"/>
        </w:rPr>
        <w:t>服</w:t>
      </w:r>
      <w:r>
        <w:rPr>
          <w:rFonts w:asciiTheme="minorEastAsia" w:hAnsiTheme="minorEastAsia" w:eastAsiaTheme="minorEastAsia" w:cstheme="minorEastAsia"/>
        </w:rPr>
        <w:t>务</w:t>
      </w:r>
      <w:r>
        <w:rPr>
          <w:rFonts w:hint="eastAsia" w:asciiTheme="minorEastAsia" w:hAnsiTheme="minorEastAsia" w:eastAsiaTheme="minorEastAsia" w:cstheme="minorEastAsia"/>
        </w:rPr>
        <w:t>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，按合同约定实施和完成本项目。 </w:t>
      </w:r>
    </w:p>
    <w:p>
      <w:pPr>
        <w:numPr>
          <w:ilvl w:val="0"/>
          <w:numId w:val="10"/>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我方承诺我公司完全满足《中华人民共和国政府采购法》第二十二条之各项规定，如果我们的投标文件被接受，我们将履行招标文件中规定的各项要求，按期、按质、按量完成中标项目。</w:t>
      </w:r>
    </w:p>
    <w:p>
      <w:pPr>
        <w:numPr>
          <w:ilvl w:val="0"/>
          <w:numId w:val="10"/>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我方承诺在投标有效期内不修改、撤销投标文件。</w:t>
      </w:r>
    </w:p>
    <w:p>
      <w:pPr>
        <w:numPr>
          <w:ilvl w:val="0"/>
          <w:numId w:val="10"/>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如我方中标：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（1）我方承诺在收到中标通知书后，在中标通知书规定的期限内与你方签订合同。</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（2）随同本投标函递交的投标函附录属于合同文件的组成部分。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（3）我方承诺按照招标文件规定向你方递交履约保证金。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（4）我们将根据招标文件的规定，严格按照《合同法》履行自己的责任和义务,并保证于投标报价表中规定的时间交货使用，否则我们的履约保证金将被贵方没收。</w:t>
      </w:r>
    </w:p>
    <w:p>
      <w:pPr>
        <w:numPr>
          <w:ilvl w:val="0"/>
          <w:numId w:val="10"/>
        </w:numPr>
        <w:tabs>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我方在此声明，所递交的投标文件及有关资料内容完整、真实和准确。 </w:t>
      </w:r>
    </w:p>
    <w:p>
      <w:pPr>
        <w:spacing w:line="440" w:lineRule="exact"/>
        <w:ind w:left="105"/>
        <w:rPr>
          <w:rFonts w:asciiTheme="minorEastAsia" w:hAnsiTheme="minorEastAsia" w:eastAsiaTheme="minorEastAsia" w:cstheme="minorEastAsia"/>
          <w:szCs w:val="21"/>
        </w:rPr>
      </w:pPr>
    </w:p>
    <w:p>
      <w:pPr>
        <w:spacing w:line="440" w:lineRule="exact"/>
        <w:ind w:left="105"/>
        <w:rPr>
          <w:rFonts w:asciiTheme="minorEastAsia" w:hAnsiTheme="minorEastAsia" w:eastAsiaTheme="minorEastAsia" w:cstheme="minorEastAsia"/>
          <w:szCs w:val="21"/>
        </w:rPr>
      </w:pP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（盖企业公章）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签字或盖章）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r>
        <w:rPr>
          <w:rFonts w:hint="eastAsia" w:asciiTheme="minorEastAsia" w:hAnsiTheme="minorEastAsia" w:eastAsiaTheme="minorEastAsia" w:cstheme="minorEastAsia"/>
          <w:szCs w:val="21"/>
          <w:u w:val="single"/>
        </w:rPr>
        <w:t xml:space="preserve">                                      </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网址：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440" w:lineRule="exact"/>
        <w:ind w:left="2625" w:leftChars="125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sz w:val="24"/>
        </w:rPr>
        <w:t xml:space="preserve"> </w:t>
      </w:r>
    </w:p>
    <w:p>
      <w:pPr>
        <w:spacing w:line="400" w:lineRule="exact"/>
        <w:ind w:left="2625" w:leftChars="1250"/>
        <w:rPr>
          <w:rFonts w:asciiTheme="minorEastAsia" w:hAnsiTheme="minorEastAsia" w:eastAsiaTheme="minorEastAsia" w:cstheme="minorEastAsia"/>
          <w:sz w:val="24"/>
        </w:rPr>
      </w:pPr>
    </w:p>
    <w:p>
      <w:pPr>
        <w:spacing w:line="400" w:lineRule="exact"/>
        <w:ind w:left="2625" w:leftChars="1250"/>
        <w:rPr>
          <w:rFonts w:asciiTheme="minorEastAsia" w:hAnsiTheme="minorEastAsia" w:eastAsiaTheme="minorEastAsia" w:cstheme="minorEastAsia"/>
          <w:sz w:val="24"/>
        </w:r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54" w:name="_Toc14778"/>
      <w:bookmarkStart w:id="255" w:name="_Toc9543"/>
      <w:bookmarkStart w:id="256" w:name="_Toc208"/>
      <w:r>
        <w:rPr>
          <w:rFonts w:hint="eastAsia" w:asciiTheme="minorEastAsia" w:hAnsiTheme="minorEastAsia" w:eastAsiaTheme="minorEastAsia" w:cstheme="minorEastAsia"/>
          <w:b/>
          <w:bCs/>
          <w:sz w:val="28"/>
          <w:szCs w:val="28"/>
        </w:rPr>
        <w:t>（二） 开标一览表</w:t>
      </w:r>
      <w:bookmarkEnd w:id="254"/>
      <w:bookmarkEnd w:id="255"/>
      <w:bookmarkEnd w:id="256"/>
    </w:p>
    <w:p>
      <w:pPr>
        <w:jc w:val="center"/>
        <w:rPr>
          <w:rFonts w:asciiTheme="minorEastAsia" w:hAnsiTheme="minorEastAsia" w:eastAsiaTheme="minorEastAsia" w:cstheme="minorEastAsia"/>
          <w:b/>
          <w:bCs/>
          <w:sz w:val="28"/>
        </w:rPr>
      </w:pPr>
    </w:p>
    <w:tbl>
      <w:tblPr>
        <w:tblStyle w:val="40"/>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hint="eastAsia" w:ascii="宋体" w:hAnsi="宋体" w:cs="宋体"/>
                <w:kern w:val="0"/>
                <w:sz w:val="24"/>
                <w:lang w:val="en-US" w:eastAsia="zh-CN"/>
              </w:rPr>
            </w:pPr>
            <w:r>
              <w:rPr>
                <w:rFonts w:hint="eastAsia" w:ascii="宋体" w:hAnsi="宋体" w:cs="宋体"/>
                <w:kern w:val="0"/>
                <w:sz w:val="24"/>
                <w:lang w:val="en-US" w:eastAsia="zh-CN"/>
              </w:rPr>
              <w:t>项目名称</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hint="eastAsia" w:ascii="宋体" w:hAnsi="宋体" w:cs="宋体"/>
                <w:kern w:val="0"/>
                <w:sz w:val="24"/>
                <w:lang w:val="en-US" w:eastAsia="zh-CN"/>
              </w:rPr>
            </w:pPr>
            <w:r>
              <w:rPr>
                <w:rFonts w:hint="eastAsia" w:ascii="宋体" w:hAnsi="宋体" w:cs="宋体"/>
                <w:kern w:val="0"/>
                <w:sz w:val="24"/>
                <w:lang w:val="en-US" w:eastAsia="zh-CN"/>
              </w:rPr>
              <w:t>投 标 人</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hint="eastAsia" w:ascii="宋体" w:hAnsi="宋体" w:cs="宋体"/>
                <w:kern w:val="0"/>
                <w:sz w:val="24"/>
                <w:lang w:val="en-US" w:eastAsia="zh-CN"/>
              </w:rPr>
            </w:pPr>
            <w:r>
              <w:rPr>
                <w:rFonts w:hint="eastAsia" w:ascii="宋体" w:hAnsi="宋体" w:cs="宋体"/>
                <w:kern w:val="0"/>
                <w:sz w:val="24"/>
                <w:lang w:val="en-US" w:eastAsia="zh-CN"/>
              </w:rPr>
              <w:t>炉渣处置费投标报价</w:t>
            </w:r>
          </w:p>
        </w:tc>
        <w:tc>
          <w:tcPr>
            <w:tcW w:w="5898" w:type="dxa"/>
            <w:vAlign w:val="center"/>
          </w:tcPr>
          <w:p>
            <w:pPr>
              <w:pStyle w:val="17"/>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（大写）    </w:t>
            </w:r>
            <w:r>
              <w:rPr>
                <w:rFonts w:hint="eastAsia" w:ascii="宋体" w:hAnsi="宋体" w:cs="宋体"/>
                <w:kern w:val="0"/>
                <w:sz w:val="24"/>
              </w:rPr>
              <w:t>元/吨</w:t>
            </w:r>
            <w:r>
              <w:rPr>
                <w:rFonts w:hint="eastAsia" w:ascii="宋体" w:hAnsi="宋体" w:cs="宋体"/>
                <w:kern w:val="0"/>
                <w:sz w:val="24"/>
                <w:lang w:val="en-US" w:eastAsia="zh-CN"/>
              </w:rPr>
              <w:t xml:space="preserve"> </w:t>
            </w:r>
            <w:r>
              <w:rPr>
                <w:rFonts w:hint="eastAsia" w:asciiTheme="minorEastAsia" w:hAnsiTheme="minorEastAsia" w:eastAsiaTheme="minorEastAsia" w:cstheme="minorEastAsia"/>
                <w:color w:val="auto"/>
                <w:sz w:val="24"/>
                <w:szCs w:val="20"/>
                <w:highlight w:val="none"/>
              </w:rPr>
              <w:t xml:space="preserve">                            </w:t>
            </w:r>
          </w:p>
          <w:p>
            <w:pPr>
              <w:pStyle w:val="17"/>
              <w:spacing w:line="400" w:lineRule="exact"/>
              <w:ind w:firstLine="48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（小写）</w:t>
            </w:r>
            <w:r>
              <w:rPr>
                <w:rFonts w:hint="eastAsia" w:asciiTheme="minorEastAsia" w:hAnsiTheme="minorEastAsia" w:eastAsiaTheme="minorEastAsia" w:cstheme="minorEastAsia"/>
                <w:color w:val="auto"/>
                <w:sz w:val="24"/>
                <w:szCs w:val="20"/>
                <w:highlight w:val="none"/>
                <w:lang w:val="en-US" w:eastAsia="zh-CN"/>
              </w:rPr>
              <w:t xml:space="preserve">    </w:t>
            </w:r>
            <w:r>
              <w:rPr>
                <w:rFonts w:hint="eastAsia" w:ascii="宋体" w:hAnsi="宋体" w:cs="宋体"/>
                <w:kern w:val="0"/>
                <w:sz w:val="24"/>
              </w:rPr>
              <w:t>元/吨</w:t>
            </w:r>
            <w:r>
              <w:rPr>
                <w:rFonts w:hint="eastAsia" w:ascii="宋体" w:hAnsi="宋体"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hint="eastAsia" w:ascii="宋体" w:hAnsi="宋体" w:cs="宋体"/>
                <w:kern w:val="0"/>
                <w:sz w:val="24"/>
                <w:lang w:val="en-US" w:eastAsia="zh-CN"/>
              </w:rPr>
            </w:pPr>
            <w:r>
              <w:rPr>
                <w:rFonts w:hint="eastAsia" w:ascii="宋体" w:hAnsi="宋体" w:cs="宋体"/>
                <w:kern w:val="0"/>
                <w:sz w:val="24"/>
                <w:lang w:val="en-US" w:eastAsia="zh-CN"/>
              </w:rPr>
              <w:t>质量标准</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hint="eastAsia" w:ascii="宋体" w:hAnsi="宋体" w:cs="宋体"/>
                <w:kern w:val="0"/>
                <w:sz w:val="24"/>
                <w:lang w:val="en-US" w:eastAsia="zh-CN"/>
              </w:rPr>
            </w:pPr>
            <w:r>
              <w:rPr>
                <w:rFonts w:hint="eastAsia" w:ascii="宋体" w:hAnsi="宋体" w:cs="宋体"/>
                <w:kern w:val="0"/>
                <w:sz w:val="24"/>
                <w:lang w:val="en-US" w:eastAsia="zh-CN"/>
              </w:rPr>
              <w:t>服务期</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hint="eastAsia" w:ascii="宋体" w:hAnsi="宋体" w:cs="宋体"/>
                <w:kern w:val="0"/>
                <w:sz w:val="24"/>
                <w:lang w:val="en-US" w:eastAsia="zh-CN"/>
              </w:rPr>
            </w:pPr>
            <w:r>
              <w:rPr>
                <w:rFonts w:hint="eastAsia" w:ascii="宋体" w:hAnsi="宋体" w:cs="宋体"/>
                <w:kern w:val="0"/>
                <w:sz w:val="24"/>
                <w:lang w:val="en-US" w:eastAsia="zh-CN"/>
              </w:rPr>
              <w:t>投标有效期</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17"/>
              <w:spacing w:line="400" w:lineRule="exact"/>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备注：</w:t>
            </w:r>
          </w:p>
        </w:tc>
        <w:tc>
          <w:tcPr>
            <w:tcW w:w="5898" w:type="dxa"/>
            <w:vAlign w:val="center"/>
          </w:tcPr>
          <w:p>
            <w:pPr>
              <w:pStyle w:val="1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17"/>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15"/>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30"/>
          <w:szCs w:val="30"/>
        </w:rPr>
      </w:pPr>
      <w:bookmarkStart w:id="257" w:name="_Toc5614"/>
      <w:bookmarkStart w:id="258" w:name="_Toc2213"/>
      <w:r>
        <w:rPr>
          <w:rFonts w:hint="eastAsia" w:asciiTheme="minorEastAsia" w:hAnsiTheme="minorEastAsia" w:eastAsiaTheme="minorEastAsia" w:cstheme="minorEastAsia"/>
          <w:sz w:val="30"/>
          <w:szCs w:val="30"/>
        </w:rPr>
        <w:t>二、法定代表人身份证明书</w:t>
      </w:r>
      <w:bookmarkEnd w:id="257"/>
      <w:bookmarkEnd w:id="258"/>
    </w:p>
    <w:p>
      <w:pPr>
        <w:spacing w:line="440" w:lineRule="exact"/>
        <w:jc w:val="center"/>
        <w:rPr>
          <w:rFonts w:asciiTheme="minorEastAsia" w:hAnsiTheme="minorEastAsia" w:eastAsiaTheme="minorEastAsia" w:cstheme="minorEastAsia"/>
          <w:sz w:val="24"/>
        </w:rPr>
      </w:pP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单位性质：__________________________________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    址：________________________________ </w:t>
      </w:r>
      <w:r>
        <w:rPr>
          <w:rFonts w:hint="eastAsia" w:asciiTheme="minorEastAsia" w:hAnsiTheme="minorEastAsia" w:eastAsiaTheme="minorEastAsia" w:cstheme="minorEastAsia"/>
          <w:sz w:val="24"/>
          <w:u w:val="single"/>
        </w:rPr>
        <w:t xml:space="preserve">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（供应商单位名称）的法定代表人。</w:t>
      </w: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（盖单位公章）</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pStyle w:val="36"/>
        <w:spacing w:before="120" w:after="120" w:line="500" w:lineRule="exact"/>
        <w:ind w:right="29" w:rightChars="14"/>
        <w:outlineLvl w:val="1"/>
        <w:rPr>
          <w:rFonts w:asciiTheme="minorEastAsia" w:hAnsiTheme="minorEastAsia" w:eastAsiaTheme="minorEastAsia" w:cstheme="minorEastAsia"/>
          <w:sz w:val="30"/>
          <w:szCs w:val="30"/>
        </w:rPr>
      </w:pPr>
      <w:bookmarkStart w:id="259" w:name="_Toc6009"/>
      <w:r>
        <w:rPr>
          <w:rFonts w:hint="eastAsia" w:asciiTheme="minorEastAsia" w:hAnsiTheme="minorEastAsia" w:eastAsiaTheme="minorEastAsia" w:cstheme="minorEastAsia"/>
          <w:sz w:val="30"/>
          <w:szCs w:val="30"/>
        </w:rPr>
        <w:br w:type="page"/>
      </w:r>
      <w:bookmarkStart w:id="260" w:name="_Toc15395"/>
      <w:r>
        <w:rPr>
          <w:rFonts w:hint="eastAsia" w:asciiTheme="minorEastAsia" w:hAnsiTheme="minorEastAsia" w:eastAsiaTheme="minorEastAsia" w:cstheme="minorEastAsia"/>
          <w:sz w:val="30"/>
          <w:szCs w:val="30"/>
        </w:rPr>
        <w:t>三、授权委托书</w:t>
      </w:r>
      <w:bookmarkEnd w:id="259"/>
      <w:bookmarkEnd w:id="260"/>
    </w:p>
    <w:p>
      <w:pPr>
        <w:spacing w:line="440" w:lineRule="exact"/>
        <w:ind w:left="-105"/>
        <w:rPr>
          <w:rFonts w:asciiTheme="minorEastAsia" w:hAnsiTheme="minorEastAsia" w:eastAsiaTheme="minorEastAsia" w:cstheme="minorEastAsia"/>
          <w:b/>
          <w:bCs/>
          <w:sz w:val="24"/>
        </w:rPr>
      </w:pPr>
    </w:p>
    <w:p>
      <w:pPr>
        <w:spacing w:line="500" w:lineRule="exact"/>
        <w:ind w:firstLine="720" w:firstLine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（姓名）系</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（供应商名称）的法定代表人，现委托</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（姓名）为我方代理人。代理人根据授权，以我方名义签署、澄清、说明、补正、递交、撤回、修改</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（项目名称）投标文件、签订合同和处理有关事宜，其法律后果由我方承担。 </w:t>
      </w:r>
    </w:p>
    <w:p>
      <w:pPr>
        <w:spacing w:line="500" w:lineRule="exact"/>
        <w:ind w:left="-10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委托期限：</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代理人无转委托权。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附：法定代表人和代理人身份证</w:t>
      </w:r>
    </w:p>
    <w:p>
      <w:pPr>
        <w:spacing w:line="440" w:lineRule="exact"/>
        <w:ind w:left="8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left="8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（盖单位公章）</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（签字或盖章）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r>
        <w:rPr>
          <w:rFonts w:hint="eastAsia" w:asciiTheme="minorEastAsia" w:hAnsiTheme="minorEastAsia" w:eastAsiaTheme="minorEastAsia" w:cstheme="minorEastAsia"/>
          <w:bCs/>
          <w:sz w:val="24"/>
          <w:u w:val="single"/>
        </w:rPr>
        <w:t xml:space="preserve">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委托代理人：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（签字或盖章）</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tabs>
          <w:tab w:val="left" w:pos="6510"/>
        </w:tabs>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r>
        <w:rPr>
          <w:rFonts w:hint="eastAsia" w:asciiTheme="minorEastAsia" w:hAnsiTheme="minorEastAsia" w:eastAsiaTheme="minorEastAsia" w:cstheme="minorEastAsia"/>
          <w:bCs/>
          <w:sz w:val="24"/>
          <w:u w:val="single"/>
        </w:rPr>
        <w:t xml:space="preserve">                                   </w:t>
      </w:r>
    </w:p>
    <w:p>
      <w:pPr>
        <w:spacing w:line="440" w:lineRule="exact"/>
        <w:ind w:left="357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left="8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left="8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
          <w:bCs/>
          <w:sz w:val="24"/>
        </w:rPr>
      </w:pPr>
    </w:p>
    <w:p>
      <w:pPr>
        <w:pStyle w:val="36"/>
        <w:spacing w:before="120" w:after="120" w:line="500" w:lineRule="exact"/>
        <w:ind w:right="29" w:rightChars="14"/>
        <w:outlineLvl w:val="9"/>
        <w:rPr>
          <w:rFonts w:asciiTheme="minorEastAsia" w:hAnsiTheme="minorEastAsia" w:eastAsiaTheme="minorEastAsia" w:cstheme="minorEastAsia"/>
          <w:sz w:val="30"/>
          <w:szCs w:val="30"/>
        </w:rPr>
      </w:pPr>
    </w:p>
    <w:p>
      <w:pPr>
        <w:pStyle w:val="36"/>
        <w:spacing w:before="120" w:after="120" w:line="500" w:lineRule="exact"/>
        <w:ind w:right="29" w:rightChars="14"/>
        <w:outlineLvl w:val="9"/>
        <w:rPr>
          <w:rFonts w:asciiTheme="minorEastAsia" w:hAnsiTheme="minorEastAsia" w:eastAsiaTheme="minorEastAsia" w:cstheme="minorEastAsia"/>
          <w:sz w:val="30"/>
          <w:szCs w:val="30"/>
        </w:rPr>
      </w:pPr>
    </w:p>
    <w:bookmarkEnd w:id="217"/>
    <w:p>
      <w:pPr>
        <w:pageBreakBefore/>
        <w:spacing w:line="600" w:lineRule="exact"/>
        <w:jc w:val="center"/>
        <w:outlineLvl w:val="0"/>
        <w:rPr>
          <w:rFonts w:asciiTheme="minorEastAsia" w:hAnsiTheme="minorEastAsia" w:eastAsiaTheme="minorEastAsia" w:cstheme="minorEastAsia"/>
          <w:b/>
          <w:sz w:val="32"/>
          <w:szCs w:val="32"/>
        </w:rPr>
      </w:pPr>
      <w:bookmarkStart w:id="261" w:name="_Toc19057"/>
      <w:r>
        <w:rPr>
          <w:rFonts w:hint="eastAsia" w:asciiTheme="minorEastAsia" w:hAnsiTheme="minorEastAsia" w:eastAsiaTheme="minorEastAsia" w:cstheme="minorEastAsia"/>
          <w:b/>
          <w:sz w:val="32"/>
          <w:szCs w:val="32"/>
        </w:rPr>
        <w:t>四、投标承诺函</w:t>
      </w:r>
      <w:bookmarkEnd w:id="261"/>
    </w:p>
    <w:p>
      <w:pPr>
        <w:ind w:firstLine="883"/>
        <w:jc w:val="center"/>
        <w:rPr>
          <w:rFonts w:asciiTheme="minorEastAsia" w:hAnsiTheme="minorEastAsia" w:eastAsiaTheme="minorEastAsia" w:cstheme="minorEastAsia"/>
          <w:b/>
          <w:sz w:val="44"/>
          <w:szCs w:val="44"/>
        </w:rPr>
      </w:pP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w:t>
      </w:r>
      <w:r>
        <w:rPr>
          <w:rFonts w:hint="eastAsia" w:asciiTheme="minorEastAsia" w:hAnsiTheme="minorEastAsia" w:eastAsiaTheme="minorEastAsia" w:cstheme="minorEastAsia"/>
          <w:sz w:val="24"/>
          <w:u w:val="single"/>
        </w:rPr>
        <w:t xml:space="preserve">                                   项目</w:t>
      </w:r>
      <w:r>
        <w:rPr>
          <w:rFonts w:hint="eastAsia" w:asciiTheme="minorEastAsia" w:hAnsiTheme="minorEastAsia" w:eastAsiaTheme="minorEastAsia" w:cstheme="minorEastAsia"/>
          <w:sz w:val="24"/>
        </w:rPr>
        <w:t>（采购编号：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）投标行为做出承诺，保证所提交材料的真实性。</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我单位承诺：</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1、在投标文件递交截止时间后至确定中标人的</w:t>
      </w:r>
      <w:r>
        <w:fldChar w:fldCharType="begin"/>
      </w:r>
      <w:r>
        <w:instrText xml:space="preserve"> HYPERLINK "https://baike.so.com/doc/5394983-5632135.html" \t "https://baike.so.com/doc/_blank" </w:instrText>
      </w:r>
      <w:r>
        <w:fldChar w:fldCharType="separate"/>
      </w:r>
      <w:r>
        <w:rPr>
          <w:rFonts w:hint="eastAsia" w:asciiTheme="minorEastAsia" w:hAnsiTheme="minorEastAsia" w:eastAsiaTheme="minorEastAsia" w:cstheme="minorEastAsia"/>
          <w:sz w:val="24"/>
        </w:rPr>
        <w:t>投标有效期</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内，我单位不得要求退出竞标或者修改投标文件且对递交的投标文件负责，受其约束。</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2、若我单位中标，在接到中标通知书后，除不可抗力因素外，及时按规定与采购人签订合同并认真履约。</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非因不可抗力因素放弃中标的，或排名第一的中标人未按规定期限与采购人签订合同的，该中标人的投标保证金不予退还，并应赔偿采购人由此造成的损失，损失费的计算方法为该中标人的投标价与重新确定的中标人中标价的差额，否则除投标保证金不予退还外，还将取消其1年内在博爱县的投标资格，并给予通报的处罚。</w:t>
      </w:r>
    </w:p>
    <w:p>
      <w:pPr>
        <w:spacing w:line="600" w:lineRule="exact"/>
        <w:ind w:firstLine="48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4、不存在法律法规规定的其他违法违规行为。</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投标单位名称（盖章）：</w:t>
      </w:r>
      <w:r>
        <w:rPr>
          <w:rFonts w:hint="eastAsia" w:asciiTheme="minorEastAsia" w:hAnsiTheme="minorEastAsia" w:eastAsiaTheme="minorEastAsia" w:cstheme="minorEastAsia"/>
          <w:sz w:val="24"/>
          <w:u w:val="single"/>
        </w:rPr>
        <w:t xml:space="preserve">                              </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法人代表或授权委托人（签字或盖章）：</w:t>
      </w:r>
      <w:r>
        <w:rPr>
          <w:rFonts w:hint="eastAsia" w:asciiTheme="minorEastAsia" w:hAnsiTheme="minorEastAsia" w:eastAsiaTheme="minorEastAsia" w:cstheme="minorEastAsia"/>
          <w:sz w:val="24"/>
          <w:u w:val="single"/>
        </w:rPr>
        <w:t xml:space="preserve">                 </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sz w:val="24"/>
        </w:rPr>
        <w:t xml:space="preserve">                                         年    月    日  </w:t>
      </w: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62" w:name="_Toc8304"/>
      <w:r>
        <w:rPr>
          <w:rFonts w:hint="eastAsia" w:asciiTheme="minorEastAsia" w:hAnsiTheme="minorEastAsia" w:eastAsiaTheme="minorEastAsia" w:cstheme="minorEastAsia"/>
          <w:b/>
          <w:bCs/>
          <w:kern w:val="2"/>
          <w:sz w:val="30"/>
          <w:szCs w:val="30"/>
        </w:rPr>
        <w:t>五</w:t>
      </w:r>
      <w:r>
        <w:rPr>
          <w:rFonts w:hint="eastAsia" w:asciiTheme="minorEastAsia" w:hAnsiTheme="minorEastAsia" w:eastAsiaTheme="minorEastAsia" w:cstheme="minorEastAsia"/>
          <w:b/>
          <w:kern w:val="2"/>
          <w:sz w:val="30"/>
          <w:szCs w:val="30"/>
        </w:rPr>
        <w:t>、项目实施方案</w:t>
      </w:r>
      <w:bookmarkEnd w:id="262"/>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 xml:space="preserve"> </w:t>
      </w: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bookmarkStart w:id="263" w:name="_Toc10043"/>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highlight w:val="none"/>
        </w:rPr>
      </w:pPr>
      <w:bookmarkStart w:id="264" w:name="_Toc29492"/>
      <w:bookmarkStart w:id="265" w:name="_Toc20650"/>
      <w:r>
        <w:rPr>
          <w:rFonts w:hint="eastAsia" w:asciiTheme="minorEastAsia" w:hAnsiTheme="minorEastAsia" w:eastAsiaTheme="minorEastAsia" w:cstheme="minorEastAsia"/>
          <w:b/>
          <w:kern w:val="2"/>
          <w:sz w:val="30"/>
          <w:szCs w:val="30"/>
          <w:highlight w:val="none"/>
        </w:rPr>
        <w:t>六、资格证明文件</w:t>
      </w:r>
      <w:bookmarkEnd w:id="263"/>
      <w:bookmarkEnd w:id="264"/>
      <w:bookmarkEnd w:id="265"/>
    </w:p>
    <w:p>
      <w:pPr>
        <w:spacing w:line="400" w:lineRule="exact"/>
        <w:jc w:val="left"/>
        <w:rPr>
          <w:rFonts w:asciiTheme="minorEastAsia" w:hAnsiTheme="minorEastAsia" w:eastAsiaTheme="minorEastAsia" w:cstheme="minorEastAsia"/>
          <w:bCs/>
          <w:sz w:val="24"/>
          <w:highlight w:val="none"/>
        </w:rPr>
      </w:pPr>
    </w:p>
    <w:p>
      <w:pPr>
        <w:spacing w:line="400" w:lineRule="exact"/>
        <w:jc w:val="left"/>
        <w:rPr>
          <w:sz w:val="24"/>
          <w:highlight w:val="none"/>
        </w:rPr>
      </w:pPr>
    </w:p>
    <w:p>
      <w:pPr>
        <w:spacing w:line="400" w:lineRule="exact"/>
        <w:jc w:val="left"/>
        <w:rPr>
          <w:sz w:val="24"/>
          <w:highlight w:val="none"/>
        </w:rPr>
      </w:pPr>
      <w:r>
        <w:rPr>
          <w:rFonts w:hint="eastAsia"/>
          <w:sz w:val="24"/>
          <w:highlight w:val="none"/>
        </w:rPr>
        <w:t>一、 供应商营业执照副本（三证合一）；</w:t>
      </w:r>
    </w:p>
    <w:p>
      <w:pPr>
        <w:spacing w:line="400" w:lineRule="exact"/>
        <w:jc w:val="left"/>
        <w:rPr>
          <w:sz w:val="24"/>
          <w:highlight w:val="none"/>
        </w:rPr>
      </w:pPr>
      <w:r>
        <w:rPr>
          <w:rFonts w:hint="eastAsia"/>
          <w:sz w:val="24"/>
          <w:highlight w:val="none"/>
        </w:rPr>
        <w:t>二、符合《中华人民共和国政府采购法》第二十二条规定:</w:t>
      </w:r>
    </w:p>
    <w:p>
      <w:pPr>
        <w:spacing w:line="400" w:lineRule="exact"/>
        <w:ind w:firstLine="480" w:firstLineChars="200"/>
        <w:jc w:val="left"/>
        <w:rPr>
          <w:rFonts w:hint="eastAsia"/>
          <w:sz w:val="24"/>
          <w:highlight w:val="none"/>
        </w:rPr>
      </w:pPr>
      <w:r>
        <w:rPr>
          <w:rFonts w:hint="eastAsia"/>
          <w:sz w:val="24"/>
          <w:highlight w:val="none"/>
        </w:rPr>
        <w:t>1、开标日前六个月内任一个月的依法缴纳税收的相关证明、开标日前六个月内任一个月的依法缴纳社会保障资金的相关证明、</w:t>
      </w:r>
      <w:r>
        <w:rPr>
          <w:rFonts w:hint="eastAsia"/>
          <w:sz w:val="24"/>
          <w:highlight w:val="none"/>
          <w:lang w:eastAsia="zh-CN"/>
        </w:rPr>
        <w:t>投标人</w:t>
      </w:r>
      <w:r>
        <w:rPr>
          <w:rFonts w:hint="eastAsia"/>
          <w:sz w:val="24"/>
          <w:highlight w:val="none"/>
        </w:rPr>
        <w:t>近三年（2018年、2019年、2020年）完整的财务审计报告（成立不足三年的企业，以现有年份提供）</w:t>
      </w:r>
    </w:p>
    <w:p>
      <w:pPr>
        <w:spacing w:line="400" w:lineRule="exact"/>
        <w:ind w:firstLine="480" w:firstLineChars="200"/>
        <w:jc w:val="left"/>
        <w:rPr>
          <w:sz w:val="24"/>
          <w:highlight w:val="none"/>
        </w:rPr>
      </w:pPr>
      <w:r>
        <w:rPr>
          <w:rFonts w:hint="eastAsia"/>
          <w:sz w:val="24"/>
          <w:highlight w:val="none"/>
        </w:rPr>
        <w:t>2、参加政府采购活动前三年内无重大违法记录的书面声明；</w:t>
      </w:r>
    </w:p>
    <w:p>
      <w:pPr>
        <w:spacing w:line="400" w:lineRule="exact"/>
        <w:jc w:val="left"/>
        <w:rPr>
          <w:rFonts w:hint="eastAsia"/>
          <w:sz w:val="24"/>
          <w:highlight w:val="none"/>
        </w:rPr>
      </w:pPr>
      <w:r>
        <w:rPr>
          <w:rFonts w:hint="eastAsia"/>
          <w:sz w:val="24"/>
          <w:highlight w:val="none"/>
        </w:rPr>
        <w:t>三、招标文件中要求的其他资格证明材料。</w:t>
      </w:r>
    </w:p>
    <w:p>
      <w:pPr>
        <w:pStyle w:val="39"/>
        <w:rPr>
          <w:rFonts w:hint="default" w:eastAsia="宋体"/>
          <w:b/>
          <w:bCs/>
          <w:lang w:val="en-US" w:eastAsia="zh-CN"/>
        </w:rPr>
      </w:pPr>
      <w:r>
        <w:rPr>
          <w:rFonts w:hint="eastAsia"/>
          <w:b/>
          <w:bCs/>
          <w:color w:val="auto"/>
          <w:sz w:val="24"/>
          <w:lang w:val="en-US" w:eastAsia="zh-CN"/>
        </w:rPr>
        <w:t>备注：以上资格证明文件须提供原件的扫描件。</w:t>
      </w:r>
    </w:p>
    <w:p>
      <w:pPr>
        <w:pStyle w:val="39"/>
      </w:pP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38"/>
        <w:ind w:firstLine="281"/>
        <w:rPr>
          <w:rFonts w:hint="default" w:asciiTheme="minorEastAsia" w:hAnsiTheme="minorEastAsia" w:eastAsiaTheme="minorEastAsia" w:cstheme="minorEastAsia"/>
          <w:b/>
          <w:sz w:val="28"/>
        </w:rPr>
      </w:pPr>
    </w:p>
    <w:p>
      <w:pPr>
        <w:pStyle w:val="39"/>
        <w:ind w:firstLine="562"/>
        <w:rPr>
          <w:rFonts w:asciiTheme="minorEastAsia" w:hAnsiTheme="minorEastAsia" w:eastAsiaTheme="minorEastAsia" w:cstheme="minorEastAsia"/>
          <w:b/>
          <w:sz w:val="28"/>
        </w:rPr>
      </w:pPr>
    </w:p>
    <w:p>
      <w:pPr>
        <w:pStyle w:val="39"/>
        <w:ind w:firstLine="562"/>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bookmarkStart w:id="266" w:name="_Toc8330"/>
      <w:bookmarkStart w:id="267" w:name="_Toc6465"/>
      <w:bookmarkStart w:id="268" w:name="_Toc31553"/>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35"/>
        <w:widowControl w:val="0"/>
        <w:numPr>
          <w:ilvl w:val="0"/>
          <w:numId w:val="11"/>
        </w:numPr>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t>供应商服务承诺和优惠承诺</w:t>
      </w: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八、供应商所投产品属于当期政府采购清单规定的节能环保产品的</w:t>
      </w:r>
      <w:bookmarkEnd w:id="266"/>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69" w:name="_Toc28422"/>
      <w:bookmarkStart w:id="270" w:name="_Toc18925"/>
      <w:bookmarkStart w:id="271" w:name="_Toc24210"/>
      <w:r>
        <w:rPr>
          <w:rFonts w:hint="eastAsia" w:asciiTheme="minorEastAsia" w:hAnsiTheme="minorEastAsia" w:eastAsiaTheme="minorEastAsia" w:cstheme="minorEastAsia"/>
          <w:b/>
          <w:kern w:val="2"/>
          <w:sz w:val="30"/>
          <w:szCs w:val="30"/>
        </w:rPr>
        <w:t>证明材料</w:t>
      </w:r>
      <w:bookmarkEnd w:id="267"/>
      <w:bookmarkEnd w:id="269"/>
      <w:bookmarkEnd w:id="270"/>
      <w:bookmarkEnd w:id="271"/>
      <w:r>
        <w:rPr>
          <w:rFonts w:hint="eastAsia" w:asciiTheme="minorEastAsia" w:hAnsiTheme="minorEastAsia" w:eastAsiaTheme="minorEastAsia" w:cstheme="minorEastAsia"/>
          <w:b/>
          <w:kern w:val="2"/>
          <w:sz w:val="30"/>
          <w:szCs w:val="30"/>
        </w:rPr>
        <w:t>（如有）</w:t>
      </w: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2" w:name="_Toc10717"/>
      <w:bookmarkStart w:id="273" w:name="_Toc23227"/>
      <w:r>
        <w:rPr>
          <w:rFonts w:hint="eastAsia" w:asciiTheme="minorEastAsia" w:hAnsiTheme="minorEastAsia" w:eastAsiaTheme="minorEastAsia" w:cstheme="minorEastAsia"/>
          <w:b/>
          <w:kern w:val="2"/>
          <w:sz w:val="30"/>
          <w:szCs w:val="30"/>
        </w:rPr>
        <w:t>九、中小企业声明函（如有）</w:t>
      </w:r>
      <w:bookmarkEnd w:id="272"/>
      <w:bookmarkEnd w:id="273"/>
    </w:p>
    <w:p>
      <w:pPr>
        <w:pStyle w:val="35"/>
        <w:shd w:val="clear" w:color="auto" w:fill="FFFFFF"/>
        <w:spacing w:line="315" w:lineRule="atLeast"/>
        <w:ind w:firstLine="42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企业名称（</w:t>
      </w:r>
      <w:r>
        <w:rPr>
          <w:rFonts w:hint="eastAsia" w:asciiTheme="minorEastAsia" w:hAnsiTheme="minorEastAsia" w:eastAsiaTheme="minorEastAsia" w:cstheme="minorEastAsia"/>
          <w:bCs/>
          <w:sz w:val="24"/>
        </w:rPr>
        <w:t>盖单位公章</w:t>
      </w:r>
      <w:r>
        <w:rPr>
          <w:rFonts w:hint="eastAsia" w:asciiTheme="minorEastAsia" w:hAnsiTheme="minorEastAsia" w:eastAsiaTheme="minorEastAsia" w:cstheme="minorEastAsia"/>
          <w:kern w:val="0"/>
          <w:sz w:val="24"/>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日期：</w:t>
      </w:r>
    </w:p>
    <w:p>
      <w:pPr>
        <w:spacing w:line="600" w:lineRule="exact"/>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274" w:name="_Toc20881"/>
      <w:bookmarkStart w:id="275" w:name="_Toc30170"/>
      <w:bookmarkStart w:id="276" w:name="_Toc14292"/>
      <w:r>
        <w:rPr>
          <w:rFonts w:hint="eastAsia" w:asciiTheme="minorEastAsia" w:hAnsiTheme="minorEastAsia" w:eastAsiaTheme="minorEastAsia" w:cstheme="minorEastAsia"/>
          <w:b/>
          <w:kern w:val="2"/>
          <w:sz w:val="30"/>
          <w:szCs w:val="30"/>
        </w:rPr>
        <w:t>十、残疾人福利性单位声明函（如有）</w:t>
      </w:r>
      <w:bookmarkEnd w:id="274"/>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bookmarkEnd w:id="268"/>
    <w:bookmarkEnd w:id="275"/>
    <w:bookmarkEnd w:id="276"/>
    <w:p>
      <w:pPr>
        <w:rPr>
          <w:rFonts w:ascii="Times New Roman" w:hAnsi="Times New Roman" w:eastAsia="仿宋"/>
          <w:sz w:val="32"/>
          <w:szCs w:val="32"/>
          <w:shd w:val="clear" w:color="FFFFFF" w:fill="D9D9D9"/>
        </w:rPr>
      </w:pPr>
    </w:p>
    <w:p>
      <w:pPr>
        <w:pStyle w:val="35"/>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277" w:name="_Toc16608"/>
      <w:r>
        <w:rPr>
          <w:rFonts w:hint="eastAsia" w:asciiTheme="minorEastAsia" w:hAnsiTheme="minorEastAsia" w:eastAsiaTheme="minorEastAsia" w:cstheme="minorEastAsia"/>
          <w:b/>
          <w:kern w:val="2"/>
          <w:sz w:val="30"/>
          <w:szCs w:val="30"/>
        </w:rPr>
        <w:t>十</w:t>
      </w:r>
      <w:r>
        <w:rPr>
          <w:rFonts w:hint="eastAsia" w:asciiTheme="minorEastAsia" w:hAnsiTheme="minorEastAsia" w:eastAsiaTheme="minorEastAsia" w:cstheme="minorEastAsia"/>
          <w:b/>
          <w:kern w:val="2"/>
          <w:sz w:val="30"/>
          <w:szCs w:val="30"/>
          <w:lang w:val="en-US" w:eastAsia="zh-CN"/>
        </w:rPr>
        <w:t>一</w:t>
      </w:r>
      <w:r>
        <w:rPr>
          <w:rFonts w:hint="eastAsia" w:asciiTheme="minorEastAsia" w:hAnsiTheme="minorEastAsia" w:eastAsiaTheme="minorEastAsia" w:cstheme="minorEastAsia"/>
          <w:b/>
          <w:kern w:val="2"/>
          <w:sz w:val="30"/>
          <w:szCs w:val="30"/>
        </w:rPr>
        <w:t>、招标文件要求的或供应商认为须提交的其他材料</w:t>
      </w:r>
      <w:bookmarkEnd w:id="277"/>
    </w:p>
    <w:p>
      <w:pPr>
        <w:spacing w:line="360" w:lineRule="auto"/>
        <w:rPr>
          <w:rFonts w:asciiTheme="minorEastAsia" w:hAnsiTheme="minorEastAsia" w:eastAsiaTheme="minorEastAsia" w:cstheme="minorEastAsia"/>
          <w:sz w:val="24"/>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pStyle w:val="120"/>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0"/>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0"/>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0"/>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20"/>
        <w:rPr>
          <w:rFonts w:asciiTheme="minorEastAsia" w:hAnsiTheme="minorEastAsia" w:eastAsiaTheme="minorEastAsia" w:cstheme="minorEastAsia"/>
          <w:b/>
          <w:bCs/>
          <w:kern w:val="0"/>
          <w:sz w:val="32"/>
          <w:szCs w:val="32"/>
        </w:rPr>
      </w:pPr>
    </w:p>
    <w:p>
      <w:pPr>
        <w:spacing w:after="100" w:afterAutospacing="1"/>
        <w:rPr>
          <w:rFonts w:hint="eastAsia" w:ascii="Calibri Light" w:hAnsi="Calibri Light"/>
          <w:b/>
          <w:bCs/>
          <w:sz w:val="32"/>
          <w:szCs w:val="32"/>
        </w:rPr>
      </w:pPr>
    </w:p>
    <w:p>
      <w:pPr>
        <w:spacing w:line="440" w:lineRule="exact"/>
        <w:jc w:val="center"/>
        <w:rPr>
          <w:rFonts w:hint="eastAsia" w:ascii="宋体" w:hAnsi="宋体" w:cs="宋体"/>
          <w:b/>
          <w:bCs w:val="0"/>
          <w:sz w:val="36"/>
          <w:szCs w:val="36"/>
          <w:highlight w:val="none"/>
        </w:rPr>
      </w:pPr>
    </w:p>
    <w:p>
      <w:pPr>
        <w:spacing w:line="440" w:lineRule="exact"/>
        <w:jc w:val="center"/>
        <w:rPr>
          <w:rFonts w:ascii="宋体" w:hAnsi="宋体" w:cs="宋体"/>
          <w:b/>
          <w:bCs w:val="0"/>
          <w:sz w:val="36"/>
          <w:szCs w:val="36"/>
          <w:highlight w:val="none"/>
        </w:rPr>
      </w:pPr>
      <w:r>
        <w:rPr>
          <w:rFonts w:hint="eastAsia" w:ascii="宋体" w:hAnsi="宋体" w:cs="宋体"/>
          <w:b/>
          <w:bCs w:val="0"/>
          <w:sz w:val="36"/>
          <w:szCs w:val="36"/>
          <w:highlight w:val="none"/>
        </w:rPr>
        <w:t>河南省政府采购合同融资政策告知函</w:t>
      </w:r>
    </w:p>
    <w:p>
      <w:pPr>
        <w:spacing w:line="420" w:lineRule="exact"/>
        <w:ind w:firstLine="367" w:firstLineChars="175"/>
        <w:rPr>
          <w:rFonts w:ascii="宋体" w:hAnsi="宋体" w:cs="宋体"/>
          <w:b w:val="0"/>
          <w:bCs/>
          <w:szCs w:val="21"/>
          <w:highlight w:val="none"/>
        </w:rPr>
      </w:pPr>
      <w:r>
        <w:rPr>
          <w:rFonts w:hint="eastAsia" w:ascii="宋体" w:hAnsi="宋体" w:cs="宋体"/>
          <w:b w:val="0"/>
          <w:bCs/>
          <w:szCs w:val="21"/>
          <w:highlight w:val="none"/>
        </w:rPr>
        <w:t>各供应商：</w:t>
      </w:r>
    </w:p>
    <w:p>
      <w:pPr>
        <w:spacing w:line="420" w:lineRule="exact"/>
        <w:ind w:firstLine="367" w:firstLineChars="175"/>
        <w:rPr>
          <w:rFonts w:ascii="宋体" w:hAnsi="宋体" w:cs="宋体"/>
          <w:b w:val="0"/>
          <w:bCs/>
          <w:szCs w:val="21"/>
          <w:highlight w:val="none"/>
        </w:rPr>
      </w:pPr>
      <w:r>
        <w:rPr>
          <w:rFonts w:hint="eastAsia" w:ascii="宋体" w:hAnsi="宋体" w:cs="宋体"/>
          <w:b w:val="0"/>
          <w:bCs/>
          <w:szCs w:val="21"/>
          <w:highlight w:val="none"/>
        </w:rPr>
        <w:t xml:space="preserve">   欢迎贵公司参与河南省政府采购活动！</w:t>
      </w:r>
    </w:p>
    <w:p>
      <w:pPr>
        <w:spacing w:line="420" w:lineRule="exact"/>
        <w:ind w:firstLine="367" w:firstLineChars="175"/>
        <w:rPr>
          <w:rFonts w:ascii="宋体" w:hAnsi="宋体" w:cs="宋体"/>
          <w:b w:val="0"/>
          <w:bCs/>
          <w:szCs w:val="21"/>
          <w:highlight w:val="none"/>
        </w:rPr>
      </w:pPr>
      <w:r>
        <w:rPr>
          <w:rFonts w:hint="eastAsia" w:ascii="宋体" w:hAnsi="宋体" w:cs="宋体"/>
          <w:b w:val="0"/>
          <w:bCs/>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67" w:firstLineChars="175"/>
        <w:rPr>
          <w:rFonts w:ascii="宋体" w:hAnsi="宋体" w:cs="宋体"/>
          <w:b w:val="0"/>
          <w:bCs/>
          <w:szCs w:val="21"/>
          <w:highlight w:val="none"/>
        </w:rPr>
      </w:pPr>
      <w:r>
        <w:rPr>
          <w:rFonts w:hint="eastAsia" w:ascii="宋体" w:hAnsi="宋体" w:cs="宋体"/>
          <w:b w:val="0"/>
          <w:bCs/>
          <w:szCs w:val="21"/>
          <w:highlight w:val="none"/>
        </w:rPr>
        <w:t xml:space="preserve"> 贷款渠道和提供贷款的金融机构，可在河南省政府采购网“河南省政府采购合同融资平台”查询联系。</w:t>
      </w:r>
    </w:p>
    <w:p>
      <w:pPr>
        <w:jc w:val="center"/>
        <w:rPr>
          <w:rFonts w:ascii="宋体" w:hAnsi="宋体"/>
          <w:b/>
          <w:bCs w:val="0"/>
          <w:sz w:val="32"/>
          <w:szCs w:val="32"/>
          <w:highlight w:val="none"/>
        </w:rPr>
      </w:pPr>
      <w:r>
        <w:rPr>
          <w:rFonts w:hint="eastAsia" w:ascii="宋体" w:hAnsi="宋体"/>
          <w:b/>
          <w:bCs w:val="0"/>
          <w:sz w:val="32"/>
          <w:szCs w:val="32"/>
          <w:highlight w:val="none"/>
        </w:rPr>
        <w:t>焦作市政府采购合同融资合作企业</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56" w:type="dxa"/>
            <w:noWrap w:val="0"/>
            <w:vAlign w:val="center"/>
          </w:tcPr>
          <w:p>
            <w:pPr>
              <w:widowControl/>
              <w:tabs>
                <w:tab w:val="left" w:pos="0"/>
              </w:tabs>
              <w:jc w:val="center"/>
              <w:rPr>
                <w:rFonts w:hint="eastAsia" w:ascii="黑体" w:hAnsi="黑体" w:eastAsia="黑体"/>
                <w:sz w:val="30"/>
                <w:szCs w:val="30"/>
              </w:rPr>
            </w:pPr>
            <w:r>
              <w:rPr>
                <w:rFonts w:hint="eastAsia" w:ascii="黑体" w:hAnsi="黑体" w:eastAsia="黑体"/>
                <w:sz w:val="30"/>
                <w:szCs w:val="30"/>
              </w:rPr>
              <w:t>名称</w:t>
            </w:r>
          </w:p>
        </w:tc>
        <w:tc>
          <w:tcPr>
            <w:tcW w:w="1230" w:type="dxa"/>
            <w:noWrap w:val="0"/>
            <w:vAlign w:val="center"/>
          </w:tcPr>
          <w:p>
            <w:pPr>
              <w:widowControl/>
              <w:tabs>
                <w:tab w:val="left" w:pos="0"/>
              </w:tabs>
              <w:jc w:val="center"/>
              <w:rPr>
                <w:rFonts w:hint="eastAsia" w:ascii="黑体" w:hAnsi="黑体" w:eastAsia="黑体"/>
                <w:sz w:val="30"/>
                <w:szCs w:val="30"/>
              </w:rPr>
            </w:pPr>
            <w:r>
              <w:rPr>
                <w:rFonts w:hint="eastAsia" w:ascii="黑体" w:hAnsi="黑体" w:eastAsia="黑体"/>
                <w:sz w:val="30"/>
                <w:szCs w:val="30"/>
              </w:rPr>
              <w:t>联系人</w:t>
            </w:r>
          </w:p>
        </w:tc>
        <w:tc>
          <w:tcPr>
            <w:tcW w:w="1876" w:type="dxa"/>
            <w:noWrap w:val="0"/>
            <w:vAlign w:val="center"/>
          </w:tcPr>
          <w:p>
            <w:pPr>
              <w:widowControl/>
              <w:tabs>
                <w:tab w:val="left" w:pos="0"/>
              </w:tabs>
              <w:jc w:val="center"/>
              <w:rPr>
                <w:rFonts w:hint="eastAsia" w:ascii="黑体" w:hAnsi="黑体" w:eastAsia="黑体"/>
                <w:sz w:val="30"/>
                <w:szCs w:val="30"/>
              </w:rPr>
            </w:pPr>
            <w:r>
              <w:rPr>
                <w:rFonts w:hint="eastAsia" w:ascii="黑体" w:hAnsi="黑体" w:eastAsia="黑体"/>
                <w:sz w:val="30"/>
                <w:szCs w:val="30"/>
              </w:rPr>
              <w:t>联系电话</w:t>
            </w:r>
          </w:p>
        </w:tc>
        <w:tc>
          <w:tcPr>
            <w:tcW w:w="2325" w:type="dxa"/>
            <w:noWrap w:val="0"/>
            <w:vAlign w:val="center"/>
          </w:tcPr>
          <w:p>
            <w:pPr>
              <w:widowControl/>
              <w:tabs>
                <w:tab w:val="left" w:pos="0"/>
              </w:tabs>
              <w:jc w:val="center"/>
              <w:rPr>
                <w:rFonts w:hint="eastAsia"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中国农业银行股份有限公司</w:t>
            </w:r>
          </w:p>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焦作分行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sz w:val="24"/>
                <w:szCs w:val="24"/>
              </w:rPr>
            </w:pPr>
            <w:r>
              <w:rPr>
                <w:rFonts w:hint="eastAsia" w:ascii="宋体" w:hAnsi="宋体" w:eastAsia="宋体" w:cs="宋体"/>
                <w:b w:val="0"/>
                <w:i w:val="0"/>
                <w:snapToGrid/>
                <w:color w:val="000000"/>
                <w:sz w:val="24"/>
                <w:szCs w:val="24"/>
                <w:u w:val="none"/>
                <w:shd w:val="clear" w:color="auto" w:fill="FFFFFF"/>
                <w:lang w:eastAsia="zh-CN"/>
              </w:rPr>
              <w:t>薛国战</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0391-2878039       13839109026</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中国银行股份有限公司焦作分行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sz w:val="24"/>
                <w:szCs w:val="24"/>
              </w:rPr>
            </w:pPr>
            <w:r>
              <w:rPr>
                <w:rFonts w:hint="eastAsia" w:ascii="宋体" w:hAnsi="宋体" w:eastAsia="宋体" w:cs="宋体"/>
                <w:b w:val="0"/>
                <w:i w:val="0"/>
                <w:snapToGrid/>
                <w:color w:val="000000"/>
                <w:sz w:val="24"/>
                <w:szCs w:val="24"/>
                <w:u w:val="none"/>
                <w:shd w:val="clear" w:color="auto" w:fill="FFFFFF"/>
                <w:lang w:eastAsia="zh-CN"/>
              </w:rPr>
              <w:t>曹阳</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0391-8825171  13839118160</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中国建设银行股份有限公司焦作分行</w:t>
            </w:r>
          </w:p>
        </w:tc>
        <w:tc>
          <w:tcPr>
            <w:tcW w:w="1230" w:type="dxa"/>
            <w:shd w:val="clear" w:color="auto" w:fill="auto"/>
            <w:noWrap w:val="0"/>
            <w:vAlign w:val="center"/>
          </w:tcPr>
          <w:p>
            <w:pPr>
              <w:widowControl/>
              <w:tabs>
                <w:tab w:val="left" w:pos="0"/>
              </w:tabs>
              <w:spacing w:line="360" w:lineRule="exact"/>
              <w:jc w:val="center"/>
              <w:rPr>
                <w:rFonts w:hint="eastAsia" w:ascii="宋体" w:hAnsi="宋体" w:eastAsia="宋体" w:cs="宋体"/>
                <w:sz w:val="24"/>
                <w:szCs w:val="24"/>
              </w:rPr>
            </w:pPr>
            <w:r>
              <w:rPr>
                <w:rFonts w:hint="eastAsia" w:ascii="宋体" w:hAnsi="宋体" w:eastAsia="宋体" w:cs="宋体"/>
                <w:sz w:val="24"/>
                <w:szCs w:val="24"/>
                <w:lang w:eastAsia="zh-CN"/>
              </w:rPr>
              <w:t>李华莹</w:t>
            </w:r>
          </w:p>
        </w:tc>
        <w:tc>
          <w:tcPr>
            <w:tcW w:w="1876" w:type="dxa"/>
            <w:shd w:val="clear" w:color="auto" w:fill="auto"/>
            <w:noWrap w:val="0"/>
            <w:vAlign w:val="center"/>
          </w:tcPr>
          <w:p>
            <w:pPr>
              <w:widowControl/>
              <w:tabs>
                <w:tab w:val="left" w:pos="0"/>
              </w:tabs>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0391-3918471</w:t>
            </w:r>
          </w:p>
        </w:tc>
        <w:tc>
          <w:tcPr>
            <w:tcW w:w="2325" w:type="dxa"/>
            <w:shd w:val="solid" w:color="FFFFFF" w:fill="auto"/>
            <w:noWrap w:val="0"/>
            <w:vAlign w:val="center"/>
          </w:tcPr>
          <w:p>
            <w:pPr>
              <w:widowControl/>
              <w:tabs>
                <w:tab w:val="left" w:pos="0"/>
              </w:tabs>
              <w:spacing w:line="3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中国邮政储蓄银行股份有限公司焦作市分行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sz w:val="24"/>
                <w:szCs w:val="24"/>
              </w:rPr>
            </w:pPr>
            <w:r>
              <w:rPr>
                <w:rFonts w:hint="eastAsia" w:ascii="宋体" w:hAnsi="宋体" w:eastAsia="宋体" w:cs="宋体"/>
                <w:b w:val="0"/>
                <w:i w:val="0"/>
                <w:snapToGrid/>
                <w:color w:val="000000"/>
                <w:sz w:val="24"/>
                <w:szCs w:val="24"/>
                <w:u w:val="none"/>
                <w:shd w:val="clear" w:color="auto" w:fill="FFFFFF"/>
                <w:lang w:eastAsia="zh-CN"/>
              </w:rPr>
              <w:t>李天祥</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0391-2981968 13523359082</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焦作中旅银行股份有限公司</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sz w:val="24"/>
                <w:szCs w:val="24"/>
              </w:rPr>
            </w:pPr>
            <w:r>
              <w:rPr>
                <w:rFonts w:hint="eastAsia" w:ascii="宋体" w:hAnsi="宋体" w:eastAsia="宋体" w:cs="宋体"/>
                <w:b w:val="0"/>
                <w:i w:val="0"/>
                <w:snapToGrid/>
                <w:color w:val="000000"/>
                <w:sz w:val="24"/>
                <w:szCs w:val="24"/>
                <w:u w:val="none"/>
                <w:shd w:val="clear" w:color="auto" w:fill="FFFFFF"/>
                <w:lang w:eastAsia="zh-CN"/>
              </w:rPr>
              <w:t>周建林</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 xml:space="preserve">0391-2116963 15893053027 </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中信银行股份有限公司焦作分行</w:t>
            </w:r>
          </w:p>
        </w:tc>
        <w:tc>
          <w:tcPr>
            <w:tcW w:w="1230" w:type="dxa"/>
            <w:shd w:val="clear" w:color="auto" w:fill="auto"/>
            <w:noWrap w:val="0"/>
            <w:vAlign w:val="center"/>
          </w:tcPr>
          <w:p>
            <w:pPr>
              <w:widowControl/>
              <w:tabs>
                <w:tab w:val="left" w:pos="0"/>
              </w:tabs>
              <w:spacing w:line="360" w:lineRule="exact"/>
              <w:jc w:val="center"/>
              <w:rPr>
                <w:rFonts w:hint="eastAsia" w:ascii="宋体" w:hAnsi="宋体" w:eastAsia="宋体" w:cs="宋体"/>
                <w:sz w:val="24"/>
                <w:szCs w:val="24"/>
              </w:rPr>
            </w:pPr>
            <w:r>
              <w:rPr>
                <w:rFonts w:hint="eastAsia" w:ascii="宋体" w:hAnsi="宋体" w:eastAsia="宋体" w:cs="宋体"/>
                <w:sz w:val="24"/>
                <w:szCs w:val="24"/>
                <w:lang w:eastAsia="zh-CN"/>
              </w:rPr>
              <w:t>周江江</w:t>
            </w:r>
          </w:p>
        </w:tc>
        <w:tc>
          <w:tcPr>
            <w:tcW w:w="1876" w:type="dxa"/>
            <w:shd w:val="clear" w:color="auto" w:fill="auto"/>
            <w:noWrap w:val="0"/>
            <w:vAlign w:val="center"/>
          </w:tcPr>
          <w:p>
            <w:pPr>
              <w:widowControl/>
              <w:tabs>
                <w:tab w:val="left" w:pos="0"/>
              </w:tabs>
              <w:spacing w:line="3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17639185001</w:t>
            </w:r>
          </w:p>
        </w:tc>
        <w:tc>
          <w:tcPr>
            <w:tcW w:w="2325" w:type="dxa"/>
            <w:shd w:val="solid" w:color="FFFFFF" w:fill="auto"/>
            <w:noWrap w:val="0"/>
            <w:vAlign w:val="center"/>
          </w:tcPr>
          <w:p>
            <w:pPr>
              <w:widowControl/>
              <w:tabs>
                <w:tab w:val="left" w:pos="0"/>
              </w:tabs>
              <w:spacing w:line="3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bCs/>
                <w:sz w:val="24"/>
                <w:szCs w:val="24"/>
              </w:rPr>
              <w:t>中国光大银行股份有限公司焦作分行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sz w:val="24"/>
                <w:szCs w:val="24"/>
              </w:rPr>
            </w:pPr>
            <w:r>
              <w:rPr>
                <w:rFonts w:hint="eastAsia" w:ascii="宋体" w:hAnsi="宋体" w:eastAsia="宋体" w:cs="宋体"/>
                <w:b w:val="0"/>
                <w:i w:val="0"/>
                <w:snapToGrid/>
                <w:color w:val="000000"/>
                <w:sz w:val="24"/>
                <w:szCs w:val="24"/>
                <w:u w:val="none"/>
                <w:shd w:val="clear" w:color="auto" w:fill="FFFFFF"/>
                <w:lang w:eastAsia="zh-CN"/>
              </w:rPr>
              <w:t>王海宾</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0391-8787996 13598534626</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中原银行股份有限公司焦作分行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sz w:val="24"/>
                <w:szCs w:val="24"/>
              </w:rPr>
            </w:pPr>
            <w:r>
              <w:rPr>
                <w:rFonts w:hint="eastAsia" w:ascii="宋体" w:hAnsi="宋体" w:eastAsia="宋体" w:cs="宋体"/>
                <w:b w:val="0"/>
                <w:i w:val="0"/>
                <w:snapToGrid/>
                <w:color w:val="000000"/>
                <w:sz w:val="24"/>
                <w:szCs w:val="24"/>
                <w:u w:val="none"/>
                <w:shd w:val="clear" w:color="auto" w:fill="FFFFFF"/>
                <w:lang w:eastAsia="zh-CN"/>
              </w:rPr>
              <w:t>赵伟</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0391-8796520 15738533033</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656" w:type="dxa"/>
            <w:shd w:val="clear" w:color="auto" w:fill="auto"/>
            <w:noWrap w:val="0"/>
            <w:vAlign w:val="center"/>
          </w:tcPr>
          <w:p>
            <w:pPr>
              <w:widowControl/>
              <w:tabs>
                <w:tab w:val="left" w:pos="0"/>
              </w:tabs>
              <w:spacing w:line="360" w:lineRule="exact"/>
              <w:rPr>
                <w:rFonts w:hint="eastAsia" w:ascii="宋体" w:hAnsi="宋体" w:eastAsia="宋体" w:cs="宋体"/>
                <w:sz w:val="24"/>
                <w:szCs w:val="24"/>
              </w:rPr>
            </w:pPr>
            <w:r>
              <w:rPr>
                <w:rFonts w:hint="eastAsia" w:ascii="宋体" w:hAnsi="宋体" w:eastAsia="宋体" w:cs="宋体"/>
                <w:sz w:val="24"/>
                <w:szCs w:val="24"/>
              </w:rPr>
              <w:t>广发银行股份有限公司焦作分行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sz w:val="24"/>
                <w:szCs w:val="24"/>
              </w:rPr>
            </w:pPr>
            <w:r>
              <w:rPr>
                <w:rFonts w:hint="eastAsia" w:ascii="宋体" w:hAnsi="宋体" w:eastAsia="宋体" w:cs="宋体"/>
                <w:b w:val="0"/>
                <w:i w:val="0"/>
                <w:snapToGrid/>
                <w:color w:val="000000"/>
                <w:sz w:val="24"/>
                <w:szCs w:val="24"/>
                <w:u w:val="none"/>
                <w:shd w:val="clear" w:color="auto" w:fill="FFFFFF"/>
                <w:lang w:eastAsia="zh-CN"/>
              </w:rPr>
              <w:t>张嘉强</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0391-653785 13203910032</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000000"/>
                <w:sz w:val="24"/>
                <w:szCs w:val="24"/>
                <w:u w:val="none"/>
                <w:shd w:val="clear" w:color="auto" w:fill="FFFFFF"/>
                <w:lang w:eastAsia="zh-CN"/>
              </w:rPr>
            </w:pPr>
            <w:r>
              <w:rPr>
                <w:rFonts w:hint="eastAsia" w:ascii="宋体" w:hAnsi="宋体" w:eastAsia="宋体" w:cs="宋体"/>
                <w:b w:val="0"/>
                <w:i w:val="0"/>
                <w:snapToGrid/>
                <w:color w:val="000000"/>
                <w:sz w:val="24"/>
                <w:szCs w:val="24"/>
                <w:u w:val="none"/>
                <w:shd w:val="clear" w:color="auto" w:fill="FFFFFF"/>
                <w:lang w:eastAsia="zh-CN"/>
              </w:rPr>
              <w:t>焦作市塔南路1736号嘉隆金融中心</w:t>
            </w:r>
          </w:p>
        </w:tc>
      </w:tr>
    </w:tbl>
    <w:p>
      <w:pPr>
        <w:rPr>
          <w:rFonts w:hint="eastAsia" w:ascii="宋体" w:hAnsi="宋体" w:eastAsia="宋体" w:cs="宋体"/>
          <w:sz w:val="24"/>
          <w:szCs w:val="24"/>
          <w:highlight w:val="yellow"/>
        </w:rPr>
      </w:pPr>
      <w:r>
        <w:rPr>
          <w:rFonts w:hint="eastAsia" w:ascii="宋体" w:hAnsi="宋体" w:eastAsia="宋体" w:cs="宋体"/>
          <w:sz w:val="24"/>
          <w:szCs w:val="24"/>
          <w:lang w:eastAsia="zh-CN"/>
        </w:rPr>
        <w:t>备注：融资服务机构名单和人员联系方式会随时变化。具体情况可登录“</w:t>
      </w:r>
      <w:r>
        <w:rPr>
          <w:rFonts w:hint="eastAsia" w:ascii="宋体" w:hAnsi="宋体" w:eastAsia="宋体" w:cs="宋体"/>
          <w:sz w:val="24"/>
          <w:szCs w:val="24"/>
        </w:rPr>
        <w:t>焦作市政府采购网”</w:t>
      </w:r>
      <w:r>
        <w:rPr>
          <w:rFonts w:hint="eastAsia" w:ascii="宋体" w:hAnsi="宋体" w:eastAsia="宋体" w:cs="宋体"/>
          <w:sz w:val="24"/>
          <w:szCs w:val="24"/>
          <w:lang w:eastAsia="zh-CN"/>
        </w:rPr>
        <w:t>政府采购合同融资平台查询。</w:t>
      </w:r>
    </w:p>
    <w:p>
      <w:pPr>
        <w:rPr>
          <w:rFonts w:hint="eastAsia" w:ascii="宋体" w:hAnsi="宋体" w:eastAsia="宋体" w:cs="宋体"/>
          <w:sz w:val="24"/>
          <w:szCs w:val="24"/>
          <w:highlight w:val="yellow"/>
        </w:rPr>
      </w:pPr>
    </w:p>
    <w:p>
      <w:pPr>
        <w:rPr>
          <w:highlight w:val="yellow"/>
        </w:rPr>
      </w:pPr>
    </w:p>
    <w:sectPr>
      <w:footerReference r:id="rId5" w:type="default"/>
      <w:pgSz w:w="11907" w:h="16840"/>
      <w:pgMar w:top="1276" w:right="1116" w:bottom="1417" w:left="911" w:header="850" w:footer="998" w:gutter="0"/>
      <w:pgNumType w:fmt="numberInDash"/>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Times New Roman"/>
    <w:panose1 w:val="00000000000000000000"/>
    <w:charset w:val="00"/>
    <w:family w:val="auto"/>
    <w:pitch w:val="default"/>
    <w:sig w:usb0="00000000" w:usb1="00000000" w:usb2="00000000" w:usb3="00000000" w:csb0="00040001" w:csb1="00000000"/>
  </w:font>
  <w:font w:name="FZSS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E-BZ">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- 2 -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- 1 -</w:t>
                </w:r>
                <w:r>
                  <w:fldChar w:fldCharType="end"/>
                </w:r>
              </w:p>
            </w:txbxContent>
          </v:textbox>
        </v:shape>
      </w:pict>
    </w:r>
    <w:r>
      <w:pict>
        <v:shape id="_x0000_s3076" o:spid="_x0000_s3076"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DdlaH3sQEAAGADAAAOAAAAAAAAAAEAIAAAACcBAABkcnMvZTJvRG9jLnhtbFBLBQYAAAAABgAG&#10;AFkBAABKBQAAAAA=&#10;">
          <v:path/>
          <v:fill on="f" focussize="0,0"/>
          <v:stroke on="f" joinstyle="miter"/>
          <v:imagedata o:title=""/>
          <o:lock v:ext="edit"/>
          <v:textbox>
            <w:txbxContent>
              <w:p>
                <w:pPr>
                  <w:snapToGrid w:val="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sz w:val="16"/>
        <w:szCs w:val="22"/>
      </w:rPr>
    </w:pPr>
    <w:r>
      <w:rPr>
        <w:sz w:val="20"/>
        <w:szCs w:val="22"/>
      </w:rPr>
      <w:pict>
        <v:shape id="_x0000_s3073" o:spid="_x0000_s3073"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zT0PSAQAApQMAAA4AAABkcnMvZTJvRG9jLnhtbK1TzY7TMBC+I/EO&#10;lu80yW4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XlJimcGBn379PP3+e/rz&#10;gyyTPL2HGrNuPebF4b0bcGlmP6AzsR5kMOmLfAjGUdzjWVwxRMLTo7flVYkRjqHqslou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P/NPQ9IBAAClAwAADgAAAAAAAAABACAAAAAfAQAA&#10;ZHJzL2Uyb0RvYy54bWxQSwUGAAAAAAYABgBZAQAAYwUAAAAA&#10;">
          <v:path/>
          <v:fill on="f" focussize="0,0"/>
          <v:stroke on="f" joinstyle="miter"/>
          <v:imagedata o:title=""/>
          <o:lock v:ext="edit"/>
          <v:textbox inset="0mm,0mm,0mm,0mm" style="mso-fit-shape-to-text:t;">
            <w:txbxContent>
              <w:p>
                <w:pPr>
                  <w:pStyle w:val="26"/>
                </w:pPr>
                <w:r>
                  <w:fldChar w:fldCharType="begin"/>
                </w:r>
                <w:r>
                  <w:instrText xml:space="preserve"> PAGE  \* MERGEFORMAT </w:instrText>
                </w:r>
                <w:r>
                  <w:fldChar w:fldCharType="separate"/>
                </w:r>
                <w:r>
                  <w:t>- 42 -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6A8FD69"/>
    <w:multiLevelType w:val="singleLevel"/>
    <w:tmpl w:val="D6A8FD69"/>
    <w:lvl w:ilvl="0" w:tentative="0">
      <w:start w:val="7"/>
      <w:numFmt w:val="chineseCounting"/>
      <w:suff w:val="nothing"/>
      <w:lvlText w:val="%1、"/>
      <w:lvlJc w:val="left"/>
      <w:rPr>
        <w:rFonts w:hint="eastAsia"/>
      </w:rPr>
    </w:lvl>
  </w:abstractNum>
  <w:abstractNum w:abstractNumId="3">
    <w:nsid w:val="E25B3C03"/>
    <w:multiLevelType w:val="singleLevel"/>
    <w:tmpl w:val="E25B3C03"/>
    <w:lvl w:ilvl="0" w:tentative="0">
      <w:start w:val="1"/>
      <w:numFmt w:val="decimal"/>
      <w:suff w:val="nothing"/>
      <w:lvlText w:val="（%1）"/>
      <w:lvlJc w:val="left"/>
    </w:lvl>
  </w:abstractNum>
  <w:abstractNum w:abstractNumId="4">
    <w:nsid w:val="00000001"/>
    <w:multiLevelType w:val="multilevel"/>
    <w:tmpl w:val="00000001"/>
    <w:lvl w:ilvl="0" w:tentative="0">
      <w:start w:val="1"/>
      <w:numFmt w:val="decimal"/>
      <w:lvlText w:val="%1．"/>
      <w:lvlJc w:val="left"/>
      <w:pPr>
        <w:tabs>
          <w:tab w:val="left" w:pos="825"/>
        </w:tabs>
        <w:ind w:left="332" w:hanging="22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4"/>
    <w:multiLevelType w:val="multilevel"/>
    <w:tmpl w:val="00000004"/>
    <w:lvl w:ilvl="0" w:tentative="0">
      <w:start w:val="1"/>
      <w:numFmt w:val="decimal"/>
      <w:pStyle w:val="110"/>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hint="eastAsia"/>
      </w:rPr>
    </w:lvl>
    <w:lvl w:ilvl="2" w:tentative="0">
      <w:start w:val="1"/>
      <w:numFmt w:val="decimal"/>
      <w:lvlText w:val="%1.%2.%3."/>
      <w:lvlJc w:val="left"/>
      <w:pPr>
        <w:tabs>
          <w:tab w:val="left" w:pos="340"/>
        </w:tabs>
        <w:ind w:left="340" w:hanging="170"/>
      </w:pPr>
      <w:rPr>
        <w:rFonts w:hint="eastAsia"/>
        <w:color w:val="auto"/>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1C58BAF0"/>
    <w:multiLevelType w:val="singleLevel"/>
    <w:tmpl w:val="1C58BAF0"/>
    <w:lvl w:ilvl="0" w:tentative="0">
      <w:start w:val="1"/>
      <w:numFmt w:val="decimal"/>
      <w:suff w:val="nothing"/>
      <w:lvlText w:val="（%1）"/>
      <w:lvlJc w:val="left"/>
    </w:lvl>
  </w:abstractNum>
  <w:abstractNum w:abstractNumId="8">
    <w:nsid w:val="5A693C2F"/>
    <w:multiLevelType w:val="singleLevel"/>
    <w:tmpl w:val="5A693C2F"/>
    <w:lvl w:ilvl="0" w:tentative="0">
      <w:start w:val="3"/>
      <w:numFmt w:val="chineseCounting"/>
      <w:suff w:val="space"/>
      <w:lvlText w:val="第%1章"/>
      <w:lvlJc w:val="left"/>
    </w:lvl>
  </w:abstractNum>
  <w:abstractNum w:abstractNumId="9">
    <w:nsid w:val="60B83AE4"/>
    <w:multiLevelType w:val="singleLevel"/>
    <w:tmpl w:val="60B83AE4"/>
    <w:lvl w:ilvl="0" w:tentative="0">
      <w:start w:val="1"/>
      <w:numFmt w:val="decimal"/>
      <w:suff w:val="nothing"/>
      <w:lvlText w:val="%1、"/>
      <w:lvlJc w:val="left"/>
    </w:lvl>
  </w:abstractNum>
  <w:abstractNum w:abstractNumId="10">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6"/>
  </w:num>
  <w:num w:numId="2">
    <w:abstractNumId w:val="10"/>
  </w:num>
  <w:num w:numId="3">
    <w:abstractNumId w:val="0"/>
  </w:num>
  <w:num w:numId="4">
    <w:abstractNumId w:val="9"/>
  </w:num>
  <w:num w:numId="5">
    <w:abstractNumId w:val="5"/>
  </w:num>
  <w:num w:numId="6">
    <w:abstractNumId w:val="8"/>
  </w:num>
  <w:num w:numId="7">
    <w:abstractNumId w:val="1"/>
  </w:num>
  <w:num w:numId="8">
    <w:abstractNumId w:val="7"/>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07F7"/>
    <w:rsid w:val="0001346A"/>
    <w:rsid w:val="00063AF6"/>
    <w:rsid w:val="00076BE7"/>
    <w:rsid w:val="000A6C62"/>
    <w:rsid w:val="000B39BA"/>
    <w:rsid w:val="00166522"/>
    <w:rsid w:val="00216421"/>
    <w:rsid w:val="00253C5A"/>
    <w:rsid w:val="002A615E"/>
    <w:rsid w:val="002C1302"/>
    <w:rsid w:val="00334AD5"/>
    <w:rsid w:val="00361BC5"/>
    <w:rsid w:val="0036575F"/>
    <w:rsid w:val="003D7AE1"/>
    <w:rsid w:val="00402E99"/>
    <w:rsid w:val="004406E3"/>
    <w:rsid w:val="00462D90"/>
    <w:rsid w:val="004B5D60"/>
    <w:rsid w:val="004C597B"/>
    <w:rsid w:val="004F7D2F"/>
    <w:rsid w:val="0054352A"/>
    <w:rsid w:val="005673A3"/>
    <w:rsid w:val="005F7ECF"/>
    <w:rsid w:val="00627B00"/>
    <w:rsid w:val="006C19CE"/>
    <w:rsid w:val="006D0538"/>
    <w:rsid w:val="00793577"/>
    <w:rsid w:val="007B73C5"/>
    <w:rsid w:val="007F2A90"/>
    <w:rsid w:val="008135DE"/>
    <w:rsid w:val="008622AE"/>
    <w:rsid w:val="008A0147"/>
    <w:rsid w:val="008A46C7"/>
    <w:rsid w:val="00935B6C"/>
    <w:rsid w:val="00956B37"/>
    <w:rsid w:val="009F3EFB"/>
    <w:rsid w:val="00A83E98"/>
    <w:rsid w:val="00A85F8B"/>
    <w:rsid w:val="00A912D2"/>
    <w:rsid w:val="00AE0C96"/>
    <w:rsid w:val="00B14CBE"/>
    <w:rsid w:val="00BF0334"/>
    <w:rsid w:val="00C0226B"/>
    <w:rsid w:val="00C56912"/>
    <w:rsid w:val="00C95C47"/>
    <w:rsid w:val="00C96A00"/>
    <w:rsid w:val="00D0289A"/>
    <w:rsid w:val="00D33675"/>
    <w:rsid w:val="00DE5275"/>
    <w:rsid w:val="00DE5B2F"/>
    <w:rsid w:val="00E00402"/>
    <w:rsid w:val="00E216F9"/>
    <w:rsid w:val="00EA50CB"/>
    <w:rsid w:val="00FC07F7"/>
    <w:rsid w:val="02AE1565"/>
    <w:rsid w:val="02BD3CA5"/>
    <w:rsid w:val="02EE394E"/>
    <w:rsid w:val="03291709"/>
    <w:rsid w:val="03CE7267"/>
    <w:rsid w:val="04445A6F"/>
    <w:rsid w:val="04A96AD3"/>
    <w:rsid w:val="04B50786"/>
    <w:rsid w:val="0576381C"/>
    <w:rsid w:val="058218A3"/>
    <w:rsid w:val="05D003A1"/>
    <w:rsid w:val="081E0A3F"/>
    <w:rsid w:val="08A21808"/>
    <w:rsid w:val="09BC72E8"/>
    <w:rsid w:val="0A5E12A9"/>
    <w:rsid w:val="0AE978F9"/>
    <w:rsid w:val="0B0A2060"/>
    <w:rsid w:val="0B4E0653"/>
    <w:rsid w:val="0B73403D"/>
    <w:rsid w:val="0C152444"/>
    <w:rsid w:val="0C8F4EFE"/>
    <w:rsid w:val="0CD86A66"/>
    <w:rsid w:val="0D7F4A6C"/>
    <w:rsid w:val="0E0C2192"/>
    <w:rsid w:val="0F0D7248"/>
    <w:rsid w:val="0F1B3720"/>
    <w:rsid w:val="0F5B7462"/>
    <w:rsid w:val="10953E1F"/>
    <w:rsid w:val="114E7AAC"/>
    <w:rsid w:val="12763E2B"/>
    <w:rsid w:val="13092A1A"/>
    <w:rsid w:val="130C2333"/>
    <w:rsid w:val="133E2C29"/>
    <w:rsid w:val="135A2F84"/>
    <w:rsid w:val="14CE5ED8"/>
    <w:rsid w:val="15463B6C"/>
    <w:rsid w:val="16133C89"/>
    <w:rsid w:val="172209D0"/>
    <w:rsid w:val="173C0FBE"/>
    <w:rsid w:val="176A7EE4"/>
    <w:rsid w:val="1A006299"/>
    <w:rsid w:val="1B62134A"/>
    <w:rsid w:val="1B880EE1"/>
    <w:rsid w:val="1C1418C0"/>
    <w:rsid w:val="1C562EDE"/>
    <w:rsid w:val="1CCB0222"/>
    <w:rsid w:val="1D3512AB"/>
    <w:rsid w:val="1FEF7194"/>
    <w:rsid w:val="21E86344"/>
    <w:rsid w:val="23EC33B3"/>
    <w:rsid w:val="253C7BA7"/>
    <w:rsid w:val="271E36CB"/>
    <w:rsid w:val="28836A4D"/>
    <w:rsid w:val="29026BDF"/>
    <w:rsid w:val="291B4BDB"/>
    <w:rsid w:val="292E546E"/>
    <w:rsid w:val="29496A52"/>
    <w:rsid w:val="297016C3"/>
    <w:rsid w:val="2AA24B72"/>
    <w:rsid w:val="2AC17834"/>
    <w:rsid w:val="2B092000"/>
    <w:rsid w:val="2B0D5125"/>
    <w:rsid w:val="2D152317"/>
    <w:rsid w:val="2D65425F"/>
    <w:rsid w:val="2DB94CBF"/>
    <w:rsid w:val="2DED05B0"/>
    <w:rsid w:val="2EE50335"/>
    <w:rsid w:val="2F550E93"/>
    <w:rsid w:val="30387C7D"/>
    <w:rsid w:val="306A0725"/>
    <w:rsid w:val="314431C2"/>
    <w:rsid w:val="317F2F66"/>
    <w:rsid w:val="31A250D5"/>
    <w:rsid w:val="3201312E"/>
    <w:rsid w:val="32292413"/>
    <w:rsid w:val="32317863"/>
    <w:rsid w:val="32737303"/>
    <w:rsid w:val="32C24E2D"/>
    <w:rsid w:val="33EB7154"/>
    <w:rsid w:val="348D1324"/>
    <w:rsid w:val="34BD2B9F"/>
    <w:rsid w:val="36374EF3"/>
    <w:rsid w:val="36972C30"/>
    <w:rsid w:val="36BB6A11"/>
    <w:rsid w:val="36E73A2E"/>
    <w:rsid w:val="377D2C70"/>
    <w:rsid w:val="37FD624C"/>
    <w:rsid w:val="38422D98"/>
    <w:rsid w:val="38C459D3"/>
    <w:rsid w:val="39475874"/>
    <w:rsid w:val="39E32A71"/>
    <w:rsid w:val="3A562C07"/>
    <w:rsid w:val="3BDE757E"/>
    <w:rsid w:val="3BE67BDB"/>
    <w:rsid w:val="3C312620"/>
    <w:rsid w:val="3C521F1F"/>
    <w:rsid w:val="3C972765"/>
    <w:rsid w:val="3CCA65A0"/>
    <w:rsid w:val="3D693636"/>
    <w:rsid w:val="3D7B5B2F"/>
    <w:rsid w:val="3D9028E8"/>
    <w:rsid w:val="3DA90777"/>
    <w:rsid w:val="3DF020B6"/>
    <w:rsid w:val="3E44484D"/>
    <w:rsid w:val="3E4A5E23"/>
    <w:rsid w:val="3F266A69"/>
    <w:rsid w:val="3F80118C"/>
    <w:rsid w:val="40490F85"/>
    <w:rsid w:val="40C56269"/>
    <w:rsid w:val="41897C56"/>
    <w:rsid w:val="419C3B9D"/>
    <w:rsid w:val="41C302E1"/>
    <w:rsid w:val="41D1675C"/>
    <w:rsid w:val="42C70355"/>
    <w:rsid w:val="433A64F6"/>
    <w:rsid w:val="43443E7F"/>
    <w:rsid w:val="44A936AB"/>
    <w:rsid w:val="44AB1865"/>
    <w:rsid w:val="44DC2CEC"/>
    <w:rsid w:val="44DC435C"/>
    <w:rsid w:val="45B23EE2"/>
    <w:rsid w:val="461F68EC"/>
    <w:rsid w:val="48103D33"/>
    <w:rsid w:val="48165964"/>
    <w:rsid w:val="49C90449"/>
    <w:rsid w:val="4B096F1D"/>
    <w:rsid w:val="4BF3412D"/>
    <w:rsid w:val="4C030339"/>
    <w:rsid w:val="4CD84652"/>
    <w:rsid w:val="4DE8259F"/>
    <w:rsid w:val="501D7592"/>
    <w:rsid w:val="50215CD4"/>
    <w:rsid w:val="50F72D1E"/>
    <w:rsid w:val="511A77AA"/>
    <w:rsid w:val="521D470F"/>
    <w:rsid w:val="526E16F1"/>
    <w:rsid w:val="53791202"/>
    <w:rsid w:val="53A73B65"/>
    <w:rsid w:val="53B05F34"/>
    <w:rsid w:val="546A6089"/>
    <w:rsid w:val="551B6C77"/>
    <w:rsid w:val="55C55D4B"/>
    <w:rsid w:val="57215150"/>
    <w:rsid w:val="57F56734"/>
    <w:rsid w:val="583E24A9"/>
    <w:rsid w:val="59830E9E"/>
    <w:rsid w:val="5B64064D"/>
    <w:rsid w:val="5D2625EF"/>
    <w:rsid w:val="5E25434C"/>
    <w:rsid w:val="60764CB8"/>
    <w:rsid w:val="610E7FC6"/>
    <w:rsid w:val="614E0E3D"/>
    <w:rsid w:val="615333D3"/>
    <w:rsid w:val="61772E14"/>
    <w:rsid w:val="61883013"/>
    <w:rsid w:val="62794798"/>
    <w:rsid w:val="62B362AA"/>
    <w:rsid w:val="63A63B3F"/>
    <w:rsid w:val="63E90DEA"/>
    <w:rsid w:val="65A036E9"/>
    <w:rsid w:val="65E51DE6"/>
    <w:rsid w:val="65F06C9F"/>
    <w:rsid w:val="66060FB4"/>
    <w:rsid w:val="6699467E"/>
    <w:rsid w:val="66D90EB9"/>
    <w:rsid w:val="66E41ECF"/>
    <w:rsid w:val="674457E3"/>
    <w:rsid w:val="6798197B"/>
    <w:rsid w:val="68310FA5"/>
    <w:rsid w:val="688843AA"/>
    <w:rsid w:val="69BD2D3B"/>
    <w:rsid w:val="69F442AF"/>
    <w:rsid w:val="6A0E30DC"/>
    <w:rsid w:val="6A356EA0"/>
    <w:rsid w:val="6B170F4F"/>
    <w:rsid w:val="6C014247"/>
    <w:rsid w:val="6CA7784E"/>
    <w:rsid w:val="6CF62E72"/>
    <w:rsid w:val="6D556A52"/>
    <w:rsid w:val="6E01724F"/>
    <w:rsid w:val="704C6CF1"/>
    <w:rsid w:val="70563797"/>
    <w:rsid w:val="70AC19B0"/>
    <w:rsid w:val="712216DB"/>
    <w:rsid w:val="715E1779"/>
    <w:rsid w:val="72142713"/>
    <w:rsid w:val="726D5BAE"/>
    <w:rsid w:val="72F643C4"/>
    <w:rsid w:val="730200F1"/>
    <w:rsid w:val="74E919FC"/>
    <w:rsid w:val="75294A12"/>
    <w:rsid w:val="75820774"/>
    <w:rsid w:val="759968BD"/>
    <w:rsid w:val="75DD55C7"/>
    <w:rsid w:val="76A10E15"/>
    <w:rsid w:val="76AB3358"/>
    <w:rsid w:val="76FB60A2"/>
    <w:rsid w:val="7770408A"/>
    <w:rsid w:val="78774B27"/>
    <w:rsid w:val="78CF314E"/>
    <w:rsid w:val="78FB36EA"/>
    <w:rsid w:val="7A422C7E"/>
    <w:rsid w:val="7B4F08FA"/>
    <w:rsid w:val="7BBB3515"/>
    <w:rsid w:val="7BC47911"/>
    <w:rsid w:val="7C077878"/>
    <w:rsid w:val="7C991592"/>
    <w:rsid w:val="7CE02C9B"/>
    <w:rsid w:val="7CF45685"/>
    <w:rsid w:val="7D4D3289"/>
    <w:rsid w:val="7D4E1B92"/>
    <w:rsid w:val="7DD94F24"/>
    <w:rsid w:val="7EE747B5"/>
    <w:rsid w:val="7FDF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link w:val="94"/>
    <w:qFormat/>
    <w:uiPriority w:val="0"/>
    <w:pPr>
      <w:keepNext/>
      <w:keepLines/>
      <w:spacing w:before="340" w:after="330" w:line="578" w:lineRule="auto"/>
      <w:outlineLvl w:val="0"/>
    </w:pPr>
    <w:rPr>
      <w:rFonts w:hint="eastAsia" w:ascii="楷体_GB2312" w:hAnsi="Times New Roman" w:eastAsia="楷体_GB2312"/>
      <w:b/>
      <w:kern w:val="44"/>
      <w:sz w:val="44"/>
      <w:szCs w:val="20"/>
    </w:rPr>
  </w:style>
  <w:style w:type="paragraph" w:styleId="4">
    <w:name w:val="heading 2"/>
    <w:basedOn w:val="1"/>
    <w:next w:val="1"/>
    <w:link w:val="99"/>
    <w:qFormat/>
    <w:uiPriority w:val="0"/>
    <w:pPr>
      <w:keepNext/>
      <w:keepLines/>
      <w:spacing w:before="260" w:after="260" w:line="416" w:lineRule="auto"/>
      <w:outlineLvl w:val="1"/>
    </w:pPr>
    <w:rPr>
      <w:rFonts w:ascii="Arial" w:hAnsi="Arial" w:eastAsia="黑体"/>
      <w:b/>
      <w:sz w:val="32"/>
      <w:szCs w:val="20"/>
    </w:rPr>
  </w:style>
  <w:style w:type="paragraph" w:styleId="5">
    <w:name w:val="heading 3"/>
    <w:basedOn w:val="1"/>
    <w:next w:val="1"/>
    <w:link w:val="100"/>
    <w:qFormat/>
    <w:uiPriority w:val="0"/>
    <w:pPr>
      <w:keepNext/>
      <w:keepLines/>
      <w:spacing w:line="360" w:lineRule="auto"/>
      <w:outlineLvl w:val="2"/>
    </w:pPr>
    <w:rPr>
      <w:rFonts w:ascii="Times New Roman" w:hAnsi="Times New Roman"/>
      <w:b/>
      <w:sz w:val="32"/>
      <w:szCs w:val="20"/>
    </w:rPr>
  </w:style>
  <w:style w:type="paragraph" w:styleId="2">
    <w:name w:val="heading 4"/>
    <w:basedOn w:val="1"/>
    <w:next w:val="1"/>
    <w:link w:val="86"/>
    <w:qFormat/>
    <w:uiPriority w:val="0"/>
    <w:pPr>
      <w:keepNext/>
      <w:keepLines/>
      <w:spacing w:before="280" w:after="290" w:line="376" w:lineRule="auto"/>
      <w:outlineLvl w:val="3"/>
    </w:pPr>
    <w:rPr>
      <w:rFonts w:ascii="Times New Roman" w:hAnsi="Times New Roman"/>
      <w:sz w:val="32"/>
      <w:szCs w:val="20"/>
    </w:rPr>
  </w:style>
  <w:style w:type="paragraph" w:styleId="6">
    <w:name w:val="heading 5"/>
    <w:basedOn w:val="1"/>
    <w:next w:val="1"/>
    <w:link w:val="65"/>
    <w:qFormat/>
    <w:uiPriority w:val="0"/>
    <w:pPr>
      <w:keepNext/>
      <w:keepLines/>
      <w:spacing w:before="280" w:after="290" w:line="372" w:lineRule="auto"/>
      <w:outlineLvl w:val="4"/>
    </w:pPr>
    <w:rPr>
      <w:rFonts w:ascii="Times New Roman" w:hAnsi="Times New Roman"/>
      <w:b/>
      <w:sz w:val="28"/>
      <w:szCs w:val="28"/>
    </w:rPr>
  </w:style>
  <w:style w:type="paragraph" w:styleId="7">
    <w:name w:val="heading 6"/>
    <w:basedOn w:val="1"/>
    <w:next w:val="1"/>
    <w:link w:val="89"/>
    <w:qFormat/>
    <w:uiPriority w:val="0"/>
    <w:pPr>
      <w:keepNext/>
      <w:keepLines/>
      <w:spacing w:before="240" w:after="64" w:line="317" w:lineRule="auto"/>
      <w:outlineLvl w:val="5"/>
    </w:pPr>
    <w:rPr>
      <w:rFonts w:hint="eastAsia" w:ascii="宋体" w:hAnsi="宋体"/>
      <w:b/>
      <w:kern w:val="0"/>
      <w:sz w:val="24"/>
      <w:lang w:eastAsia="en-US"/>
    </w:rPr>
  </w:style>
  <w:style w:type="paragraph" w:styleId="8">
    <w:name w:val="heading 7"/>
    <w:basedOn w:val="1"/>
    <w:next w:val="1"/>
    <w:link w:val="69"/>
    <w:qFormat/>
    <w:uiPriority w:val="0"/>
    <w:pPr>
      <w:keepNext/>
      <w:keepLines/>
      <w:spacing w:before="240" w:after="64" w:line="317" w:lineRule="auto"/>
      <w:outlineLvl w:val="6"/>
    </w:pPr>
    <w:rPr>
      <w:rFonts w:hint="eastAsia" w:ascii="宋体" w:hAnsi="宋体"/>
      <w:b/>
      <w:kern w:val="0"/>
      <w:szCs w:val="21"/>
      <w:lang w:eastAsia="en-US"/>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qFormat/>
    <w:uiPriority w:val="0"/>
    <w:pPr>
      <w:ind w:left="2520" w:leftChars="1200"/>
    </w:pPr>
    <w:rPr>
      <w:rFonts w:ascii="Times New Roman" w:hAnsi="Times New Roman"/>
    </w:rPr>
  </w:style>
  <w:style w:type="paragraph" w:styleId="10">
    <w:name w:val="Normal Indent"/>
    <w:basedOn w:val="1"/>
    <w:unhideWhenUsed/>
    <w:qFormat/>
    <w:uiPriority w:val="99"/>
    <w:pPr>
      <w:ind w:firstLine="420"/>
    </w:pPr>
    <w:rPr>
      <w:rFonts w:ascii="Calibri" w:hAnsi="Calibri"/>
      <w:szCs w:val="20"/>
    </w:rPr>
  </w:style>
  <w:style w:type="paragraph" w:styleId="11">
    <w:name w:val="Document Map"/>
    <w:basedOn w:val="1"/>
    <w:link w:val="81"/>
    <w:unhideWhenUsed/>
    <w:qFormat/>
    <w:uiPriority w:val="0"/>
    <w:pPr>
      <w:shd w:val="clear" w:color="auto" w:fill="000080"/>
    </w:pPr>
    <w:rPr>
      <w:rFonts w:ascii="Times New Roman" w:hAnsi="Times New Roman"/>
    </w:rPr>
  </w:style>
  <w:style w:type="paragraph" w:styleId="12">
    <w:name w:val="toa heading"/>
    <w:basedOn w:val="1"/>
    <w:next w:val="1"/>
    <w:unhideWhenUsed/>
    <w:qFormat/>
    <w:uiPriority w:val="99"/>
    <w:pPr>
      <w:spacing w:before="120"/>
    </w:pPr>
    <w:rPr>
      <w:rFonts w:ascii="Arial" w:hAnsi="Arial" w:cs="Arial"/>
      <w:sz w:val="24"/>
    </w:rPr>
  </w:style>
  <w:style w:type="paragraph" w:styleId="13">
    <w:name w:val="annotation text"/>
    <w:basedOn w:val="1"/>
    <w:link w:val="80"/>
    <w:unhideWhenUsed/>
    <w:qFormat/>
    <w:uiPriority w:val="0"/>
    <w:pPr>
      <w:jc w:val="left"/>
    </w:pPr>
    <w:rPr>
      <w:rFonts w:ascii="Times New Roman" w:hAnsi="Times New Roman"/>
    </w:rPr>
  </w:style>
  <w:style w:type="paragraph" w:styleId="14">
    <w:name w:val="Body Text 3"/>
    <w:basedOn w:val="1"/>
    <w:link w:val="59"/>
    <w:unhideWhenUsed/>
    <w:qFormat/>
    <w:uiPriority w:val="0"/>
    <w:pPr>
      <w:spacing w:after="120"/>
    </w:pPr>
    <w:rPr>
      <w:rFonts w:ascii="Times New Roman" w:hAnsi="Times New Roman"/>
      <w:sz w:val="16"/>
      <w:szCs w:val="16"/>
    </w:rPr>
  </w:style>
  <w:style w:type="paragraph" w:styleId="15">
    <w:name w:val="Body Text"/>
    <w:basedOn w:val="1"/>
    <w:next w:val="16"/>
    <w:link w:val="68"/>
    <w:qFormat/>
    <w:uiPriority w:val="0"/>
    <w:rPr>
      <w:rFonts w:ascii="Times New Roman" w:hAnsi="Times New Roman"/>
    </w:rPr>
  </w:style>
  <w:style w:type="paragraph" w:styleId="16">
    <w:name w:val="Body Text 2"/>
    <w:basedOn w:val="1"/>
    <w:next w:val="15"/>
    <w:link w:val="84"/>
    <w:unhideWhenUsed/>
    <w:qFormat/>
    <w:uiPriority w:val="0"/>
    <w:pPr>
      <w:spacing w:after="120" w:line="480" w:lineRule="auto"/>
    </w:pPr>
    <w:rPr>
      <w:rFonts w:ascii="Times New Roman" w:hAnsi="Times New Roman"/>
    </w:rPr>
  </w:style>
  <w:style w:type="paragraph" w:styleId="17">
    <w:name w:val="Body Text Indent"/>
    <w:basedOn w:val="1"/>
    <w:next w:val="18"/>
    <w:link w:val="103"/>
    <w:qFormat/>
    <w:uiPriority w:val="0"/>
    <w:pPr>
      <w:ind w:firstLine="560" w:firstLineChars="200"/>
    </w:pPr>
    <w:rPr>
      <w:rFonts w:ascii="Times New Roman" w:hAnsi="Times New Roman"/>
    </w:rPr>
  </w:style>
  <w:style w:type="paragraph" w:styleId="18">
    <w:name w:val="envelope return"/>
    <w:basedOn w:val="1"/>
    <w:qFormat/>
    <w:uiPriority w:val="99"/>
    <w:pPr>
      <w:snapToGrid w:val="0"/>
    </w:pPr>
    <w:rPr>
      <w:rFonts w:ascii="Arial" w:hAnsi="Arial" w:cs="Arial"/>
    </w:rPr>
  </w:style>
  <w:style w:type="paragraph" w:styleId="19">
    <w:name w:val="toc 5"/>
    <w:basedOn w:val="1"/>
    <w:next w:val="1"/>
    <w:qFormat/>
    <w:uiPriority w:val="0"/>
    <w:pPr>
      <w:ind w:left="1680" w:leftChars="800"/>
    </w:pPr>
    <w:rPr>
      <w:rFonts w:ascii="Times New Roman" w:hAnsi="Times New Roman"/>
    </w:rPr>
  </w:style>
  <w:style w:type="paragraph" w:styleId="20">
    <w:name w:val="toc 3"/>
    <w:basedOn w:val="1"/>
    <w:next w:val="1"/>
    <w:qFormat/>
    <w:uiPriority w:val="0"/>
    <w:pPr>
      <w:ind w:left="840" w:leftChars="400"/>
    </w:pPr>
    <w:rPr>
      <w:rFonts w:ascii="Times New Roman" w:hAnsi="Times New Roman"/>
    </w:rPr>
  </w:style>
  <w:style w:type="paragraph" w:styleId="21">
    <w:name w:val="Plain Text"/>
    <w:basedOn w:val="1"/>
    <w:link w:val="61"/>
    <w:qFormat/>
    <w:uiPriority w:val="0"/>
    <w:rPr>
      <w:rFonts w:hint="eastAsia" w:ascii="宋体" w:hAnsi="Courier New"/>
      <w:szCs w:val="21"/>
    </w:rPr>
  </w:style>
  <w:style w:type="paragraph" w:styleId="22">
    <w:name w:val="toc 8"/>
    <w:basedOn w:val="1"/>
    <w:next w:val="1"/>
    <w:qFormat/>
    <w:uiPriority w:val="0"/>
    <w:pPr>
      <w:ind w:left="2940" w:leftChars="1400"/>
    </w:pPr>
    <w:rPr>
      <w:rFonts w:ascii="Times New Roman" w:hAnsi="Times New Roman"/>
    </w:rPr>
  </w:style>
  <w:style w:type="paragraph" w:styleId="23">
    <w:name w:val="Date"/>
    <w:basedOn w:val="1"/>
    <w:next w:val="1"/>
    <w:link w:val="74"/>
    <w:unhideWhenUsed/>
    <w:qFormat/>
    <w:uiPriority w:val="0"/>
    <w:pPr>
      <w:ind w:left="100" w:leftChars="2500"/>
    </w:pPr>
    <w:rPr>
      <w:rFonts w:ascii="Times New Roman" w:hAnsi="Times New Roman"/>
      <w:kern w:val="0"/>
      <w:sz w:val="28"/>
      <w:szCs w:val="20"/>
    </w:rPr>
  </w:style>
  <w:style w:type="paragraph" w:styleId="24">
    <w:name w:val="Body Text Indent 2"/>
    <w:basedOn w:val="1"/>
    <w:link w:val="83"/>
    <w:unhideWhenUsed/>
    <w:qFormat/>
    <w:uiPriority w:val="0"/>
    <w:pPr>
      <w:spacing w:after="120" w:line="480" w:lineRule="auto"/>
      <w:ind w:left="420" w:leftChars="200"/>
    </w:pPr>
    <w:rPr>
      <w:rFonts w:ascii="Times New Roman" w:hAnsi="Times New Roman"/>
    </w:rPr>
  </w:style>
  <w:style w:type="paragraph" w:styleId="25">
    <w:name w:val="Balloon Text"/>
    <w:basedOn w:val="1"/>
    <w:link w:val="91"/>
    <w:unhideWhenUsed/>
    <w:qFormat/>
    <w:uiPriority w:val="0"/>
    <w:rPr>
      <w:rFonts w:ascii="Times New Roman" w:hAnsi="Times New Roman"/>
      <w:sz w:val="18"/>
      <w:szCs w:val="18"/>
    </w:rPr>
  </w:style>
  <w:style w:type="paragraph" w:styleId="26">
    <w:name w:val="footer"/>
    <w:basedOn w:val="1"/>
    <w:link w:val="97"/>
    <w:qFormat/>
    <w:uiPriority w:val="0"/>
    <w:pPr>
      <w:tabs>
        <w:tab w:val="center" w:pos="4153"/>
        <w:tab w:val="right" w:pos="8306"/>
      </w:tabs>
      <w:snapToGrid w:val="0"/>
      <w:jc w:val="left"/>
    </w:pPr>
    <w:rPr>
      <w:rFonts w:ascii="Times New Roman" w:hAnsi="Times New Roman"/>
      <w:sz w:val="18"/>
      <w:szCs w:val="18"/>
    </w:rPr>
  </w:style>
  <w:style w:type="paragraph" w:styleId="27">
    <w:name w:val="header"/>
    <w:basedOn w:val="1"/>
    <w:link w:val="9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8">
    <w:name w:val="toc 1"/>
    <w:basedOn w:val="1"/>
    <w:next w:val="1"/>
    <w:qFormat/>
    <w:uiPriority w:val="0"/>
    <w:rPr>
      <w:rFonts w:ascii="Times New Roman" w:hAnsi="Times New Roman"/>
    </w:rPr>
  </w:style>
  <w:style w:type="paragraph" w:styleId="29">
    <w:name w:val="toc 4"/>
    <w:basedOn w:val="1"/>
    <w:next w:val="1"/>
    <w:qFormat/>
    <w:uiPriority w:val="0"/>
    <w:pPr>
      <w:ind w:left="1260" w:leftChars="600"/>
    </w:pPr>
    <w:rPr>
      <w:rFonts w:ascii="Times New Roman" w:hAnsi="Times New Roman"/>
    </w:rPr>
  </w:style>
  <w:style w:type="paragraph" w:styleId="30">
    <w:name w:val="toc 6"/>
    <w:basedOn w:val="1"/>
    <w:next w:val="1"/>
    <w:qFormat/>
    <w:uiPriority w:val="0"/>
    <w:pPr>
      <w:ind w:left="2100" w:leftChars="1000"/>
    </w:pPr>
    <w:rPr>
      <w:rFonts w:ascii="Times New Roman" w:hAnsi="Times New Roman"/>
    </w:rPr>
  </w:style>
  <w:style w:type="paragraph" w:styleId="31">
    <w:name w:val="Body Text Indent 3"/>
    <w:basedOn w:val="1"/>
    <w:link w:val="73"/>
    <w:qFormat/>
    <w:uiPriority w:val="0"/>
    <w:pPr>
      <w:ind w:firstLine="420" w:firstLineChars="200"/>
    </w:pPr>
    <w:rPr>
      <w:rFonts w:ascii="Times New Roman" w:hAnsi="Times New Roman"/>
      <w:sz w:val="16"/>
      <w:szCs w:val="16"/>
    </w:rPr>
  </w:style>
  <w:style w:type="paragraph" w:styleId="32">
    <w:name w:val="toc 2"/>
    <w:basedOn w:val="1"/>
    <w:next w:val="1"/>
    <w:qFormat/>
    <w:uiPriority w:val="0"/>
    <w:pPr>
      <w:ind w:left="420" w:leftChars="200"/>
    </w:pPr>
    <w:rPr>
      <w:rFonts w:ascii="Times New Roman" w:hAnsi="Times New Roman"/>
    </w:rPr>
  </w:style>
  <w:style w:type="paragraph" w:styleId="33">
    <w:name w:val="toc 9"/>
    <w:basedOn w:val="1"/>
    <w:next w:val="1"/>
    <w:qFormat/>
    <w:uiPriority w:val="0"/>
    <w:pPr>
      <w:ind w:left="3360" w:leftChars="1600"/>
    </w:pPr>
    <w:rPr>
      <w:rFonts w:ascii="Times New Roman" w:hAnsi="Times New Roman"/>
    </w:rPr>
  </w:style>
  <w:style w:type="paragraph" w:styleId="34">
    <w:name w:val="HTML Preformatted"/>
    <w:basedOn w:val="1"/>
    <w:link w:val="79"/>
    <w:unhideWhenUsed/>
    <w:qFormat/>
    <w:uiPriority w:val="0"/>
    <w:rPr>
      <w:rFonts w:ascii="Arial" w:hAnsi="Arial"/>
      <w:kern w:val="0"/>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67"/>
    <w:qFormat/>
    <w:uiPriority w:val="0"/>
    <w:pPr>
      <w:spacing w:before="240" w:after="60"/>
      <w:jc w:val="center"/>
      <w:outlineLvl w:val="0"/>
    </w:pPr>
    <w:rPr>
      <w:rFonts w:ascii="Calibri Light" w:hAnsi="Calibri Light" w:eastAsia="Calibri Light"/>
      <w:b/>
      <w:sz w:val="32"/>
      <w:szCs w:val="32"/>
    </w:rPr>
  </w:style>
  <w:style w:type="paragraph" w:styleId="37">
    <w:name w:val="annotation subject"/>
    <w:basedOn w:val="13"/>
    <w:next w:val="13"/>
    <w:link w:val="71"/>
    <w:unhideWhenUsed/>
    <w:qFormat/>
    <w:uiPriority w:val="0"/>
    <w:rPr>
      <w:b/>
    </w:rPr>
  </w:style>
  <w:style w:type="paragraph" w:styleId="38">
    <w:name w:val="Body Text First Indent"/>
    <w:basedOn w:val="15"/>
    <w:next w:val="39"/>
    <w:link w:val="104"/>
    <w:unhideWhenUsed/>
    <w:qFormat/>
    <w:uiPriority w:val="0"/>
    <w:pPr>
      <w:ind w:firstLine="420" w:firstLineChars="100"/>
    </w:pPr>
    <w:rPr>
      <w:rFonts w:hint="eastAsia" w:ascii="楷体_GB2312" w:eastAsia="楷体_GB2312"/>
      <w:sz w:val="32"/>
    </w:rPr>
  </w:style>
  <w:style w:type="paragraph" w:styleId="39">
    <w:name w:val="Body Text First Indent 2"/>
    <w:basedOn w:val="17"/>
    <w:qFormat/>
    <w:uiPriority w:val="0"/>
    <w:pPr>
      <w:ind w:firstLine="420"/>
    </w:pPr>
  </w:style>
  <w:style w:type="table" w:styleId="41">
    <w:name w:val="Table Grid"/>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qFormat/>
    <w:uiPriority w:val="0"/>
    <w:rPr>
      <w:rFonts w:ascii="Times New Roman" w:hAnsi="Times New Roman" w:eastAsia="宋体" w:cs="Times New Roman"/>
    </w:rPr>
  </w:style>
  <w:style w:type="character" w:styleId="44">
    <w:name w:val="FollowedHyperlink"/>
    <w:unhideWhenUsed/>
    <w:qFormat/>
    <w:uiPriority w:val="99"/>
    <w:rPr>
      <w:rFonts w:ascii="Times New Roman" w:hAnsi="Times New Roman" w:eastAsia="宋体" w:cs="Times New Roman"/>
      <w:color w:val="333333"/>
      <w:u w:val="none"/>
    </w:rPr>
  </w:style>
  <w:style w:type="character" w:styleId="45">
    <w:name w:val="HTML Definition"/>
    <w:basedOn w:val="42"/>
    <w:semiHidden/>
    <w:unhideWhenUsed/>
    <w:qFormat/>
    <w:uiPriority w:val="99"/>
  </w:style>
  <w:style w:type="character" w:styleId="46">
    <w:name w:val="HTML Typewriter"/>
    <w:basedOn w:val="42"/>
    <w:semiHidden/>
    <w:unhideWhenUsed/>
    <w:qFormat/>
    <w:uiPriority w:val="99"/>
    <w:rPr>
      <w:rFonts w:hint="default" w:ascii="monospace" w:hAnsi="monospace" w:eastAsia="monospace" w:cs="monospace"/>
      <w:sz w:val="20"/>
    </w:rPr>
  </w:style>
  <w:style w:type="character" w:styleId="47">
    <w:name w:val="HTML Acronym"/>
    <w:basedOn w:val="42"/>
    <w:semiHidden/>
    <w:unhideWhenUsed/>
    <w:qFormat/>
    <w:uiPriority w:val="99"/>
  </w:style>
  <w:style w:type="character" w:styleId="48">
    <w:name w:val="HTML Variable"/>
    <w:basedOn w:val="42"/>
    <w:semiHidden/>
    <w:unhideWhenUsed/>
    <w:qFormat/>
    <w:uiPriority w:val="99"/>
  </w:style>
  <w:style w:type="character" w:styleId="49">
    <w:name w:val="Hyperlink"/>
    <w:qFormat/>
    <w:uiPriority w:val="0"/>
    <w:rPr>
      <w:rFonts w:ascii="Times New Roman" w:hAnsi="Times New Roman" w:eastAsia="宋体" w:cs="Times New Roman"/>
      <w:color w:val="0000FF"/>
      <w:u w:val="single"/>
    </w:rPr>
  </w:style>
  <w:style w:type="character" w:styleId="50">
    <w:name w:val="HTML Code"/>
    <w:basedOn w:val="42"/>
    <w:semiHidden/>
    <w:unhideWhenUsed/>
    <w:qFormat/>
    <w:uiPriority w:val="99"/>
    <w:rPr>
      <w:rFonts w:ascii="monospace" w:hAnsi="monospace" w:eastAsia="monospace" w:cs="monospace"/>
      <w:sz w:val="20"/>
    </w:rPr>
  </w:style>
  <w:style w:type="character" w:styleId="51">
    <w:name w:val="annotation reference"/>
    <w:unhideWhenUsed/>
    <w:qFormat/>
    <w:uiPriority w:val="99"/>
    <w:rPr>
      <w:rFonts w:ascii="Times New Roman" w:hAnsi="Times New Roman" w:eastAsia="宋体" w:cs="Times New Roman"/>
      <w:sz w:val="21"/>
      <w:szCs w:val="21"/>
    </w:rPr>
  </w:style>
  <w:style w:type="character" w:styleId="52">
    <w:name w:val="HTML Cite"/>
    <w:basedOn w:val="42"/>
    <w:semiHidden/>
    <w:unhideWhenUsed/>
    <w:qFormat/>
    <w:uiPriority w:val="99"/>
    <w:rPr>
      <w:vanish/>
    </w:rPr>
  </w:style>
  <w:style w:type="character" w:styleId="53">
    <w:name w:val="HTML Keyboard"/>
    <w:basedOn w:val="42"/>
    <w:semiHidden/>
    <w:unhideWhenUsed/>
    <w:qFormat/>
    <w:uiPriority w:val="99"/>
    <w:rPr>
      <w:rFonts w:hint="default" w:ascii="monospace" w:hAnsi="monospace" w:eastAsia="monospace" w:cs="monospace"/>
      <w:sz w:val="20"/>
    </w:rPr>
  </w:style>
  <w:style w:type="character" w:styleId="54">
    <w:name w:val="HTML Sample"/>
    <w:basedOn w:val="42"/>
    <w:semiHidden/>
    <w:unhideWhenUsed/>
    <w:qFormat/>
    <w:uiPriority w:val="99"/>
    <w:rPr>
      <w:rFonts w:hint="default" w:ascii="monospace" w:hAnsi="monospace" w:eastAsia="monospace" w:cs="monospace"/>
    </w:rPr>
  </w:style>
  <w:style w:type="paragraph" w:customStyle="1" w:styleId="55">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56">
    <w:name w:val="表格文字"/>
    <w:basedOn w:val="1"/>
    <w:next w:val="15"/>
    <w:qFormat/>
    <w:uiPriority w:val="0"/>
    <w:pPr>
      <w:adjustRightInd w:val="0"/>
      <w:spacing w:line="420" w:lineRule="atLeast"/>
      <w:jc w:val="left"/>
      <w:textAlignment w:val="baseline"/>
    </w:pPr>
    <w:rPr>
      <w:kern w:val="0"/>
    </w:rPr>
  </w:style>
  <w:style w:type="paragraph" w:customStyle="1" w:styleId="57">
    <w:name w:val="无间隔1"/>
    <w:qFormat/>
    <w:uiPriority w:val="1"/>
    <w:pPr>
      <w:widowControl w:val="0"/>
      <w:jc w:val="both"/>
    </w:pPr>
    <w:rPr>
      <w:rFonts w:ascii="Calibri" w:hAnsi="Calibri" w:eastAsia="宋体" w:cs="Times New Roman"/>
      <w:kern w:val="2"/>
      <w:sz w:val="24"/>
      <w:szCs w:val="22"/>
      <w:lang w:val="en-US" w:eastAsia="zh-CN" w:bidi="ar-SA"/>
    </w:rPr>
  </w:style>
  <w:style w:type="character" w:customStyle="1" w:styleId="58">
    <w:name w:val="font1"/>
    <w:qFormat/>
    <w:uiPriority w:val="0"/>
    <w:rPr>
      <w:rFonts w:ascii="Times New Roman" w:hAnsi="Times New Roman" w:eastAsia="宋体" w:cs="Times New Roman"/>
      <w:color w:val="999999"/>
      <w:sz w:val="18"/>
      <w:szCs w:val="18"/>
      <w:u w:val="none"/>
    </w:rPr>
  </w:style>
  <w:style w:type="character" w:customStyle="1" w:styleId="59">
    <w:name w:val="正文文本 3 Char"/>
    <w:link w:val="14"/>
    <w:qFormat/>
    <w:uiPriority w:val="0"/>
    <w:rPr>
      <w:rFonts w:ascii="Times New Roman" w:hAnsi="Times New Roman" w:eastAsia="宋体" w:cs="Times New Roman"/>
      <w:kern w:val="2"/>
      <w:sz w:val="16"/>
      <w:szCs w:val="16"/>
    </w:rPr>
  </w:style>
  <w:style w:type="character" w:customStyle="1" w:styleId="60">
    <w:name w:val="pt91"/>
    <w:qFormat/>
    <w:uiPriority w:val="0"/>
    <w:rPr>
      <w:rFonts w:hint="default" w:ascii="_x000B__x000C_" w:hAnsi="_x000B__x000C_" w:eastAsia="_x000B__x000C_" w:cs="_x000B__x000C_"/>
      <w:color w:val="333333"/>
      <w:sz w:val="18"/>
      <w:szCs w:val="18"/>
    </w:rPr>
  </w:style>
  <w:style w:type="character" w:customStyle="1" w:styleId="61">
    <w:name w:val="纯文本 Char"/>
    <w:link w:val="21"/>
    <w:qFormat/>
    <w:uiPriority w:val="0"/>
    <w:rPr>
      <w:rFonts w:hint="eastAsia" w:ascii="宋体" w:hAnsi="Courier New" w:eastAsia="宋体" w:cs="Courier New"/>
      <w:kern w:val="2"/>
      <w:sz w:val="21"/>
      <w:szCs w:val="21"/>
    </w:rPr>
  </w:style>
  <w:style w:type="character" w:customStyle="1" w:styleId="62">
    <w:name w:val="fontstyle01"/>
    <w:qFormat/>
    <w:uiPriority w:val="0"/>
    <w:rPr>
      <w:rFonts w:hint="default" w:ascii="FZSSK--GBK1-0" w:hAnsi="FZSSK--GBK1-0" w:eastAsia="FZSSK--GBK1-0" w:cs="FZSSK--GBK1-0"/>
      <w:color w:val="000000"/>
      <w:sz w:val="20"/>
      <w:szCs w:val="20"/>
    </w:rPr>
  </w:style>
  <w:style w:type="character" w:customStyle="1" w:styleId="63">
    <w:name w:val="Char Char15"/>
    <w:qFormat/>
    <w:uiPriority w:val="0"/>
    <w:rPr>
      <w:rFonts w:ascii="Times New Roman" w:hAnsi="Times New Roman" w:eastAsia="宋体" w:cs="Times New Roman"/>
      <w:kern w:val="2"/>
      <w:sz w:val="32"/>
    </w:rPr>
  </w:style>
  <w:style w:type="character" w:customStyle="1" w:styleId="64">
    <w:name w:val="纯文本 Char1"/>
    <w:qFormat/>
    <w:uiPriority w:val="0"/>
    <w:rPr>
      <w:rFonts w:hint="eastAsia" w:ascii="宋体" w:hAnsi="Courier New" w:eastAsia="宋体" w:cs="宋体"/>
      <w:kern w:val="2"/>
      <w:sz w:val="21"/>
      <w:lang w:eastAsia="zh-CN"/>
    </w:rPr>
  </w:style>
  <w:style w:type="character" w:customStyle="1" w:styleId="65">
    <w:name w:val="标题 5 Char"/>
    <w:link w:val="6"/>
    <w:qFormat/>
    <w:uiPriority w:val="0"/>
    <w:rPr>
      <w:rFonts w:ascii="Times New Roman" w:hAnsi="Times New Roman" w:eastAsia="宋体" w:cs="Times New Roman"/>
      <w:b/>
      <w:kern w:val="2"/>
      <w:sz w:val="28"/>
      <w:szCs w:val="28"/>
    </w:rPr>
  </w:style>
  <w:style w:type="character" w:customStyle="1" w:styleId="66">
    <w:name w:val="wen11"/>
    <w:qFormat/>
    <w:uiPriority w:val="0"/>
    <w:rPr>
      <w:rFonts w:ascii="Times New Roman" w:hAnsi="Times New Roman" w:eastAsia="宋体" w:cs="Times New Roman"/>
      <w:color w:val="000000"/>
      <w:sz w:val="21"/>
      <w:szCs w:val="21"/>
    </w:rPr>
  </w:style>
  <w:style w:type="character" w:customStyle="1" w:styleId="67">
    <w:name w:val="标题 Char"/>
    <w:link w:val="36"/>
    <w:qFormat/>
    <w:uiPriority w:val="0"/>
    <w:rPr>
      <w:rFonts w:hint="default" w:ascii="Calibri Light" w:hAnsi="Calibri Light" w:eastAsia="Calibri Light" w:cs="Calibri Light"/>
      <w:b/>
      <w:kern w:val="2"/>
      <w:sz w:val="32"/>
      <w:szCs w:val="32"/>
    </w:rPr>
  </w:style>
  <w:style w:type="character" w:customStyle="1" w:styleId="68">
    <w:name w:val="正文文本 Char"/>
    <w:link w:val="15"/>
    <w:qFormat/>
    <w:uiPriority w:val="0"/>
    <w:rPr>
      <w:rFonts w:ascii="Times New Roman" w:hAnsi="Times New Roman" w:eastAsia="宋体" w:cs="Times New Roman"/>
      <w:kern w:val="2"/>
      <w:sz w:val="21"/>
      <w:szCs w:val="24"/>
    </w:rPr>
  </w:style>
  <w:style w:type="character" w:customStyle="1" w:styleId="69">
    <w:name w:val="标题 7 Char"/>
    <w:link w:val="8"/>
    <w:qFormat/>
    <w:uiPriority w:val="0"/>
    <w:rPr>
      <w:rFonts w:hint="eastAsia" w:ascii="宋体" w:hAnsi="宋体" w:eastAsia="宋体" w:cs="宋体"/>
      <w:b/>
      <w:sz w:val="21"/>
      <w:szCs w:val="21"/>
      <w:lang w:eastAsia="en-US"/>
    </w:rPr>
  </w:style>
  <w:style w:type="character" w:customStyle="1" w:styleId="70">
    <w:name w:val="displayarti"/>
    <w:qFormat/>
    <w:uiPriority w:val="0"/>
    <w:rPr>
      <w:rFonts w:ascii="Times New Roman" w:hAnsi="Times New Roman" w:eastAsia="宋体" w:cs="Times New Roman"/>
      <w:color w:val="FFFFFF"/>
      <w:shd w:val="clear" w:color="auto" w:fill="A00000"/>
    </w:rPr>
  </w:style>
  <w:style w:type="character" w:customStyle="1" w:styleId="71">
    <w:name w:val="批注主题 Char"/>
    <w:link w:val="37"/>
    <w:qFormat/>
    <w:uiPriority w:val="0"/>
    <w:rPr>
      <w:rFonts w:ascii="Times New Roman" w:hAnsi="Times New Roman" w:eastAsia="宋体" w:cs="Times New Roman"/>
      <w:b/>
      <w:kern w:val="2"/>
      <w:sz w:val="21"/>
      <w:szCs w:val="24"/>
    </w:rPr>
  </w:style>
  <w:style w:type="character" w:customStyle="1" w:styleId="72">
    <w:name w:val="Table Text Char1"/>
    <w:qFormat/>
    <w:uiPriority w:val="0"/>
    <w:rPr>
      <w:rFonts w:hint="default" w:ascii="Arial" w:hAnsi="Arial" w:eastAsia="宋体" w:cs="Arial"/>
      <w:kern w:val="2"/>
      <w:sz w:val="18"/>
      <w:szCs w:val="24"/>
    </w:rPr>
  </w:style>
  <w:style w:type="character" w:customStyle="1" w:styleId="73">
    <w:name w:val="正文文本缩进 3 Char"/>
    <w:link w:val="31"/>
    <w:qFormat/>
    <w:uiPriority w:val="0"/>
    <w:rPr>
      <w:rFonts w:ascii="Times New Roman" w:hAnsi="Times New Roman" w:eastAsia="宋体" w:cs="Times New Roman"/>
      <w:kern w:val="2"/>
      <w:sz w:val="16"/>
      <w:szCs w:val="16"/>
    </w:rPr>
  </w:style>
  <w:style w:type="character" w:customStyle="1" w:styleId="74">
    <w:name w:val="日期 Char"/>
    <w:link w:val="23"/>
    <w:qFormat/>
    <w:uiPriority w:val="0"/>
    <w:rPr>
      <w:rFonts w:ascii="Times New Roman" w:hAnsi="Times New Roman" w:eastAsia="宋体" w:cs="Times New Roman"/>
      <w:sz w:val="28"/>
    </w:rPr>
  </w:style>
  <w:style w:type="character" w:customStyle="1" w:styleId="75">
    <w:name w:val="Char Char16"/>
    <w:qFormat/>
    <w:uiPriority w:val="0"/>
    <w:rPr>
      <w:rFonts w:ascii="Times New Roman" w:hAnsi="Times New Roman" w:eastAsia="宋体" w:cs="Times New Roman"/>
      <w:b/>
      <w:kern w:val="2"/>
      <w:sz w:val="32"/>
    </w:rPr>
  </w:style>
  <w:style w:type="character" w:customStyle="1" w:styleId="76">
    <w:name w:val="gpa"/>
    <w:qFormat/>
    <w:uiPriority w:val="0"/>
    <w:rPr>
      <w:rFonts w:hint="default" w:ascii="Arial" w:hAnsi="Arial" w:eastAsia="宋体" w:cs="Arial"/>
      <w:sz w:val="15"/>
      <w:szCs w:val="15"/>
    </w:rPr>
  </w:style>
  <w:style w:type="character" w:customStyle="1" w:styleId="77">
    <w:name w:val="p12h15"/>
    <w:basedOn w:val="42"/>
    <w:qFormat/>
    <w:uiPriority w:val="0"/>
  </w:style>
  <w:style w:type="character" w:customStyle="1" w:styleId="78">
    <w:name w:val="Char Char17"/>
    <w:qFormat/>
    <w:uiPriority w:val="0"/>
    <w:rPr>
      <w:rFonts w:hint="eastAsia" w:ascii="楷体_GB2312" w:hAnsi="Times New Roman" w:eastAsia="楷体_GB2312" w:cs="楷体_GB2312"/>
      <w:b/>
      <w:kern w:val="44"/>
      <w:sz w:val="44"/>
    </w:rPr>
  </w:style>
  <w:style w:type="character" w:customStyle="1" w:styleId="79">
    <w:name w:val="HTML 预设格式 Char"/>
    <w:link w:val="34"/>
    <w:qFormat/>
    <w:uiPriority w:val="0"/>
    <w:rPr>
      <w:rFonts w:hint="default" w:ascii="Arial" w:hAnsi="Arial" w:eastAsia="宋体" w:cs="Arial"/>
      <w:sz w:val="24"/>
      <w:szCs w:val="24"/>
    </w:rPr>
  </w:style>
  <w:style w:type="character" w:customStyle="1" w:styleId="80">
    <w:name w:val="批注文字 Char"/>
    <w:link w:val="13"/>
    <w:qFormat/>
    <w:uiPriority w:val="0"/>
    <w:rPr>
      <w:rFonts w:ascii="Times New Roman" w:hAnsi="Times New Roman" w:eastAsia="宋体" w:cs="Times New Roman"/>
      <w:kern w:val="2"/>
      <w:sz w:val="21"/>
      <w:szCs w:val="24"/>
    </w:rPr>
  </w:style>
  <w:style w:type="character" w:customStyle="1" w:styleId="81">
    <w:name w:val="文档结构图 Char"/>
    <w:link w:val="11"/>
    <w:qFormat/>
    <w:uiPriority w:val="0"/>
    <w:rPr>
      <w:rFonts w:ascii="Times New Roman" w:hAnsi="Times New Roman" w:eastAsia="宋体" w:cs="Times New Roman"/>
      <w:kern w:val="2"/>
      <w:sz w:val="21"/>
      <w:szCs w:val="24"/>
      <w:shd w:val="clear" w:color="auto" w:fill="000080"/>
    </w:rPr>
  </w:style>
  <w:style w:type="character" w:customStyle="1" w:styleId="82">
    <w:name w:val="Comment Text Char"/>
    <w:qFormat/>
    <w:uiPriority w:val="0"/>
    <w:rPr>
      <w:rFonts w:hint="default" w:ascii="Times New Roman" w:hAnsi="Times New Roman" w:eastAsia="宋体" w:cs="Times New Roman"/>
      <w:sz w:val="24"/>
    </w:rPr>
  </w:style>
  <w:style w:type="character" w:customStyle="1" w:styleId="83">
    <w:name w:val="正文文本缩进 2 Char"/>
    <w:link w:val="24"/>
    <w:qFormat/>
    <w:uiPriority w:val="0"/>
    <w:rPr>
      <w:rFonts w:ascii="Times New Roman" w:hAnsi="Times New Roman" w:eastAsia="宋体" w:cs="Times New Roman"/>
      <w:kern w:val="2"/>
      <w:sz w:val="21"/>
      <w:szCs w:val="24"/>
    </w:rPr>
  </w:style>
  <w:style w:type="character" w:customStyle="1" w:styleId="84">
    <w:name w:val="正文文本 2 Char"/>
    <w:link w:val="16"/>
    <w:qFormat/>
    <w:uiPriority w:val="0"/>
    <w:rPr>
      <w:rFonts w:ascii="Times New Roman" w:hAnsi="Times New Roman" w:eastAsia="宋体" w:cs="Times New Roman"/>
      <w:kern w:val="2"/>
      <w:sz w:val="21"/>
      <w:szCs w:val="24"/>
    </w:rPr>
  </w:style>
  <w:style w:type="character" w:customStyle="1" w:styleId="85">
    <w:name w:val="selected"/>
    <w:qFormat/>
    <w:uiPriority w:val="0"/>
    <w:rPr>
      <w:rFonts w:ascii="Times New Roman" w:hAnsi="Times New Roman" w:eastAsia="宋体" w:cs="Times New Roman"/>
      <w:shd w:val="clear" w:color="auto" w:fill="B00006"/>
    </w:rPr>
  </w:style>
  <w:style w:type="character" w:customStyle="1" w:styleId="86">
    <w:name w:val="标题 4 Char"/>
    <w:link w:val="2"/>
    <w:qFormat/>
    <w:uiPriority w:val="0"/>
    <w:rPr>
      <w:rFonts w:ascii="Times New Roman" w:hAnsi="Times New Roman" w:eastAsia="宋体" w:cs="Times New Roman"/>
      <w:kern w:val="2"/>
      <w:sz w:val="32"/>
    </w:rPr>
  </w:style>
  <w:style w:type="character" w:customStyle="1" w:styleId="87">
    <w:name w:val="Item List in Table Char Char"/>
    <w:qFormat/>
    <w:uiPriority w:val="0"/>
    <w:rPr>
      <w:rFonts w:hint="default" w:ascii="Arial" w:hAnsi="Arial" w:eastAsia="宋体" w:cs="Arial"/>
      <w:sz w:val="18"/>
      <w:szCs w:val="18"/>
    </w:rPr>
  </w:style>
  <w:style w:type="character" w:customStyle="1" w:styleId="88">
    <w:name w:val="标题 2 Char Char Char"/>
    <w:qFormat/>
    <w:uiPriority w:val="0"/>
    <w:rPr>
      <w:rFonts w:hint="default" w:ascii="Arial" w:hAnsi="Arial" w:eastAsia="黑体" w:cs="Arial"/>
      <w:b/>
      <w:kern w:val="2"/>
      <w:sz w:val="32"/>
      <w:szCs w:val="32"/>
      <w:lang w:val="en-US" w:eastAsia="zh-CN"/>
    </w:rPr>
  </w:style>
  <w:style w:type="character" w:customStyle="1" w:styleId="89">
    <w:name w:val="标题 6 Char"/>
    <w:link w:val="7"/>
    <w:qFormat/>
    <w:uiPriority w:val="0"/>
    <w:rPr>
      <w:rFonts w:hint="eastAsia" w:ascii="宋体" w:hAnsi="宋体" w:eastAsia="宋体" w:cs="宋体"/>
      <w:b/>
      <w:sz w:val="24"/>
      <w:szCs w:val="24"/>
      <w:lang w:eastAsia="en-US"/>
    </w:rPr>
  </w:style>
  <w:style w:type="character" w:customStyle="1" w:styleId="90">
    <w:name w:val="普通文字 Char Char Char Char"/>
    <w:qFormat/>
    <w:uiPriority w:val="0"/>
    <w:rPr>
      <w:rFonts w:hint="eastAsia" w:ascii="宋体" w:hAnsi="Courier New" w:eastAsia="宋体" w:cs="宋体"/>
      <w:color w:val="000080"/>
      <w:sz w:val="21"/>
      <w:szCs w:val="21"/>
      <w:lang w:val="en-US" w:eastAsia="zh-CN"/>
    </w:rPr>
  </w:style>
  <w:style w:type="character" w:customStyle="1" w:styleId="91">
    <w:name w:val="批注框文本 Char"/>
    <w:link w:val="25"/>
    <w:qFormat/>
    <w:uiPriority w:val="0"/>
    <w:rPr>
      <w:rFonts w:ascii="Times New Roman" w:hAnsi="Times New Roman" w:eastAsia="宋体" w:cs="Times New Roman"/>
      <w:kern w:val="2"/>
      <w:sz w:val="18"/>
      <w:szCs w:val="18"/>
    </w:rPr>
  </w:style>
  <w:style w:type="character" w:customStyle="1" w:styleId="92">
    <w:name w:val="Balloon Text Char"/>
    <w:qFormat/>
    <w:uiPriority w:val="0"/>
    <w:rPr>
      <w:rFonts w:ascii="Times New Roman" w:hAnsi="Times New Roman" w:eastAsia="宋体" w:cs="Times New Roman"/>
      <w:sz w:val="18"/>
    </w:rPr>
  </w:style>
  <w:style w:type="character" w:customStyle="1" w:styleId="93">
    <w:name w:val="overfont"/>
    <w:basedOn w:val="42"/>
    <w:qFormat/>
    <w:uiPriority w:val="0"/>
  </w:style>
  <w:style w:type="character" w:customStyle="1" w:styleId="94">
    <w:name w:val="标题 1 Char"/>
    <w:link w:val="3"/>
    <w:qFormat/>
    <w:uiPriority w:val="0"/>
    <w:rPr>
      <w:rFonts w:hint="eastAsia" w:ascii="楷体_GB2312" w:hAnsi="Times New Roman" w:eastAsia="楷体_GB2312" w:cs="楷体_GB2312"/>
      <w:b/>
      <w:kern w:val="44"/>
      <w:sz w:val="44"/>
    </w:rPr>
  </w:style>
  <w:style w:type="character" w:customStyle="1" w:styleId="95">
    <w:name w:val="页眉 Char"/>
    <w:link w:val="27"/>
    <w:qFormat/>
    <w:uiPriority w:val="0"/>
    <w:rPr>
      <w:rFonts w:ascii="Times New Roman" w:hAnsi="Times New Roman" w:eastAsia="宋体" w:cs="Times New Roman"/>
      <w:kern w:val="2"/>
      <w:sz w:val="18"/>
      <w:szCs w:val="18"/>
    </w:rPr>
  </w:style>
  <w:style w:type="character" w:customStyle="1" w:styleId="96">
    <w:name w:val="Char Char11"/>
    <w:qFormat/>
    <w:uiPriority w:val="0"/>
    <w:rPr>
      <w:rFonts w:ascii="Times New Roman" w:hAnsi="Times New Roman" w:eastAsia="宋体" w:cs="Times New Roman"/>
      <w:kern w:val="2"/>
      <w:sz w:val="18"/>
      <w:szCs w:val="18"/>
    </w:rPr>
  </w:style>
  <w:style w:type="character" w:customStyle="1" w:styleId="97">
    <w:name w:val="页脚 Char"/>
    <w:link w:val="26"/>
    <w:qFormat/>
    <w:uiPriority w:val="0"/>
    <w:rPr>
      <w:rFonts w:ascii="Times New Roman" w:hAnsi="Times New Roman" w:eastAsia="宋体" w:cs="Times New Roman"/>
      <w:kern w:val="2"/>
      <w:sz w:val="18"/>
      <w:szCs w:val="18"/>
    </w:rPr>
  </w:style>
  <w:style w:type="character" w:customStyle="1" w:styleId="98">
    <w:name w:val="Char Char Char"/>
    <w:qFormat/>
    <w:uiPriority w:val="0"/>
    <w:rPr>
      <w:rFonts w:hint="eastAsia" w:ascii="宋体" w:hAnsi="Courier New" w:eastAsia="宋体" w:cs="宋体"/>
      <w:kern w:val="2"/>
      <w:sz w:val="21"/>
      <w:lang w:val="en-US" w:eastAsia="zh-CN"/>
    </w:rPr>
  </w:style>
  <w:style w:type="character" w:customStyle="1" w:styleId="99">
    <w:name w:val="标题 2 Char"/>
    <w:link w:val="4"/>
    <w:qFormat/>
    <w:uiPriority w:val="0"/>
    <w:rPr>
      <w:rFonts w:ascii="Arial" w:hAnsi="Arial" w:eastAsia="黑体" w:cs="Arial"/>
      <w:b/>
      <w:kern w:val="2"/>
      <w:sz w:val="32"/>
    </w:rPr>
  </w:style>
  <w:style w:type="character" w:customStyle="1" w:styleId="100">
    <w:name w:val="标题 3 Char"/>
    <w:link w:val="5"/>
    <w:qFormat/>
    <w:uiPriority w:val="0"/>
    <w:rPr>
      <w:rFonts w:ascii="Times New Roman" w:hAnsi="Times New Roman" w:eastAsia="宋体" w:cs="Times New Roman"/>
      <w:b/>
      <w:kern w:val="2"/>
      <w:sz w:val="32"/>
    </w:rPr>
  </w:style>
  <w:style w:type="character" w:customStyle="1" w:styleId="101">
    <w:name w:val="p0 Char Char"/>
    <w:qFormat/>
    <w:uiPriority w:val="0"/>
    <w:rPr>
      <w:rFonts w:ascii="Times New Roman" w:hAnsi="Times New Roman" w:eastAsia="宋体" w:cs="Times New Roman"/>
      <w:kern w:val="2"/>
      <w:sz w:val="21"/>
    </w:rPr>
  </w:style>
  <w:style w:type="character" w:customStyle="1" w:styleId="102">
    <w:name w:val="fontstyle11"/>
    <w:qFormat/>
    <w:uiPriority w:val="0"/>
    <w:rPr>
      <w:rFonts w:hint="default" w:ascii="E-BZ" w:hAnsi="E-BZ" w:eastAsia="E-BZ" w:cs="E-BZ"/>
      <w:color w:val="000000"/>
      <w:sz w:val="20"/>
      <w:szCs w:val="20"/>
    </w:rPr>
  </w:style>
  <w:style w:type="character" w:customStyle="1" w:styleId="103">
    <w:name w:val="正文文本缩进 Char"/>
    <w:link w:val="17"/>
    <w:qFormat/>
    <w:uiPriority w:val="0"/>
    <w:rPr>
      <w:rFonts w:ascii="Times New Roman" w:hAnsi="Times New Roman" w:eastAsia="宋体" w:cs="Times New Roman"/>
      <w:kern w:val="2"/>
      <w:sz w:val="21"/>
      <w:szCs w:val="24"/>
    </w:rPr>
  </w:style>
  <w:style w:type="character" w:customStyle="1" w:styleId="104">
    <w:name w:val="正文首行缩进 Char"/>
    <w:link w:val="38"/>
    <w:qFormat/>
    <w:uiPriority w:val="0"/>
    <w:rPr>
      <w:rFonts w:hint="eastAsia" w:ascii="楷体_GB2312" w:hAnsi="Times New Roman" w:eastAsia="楷体_GB2312" w:cs="楷体_GB2312"/>
      <w:kern w:val="2"/>
      <w:sz w:val="32"/>
      <w:szCs w:val="24"/>
    </w:rPr>
  </w:style>
  <w:style w:type="character" w:customStyle="1" w:styleId="105">
    <w:name w:val="font61"/>
    <w:basedOn w:val="42"/>
    <w:qFormat/>
    <w:uiPriority w:val="0"/>
    <w:rPr>
      <w:rFonts w:hint="eastAsia" w:ascii="宋体" w:hAnsi="宋体" w:eastAsia="宋体" w:cs="宋体"/>
      <w:color w:val="000000"/>
      <w:sz w:val="21"/>
      <w:szCs w:val="21"/>
      <w:u w:val="none"/>
    </w:rPr>
  </w:style>
  <w:style w:type="paragraph" w:customStyle="1" w:styleId="106">
    <w:name w:val="Body Text First Indent1"/>
    <w:basedOn w:val="15"/>
    <w:qFormat/>
    <w:uiPriority w:val="0"/>
    <w:pPr>
      <w:ind w:firstLine="420" w:firstLineChars="100"/>
    </w:pPr>
  </w:style>
  <w:style w:type="paragraph" w:customStyle="1" w:styleId="107">
    <w:name w:val="p0"/>
    <w:basedOn w:val="1"/>
    <w:qFormat/>
    <w:uiPriority w:val="0"/>
    <w:pPr>
      <w:widowControl/>
    </w:pPr>
    <w:rPr>
      <w:rFonts w:ascii="Times New Roman" w:hAnsi="Times New Roman"/>
      <w:kern w:val="0"/>
      <w:szCs w:val="21"/>
    </w:rPr>
  </w:style>
  <w:style w:type="paragraph" w:customStyle="1" w:styleId="108">
    <w:name w:val="a2"/>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09">
    <w:name w:val="Char"/>
    <w:basedOn w:val="1"/>
    <w:qFormat/>
    <w:uiPriority w:val="0"/>
    <w:pPr>
      <w:snapToGrid w:val="0"/>
      <w:spacing w:line="360" w:lineRule="auto"/>
      <w:ind w:firstLine="200" w:firstLineChars="200"/>
    </w:pPr>
    <w:rPr>
      <w:rFonts w:ascii="Times New Roman" w:hAnsi="Times New Roman"/>
    </w:rPr>
  </w:style>
  <w:style w:type="paragraph" w:customStyle="1" w:styleId="110">
    <w:name w:val="标题3-1"/>
    <w:basedOn w:val="5"/>
    <w:qFormat/>
    <w:uiPriority w:val="0"/>
    <w:pPr>
      <w:numPr>
        <w:ilvl w:val="0"/>
        <w:numId w:val="1"/>
      </w:numPr>
    </w:pPr>
    <w:rPr>
      <w:sz w:val="24"/>
    </w:rPr>
  </w:style>
  <w:style w:type="paragraph" w:customStyle="1" w:styleId="111">
    <w:name w:val="a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2">
    <w:name w:val="列出段落1"/>
    <w:basedOn w:val="1"/>
    <w:qFormat/>
    <w:uiPriority w:val="0"/>
    <w:pPr>
      <w:ind w:firstLine="420" w:firstLineChars="200"/>
    </w:pPr>
    <w:rPr>
      <w:rFonts w:ascii="Times New Roman" w:hAnsi="Times New Roman"/>
    </w:rPr>
  </w:style>
  <w:style w:type="paragraph" w:customStyle="1" w:styleId="113">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114">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115">
    <w:name w:val="正文_13_0"/>
    <w:basedOn w:val="1"/>
    <w:qFormat/>
    <w:uiPriority w:val="0"/>
    <w:rPr>
      <w:rFonts w:ascii="Calibri" w:hAnsi="Calibri"/>
    </w:rPr>
  </w:style>
  <w:style w:type="paragraph" w:customStyle="1" w:styleId="116">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szCs w:val="20"/>
    </w:rPr>
  </w:style>
  <w:style w:type="paragraph" w:customStyle="1" w:styleId="117">
    <w:name w:val="Table Paragraph"/>
    <w:basedOn w:val="1"/>
    <w:unhideWhenUsed/>
    <w:qFormat/>
    <w:uiPriority w:val="1"/>
    <w:rPr>
      <w:sz w:val="24"/>
    </w:rPr>
  </w:style>
  <w:style w:type="paragraph" w:customStyle="1" w:styleId="1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p15"/>
    <w:basedOn w:val="1"/>
    <w:qFormat/>
    <w:uiPriority w:val="0"/>
    <w:pPr>
      <w:widowControl/>
      <w:spacing w:line="365" w:lineRule="atLeast"/>
      <w:ind w:left="1"/>
    </w:pPr>
    <w:rPr>
      <w:rFonts w:ascii="Times New Roman" w:hAnsi="Times New Roman"/>
      <w:kern w:val="0"/>
      <w:sz w:val="20"/>
    </w:rPr>
  </w:style>
  <w:style w:type="paragraph" w:customStyle="1" w:styleId="120">
    <w:name w:val="TOAHeading"/>
    <w:basedOn w:val="1"/>
    <w:next w:val="1"/>
    <w:qFormat/>
    <w:uiPriority w:val="0"/>
    <w:pPr>
      <w:spacing w:before="120"/>
      <w:textAlignment w:val="baseline"/>
    </w:pPr>
    <w:rPr>
      <w:rFonts w:ascii="Arial" w:hAnsi="Arial"/>
      <w:sz w:val="24"/>
      <w:szCs w:val="22"/>
    </w:rPr>
  </w:style>
  <w:style w:type="character" w:customStyle="1" w:styleId="121">
    <w:name w:val="NormalCharacter"/>
    <w:qFormat/>
    <w:uiPriority w:val="0"/>
    <w:rPr>
      <w:rFonts w:ascii="Book Antiqua" w:hAnsi="Book Antiqua" w:eastAsia="宋体" w:cs="Times New Roman"/>
      <w:kern w:val="2"/>
      <w:sz w:val="21"/>
      <w:szCs w:val="24"/>
      <w:lang w:val="en-US" w:eastAsia="zh-CN" w:bidi="ar-SA"/>
    </w:rPr>
  </w:style>
  <w:style w:type="paragraph" w:customStyle="1" w:styleId="122">
    <w:name w:val="BodyText1I"/>
    <w:basedOn w:val="123"/>
    <w:next w:val="125"/>
    <w:qFormat/>
    <w:uiPriority w:val="0"/>
    <w:pPr>
      <w:ind w:firstLine="420" w:firstLineChars="100"/>
    </w:pPr>
    <w:rPr>
      <w:rFonts w:ascii="楷体_GB2312"/>
      <w:sz w:val="32"/>
    </w:rPr>
  </w:style>
  <w:style w:type="paragraph" w:customStyle="1" w:styleId="123">
    <w:name w:val="BodyText"/>
    <w:basedOn w:val="1"/>
    <w:next w:val="124"/>
    <w:qFormat/>
    <w:uiPriority w:val="0"/>
    <w:pPr>
      <w:textAlignment w:val="baseline"/>
    </w:pPr>
    <w:rPr>
      <w:rFonts w:ascii="Calibri" w:hAnsi="Calibri" w:eastAsia="楷体_GB2312"/>
      <w:kern w:val="0"/>
      <w:sz w:val="28"/>
    </w:rPr>
  </w:style>
  <w:style w:type="paragraph" w:customStyle="1" w:styleId="124">
    <w:name w:val="BodyText2"/>
    <w:basedOn w:val="1"/>
    <w:next w:val="123"/>
    <w:qFormat/>
    <w:uiPriority w:val="0"/>
    <w:pPr>
      <w:spacing w:after="120" w:line="480" w:lineRule="auto"/>
      <w:textAlignment w:val="baseline"/>
    </w:pPr>
  </w:style>
  <w:style w:type="paragraph" w:customStyle="1" w:styleId="125">
    <w:name w:val="BodyText1I2"/>
    <w:basedOn w:val="126"/>
    <w:qFormat/>
    <w:uiPriority w:val="0"/>
    <w:pPr>
      <w:ind w:firstLine="420" w:firstLineChars="200"/>
    </w:pPr>
  </w:style>
  <w:style w:type="paragraph" w:customStyle="1" w:styleId="126">
    <w:name w:val="BodyTextIndent"/>
    <w:basedOn w:val="1"/>
    <w:qFormat/>
    <w:uiPriority w:val="0"/>
    <w:pPr>
      <w:spacing w:after="120"/>
      <w:ind w:left="420" w:leftChars="200"/>
      <w:textAlignment w:val="baseline"/>
    </w:pPr>
  </w:style>
  <w:style w:type="paragraph" w:customStyle="1" w:styleId="127">
    <w:name w:val="正文首行缩进 21"/>
    <w:basedOn w:val="1"/>
    <w:qFormat/>
    <w:uiPriority w:val="0"/>
    <w:pPr>
      <w:tabs>
        <w:tab w:val="left" w:pos="945"/>
        <w:tab w:val="left" w:pos="1155"/>
      </w:tabs>
      <w:ind w:firstLine="420" w:firstLineChars="200"/>
    </w:pPr>
    <w:rPr>
      <w:rFonts w:ascii="宋体"/>
      <w:sz w:val="24"/>
      <w:szCs w:val="20"/>
    </w:rPr>
  </w:style>
  <w:style w:type="paragraph" w:customStyle="1" w:styleId="128">
    <w:name w:val="正文1"/>
    <w:next w:val="1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文本1"/>
    <w:basedOn w:val="128"/>
    <w:qFormat/>
    <w:uiPriority w:val="99"/>
    <w:rPr>
      <w:rFonts w:eastAsia="楷体_GB2312"/>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Info spid="_x0000_s1026"/>
    <customShpInfo spid="_x0000_s3076"/>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177EE-B707-4D2D-8F2D-005F4EB19C1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3584</Words>
  <Characters>20431</Characters>
  <Lines>170</Lines>
  <Paragraphs>47</Paragraphs>
  <TotalTime>2</TotalTime>
  <ScaleCrop>false</ScaleCrop>
  <LinksUpToDate>false</LinksUpToDate>
  <CharactersWithSpaces>23968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2021-05-31T10:25:00Z</dcterms:created>
  <dc:creator>Administrator</dc:creator>
  <cp:lastModifiedBy>DELL</cp:lastModifiedBy>
  <cp:lastPrinted>2021-08-06T00:56:00Z</cp:lastPrinted>
  <dcterms:modified xsi:type="dcterms:W3CDTF">2021-11-15T09:27:25Z</dcterms:modified>
  <dc:title>博爱县磨头镇际村小学新建教学楼、厕所项目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DBBBD991D9A345F288B7F4A27FFA441B</vt:lpwstr>
  </property>
</Properties>
</file>