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cstheme="minorEastAsia"/>
        </w:rPr>
      </w:pPr>
      <w:bookmarkStart w:id="0" w:name="_Toc281574833"/>
    </w:p>
    <w:p>
      <w:pPr>
        <w:pStyle w:val="4"/>
        <w:rPr>
          <w:rFonts w:asciiTheme="minorEastAsia" w:hAnsiTheme="minorEastAsia" w:eastAsiaTheme="minorEastAsia" w:cstheme="minorEastAsia"/>
        </w:rPr>
      </w:pPr>
    </w:p>
    <w:p>
      <w:pPr>
        <w:pStyle w:val="20"/>
        <w:ind w:firstLine="0" w:firstLineChars="0"/>
        <w:jc w:val="center"/>
        <w:rPr>
          <w:rFonts w:hint="eastAsia" w:asciiTheme="minorEastAsia" w:hAnsiTheme="minorEastAsia" w:eastAsiaTheme="minorEastAsia" w:cstheme="minorEastAsia"/>
          <w:b/>
          <w:bCs/>
          <w:sz w:val="44"/>
          <w:szCs w:val="44"/>
          <w:lang w:eastAsia="zh-CN"/>
        </w:rPr>
      </w:pPr>
      <w:r>
        <w:rPr>
          <w:rFonts w:hint="eastAsia" w:asciiTheme="majorEastAsia" w:hAnsiTheme="majorEastAsia" w:eastAsiaTheme="majorEastAsia" w:cstheme="majorEastAsia"/>
          <w:b/>
          <w:bCs/>
          <w:sz w:val="44"/>
          <w:szCs w:val="44"/>
          <w:lang w:eastAsia="zh-CN"/>
        </w:rPr>
        <w:t>省道307博爱段非现场执法设备</w:t>
      </w:r>
      <w:r>
        <w:rPr>
          <w:rFonts w:hint="eastAsia" w:asciiTheme="minorEastAsia" w:hAnsiTheme="minorEastAsia" w:eastAsiaTheme="minorEastAsia" w:cstheme="minorEastAsia"/>
          <w:b/>
          <w:bCs/>
          <w:sz w:val="44"/>
          <w:szCs w:val="44"/>
        </w:rPr>
        <w:t>采购项目</w:t>
      </w:r>
      <w:r>
        <w:rPr>
          <w:rFonts w:hint="eastAsia" w:asciiTheme="minorEastAsia" w:hAnsiTheme="minorEastAsia" w:eastAsiaTheme="minorEastAsia" w:cstheme="minorEastAsia"/>
          <w:b/>
          <w:bCs/>
          <w:sz w:val="44"/>
          <w:szCs w:val="44"/>
          <w:lang w:eastAsia="zh-CN"/>
        </w:rPr>
        <w:t>（四次）</w:t>
      </w:r>
    </w:p>
    <w:p>
      <w:pPr>
        <w:spacing w:line="360" w:lineRule="auto"/>
        <w:jc w:val="center"/>
        <w:rPr>
          <w:rFonts w:asciiTheme="minorEastAsia" w:hAnsiTheme="minorEastAsia" w:eastAsiaTheme="minorEastAsia" w:cstheme="minorEastAsia"/>
          <w:sz w:val="28"/>
        </w:rPr>
      </w:pPr>
    </w:p>
    <w:p>
      <w:pPr>
        <w:pStyle w:val="20"/>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8"/>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博政采购(2021)9号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博爱县交通运输局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14"/>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- 6 -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xml:space="preserve">- </w:t>
      </w:r>
      <w:r>
        <w:rPr>
          <w:rFonts w:hint="eastAsia"/>
          <w:b/>
          <w:bCs/>
          <w:lang w:val="en-US" w:eastAsia="zh-CN"/>
        </w:rPr>
        <w:t>20</w:t>
      </w:r>
      <w:r>
        <w:rPr>
          <w:b/>
          <w:bCs/>
        </w:rPr>
        <w:t>-</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xml:space="preserve">- </w:t>
      </w:r>
      <w:r>
        <w:rPr>
          <w:rFonts w:hint="eastAsia"/>
          <w:b/>
          <w:bCs/>
          <w:lang w:val="en-US" w:eastAsia="zh-CN"/>
        </w:rPr>
        <w:t>25</w:t>
      </w:r>
      <w:r>
        <w:rPr>
          <w:b/>
          <w:bCs/>
        </w:rPr>
        <w:t xml:space="preserve"> -</w:t>
      </w:r>
      <w:r>
        <w:rPr>
          <w:b/>
          <w:bCs/>
        </w:rPr>
        <w:fldChar w:fldCharType="end"/>
      </w:r>
      <w:r>
        <w:rPr>
          <w:b/>
          <w:bCs/>
        </w:rPr>
        <w:fldChar w:fldCharType="end"/>
      </w:r>
    </w:p>
    <w:p>
      <w:pPr>
        <w:pStyle w:val="14"/>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- 2</w:t>
      </w:r>
      <w:r>
        <w:rPr>
          <w:rFonts w:hint="eastAsia"/>
          <w:b/>
          <w:bCs/>
          <w:lang w:val="en-US" w:eastAsia="zh-CN"/>
        </w:rPr>
        <w:t>8</w:t>
      </w:r>
      <w:r>
        <w:rPr>
          <w:b/>
          <w:bCs/>
        </w:rPr>
        <w:t xml:space="preserve">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xml:space="preserve">- </w:t>
      </w:r>
      <w:r>
        <w:rPr>
          <w:rFonts w:hint="eastAsia"/>
          <w:b/>
          <w:bCs/>
          <w:lang w:val="en-US" w:eastAsia="zh-CN"/>
        </w:rPr>
        <w:t>30</w:t>
      </w:r>
      <w:r>
        <w:rPr>
          <w:b/>
          <w:bCs/>
        </w:rPr>
        <w:t xml:space="preserve">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16"/>
        <w:spacing w:line="360" w:lineRule="auto"/>
        <w:ind w:right="-63" w:rightChars="-30"/>
        <w:rPr>
          <w:rFonts w:asciiTheme="minorEastAsia" w:hAnsiTheme="minorEastAsia" w:eastAsiaTheme="minorEastAsia" w:cstheme="minorEastAsia"/>
          <w:bCs/>
        </w:rPr>
      </w:pPr>
      <w:bookmarkStart w:id="1" w:name="_Toc9243"/>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jc w:val="both"/>
        <w:rPr>
          <w:rFonts w:asciiTheme="minorEastAsia" w:hAnsiTheme="minorEastAsia" w:eastAsiaTheme="minorEastAsia" w:cstheme="minorEastAsia"/>
          <w:bCs/>
        </w:rPr>
      </w:pPr>
    </w:p>
    <w:p>
      <w:pPr>
        <w:pStyle w:val="16"/>
        <w:numPr>
          <w:ilvl w:val="0"/>
          <w:numId w:val="1"/>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32"/>
          <w:szCs w:val="32"/>
          <w:lang w:eastAsia="zh-CN"/>
        </w:rPr>
        <w:t>省道307博爱段非现场执法设备采购项目（四次）招标公告</w:t>
      </w:r>
    </w:p>
    <w:tbl>
      <w:tblPr>
        <w:tblStyle w:val="1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5"/>
              <w:spacing w:line="440" w:lineRule="exact"/>
              <w:ind w:firstLine="480"/>
              <w:rPr>
                <w:rFonts w:ascii="宋体" w:hAnsi="宋体" w:cs="宋体"/>
                <w:color w:val="auto"/>
                <w:sz w:val="24"/>
              </w:rPr>
            </w:pPr>
            <w:bookmarkStart w:id="2" w:name="_Toc25354"/>
            <w:r>
              <w:rPr>
                <w:rFonts w:hint="eastAsia" w:ascii="宋体" w:hAnsi="宋体" w:cs="宋体"/>
                <w:color w:val="auto"/>
                <w:sz w:val="24"/>
              </w:rPr>
              <w:t>项目概况：</w:t>
            </w:r>
            <w:r>
              <w:rPr>
                <w:rFonts w:hint="eastAsia" w:ascii="宋体" w:hAnsi="宋体" w:cs="宋体"/>
                <w:color w:val="auto"/>
                <w:sz w:val="24"/>
                <w:lang w:eastAsia="zh-CN"/>
              </w:rPr>
              <w:t>省道307博爱段非现场执法设备采购项目（四次）</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日上午</w:t>
            </w:r>
            <w:r>
              <w:rPr>
                <w:rFonts w:hint="eastAsia" w:ascii="宋体" w:hAnsi="宋体" w:cs="宋体"/>
                <w:color w:val="auto"/>
                <w:sz w:val="24"/>
                <w:u w:val="single"/>
                <w:lang w:val="en-US" w:eastAsia="zh-CN"/>
              </w:rPr>
              <w:t>8</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21"/>
        <w:spacing w:line="440" w:lineRule="exact"/>
        <w:ind w:left="0" w:firstLine="0"/>
        <w:rPr>
          <w:b/>
          <w:bCs/>
          <w:color w:val="auto"/>
          <w:sz w:val="24"/>
          <w:lang w:eastAsia="zh-CN"/>
        </w:rPr>
      </w:pPr>
      <w:r>
        <w:rPr>
          <w:rFonts w:hint="eastAsia"/>
          <w:b/>
          <w:bCs/>
          <w:color w:val="auto"/>
          <w:sz w:val="24"/>
          <w:lang w:eastAsia="zh-CN"/>
        </w:rPr>
        <w:t>一、项目基本情况</w:t>
      </w:r>
    </w:p>
    <w:p>
      <w:pPr>
        <w:pStyle w:val="21"/>
        <w:spacing w:line="440" w:lineRule="exact"/>
        <w:ind w:left="0" w:firstLine="480" w:firstLineChars="200"/>
        <w:rPr>
          <w:color w:val="auto"/>
          <w:sz w:val="24"/>
          <w:lang w:eastAsia="zh-CN"/>
        </w:rPr>
      </w:pPr>
      <w:r>
        <w:rPr>
          <w:rFonts w:hint="eastAsia"/>
          <w:color w:val="auto"/>
          <w:sz w:val="24"/>
          <w:lang w:eastAsia="zh-CN"/>
        </w:rPr>
        <w:t>项目编号：博政采购(2021)9号</w:t>
      </w:r>
    </w:p>
    <w:p>
      <w:pPr>
        <w:pStyle w:val="21"/>
        <w:spacing w:line="440" w:lineRule="exact"/>
        <w:ind w:left="0" w:firstLine="480" w:firstLineChars="200"/>
        <w:rPr>
          <w:rFonts w:hint="eastAsia"/>
          <w:color w:val="auto"/>
          <w:sz w:val="24"/>
          <w:lang w:eastAsia="zh-CN"/>
        </w:rPr>
      </w:pPr>
      <w:r>
        <w:rPr>
          <w:rFonts w:hint="eastAsia"/>
          <w:color w:val="auto"/>
          <w:sz w:val="24"/>
          <w:lang w:eastAsia="zh-CN"/>
        </w:rPr>
        <w:t>项目名称：省道307博爱段非现场执法设备项目（四次）</w:t>
      </w:r>
    </w:p>
    <w:p>
      <w:pPr>
        <w:pStyle w:val="21"/>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预算金额：</w:t>
      </w:r>
      <w:r>
        <w:rPr>
          <w:rFonts w:hint="eastAsia" w:ascii="宋体" w:hAnsi="宋体" w:cs="宋体"/>
          <w:color w:val="auto"/>
          <w:kern w:val="0"/>
          <w:sz w:val="24"/>
          <w:lang w:eastAsia="zh-CN"/>
        </w:rPr>
        <w:t>2650000</w:t>
      </w:r>
      <w:r>
        <w:rPr>
          <w:rFonts w:hint="eastAsia" w:ascii="宋体" w:hAnsi="宋体" w:cs="宋体"/>
          <w:color w:val="auto"/>
          <w:kern w:val="0"/>
          <w:sz w:val="24"/>
        </w:rPr>
        <w:t>元</w:t>
      </w:r>
    </w:p>
    <w:p>
      <w:pPr>
        <w:widowControl/>
        <w:spacing w:line="440" w:lineRule="exact"/>
        <w:ind w:firstLine="480" w:firstLineChars="200"/>
        <w:jc w:val="left"/>
        <w:rPr>
          <w:rFonts w:asciiTheme="minorEastAsia" w:hAnsiTheme="minorEastAsia" w:cstheme="minorEastAsia"/>
          <w:color w:val="auto"/>
          <w:kern w:val="0"/>
          <w:sz w:val="24"/>
        </w:rPr>
      </w:pPr>
      <w:r>
        <w:rPr>
          <w:rFonts w:hint="eastAsia" w:ascii="宋体" w:hAnsi="宋体" w:cs="宋体"/>
          <w:color w:val="auto"/>
          <w:kern w:val="0"/>
          <w:sz w:val="24"/>
        </w:rPr>
        <w:t>采购内容：采购治超设备</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包括：</w:t>
      </w:r>
      <w:r>
        <w:rPr>
          <w:rFonts w:hint="eastAsia" w:ascii="宋体" w:hAnsi="宋体" w:cs="宋体"/>
          <w:color w:val="auto"/>
          <w:kern w:val="0"/>
          <w:sz w:val="24"/>
        </w:rPr>
        <w:t>监控中心系统、高速动态称重系统、卡口车牌识别系统、可变情报板、标志牌、线缆及网络设备、移动执法、后台数据处理系统（详见招标文件）。</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供货及安装期：</w:t>
      </w:r>
      <w:r>
        <w:rPr>
          <w:rFonts w:hint="eastAsia" w:ascii="宋体" w:hAnsi="宋体" w:cs="宋体"/>
          <w:color w:val="auto"/>
          <w:kern w:val="0"/>
          <w:sz w:val="24"/>
          <w:lang w:val="en-US" w:eastAsia="zh-CN"/>
        </w:rPr>
        <w:t>30</w:t>
      </w:r>
      <w:r>
        <w:rPr>
          <w:rFonts w:hint="eastAsia" w:ascii="宋体" w:hAnsi="宋体" w:cs="宋体"/>
          <w:color w:val="auto"/>
          <w:kern w:val="0"/>
          <w:sz w:val="24"/>
        </w:rPr>
        <w:t>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15"/>
        <w:shd w:val="clear" w:color="auto" w:fill="FFFFFF"/>
        <w:autoSpaceDE w:val="0"/>
        <w:spacing w:before="0" w:beforeAutospacing="0" w:after="0" w:afterAutospacing="0" w:line="440" w:lineRule="atLeast"/>
        <w:ind w:firstLine="480" w:firstLineChars="200"/>
        <w:rPr>
          <w:color w:val="auto"/>
        </w:rPr>
      </w:pPr>
      <w:r>
        <w:rPr>
          <w:rFonts w:hint="eastAsia"/>
          <w:color w:val="auto"/>
        </w:rPr>
        <w:t>1.时间：2021年</w:t>
      </w:r>
      <w:r>
        <w:rPr>
          <w:rFonts w:hint="eastAsia"/>
          <w:color w:val="auto"/>
          <w:lang w:val="en-US" w:eastAsia="zh-CN"/>
        </w:rPr>
        <w:t>12</w:t>
      </w:r>
      <w:r>
        <w:rPr>
          <w:rFonts w:hint="eastAsia"/>
          <w:color w:val="auto"/>
        </w:rPr>
        <w:t>月</w:t>
      </w:r>
      <w:r>
        <w:rPr>
          <w:rFonts w:hint="eastAsia"/>
          <w:color w:val="auto"/>
          <w:lang w:val="en-US" w:eastAsia="zh-CN"/>
        </w:rPr>
        <w:t>10</w:t>
      </w:r>
      <w:r>
        <w:rPr>
          <w:rFonts w:hint="eastAsia"/>
          <w:color w:val="auto"/>
        </w:rPr>
        <w:t>日至2021年</w:t>
      </w:r>
      <w:r>
        <w:rPr>
          <w:rFonts w:hint="eastAsia"/>
          <w:color w:val="auto"/>
          <w:lang w:val="en-US" w:eastAsia="zh-CN"/>
        </w:rPr>
        <w:t>12</w:t>
      </w:r>
      <w:r>
        <w:rPr>
          <w:rFonts w:hint="eastAsia"/>
          <w:color w:val="auto"/>
        </w:rPr>
        <w:t>月</w:t>
      </w:r>
      <w:r>
        <w:rPr>
          <w:rFonts w:hint="eastAsia"/>
          <w:color w:val="auto"/>
          <w:lang w:val="en-US" w:eastAsia="zh-CN"/>
        </w:rPr>
        <w:t>16</w:t>
      </w:r>
      <w:r>
        <w:rPr>
          <w:rFonts w:hint="eastAsia"/>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15"/>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r>
        <w:rPr>
          <w:rFonts w:hint="eastAsia" w:ascii="宋体" w:hAnsi="宋体" w:cs="宋体"/>
          <w:color w:val="auto"/>
          <w:kern w:val="0"/>
          <w:sz w:val="24"/>
          <w:lang w:val="en-US" w:eastAsia="zh-CN"/>
        </w:rPr>
        <w:t>8</w:t>
      </w:r>
      <w:r>
        <w:rPr>
          <w:rFonts w:hint="eastAsia" w:ascii="宋体" w:hAnsi="宋体" w:cs="宋体"/>
          <w:color w:val="auto"/>
          <w:kern w:val="0"/>
          <w:sz w:val="24"/>
        </w:rPr>
        <w:t>点</w:t>
      </w:r>
      <w:r>
        <w:rPr>
          <w:rFonts w:hint="eastAsia" w:ascii="宋体" w:hAnsi="宋体" w:cs="宋体"/>
          <w:color w:val="auto"/>
          <w:kern w:val="0"/>
          <w:sz w:val="24"/>
          <w:lang w:val="en-US" w:eastAsia="zh-CN"/>
        </w:rPr>
        <w:t>30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r>
        <w:rPr>
          <w:rFonts w:hint="eastAsia" w:ascii="宋体" w:hAnsi="宋体" w:cs="宋体"/>
          <w:color w:val="auto"/>
          <w:kern w:val="0"/>
          <w:sz w:val="24"/>
          <w:lang w:val="en-US" w:eastAsia="zh-CN"/>
        </w:rPr>
        <w:t>8</w:t>
      </w:r>
      <w:r>
        <w:rPr>
          <w:rFonts w:hint="eastAsia" w:ascii="宋体" w:hAnsi="宋体" w:cs="宋体"/>
          <w:color w:val="auto"/>
          <w:kern w:val="0"/>
          <w:sz w:val="24"/>
        </w:rPr>
        <w:t>点</w:t>
      </w:r>
      <w:r>
        <w:rPr>
          <w:rFonts w:hint="eastAsia" w:ascii="宋体" w:hAnsi="宋体" w:cs="宋体"/>
          <w:color w:val="auto"/>
          <w:kern w:val="0"/>
          <w:sz w:val="24"/>
          <w:lang w:val="en-US" w:eastAsia="zh-CN"/>
        </w:rPr>
        <w:t>30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15"/>
        <w:numPr>
          <w:ilvl w:val="0"/>
          <w:numId w:val="2"/>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15"/>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shd w:val="clear" w:color="auto" w:fill="FFFFFF"/>
        </w:rPr>
        <w:t>1.本次本公告在《河南省政府采购网》、《焦作市政府采购网》、《焦作市公共资源交易中心网》、《博爱县人民政府网》、《博爱县公共资源交易中心网》上发布</w:t>
      </w:r>
      <w:r>
        <w:rPr>
          <w:rFonts w:hint="eastAsia"/>
          <w:color w:val="auto"/>
          <w:shd w:val="clear" w:color="auto" w:fill="FFFFFF"/>
          <w:lang w:eastAsia="zh-CN"/>
        </w:rPr>
        <w:t>。</w:t>
      </w:r>
    </w:p>
    <w:p>
      <w:pPr>
        <w:pStyle w:val="15"/>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5"/>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5"/>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博爱县交通运输局</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bCs/>
          <w:color w:val="auto"/>
          <w:sz w:val="24"/>
          <w:lang w:eastAsia="zh-CN"/>
        </w:rPr>
        <w:t>博爱县交通运输局</w:t>
      </w:r>
      <w:r>
        <w:rPr>
          <w:rFonts w:hint="eastAsia" w:ascii="宋体" w:hAnsi="宋体" w:cs="宋体"/>
          <w:bCs/>
          <w:color w:val="auto"/>
          <w:sz w:val="24"/>
        </w:rPr>
        <w:t>院内</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电话：</w:t>
      </w:r>
      <w:r>
        <w:rPr>
          <w:rFonts w:hint="eastAsia" w:ascii="宋体" w:hAnsi="宋体" w:cs="宋体"/>
          <w:bCs/>
          <w:color w:val="auto"/>
          <w:sz w:val="24"/>
          <w:lang w:eastAsia="zh-CN"/>
        </w:rPr>
        <w:t>13939128885</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bCs/>
          <w:color w:val="auto"/>
          <w:sz w:val="24"/>
          <w:lang w:eastAsia="zh-CN"/>
        </w:rPr>
        <w:t>张先生</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bCs/>
          <w:color w:val="auto"/>
          <w:sz w:val="24"/>
          <w:lang w:eastAsia="zh-CN"/>
        </w:rPr>
        <w:t>13939128885</w:t>
      </w:r>
    </w:p>
    <w:p>
      <w:pPr>
        <w:pStyle w:val="9"/>
        <w:rPr>
          <w:color w:val="auto"/>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博爱县交通运输局</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发布时间：2021年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w:t>
      </w:r>
    </w:p>
    <w:p>
      <w:pPr>
        <w:rPr>
          <w:rFonts w:asciiTheme="minorEastAsia" w:hAnsiTheme="minorEastAsia" w:eastAsiaTheme="minorEastAsia" w:cstheme="minorEastAsia"/>
          <w:b/>
          <w:sz w:val="32"/>
          <w:szCs w:val="32"/>
        </w:rPr>
      </w:pPr>
    </w:p>
    <w:p>
      <w:pPr>
        <w:pStyle w:val="3"/>
        <w:rPr>
          <w:rFonts w:asciiTheme="minorEastAsia" w:hAnsiTheme="minorEastAsia" w:eastAsiaTheme="minorEastAsia" w:cstheme="minorEastAsia"/>
          <w:b/>
          <w:sz w:val="32"/>
          <w:szCs w:val="32"/>
        </w:rPr>
      </w:pPr>
    </w:p>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16"/>
        <w:spacing w:before="0" w:after="0" w:line="360" w:lineRule="auto"/>
        <w:ind w:right="-23" w:rightChars="-11"/>
        <w:rPr>
          <w:rFonts w:asciiTheme="minorEastAsia" w:hAnsiTheme="minorEastAsia" w:eastAsiaTheme="minorEastAsia" w:cstheme="minorEastAsia"/>
          <w:sz w:val="30"/>
          <w:szCs w:val="30"/>
        </w:rPr>
      </w:pPr>
      <w:bookmarkStart w:id="3" w:name="_Toc32497"/>
      <w:bookmarkStart w:id="4" w:name="_Toc426369478"/>
      <w:bookmarkStart w:id="5" w:name="_Toc403122490"/>
      <w:bookmarkStart w:id="6" w:name="_Toc9161"/>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博爱县交通运输局</w:t>
            </w:r>
          </w:p>
          <w:p>
            <w:pPr>
              <w:pStyle w:val="1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hAnsi="宋体" w:cs="宋体" w:eastAsiaTheme="minorEastAsia"/>
                <w:bCs/>
                <w:lang w:eastAsia="zh-CN"/>
              </w:rPr>
              <w:t>张先生</w:t>
            </w:r>
          </w:p>
          <w:p>
            <w:pPr>
              <w:pStyle w:val="1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电话：</w:t>
            </w:r>
            <w:r>
              <w:rPr>
                <w:rFonts w:hint="eastAsia" w:hAnsi="宋体" w:cs="宋体" w:eastAsiaTheme="minorEastAsia"/>
                <w:bCs/>
                <w:lang w:eastAsia="zh-CN"/>
              </w:rPr>
              <w:t>13939128885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11"/>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省道307博爱段非现场执法设备采购项目（四次）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11"/>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财政资金</w:t>
            </w:r>
            <w:r>
              <w:rPr>
                <w:rFonts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11"/>
              <w:spacing w:line="360" w:lineRule="exact"/>
              <w:rPr>
                <w:rFonts w:hint="eastAsia" w:eastAsia="宋体" w:asciiTheme="minorEastAsia" w:hAnsiTheme="minorEastAsia" w:cstheme="minorEastAsia"/>
                <w:lang w:eastAsia="zh-CN"/>
              </w:rPr>
            </w:pPr>
            <w:r>
              <w:rPr>
                <w:rFonts w:hint="eastAsia" w:asciiTheme="minorEastAsia" w:hAnsiTheme="minorEastAsia" w:eastAsiaTheme="minorEastAsia" w:cstheme="minorEastAsia"/>
              </w:rPr>
              <w:t>采购治超设备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包括：</w:t>
            </w:r>
            <w:r>
              <w:rPr>
                <w:rFonts w:hint="eastAsia" w:asciiTheme="minorEastAsia" w:hAnsiTheme="minorEastAsia" w:eastAsiaTheme="minorEastAsia" w:cstheme="minorEastAsia"/>
              </w:rPr>
              <w:t>监控中心系统、高速动态称重系统、卡口车牌识别系统、可变情报板、标志牌、线缆及网络设备、移动执法、后台数据处理系统</w:t>
            </w:r>
            <w:r>
              <w:rPr>
                <w:rFonts w:hint="eastAsia" w:asciiTheme="minorEastAsia" w:hAnsiTheme="minorEastAsia" w:eastAsiaTheme="minorEastAsia" w:cs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1"/>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1"/>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11"/>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不允许</w:t>
            </w:r>
            <w:r>
              <w:rPr>
                <w:rFonts w:hint="eastAsia" w:asciiTheme="minorEastAsia" w:hAnsiTheme="minorEastAsia" w:eastAsiaTheme="minorEastAsia" w:cstheme="minorEastAsia"/>
                <w:szCs w:val="21"/>
                <w:lang w:eastAsia="zh-CN"/>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1"/>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color w:val="auto"/>
                <w:kern w:val="0"/>
                <w:sz w:val="21"/>
                <w:szCs w:val="21"/>
              </w:rPr>
              <w:t>2021年</w:t>
            </w:r>
            <w:r>
              <w:rPr>
                <w:rFonts w:hint="eastAsia" w:ascii="宋体" w:hAnsi="宋体" w:cs="宋体"/>
                <w:color w:val="auto"/>
                <w:kern w:val="0"/>
                <w:sz w:val="21"/>
                <w:szCs w:val="21"/>
                <w:lang w:val="en-US" w:eastAsia="zh-CN"/>
              </w:rPr>
              <w:t>12</w:t>
            </w:r>
            <w:r>
              <w:rPr>
                <w:rFonts w:hint="eastAsia" w:ascii="宋体" w:hAnsi="宋体" w:cs="宋体"/>
                <w:color w:val="auto"/>
                <w:kern w:val="0"/>
                <w:sz w:val="21"/>
                <w:szCs w:val="21"/>
              </w:rPr>
              <w:t>月</w:t>
            </w: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日</w:t>
            </w: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点</w:t>
            </w:r>
            <w:r>
              <w:rPr>
                <w:rFonts w:hint="eastAsia" w:ascii="宋体" w:hAnsi="宋体" w:cs="宋体"/>
                <w:color w:val="auto"/>
                <w:kern w:val="0"/>
                <w:sz w:val="21"/>
                <w:szCs w:val="21"/>
                <w:lang w:val="en-US" w:eastAsia="zh-CN"/>
              </w:rPr>
              <w:t xml:space="preserve">30 </w:t>
            </w:r>
            <w:r>
              <w:rPr>
                <w:rFonts w:hint="eastAsia" w:ascii="宋体" w:hAnsi="宋体" w:cs="宋体"/>
                <w:color w:val="auto"/>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1"/>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11"/>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1"/>
              <w:spacing w:line="360" w:lineRule="exact"/>
              <w:rPr>
                <w:rFonts w:hint="default" w:asciiTheme="minorEastAsia" w:hAnsiTheme="minorEastAsia" w:cstheme="minorEastAsia"/>
              </w:rPr>
            </w:pPr>
            <w: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1"/>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11"/>
              <w:spacing w:line="400" w:lineRule="exact"/>
              <w:rPr>
                <w:rFonts w:hint="default" w:hAnsi="宋体"/>
              </w:rPr>
            </w:pPr>
            <w:r>
              <w:rPr>
                <w:rFonts w:hAnsi="宋体"/>
              </w:rPr>
              <w:t>（1）电子投标文件的递交</w:t>
            </w:r>
          </w:p>
          <w:p>
            <w:pPr>
              <w:pStyle w:val="11"/>
              <w:spacing w:line="400" w:lineRule="exact"/>
              <w:rPr>
                <w:rFonts w:hint="default" w:hAnsi="宋体"/>
              </w:rPr>
            </w:pPr>
            <w:r>
              <w:rPr>
                <w:rFonts w:hAnsi="宋体"/>
              </w:rPr>
              <w:t>a、各投标人应在投标截止时间前上传加密的电子投标文件</w:t>
            </w:r>
          </w:p>
          <w:p>
            <w:pPr>
              <w:pStyle w:val="11"/>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11"/>
              <w:spacing w:line="400" w:lineRule="exact"/>
              <w:rPr>
                <w:rFonts w:hint="default" w:hAnsi="宋体"/>
              </w:rPr>
            </w:pPr>
            <w:r>
              <w:rPr>
                <w:rFonts w:hAnsi="宋体"/>
              </w:rPr>
              <w:t>b、如系统故故障需上传非加密文件时，投标人应按照招标人指示将非加密文件递交给招标人。</w:t>
            </w:r>
          </w:p>
          <w:p>
            <w:pPr>
              <w:pStyle w:val="11"/>
              <w:spacing w:line="360" w:lineRule="exact"/>
              <w:rPr>
                <w:rFonts w:hint="default"/>
                <w:color w:val="0000FF"/>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eastAsia="zh-CN"/>
              </w:rPr>
              <w:t>2650000</w:t>
            </w:r>
            <w:r>
              <w:rPr>
                <w:rFonts w:hint="eastAsia" w:asciiTheme="minorEastAsia" w:hAnsiTheme="minorEastAsia" w:eastAsiaTheme="minorEastAsia" w:cstheme="minorEastAsia"/>
                <w:szCs w:val="21"/>
              </w:rPr>
              <w:t>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kern w:val="0"/>
                <w:szCs w:val="21"/>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pStyle w:val="22"/>
              <w:snapToGrid w:val="0"/>
              <w:spacing w:line="560" w:lineRule="exact"/>
              <w:rPr>
                <w:rFonts w:hint="default" w:asciiTheme="minorEastAsia" w:hAnsiTheme="minorEastAsia" w:cstheme="minorEastAsia"/>
                <w:b/>
                <w:bCs/>
                <w:color w:val="FF0000"/>
                <w:szCs w:val="21"/>
              </w:rPr>
            </w:pPr>
            <w:r>
              <w:rPr>
                <w:rFonts w:hint="eastAsia" w:hAnsi="宋体" w:cs="宋体"/>
                <w:bCs/>
                <w:color w:val="000000" w:themeColor="text1"/>
                <w:kern w:val="2"/>
                <w:sz w:val="21"/>
                <w14:textFill>
                  <w14:solidFill>
                    <w14:schemeClr w14:val="tx1"/>
                  </w14:solidFill>
                </w14:textFill>
              </w:rPr>
              <w:t>设备安装完毕经第三方检测机构（第三方检测机构费用由中标人支付）检测合格后第一年付至合同价款的40%，第二年付至合同价款的30%，第三年无质量问题一次性无息付清合同价款剩余的30%。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rPr>
              <w:t>1、招标</w:t>
            </w:r>
            <w:r>
              <w:rPr>
                <w:rFonts w:hint="eastAsia" w:asciiTheme="minorEastAsia" w:hAnsiTheme="minorEastAsia" w:eastAsiaTheme="minorEastAsia" w:cstheme="minorEastAsia"/>
                <w:szCs w:val="21"/>
              </w:rPr>
              <w:t>代理服务费参照（国家计委（计价格[2002]1980号）文件、国家发改委（发改办价格[2003]857号）文件及国家发改委（发改价格[2011]534号）文件）的收费标准，向中标人收取</w:t>
            </w:r>
            <w:r>
              <w:rPr>
                <w:rFonts w:hint="eastAsia"/>
              </w:rPr>
              <w:t>。</w:t>
            </w:r>
          </w:p>
          <w:p>
            <w:pPr>
              <w:pStyle w:val="23"/>
            </w:pPr>
            <w:r>
              <w:rPr>
                <w:rFonts w:hint="eastAsia" w:asciiTheme="minorEastAsia" w:hAnsiTheme="minorEastAsia" w:eastAsiaTheme="minorEastAsia" w:cstheme="minorEastAsia"/>
              </w:rPr>
              <w:t>2、</w:t>
            </w:r>
            <w:r>
              <w:rPr>
                <w:rFonts w:asciiTheme="minorEastAsia" w:hAnsiTheme="minorEastAsia" w:eastAsiaTheme="minorEastAsia" w:cstheme="minorEastAsia"/>
              </w:rPr>
              <w:t>中标人在</w:t>
            </w:r>
            <w:r>
              <w:rPr>
                <w:rFonts w:hint="eastAsia" w:asciiTheme="minorEastAsia" w:hAnsiTheme="minorEastAsia" w:eastAsiaTheme="minorEastAsia" w:cstheme="minorEastAsia"/>
              </w:rPr>
              <w:t>领取中标通知书时，将</w:t>
            </w:r>
            <w:r>
              <w:rPr>
                <w:rFonts w:asciiTheme="minorEastAsia" w:hAnsiTheme="minorEastAsia" w:eastAsiaTheme="minorEastAsia" w:cstheme="minorEastAsia"/>
              </w:rPr>
              <w:t>投标文件纸质版</w:t>
            </w:r>
            <w:r>
              <w:rPr>
                <w:rFonts w:hint="eastAsia" w:asciiTheme="minorEastAsia" w:hAnsiTheme="minorEastAsia" w:eastAsiaTheme="minorEastAsia" w:cstheme="minorEastAsia"/>
              </w:rPr>
              <w:t>打印</w:t>
            </w:r>
            <w:r>
              <w:rPr>
                <w:rFonts w:asciiTheme="minorEastAsia" w:hAnsiTheme="minorEastAsia" w:eastAsiaTheme="minorEastAsia" w:cstheme="minorEastAsia"/>
              </w:rPr>
              <w:t>装订</w:t>
            </w:r>
            <w:r>
              <w:rPr>
                <w:rFonts w:hint="eastAsia" w:asciiTheme="minorEastAsia" w:hAnsiTheme="minorEastAsia" w:eastAsiaTheme="minorEastAsia" w:cstheme="minorEastAsia"/>
              </w:rPr>
              <w:t>（</w:t>
            </w:r>
            <w:r>
              <w:rPr>
                <w:rFonts w:asciiTheme="minorEastAsia" w:hAnsiTheme="minorEastAsia" w:eastAsiaTheme="minorEastAsia" w:cstheme="minorEastAsia"/>
              </w:rPr>
              <w:t>投标文件正本</w:t>
            </w:r>
            <w:r>
              <w:rPr>
                <w:rFonts w:hint="eastAsia" w:asciiTheme="minorEastAsia" w:hAnsiTheme="minorEastAsia" w:eastAsiaTheme="minorEastAsia" w:cstheme="minorEastAsia"/>
              </w:rPr>
              <w:t>壹份和</w:t>
            </w:r>
            <w:r>
              <w:rPr>
                <w:rFonts w:asciiTheme="minorEastAsia" w:hAnsiTheme="minorEastAsia" w:eastAsiaTheme="minorEastAsia" w:cstheme="minorEastAsia"/>
              </w:rPr>
              <w:t>副本</w:t>
            </w:r>
            <w:r>
              <w:rPr>
                <w:rFonts w:hint="eastAsia" w:asciiTheme="minorEastAsia" w:hAnsiTheme="minorEastAsia" w:eastAsiaTheme="minorEastAsia" w:cstheme="minorEastAsia"/>
              </w:rPr>
              <w:t>肆份，</w:t>
            </w:r>
            <w:r>
              <w:rPr>
                <w:rFonts w:asciiTheme="minorEastAsia" w:hAnsiTheme="minorEastAsia" w:eastAsiaTheme="minorEastAsia" w:cstheme="minorEastAsia"/>
              </w:rPr>
              <w:t>每册应采用左侧粘贴方式</w:t>
            </w:r>
            <w:r>
              <w:rPr>
                <w:rFonts w:hint="eastAsia" w:asciiTheme="minorEastAsia" w:hAnsiTheme="minorEastAsia" w:eastAsiaTheme="minorEastAsia" w:cstheme="minorEastAsia"/>
              </w:rPr>
              <w:t>，</w:t>
            </w:r>
            <w:r>
              <w:rPr>
                <w:rFonts w:asciiTheme="minorEastAsia" w:hAnsiTheme="minorEastAsia" w:eastAsiaTheme="minorEastAsia" w:cstheme="minorEastAsia"/>
              </w:rPr>
              <w:t>不得采用活页装订</w:t>
            </w:r>
            <w:r>
              <w:rPr>
                <w:rFonts w:hint="eastAsia" w:asciiTheme="minorEastAsia" w:hAnsiTheme="minorEastAsia" w:eastAsiaTheme="minorEastAsia" w:cstheme="minorEastAsia"/>
              </w:rPr>
              <w:t>）递交采购人</w:t>
            </w:r>
            <w:r>
              <w:rPr>
                <w:rFonts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5、相关资格证明文件不合格的；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6、未按要求提供相关证件的；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7、未按要求在报价明细表中标明品牌、型号及技术参数的。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8、附有采购人不能接受的条件的；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9、评标过程中，如有投标人存在“投标文件制作机器码一致”，则视其投标无效，并按照相关规定进行处理。</w:t>
            </w:r>
          </w:p>
          <w:p>
            <w:pPr>
              <w:pStyle w:val="5"/>
              <w:ind w:left="0" w:leftChars="0" w:firstLine="0" w:firstLineChars="0"/>
            </w:pPr>
            <w:r>
              <w:rPr>
                <w:rFonts w:hint="eastAsia" w:asciiTheme="minorEastAsia" w:hAnsiTheme="minorEastAsia" w:eastAsiaTheme="minorEastAsia" w:cstheme="minorEastAsia"/>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26369479"/>
      <w:bookmarkStart w:id="8" w:name="_Toc23576"/>
      <w:bookmarkStart w:id="9" w:name="_Toc403122491"/>
      <w:bookmarkStart w:id="10" w:name="_Toc9048"/>
      <w:bookmarkStart w:id="11" w:name="_Toc403122503"/>
      <w:bookmarkStart w:id="12" w:name="_Toc426369491"/>
      <w:bookmarkStart w:id="13" w:name="_Toc26894"/>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403122492"/>
      <w:bookmarkStart w:id="15" w:name="_Toc274249575"/>
      <w:bookmarkStart w:id="16" w:name="_Toc426369480"/>
      <w:bookmarkStart w:id="17" w:name="_Toc279599771"/>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03122493"/>
      <w:bookmarkStart w:id="19" w:name="_Toc426369481"/>
      <w:bookmarkStart w:id="20" w:name="_Toc279599772"/>
      <w:bookmarkStart w:id="21" w:name="_Toc274249576"/>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4"/>
      <w:bookmarkStart w:id="23" w:name="_Toc274249577"/>
      <w:bookmarkStart w:id="24" w:name="_Toc426369482"/>
      <w:bookmarkStart w:id="25" w:name="_Toc279599773"/>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9599774"/>
      <w:bookmarkStart w:id="27" w:name="_Toc403122495"/>
      <w:bookmarkStart w:id="28" w:name="_Toc426369483"/>
      <w:bookmarkStart w:id="29" w:name="_Toc274249578"/>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274249579"/>
      <w:bookmarkStart w:id="32"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403122498"/>
      <w:bookmarkStart w:id="37" w:name="_Toc426369486"/>
      <w:bookmarkStart w:id="38" w:name="_Toc279599777"/>
      <w:bookmarkStart w:id="39" w:name="_Toc274249581"/>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4249583"/>
      <w:bookmarkStart w:id="43" w:name="_Toc426369488"/>
      <w:bookmarkStart w:id="44" w:name="_Toc403122500"/>
      <w:bookmarkStart w:id="45" w:name="_Toc279599779"/>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26369489"/>
      <w:bookmarkStart w:id="47" w:name="_Toc274249584"/>
      <w:bookmarkStart w:id="48" w:name="_Toc279599780"/>
      <w:bookmarkStart w:id="49" w:name="_Toc403122501"/>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9599781"/>
      <w:bookmarkStart w:id="51" w:name="_Toc426369490"/>
      <w:bookmarkStart w:id="52" w:name="_Toc403122502"/>
      <w:bookmarkStart w:id="53" w:name="_Toc274249585"/>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279599783"/>
      <w:bookmarkStart w:id="57" w:name="_Toc403122504"/>
      <w:bookmarkStart w:id="58" w:name="_Toc274249587"/>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279599784"/>
      <w:bookmarkStart w:id="60" w:name="_Toc403122505"/>
      <w:bookmarkStart w:id="61" w:name="_Toc274249588"/>
      <w:bookmarkStart w:id="62" w:name="_Toc426369493"/>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26369494"/>
      <w:bookmarkStart w:id="64" w:name="_Toc274249589"/>
      <w:bookmarkStart w:id="65" w:name="_Toc279599785"/>
      <w:bookmarkStart w:id="66" w:name="_Toc403122506"/>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26369495"/>
      <w:bookmarkStart w:id="68" w:name="_Toc403122507"/>
      <w:bookmarkStart w:id="69" w:name="_Toc23265"/>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274249591"/>
      <w:bookmarkStart w:id="72" w:name="_Toc279599787"/>
      <w:bookmarkStart w:id="73" w:name="_Toc403122508"/>
      <w:bookmarkStart w:id="74" w:name="_Toc426369496"/>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03122509"/>
      <w:bookmarkStart w:id="76" w:name="_Toc426369497"/>
      <w:bookmarkStart w:id="77" w:name="_Toc279599788"/>
      <w:bookmarkStart w:id="78" w:name="_Toc274249592"/>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2"/>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403122510"/>
      <w:bookmarkStart w:id="80" w:name="_Toc279599789"/>
      <w:bookmarkStart w:id="81" w:name="_Toc426369498"/>
      <w:bookmarkStart w:id="82" w:name="_Toc274249593"/>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279599791"/>
      <w:bookmarkStart w:id="85" w:name="_Toc274249595"/>
      <w:bookmarkStart w:id="86" w:name="_Toc403122512"/>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403122513"/>
      <w:bookmarkStart w:id="88" w:name="_Toc279599792"/>
      <w:bookmarkStart w:id="89" w:name="_Toc426369502"/>
      <w:bookmarkStart w:id="90" w:name="_Toc274249596"/>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26369503"/>
      <w:bookmarkStart w:id="92" w:name="_Toc279599793"/>
      <w:bookmarkStart w:id="93" w:name="_Toc403122514"/>
      <w:bookmarkStart w:id="94" w:name="_Toc274249597"/>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26998"/>
      <w:bookmarkStart w:id="96" w:name="_Toc403122515"/>
      <w:bookmarkStart w:id="97" w:name="_Toc426369504"/>
      <w:bookmarkStart w:id="98" w:name="_Toc30100"/>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279599795"/>
      <w:bookmarkStart w:id="100" w:name="_Toc403122516"/>
      <w:bookmarkStart w:id="101" w:name="_Toc274249599"/>
      <w:bookmarkStart w:id="102" w:name="_Toc426369505"/>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274249600"/>
      <w:bookmarkStart w:id="104" w:name="_Toc403122517"/>
      <w:bookmarkStart w:id="105" w:name="_Toc426369506"/>
      <w:bookmarkStart w:id="106" w:name="_Toc279599796"/>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279599797"/>
      <w:bookmarkStart w:id="110" w:name="_Toc426369507"/>
      <w:bookmarkStart w:id="111" w:name="_Toc403122518"/>
      <w:bookmarkStart w:id="112" w:name="_Toc274249601"/>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6"/>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426369508"/>
      <w:bookmarkStart w:id="114" w:name="_Toc403122519"/>
      <w:bookmarkStart w:id="115" w:name="_Toc32449"/>
      <w:bookmarkStart w:id="116" w:name="_Toc18170"/>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274249603"/>
      <w:bookmarkStart w:id="118" w:name="_Toc279599799"/>
      <w:bookmarkStart w:id="119" w:name="_Toc426369509"/>
      <w:bookmarkStart w:id="120" w:name="_Toc403122520"/>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403122521"/>
      <w:bookmarkStart w:id="122" w:name="_Toc279599800"/>
      <w:bookmarkStart w:id="123" w:name="_Toc274249604"/>
      <w:bookmarkStart w:id="124" w:name="_Toc426369510"/>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21662"/>
      <w:bookmarkStart w:id="127" w:name="_Toc403122522"/>
      <w:bookmarkStart w:id="128" w:name="_Toc426369512"/>
      <w:bookmarkStart w:id="129" w:name="_Toc12881"/>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25275"/>
      <w:bookmarkStart w:id="133" w:name="_Toc15919"/>
      <w:bookmarkStart w:id="134" w:name="_Toc18888"/>
      <w:bookmarkStart w:id="135" w:name="_Toc18806"/>
      <w:bookmarkStart w:id="136" w:name="_Toc22488"/>
      <w:bookmarkStart w:id="137" w:name="_Toc18803"/>
      <w:bookmarkStart w:id="138" w:name="_Toc2544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279599802"/>
      <w:bookmarkStart w:id="140" w:name="_Toc274249606"/>
      <w:bookmarkStart w:id="141" w:name="_Toc426369513"/>
      <w:bookmarkStart w:id="142" w:name="_Toc403122523"/>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03122524"/>
      <w:bookmarkStart w:id="144" w:name="_Toc426369514"/>
      <w:bookmarkStart w:id="145" w:name="_Toc274249607"/>
      <w:bookmarkStart w:id="146" w:name="_Toc279599803"/>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03122525"/>
      <w:bookmarkStart w:id="148" w:name="_Toc426369515"/>
      <w:bookmarkStart w:id="149" w:name="_Toc279599804"/>
      <w:bookmarkStart w:id="150" w:name="_Toc274249608"/>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6"/>
        <w:spacing w:before="120" w:after="120" w:line="500" w:lineRule="exact"/>
        <w:ind w:right="-1029" w:rightChars="-490" w:firstLine="482" w:firstLineChars="200"/>
        <w:jc w:val="both"/>
      </w:pPr>
      <w:bookmarkStart w:id="151" w:name="_Toc17811"/>
      <w:bookmarkStart w:id="152" w:name="_Toc426369516"/>
      <w:bookmarkStart w:id="153" w:name="_Toc403122526"/>
      <w:bookmarkStart w:id="154" w:name="_Toc26569"/>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426369517"/>
      <w:bookmarkStart w:id="156" w:name="_Toc274249610"/>
      <w:bookmarkStart w:id="157" w:name="_Toc403122527"/>
      <w:bookmarkStart w:id="158" w:name="_Toc279599806"/>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279599807"/>
      <w:bookmarkStart w:id="160" w:name="_Toc403122528"/>
      <w:bookmarkStart w:id="161" w:name="_Toc274249611"/>
      <w:bookmarkStart w:id="162" w:name="_Toc426369518"/>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rPr>
      </w:pPr>
      <w:bookmarkStart w:id="163" w:name="_Toc279599808"/>
      <w:bookmarkStart w:id="164" w:name="_Toc311550376"/>
      <w:bookmarkStart w:id="165" w:name="_Toc274249612"/>
      <w:bookmarkStart w:id="166" w:name="_Toc403122529"/>
      <w:bookmarkStart w:id="167" w:name="_Toc426369519"/>
      <w:r>
        <w:rPr>
          <w:rFonts w:hint="eastAsia" w:asciiTheme="minorEastAsia" w:hAnsiTheme="minorEastAsia" w:eastAsiaTheme="minorEastAsia" w:cstheme="minorEastAsia"/>
          <w:b/>
          <w:bCs/>
          <w:color w:val="auto"/>
          <w:sz w:val="24"/>
        </w:rPr>
        <w:t>7.3履约</w:t>
      </w:r>
      <w:bookmarkEnd w:id="163"/>
      <w:bookmarkEnd w:id="164"/>
      <w:bookmarkEnd w:id="165"/>
      <w:r>
        <w:rPr>
          <w:rFonts w:hint="eastAsia" w:asciiTheme="minorEastAsia" w:hAnsiTheme="minorEastAsia" w:eastAsiaTheme="minorEastAsia" w:cstheme="minorEastAsia"/>
          <w:b/>
          <w:bCs/>
          <w:color w:val="auto"/>
          <w:sz w:val="24"/>
        </w:rPr>
        <w:t>保证金</w:t>
      </w:r>
      <w:bookmarkEnd w:id="166"/>
      <w:bookmarkEnd w:id="167"/>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7.3.1</w:t>
      </w:r>
      <w:r>
        <w:rPr>
          <w:rFonts w:hint="eastAsia" w:asciiTheme="minorEastAsia" w:hAnsiTheme="minorEastAsia" w:eastAsiaTheme="minorEastAsia" w:cstheme="minorEastAsia"/>
          <w:szCs w:val="21"/>
        </w:rPr>
        <w:t>履约保证金</w:t>
      </w:r>
      <w:r>
        <w:rPr>
          <w:rFonts w:hint="eastAsia" w:asciiTheme="minorEastAsia" w:hAnsiTheme="minorEastAsia" w:eastAsiaTheme="minorEastAsia" w:cstheme="minorEastAsia"/>
          <w:szCs w:val="21"/>
          <w:lang w:eastAsia="zh-CN"/>
        </w:rPr>
        <w:t>：无</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7.3.2</w:t>
      </w:r>
      <w:r>
        <w:rPr>
          <w:rFonts w:hint="eastAsia" w:asciiTheme="minorEastAsia" w:hAnsiTheme="minorEastAsia" w:eastAsiaTheme="minorEastAsia" w:cstheme="minorEastAsia"/>
          <w:szCs w:val="21"/>
        </w:rPr>
        <w:t>投标保证金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无</w:t>
      </w:r>
    </w:p>
    <w:p>
      <w:pPr>
        <w:spacing w:line="500" w:lineRule="exact"/>
        <w:ind w:firstLine="482" w:firstLineChars="200"/>
        <w:rPr>
          <w:rFonts w:asciiTheme="minorEastAsia" w:hAnsiTheme="minorEastAsia" w:eastAsiaTheme="minorEastAsia" w:cstheme="minorEastAsia"/>
          <w:b/>
          <w:bCs/>
          <w:color w:val="auto"/>
          <w:sz w:val="24"/>
        </w:rPr>
      </w:pPr>
      <w:bookmarkStart w:id="168" w:name="_Toc426369520"/>
      <w:bookmarkStart w:id="169" w:name="_Toc403122530"/>
      <w:bookmarkStart w:id="170" w:name="_Toc279599809"/>
      <w:bookmarkStart w:id="171" w:name="_Toc274249613"/>
      <w:r>
        <w:rPr>
          <w:rFonts w:hint="eastAsia" w:asciiTheme="minorEastAsia" w:hAnsiTheme="minorEastAsia" w:eastAsiaTheme="minorEastAsia" w:cstheme="minorEastAsia"/>
          <w:b/>
          <w:bCs/>
          <w:color w:val="auto"/>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03122531"/>
      <w:bookmarkStart w:id="173" w:name="_Toc426369521"/>
      <w:bookmarkStart w:id="174" w:name="_Toc10541"/>
      <w:bookmarkStart w:id="175" w:name="_Toc30009"/>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03122532"/>
      <w:bookmarkStart w:id="177" w:name="_Toc426369522"/>
      <w:bookmarkStart w:id="178" w:name="_Toc279599811"/>
      <w:bookmarkStart w:id="179" w:name="_Toc274249615"/>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10372"/>
      <w:bookmarkStart w:id="181" w:name="_Toc403122533"/>
      <w:bookmarkStart w:id="182" w:name="_Toc426369523"/>
      <w:bookmarkStart w:id="183" w:name="_Toc3760"/>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274249618"/>
      <w:bookmarkStart w:id="185" w:name="_Toc279599814"/>
      <w:bookmarkStart w:id="186" w:name="_Toc403122534"/>
      <w:bookmarkStart w:id="187" w:name="_Toc426369524"/>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26369525"/>
      <w:bookmarkStart w:id="189" w:name="_Toc274249619"/>
      <w:bookmarkStart w:id="190" w:name="_Toc279599815"/>
      <w:bookmarkStart w:id="191" w:name="_Toc40312253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26369526"/>
      <w:bookmarkStart w:id="193" w:name="_Toc403122536"/>
      <w:bookmarkStart w:id="194" w:name="_Toc274249620"/>
      <w:bookmarkStart w:id="195" w:name="_Toc27959981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4249621"/>
      <w:bookmarkStart w:id="197" w:name="_Toc426369527"/>
      <w:bookmarkStart w:id="198" w:name="_Toc279599817"/>
      <w:bookmarkStart w:id="199" w:name="_Toc403122537"/>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403122538"/>
      <w:bookmarkStart w:id="201" w:name="_Toc426369528"/>
      <w:bookmarkStart w:id="202" w:name="_Toc279599818"/>
      <w:bookmarkStart w:id="203" w:name="_Toc274249622"/>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403122539"/>
      <w:bookmarkStart w:id="205" w:name="_Toc13281"/>
      <w:bookmarkStart w:id="206" w:name="_Toc426369529"/>
      <w:bookmarkStart w:id="207" w:name="_Toc10880"/>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3"/>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6"/>
        <w:numPr>
          <w:ilvl w:val="0"/>
          <w:numId w:val="4"/>
        </w:numPr>
        <w:spacing w:line="600" w:lineRule="exact"/>
        <w:ind w:right="-63" w:rightChars="-30"/>
        <w:rPr>
          <w:rFonts w:asciiTheme="minorEastAsia" w:hAnsiTheme="minorEastAsia" w:eastAsiaTheme="minorEastAsia" w:cstheme="minorEastAsia"/>
          <w:sz w:val="36"/>
          <w:szCs w:val="36"/>
        </w:rPr>
      </w:pPr>
      <w:bookmarkStart w:id="208" w:name="_Toc426369530"/>
      <w:bookmarkStart w:id="209" w:name="_Toc28433"/>
      <w:bookmarkStart w:id="210" w:name="_Toc40312254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24"/>
        <w:spacing w:line="540" w:lineRule="exact"/>
        <w:jc w:val="center"/>
        <w:outlineLvl w:val="2"/>
        <w:rPr>
          <w:rFonts w:asciiTheme="minorEastAsia" w:hAnsiTheme="minorEastAsia" w:eastAsiaTheme="minorEastAsia" w:cstheme="minorEastAsia"/>
          <w:b/>
          <w:bCs/>
          <w:sz w:val="28"/>
          <w:szCs w:val="28"/>
        </w:rPr>
      </w:pPr>
      <w:bookmarkStart w:id="212" w:name="_Toc29947"/>
      <w:bookmarkStart w:id="213" w:name="_Toc17859"/>
      <w:bookmarkStart w:id="214" w:name="_Toc21885"/>
      <w:bookmarkStart w:id="215" w:name="_Toc30933"/>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17"/>
        <w:tblpPr w:leftFromText="180" w:rightFromText="180" w:vertAnchor="text" w:horzAnchor="page" w:tblpX="1395" w:tblpY="445"/>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39"/>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3569" w:type="dxa"/>
            <w:gridSpan w:val="2"/>
            <w:vAlign w:val="center"/>
          </w:tcPr>
          <w:p>
            <w:pPr>
              <w:spacing w:line="240" w:lineRule="exact"/>
              <w:jc w:val="center"/>
              <w:rPr>
                <w:rFonts w:ascii="宋体" w:hAnsi="宋体" w:cs="宋体"/>
                <w:b/>
                <w:sz w:val="18"/>
                <w:szCs w:val="18"/>
              </w:rPr>
            </w:pPr>
            <w:bookmarkStart w:id="218" w:name="_Toc471"/>
            <w:bookmarkStart w:id="219" w:name="_Toc26394"/>
            <w:bookmarkStart w:id="220" w:name="_Toc28874"/>
            <w:bookmarkStart w:id="221" w:name="_Toc13389"/>
            <w:r>
              <w:rPr>
                <w:rFonts w:hint="eastAsia" w:ascii="宋体" w:hAnsi="宋体" w:cs="宋体"/>
                <w:b/>
                <w:sz w:val="18"/>
                <w:szCs w:val="18"/>
              </w:rPr>
              <w:t>评审因素</w:t>
            </w:r>
          </w:p>
        </w:tc>
        <w:tc>
          <w:tcPr>
            <w:tcW w:w="6093" w:type="dxa"/>
            <w:vAlign w:val="center"/>
          </w:tcPr>
          <w:p>
            <w:pPr>
              <w:tabs>
                <w:tab w:val="left" w:pos="417"/>
                <w:tab w:val="center" w:pos="2999"/>
              </w:tabs>
              <w:spacing w:line="240" w:lineRule="exact"/>
              <w:jc w:val="left"/>
              <w:rPr>
                <w:rFonts w:ascii="宋体" w:hAnsi="宋体" w:cs="宋体"/>
                <w:b/>
                <w:sz w:val="18"/>
                <w:szCs w:val="18"/>
              </w:rPr>
            </w:pPr>
            <w:r>
              <w:rPr>
                <w:rFonts w:hint="eastAsia" w:ascii="宋体" w:hAnsi="宋体" w:cs="宋体"/>
                <w:b/>
                <w:sz w:val="18"/>
                <w:szCs w:val="18"/>
              </w:rPr>
              <w:tab/>
            </w:r>
            <w:r>
              <w:rPr>
                <w:rFonts w:hint="eastAsia" w:ascii="宋体" w:hAnsi="宋体" w:cs="宋体"/>
                <w:b/>
                <w:sz w:val="18"/>
                <w:szCs w:val="18"/>
              </w:rPr>
              <w:tab/>
            </w:r>
            <w:r>
              <w:rPr>
                <w:rFonts w:hint="eastAsia" w:ascii="宋体" w:hAnsi="宋体" w:cs="宋体"/>
                <w:b/>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一、资格评审标准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营业执照、税务登记证、组织机构代码证</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法人代表证明或法人授权委托书</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资质要求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信誉要求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其他要求</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二、形式评审标准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供应商名称</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投标函签字盖章</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投标文件格式</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trPr>
        <w:tc>
          <w:tcPr>
            <w:tcW w:w="1230" w:type="dxa"/>
            <w:vMerge w:val="continue"/>
            <w:vAlign w:val="center"/>
          </w:tcPr>
          <w:p>
            <w:pPr>
              <w:spacing w:line="240" w:lineRule="exact"/>
              <w:jc w:val="center"/>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报价唯一</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三、响应性评审标准</w:t>
            </w: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采购内容</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bCs/>
                <w:iCs/>
                <w:sz w:val="18"/>
                <w:szCs w:val="18"/>
              </w:rPr>
              <w:t>供货期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质  量</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质保期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商务报价</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投标有效期</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权利义务</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技术标准和要求</w:t>
            </w:r>
          </w:p>
        </w:tc>
        <w:tc>
          <w:tcPr>
            <w:tcW w:w="6093" w:type="dxa"/>
            <w:vAlign w:val="center"/>
          </w:tcPr>
          <w:p>
            <w:pPr>
              <w:spacing w:line="240" w:lineRule="exact"/>
              <w:jc w:val="left"/>
              <w:rPr>
                <w:rFonts w:ascii="宋体" w:hAnsi="宋体" w:cs="宋体"/>
                <w:sz w:val="18"/>
                <w:szCs w:val="18"/>
              </w:rPr>
            </w:pPr>
            <w:r>
              <w:rPr>
                <w:rFonts w:hint="eastAsia" w:ascii="宋体" w:hAnsi="宋体" w:cs="宋体"/>
                <w:sz w:val="18"/>
                <w:szCs w:val="18"/>
              </w:rPr>
              <w:t>符合第五章“采购需求及要求”规定，若不符合第五章采购需求及要求规定，将不再进行评审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230" w:type="dxa"/>
            <w:vMerge w:val="continue"/>
          </w:tcPr>
          <w:p>
            <w:pPr>
              <w:spacing w:line="240" w:lineRule="exact"/>
              <w:rPr>
                <w:rFonts w:ascii="宋体" w:hAnsi="宋体" w:cs="宋体"/>
                <w:sz w:val="18"/>
                <w:szCs w:val="18"/>
              </w:rPr>
            </w:pPr>
          </w:p>
        </w:tc>
        <w:tc>
          <w:tcPr>
            <w:tcW w:w="2339" w:type="dxa"/>
            <w:vAlign w:val="center"/>
          </w:tcPr>
          <w:p>
            <w:pPr>
              <w:spacing w:line="240" w:lineRule="exact"/>
              <w:jc w:val="center"/>
              <w:rPr>
                <w:rFonts w:ascii="宋体" w:hAnsi="宋体" w:cs="宋体"/>
                <w:sz w:val="18"/>
                <w:szCs w:val="18"/>
              </w:rPr>
            </w:pPr>
            <w:r>
              <w:rPr>
                <w:rFonts w:hint="eastAsia" w:ascii="宋体" w:hAnsi="宋体" w:cs="宋体"/>
                <w:sz w:val="18"/>
                <w:szCs w:val="18"/>
              </w:rPr>
              <w:t>投标文件的其他响应</w:t>
            </w:r>
          </w:p>
        </w:tc>
        <w:tc>
          <w:tcPr>
            <w:tcW w:w="6093" w:type="dxa"/>
            <w:vAlign w:val="center"/>
          </w:tcPr>
          <w:p>
            <w:pPr>
              <w:spacing w:line="240" w:lineRule="exact"/>
              <w:rPr>
                <w:rFonts w:ascii="宋体" w:hAnsi="宋体" w:cs="宋体"/>
                <w:sz w:val="18"/>
                <w:szCs w:val="18"/>
              </w:rPr>
            </w:pPr>
            <w:r>
              <w:rPr>
                <w:rFonts w:hint="eastAsia" w:ascii="宋体" w:hAnsi="宋体" w:cs="宋体"/>
                <w:sz w:val="18"/>
                <w:szCs w:val="18"/>
              </w:rPr>
              <w:t>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230" w:type="dxa"/>
          </w:tcPr>
          <w:p>
            <w:pPr>
              <w:spacing w:line="240" w:lineRule="exact"/>
              <w:rPr>
                <w:rFonts w:ascii="宋体" w:hAnsi="宋体" w:cs="宋体"/>
                <w:sz w:val="18"/>
                <w:szCs w:val="18"/>
              </w:rPr>
            </w:pPr>
          </w:p>
        </w:tc>
        <w:tc>
          <w:tcPr>
            <w:tcW w:w="2339" w:type="dxa"/>
            <w:vAlign w:val="center"/>
          </w:tcPr>
          <w:p>
            <w:pPr>
              <w:spacing w:line="240" w:lineRule="exact"/>
              <w:jc w:val="center"/>
              <w:rPr>
                <w:rFonts w:hint="eastAsia" w:ascii="宋体" w:hAnsi="宋体" w:cs="宋体"/>
                <w:sz w:val="18"/>
                <w:szCs w:val="18"/>
              </w:rPr>
            </w:pPr>
          </w:p>
        </w:tc>
        <w:tc>
          <w:tcPr>
            <w:tcW w:w="6093" w:type="dxa"/>
            <w:vAlign w:val="center"/>
          </w:tcPr>
          <w:p>
            <w:pPr>
              <w:spacing w:line="240" w:lineRule="exact"/>
              <w:rPr>
                <w:rFonts w:hint="eastAsia" w:ascii="宋体" w:hAnsi="宋体" w:cs="宋体"/>
                <w:sz w:val="18"/>
                <w:szCs w:val="18"/>
              </w:rPr>
            </w:pPr>
          </w:p>
        </w:tc>
      </w:tr>
    </w:tbl>
    <w:p>
      <w:pPr>
        <w:pStyle w:val="24"/>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5"/>
        <w:ind w:firstLine="0" w:firstLineChars="0"/>
        <w:rPr>
          <w:rFonts w:asciiTheme="minorEastAsia" w:hAnsiTheme="minorEastAsia" w:eastAsiaTheme="minorEastAsia" w:cstheme="minorEastAsia"/>
          <w:b/>
          <w:bCs/>
          <w:sz w:val="28"/>
          <w:szCs w:val="28"/>
        </w:rPr>
      </w:pPr>
      <w:bookmarkStart w:id="222" w:name="_Toc426369531"/>
      <w:bookmarkStart w:id="223" w:name="_Toc403122541"/>
      <w:bookmarkStart w:id="224" w:name="_Toc31084"/>
    </w:p>
    <w:p>
      <w:pPr>
        <w:spacing w:line="360" w:lineRule="auto"/>
        <w:ind w:firstLine="562" w:firstLineChars="200"/>
        <w:jc w:val="center"/>
        <w:rPr>
          <w:rFonts w:hint="eastAsia" w:asciiTheme="minorEastAsia" w:hAnsiTheme="minorEastAsia" w:eastAsiaTheme="minorEastAsia" w:cstheme="minorEastAsia"/>
          <w:b/>
          <w:bCs/>
          <w:sz w:val="28"/>
          <w:szCs w:val="28"/>
        </w:rPr>
      </w:pPr>
    </w:p>
    <w:p>
      <w:pPr>
        <w:spacing w:line="360" w:lineRule="auto"/>
        <w:ind w:firstLine="562" w:firstLineChars="200"/>
        <w:jc w:val="center"/>
        <w:rPr>
          <w:rFonts w:hint="eastAsia" w:asciiTheme="minorEastAsia" w:hAnsiTheme="minorEastAsia" w:eastAsiaTheme="minorEastAsia" w:cstheme="minorEastAsia"/>
          <w:b/>
          <w:bCs/>
          <w:sz w:val="28"/>
          <w:szCs w:val="28"/>
        </w:rPr>
      </w:pPr>
    </w:p>
    <w:p>
      <w:pPr>
        <w:spacing w:line="360" w:lineRule="auto"/>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tbl>
      <w:tblPr>
        <w:tblStyle w:val="17"/>
        <w:tblW w:w="9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7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3" w:hRule="atLeast"/>
          <w:jc w:val="center"/>
        </w:trPr>
        <w:tc>
          <w:tcPr>
            <w:tcW w:w="1204"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ascii="宋体" w:hAnsi="宋体"/>
                <w:color w:val="000000" w:themeColor="text1"/>
                <w:szCs w:val="21"/>
                <w14:textFill>
                  <w14:solidFill>
                    <w14:schemeClr w14:val="tx1"/>
                  </w14:solidFill>
                </w14:textFill>
              </w:rPr>
            </w:pPr>
            <w:bookmarkStart w:id="225" w:name="_Toc454147538"/>
            <w:bookmarkStart w:id="226" w:name="_Toc466017207"/>
            <w:bookmarkStart w:id="227" w:name="_Toc19403"/>
            <w:bookmarkStart w:id="228" w:name="_Toc465502579"/>
            <w:bookmarkStart w:id="229" w:name="_Toc21064"/>
            <w:r>
              <w:rPr>
                <w:rStyle w:val="25"/>
                <w:rFonts w:ascii="宋体" w:hAnsi="宋体"/>
                <w:color w:val="000000" w:themeColor="text1"/>
                <w:szCs w:val="21"/>
                <w14:textFill>
                  <w14:solidFill>
                    <w14:schemeClr w14:val="tx1"/>
                  </w14:solidFill>
                </w14:textFill>
              </w:rPr>
              <w:t>投标报价</w:t>
            </w:r>
          </w:p>
          <w:p>
            <w:pPr>
              <w:spacing w:line="360" w:lineRule="exact"/>
              <w:textAlignment w:val="baseline"/>
              <w:rPr>
                <w:rStyle w:val="25"/>
                <w:rFonts w:ascii="宋体" w:hAnsi="宋体"/>
                <w:color w:val="000000" w:themeColor="text1"/>
                <w:szCs w:val="21"/>
                <w14:textFill>
                  <w14:solidFill>
                    <w14:schemeClr w14:val="tx1"/>
                  </w14:solidFill>
                </w14:textFill>
              </w:rPr>
            </w:pPr>
            <w:r>
              <w:rPr>
                <w:rStyle w:val="25"/>
                <w:rFonts w:ascii="Calibri" w:hAnsi="Calibri"/>
                <w:color w:val="000000" w:themeColor="text1"/>
                <w:szCs w:val="22"/>
                <w14:textFill>
                  <w14:solidFill>
                    <w14:schemeClr w14:val="tx1"/>
                  </w14:solidFill>
                </w14:textFill>
              </w:rPr>
              <w:t>（</w:t>
            </w:r>
            <w:r>
              <w:rPr>
                <w:rStyle w:val="25"/>
                <w:rFonts w:hint="eastAsia" w:ascii="Calibri" w:hAnsi="Calibri"/>
                <w:color w:val="000000" w:themeColor="text1"/>
                <w:szCs w:val="22"/>
                <w:lang w:val="en-US"/>
                <w14:textFill>
                  <w14:solidFill>
                    <w14:schemeClr w14:val="tx1"/>
                  </w14:solidFill>
                </w14:textFill>
              </w:rPr>
              <w:t>50</w:t>
            </w:r>
            <w:r>
              <w:rPr>
                <w:rStyle w:val="25"/>
                <w:rFonts w:ascii="Calibri" w:hAnsi="Calibri"/>
                <w:color w:val="000000" w:themeColor="text1"/>
                <w:szCs w:val="22"/>
                <w14:textFill>
                  <w14:solidFill>
                    <w14:schemeClr w14:val="tx1"/>
                  </w14:solidFill>
                </w14:textFill>
              </w:rPr>
              <w:t>分）</w:t>
            </w:r>
          </w:p>
        </w:tc>
        <w:tc>
          <w:tcPr>
            <w:tcW w:w="7969"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ascii="Calibri" w:hAnsi="Calibri"/>
                <w:color w:val="000000" w:themeColor="text1"/>
                <w:szCs w:val="22"/>
                <w14:textFill>
                  <w14:solidFill>
                    <w14:schemeClr w14:val="tx1"/>
                  </w14:solidFill>
                </w14:textFill>
              </w:rPr>
            </w:pPr>
            <w:r>
              <w:rPr>
                <w:rStyle w:val="25"/>
                <w:rFonts w:ascii="Calibri" w:hAnsi="Calibri"/>
                <w:color w:val="000000" w:themeColor="text1"/>
                <w:szCs w:val="22"/>
                <w14:textFill>
                  <w14:solidFill>
                    <w14:schemeClr w14:val="tx1"/>
                  </w14:solidFill>
                </w14:textFill>
              </w:rPr>
              <w:t>价格分统一采用低价优先法计算，价格分计算公式：</w:t>
            </w:r>
          </w:p>
          <w:p>
            <w:pPr>
              <w:spacing w:line="360" w:lineRule="exact"/>
              <w:textAlignment w:val="baseline"/>
              <w:rPr>
                <w:rStyle w:val="25"/>
                <w:rFonts w:hint="default" w:ascii="Calibri" w:hAnsi="Calibri"/>
                <w:color w:val="000000" w:themeColor="text1"/>
                <w:szCs w:val="22"/>
                <w:lang w:val="en-US"/>
                <w14:textFill>
                  <w14:solidFill>
                    <w14:schemeClr w14:val="tx1"/>
                  </w14:solidFill>
                </w14:textFill>
              </w:rPr>
            </w:pPr>
            <w:r>
              <w:rPr>
                <w:rStyle w:val="25"/>
                <w:rFonts w:ascii="Calibri" w:hAnsi="Calibri"/>
                <w:color w:val="000000" w:themeColor="text1"/>
                <w:szCs w:val="22"/>
                <w14:textFill>
                  <w14:solidFill>
                    <w14:schemeClr w14:val="tx1"/>
                  </w14:solidFill>
                </w14:textFill>
              </w:rPr>
              <w:t>投标报价得分 =（评标基准价/投标报价）×</w:t>
            </w:r>
            <w:r>
              <w:rPr>
                <w:rStyle w:val="25"/>
                <w:rFonts w:hint="eastAsia" w:ascii="Calibri" w:hAnsi="Calibri"/>
                <w:color w:val="000000" w:themeColor="text1"/>
                <w:szCs w:val="22"/>
                <w:lang w:val="en-US"/>
                <w14:textFill>
                  <w14:solidFill>
                    <w14:schemeClr w14:val="tx1"/>
                  </w14:solidFill>
                </w14:textFill>
              </w:rPr>
              <w:t>50</w:t>
            </w:r>
          </w:p>
          <w:p>
            <w:pPr>
              <w:spacing w:line="360" w:lineRule="exact"/>
              <w:textAlignment w:val="baseline"/>
              <w:rPr>
                <w:rStyle w:val="25"/>
                <w:rFonts w:ascii="Calibri" w:hAnsi="Calibri"/>
                <w:color w:val="000000" w:themeColor="text1"/>
                <w:szCs w:val="22"/>
                <w14:textFill>
                  <w14:solidFill>
                    <w14:schemeClr w14:val="tx1"/>
                  </w14:solidFill>
                </w14:textFill>
              </w:rPr>
            </w:pPr>
            <w:r>
              <w:rPr>
                <w:rStyle w:val="25"/>
                <w:rFonts w:ascii="Calibri" w:hAnsi="Calibri"/>
                <w:color w:val="000000" w:themeColor="text1"/>
                <w:szCs w:val="22"/>
                <w14:textFill>
                  <w14:solidFill>
                    <w14:schemeClr w14:val="tx1"/>
                  </w14:solidFill>
                </w14:textFill>
              </w:rPr>
              <w:t>说明：</w:t>
            </w:r>
          </w:p>
          <w:p>
            <w:pPr>
              <w:spacing w:line="360" w:lineRule="exact"/>
              <w:textAlignment w:val="baseline"/>
              <w:rPr>
                <w:rStyle w:val="25"/>
                <w:rFonts w:ascii="Calibri" w:hAnsi="Calibri"/>
                <w:color w:val="000000" w:themeColor="text1"/>
                <w:szCs w:val="22"/>
                <w14:textFill>
                  <w14:solidFill>
                    <w14:schemeClr w14:val="tx1"/>
                  </w14:solidFill>
                </w14:textFill>
              </w:rPr>
            </w:pPr>
            <w:r>
              <w:rPr>
                <w:rStyle w:val="25"/>
                <w:rFonts w:ascii="Calibri" w:hAnsi="Calibri"/>
                <w:color w:val="000000" w:themeColor="text1"/>
                <w:szCs w:val="22"/>
                <w14:textFill>
                  <w14:solidFill>
                    <w14:schemeClr w14:val="tx1"/>
                  </w14:solidFill>
                </w14:textFill>
              </w:rPr>
              <w:t>1、评标基准价：实质性响应招标文件要求的所有有效供应商中的最低投标报价。</w:t>
            </w:r>
          </w:p>
          <w:p>
            <w:pPr>
              <w:spacing w:line="360" w:lineRule="exact"/>
              <w:textAlignment w:val="baseline"/>
              <w:rPr>
                <w:rFonts w:hint="eastAsia" w:ascii="宋体" w:hAnsi="宋体" w:cs="宋体"/>
                <w:color w:val="000000" w:themeColor="text1"/>
                <w:kern w:val="0"/>
                <w:szCs w:val="21"/>
                <w14:textFill>
                  <w14:solidFill>
                    <w14:schemeClr w14:val="tx1"/>
                  </w14:solidFill>
                </w14:textFill>
              </w:rPr>
            </w:pPr>
            <w:r>
              <w:rPr>
                <w:rStyle w:val="25"/>
                <w:rFonts w:ascii="Calibri" w:hAnsi="Calibri"/>
                <w:color w:val="000000" w:themeColor="text1"/>
                <w:szCs w:val="22"/>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对小型或微型企业投标的扶持：(如有）</w:t>
            </w:r>
          </w:p>
          <w:p>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2.2.3小型、微型企业提供有中型企业制造的货物的，视同为中型企业；小型、微型、中型企业提供有大型企业制造的货物的，视同为大型企业。</w:t>
            </w:r>
          </w:p>
          <w:p>
            <w:pPr>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p>
            <w:pPr>
              <w:pStyle w:val="26"/>
              <w:widowControl/>
              <w:ind w:firstLine="0" w:firstLineChars="0"/>
              <w:rPr>
                <w:rStyle w:val="25"/>
                <w:rFonts w:ascii="楷体_GB2312" w:hAnsi="Calibri" w:eastAsia="楷体_GB2312"/>
                <w:color w:val="000000" w:themeColor="text1"/>
                <w:sz w:val="32"/>
                <w14:textFill>
                  <w14:solidFill>
                    <w14:schemeClr w14:val="tx1"/>
                  </w14:solidFill>
                </w14:textFill>
              </w:rPr>
            </w:pPr>
            <w:r>
              <w:rPr>
                <w:rStyle w:val="25"/>
                <w:rFonts w:hint="eastAsia" w:ascii="Calibri" w:hAnsi="Calibri"/>
                <w:color w:val="000000" w:themeColor="text1"/>
                <w:szCs w:val="22"/>
                <w14:textFill>
                  <w14:solidFill>
                    <w14:schemeClr w14:val="tx1"/>
                  </w14:solidFill>
                </w14:textFill>
              </w:rPr>
              <w:t>4</w:t>
            </w:r>
            <w:r>
              <w:rPr>
                <w:rStyle w:val="25"/>
                <w:rFonts w:ascii="Calibri" w:hAnsi="Calibri"/>
                <w:color w:val="000000" w:themeColor="text1"/>
                <w:szCs w:val="22"/>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204"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hint="eastAsia" w:ascii="宋体" w:hAnsi="宋体" w:cs="宋体"/>
                <w:color w:val="000000" w:themeColor="text1"/>
                <w:szCs w:val="22"/>
                <w:lang w:val="en-US" w:eastAsia="zh-CN"/>
                <w14:textFill>
                  <w14:solidFill>
                    <w14:schemeClr w14:val="tx1"/>
                  </w14:solidFill>
                </w14:textFill>
              </w:rPr>
            </w:pPr>
            <w:r>
              <w:rPr>
                <w:rStyle w:val="25"/>
                <w:rFonts w:hint="eastAsia" w:ascii="宋体" w:hAnsi="宋体" w:cs="宋体"/>
                <w:color w:val="000000" w:themeColor="text1"/>
                <w:szCs w:val="22"/>
                <w:lang w:val="en-US" w:eastAsia="zh-CN"/>
                <w14:textFill>
                  <w14:solidFill>
                    <w14:schemeClr w14:val="tx1"/>
                  </w14:solidFill>
                </w14:textFill>
              </w:rPr>
              <w:t>技术部分</w:t>
            </w:r>
          </w:p>
          <w:p>
            <w:pPr>
              <w:spacing w:line="360" w:lineRule="exact"/>
              <w:textAlignment w:val="baseline"/>
              <w:rPr>
                <w:rStyle w:val="25"/>
                <w:rFonts w:hint="eastAsia" w:ascii="宋体" w:hAnsi="宋体" w:cs="宋体"/>
                <w:color w:val="000000" w:themeColor="text1"/>
                <w:szCs w:val="22"/>
                <w:lang w:val="en-US" w:eastAsia="zh-CN"/>
                <w14:textFill>
                  <w14:solidFill>
                    <w14:schemeClr w14:val="tx1"/>
                  </w14:solidFill>
                </w14:textFill>
              </w:rPr>
            </w:pPr>
            <w:r>
              <w:rPr>
                <w:rStyle w:val="25"/>
                <w:rFonts w:hint="eastAsia" w:ascii="宋体" w:hAnsi="宋体" w:cs="宋体"/>
                <w:color w:val="000000" w:themeColor="text1"/>
                <w:szCs w:val="22"/>
                <w:lang w:val="en-US" w:eastAsia="zh-CN"/>
                <w14:textFill>
                  <w14:solidFill>
                    <w14:schemeClr w14:val="tx1"/>
                  </w14:solidFill>
                </w14:textFill>
              </w:rPr>
              <w:t>（28分）</w:t>
            </w:r>
          </w:p>
        </w:tc>
        <w:tc>
          <w:tcPr>
            <w:tcW w:w="7969"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hint="eastAsia" w:ascii="宋体" w:hAnsi="宋体" w:cs="宋体"/>
                <w:color w:val="000000" w:themeColor="text1"/>
                <w:szCs w:val="22"/>
                <w:lang w:val="en-US" w:eastAsia="zh-CN"/>
                <w14:textFill>
                  <w14:solidFill>
                    <w14:schemeClr w14:val="tx1"/>
                  </w14:solidFill>
                </w14:textFill>
              </w:rPr>
            </w:pPr>
            <w:r>
              <w:rPr>
                <w:rStyle w:val="25"/>
                <w:rFonts w:hint="eastAsia" w:ascii="宋体" w:hAnsi="宋体" w:cs="宋体"/>
                <w:color w:val="auto"/>
                <w:szCs w:val="22"/>
                <w:lang w:val="en-US" w:eastAsia="zh-CN"/>
              </w:rPr>
              <w:t>所投产品技术参数、性能及功能全部满足招标文件要求的得28分。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textAlignment w:val="baseline"/>
              <w:rPr>
                <w:rStyle w:val="25"/>
                <w:rFonts w:ascii="宋体" w:hAnsi="宋体" w:cs="宋体"/>
                <w:color w:val="000000" w:themeColor="text1"/>
                <w:szCs w:val="21"/>
                <w14:textFill>
                  <w14:solidFill>
                    <w14:schemeClr w14:val="tx1"/>
                  </w14:solidFill>
                </w14:textFill>
              </w:rPr>
            </w:pPr>
            <w:r>
              <w:rPr>
                <w:rStyle w:val="25"/>
                <w:rFonts w:hint="eastAsia" w:ascii="宋体" w:hAnsi="宋体" w:cs="宋体"/>
                <w:color w:val="000000" w:themeColor="text1"/>
                <w:szCs w:val="21"/>
                <w14:textFill>
                  <w14:solidFill>
                    <w14:schemeClr w14:val="tx1"/>
                  </w14:solidFill>
                </w14:textFill>
              </w:rPr>
              <w:t>商务部分</w:t>
            </w:r>
          </w:p>
          <w:p>
            <w:pPr>
              <w:spacing w:line="360" w:lineRule="exact"/>
              <w:textAlignment w:val="baseline"/>
              <w:rPr>
                <w:rStyle w:val="25"/>
                <w:rFonts w:ascii="宋体" w:hAnsi="宋体" w:cs="宋体"/>
                <w:color w:val="000000" w:themeColor="text1"/>
                <w:szCs w:val="21"/>
                <w14:textFill>
                  <w14:solidFill>
                    <w14:schemeClr w14:val="tx1"/>
                  </w14:solidFill>
                </w14:textFill>
              </w:rPr>
            </w:pPr>
            <w:r>
              <w:rPr>
                <w:rStyle w:val="25"/>
                <w:rFonts w:hint="eastAsia" w:ascii="宋体" w:hAnsi="宋体" w:cs="宋体"/>
                <w:color w:val="000000" w:themeColor="text1"/>
                <w:szCs w:val="21"/>
                <w14:textFill>
                  <w14:solidFill>
                    <w14:schemeClr w14:val="tx1"/>
                  </w14:solidFill>
                </w14:textFill>
              </w:rPr>
              <w:t>（</w:t>
            </w:r>
            <w:r>
              <w:rPr>
                <w:rStyle w:val="25"/>
                <w:rFonts w:hint="eastAsia" w:ascii="宋体" w:hAnsi="宋体" w:cs="宋体"/>
                <w:color w:val="000000" w:themeColor="text1"/>
                <w:szCs w:val="22"/>
                <w:lang w:val="en-US" w:eastAsia="zh-CN"/>
                <w14:textFill>
                  <w14:solidFill>
                    <w14:schemeClr w14:val="tx1"/>
                  </w14:solidFill>
                </w14:textFill>
              </w:rPr>
              <w:t>14分</w:t>
            </w:r>
            <w:r>
              <w:rPr>
                <w:rStyle w:val="25"/>
                <w:rFonts w:hint="eastAsia" w:ascii="宋体" w:hAnsi="宋体" w:cs="宋体"/>
                <w:color w:val="000000" w:themeColor="text1"/>
                <w:szCs w:val="21"/>
                <w14:textFill>
                  <w14:solidFill>
                    <w14:schemeClr w14:val="tx1"/>
                  </w14:solidFill>
                </w14:textFill>
              </w:rPr>
              <w:t>）</w:t>
            </w:r>
          </w:p>
        </w:tc>
        <w:tc>
          <w:tcPr>
            <w:tcW w:w="7969"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hint="eastAsia" w:ascii="宋体" w:hAnsi="宋体" w:cs="宋体"/>
                <w:color w:val="auto"/>
                <w:szCs w:val="22"/>
                <w:lang w:val="en-US" w:eastAsia="zh-CN"/>
              </w:rPr>
            </w:pPr>
            <w:r>
              <w:rPr>
                <w:rStyle w:val="25"/>
                <w:rFonts w:hint="eastAsia" w:ascii="宋体" w:hAnsi="宋体" w:cs="宋体"/>
                <w:color w:val="000000" w:themeColor="text1"/>
                <w:szCs w:val="22"/>
                <w:lang w:val="en-US" w:eastAsia="zh-CN"/>
                <w14:textFill>
                  <w14:solidFill>
                    <w14:schemeClr w14:val="tx1"/>
                  </w14:solidFill>
                </w14:textFill>
              </w:rPr>
              <w:t>1、投标人具有ISO9001质量管理体系认证证书、ISO14001环境管理体系认证证书，职业安全健康管理体系认证证书，提供一项得2分，共6分。开标时需提供认证证书复印件加</w:t>
            </w:r>
            <w:r>
              <w:rPr>
                <w:rStyle w:val="25"/>
                <w:rFonts w:hint="eastAsia" w:ascii="宋体" w:hAnsi="宋体" w:cs="宋体"/>
                <w:color w:val="auto"/>
                <w:szCs w:val="22"/>
                <w:lang w:val="en-US" w:eastAsia="zh-CN"/>
              </w:rPr>
              <w:t>盖公章，否则不得分</w:t>
            </w:r>
          </w:p>
          <w:p>
            <w:pPr>
              <w:spacing w:line="360" w:lineRule="exact"/>
              <w:textAlignment w:val="baseline"/>
              <w:rPr>
                <w:rStyle w:val="25"/>
                <w:rFonts w:hint="eastAsia" w:ascii="宋体" w:hAnsi="宋体" w:cs="宋体"/>
                <w:color w:val="FF0000"/>
                <w:szCs w:val="22"/>
                <w:lang w:val="en-US" w:eastAsia="zh-CN"/>
              </w:rPr>
            </w:pPr>
            <w:r>
              <w:rPr>
                <w:rStyle w:val="25"/>
                <w:rFonts w:hint="eastAsia" w:ascii="宋体" w:hAnsi="宋体" w:cs="宋体"/>
                <w:color w:val="auto"/>
                <w:szCs w:val="22"/>
                <w:lang w:val="en-US" w:eastAsia="zh-CN"/>
              </w:rPr>
              <w:t>2、投标人具有软件成熟度CMMI认证证书的得2分；开标时需提供证书复印件加盖投标人公章，否则不得分。</w:t>
            </w:r>
          </w:p>
          <w:p>
            <w:pPr>
              <w:spacing w:line="360" w:lineRule="exact"/>
              <w:textAlignment w:val="baseline"/>
              <w:rPr>
                <w:rStyle w:val="25"/>
                <w:rFonts w:ascii="宋体" w:hAnsi="宋体" w:cs="宋体"/>
                <w:color w:val="000000" w:themeColor="text1"/>
                <w:szCs w:val="22"/>
                <w14:textFill>
                  <w14:solidFill>
                    <w14:schemeClr w14:val="tx1"/>
                  </w14:solidFill>
                </w14:textFill>
              </w:rPr>
            </w:pPr>
            <w:r>
              <w:rPr>
                <w:rStyle w:val="25"/>
                <w:rFonts w:hint="eastAsia" w:ascii="宋体" w:hAnsi="宋体" w:cs="宋体"/>
                <w:color w:val="000000" w:themeColor="text1"/>
                <w:szCs w:val="22"/>
                <w:lang w:val="en-US" w:eastAsia="zh-CN"/>
                <w14:textFill>
                  <w14:solidFill>
                    <w14:schemeClr w14:val="tx1"/>
                  </w14:solidFill>
                </w14:textFill>
              </w:rPr>
              <w:t>3、 投标人提供近三年以来同类业绩，每提供1份得2分，最多得6分。（提供中标通知书及合同原件备查，否则不得分）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szCs w:val="21"/>
              </w:rPr>
            </w:pPr>
            <w:r>
              <w:rPr>
                <w:rStyle w:val="25"/>
                <w:rFonts w:ascii="宋体" w:hAnsi="宋体"/>
                <w:szCs w:val="21"/>
              </w:rPr>
              <w:t>售后服务</w:t>
            </w:r>
          </w:p>
          <w:p>
            <w:pPr>
              <w:spacing w:line="360" w:lineRule="exact"/>
              <w:jc w:val="center"/>
              <w:textAlignment w:val="baseline"/>
              <w:rPr>
                <w:rStyle w:val="25"/>
                <w:rFonts w:ascii="宋体" w:hAnsi="宋体"/>
                <w:szCs w:val="21"/>
              </w:rPr>
            </w:pPr>
            <w:r>
              <w:rPr>
                <w:rStyle w:val="25"/>
                <w:rFonts w:ascii="宋体" w:hAnsi="宋体"/>
                <w:szCs w:val="21"/>
              </w:rPr>
              <w:t>部分</w:t>
            </w:r>
          </w:p>
          <w:p>
            <w:pPr>
              <w:spacing w:line="360" w:lineRule="exact"/>
              <w:textAlignment w:val="baseline"/>
              <w:rPr>
                <w:rStyle w:val="25"/>
                <w:rFonts w:ascii="宋体" w:hAnsi="宋体"/>
                <w:szCs w:val="21"/>
              </w:rPr>
            </w:pPr>
            <w:r>
              <w:rPr>
                <w:rStyle w:val="25"/>
                <w:rFonts w:ascii="宋体" w:hAnsi="宋体"/>
                <w:szCs w:val="21"/>
              </w:rPr>
              <w:t>（</w:t>
            </w:r>
            <w:r>
              <w:rPr>
                <w:rStyle w:val="25"/>
                <w:rFonts w:hint="eastAsia" w:ascii="宋体" w:hAnsi="宋体"/>
                <w:szCs w:val="21"/>
                <w:lang w:val="en-US"/>
              </w:rPr>
              <w:t>8</w:t>
            </w:r>
            <w:r>
              <w:rPr>
                <w:rStyle w:val="25"/>
                <w:rFonts w:ascii="宋体" w:hAnsi="宋体"/>
                <w:szCs w:val="21"/>
              </w:rPr>
              <w:t>分）</w:t>
            </w:r>
          </w:p>
        </w:tc>
        <w:tc>
          <w:tcPr>
            <w:tcW w:w="7969" w:type="dxa"/>
            <w:tcBorders>
              <w:top w:val="single" w:color="000000" w:sz="4" w:space="0"/>
              <w:left w:val="single" w:color="000000" w:sz="4" w:space="0"/>
              <w:bottom w:val="single" w:color="000000" w:sz="4" w:space="0"/>
              <w:right w:val="single" w:color="000000" w:sz="4" w:space="0"/>
            </w:tcBorders>
            <w:vAlign w:val="center"/>
          </w:tcPr>
          <w:p>
            <w:pPr>
              <w:spacing w:line="360" w:lineRule="exact"/>
              <w:textAlignment w:val="baseline"/>
              <w:rPr>
                <w:rStyle w:val="25"/>
                <w:rFonts w:ascii="宋体" w:hAnsi="宋体"/>
                <w:szCs w:val="21"/>
              </w:rPr>
            </w:pPr>
            <w:r>
              <w:rPr>
                <w:rStyle w:val="25"/>
                <w:rFonts w:ascii="宋体" w:hAnsi="宋体"/>
                <w:szCs w:val="21"/>
              </w:rPr>
              <w:t>1、投标人针对本项目提供详细的安装工作计划及所需设备及技术人员计划，售后服务保障计划的科学性合理性等方面进行打分；优者得</w:t>
            </w:r>
            <w:r>
              <w:rPr>
                <w:rStyle w:val="25"/>
                <w:rFonts w:hint="eastAsia" w:ascii="宋体" w:hAnsi="宋体"/>
                <w:szCs w:val="21"/>
                <w:lang w:val="en-US"/>
              </w:rPr>
              <w:t>2</w:t>
            </w:r>
            <w:r>
              <w:rPr>
                <w:rStyle w:val="25"/>
                <w:rFonts w:ascii="宋体" w:hAnsi="宋体"/>
                <w:szCs w:val="21"/>
              </w:rPr>
              <w:t>分，一般者得1分，差的得0分；没有不得分。</w:t>
            </w:r>
          </w:p>
          <w:p>
            <w:pPr>
              <w:spacing w:line="360" w:lineRule="exact"/>
              <w:textAlignment w:val="baseline"/>
              <w:rPr>
                <w:rStyle w:val="25"/>
                <w:rFonts w:ascii="宋体" w:hAnsi="宋体"/>
                <w:szCs w:val="21"/>
              </w:rPr>
            </w:pPr>
            <w:r>
              <w:rPr>
                <w:rStyle w:val="25"/>
                <w:rFonts w:ascii="宋体" w:hAnsi="宋体"/>
                <w:szCs w:val="21"/>
              </w:rPr>
              <w:t>2、</w:t>
            </w:r>
            <w:r>
              <w:rPr>
                <w:rFonts w:hint="eastAsia" w:ascii="宋体" w:hAnsi="宋体" w:cs="宋体"/>
                <w:szCs w:val="21"/>
              </w:rPr>
              <w:t>提出完整的运行方案、资源配置、安全、质量保证、维护方案、维护标准，</w:t>
            </w:r>
            <w:r>
              <w:rPr>
                <w:rStyle w:val="25"/>
                <w:rFonts w:ascii="宋体" w:hAnsi="宋体"/>
                <w:szCs w:val="21"/>
              </w:rPr>
              <w:t>优者得</w:t>
            </w:r>
            <w:r>
              <w:rPr>
                <w:rStyle w:val="25"/>
                <w:rFonts w:hint="eastAsia" w:ascii="宋体" w:hAnsi="宋体"/>
                <w:szCs w:val="21"/>
                <w:lang w:val="en-US"/>
              </w:rPr>
              <w:t>2</w:t>
            </w:r>
            <w:r>
              <w:rPr>
                <w:rStyle w:val="25"/>
                <w:rFonts w:ascii="宋体" w:hAnsi="宋体"/>
                <w:szCs w:val="21"/>
              </w:rPr>
              <w:t>分，一般者得1分，差的得0分；没有不得分</w:t>
            </w:r>
            <w:r>
              <w:rPr>
                <w:rFonts w:hint="eastAsia" w:ascii="宋体" w:hAnsi="宋体" w:cs="宋体"/>
                <w:szCs w:val="21"/>
              </w:rPr>
              <w:t>；</w:t>
            </w:r>
          </w:p>
          <w:p>
            <w:pPr>
              <w:spacing w:line="360" w:lineRule="exact"/>
              <w:textAlignment w:val="baseline"/>
              <w:rPr>
                <w:rStyle w:val="25"/>
                <w:rFonts w:ascii="宋体" w:hAnsi="宋体"/>
                <w:szCs w:val="21"/>
              </w:rPr>
            </w:pPr>
            <w:r>
              <w:rPr>
                <w:rStyle w:val="25"/>
                <w:rFonts w:ascii="宋体" w:hAnsi="宋体"/>
                <w:szCs w:val="21"/>
              </w:rPr>
              <w:t>3、质保期</w:t>
            </w:r>
            <w:r>
              <w:rPr>
                <w:rStyle w:val="25"/>
                <w:rFonts w:hint="eastAsia" w:ascii="宋体" w:hAnsi="宋体"/>
                <w:szCs w:val="21"/>
              </w:rPr>
              <w:t>中标人</w:t>
            </w:r>
            <w:r>
              <w:rPr>
                <w:rStyle w:val="25"/>
                <w:rFonts w:ascii="宋体" w:hAnsi="宋体"/>
                <w:szCs w:val="21"/>
              </w:rPr>
              <w:t>收到采购人维修请求，承诺保证技术人员2小时内到达现场，12小时内排除故障，若仍不能排除故障24小时内提供备机情况等解决质量问题的</w:t>
            </w:r>
            <w:bookmarkStart w:id="283" w:name="_GoBack"/>
            <w:bookmarkEnd w:id="283"/>
            <w:r>
              <w:rPr>
                <w:rStyle w:val="25"/>
                <w:rFonts w:ascii="宋体" w:hAnsi="宋体"/>
                <w:szCs w:val="21"/>
              </w:rPr>
              <w:t>服务承诺，</w:t>
            </w:r>
            <w:r>
              <w:rPr>
                <w:rStyle w:val="25"/>
                <w:rFonts w:hint="eastAsia" w:ascii="宋体" w:hAnsi="宋体"/>
                <w:szCs w:val="21"/>
              </w:rPr>
              <w:t>有</w:t>
            </w:r>
            <w:r>
              <w:rPr>
                <w:rStyle w:val="25"/>
                <w:rFonts w:ascii="宋体" w:hAnsi="宋体"/>
                <w:szCs w:val="21"/>
              </w:rPr>
              <w:t>者得</w:t>
            </w:r>
            <w:r>
              <w:rPr>
                <w:rStyle w:val="25"/>
                <w:rFonts w:hint="eastAsia" w:ascii="宋体" w:hAnsi="宋体"/>
                <w:szCs w:val="21"/>
              </w:rPr>
              <w:t>2</w:t>
            </w:r>
            <w:r>
              <w:rPr>
                <w:rStyle w:val="25"/>
                <w:rFonts w:ascii="宋体" w:hAnsi="宋体"/>
                <w:szCs w:val="21"/>
              </w:rPr>
              <w:t>分，没有不得分。</w:t>
            </w:r>
          </w:p>
          <w:p>
            <w:pPr>
              <w:spacing w:line="360" w:lineRule="exact"/>
              <w:textAlignment w:val="baseline"/>
              <w:rPr>
                <w:rStyle w:val="25"/>
                <w:rFonts w:ascii="宋体" w:hAnsi="宋体"/>
                <w:szCs w:val="21"/>
              </w:rPr>
            </w:pPr>
            <w:r>
              <w:rPr>
                <w:rStyle w:val="25"/>
                <w:rFonts w:hint="eastAsia" w:ascii="宋体" w:hAnsi="宋体"/>
                <w:szCs w:val="21"/>
              </w:rPr>
              <w:t>4</w:t>
            </w:r>
            <w:r>
              <w:rPr>
                <w:rStyle w:val="25"/>
                <w:rFonts w:ascii="宋体" w:hAnsi="宋体"/>
                <w:szCs w:val="21"/>
              </w:rPr>
              <w:t>、实施项目的技术保障及主要环节说明，根据投标人描述的完整性、合理性；优者得</w:t>
            </w:r>
            <w:r>
              <w:rPr>
                <w:rStyle w:val="25"/>
                <w:rFonts w:hint="eastAsia" w:ascii="宋体" w:hAnsi="宋体"/>
                <w:szCs w:val="21"/>
              </w:rPr>
              <w:t>2</w:t>
            </w:r>
            <w:r>
              <w:rPr>
                <w:rStyle w:val="25"/>
                <w:rFonts w:ascii="宋体" w:hAnsi="宋体"/>
                <w:szCs w:val="21"/>
              </w:rPr>
              <w:t>分，一般者得</w:t>
            </w:r>
            <w:r>
              <w:rPr>
                <w:rStyle w:val="25"/>
                <w:rFonts w:hint="eastAsia" w:ascii="宋体" w:hAnsi="宋体"/>
                <w:szCs w:val="21"/>
                <w:lang w:val="en-US"/>
              </w:rPr>
              <w:t>1</w:t>
            </w:r>
            <w:r>
              <w:rPr>
                <w:rStyle w:val="25"/>
                <w:rFonts w:ascii="宋体" w:hAnsi="宋体"/>
                <w:szCs w:val="21"/>
              </w:rPr>
              <w:t>分，差的得0分；没有不得分。</w:t>
            </w:r>
          </w:p>
        </w:tc>
      </w:tr>
    </w:tbl>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r>
        <w:rPr>
          <w:rFonts w:hint="eastAsia" w:ascii="宋体" w:hAnsi="宋体" w:cs="仿宋_GB2312"/>
          <w:b/>
          <w:sz w:val="28"/>
          <w:szCs w:val="28"/>
        </w:rPr>
        <w:t xml:space="preserve"> 评标准则和评标方法</w:t>
      </w:r>
      <w:bookmarkEnd w:id="225"/>
      <w:bookmarkEnd w:id="226"/>
      <w:bookmarkEnd w:id="227"/>
      <w:bookmarkEnd w:id="228"/>
      <w:bookmarkEnd w:id="229"/>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0" w:name="_Toc466017208"/>
      <w:bookmarkStart w:id="231" w:name="_Toc13195"/>
      <w:bookmarkStart w:id="232" w:name="_Toc465502580"/>
      <w:bookmarkStart w:id="233" w:name="_Toc454147539"/>
      <w:bookmarkStart w:id="234" w:name="_Toc15449"/>
      <w:r>
        <w:rPr>
          <w:rFonts w:hint="eastAsia" w:ascii="宋体" w:hAnsi="宋体" w:cs="仿宋_GB2312"/>
          <w:b/>
          <w:sz w:val="28"/>
          <w:szCs w:val="28"/>
        </w:rPr>
        <w:t>评审标准</w:t>
      </w:r>
      <w:bookmarkEnd w:id="230"/>
      <w:bookmarkEnd w:id="231"/>
      <w:bookmarkEnd w:id="232"/>
      <w:bookmarkEnd w:id="233"/>
      <w:bookmarkEnd w:id="234"/>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5" w:name="_Toc11065"/>
      <w:r>
        <w:rPr>
          <w:rFonts w:hint="eastAsia" w:ascii="宋体" w:hAnsi="宋体" w:cs="仿宋_GB2312"/>
          <w:b/>
          <w:sz w:val="28"/>
          <w:szCs w:val="28"/>
        </w:rPr>
        <w:t>评标程序</w:t>
      </w:r>
      <w:bookmarkEnd w:id="235"/>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hint="default" w:eastAsia="宋体"/>
          <w:lang w:val="en-US" w:eastAsia="zh-CN"/>
        </w:rPr>
      </w:pPr>
      <w:r>
        <w:rPr>
          <w:rFonts w:hint="eastAsia"/>
        </w:rPr>
        <w:t xml:space="preserve">3.4.1 </w:t>
      </w:r>
      <w:r>
        <w:rPr>
          <w:rFonts w:hint="eastAsia"/>
          <w:lang w:val="zh-CN"/>
        </w:rPr>
        <w:t>投标人得分=投标报价得分+</w:t>
      </w:r>
      <w:r>
        <w:rPr>
          <w:rFonts w:hint="eastAsia"/>
          <w:lang w:val="en-US" w:eastAsia="zh-CN"/>
        </w:rPr>
        <w:t>技术部分</w:t>
      </w:r>
      <w:r>
        <w:rPr>
          <w:rFonts w:hint="eastAsia"/>
        </w:rPr>
        <w:t>得分</w:t>
      </w:r>
      <w:r>
        <w:rPr>
          <w:rFonts w:hint="eastAsia"/>
          <w:lang w:val="zh-CN"/>
        </w:rPr>
        <w:t>+</w:t>
      </w:r>
      <w:r>
        <w:rPr>
          <w:rFonts w:hint="eastAsia"/>
          <w:lang w:val="en-US" w:eastAsia="zh-CN"/>
        </w:rPr>
        <w:t>商务部分</w:t>
      </w:r>
      <w:r>
        <w:rPr>
          <w:rFonts w:hint="eastAsia"/>
        </w:rPr>
        <w:t>得分</w:t>
      </w:r>
      <w:r>
        <w:rPr>
          <w:rFonts w:hint="eastAsia"/>
          <w:lang w:val="en-US" w:eastAsia="zh-CN"/>
        </w:rPr>
        <w:t>+售后部分得分</w:t>
      </w:r>
    </w:p>
    <w:p>
      <w:pPr>
        <w:adjustRightInd w:val="0"/>
        <w:snapToGrid w:val="0"/>
        <w:spacing w:line="560" w:lineRule="exact"/>
        <w:rPr>
          <w:lang w:val="zh-CN"/>
        </w:rPr>
      </w:pPr>
      <w:r>
        <w:rPr>
          <w:rFonts w:hint="eastAsia"/>
          <w:lang w:val="en-US" w:eastAsia="zh-CN"/>
        </w:rPr>
        <w:t>+</w:t>
      </w: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6" w:name="_Toc17922"/>
      <w:bookmarkStart w:id="237" w:name="_Toc16293"/>
      <w:bookmarkStart w:id="238" w:name="_Toc11630"/>
      <w:bookmarkStart w:id="239" w:name="_Toc54"/>
      <w:bookmarkStart w:id="240" w:name="_Toc28863"/>
      <w:bookmarkStart w:id="241" w:name="_Toc19590"/>
      <w:bookmarkStart w:id="242" w:name="_Toc7468"/>
      <w:r>
        <w:rPr>
          <w:rFonts w:hint="eastAsia"/>
          <w:b/>
          <w:bCs/>
          <w:sz w:val="24"/>
        </w:rPr>
        <w:t>3.6 保密及其他注意事项</w:t>
      </w:r>
      <w:bookmarkEnd w:id="236"/>
      <w:bookmarkEnd w:id="237"/>
      <w:bookmarkEnd w:id="238"/>
      <w:bookmarkEnd w:id="239"/>
      <w:bookmarkEnd w:id="240"/>
      <w:bookmarkEnd w:id="241"/>
      <w:bookmarkEnd w:id="242"/>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6"/>
        <w:spacing w:line="600" w:lineRule="exact"/>
        <w:ind w:right="-63" w:rightChars="-30"/>
        <w:rPr>
          <w:rFonts w:asciiTheme="minorEastAsia" w:hAnsiTheme="minorEastAsia" w:eastAsiaTheme="minorEastAsia" w:cstheme="minorEastAsia"/>
          <w:sz w:val="36"/>
          <w:szCs w:val="36"/>
        </w:rPr>
      </w:pPr>
      <w:bookmarkStart w:id="243"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szCs w:val="21"/>
        </w:rPr>
      </w:pPr>
      <w:bookmarkStart w:id="244"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22"/>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5.2 付款方式：</w:t>
      </w:r>
      <w:r>
        <w:rPr>
          <w:rFonts w:hint="eastAsia" w:asciiTheme="minorEastAsia" w:hAnsiTheme="minorEastAsia" w:eastAsiaTheme="minorEastAsia" w:cstheme="minorEastAsia"/>
          <w:color w:val="auto"/>
          <w:kern w:val="2"/>
          <w:sz w:val="21"/>
          <w:szCs w:val="21"/>
        </w:rPr>
        <w:t xml:space="preserve">设备安装完毕经第三方检测机构（第三方检测机构费用由中标人支付）检测合格后第一年付至合同价款的40%，第二年付至合同价款的30%，第三年无质量问题一次性无息付清合同价款剩余的30%。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5" w:name="page"/>
      <w:bookmarkEnd w:id="245"/>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开户行：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账号：                                         账号：</w:t>
      </w:r>
    </w:p>
    <w:p>
      <w:pPr>
        <w:pStyle w:val="10"/>
        <w:numPr>
          <w:ilvl w:val="0"/>
          <w:numId w:val="4"/>
        </w:numPr>
        <w:ind w:left="0" w:leftChars="0" w:firstLine="0" w:firstLineChars="0"/>
        <w:jc w:val="center"/>
        <w:outlineLvl w:val="0"/>
        <w:rPr>
          <w:rFonts w:hint="eastAsia"/>
          <w:b/>
          <w:bCs/>
          <w:sz w:val="32"/>
          <w:szCs w:val="32"/>
        </w:rPr>
      </w:pPr>
      <w:r>
        <w:rPr>
          <w:rFonts w:hint="eastAsia"/>
          <w:b/>
          <w:bCs/>
          <w:sz w:val="32"/>
          <w:szCs w:val="32"/>
        </w:rPr>
        <w:t>采购内容及需求</w:t>
      </w:r>
    </w:p>
    <w:p>
      <w:pPr>
        <w:pStyle w:val="10"/>
        <w:numPr>
          <w:ilvl w:val="0"/>
          <w:numId w:val="8"/>
        </w:numPr>
        <w:ind w:firstLine="240" w:firstLineChars="100"/>
        <w:jc w:val="left"/>
        <w:rPr>
          <w:rFonts w:ascii="宋体" w:hAnsi="宋体" w:cs="宋体"/>
          <w:kern w:val="0"/>
          <w:sz w:val="24"/>
        </w:rPr>
      </w:pPr>
      <w:r>
        <w:rPr>
          <w:rFonts w:hint="eastAsia" w:ascii="宋体" w:hAnsi="宋体" w:cs="宋体"/>
          <w:kern w:val="0"/>
          <w:sz w:val="24"/>
        </w:rPr>
        <w:t>采购内容：</w:t>
      </w:r>
      <w:r>
        <w:rPr>
          <w:rFonts w:hint="eastAsia" w:ascii="宋体" w:hAnsi="宋体" w:cs="宋体"/>
          <w:kern w:val="0"/>
          <w:sz w:val="24"/>
          <w:lang w:val="en-US" w:eastAsia="zh-CN"/>
        </w:rPr>
        <w:t>监控中心系统、高速动态称重系统、卡口车牌识别系统、可变情报板、标志牌、线缆及网络设备、移动执法、后台数据处理系统（详见招标文件）</w:t>
      </w:r>
      <w:r>
        <w:rPr>
          <w:rFonts w:hint="eastAsia" w:ascii="宋体" w:hAnsi="宋体" w:cs="宋体"/>
          <w:kern w:val="0"/>
          <w:sz w:val="24"/>
        </w:rPr>
        <w:t>。</w:t>
      </w:r>
    </w:p>
    <w:p>
      <w:pPr>
        <w:widowControl/>
        <w:numPr>
          <w:ilvl w:val="0"/>
          <w:numId w:val="8"/>
        </w:numPr>
        <w:spacing w:line="360" w:lineRule="exact"/>
        <w:ind w:firstLine="240" w:firstLineChars="100"/>
        <w:jc w:val="left"/>
        <w:textAlignment w:val="baseline"/>
        <w:rPr>
          <w:rFonts w:ascii="宋体" w:hAnsi="宋体" w:cs="宋体"/>
          <w:kern w:val="0"/>
          <w:sz w:val="24"/>
          <w:szCs w:val="16"/>
        </w:rPr>
      </w:pPr>
      <w:r>
        <w:rPr>
          <w:rFonts w:hint="eastAsia" w:ascii="宋体" w:hAnsi="宋体" w:cs="宋体"/>
          <w:kern w:val="0"/>
          <w:sz w:val="24"/>
          <w:szCs w:val="16"/>
        </w:rPr>
        <w:t>技术参数及要求：</w:t>
      </w:r>
    </w:p>
    <w:tbl>
      <w:tblPr>
        <w:tblStyle w:val="18"/>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58"/>
        <w:gridCol w:w="6086"/>
        <w:gridCol w:w="739"/>
        <w:gridCol w:w="89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pPr>
            <w:r>
              <w:rPr>
                <w:rFonts w:hint="eastAsia" w:ascii="宋体" w:hAnsi="宋体" w:cs="宋体"/>
                <w:color w:val="000000"/>
                <w:sz w:val="18"/>
                <w:szCs w:val="18"/>
              </w:rPr>
              <w:t>序号</w:t>
            </w:r>
          </w:p>
        </w:tc>
        <w:tc>
          <w:tcPr>
            <w:tcW w:w="1158" w:type="dxa"/>
          </w:tcPr>
          <w:p>
            <w:pPr>
              <w:spacing w:line="260" w:lineRule="exact"/>
            </w:pPr>
            <w:r>
              <w:rPr>
                <w:rFonts w:hint="eastAsia" w:ascii="宋体" w:hAnsi="宋体" w:cs="宋体"/>
                <w:color w:val="000000"/>
                <w:sz w:val="18"/>
                <w:szCs w:val="18"/>
              </w:rPr>
              <w:t>设备名称</w:t>
            </w:r>
          </w:p>
        </w:tc>
        <w:tc>
          <w:tcPr>
            <w:tcW w:w="6086" w:type="dxa"/>
          </w:tcPr>
          <w:p>
            <w:pPr>
              <w:spacing w:line="260" w:lineRule="exact"/>
              <w:ind w:firstLine="209"/>
              <w:jc w:val="center"/>
            </w:pPr>
            <w:r>
              <w:rPr>
                <w:rFonts w:hint="eastAsia" w:ascii="宋体" w:hAnsi="宋体" w:cs="宋体"/>
                <w:color w:val="000000"/>
                <w:sz w:val="18"/>
                <w:szCs w:val="18"/>
              </w:rPr>
              <w:t>产品参数</w:t>
            </w:r>
          </w:p>
        </w:tc>
        <w:tc>
          <w:tcPr>
            <w:tcW w:w="739" w:type="dxa"/>
          </w:tcPr>
          <w:p>
            <w:pPr>
              <w:spacing w:line="260" w:lineRule="exact"/>
              <w:jc w:val="center"/>
            </w:pPr>
            <w:r>
              <w:rPr>
                <w:rFonts w:hint="eastAsia" w:ascii="宋体" w:hAnsi="宋体" w:cs="宋体"/>
                <w:color w:val="000000"/>
                <w:sz w:val="18"/>
                <w:szCs w:val="18"/>
              </w:rPr>
              <w:t>单位</w:t>
            </w:r>
          </w:p>
        </w:tc>
        <w:tc>
          <w:tcPr>
            <w:tcW w:w="898" w:type="dxa"/>
          </w:tcPr>
          <w:p>
            <w:pPr>
              <w:spacing w:line="260" w:lineRule="exact"/>
              <w:jc w:val="center"/>
            </w:pPr>
            <w:r>
              <w:rPr>
                <w:rFonts w:hint="eastAsia" w:ascii="宋体" w:hAnsi="宋体" w:cs="宋体"/>
                <w:color w:val="000000"/>
                <w:sz w:val="18"/>
                <w:szCs w:val="18"/>
              </w:rPr>
              <w:t>数量</w:t>
            </w:r>
          </w:p>
        </w:tc>
        <w:tc>
          <w:tcPr>
            <w:tcW w:w="609" w:type="dxa"/>
          </w:tcPr>
          <w:p>
            <w:pPr>
              <w:spacing w:line="260" w:lineRule="exact"/>
              <w:jc w:val="cente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jc w:val="center"/>
              <w:rPr>
                <w:rFonts w:hint="eastAsia" w:eastAsia="宋体"/>
                <w:lang w:val="en-US" w:eastAsia="zh-CN"/>
              </w:rPr>
            </w:pPr>
            <w:r>
              <w:rPr>
                <w:rFonts w:hint="eastAsia" w:ascii="宋体" w:hAnsi="宋体" w:cs="宋体"/>
                <w:b/>
                <w:bCs/>
                <w:color w:val="000000"/>
                <w:sz w:val="18"/>
                <w:szCs w:val="18"/>
              </w:rPr>
              <w:t>（一）</w:t>
            </w:r>
            <w:r>
              <w:rPr>
                <w:rFonts w:hint="eastAsia" w:ascii="宋体" w:hAnsi="宋体" w:cs="宋体"/>
                <w:b/>
                <w:bCs/>
                <w:color w:val="auto"/>
                <w:sz w:val="18"/>
                <w:szCs w:val="18"/>
              </w:rPr>
              <w:t>监控中心</w:t>
            </w:r>
            <w:r>
              <w:rPr>
                <w:rFonts w:hint="eastAsia" w:ascii="宋体" w:hAnsi="宋体" w:cs="宋体"/>
                <w:b/>
                <w:bCs/>
                <w:color w:val="auto"/>
                <w:sz w:val="18"/>
                <w:szCs w:val="18"/>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158"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磁盘阵列</w:t>
            </w:r>
          </w:p>
        </w:tc>
        <w:tc>
          <w:tcPr>
            <w:tcW w:w="6086" w:type="dxa"/>
          </w:tcPr>
          <w:p>
            <w:pPr>
              <w:numPr>
                <w:ilvl w:val="0"/>
                <w:numId w:val="9"/>
              </w:numPr>
              <w:spacing w:line="260" w:lineRule="exact"/>
              <w:jc w:val="left"/>
              <w:rPr>
                <w:rFonts w:ascii="宋体" w:hAnsi="宋体" w:cs="宋体"/>
                <w:color w:val="000000"/>
                <w:sz w:val="18"/>
                <w:szCs w:val="18"/>
              </w:rPr>
            </w:pPr>
            <w:r>
              <w:rPr>
                <w:rFonts w:hint="eastAsia" w:ascii="宋体" w:hAnsi="宋体" w:cs="宋体"/>
                <w:color w:val="000000"/>
                <w:sz w:val="18"/>
                <w:szCs w:val="18"/>
              </w:rPr>
              <w:t xml:space="preserve">控制器磁盘阵列≧16盘位；640Mbps接入带宽,3个千兆数据网口；流媒体模式：160路接入+160路录像+160路转发；                                   </w:t>
            </w:r>
          </w:p>
          <w:p>
            <w:pPr>
              <w:numPr>
                <w:ilvl w:val="0"/>
                <w:numId w:val="9"/>
              </w:numPr>
              <w:spacing w:line="260" w:lineRule="exact"/>
              <w:jc w:val="left"/>
              <w:rPr>
                <w:rFonts w:ascii="宋体" w:hAnsi="宋体" w:cs="宋体"/>
                <w:color w:val="000000"/>
                <w:sz w:val="18"/>
                <w:szCs w:val="18"/>
              </w:rPr>
            </w:pPr>
            <w:r>
              <w:rPr>
                <w:rFonts w:hint="eastAsia" w:ascii="宋体" w:hAnsi="宋体" w:cs="宋体"/>
                <w:color w:val="000000"/>
                <w:sz w:val="18"/>
                <w:szCs w:val="18"/>
              </w:rPr>
              <w:t>支持视频流和图片、smart、视频 文件进行混合直写存储；支持SMART IPC接入，支持存储智能信息，实现智能事件检索功能，精确定位重点事件，并可通过平台进行智能浓缩播放。                                                   3、3U机架式≧16盘位、单控制器、支持SATA硬盘；64位多核处理器、≧4GB（标配，可扩展至≧32G）；2个HDMI接口；2个SAS2.0接口；支持RAID 0、1、3、5、6、10、50，60；网络协议：RTSP/ONVIF/PSIA/SIP（GB/T28181）</w:t>
            </w:r>
          </w:p>
        </w:tc>
        <w:tc>
          <w:tcPr>
            <w:tcW w:w="739" w:type="dxa"/>
            <w:vAlign w:val="center"/>
          </w:tcPr>
          <w:p>
            <w:pPr>
              <w:spacing w:line="260" w:lineRule="exact"/>
              <w:ind w:firstLine="180" w:firstLineChars="100"/>
              <w:rPr>
                <w:rFonts w:ascii="宋体" w:hAnsi="宋体" w:cs="宋体"/>
                <w:color w:val="000000"/>
                <w:sz w:val="18"/>
                <w:szCs w:val="18"/>
              </w:rPr>
            </w:pPr>
            <w:r>
              <w:rPr>
                <w:rFonts w:hint="eastAsia" w:ascii="宋体" w:hAnsi="宋体" w:cs="宋体"/>
                <w:color w:val="000000"/>
                <w:sz w:val="18"/>
                <w:szCs w:val="18"/>
              </w:rPr>
              <w:t>台</w:t>
            </w:r>
          </w:p>
        </w:tc>
        <w:tc>
          <w:tcPr>
            <w:tcW w:w="898" w:type="dxa"/>
            <w:vAlign w:val="center"/>
          </w:tcPr>
          <w:p>
            <w:pPr>
              <w:spacing w:line="260" w:lineRule="exact"/>
              <w:ind w:firstLine="180" w:firstLineChars="100"/>
              <w:rPr>
                <w:rFonts w:ascii="宋体" w:hAnsi="宋体" w:cs="宋体"/>
                <w:color w:val="000000"/>
                <w:sz w:val="18"/>
                <w:szCs w:val="18"/>
              </w:rPr>
            </w:pPr>
            <w:r>
              <w:rPr>
                <w:rFonts w:hint="eastAsia" w:ascii="宋体" w:hAnsi="宋体" w:cs="宋体"/>
                <w:color w:val="000000"/>
                <w:sz w:val="18"/>
                <w:szCs w:val="18"/>
              </w:rPr>
              <w:t>1</w:t>
            </w:r>
          </w:p>
        </w:tc>
        <w:tc>
          <w:tcPr>
            <w:tcW w:w="609" w:type="dxa"/>
          </w:tcPr>
          <w:p>
            <w:pPr>
              <w:spacing w:line="26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pPr>
            <w:r>
              <w:rPr>
                <w:rFonts w:hint="eastAsia" w:ascii="宋体" w:hAnsi="宋体" w:cs="宋体"/>
                <w:color w:val="000000"/>
                <w:sz w:val="18"/>
                <w:szCs w:val="18"/>
              </w:rPr>
              <w:t>2</w:t>
            </w:r>
          </w:p>
        </w:tc>
        <w:tc>
          <w:tcPr>
            <w:tcW w:w="1158" w:type="dxa"/>
          </w:tcPr>
          <w:p>
            <w:pPr>
              <w:spacing w:line="260" w:lineRule="exact"/>
              <w:ind w:firstLine="180" w:firstLineChars="100"/>
              <w:jc w:val="both"/>
            </w:pPr>
            <w:r>
              <w:rPr>
                <w:rFonts w:hint="eastAsia" w:ascii="宋体" w:hAnsi="宋体" w:cs="宋体"/>
                <w:color w:val="000000"/>
                <w:sz w:val="18"/>
                <w:szCs w:val="18"/>
              </w:rPr>
              <w:t>硬盘</w:t>
            </w:r>
          </w:p>
        </w:tc>
        <w:tc>
          <w:tcPr>
            <w:tcW w:w="6086" w:type="dxa"/>
          </w:tcPr>
          <w:p>
            <w:pPr>
              <w:spacing w:line="260" w:lineRule="exact"/>
            </w:pPr>
            <w:r>
              <w:rPr>
                <w:rFonts w:hint="eastAsia" w:ascii="宋体" w:hAnsi="宋体" w:cs="宋体"/>
                <w:color w:val="000000"/>
                <w:sz w:val="18"/>
                <w:szCs w:val="18"/>
              </w:rPr>
              <w:t>监控级硬盘；SATA接口；转速≧5900rpm；容量≧4TB；缓存≧64MB。</w:t>
            </w:r>
          </w:p>
        </w:tc>
        <w:tc>
          <w:tcPr>
            <w:tcW w:w="739" w:type="dxa"/>
            <w:vAlign w:val="center"/>
          </w:tcPr>
          <w:p>
            <w:pPr>
              <w:spacing w:line="260" w:lineRule="exact"/>
              <w:ind w:firstLine="180" w:firstLineChars="100"/>
            </w:pPr>
            <w:r>
              <w:rPr>
                <w:rFonts w:hint="eastAsia" w:ascii="宋体" w:hAnsi="宋体" w:cs="宋体"/>
                <w:color w:val="000000"/>
                <w:sz w:val="18"/>
                <w:szCs w:val="18"/>
              </w:rPr>
              <w:t>块</w:t>
            </w:r>
          </w:p>
        </w:tc>
        <w:tc>
          <w:tcPr>
            <w:tcW w:w="898" w:type="dxa"/>
            <w:vAlign w:val="center"/>
          </w:tcPr>
          <w:p>
            <w:pPr>
              <w:spacing w:line="260" w:lineRule="exact"/>
              <w:ind w:firstLine="180" w:firstLineChars="100"/>
            </w:pPr>
            <w:r>
              <w:rPr>
                <w:rFonts w:hint="eastAsia" w:ascii="宋体" w:hAnsi="宋体" w:cs="宋体"/>
                <w:color w:val="000000"/>
                <w:sz w:val="18"/>
                <w:szCs w:val="18"/>
              </w:rPr>
              <w:t>18</w:t>
            </w:r>
          </w:p>
        </w:tc>
        <w:tc>
          <w:tcPr>
            <w:tcW w:w="609" w:type="dxa"/>
          </w:tcPr>
          <w:p>
            <w:pPr>
              <w:spacing w:line="260" w:lineRule="exact"/>
              <w:jc w:val="left"/>
            </w:pPr>
            <w:r>
              <w:rPr>
                <w:rFonts w:hint="eastAsia" w:ascii="宋体" w:hAnsi="宋体" w:cs="宋体"/>
                <w:color w:val="000000"/>
                <w:sz w:val="18"/>
                <w:szCs w:val="18"/>
              </w:rPr>
              <w:t>备用2块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pPr>
            <w:r>
              <w:rPr>
                <w:rFonts w:hint="eastAsia" w:ascii="宋体" w:hAnsi="宋体" w:cs="宋体"/>
                <w:color w:val="000000"/>
                <w:sz w:val="18"/>
                <w:szCs w:val="18"/>
              </w:rPr>
              <w:t>3</w:t>
            </w:r>
          </w:p>
        </w:tc>
        <w:tc>
          <w:tcPr>
            <w:tcW w:w="1158" w:type="dxa"/>
          </w:tcPr>
          <w:p>
            <w:pPr>
              <w:spacing w:line="260" w:lineRule="exact"/>
              <w:jc w:val="center"/>
            </w:pPr>
            <w:r>
              <w:rPr>
                <w:rFonts w:hint="eastAsia" w:ascii="宋体" w:hAnsi="宋体" w:cs="宋体"/>
                <w:color w:val="000000"/>
                <w:sz w:val="18"/>
                <w:szCs w:val="18"/>
              </w:rPr>
              <w:t>服务器</w:t>
            </w:r>
          </w:p>
        </w:tc>
        <w:tc>
          <w:tcPr>
            <w:tcW w:w="6086" w:type="dxa"/>
          </w:tcPr>
          <w:p>
            <w:pPr>
              <w:numPr>
                <w:ilvl w:val="0"/>
                <w:numId w:val="10"/>
              </w:numPr>
              <w:spacing w:line="260" w:lineRule="exact"/>
              <w:jc w:val="left"/>
              <w:rPr>
                <w:rFonts w:ascii="宋体" w:hAnsi="宋体" w:cs="宋体"/>
                <w:color w:val="000000"/>
                <w:sz w:val="18"/>
                <w:szCs w:val="18"/>
              </w:rPr>
            </w:pPr>
            <w:r>
              <w:rPr>
                <w:rFonts w:hint="eastAsia" w:ascii="宋体" w:hAnsi="宋体" w:cs="宋体"/>
                <w:color w:val="000000"/>
                <w:sz w:val="18"/>
                <w:szCs w:val="18"/>
              </w:rPr>
              <w:t>机箱盘位≧8个盘位，≧3.5寸盘；CPU：至强4210R 内存≧32G；硬盘2个≧1.2T；</w:t>
            </w:r>
          </w:p>
          <w:p>
            <w:pPr>
              <w:spacing w:line="260" w:lineRule="exact"/>
              <w:jc w:val="left"/>
            </w:pPr>
            <w:r>
              <w:rPr>
                <w:rFonts w:hint="eastAsia" w:ascii="宋体" w:hAnsi="宋体" w:cs="宋体"/>
                <w:color w:val="000000"/>
                <w:sz w:val="18"/>
                <w:szCs w:val="18"/>
              </w:rPr>
              <w:t>2、raid：支持raid1,0；idrac；标配网卡Broadcom 5720 四端口；风扇≧6个。</w:t>
            </w:r>
          </w:p>
        </w:tc>
        <w:tc>
          <w:tcPr>
            <w:tcW w:w="739" w:type="dxa"/>
            <w:vAlign w:val="center"/>
          </w:tcPr>
          <w:p>
            <w:pPr>
              <w:spacing w:line="260" w:lineRule="exact"/>
            </w:pPr>
            <w:r>
              <w:rPr>
                <w:rFonts w:hint="eastAsia" w:ascii="宋体" w:hAnsi="宋体" w:cs="宋体"/>
                <w:color w:val="000000"/>
                <w:sz w:val="18"/>
                <w:szCs w:val="18"/>
              </w:rPr>
              <w:t>台</w:t>
            </w:r>
          </w:p>
        </w:tc>
        <w:tc>
          <w:tcPr>
            <w:tcW w:w="898" w:type="dxa"/>
            <w:vAlign w:val="center"/>
          </w:tcPr>
          <w:p>
            <w:pPr>
              <w:spacing w:line="260" w:lineRule="exact"/>
              <w:ind w:firstLine="180" w:firstLineChars="100"/>
            </w:pPr>
            <w:r>
              <w:rPr>
                <w:rFonts w:hint="eastAsia" w:ascii="宋体" w:hAnsi="宋体" w:cs="宋体"/>
                <w:color w:val="000000"/>
                <w:sz w:val="18"/>
                <w:szCs w:val="18"/>
              </w:rPr>
              <w:t>2</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4</w:t>
            </w:r>
          </w:p>
        </w:tc>
        <w:tc>
          <w:tcPr>
            <w:tcW w:w="1158" w:type="dxa"/>
          </w:tcPr>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路由器</w:t>
            </w:r>
          </w:p>
        </w:tc>
        <w:tc>
          <w:tcPr>
            <w:tcW w:w="6086" w:type="dxa"/>
          </w:tcPr>
          <w:p>
            <w:pPr>
              <w:spacing w:line="260" w:lineRule="exact"/>
              <w:jc w:val="left"/>
              <w:rPr>
                <w:rFonts w:ascii="宋体" w:hAnsi="宋体" w:cs="宋体"/>
                <w:color w:val="000000"/>
                <w:sz w:val="18"/>
                <w:szCs w:val="18"/>
              </w:rPr>
            </w:pPr>
            <w:r>
              <w:rPr>
                <w:rFonts w:hint="eastAsia" w:ascii="宋体" w:hAnsi="宋体" w:cs="宋体"/>
                <w:color w:val="000000"/>
                <w:sz w:val="18"/>
                <w:szCs w:val="18"/>
              </w:rPr>
              <w:t>1、WAN接口：2个10/100/1000base-T以太网端口；LAN接口3个10/100/1000Base-T以太网端口；</w:t>
            </w:r>
          </w:p>
          <w:p>
            <w:pPr>
              <w:spacing w:line="260" w:lineRule="exact"/>
              <w:jc w:val="left"/>
              <w:rPr>
                <w:rFonts w:ascii="宋体" w:hAnsi="宋体" w:cs="宋体"/>
                <w:color w:val="000000"/>
                <w:sz w:val="18"/>
                <w:szCs w:val="18"/>
              </w:rPr>
            </w:pPr>
            <w:r>
              <w:rPr>
                <w:rFonts w:hint="eastAsia" w:ascii="宋体" w:hAnsi="宋体" w:cs="宋体"/>
                <w:color w:val="000000"/>
                <w:sz w:val="18"/>
                <w:szCs w:val="18"/>
              </w:rPr>
              <w:t>2、处理器双核1GHz；带机量≧100-150人；适用带宽≧500M；内存≧256M</w:t>
            </w:r>
          </w:p>
          <w:p>
            <w:pPr>
              <w:spacing w:line="260" w:lineRule="exact"/>
              <w:jc w:val="left"/>
            </w:pPr>
            <w:r>
              <w:rPr>
                <w:rFonts w:hint="eastAsia" w:ascii="宋体" w:hAnsi="宋体" w:cs="宋体"/>
                <w:color w:val="000000"/>
                <w:sz w:val="18"/>
                <w:szCs w:val="18"/>
              </w:rPr>
              <w:t>3、电压：100-240V；电源功率：&lt;20W。</w:t>
            </w:r>
          </w:p>
        </w:tc>
        <w:tc>
          <w:tcPr>
            <w:tcW w:w="739"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pPr>
            <w:r>
              <w:rPr>
                <w:rFonts w:hint="eastAsia" w:ascii="宋体" w:hAnsi="宋体" w:cs="宋体"/>
                <w:color w:val="000000"/>
                <w:sz w:val="18"/>
                <w:szCs w:val="18"/>
              </w:rPr>
              <w:t>台</w:t>
            </w:r>
          </w:p>
        </w:tc>
        <w:tc>
          <w:tcPr>
            <w:tcW w:w="898"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1</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pPr>
            <w:r>
              <w:rPr>
                <w:rFonts w:hint="eastAsia" w:ascii="宋体" w:hAnsi="宋体" w:cs="宋体"/>
                <w:color w:val="000000"/>
                <w:sz w:val="18"/>
                <w:szCs w:val="18"/>
              </w:rPr>
              <w:t>5</w:t>
            </w:r>
          </w:p>
        </w:tc>
        <w:tc>
          <w:tcPr>
            <w:tcW w:w="1158" w:type="dxa"/>
          </w:tcPr>
          <w:p>
            <w:pPr>
              <w:spacing w:line="260" w:lineRule="exact"/>
              <w:jc w:val="center"/>
            </w:pPr>
            <w:r>
              <w:rPr>
                <w:rFonts w:hint="eastAsia" w:ascii="宋体" w:hAnsi="宋体" w:cs="宋体"/>
                <w:color w:val="000000"/>
                <w:sz w:val="18"/>
                <w:szCs w:val="18"/>
              </w:rPr>
              <w:t>交换机</w:t>
            </w:r>
          </w:p>
        </w:tc>
        <w:tc>
          <w:tcPr>
            <w:tcW w:w="6086" w:type="dxa"/>
          </w:tcPr>
          <w:p>
            <w:pPr>
              <w:spacing w:line="260" w:lineRule="exact"/>
            </w:pPr>
            <w:r>
              <w:rPr>
                <w:rFonts w:hint="eastAsia" w:ascii="宋体" w:hAnsi="宋体" w:cs="宋体"/>
                <w:color w:val="000000"/>
                <w:sz w:val="18"/>
                <w:szCs w:val="18"/>
              </w:rPr>
              <w:t>1、交换容量≧32Gbps；包转发率≧24Mpps；输入电压100V-240V；功耗＜9.5W。</w:t>
            </w:r>
          </w:p>
        </w:tc>
        <w:tc>
          <w:tcPr>
            <w:tcW w:w="739" w:type="dxa"/>
          </w:tcPr>
          <w:p>
            <w:pPr>
              <w:spacing w:line="260" w:lineRule="exact"/>
            </w:pPr>
            <w:r>
              <w:rPr>
                <w:rFonts w:hint="eastAsia" w:ascii="宋体" w:hAnsi="宋体" w:cs="宋体"/>
                <w:color w:val="000000"/>
                <w:sz w:val="18"/>
                <w:szCs w:val="18"/>
              </w:rPr>
              <w:t>台</w:t>
            </w:r>
          </w:p>
        </w:tc>
        <w:tc>
          <w:tcPr>
            <w:tcW w:w="898" w:type="dxa"/>
          </w:tcPr>
          <w:p>
            <w:pPr>
              <w:spacing w:line="260" w:lineRule="exact"/>
              <w:jc w:val="center"/>
            </w:pPr>
            <w:r>
              <w:rPr>
                <w:rFonts w:hint="eastAsia" w:ascii="宋体" w:hAnsi="宋体" w:cs="宋体"/>
                <w:color w:val="000000"/>
                <w:sz w:val="18"/>
                <w:szCs w:val="18"/>
              </w:rPr>
              <w:t>1</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pPr>
            <w:r>
              <w:rPr>
                <w:rFonts w:hint="eastAsia" w:ascii="宋体" w:hAnsi="宋体" w:cs="宋体"/>
                <w:color w:val="000000"/>
                <w:sz w:val="18"/>
                <w:szCs w:val="18"/>
              </w:rPr>
              <w:t>6</w:t>
            </w:r>
          </w:p>
        </w:tc>
        <w:tc>
          <w:tcPr>
            <w:tcW w:w="1158" w:type="dxa"/>
          </w:tcPr>
          <w:p>
            <w:pPr>
              <w:spacing w:line="260" w:lineRule="exact"/>
              <w:jc w:val="center"/>
            </w:pPr>
            <w:r>
              <w:rPr>
                <w:rFonts w:hint="eastAsia" w:ascii="宋体" w:hAnsi="宋体" w:cs="宋体"/>
                <w:color w:val="000000"/>
                <w:sz w:val="18"/>
                <w:szCs w:val="18"/>
              </w:rPr>
              <w:t>服务器机柜</w:t>
            </w:r>
          </w:p>
        </w:tc>
        <w:tc>
          <w:tcPr>
            <w:tcW w:w="6086" w:type="dxa"/>
          </w:tcPr>
          <w:p>
            <w:pPr>
              <w:spacing w:line="260" w:lineRule="exact"/>
            </w:pPr>
            <w:r>
              <w:rPr>
                <w:rFonts w:hint="eastAsia" w:ascii="宋体" w:hAnsi="宋体" w:cs="宋体"/>
                <w:color w:val="000000"/>
                <w:sz w:val="18"/>
                <w:szCs w:val="18"/>
              </w:rPr>
              <w:t>1、高≧2000mm，深≧800mm，宽≧600mm。</w:t>
            </w:r>
          </w:p>
        </w:tc>
        <w:tc>
          <w:tcPr>
            <w:tcW w:w="739" w:type="dxa"/>
          </w:tcPr>
          <w:p>
            <w:pPr>
              <w:spacing w:line="260" w:lineRule="exact"/>
            </w:pPr>
            <w:r>
              <w:rPr>
                <w:rFonts w:hint="eastAsia" w:ascii="宋体" w:hAnsi="宋体" w:cs="宋体"/>
                <w:color w:val="000000"/>
                <w:sz w:val="18"/>
                <w:szCs w:val="18"/>
              </w:rPr>
              <w:t>台</w:t>
            </w:r>
          </w:p>
        </w:tc>
        <w:tc>
          <w:tcPr>
            <w:tcW w:w="898" w:type="dxa"/>
          </w:tcPr>
          <w:p>
            <w:pPr>
              <w:spacing w:line="260" w:lineRule="exact"/>
              <w:jc w:val="center"/>
            </w:pPr>
            <w:r>
              <w:rPr>
                <w:rFonts w:hint="eastAsia" w:ascii="宋体" w:hAnsi="宋体" w:cs="宋体"/>
                <w:color w:val="000000"/>
                <w:sz w:val="18"/>
                <w:szCs w:val="18"/>
              </w:rPr>
              <w:t>1</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7</w:t>
            </w:r>
          </w:p>
        </w:tc>
        <w:tc>
          <w:tcPr>
            <w:tcW w:w="1158" w:type="dxa"/>
          </w:tcPr>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硬盘录像机NVR</w:t>
            </w:r>
          </w:p>
        </w:tc>
        <w:tc>
          <w:tcPr>
            <w:tcW w:w="6086" w:type="dxa"/>
          </w:tcPr>
          <w:p>
            <w:pPr>
              <w:spacing w:line="260" w:lineRule="exact"/>
              <w:rPr>
                <w:rFonts w:ascii="宋体" w:hAnsi="宋体" w:cs="宋体"/>
                <w:color w:val="000000"/>
                <w:sz w:val="18"/>
                <w:szCs w:val="18"/>
              </w:rPr>
            </w:pPr>
            <w:r>
              <w:rPr>
                <w:rFonts w:hint="eastAsia" w:ascii="宋体" w:hAnsi="宋体" w:cs="宋体"/>
                <w:color w:val="000000"/>
                <w:sz w:val="18"/>
                <w:szCs w:val="18"/>
              </w:rPr>
              <w:t>1、硬件规格：2U标准机架式；2个HDMI，2个VGA,HDMI+VGA组内同源；2个千兆网口；2个USB2.0接口、1个USB3.0接口、1个eSATA接口；支持RAID0、1、5、10，支持全局热备盘。</w:t>
            </w:r>
          </w:p>
          <w:p>
            <w:pPr>
              <w:spacing w:line="260" w:lineRule="exact"/>
            </w:pPr>
            <w:r>
              <w:rPr>
                <w:rFonts w:hint="eastAsia" w:ascii="宋体" w:hAnsi="宋体" w:cs="宋体"/>
                <w:color w:val="000000"/>
                <w:sz w:val="18"/>
                <w:szCs w:val="18"/>
              </w:rPr>
              <w:t>2、软件性能：输入带宽≧128M；8路H.264、H.265混合接入；最大支持16×1080P解码；支持H.265、H.264解码；</w:t>
            </w:r>
          </w:p>
        </w:tc>
        <w:tc>
          <w:tcPr>
            <w:tcW w:w="739" w:type="dxa"/>
          </w:tcPr>
          <w:p>
            <w:pPr>
              <w:spacing w:line="260" w:lineRule="exact"/>
              <w:rPr>
                <w:rFonts w:ascii="宋体" w:hAnsi="宋体" w:cs="宋体"/>
                <w:color w:val="000000"/>
                <w:sz w:val="18"/>
                <w:szCs w:val="18"/>
              </w:rPr>
            </w:pPr>
          </w:p>
          <w:p>
            <w:pPr>
              <w:spacing w:line="260" w:lineRule="exact"/>
            </w:pPr>
            <w:r>
              <w:rPr>
                <w:rFonts w:hint="eastAsia" w:ascii="宋体" w:hAnsi="宋体" w:cs="宋体"/>
                <w:color w:val="000000"/>
                <w:sz w:val="18"/>
                <w:szCs w:val="18"/>
              </w:rPr>
              <w:t>台</w:t>
            </w:r>
          </w:p>
        </w:tc>
        <w:tc>
          <w:tcPr>
            <w:tcW w:w="898" w:type="dxa"/>
          </w:tcPr>
          <w:p>
            <w:pPr>
              <w:spacing w:line="260" w:lineRule="exact"/>
              <w:jc w:val="center"/>
              <w:rPr>
                <w:rFonts w:ascii="宋体" w:hAnsi="宋体" w:cs="宋体"/>
                <w:color w:val="000000"/>
                <w:sz w:val="18"/>
                <w:szCs w:val="18"/>
              </w:rPr>
            </w:pPr>
          </w:p>
          <w:p>
            <w:pPr>
              <w:spacing w:line="260" w:lineRule="exact"/>
              <w:jc w:val="center"/>
            </w:pPr>
            <w:r>
              <w:rPr>
                <w:rFonts w:hint="eastAsia" w:ascii="宋体" w:hAnsi="宋体" w:cs="宋体"/>
                <w:color w:val="000000"/>
                <w:sz w:val="18"/>
                <w:szCs w:val="18"/>
              </w:rPr>
              <w:t>1</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158"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r>
              <w:rPr>
                <w:rFonts w:hint="eastAsia" w:ascii="宋体" w:hAnsi="宋体" w:cs="宋体"/>
                <w:color w:val="000000"/>
                <w:sz w:val="18"/>
                <w:szCs w:val="18"/>
              </w:rPr>
              <w:t>室内LED高清显示屏</w:t>
            </w:r>
          </w:p>
        </w:tc>
        <w:tc>
          <w:tcPr>
            <w:tcW w:w="6086" w:type="dxa"/>
          </w:tcPr>
          <w:p>
            <w:pPr>
              <w:numPr>
                <w:ilvl w:val="0"/>
                <w:numId w:val="0"/>
              </w:num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像素间距≤1.57mm；像素密度≥409659点/㎡；屏幕尺寸≧3m *1.6875m，</w:t>
            </w:r>
          </w:p>
          <w:p>
            <w:pPr>
              <w:numPr>
                <w:ilvl w:val="0"/>
                <w:numId w:val="0"/>
              </w:num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屏幕分辨率≧1920点 * 1080点；</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无“毛毛虫”“鬼影”跟随现象；</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支持模块校正和数据存储及回读；</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重量≤25Kg，电源、模组、接收卡、HUB 卡全前维护操作；</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6.</w:t>
            </w:r>
            <w:r>
              <w:rPr>
                <w:rFonts w:hint="eastAsia" w:ascii="宋体" w:hAnsi="宋体" w:cs="宋体"/>
                <w:color w:val="000000"/>
                <w:sz w:val="18"/>
                <w:szCs w:val="18"/>
              </w:rPr>
              <w:t>自动 gamma 矫正技术；</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7.</w:t>
            </w:r>
            <w:r>
              <w:rPr>
                <w:rFonts w:hint="eastAsia" w:ascii="宋体" w:hAnsi="宋体" w:cs="宋体"/>
                <w:color w:val="000000"/>
                <w:sz w:val="18"/>
                <w:szCs w:val="18"/>
              </w:rPr>
              <w:t>像素失控率≤0.000001 ；寿命典型值≥100000 小时，支持 7*24H 连续工作；显示亮度 ≥780nits； 灰度100%；亮度≥ 16bit；</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8</w:t>
            </w:r>
            <w:r>
              <w:rPr>
                <w:rFonts w:hint="eastAsia" w:ascii="宋体" w:hAnsi="宋体" w:cs="宋体"/>
                <w:color w:val="000000"/>
                <w:sz w:val="18"/>
                <w:szCs w:val="18"/>
              </w:rPr>
              <w:t>.箱体采用压铸铝合金材质，箱体背板为一次性整体压铸成型，全金属自然散热结构，无风扇，波浪形散热片，无孔，防尘设计；</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9</w:t>
            </w:r>
            <w:r>
              <w:rPr>
                <w:rFonts w:hint="eastAsia" w:ascii="宋体" w:hAnsi="宋体" w:cs="宋体"/>
                <w:color w:val="000000"/>
                <w:sz w:val="18"/>
                <w:szCs w:val="18"/>
              </w:rPr>
              <w:t>.模组采用磁悬浮安装方式，受结构影响小，平整度有保证；</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r>
              <w:rPr>
                <w:rFonts w:hint="eastAsia" w:ascii="宋体" w:hAnsi="宋体" w:cs="宋体"/>
                <w:color w:val="000000"/>
                <w:sz w:val="18"/>
                <w:szCs w:val="18"/>
              </w:rPr>
              <w:t>.色温可调范围：≥2000k~10000k，并可自定义色温值。</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r>
              <w:rPr>
                <w:rFonts w:hint="eastAsia" w:ascii="宋体" w:hAnsi="宋体" w:cs="宋体"/>
                <w:color w:val="000000"/>
                <w:sz w:val="18"/>
                <w:szCs w:val="18"/>
              </w:rPr>
              <w:t>.对比度 10100:1；视角水平视角≥164°;垂直视角≥159；</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r>
              <w:rPr>
                <w:rFonts w:hint="eastAsia" w:ascii="宋体" w:hAnsi="宋体" w:cs="宋体"/>
                <w:color w:val="000000"/>
                <w:sz w:val="18"/>
                <w:szCs w:val="18"/>
              </w:rPr>
              <w:t>.刷新频率≥3840HZ；换帧频率≥50&amp;60HZ；模组亮度均匀性≥97.9%；</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r>
              <w:rPr>
                <w:rFonts w:hint="eastAsia" w:ascii="宋体" w:hAnsi="宋体" w:cs="宋体"/>
                <w:color w:val="000000"/>
                <w:sz w:val="18"/>
                <w:szCs w:val="18"/>
              </w:rPr>
              <w:t>.峰值功耗≤518W/㎡、平均功耗≤140W/㎡；NTSC 色域覆盖率≥120%；</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r>
              <w:rPr>
                <w:rFonts w:hint="eastAsia" w:ascii="宋体" w:hAnsi="宋体" w:cs="宋体"/>
                <w:color w:val="000000"/>
                <w:sz w:val="18"/>
                <w:szCs w:val="18"/>
              </w:rPr>
              <w:t xml:space="preserve">.产品防尘等级满足IP5X防护等级；裂纹、锈蚀等现象，符合盐雾≧10 级要求；                                           </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r>
              <w:rPr>
                <w:rFonts w:hint="eastAsia" w:ascii="宋体" w:hAnsi="宋体" w:cs="宋体"/>
                <w:color w:val="000000"/>
                <w:sz w:val="18"/>
                <w:szCs w:val="18"/>
              </w:rPr>
              <w:t>.工作温度范围-20℃-40℃；存储温度范围-30℃-60℃；</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r>
              <w:rPr>
                <w:rFonts w:hint="eastAsia" w:ascii="宋体" w:hAnsi="宋体" w:cs="宋体"/>
                <w:color w:val="000000"/>
                <w:sz w:val="18"/>
                <w:szCs w:val="18"/>
              </w:rPr>
              <w:t>. 在≤40℃80%RH 恒定湿热环境下，工作正常。</w:t>
            </w:r>
          </w:p>
          <w:p>
            <w:pPr>
              <w:spacing w:line="260" w:lineRule="exact"/>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r>
              <w:rPr>
                <w:rFonts w:hint="eastAsia" w:ascii="宋体" w:hAnsi="宋体" w:cs="宋体"/>
                <w:color w:val="000000"/>
                <w:sz w:val="18"/>
                <w:szCs w:val="18"/>
              </w:rPr>
              <w:t>.搭配 HDR 系统卡，可实现即高动态范围图像显示屏效果；</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18</w:t>
            </w:r>
            <w:r>
              <w:rPr>
                <w:rFonts w:hint="eastAsia" w:ascii="宋体" w:hAnsi="宋体" w:cs="宋体"/>
                <w:color w:val="000000"/>
                <w:sz w:val="18"/>
                <w:szCs w:val="18"/>
              </w:rPr>
              <w:t>.振动试验，振动频率10-55Hz-10Hz，振动辐度≥ 0.35MM；</w:t>
            </w:r>
          </w:p>
          <w:p>
            <w:pPr>
              <w:spacing w:line="260" w:lineRule="exact"/>
              <w:rPr>
                <w:rFonts w:ascii="宋体" w:hAnsi="宋体" w:cs="宋体"/>
                <w:color w:val="000000"/>
                <w:sz w:val="18"/>
                <w:szCs w:val="18"/>
              </w:rPr>
            </w:pPr>
            <w:r>
              <w:rPr>
                <w:rFonts w:hint="eastAsia" w:ascii="宋体" w:hAnsi="宋体" w:cs="宋体"/>
                <w:color w:val="000000"/>
                <w:sz w:val="18"/>
                <w:szCs w:val="18"/>
                <w:lang w:val="en-US" w:eastAsia="zh-CN"/>
              </w:rPr>
              <w:t>19</w:t>
            </w:r>
            <w:r>
              <w:rPr>
                <w:rFonts w:hint="eastAsia" w:ascii="宋体" w:hAnsi="宋体" w:cs="宋体"/>
                <w:color w:val="000000"/>
                <w:sz w:val="18"/>
                <w:szCs w:val="18"/>
              </w:rPr>
              <w:t>. PCB 防火测试，通过 V-0 要求；光生物安全性、蓝光危害；</w:t>
            </w:r>
          </w:p>
          <w:p>
            <w:pPr>
              <w:spacing w:line="260" w:lineRule="exact"/>
              <w:rPr>
                <w:rFonts w:ascii="宋体" w:hAnsi="宋体" w:cs="宋体"/>
                <w:color w:val="000000"/>
                <w:sz w:val="18"/>
                <w:szCs w:val="18"/>
              </w:rPr>
            </w:pPr>
          </w:p>
        </w:tc>
        <w:tc>
          <w:tcPr>
            <w:tcW w:w="739"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r>
              <w:rPr>
                <w:rFonts w:hint="eastAsia" w:ascii="宋体" w:hAnsi="宋体" w:cs="宋体"/>
                <w:color w:val="000000"/>
                <w:sz w:val="18"/>
                <w:szCs w:val="18"/>
              </w:rPr>
              <w:t>㎡</w:t>
            </w:r>
          </w:p>
        </w:tc>
        <w:tc>
          <w:tcPr>
            <w:tcW w:w="898"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r>
              <w:rPr>
                <w:rFonts w:hint="eastAsia" w:ascii="宋体" w:hAnsi="宋体" w:cs="宋体"/>
                <w:color w:val="000000"/>
                <w:sz w:val="18"/>
                <w:szCs w:val="18"/>
              </w:rPr>
              <w:t>5.0625</w:t>
            </w:r>
          </w:p>
        </w:tc>
        <w:tc>
          <w:tcPr>
            <w:tcW w:w="609"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9</w:t>
            </w:r>
          </w:p>
        </w:tc>
        <w:tc>
          <w:tcPr>
            <w:tcW w:w="1158"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r>
              <w:rPr>
                <w:rFonts w:hint="eastAsia" w:ascii="宋体" w:hAnsi="宋体" w:cs="宋体"/>
                <w:color w:val="000000"/>
                <w:sz w:val="18"/>
                <w:szCs w:val="18"/>
              </w:rPr>
              <w:t>播控软件</w:t>
            </w:r>
          </w:p>
        </w:tc>
        <w:tc>
          <w:tcPr>
            <w:tcW w:w="6086" w:type="dxa"/>
          </w:tcPr>
          <w:p>
            <w:pPr>
              <w:spacing w:line="260" w:lineRule="exact"/>
              <w:rPr>
                <w:rFonts w:ascii="宋体" w:hAnsi="宋体" w:cs="宋体"/>
                <w:color w:val="000000"/>
                <w:sz w:val="18"/>
                <w:szCs w:val="18"/>
              </w:rPr>
            </w:pPr>
            <w:r>
              <w:rPr>
                <w:rFonts w:hint="eastAsia" w:ascii="宋体" w:hAnsi="宋体" w:cs="宋体"/>
                <w:color w:val="000000"/>
                <w:sz w:val="18"/>
                <w:szCs w:val="18"/>
              </w:rPr>
              <w:t>1..支持≧4K分辨率（3840-2160）信号源的接入与显示。</w:t>
            </w:r>
          </w:p>
          <w:p>
            <w:pPr>
              <w:spacing w:line="260" w:lineRule="exact"/>
              <w:rPr>
                <w:rFonts w:ascii="宋体" w:hAnsi="宋体" w:cs="宋体"/>
                <w:color w:val="000000"/>
                <w:sz w:val="18"/>
                <w:szCs w:val="18"/>
              </w:rPr>
            </w:pPr>
            <w:r>
              <w:rPr>
                <w:rFonts w:hint="eastAsia" w:ascii="宋体" w:hAnsi="宋体" w:cs="宋体"/>
                <w:color w:val="000000"/>
                <w:sz w:val="18"/>
                <w:szCs w:val="18"/>
              </w:rPr>
              <w:t>2..支持对输入信号源进行预监视，实现播放预先查看功能。</w:t>
            </w:r>
          </w:p>
          <w:p>
            <w:pPr>
              <w:spacing w:line="260" w:lineRule="exact"/>
              <w:rPr>
                <w:rFonts w:ascii="宋体" w:hAnsi="宋体" w:cs="宋体"/>
                <w:color w:val="000000"/>
                <w:sz w:val="18"/>
                <w:szCs w:val="18"/>
              </w:rPr>
            </w:pPr>
            <w:r>
              <w:rPr>
                <w:rFonts w:hint="eastAsia" w:ascii="宋体" w:hAnsi="宋体" w:cs="宋体"/>
                <w:color w:val="000000"/>
                <w:sz w:val="18"/>
                <w:szCs w:val="18"/>
              </w:rPr>
              <w:t>3.支持对输入信号源进行回显，实现远程查看显示屏播放内容的功能。支持播放预案设置（例如：定时计划、轮巡计划等）；</w:t>
            </w:r>
          </w:p>
          <w:p>
            <w:pPr>
              <w:spacing w:line="260" w:lineRule="exact"/>
              <w:rPr>
                <w:rFonts w:ascii="宋体" w:hAnsi="宋体" w:cs="宋体"/>
                <w:color w:val="000000"/>
                <w:sz w:val="18"/>
                <w:szCs w:val="18"/>
              </w:rPr>
            </w:pPr>
            <w:r>
              <w:rPr>
                <w:rFonts w:hint="eastAsia" w:ascii="宋体" w:hAnsi="宋体" w:cs="宋体"/>
                <w:color w:val="000000"/>
                <w:sz w:val="18"/>
                <w:szCs w:val="18"/>
              </w:rPr>
              <w:t>4.支持对信号源、多视屏控制器、传输线路、LED显示屏等多层进行热备。</w:t>
            </w:r>
          </w:p>
          <w:p>
            <w:pPr>
              <w:spacing w:line="260" w:lineRule="exact"/>
              <w:rPr>
                <w:rFonts w:ascii="宋体" w:hAnsi="宋体" w:cs="宋体"/>
                <w:color w:val="000000"/>
                <w:sz w:val="18"/>
                <w:szCs w:val="18"/>
              </w:rPr>
            </w:pPr>
            <w:r>
              <w:rPr>
                <w:rFonts w:hint="eastAsia" w:ascii="宋体" w:hAnsi="宋体" w:cs="宋体"/>
                <w:color w:val="000000"/>
                <w:sz w:val="18"/>
                <w:szCs w:val="18"/>
              </w:rPr>
              <w:t>5.支持实时监控显示屏的状态。</w:t>
            </w:r>
          </w:p>
          <w:p>
            <w:pPr>
              <w:spacing w:line="260" w:lineRule="exact"/>
              <w:rPr>
                <w:rFonts w:ascii="宋体" w:hAnsi="宋体" w:cs="宋体"/>
                <w:color w:val="000000"/>
                <w:sz w:val="18"/>
                <w:szCs w:val="18"/>
              </w:rPr>
            </w:pPr>
            <w:r>
              <w:rPr>
                <w:rFonts w:hint="eastAsia" w:ascii="宋体" w:hAnsi="宋体" w:cs="宋体"/>
                <w:color w:val="000000"/>
                <w:sz w:val="18"/>
                <w:szCs w:val="18"/>
              </w:rPr>
              <w:t>6.支持对多个显示屏进行独立控制，信号源在多个显示屏中共享。</w:t>
            </w:r>
          </w:p>
        </w:tc>
        <w:tc>
          <w:tcPr>
            <w:tcW w:w="739"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套</w:t>
            </w:r>
          </w:p>
        </w:tc>
        <w:tc>
          <w:tcPr>
            <w:tcW w:w="898"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ind w:firstLine="368"/>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09"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pPr>
            <w:r>
              <w:rPr>
                <w:rFonts w:hint="eastAsia" w:ascii="宋体" w:hAnsi="宋体" w:cs="宋体"/>
                <w:color w:val="000000"/>
                <w:sz w:val="18"/>
                <w:szCs w:val="18"/>
              </w:rPr>
              <w: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p>
          <w:p>
            <w:pPr>
              <w:spacing w:line="2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58"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r>
              <w:rPr>
                <w:rFonts w:hint="eastAsia" w:ascii="宋体" w:hAnsi="宋体" w:cs="宋体"/>
                <w:color w:val="000000"/>
                <w:sz w:val="18"/>
                <w:szCs w:val="18"/>
              </w:rPr>
              <w:t>视频拼接处理器</w:t>
            </w:r>
          </w:p>
        </w:tc>
        <w:tc>
          <w:tcPr>
            <w:tcW w:w="6086" w:type="dxa"/>
          </w:tcPr>
          <w:p>
            <w:pPr>
              <w:spacing w:line="260" w:lineRule="exact"/>
              <w:rPr>
                <w:rFonts w:ascii="宋体" w:hAnsi="宋体" w:cs="宋体"/>
                <w:color w:val="000000"/>
                <w:sz w:val="18"/>
                <w:szCs w:val="18"/>
              </w:rPr>
            </w:pPr>
            <w:r>
              <w:rPr>
                <w:rFonts w:hint="eastAsia" w:ascii="宋体" w:hAnsi="宋体" w:cs="宋体"/>
                <w:color w:val="000000"/>
                <w:sz w:val="18"/>
                <w:szCs w:val="18"/>
              </w:rPr>
              <w:t>1.输入板卡：≧4路高清信号（HDMI或DVI，以实际作业需求为准）；</w:t>
            </w:r>
          </w:p>
          <w:p>
            <w:pPr>
              <w:spacing w:line="260" w:lineRule="exact"/>
              <w:rPr>
                <w:rFonts w:ascii="宋体" w:hAnsi="宋体" w:cs="宋体"/>
                <w:color w:val="000000"/>
                <w:sz w:val="18"/>
                <w:szCs w:val="18"/>
              </w:rPr>
            </w:pPr>
            <w:r>
              <w:rPr>
                <w:rFonts w:hint="eastAsia" w:ascii="宋体" w:hAnsi="宋体" w:cs="宋体"/>
                <w:color w:val="000000"/>
                <w:sz w:val="18"/>
                <w:szCs w:val="18"/>
              </w:rPr>
              <w:t>2.输出板卡：二合一网口输出卡（具有16个RJ45网终接口）</w:t>
            </w:r>
          </w:p>
          <w:p>
            <w:pPr>
              <w:spacing w:line="260" w:lineRule="exact"/>
              <w:rPr>
                <w:rFonts w:ascii="宋体" w:hAnsi="宋体" w:cs="宋体"/>
                <w:color w:val="000000"/>
                <w:sz w:val="18"/>
                <w:szCs w:val="18"/>
              </w:rPr>
            </w:pPr>
            <w:r>
              <w:rPr>
                <w:rFonts w:hint="eastAsia" w:ascii="宋体" w:hAnsi="宋体" w:cs="宋体"/>
                <w:color w:val="000000"/>
                <w:sz w:val="18"/>
                <w:szCs w:val="18"/>
              </w:rPr>
              <w:t>3.支持4DL-DVI接口接入视频分辨率最大支持≧3840*≧2160。</w:t>
            </w:r>
          </w:p>
          <w:p>
            <w:pPr>
              <w:spacing w:line="260" w:lineRule="exact"/>
              <w:rPr>
                <w:rFonts w:ascii="宋体" w:hAnsi="宋体" w:cs="宋体"/>
                <w:color w:val="000000"/>
                <w:sz w:val="18"/>
                <w:szCs w:val="18"/>
              </w:rPr>
            </w:pPr>
            <w:r>
              <w:rPr>
                <w:rFonts w:hint="eastAsia" w:ascii="宋体" w:hAnsi="宋体" w:cs="宋体"/>
                <w:color w:val="000000"/>
                <w:sz w:val="18"/>
                <w:szCs w:val="18"/>
              </w:rPr>
              <w:t>4.支持预览接入的视频图像，并将预览的视频图像通过视频输出接口同步输出显示。</w:t>
            </w:r>
          </w:p>
          <w:p>
            <w:pPr>
              <w:spacing w:line="260" w:lineRule="exact"/>
              <w:rPr>
                <w:rFonts w:ascii="宋体" w:hAnsi="宋体" w:cs="宋体"/>
                <w:color w:val="000000"/>
                <w:sz w:val="18"/>
                <w:szCs w:val="18"/>
              </w:rPr>
            </w:pPr>
            <w:r>
              <w:rPr>
                <w:rFonts w:hint="eastAsia" w:ascii="宋体" w:hAnsi="宋体" w:cs="宋体"/>
                <w:color w:val="000000"/>
                <w:sz w:val="18"/>
                <w:szCs w:val="18"/>
              </w:rPr>
              <w:t>5.支持无缝切换，在单个或多个信号进行切换时没有黑场间隔。</w:t>
            </w:r>
          </w:p>
          <w:p>
            <w:pPr>
              <w:spacing w:line="260" w:lineRule="exact"/>
              <w:rPr>
                <w:rFonts w:ascii="宋体" w:hAnsi="宋体" w:cs="宋体"/>
                <w:color w:val="000000"/>
                <w:sz w:val="18"/>
                <w:szCs w:val="18"/>
              </w:rPr>
            </w:pPr>
            <w:r>
              <w:rPr>
                <w:rFonts w:hint="eastAsia" w:ascii="宋体" w:hAnsi="宋体" w:cs="宋体"/>
                <w:color w:val="000000"/>
                <w:sz w:val="18"/>
                <w:szCs w:val="18"/>
              </w:rPr>
              <w:t>6.抗电强度：电源接口与外壳符合GB16796-2009规定。</w:t>
            </w:r>
          </w:p>
          <w:p>
            <w:pPr>
              <w:spacing w:line="260" w:lineRule="exact"/>
              <w:rPr>
                <w:rFonts w:ascii="宋体" w:hAnsi="宋体" w:cs="宋体"/>
                <w:color w:val="000000"/>
                <w:sz w:val="18"/>
                <w:szCs w:val="18"/>
              </w:rPr>
            </w:pPr>
            <w:r>
              <w:rPr>
                <w:rFonts w:hint="eastAsia" w:ascii="宋体" w:hAnsi="宋体" w:cs="宋体"/>
                <w:color w:val="000000"/>
                <w:sz w:val="18"/>
                <w:szCs w:val="18"/>
              </w:rPr>
              <w:t>7.泄露电流符合GB16796-2009规定。</w:t>
            </w:r>
          </w:p>
          <w:p>
            <w:pPr>
              <w:spacing w:line="260" w:lineRule="exact"/>
              <w:rPr>
                <w:rFonts w:ascii="宋体" w:hAnsi="宋体" w:cs="宋体"/>
                <w:color w:val="000000"/>
                <w:sz w:val="18"/>
                <w:szCs w:val="18"/>
              </w:rPr>
            </w:pPr>
            <w:r>
              <w:rPr>
                <w:rFonts w:hint="eastAsia" w:ascii="宋体" w:hAnsi="宋体" w:cs="宋体"/>
                <w:color w:val="000000"/>
                <w:sz w:val="18"/>
                <w:szCs w:val="18"/>
              </w:rPr>
              <w:t>8.支持≧4K分辨率（3840*2160）信号源的接入与显示。</w:t>
            </w:r>
          </w:p>
        </w:tc>
        <w:tc>
          <w:tcPr>
            <w:tcW w:w="739"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ind w:firstLine="180" w:firstLineChars="100"/>
              <w:rPr>
                <w:rFonts w:ascii="宋体" w:hAnsi="宋体" w:cs="宋体"/>
                <w:color w:val="000000"/>
                <w:sz w:val="18"/>
                <w:szCs w:val="18"/>
              </w:rPr>
            </w:pPr>
            <w:r>
              <w:rPr>
                <w:rFonts w:hint="eastAsia" w:ascii="宋体" w:hAnsi="宋体" w:cs="宋体"/>
                <w:color w:val="000000"/>
                <w:sz w:val="18"/>
                <w:szCs w:val="18"/>
              </w:rPr>
              <w:t>台</w:t>
            </w:r>
          </w:p>
        </w:tc>
        <w:tc>
          <w:tcPr>
            <w:tcW w:w="898"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ind w:firstLine="180" w:firstLineChars="100"/>
              <w:rPr>
                <w:rFonts w:ascii="宋体" w:hAnsi="宋体" w:cs="宋体"/>
                <w:color w:val="000000"/>
                <w:sz w:val="18"/>
                <w:szCs w:val="18"/>
              </w:rPr>
            </w:pPr>
            <w:r>
              <w:rPr>
                <w:rFonts w:hint="eastAsia" w:ascii="宋体" w:hAnsi="宋体" w:cs="宋体"/>
                <w:color w:val="000000"/>
                <w:sz w:val="18"/>
                <w:szCs w:val="18"/>
              </w:rPr>
              <w:t xml:space="preserve">1 </w:t>
            </w:r>
          </w:p>
        </w:tc>
        <w:tc>
          <w:tcPr>
            <w:tcW w:w="609" w:type="dxa"/>
          </w:tcPr>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rPr>
                <w:rFonts w:ascii="宋体" w:hAnsi="宋体" w:cs="宋体"/>
                <w:color w:val="000000"/>
                <w:sz w:val="18"/>
                <w:szCs w:val="18"/>
              </w:rPr>
            </w:pPr>
          </w:p>
          <w:p>
            <w:pPr>
              <w:spacing w:line="260" w:lineRule="exact"/>
            </w:pPr>
            <w:r>
              <w:rPr>
                <w:rFonts w:hint="eastAsia" w:ascii="宋体" w:hAnsi="宋体" w:cs="宋体"/>
                <w:color w:val="000000"/>
                <w:sz w:val="18"/>
                <w:szCs w:val="18"/>
              </w:rPr>
              <w: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11</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智能配电柜</w:t>
            </w:r>
          </w:p>
        </w:tc>
        <w:tc>
          <w:tcPr>
            <w:tcW w:w="6086" w:type="dxa"/>
          </w:tcPr>
          <w:p>
            <w:pPr>
              <w:spacing w:line="260" w:lineRule="exact"/>
              <w:rPr>
                <w:rFonts w:ascii="宋体" w:hAnsi="宋体"/>
                <w:color w:val="000000"/>
                <w:sz w:val="18"/>
              </w:rPr>
            </w:pPr>
            <w:r>
              <w:rPr>
                <w:rFonts w:hint="eastAsia" w:ascii="宋体" w:hAnsi="宋体"/>
                <w:color w:val="000000"/>
                <w:sz w:val="18"/>
              </w:rPr>
              <w:t>1.≧10KW配电柜含PLC控制系统，可实时获取屏幕背部烟雾及温度数据，可执行远程开关机操作；具备过压、过流、欠压、短路、断路以及漏电保护措施；</w:t>
            </w:r>
          </w:p>
          <w:p>
            <w:pPr>
              <w:spacing w:line="260" w:lineRule="exact"/>
              <w:rPr>
                <w:rFonts w:ascii="宋体" w:hAnsi="宋体"/>
                <w:color w:val="000000"/>
                <w:sz w:val="18"/>
              </w:rPr>
            </w:pPr>
            <w:r>
              <w:rPr>
                <w:rFonts w:hint="eastAsia" w:ascii="宋体" w:hAnsi="宋体"/>
                <w:color w:val="000000"/>
                <w:sz w:val="18"/>
              </w:rPr>
              <w:t>2、内置PLC，对大屏分区域供电供电。在远程电脑客户端可开关大屏。</w:t>
            </w:r>
          </w:p>
          <w:p>
            <w:pPr>
              <w:spacing w:line="260" w:lineRule="exact"/>
              <w:rPr>
                <w:rFonts w:ascii="宋体" w:hAnsi="宋体"/>
                <w:color w:val="000000"/>
                <w:sz w:val="18"/>
              </w:rPr>
            </w:pPr>
            <w:r>
              <w:rPr>
                <w:rFonts w:hint="eastAsia" w:ascii="宋体" w:hAnsi="宋体"/>
                <w:color w:val="000000"/>
                <w:sz w:val="18"/>
              </w:rPr>
              <w:t>3、可与第三方中控对接，实现无线控制大屏的开关</w:t>
            </w:r>
          </w:p>
          <w:p>
            <w:pPr>
              <w:spacing w:line="260" w:lineRule="exact"/>
              <w:rPr>
                <w:rFonts w:ascii="宋体" w:hAnsi="宋体"/>
                <w:color w:val="000000"/>
                <w:sz w:val="18"/>
              </w:rPr>
            </w:pPr>
            <w:r>
              <w:rPr>
                <w:rFonts w:hint="eastAsia" w:ascii="宋体" w:hAnsi="宋体"/>
                <w:color w:val="000000"/>
                <w:sz w:val="18"/>
              </w:rPr>
              <w:t>4、最大负荷10KW。</w:t>
            </w:r>
          </w:p>
        </w:tc>
        <w:tc>
          <w:tcPr>
            <w:tcW w:w="739" w:type="dxa"/>
          </w:tcPr>
          <w:p>
            <w:pPr>
              <w:spacing w:line="260" w:lineRule="exact"/>
              <w:ind w:firstLine="180" w:firstLineChars="100"/>
              <w:jc w:val="center"/>
              <w:rPr>
                <w:rFonts w:ascii="宋体" w:hAnsi="宋体"/>
                <w:color w:val="000000"/>
                <w:sz w:val="18"/>
              </w:rPr>
            </w:pPr>
          </w:p>
          <w:p>
            <w:pPr>
              <w:spacing w:line="260" w:lineRule="exact"/>
              <w:ind w:firstLine="180" w:firstLineChars="100"/>
              <w:jc w:val="center"/>
              <w:rPr>
                <w:rFonts w:ascii="宋体" w:hAnsi="宋体"/>
                <w:color w:val="000000"/>
                <w:sz w:val="18"/>
              </w:rPr>
            </w:pPr>
          </w:p>
          <w:p>
            <w:pPr>
              <w:spacing w:line="260" w:lineRule="exact"/>
              <w:ind w:firstLine="180" w:firstLineChars="100"/>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jc w:val="center"/>
              <w:rPr>
                <w:rFonts w:ascii="宋体" w:hAnsi="宋体"/>
                <w:color w:val="000000"/>
                <w:sz w:val="18"/>
              </w:rPr>
            </w:pPr>
          </w:p>
          <w:p>
            <w:pPr>
              <w:spacing w:line="260" w:lineRule="exact"/>
              <w:ind w:firstLine="180" w:firstLineChars="100"/>
              <w:jc w:val="center"/>
              <w:rPr>
                <w:rFonts w:ascii="宋体" w:hAnsi="宋体"/>
                <w:color w:val="000000"/>
                <w:sz w:val="18"/>
              </w:rPr>
            </w:pPr>
          </w:p>
          <w:p>
            <w:pPr>
              <w:spacing w:line="260" w:lineRule="exact"/>
              <w:ind w:firstLine="180" w:firstLineChars="100"/>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12</w:t>
            </w:r>
          </w:p>
        </w:tc>
        <w:tc>
          <w:tcPr>
            <w:tcW w:w="1158" w:type="dxa"/>
          </w:tcPr>
          <w:p>
            <w:pPr>
              <w:spacing w:line="260" w:lineRule="exact"/>
              <w:rPr>
                <w:rFonts w:ascii="宋体" w:hAnsi="宋体"/>
                <w:color w:val="000000"/>
                <w:sz w:val="18"/>
              </w:rPr>
            </w:pPr>
            <w:r>
              <w:rPr>
                <w:rFonts w:hint="eastAsia" w:ascii="宋体" w:hAnsi="宋体"/>
                <w:color w:val="000000"/>
                <w:sz w:val="18"/>
              </w:rPr>
              <w:t>安装、调试及辅材</w:t>
            </w:r>
          </w:p>
        </w:tc>
        <w:tc>
          <w:tcPr>
            <w:tcW w:w="6086" w:type="dxa"/>
          </w:tcPr>
          <w:p>
            <w:pPr>
              <w:spacing w:line="260" w:lineRule="exact"/>
              <w:rPr>
                <w:rFonts w:ascii="宋体" w:hAnsi="宋体"/>
                <w:color w:val="000000"/>
                <w:sz w:val="18"/>
              </w:rPr>
            </w:pPr>
            <w:r>
              <w:rPr>
                <w:rFonts w:hint="eastAsia" w:ascii="宋体" w:hAnsi="宋体"/>
                <w:color w:val="000000"/>
                <w:sz w:val="18"/>
              </w:rPr>
              <w:t>1.含钢结构及装饰，精准定位铝型材结构，包边屏体框架与LED屏配套，国标钢材；固定调节支架连接器；四周边框修饰；组装拼接；ZB-RVV 510MM；工程级六类双屏蔽网线；墙面切槽、水泥恢复；接头、扎带、线卡等；</w:t>
            </w:r>
          </w:p>
        </w:tc>
        <w:tc>
          <w:tcPr>
            <w:tcW w:w="739" w:type="dxa"/>
          </w:tcPr>
          <w:p>
            <w:pPr>
              <w:spacing w:line="260" w:lineRule="exact"/>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13</w:t>
            </w:r>
          </w:p>
        </w:tc>
        <w:tc>
          <w:tcPr>
            <w:tcW w:w="1158" w:type="dxa"/>
          </w:tcPr>
          <w:p>
            <w:pPr>
              <w:spacing w:line="260" w:lineRule="exact"/>
              <w:rPr>
                <w:rFonts w:ascii="宋体" w:hAnsi="宋体"/>
                <w:color w:val="000000"/>
                <w:sz w:val="18"/>
              </w:rPr>
            </w:pPr>
            <w:r>
              <w:rPr>
                <w:rFonts w:hint="eastAsia" w:ascii="宋体" w:hAnsi="宋体"/>
                <w:color w:val="000000"/>
                <w:sz w:val="18"/>
              </w:rPr>
              <w:t>彩色打印机</w:t>
            </w:r>
          </w:p>
        </w:tc>
        <w:tc>
          <w:tcPr>
            <w:tcW w:w="6086" w:type="dxa"/>
          </w:tcPr>
          <w:p>
            <w:pPr>
              <w:spacing w:line="260" w:lineRule="exact"/>
              <w:rPr>
                <w:rFonts w:ascii="宋体" w:hAnsi="宋体"/>
                <w:color w:val="000000"/>
                <w:sz w:val="18"/>
              </w:rPr>
            </w:pPr>
            <w:r>
              <w:rPr>
                <w:rFonts w:hint="eastAsia" w:ascii="宋体" w:hAnsi="宋体"/>
                <w:color w:val="000000"/>
                <w:sz w:val="18"/>
              </w:rPr>
              <w:t>1.打印复印一体机小型；打印头类型FINE一体式墨盒；墨盒：黑色、彩色；打印速度黑白/单面，约≧7.7ipm。</w:t>
            </w:r>
          </w:p>
          <w:p>
            <w:pPr>
              <w:spacing w:line="260" w:lineRule="exact"/>
              <w:rPr>
                <w:rFonts w:ascii="宋体" w:hAnsi="宋体"/>
                <w:color w:val="000000"/>
                <w:sz w:val="18"/>
              </w:rPr>
            </w:pPr>
            <w:r>
              <w:rPr>
                <w:rFonts w:hint="eastAsia" w:ascii="宋体" w:hAnsi="宋体"/>
                <w:color w:val="000000"/>
                <w:sz w:val="18"/>
              </w:rPr>
              <w:t>2.扫描类型平板；扫描方式CIS；接口：USB B接口；无线支持。</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6" w:type="dxa"/>
          </w:tcPr>
          <w:p>
            <w:pPr>
              <w:spacing w:line="260" w:lineRule="exact"/>
              <w:jc w:val="center"/>
              <w:rPr>
                <w:rFonts w:ascii="宋体" w:hAnsi="宋体"/>
                <w:color w:val="000000"/>
                <w:sz w:val="18"/>
              </w:rPr>
            </w:pPr>
            <w:r>
              <w:rPr>
                <w:rFonts w:hint="eastAsia" w:ascii="宋体" w:hAnsi="宋体"/>
                <w:color w:val="000000"/>
                <w:sz w:val="18"/>
              </w:rPr>
              <w:t>14</w:t>
            </w:r>
          </w:p>
        </w:tc>
        <w:tc>
          <w:tcPr>
            <w:tcW w:w="1158" w:type="dxa"/>
          </w:tcPr>
          <w:p>
            <w:pPr>
              <w:spacing w:line="260" w:lineRule="exact"/>
              <w:rPr>
                <w:rFonts w:ascii="宋体" w:hAnsi="宋体"/>
                <w:color w:val="000000"/>
                <w:sz w:val="18"/>
              </w:rPr>
            </w:pPr>
            <w:r>
              <w:rPr>
                <w:rFonts w:hint="eastAsia" w:ascii="宋体" w:hAnsi="宋体"/>
                <w:color w:val="000000"/>
                <w:sz w:val="18"/>
              </w:rPr>
              <w:t>台式电脑</w:t>
            </w:r>
          </w:p>
        </w:tc>
        <w:tc>
          <w:tcPr>
            <w:tcW w:w="6086" w:type="dxa"/>
          </w:tcPr>
          <w:p>
            <w:pPr>
              <w:spacing w:line="260" w:lineRule="exact"/>
              <w:rPr>
                <w:rFonts w:ascii="宋体" w:hAnsi="宋体"/>
                <w:color w:val="000000"/>
                <w:sz w:val="18"/>
              </w:rPr>
            </w:pPr>
            <w:r>
              <w:rPr>
                <w:rFonts w:hint="eastAsia" w:ascii="宋体" w:hAnsi="宋体"/>
                <w:color w:val="000000"/>
                <w:sz w:val="18"/>
              </w:rPr>
              <w:t>1.显示器≧23英寸LED；内存≧8GB；硬盘≧1T+256SSD/ DVDRW/ ；系统Win10。</w:t>
            </w:r>
          </w:p>
        </w:tc>
        <w:tc>
          <w:tcPr>
            <w:tcW w:w="739" w:type="dxa"/>
          </w:tcPr>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06" w:type="dxa"/>
          </w:tcPr>
          <w:p>
            <w:pPr>
              <w:spacing w:line="260" w:lineRule="exact"/>
              <w:jc w:val="center"/>
              <w:rPr>
                <w:rFonts w:ascii="宋体" w:hAnsi="宋体"/>
                <w:color w:val="000000"/>
                <w:sz w:val="18"/>
              </w:rPr>
            </w:pPr>
            <w:r>
              <w:rPr>
                <w:rFonts w:hint="eastAsia" w:ascii="宋体" w:hAnsi="宋体"/>
                <w:color w:val="000000"/>
                <w:sz w:val="18"/>
              </w:rPr>
              <w:t>15</w:t>
            </w:r>
          </w:p>
        </w:tc>
        <w:tc>
          <w:tcPr>
            <w:tcW w:w="1158" w:type="dxa"/>
          </w:tcPr>
          <w:p>
            <w:pPr>
              <w:spacing w:line="260" w:lineRule="exact"/>
              <w:rPr>
                <w:rFonts w:ascii="宋体" w:hAnsi="宋体"/>
                <w:color w:val="000000"/>
                <w:sz w:val="18"/>
              </w:rPr>
            </w:pPr>
            <w:r>
              <w:rPr>
                <w:rFonts w:hint="eastAsia" w:ascii="宋体" w:hAnsi="宋体"/>
                <w:color w:val="000000"/>
                <w:sz w:val="18"/>
                <w:u w:val="none"/>
              </w:rPr>
              <w:t>HDMI-DVI</w:t>
            </w:r>
          </w:p>
        </w:tc>
        <w:tc>
          <w:tcPr>
            <w:tcW w:w="6086" w:type="dxa"/>
          </w:tcPr>
          <w:p>
            <w:pPr>
              <w:spacing w:line="260" w:lineRule="exact"/>
              <w:rPr>
                <w:rFonts w:ascii="宋体" w:hAnsi="宋体"/>
                <w:color w:val="000000"/>
                <w:sz w:val="18"/>
              </w:rPr>
            </w:pPr>
            <w:r>
              <w:rPr>
                <w:rFonts w:hint="eastAsia" w:ascii="宋体" w:hAnsi="宋体"/>
                <w:color w:val="000000"/>
                <w:sz w:val="18"/>
              </w:rPr>
              <w:t>1.转换器：HDMI转DVI；规格≧10米</w:t>
            </w:r>
          </w:p>
        </w:tc>
        <w:tc>
          <w:tcPr>
            <w:tcW w:w="739" w:type="dxa"/>
          </w:tcPr>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6" w:type="dxa"/>
          </w:tcPr>
          <w:p>
            <w:pPr>
              <w:spacing w:line="260" w:lineRule="exact"/>
              <w:jc w:val="center"/>
              <w:rPr>
                <w:rFonts w:ascii="宋体" w:hAnsi="宋体"/>
                <w:color w:val="000000"/>
                <w:sz w:val="18"/>
              </w:rPr>
            </w:pPr>
            <w:r>
              <w:rPr>
                <w:rFonts w:hint="eastAsia" w:ascii="宋体" w:hAnsi="宋体"/>
                <w:color w:val="000000"/>
                <w:sz w:val="18"/>
              </w:rPr>
              <w:t>16</w:t>
            </w:r>
          </w:p>
        </w:tc>
        <w:tc>
          <w:tcPr>
            <w:tcW w:w="1158" w:type="dxa"/>
          </w:tcPr>
          <w:p>
            <w:pPr>
              <w:spacing w:line="260" w:lineRule="exact"/>
              <w:rPr>
                <w:rFonts w:ascii="宋体" w:hAnsi="宋体"/>
                <w:color w:val="000000"/>
                <w:sz w:val="18"/>
              </w:rPr>
            </w:pPr>
            <w:r>
              <w:rPr>
                <w:rFonts w:hint="eastAsia" w:ascii="宋体" w:hAnsi="宋体"/>
                <w:color w:val="000000"/>
                <w:sz w:val="18"/>
              </w:rPr>
              <w:t>办公桌椅</w:t>
            </w:r>
          </w:p>
        </w:tc>
        <w:tc>
          <w:tcPr>
            <w:tcW w:w="6086" w:type="dxa"/>
          </w:tcPr>
          <w:p>
            <w:pPr>
              <w:spacing w:line="260" w:lineRule="exact"/>
              <w:rPr>
                <w:rFonts w:hint="eastAsia" w:ascii="宋体" w:hAnsi="宋体"/>
                <w:color w:val="000000"/>
                <w:sz w:val="18"/>
                <w:lang w:val="en-US" w:eastAsia="zh-CN"/>
              </w:rPr>
            </w:pPr>
            <w:r>
              <w:rPr>
                <w:rFonts w:hint="eastAsia" w:ascii="宋体" w:hAnsi="宋体"/>
                <w:color w:val="000000"/>
                <w:sz w:val="18"/>
                <w:lang w:val="en-US" w:eastAsia="zh-CN"/>
              </w:rPr>
              <w:t>1.桌子高度≥72厘米，长度120厘米，宽度45厘米。</w:t>
            </w:r>
          </w:p>
          <w:p>
            <w:pPr>
              <w:spacing w:line="260" w:lineRule="exact"/>
              <w:rPr>
                <w:rFonts w:hint="default" w:ascii="宋体" w:hAnsi="宋体"/>
                <w:color w:val="000000"/>
                <w:sz w:val="18"/>
                <w:lang w:val="en-US" w:eastAsia="zh-CN"/>
              </w:rPr>
            </w:pPr>
            <w:r>
              <w:rPr>
                <w:rFonts w:hint="eastAsia" w:ascii="宋体" w:hAnsi="宋体"/>
                <w:color w:val="000000"/>
                <w:sz w:val="18"/>
                <w:lang w:val="en-US" w:eastAsia="zh-CN"/>
              </w:rPr>
              <w:t>2.材质：木质板材，稳固承重力强，不易晃动。</w:t>
            </w:r>
          </w:p>
          <w:p>
            <w:pPr>
              <w:spacing w:line="260" w:lineRule="exact"/>
              <w:rPr>
                <w:rFonts w:hint="default"/>
                <w:lang w:val="en-US" w:eastAsia="zh-CN"/>
              </w:rPr>
            </w:pPr>
            <w:r>
              <w:rPr>
                <w:rFonts w:hint="eastAsia" w:ascii="宋体" w:hAnsi="宋体"/>
                <w:color w:val="000000"/>
                <w:sz w:val="18"/>
                <w:lang w:val="en-US" w:eastAsia="zh-CN"/>
              </w:rPr>
              <w:t>3.椅子材质：高弹网布，扶手类型：固定扶手，总高度≥100厘米，背部宽度≥45厘米，坐深≥45厘米。</w:t>
            </w:r>
          </w:p>
        </w:tc>
        <w:tc>
          <w:tcPr>
            <w:tcW w:w="739" w:type="dxa"/>
          </w:tcPr>
          <w:p>
            <w:pPr>
              <w:spacing w:line="260" w:lineRule="exact"/>
              <w:ind w:firstLine="180" w:firstLineChars="100"/>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3</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pPr>
              <w:spacing w:line="260" w:lineRule="exact"/>
              <w:jc w:val="center"/>
              <w:rPr>
                <w:rFonts w:ascii="宋体" w:hAnsi="宋体"/>
                <w:color w:val="000000"/>
                <w:sz w:val="18"/>
              </w:rPr>
            </w:pPr>
            <w:r>
              <w:rPr>
                <w:rFonts w:hint="eastAsia" w:ascii="宋体" w:hAnsi="宋体"/>
                <w:color w:val="000000"/>
                <w:sz w:val="18"/>
              </w:rPr>
              <w:t>17</w:t>
            </w:r>
          </w:p>
        </w:tc>
        <w:tc>
          <w:tcPr>
            <w:tcW w:w="1158" w:type="dxa"/>
            <w:vAlign w:val="center"/>
          </w:tcPr>
          <w:p>
            <w:pPr>
              <w:spacing w:line="260" w:lineRule="exact"/>
              <w:jc w:val="center"/>
              <w:rPr>
                <w:rFonts w:ascii="宋体" w:hAnsi="宋体"/>
                <w:color w:val="000000"/>
                <w:sz w:val="18"/>
              </w:rPr>
            </w:pPr>
            <w:r>
              <w:rPr>
                <w:rFonts w:hint="eastAsia" w:ascii="宋体" w:hAnsi="宋体"/>
                <w:color w:val="000000"/>
                <w:sz w:val="18"/>
              </w:rPr>
              <w:t>监管平台</w:t>
            </w:r>
          </w:p>
        </w:tc>
        <w:tc>
          <w:tcPr>
            <w:tcW w:w="6086" w:type="dxa"/>
          </w:tcPr>
          <w:p>
            <w:pPr>
              <w:spacing w:line="260" w:lineRule="exact"/>
              <w:rPr>
                <w:rFonts w:hint="eastAsia" w:ascii="宋体" w:hAnsi="宋体"/>
                <w:color w:val="000000"/>
                <w:sz w:val="18"/>
              </w:rPr>
            </w:pPr>
            <w:r>
              <w:rPr>
                <w:rFonts w:hint="eastAsia" w:ascii="宋体" w:hAnsi="宋体"/>
                <w:color w:val="000000"/>
                <w:sz w:val="18"/>
              </w:rPr>
              <w:t>1.监管平台具备非现场执法数据实时数据监管、历史数据查询功能</w:t>
            </w:r>
          </w:p>
          <w:p>
            <w:pPr>
              <w:spacing w:line="260" w:lineRule="exact"/>
              <w:rPr>
                <w:rFonts w:hint="eastAsia" w:ascii="宋体" w:hAnsi="宋体"/>
                <w:color w:val="000000"/>
                <w:sz w:val="18"/>
              </w:rPr>
            </w:pPr>
            <w:r>
              <w:rPr>
                <w:rFonts w:hint="eastAsia" w:ascii="宋体" w:hAnsi="宋体"/>
                <w:color w:val="000000"/>
                <w:sz w:val="18"/>
              </w:rPr>
              <w:t>2.监管平台具备对违法车辆的无道路运输证、未年审、超期等违法行为的实时分析判断功能。</w:t>
            </w:r>
          </w:p>
          <w:p>
            <w:pPr>
              <w:spacing w:line="260" w:lineRule="exact"/>
              <w:rPr>
                <w:rFonts w:hint="eastAsia" w:ascii="宋体" w:hAnsi="宋体"/>
                <w:color w:val="000000"/>
                <w:sz w:val="18"/>
              </w:rPr>
            </w:pPr>
            <w:r>
              <w:rPr>
                <w:rFonts w:hint="eastAsia" w:ascii="宋体" w:hAnsi="宋体"/>
                <w:color w:val="000000"/>
                <w:sz w:val="18"/>
              </w:rPr>
              <w:t>3.监管平台具备对违法车辆的审核、告知功能。</w:t>
            </w:r>
          </w:p>
          <w:p>
            <w:pPr>
              <w:spacing w:line="260" w:lineRule="exact"/>
              <w:rPr>
                <w:rFonts w:hint="eastAsia" w:ascii="宋体" w:hAnsi="宋体"/>
                <w:color w:val="000000"/>
                <w:sz w:val="18"/>
              </w:rPr>
            </w:pPr>
            <w:r>
              <w:rPr>
                <w:rFonts w:hint="eastAsia" w:ascii="宋体" w:hAnsi="宋体"/>
                <w:color w:val="000000"/>
                <w:sz w:val="18"/>
              </w:rPr>
              <w:t>4.监管平台具备与执法平台审核状态、办理阶段、处理结果的同步功能。</w:t>
            </w:r>
          </w:p>
          <w:p>
            <w:pPr>
              <w:spacing w:line="260" w:lineRule="exact"/>
              <w:rPr>
                <w:rFonts w:hint="eastAsia" w:ascii="宋体" w:hAnsi="宋体"/>
                <w:color w:val="000000"/>
                <w:sz w:val="18"/>
              </w:rPr>
            </w:pPr>
            <w:r>
              <w:rPr>
                <w:rFonts w:hint="eastAsia" w:ascii="宋体" w:hAnsi="宋体"/>
                <w:color w:val="000000"/>
                <w:sz w:val="18"/>
              </w:rPr>
              <w:t>5.监管平台具备配套APP，工作人员可以使用配套APP开展路查工作。</w:t>
            </w:r>
          </w:p>
          <w:p>
            <w:pPr>
              <w:spacing w:line="260" w:lineRule="exact"/>
              <w:rPr>
                <w:rFonts w:hint="eastAsia" w:ascii="宋体" w:hAnsi="宋体"/>
                <w:color w:val="000000"/>
                <w:sz w:val="18"/>
              </w:rPr>
            </w:pPr>
            <w:r>
              <w:rPr>
                <w:rFonts w:hint="eastAsia" w:ascii="宋体" w:hAnsi="宋体"/>
                <w:color w:val="000000"/>
                <w:sz w:val="18"/>
              </w:rPr>
              <w:t>6.监管平台满足河南省交通厅对于客货运车辆的数据上传功能。</w:t>
            </w:r>
          </w:p>
          <w:p>
            <w:pPr>
              <w:spacing w:line="260" w:lineRule="exact"/>
              <w:rPr>
                <w:rFonts w:hint="eastAsia" w:ascii="宋体" w:hAnsi="宋体"/>
                <w:color w:val="000000"/>
                <w:sz w:val="18"/>
              </w:rPr>
            </w:pPr>
            <w:r>
              <w:rPr>
                <w:rFonts w:hint="eastAsia" w:ascii="宋体" w:hAnsi="宋体"/>
                <w:color w:val="000000"/>
                <w:sz w:val="18"/>
              </w:rPr>
              <w:t>7.监管平台具备数据可视化展示页面，可直观显示所辖区域的各种统计分析，同时预留本辖区超限检测站、源头企业监管功能。</w:t>
            </w:r>
          </w:p>
          <w:p>
            <w:pPr>
              <w:spacing w:line="260" w:lineRule="exact"/>
              <w:rPr>
                <w:rFonts w:hint="eastAsia" w:eastAsia="宋体"/>
                <w:lang w:val="en-US" w:eastAsia="zh-CN"/>
              </w:rPr>
            </w:pPr>
            <w:r>
              <w:rPr>
                <w:rFonts w:hint="eastAsia" w:ascii="宋体" w:hAnsi="宋体"/>
                <w:color w:val="000000"/>
                <w:sz w:val="18"/>
              </w:rPr>
              <w:t>8.软件产品应具备国家行业部门认证的产品认证书。（需提供相关证书复印件并加盖厂家公章）</w:t>
            </w:r>
          </w:p>
        </w:tc>
        <w:tc>
          <w:tcPr>
            <w:tcW w:w="739" w:type="dxa"/>
          </w:tcPr>
          <w:p>
            <w:pPr>
              <w:spacing w:line="260" w:lineRule="exact"/>
              <w:ind w:firstLine="180" w:firstLineChars="100"/>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pPr>
              <w:spacing w:line="260" w:lineRule="exact"/>
              <w:jc w:val="center"/>
              <w:rPr>
                <w:rFonts w:ascii="宋体" w:hAnsi="宋体"/>
                <w:color w:val="000000"/>
                <w:sz w:val="18"/>
              </w:rPr>
            </w:pPr>
            <w:r>
              <w:rPr>
                <w:rFonts w:hint="eastAsia" w:ascii="宋体" w:hAnsi="宋体"/>
                <w:color w:val="000000"/>
                <w:sz w:val="18"/>
              </w:rPr>
              <w:t>18</w:t>
            </w:r>
          </w:p>
        </w:tc>
        <w:tc>
          <w:tcPr>
            <w:tcW w:w="1158" w:type="dxa"/>
            <w:vAlign w:val="center"/>
          </w:tcPr>
          <w:p>
            <w:pPr>
              <w:spacing w:line="260" w:lineRule="exact"/>
              <w:jc w:val="center"/>
              <w:rPr>
                <w:rFonts w:ascii="宋体" w:hAnsi="宋体"/>
                <w:color w:val="000000"/>
                <w:sz w:val="18"/>
              </w:rPr>
            </w:pPr>
            <w:r>
              <w:rPr>
                <w:rFonts w:hint="eastAsia" w:ascii="宋体" w:hAnsi="宋体"/>
                <w:color w:val="000000"/>
                <w:sz w:val="18"/>
              </w:rPr>
              <w:t>执法平台</w:t>
            </w:r>
          </w:p>
        </w:tc>
        <w:tc>
          <w:tcPr>
            <w:tcW w:w="6086" w:type="dxa"/>
          </w:tcPr>
          <w:p>
            <w:pPr>
              <w:spacing w:line="260" w:lineRule="exact"/>
              <w:rPr>
                <w:rFonts w:ascii="宋体" w:hAnsi="宋体"/>
                <w:color w:val="000000"/>
                <w:sz w:val="18"/>
              </w:rPr>
            </w:pPr>
            <w:r>
              <w:rPr>
                <w:rFonts w:hint="eastAsia" w:ascii="宋体" w:hAnsi="宋体"/>
                <w:color w:val="000000"/>
                <w:sz w:val="18"/>
              </w:rPr>
              <w:t>1.执法平台具备执法案件暂存、历史数据查询功能。</w:t>
            </w:r>
          </w:p>
          <w:p>
            <w:pPr>
              <w:spacing w:line="260" w:lineRule="exact"/>
              <w:rPr>
                <w:rFonts w:ascii="宋体" w:hAnsi="宋体"/>
                <w:color w:val="000000"/>
                <w:sz w:val="18"/>
              </w:rPr>
            </w:pPr>
            <w:r>
              <w:rPr>
                <w:rFonts w:hint="eastAsia" w:ascii="宋体" w:hAnsi="宋体"/>
                <w:color w:val="000000"/>
                <w:sz w:val="18"/>
              </w:rPr>
              <w:t>2.执法平台具备与监管平台的数据同步功能。</w:t>
            </w:r>
          </w:p>
          <w:p>
            <w:pPr>
              <w:spacing w:line="260" w:lineRule="exact"/>
              <w:rPr>
                <w:rFonts w:ascii="宋体" w:hAnsi="宋体"/>
                <w:color w:val="FF0000"/>
                <w:sz w:val="18"/>
              </w:rPr>
            </w:pPr>
            <w:r>
              <w:rPr>
                <w:rFonts w:hint="eastAsia" w:ascii="宋体" w:hAnsi="宋体"/>
                <w:color w:val="000000"/>
                <w:sz w:val="18"/>
                <w:lang w:val="en-US" w:eastAsia="zh-CN"/>
              </w:rPr>
              <w:t>3.</w:t>
            </w:r>
            <w:r>
              <w:rPr>
                <w:rFonts w:hint="eastAsia" w:ascii="宋体" w:hAnsi="宋体"/>
                <w:color w:val="000000"/>
                <w:sz w:val="18"/>
              </w:rPr>
              <w:t>执法平台同时满足路查、非现场执法等案件的办理。</w:t>
            </w:r>
          </w:p>
          <w:p>
            <w:pPr>
              <w:spacing w:line="260" w:lineRule="exact"/>
              <w:rPr>
                <w:rFonts w:ascii="宋体" w:hAnsi="宋体"/>
                <w:color w:val="000000"/>
                <w:sz w:val="18"/>
              </w:rPr>
            </w:pPr>
            <w:r>
              <w:rPr>
                <w:rFonts w:hint="eastAsia" w:ascii="宋体" w:hAnsi="宋体"/>
                <w:color w:val="000000"/>
                <w:sz w:val="18"/>
              </w:rPr>
              <w:t>4.执法平台可根据案件类型新增或修改案件模板。</w:t>
            </w:r>
          </w:p>
          <w:p>
            <w:pPr>
              <w:spacing w:line="260" w:lineRule="exact"/>
            </w:pPr>
            <w:r>
              <w:rPr>
                <w:rFonts w:hint="eastAsia" w:ascii="宋体" w:hAnsi="宋体"/>
                <w:color w:val="000000"/>
                <w:sz w:val="18"/>
              </w:rPr>
              <w:t>5.执法平台具备配套APP，工作人员可以使用配套APP进行案件办理及审核工作。</w:t>
            </w:r>
          </w:p>
        </w:tc>
        <w:tc>
          <w:tcPr>
            <w:tcW w:w="739" w:type="dxa"/>
          </w:tcPr>
          <w:p>
            <w:pPr>
              <w:spacing w:line="260" w:lineRule="exact"/>
              <w:ind w:firstLine="180" w:firstLineChars="100"/>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（二）高速动态称重系统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19</w:t>
            </w:r>
          </w:p>
        </w:tc>
        <w:tc>
          <w:tcPr>
            <w:tcW w:w="1158" w:type="dxa"/>
          </w:tcPr>
          <w:p>
            <w:pPr>
              <w:spacing w:line="260" w:lineRule="exact"/>
              <w:rPr>
                <w:rFonts w:ascii="宋体" w:hAnsi="宋体"/>
                <w:color w:val="000000"/>
                <w:sz w:val="18"/>
              </w:rPr>
            </w:pPr>
          </w:p>
          <w:p>
            <w:pPr>
              <w:spacing w:line="260" w:lineRule="exact"/>
              <w:rPr>
                <w:rFonts w:ascii="宋体" w:hAnsi="宋体"/>
                <w:color w:val="auto"/>
                <w:sz w:val="18"/>
              </w:rPr>
            </w:pPr>
          </w:p>
          <w:p>
            <w:pPr>
              <w:spacing w:line="260" w:lineRule="exact"/>
              <w:rPr>
                <w:rFonts w:hint="eastAsia" w:ascii="宋体" w:hAnsi="宋体" w:eastAsia="宋体"/>
                <w:color w:val="000000"/>
                <w:sz w:val="18"/>
                <w:lang w:val="en-US" w:eastAsia="zh-CN"/>
              </w:rPr>
            </w:pPr>
            <w:r>
              <w:rPr>
                <w:rFonts w:hint="eastAsia" w:ascii="宋体" w:hAnsi="宋体"/>
                <w:color w:val="auto"/>
                <w:sz w:val="18"/>
                <w:lang w:val="en-US" w:eastAsia="zh-CN"/>
              </w:rPr>
              <w:t>动态称重设备（平板宽型）</w:t>
            </w:r>
          </w:p>
        </w:tc>
        <w:tc>
          <w:tcPr>
            <w:tcW w:w="6086" w:type="dxa"/>
          </w:tcPr>
          <w:p>
            <w:pPr>
              <w:spacing w:line="260" w:lineRule="exact"/>
              <w:rPr>
                <w:rFonts w:hint="eastAsia" w:ascii="宋体" w:hAnsi="宋体" w:eastAsia="宋体"/>
                <w:color w:val="000000"/>
                <w:sz w:val="18"/>
                <w:lang w:eastAsia="zh-CN"/>
              </w:rPr>
            </w:pPr>
            <w:r>
              <w:rPr>
                <w:rFonts w:hint="eastAsia" w:ascii="宋体" w:hAnsi="宋体"/>
                <w:color w:val="000000"/>
                <w:sz w:val="18"/>
              </w:rPr>
              <w:t>选用称重设备技术先进，通过国家科技成果鉴定，且成果水平达到国际先进的</w:t>
            </w:r>
            <w:r>
              <w:rPr>
                <w:rFonts w:hint="eastAsia" w:ascii="宋体" w:hAnsi="宋体"/>
                <w:color w:val="000000"/>
                <w:sz w:val="18"/>
                <w:lang w:val="en-US" w:eastAsia="zh-CN"/>
              </w:rPr>
              <w:t>或</w:t>
            </w:r>
            <w:r>
              <w:rPr>
                <w:rFonts w:hint="eastAsia" w:ascii="宋体" w:hAnsi="宋体"/>
                <w:color w:val="000000"/>
                <w:sz w:val="18"/>
              </w:rPr>
              <w:t>达到国内领先的。提供科技成果鉴定证书的复印件作为证明</w:t>
            </w:r>
            <w:r>
              <w:rPr>
                <w:rFonts w:hint="eastAsia" w:ascii="宋体" w:hAnsi="宋体"/>
                <w:color w:val="000000"/>
                <w:sz w:val="18"/>
                <w:lang w:eastAsia="zh-CN"/>
              </w:rPr>
              <w:t>。</w:t>
            </w:r>
          </w:p>
          <w:p>
            <w:pPr>
              <w:spacing w:line="260" w:lineRule="exact"/>
              <w:rPr>
                <w:rFonts w:hint="eastAsia" w:ascii="宋体" w:hAnsi="宋体"/>
                <w:color w:val="000000"/>
                <w:sz w:val="18"/>
              </w:rPr>
            </w:pPr>
            <w:r>
              <w:rPr>
                <w:rFonts w:hint="eastAsia" w:ascii="宋体" w:hAnsi="宋体"/>
                <w:color w:val="000000"/>
                <w:sz w:val="18"/>
              </w:rPr>
              <w:t>动态称重系统：在1公里／小时到80公里/小时行车时速范围内的各种不同车速下（允许正偏离），首次检定允许误差范围±2.5％，使用中允许误差范围±5％；系统能处理车辆跨车道、压缝、并行、跟车、溜边、走S等异常过车行为；载荷能力（单轴）≥30T；过载能力（单轴）≥120％；输出信息：日期和时间、车速、车轴数量、轮重、轴重、轴组重、总重、车道号、行驶方向、数据记录序号、标准当量轴次、违例类型代码、车辆加速度、车辆间隔时间（毫秒）等；称重仪表在线显示各车道通行的被检测车辆的轴重、总重、车型和速度等数据，并可防止人为篡改计量参数。称重台与公路路面一体化安装方式不影响车辆通行；台板工作温度-35℃～65℃；工作环境湿度小于95％；整体式结构，承载面板同测力结构部分完全固化，无活动构件；称重台面可按道路实际宽度定制，覆盖整个检测道路横断面，无检测死角；相邻台面之间采用“无缝”拼接技术，保证车辆在碾压台面接缝行驶时也可准确检测；宽型，适应车道宽度为4m车道宽度4.6m。</w:t>
            </w:r>
          </w:p>
          <w:p>
            <w:pPr>
              <w:spacing w:line="260" w:lineRule="exact"/>
              <w:rPr>
                <w:rFonts w:hint="eastAsia" w:ascii="宋体" w:hAnsi="宋体"/>
                <w:color w:val="000000"/>
                <w:sz w:val="18"/>
                <w:lang w:eastAsia="zh-CN"/>
              </w:rPr>
            </w:pPr>
            <w:r>
              <w:rPr>
                <w:rFonts w:hint="eastAsia" w:ascii="宋体" w:hAnsi="宋体"/>
                <w:b/>
                <w:bCs/>
                <w:color w:val="000000"/>
                <w:sz w:val="18"/>
              </w:rPr>
              <w:t>（需提供市场监管部门出具的型式批准证书复印件并加盖厂家公章）</w:t>
            </w:r>
          </w:p>
        </w:tc>
        <w:tc>
          <w:tcPr>
            <w:tcW w:w="739" w:type="dxa"/>
          </w:tcPr>
          <w:p>
            <w:pPr>
              <w:spacing w:line="260" w:lineRule="exact"/>
              <w:rPr>
                <w:rFonts w:hint="eastAsia" w:ascii="宋体" w:hAnsi="宋体"/>
                <w:color w:val="000000"/>
                <w:sz w:val="18"/>
              </w:rPr>
            </w:pPr>
          </w:p>
          <w:p>
            <w:pPr>
              <w:spacing w:line="260" w:lineRule="exact"/>
              <w:rPr>
                <w:rFonts w:hint="eastAsia" w:ascii="宋体" w:hAnsi="宋体"/>
                <w:color w:val="000000"/>
                <w:sz w:val="18"/>
              </w:rPr>
            </w:pPr>
          </w:p>
          <w:p>
            <w:pPr>
              <w:spacing w:line="260" w:lineRule="exact"/>
              <w:rPr>
                <w:rFonts w:hint="eastAsia" w:ascii="宋体" w:hAnsi="宋体"/>
                <w:color w:val="000000"/>
                <w:sz w:val="18"/>
              </w:rPr>
            </w:pPr>
            <w:r>
              <w:rPr>
                <w:rFonts w:hint="eastAsia" w:ascii="宋体" w:hAnsi="宋体"/>
                <w:color w:val="000000"/>
                <w:sz w:val="18"/>
              </w:rPr>
              <w:t>车道</w:t>
            </w:r>
          </w:p>
        </w:tc>
        <w:tc>
          <w:tcPr>
            <w:tcW w:w="898"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4</w:t>
            </w:r>
          </w:p>
        </w:tc>
        <w:tc>
          <w:tcPr>
            <w:tcW w:w="609" w:type="dxa"/>
          </w:tcPr>
          <w:p>
            <w:pPr>
              <w:pStyle w:val="15"/>
              <w:keepNext w:val="0"/>
              <w:keepLines w:val="0"/>
              <w:widowControl/>
              <w:suppressLineNumbers w:val="0"/>
              <w:spacing w:before="0" w:beforeAutospacing="0" w:after="0" w:afterAutospacing="0"/>
              <w:ind w:left="0" w:right="0" w:firstLine="360" w:firstLineChars="200"/>
              <w:rPr>
                <w:rFonts w:hint="eastAsia" w:ascii="宋体" w:hAnsi="宋体" w:eastAsia="宋体" w:cs="宋体"/>
                <w:sz w:val="18"/>
                <w:szCs w:val="18"/>
              </w:rPr>
            </w:pPr>
          </w:p>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20</w:t>
            </w:r>
          </w:p>
        </w:tc>
        <w:tc>
          <w:tcPr>
            <w:tcW w:w="1158" w:type="dxa"/>
          </w:tcPr>
          <w:p>
            <w:pPr>
              <w:spacing w:line="260" w:lineRule="exact"/>
              <w:rPr>
                <w:rFonts w:ascii="宋体" w:hAnsi="宋体"/>
                <w:color w:val="auto"/>
                <w:sz w:val="18"/>
              </w:rPr>
            </w:pPr>
          </w:p>
          <w:p>
            <w:pPr>
              <w:spacing w:line="260" w:lineRule="exact"/>
              <w:rPr>
                <w:rFonts w:ascii="宋体" w:hAnsi="宋体"/>
                <w:color w:val="auto"/>
                <w:sz w:val="18"/>
              </w:rPr>
            </w:pPr>
            <w:r>
              <w:rPr>
                <w:rFonts w:hint="eastAsia" w:ascii="宋体" w:hAnsi="宋体"/>
                <w:color w:val="auto"/>
                <w:sz w:val="18"/>
              </w:rPr>
              <w:t>称重传感器</w:t>
            </w:r>
          </w:p>
        </w:tc>
        <w:tc>
          <w:tcPr>
            <w:tcW w:w="6086" w:type="dxa"/>
          </w:tcPr>
          <w:p>
            <w:pPr>
              <w:spacing w:line="260" w:lineRule="exact"/>
              <w:rPr>
                <w:rFonts w:hint="eastAsia" w:ascii="宋体" w:hAnsi="宋体"/>
                <w:color w:val="000000"/>
                <w:sz w:val="18"/>
              </w:rPr>
            </w:pPr>
            <w:r>
              <w:rPr>
                <w:rFonts w:hint="eastAsia" w:ascii="宋体" w:hAnsi="宋体"/>
                <w:color w:val="000000"/>
                <w:sz w:val="18"/>
              </w:rPr>
              <w:t>1.电阻应变式传感器； 合金钢外壳材质；防护等级≧IP68；绝缘等级＞5000MΩ（50 VDC）；灵敏度大于1.55mv/v；量程≧8t，安全过载能力≧150%，极限过载能力≧300%；工作温度范围-35℃～65℃。</w:t>
            </w:r>
          </w:p>
        </w:tc>
        <w:tc>
          <w:tcPr>
            <w:tcW w:w="739" w:type="dxa"/>
          </w:tcPr>
          <w:p>
            <w:pPr>
              <w:spacing w:line="260" w:lineRule="exact"/>
              <w:rPr>
                <w:rFonts w:hint="eastAsia" w:ascii="宋体" w:hAnsi="宋体"/>
                <w:color w:val="000000"/>
                <w:sz w:val="18"/>
              </w:rPr>
            </w:pPr>
          </w:p>
          <w:p>
            <w:pPr>
              <w:spacing w:line="260" w:lineRule="exact"/>
              <w:rPr>
                <w:rFonts w:hint="eastAsia" w:ascii="宋体" w:hAnsi="宋体"/>
                <w:color w:val="000000"/>
                <w:sz w:val="18"/>
                <w:lang w:eastAsia="zh-CN"/>
              </w:rPr>
            </w:pPr>
            <w:r>
              <w:rPr>
                <w:rFonts w:hint="eastAsia" w:ascii="宋体" w:hAnsi="宋体"/>
                <w:color w:val="000000"/>
                <w:sz w:val="18"/>
                <w:lang w:val="en-US" w:eastAsia="zh-CN"/>
              </w:rPr>
              <w:t>车道</w:t>
            </w:r>
          </w:p>
        </w:tc>
        <w:tc>
          <w:tcPr>
            <w:tcW w:w="898" w:type="dxa"/>
          </w:tcPr>
          <w:p>
            <w:pPr>
              <w:spacing w:line="260" w:lineRule="exact"/>
              <w:rPr>
                <w:rFonts w:ascii="宋体" w:hAnsi="宋体"/>
                <w:color w:val="auto"/>
                <w:sz w:val="18"/>
              </w:rPr>
            </w:pPr>
          </w:p>
          <w:p>
            <w:pPr>
              <w:spacing w:line="260" w:lineRule="exact"/>
              <w:ind w:firstLine="180" w:firstLineChars="100"/>
              <w:rPr>
                <w:rFonts w:hint="eastAsia" w:ascii="宋体" w:hAnsi="宋体" w:eastAsia="宋体"/>
                <w:color w:val="auto"/>
                <w:sz w:val="18"/>
                <w:lang w:eastAsia="zh-CN"/>
              </w:rPr>
            </w:pPr>
            <w:r>
              <w:rPr>
                <w:rFonts w:hint="eastAsia" w:ascii="宋体" w:hAnsi="宋体"/>
                <w:color w:val="auto"/>
                <w:sz w:val="18"/>
                <w:lang w:val="en-US" w:eastAsia="zh-CN"/>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21</w:t>
            </w:r>
          </w:p>
        </w:tc>
        <w:tc>
          <w:tcPr>
            <w:tcW w:w="1158" w:type="dxa"/>
          </w:tcPr>
          <w:p>
            <w:pPr>
              <w:spacing w:line="260" w:lineRule="exact"/>
              <w:rPr>
                <w:rFonts w:ascii="宋体" w:hAnsi="宋体"/>
                <w:color w:val="auto"/>
                <w:sz w:val="18"/>
              </w:rPr>
            </w:pPr>
          </w:p>
          <w:p>
            <w:pPr>
              <w:spacing w:line="260" w:lineRule="exact"/>
              <w:rPr>
                <w:rFonts w:ascii="宋体" w:hAnsi="宋体"/>
                <w:color w:val="auto"/>
                <w:sz w:val="18"/>
              </w:rPr>
            </w:pPr>
            <w:r>
              <w:rPr>
                <w:rFonts w:hint="eastAsia" w:ascii="宋体" w:hAnsi="宋体"/>
                <w:color w:val="auto"/>
                <w:sz w:val="18"/>
                <w:lang w:val="en-US" w:eastAsia="zh-CN"/>
              </w:rPr>
              <w:t>动态称重设备</w:t>
            </w:r>
            <w:r>
              <w:rPr>
                <w:rFonts w:hint="eastAsia" w:ascii="宋体" w:hAnsi="宋体"/>
                <w:color w:val="auto"/>
                <w:sz w:val="18"/>
              </w:rPr>
              <w:t>基础</w:t>
            </w:r>
          </w:p>
        </w:tc>
        <w:tc>
          <w:tcPr>
            <w:tcW w:w="6086" w:type="dxa"/>
          </w:tcPr>
          <w:p>
            <w:pPr>
              <w:spacing w:line="260" w:lineRule="exact"/>
              <w:rPr>
                <w:rFonts w:ascii="宋体" w:hAnsi="宋体"/>
                <w:color w:val="auto"/>
                <w:sz w:val="18"/>
              </w:rPr>
            </w:pPr>
            <w:r>
              <w:rPr>
                <w:rFonts w:hint="eastAsia" w:ascii="宋体" w:hAnsi="宋体"/>
                <w:color w:val="auto"/>
                <w:sz w:val="18"/>
              </w:rPr>
              <w:t>1.含高强灌浆料、钢筋、管材及路面内施工机具人工等费用；水料比≧14%；容重≧2200kg/m3；浇筑后无泌水现象，泌水率0%；超细径粒，最大径粒≤2mm；流动性好，初始流动度≧320mm，30min流动度≧300mm；微膨胀，3h膨胀率≧0.1%，24h和3h膨胀率差值0.02；抗油性好，机油浸泡30天后强度增加10%；3小时初凝强度达到≧C30；7小时终凝达到最高强度；夏季12小时内通行重车；冬季24小时内通行重车。</w:t>
            </w:r>
          </w:p>
        </w:tc>
        <w:tc>
          <w:tcPr>
            <w:tcW w:w="739" w:type="dxa"/>
          </w:tcPr>
          <w:p>
            <w:pPr>
              <w:spacing w:line="260" w:lineRule="exact"/>
              <w:jc w:val="center"/>
              <w:rPr>
                <w:rFonts w:ascii="宋体" w:hAnsi="宋体"/>
                <w:color w:val="auto"/>
                <w:sz w:val="18"/>
              </w:rPr>
            </w:pPr>
          </w:p>
          <w:p>
            <w:pPr>
              <w:spacing w:line="260" w:lineRule="exact"/>
              <w:jc w:val="center"/>
              <w:rPr>
                <w:rFonts w:ascii="宋体" w:hAnsi="宋体"/>
                <w:color w:val="auto"/>
                <w:sz w:val="18"/>
              </w:rPr>
            </w:pPr>
          </w:p>
          <w:p>
            <w:pPr>
              <w:spacing w:line="260" w:lineRule="exact"/>
              <w:jc w:val="center"/>
              <w:rPr>
                <w:rFonts w:ascii="宋体" w:hAnsi="宋体"/>
                <w:color w:val="auto"/>
                <w:sz w:val="18"/>
              </w:rPr>
            </w:pPr>
            <w:r>
              <w:rPr>
                <w:rFonts w:hint="eastAsia" w:ascii="宋体" w:hAnsi="宋体"/>
                <w:color w:val="auto"/>
                <w:sz w:val="18"/>
              </w:rPr>
              <w:t>车道</w:t>
            </w:r>
          </w:p>
        </w:tc>
        <w:tc>
          <w:tcPr>
            <w:tcW w:w="898" w:type="dxa"/>
          </w:tcPr>
          <w:p>
            <w:pPr>
              <w:spacing w:line="260" w:lineRule="exact"/>
              <w:jc w:val="center"/>
              <w:rPr>
                <w:rFonts w:ascii="宋体" w:hAnsi="宋体"/>
                <w:color w:val="auto"/>
                <w:sz w:val="18"/>
              </w:rPr>
            </w:pPr>
          </w:p>
          <w:p>
            <w:pPr>
              <w:spacing w:line="260" w:lineRule="exact"/>
              <w:jc w:val="center"/>
              <w:rPr>
                <w:rFonts w:ascii="宋体" w:hAnsi="宋体"/>
                <w:color w:val="auto"/>
                <w:sz w:val="18"/>
              </w:rPr>
            </w:pPr>
          </w:p>
          <w:p>
            <w:pPr>
              <w:spacing w:line="260" w:lineRule="exact"/>
              <w:jc w:val="center"/>
              <w:rPr>
                <w:rFonts w:ascii="宋体" w:hAnsi="宋体"/>
                <w:color w:val="auto"/>
                <w:sz w:val="18"/>
              </w:rPr>
            </w:pPr>
            <w:r>
              <w:rPr>
                <w:rFonts w:hint="eastAsia" w:ascii="宋体" w:hAnsi="宋体"/>
                <w:color w:val="auto"/>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22</w:t>
            </w:r>
          </w:p>
        </w:tc>
        <w:tc>
          <w:tcPr>
            <w:tcW w:w="1158" w:type="dxa"/>
          </w:tcPr>
          <w:p>
            <w:pPr>
              <w:spacing w:line="260" w:lineRule="exact"/>
              <w:rPr>
                <w:rFonts w:ascii="宋体" w:hAnsi="宋体"/>
                <w:color w:val="000000"/>
                <w:sz w:val="18"/>
              </w:rPr>
            </w:pPr>
            <w:r>
              <w:rPr>
                <w:rFonts w:hint="eastAsia" w:ascii="宋体" w:hAnsi="宋体"/>
                <w:color w:val="000000"/>
                <w:sz w:val="18"/>
              </w:rPr>
              <w:t>车检器</w:t>
            </w:r>
          </w:p>
        </w:tc>
        <w:tc>
          <w:tcPr>
            <w:tcW w:w="6086" w:type="dxa"/>
          </w:tcPr>
          <w:p>
            <w:pPr>
              <w:spacing w:line="260" w:lineRule="exact"/>
              <w:rPr>
                <w:rFonts w:ascii="宋体" w:hAnsi="宋体"/>
                <w:color w:val="000000"/>
                <w:sz w:val="18"/>
              </w:rPr>
            </w:pPr>
            <w:r>
              <w:rPr>
                <w:rFonts w:hint="eastAsia" w:ascii="宋体" w:hAnsi="宋体"/>
                <w:color w:val="000000"/>
                <w:sz w:val="18"/>
              </w:rPr>
              <w:t>1.电感量自调谐范围20-1000uH,Q值5；灵敏度4级可调；频率范围30kHz-110kHz，4级可调；2车道1台车检器。</w:t>
            </w:r>
          </w:p>
        </w:tc>
        <w:tc>
          <w:tcPr>
            <w:tcW w:w="739" w:type="dxa"/>
          </w:tcPr>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23</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车检线圈</w:t>
            </w:r>
          </w:p>
        </w:tc>
        <w:tc>
          <w:tcPr>
            <w:tcW w:w="6086" w:type="dxa"/>
          </w:tcPr>
          <w:p>
            <w:pPr>
              <w:spacing w:line="260" w:lineRule="exact"/>
              <w:rPr>
                <w:rFonts w:ascii="宋体" w:hAnsi="宋体"/>
                <w:color w:val="000000"/>
                <w:sz w:val="18"/>
              </w:rPr>
            </w:pPr>
            <w:r>
              <w:rPr>
                <w:rFonts w:hint="eastAsia" w:ascii="宋体" w:hAnsi="宋体"/>
                <w:color w:val="000000"/>
                <w:sz w:val="18"/>
              </w:rPr>
              <w:t>1.专用地感线圈电缆，具有耐磨、防水、耐寒、耐油耐汽油混合物，不易燃烧，不易老化，环保等特点；使用温度-60～+105℃；导体：绞合镀锡铜线；绝缘：聚氯乙烯（PVC）；护套：玻璃纤维编织+腊克涂覆；颜色：红/黄/兰/白/黑/黄绿/棕等；每车道4个，电感量≧100mH~200mH；含施工、线圈槽切割敷设、回补。</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车道</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24</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现场工控机</w:t>
            </w:r>
          </w:p>
        </w:tc>
        <w:tc>
          <w:tcPr>
            <w:tcW w:w="6086" w:type="dxa"/>
          </w:tcPr>
          <w:p>
            <w:pPr>
              <w:spacing w:line="260" w:lineRule="exact"/>
              <w:rPr>
                <w:rFonts w:hint="eastAsia" w:ascii="宋体" w:hAnsi="宋体" w:eastAsia="宋体"/>
                <w:color w:val="000000"/>
                <w:sz w:val="18"/>
                <w:lang w:eastAsia="zh-CN"/>
              </w:rPr>
            </w:pPr>
            <w:r>
              <w:rPr>
                <w:rFonts w:hint="eastAsia" w:ascii="宋体" w:hAnsi="宋体"/>
                <w:color w:val="auto"/>
                <w:sz w:val="18"/>
              </w:rPr>
              <w:t>1.增强型特殊定制称重仪表；内存≧8G；硬件部分≧19”标准机架4U；双硬盘≧500G/7200转+120G固态硬盘；操作系统：WindowsXP/7；全天候连续工作；断电后来电自动开机并自动加载监控系统；远程维护模块及远程管理系统；获得结果时间不超过1秒。</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25</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称重数据处理单元</w:t>
            </w:r>
          </w:p>
        </w:tc>
        <w:tc>
          <w:tcPr>
            <w:tcW w:w="6086" w:type="dxa"/>
          </w:tcPr>
          <w:p>
            <w:pPr>
              <w:spacing w:line="260" w:lineRule="exact"/>
              <w:rPr>
                <w:rFonts w:ascii="宋体" w:hAnsi="宋体"/>
                <w:color w:val="000000"/>
                <w:sz w:val="18"/>
              </w:rPr>
            </w:pPr>
            <w:r>
              <w:rPr>
                <w:rFonts w:hint="eastAsia" w:ascii="宋体" w:hAnsi="宋体"/>
                <w:color w:val="000000"/>
                <w:sz w:val="18"/>
              </w:rPr>
              <w:t>1.跨道精检型，AD转换，数据采集，轴数识别；采样率高达248kS/s；24位分辨率，ADC具有114dB动态范围；输入信号的范围从±1V至10V时，可设置2种增益设置，高达+20dB；交流/直流可选；8路通道提供的通道密度适宜大多数NVH；高可靠性。</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车道</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26</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现场控制机柜</w:t>
            </w:r>
          </w:p>
        </w:tc>
        <w:tc>
          <w:tcPr>
            <w:tcW w:w="6086" w:type="dxa"/>
          </w:tcPr>
          <w:p>
            <w:pPr>
              <w:spacing w:line="260" w:lineRule="exact"/>
              <w:rPr>
                <w:rFonts w:ascii="宋体" w:hAnsi="宋体"/>
                <w:color w:val="000000"/>
                <w:sz w:val="18"/>
              </w:rPr>
            </w:pPr>
            <w:r>
              <w:rPr>
                <w:rFonts w:hint="eastAsia" w:ascii="宋体" w:hAnsi="宋体"/>
                <w:color w:val="000000"/>
                <w:sz w:val="18"/>
              </w:rPr>
              <w:t>1.控制柜箱体厚度为≧2mm的冷轧板，使用防盗锁；机柜规格≧ 600*700*1900，带制冷设备；控制柜采用挂杆或落地安装，落地时基础墩台高度不小于30cm；防护等级≧IP65；使用寿命大于l0年；相对湿度：0～95％R.H；工作温度≦-30℃～+60℃。</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个</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27</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接入交换机</w:t>
            </w:r>
          </w:p>
        </w:tc>
        <w:tc>
          <w:tcPr>
            <w:tcW w:w="6086" w:type="dxa"/>
          </w:tcPr>
          <w:p>
            <w:pPr>
              <w:spacing w:line="260" w:lineRule="exact"/>
              <w:rPr>
                <w:rFonts w:ascii="宋体" w:hAnsi="宋体"/>
                <w:color w:val="000000"/>
                <w:sz w:val="18"/>
              </w:rPr>
            </w:pPr>
            <w:r>
              <w:rPr>
                <w:rFonts w:hint="eastAsia" w:ascii="宋体" w:hAnsi="宋体"/>
                <w:color w:val="000000"/>
                <w:sz w:val="18"/>
              </w:rPr>
              <w:t>1.端口≧24个10/100/1000/Base-T电口；速度≧10/100/1000Mbps；缓存≧4Mbits；交换容量≧52Gbps；包转发率≧38.7Mpps；；输入电压100V-240V AC。</w:t>
            </w:r>
          </w:p>
        </w:tc>
        <w:tc>
          <w:tcPr>
            <w:tcW w:w="739" w:type="dxa"/>
          </w:tcPr>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28</w:t>
            </w:r>
          </w:p>
        </w:tc>
        <w:tc>
          <w:tcPr>
            <w:tcW w:w="1158" w:type="dxa"/>
          </w:tcPr>
          <w:p>
            <w:pPr>
              <w:spacing w:line="260" w:lineRule="exact"/>
              <w:rPr>
                <w:rFonts w:ascii="宋体" w:hAnsi="宋体"/>
                <w:color w:val="auto"/>
                <w:sz w:val="18"/>
              </w:rPr>
            </w:pPr>
          </w:p>
          <w:p>
            <w:pPr>
              <w:spacing w:line="260" w:lineRule="exact"/>
              <w:rPr>
                <w:rFonts w:ascii="宋体" w:hAnsi="宋体"/>
                <w:color w:val="auto"/>
                <w:sz w:val="18"/>
              </w:rPr>
            </w:pPr>
            <w:r>
              <w:rPr>
                <w:rFonts w:hint="eastAsia" w:ascii="宋体" w:hAnsi="宋体"/>
                <w:color w:val="auto"/>
                <w:sz w:val="18"/>
              </w:rPr>
              <w:t>车辆重量计算软件</w:t>
            </w:r>
          </w:p>
        </w:tc>
        <w:tc>
          <w:tcPr>
            <w:tcW w:w="6086" w:type="dxa"/>
          </w:tcPr>
          <w:p>
            <w:pPr>
              <w:spacing w:line="260" w:lineRule="exact"/>
              <w:rPr>
                <w:rFonts w:hint="eastAsia" w:ascii="宋体" w:hAnsi="宋体"/>
                <w:color w:val="000000"/>
                <w:sz w:val="18"/>
                <w:lang w:val="en-US" w:eastAsia="zh-CN"/>
              </w:rPr>
            </w:pPr>
            <w:r>
              <w:rPr>
                <w:rFonts w:hint="eastAsia" w:ascii="宋体" w:hAnsi="宋体"/>
                <w:color w:val="000000"/>
                <w:sz w:val="18"/>
                <w:lang w:val="en-US" w:eastAsia="zh-CN"/>
              </w:rPr>
              <w:t>1.车辆通过自动分车，准确判断车辆轴数；全速度段称重满足动态衡器5级标准；0-1km/h超低速修正模块，确保超低速能够准确称重；自动匹配车辆重量数据和车牌、抓拍数据，形成完整检测数据；自动判断超限车辆，并向LED屏发送提示信息；自动上传检测数据。</w:t>
            </w:r>
          </w:p>
          <w:p>
            <w:pPr>
              <w:spacing w:line="260" w:lineRule="exact"/>
            </w:pPr>
            <w:r>
              <w:rPr>
                <w:rFonts w:hint="eastAsia" w:ascii="宋体" w:hAnsi="宋体"/>
                <w:color w:val="000000"/>
                <w:sz w:val="18"/>
                <w:lang w:val="en-US" w:eastAsia="zh-CN"/>
              </w:rPr>
              <w:t>2.自动分析检测结果，并向LED屏发送超限车辆数据，从车辆经过后到LED显示结果时间不超过2秒；自动向数据平台传输检测结果和车辆抓拍图片，在光纤专线条件下，数据进入数据平台时间不超过10秒。</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29</w:t>
            </w:r>
          </w:p>
        </w:tc>
        <w:tc>
          <w:tcPr>
            <w:tcW w:w="1158" w:type="dxa"/>
          </w:tcPr>
          <w:p>
            <w:pPr>
              <w:spacing w:line="260" w:lineRule="exact"/>
              <w:rPr>
                <w:rFonts w:ascii="宋体" w:hAnsi="宋体"/>
                <w:color w:val="auto"/>
                <w:sz w:val="18"/>
              </w:rPr>
            </w:pPr>
          </w:p>
          <w:p>
            <w:pPr>
              <w:spacing w:line="260" w:lineRule="exact"/>
              <w:rPr>
                <w:rFonts w:ascii="宋体" w:hAnsi="宋体"/>
                <w:color w:val="auto"/>
                <w:sz w:val="18"/>
              </w:rPr>
            </w:pPr>
            <w:r>
              <w:rPr>
                <w:rFonts w:hint="eastAsia" w:ascii="宋体" w:hAnsi="宋体"/>
                <w:color w:val="auto"/>
                <w:sz w:val="18"/>
              </w:rPr>
              <w:t>跨车道行驶判别软件</w:t>
            </w:r>
          </w:p>
        </w:tc>
        <w:tc>
          <w:tcPr>
            <w:tcW w:w="6086" w:type="dxa"/>
          </w:tcPr>
          <w:p>
            <w:pPr>
              <w:spacing w:line="260" w:lineRule="exact"/>
              <w:rPr>
                <w:rFonts w:ascii="宋体" w:hAnsi="宋体"/>
                <w:color w:val="000000"/>
                <w:sz w:val="18"/>
              </w:rPr>
            </w:pPr>
            <w:r>
              <w:rPr>
                <w:rFonts w:hint="eastAsia" w:ascii="宋体" w:hAnsi="宋体"/>
                <w:color w:val="000000"/>
                <w:sz w:val="18"/>
              </w:rPr>
              <w:t>1.自动判断正向、逆向行驶行为，准确定义行驶方向和车道；自动判断单车跨道模块，压缝行驶行为，准确合并车辆数据；加强反作弊能力，自动判断超低速、走走停停行为，保证车辆判断不断轴防雷接地引下线，每一个检测方向≧30米。</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30</w:t>
            </w:r>
          </w:p>
        </w:tc>
        <w:tc>
          <w:tcPr>
            <w:tcW w:w="1158" w:type="dxa"/>
          </w:tcPr>
          <w:p>
            <w:pPr>
              <w:spacing w:line="260" w:lineRule="exact"/>
              <w:jc w:val="left"/>
              <w:rPr>
                <w:rFonts w:ascii="宋体" w:hAnsi="宋体"/>
                <w:color w:val="auto"/>
                <w:sz w:val="18"/>
              </w:rPr>
            </w:pPr>
            <w:r>
              <w:rPr>
                <w:rFonts w:hint="eastAsia" w:ascii="宋体" w:hAnsi="宋体"/>
                <w:color w:val="auto"/>
                <w:sz w:val="18"/>
              </w:rPr>
              <w:t>超限信息传输服务系统</w:t>
            </w:r>
          </w:p>
        </w:tc>
        <w:tc>
          <w:tcPr>
            <w:tcW w:w="6086" w:type="dxa"/>
          </w:tcPr>
          <w:p>
            <w:pPr>
              <w:spacing w:line="260" w:lineRule="exact"/>
            </w:pPr>
            <w:r>
              <w:rPr>
                <w:rFonts w:hint="eastAsia" w:ascii="宋体" w:hAnsi="宋体"/>
                <w:color w:val="000000"/>
                <w:sz w:val="18"/>
              </w:rPr>
              <w:t>提供平台对接标准接口，提供情报板标准控制卡对接接口，与抓拍监控等外围系统数据对接；工控机现场数据、视频、图片的传输控制。</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31</w:t>
            </w:r>
          </w:p>
        </w:tc>
        <w:tc>
          <w:tcPr>
            <w:tcW w:w="1158" w:type="dxa"/>
          </w:tcPr>
          <w:p>
            <w:pPr>
              <w:spacing w:line="260" w:lineRule="exact"/>
              <w:rPr>
                <w:rFonts w:ascii="宋体" w:hAnsi="宋体"/>
                <w:color w:val="000000"/>
                <w:sz w:val="18"/>
              </w:rPr>
            </w:pPr>
            <w:r>
              <w:rPr>
                <w:rFonts w:hint="eastAsia" w:ascii="宋体" w:hAnsi="宋体"/>
                <w:color w:val="000000"/>
                <w:sz w:val="18"/>
              </w:rPr>
              <w:t>检定配合费</w:t>
            </w:r>
          </w:p>
        </w:tc>
        <w:tc>
          <w:tcPr>
            <w:tcW w:w="6086" w:type="dxa"/>
          </w:tcPr>
          <w:p>
            <w:pPr>
              <w:spacing w:line="260" w:lineRule="exact"/>
              <w:rPr>
                <w:rFonts w:ascii="宋体" w:hAnsi="宋体"/>
                <w:color w:val="000000"/>
                <w:sz w:val="18"/>
              </w:rPr>
            </w:pPr>
            <w:r>
              <w:rPr>
                <w:rFonts w:hint="eastAsia" w:ascii="宋体" w:hAnsi="宋体"/>
                <w:color w:val="000000"/>
                <w:sz w:val="18"/>
              </w:rPr>
              <w:t>首次计量检定时，道路交通管制费和原厂技术配合费。</w:t>
            </w:r>
          </w:p>
        </w:tc>
        <w:tc>
          <w:tcPr>
            <w:tcW w:w="739" w:type="dxa"/>
          </w:tcPr>
          <w:p>
            <w:pPr>
              <w:spacing w:line="260" w:lineRule="exact"/>
              <w:rPr>
                <w:rFonts w:ascii="宋体" w:hAnsi="宋体"/>
                <w:color w:val="000000"/>
                <w:sz w:val="18"/>
              </w:rPr>
            </w:pPr>
            <w:r>
              <w:rPr>
                <w:rFonts w:hint="eastAsia" w:ascii="宋体" w:hAnsi="宋体"/>
                <w:color w:val="000000"/>
                <w:sz w:val="18"/>
              </w:rPr>
              <w:t>车道</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32</w:t>
            </w:r>
          </w:p>
        </w:tc>
        <w:tc>
          <w:tcPr>
            <w:tcW w:w="1158" w:type="dxa"/>
          </w:tcPr>
          <w:p>
            <w:pPr>
              <w:spacing w:line="260" w:lineRule="exact"/>
              <w:rPr>
                <w:rFonts w:ascii="宋体" w:hAnsi="宋体"/>
                <w:color w:val="000000"/>
                <w:sz w:val="18"/>
              </w:rPr>
            </w:pPr>
            <w:r>
              <w:rPr>
                <w:rFonts w:hint="eastAsia" w:ascii="宋体" w:hAnsi="宋体"/>
                <w:color w:val="000000"/>
                <w:sz w:val="18"/>
              </w:rPr>
              <w:t>称重系统调试</w:t>
            </w:r>
          </w:p>
        </w:tc>
        <w:tc>
          <w:tcPr>
            <w:tcW w:w="6086" w:type="dxa"/>
          </w:tcPr>
          <w:p>
            <w:pPr>
              <w:spacing w:line="260" w:lineRule="exact"/>
              <w:rPr>
                <w:rFonts w:ascii="宋体" w:hAnsi="宋体"/>
                <w:color w:val="000000"/>
                <w:sz w:val="18"/>
              </w:rPr>
            </w:pPr>
            <w:r>
              <w:rPr>
                <w:rFonts w:hint="eastAsia" w:ascii="宋体" w:hAnsi="宋体"/>
                <w:color w:val="000000"/>
                <w:sz w:val="18"/>
              </w:rPr>
              <w:t>实车标定费用</w:t>
            </w:r>
          </w:p>
        </w:tc>
        <w:tc>
          <w:tcPr>
            <w:tcW w:w="739" w:type="dxa"/>
          </w:tcPr>
          <w:p>
            <w:pPr>
              <w:spacing w:line="260" w:lineRule="exact"/>
              <w:jc w:val="center"/>
              <w:rPr>
                <w:rFonts w:ascii="宋体" w:hAnsi="宋体"/>
                <w:color w:val="000000"/>
                <w:sz w:val="18"/>
              </w:rPr>
            </w:pPr>
            <w:r>
              <w:rPr>
                <w:rFonts w:hint="eastAsia" w:ascii="宋体" w:hAnsi="宋体"/>
                <w:color w:val="000000"/>
                <w:sz w:val="18"/>
              </w:rPr>
              <w:t>车道</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tcPr>
          <w:p>
            <w:pPr>
              <w:spacing w:line="260" w:lineRule="exact"/>
              <w:jc w:val="center"/>
              <w:rPr>
                <w:rFonts w:ascii="宋体" w:hAnsi="宋体"/>
                <w:color w:val="000000"/>
                <w:sz w:val="18"/>
              </w:rPr>
            </w:pPr>
            <w:r>
              <w:rPr>
                <w:rFonts w:hint="eastAsia" w:ascii="宋体" w:hAnsi="宋体"/>
                <w:color w:val="000000"/>
                <w:sz w:val="18"/>
              </w:rPr>
              <w:t>33</w:t>
            </w:r>
          </w:p>
        </w:tc>
        <w:tc>
          <w:tcPr>
            <w:tcW w:w="1158" w:type="dxa"/>
          </w:tcPr>
          <w:p>
            <w:pPr>
              <w:spacing w:line="260" w:lineRule="exact"/>
              <w:rPr>
                <w:rFonts w:ascii="宋体" w:hAnsi="宋体"/>
                <w:color w:val="000000"/>
                <w:sz w:val="18"/>
              </w:rPr>
            </w:pPr>
            <w:r>
              <w:rPr>
                <w:rFonts w:hint="eastAsia" w:ascii="宋体" w:hAnsi="宋体"/>
                <w:color w:val="000000"/>
                <w:sz w:val="18"/>
              </w:rPr>
              <w:t>运输</w:t>
            </w:r>
          </w:p>
        </w:tc>
        <w:tc>
          <w:tcPr>
            <w:tcW w:w="6086" w:type="dxa"/>
          </w:tcPr>
          <w:p>
            <w:pPr>
              <w:spacing w:line="260" w:lineRule="exact"/>
              <w:rPr>
                <w:rFonts w:ascii="宋体" w:hAnsi="宋体"/>
                <w:color w:val="000000"/>
                <w:sz w:val="18"/>
              </w:rPr>
            </w:pPr>
            <w:r>
              <w:rPr>
                <w:rFonts w:hint="eastAsia" w:ascii="宋体" w:hAnsi="宋体"/>
                <w:color w:val="000000"/>
                <w:sz w:val="18"/>
              </w:rPr>
              <w:t>台面运输及现场小件运输费</w:t>
            </w:r>
          </w:p>
        </w:tc>
        <w:tc>
          <w:tcPr>
            <w:tcW w:w="739" w:type="dxa"/>
          </w:tcPr>
          <w:p>
            <w:pPr>
              <w:spacing w:line="260" w:lineRule="exact"/>
              <w:jc w:val="center"/>
              <w:rPr>
                <w:rFonts w:ascii="宋体" w:hAnsi="宋体"/>
                <w:color w:val="000000"/>
                <w:sz w:val="18"/>
              </w:rPr>
            </w:pPr>
            <w:r>
              <w:rPr>
                <w:rFonts w:hint="eastAsia" w:ascii="宋体" w:hAnsi="宋体"/>
                <w:color w:val="000000"/>
                <w:sz w:val="18"/>
              </w:rPr>
              <w:t>车道</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（三）卡口车牌识别系统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34</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称重高清号牌抓拍摄像机</w:t>
            </w:r>
          </w:p>
        </w:tc>
        <w:tc>
          <w:tcPr>
            <w:tcW w:w="6086" w:type="dxa"/>
          </w:tcPr>
          <w:p>
            <w:pPr>
              <w:spacing w:line="260" w:lineRule="exact"/>
              <w:rPr>
                <w:rFonts w:ascii="宋体" w:hAnsi="宋体"/>
                <w:color w:val="000000"/>
                <w:sz w:val="18"/>
              </w:rPr>
            </w:pPr>
            <w:r>
              <w:rPr>
                <w:rFonts w:hint="eastAsia" w:ascii="宋体" w:hAnsi="宋体"/>
                <w:color w:val="000000"/>
                <w:sz w:val="18"/>
              </w:rPr>
              <w:t>1.包含摄像机（内置偏振镜）、高清镜头、室外防护罩、风扇、内置补光灯、电源适配器、相机内置防雷模块、安装万向节等；900W像素，最大支持4096*2160分辨率，帧率25fps；图像传感器采用1" 英寸全局曝光CMOS（GMOS）传感器；照度彩色0.01Lux；视频压缩标准：H.265/H.264/MJPEG；工作电压：100VAC～240VAC；功耗20W。</w:t>
            </w:r>
          </w:p>
        </w:tc>
        <w:tc>
          <w:tcPr>
            <w:tcW w:w="739"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套</w:t>
            </w:r>
          </w:p>
        </w:tc>
        <w:tc>
          <w:tcPr>
            <w:tcW w:w="898"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35</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称重尾部抓拍摄像机</w:t>
            </w:r>
          </w:p>
        </w:tc>
        <w:tc>
          <w:tcPr>
            <w:tcW w:w="6086" w:type="dxa"/>
          </w:tcPr>
          <w:p>
            <w:pPr>
              <w:spacing w:line="260" w:lineRule="exact"/>
              <w:rPr>
                <w:rFonts w:ascii="宋体" w:hAnsi="宋体"/>
                <w:color w:val="000000"/>
                <w:sz w:val="18"/>
              </w:rPr>
            </w:pPr>
            <w:r>
              <w:rPr>
                <w:rFonts w:hint="eastAsia" w:ascii="宋体" w:hAnsi="宋体"/>
                <w:color w:val="000000"/>
                <w:sz w:val="18"/>
              </w:rPr>
              <w:t>1.包含摄像机（内置偏振镜）、高清镜头、室外防护罩、风扇、内置补光灯、电源适配器、相机内置防雷模块、安装万向节等；900W像素，最大支持4096*2160分辨率，帧率25fps；图像传感器采用1" 英寸全局曝光CMOS（GMOS）传感器；照度彩色0.01Lux；视频压缩标准：H.265/H.264/MJPEG；工作电压100VAC～240VAC；频率48Hz～52Hz；功耗20W。</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36</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侧面抓拍摄像机</w:t>
            </w:r>
          </w:p>
        </w:tc>
        <w:tc>
          <w:tcPr>
            <w:tcW w:w="6086" w:type="dxa"/>
          </w:tcPr>
          <w:p>
            <w:pPr>
              <w:spacing w:line="260" w:lineRule="exact"/>
              <w:rPr>
                <w:rFonts w:ascii="宋体" w:hAnsi="宋体"/>
                <w:color w:val="000000"/>
                <w:sz w:val="18"/>
              </w:rPr>
            </w:pPr>
            <w:r>
              <w:rPr>
                <w:rFonts w:hint="eastAsia" w:ascii="宋体" w:hAnsi="宋体"/>
                <w:color w:val="000000"/>
                <w:sz w:val="18"/>
              </w:rPr>
              <w:t>1.包含摄像机（内置偏振镜）、高清镜头、室外防护罩、风扇、内置补光灯、电源适配器、相机内置防雷模块、安装万向节等；900W像素，最大支持4096*2160分辨率，帧率25fps；图像传感器采用1" 英寸全局曝光CMOS（GMOS）传感器；照度彩色0.01Lux；视频压缩标准：H.265/H.264/MJPEG；工作电压100VAC～240VAC；频率≧48Hz～52Hz；功耗20W；</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37</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爆闪灯</w:t>
            </w:r>
          </w:p>
        </w:tc>
        <w:tc>
          <w:tcPr>
            <w:tcW w:w="6086" w:type="dxa"/>
          </w:tcPr>
          <w:p>
            <w:pPr>
              <w:spacing w:line="260" w:lineRule="exact"/>
              <w:rPr>
                <w:rFonts w:ascii="宋体" w:hAnsi="宋体"/>
                <w:color w:val="000000"/>
                <w:sz w:val="18"/>
              </w:rPr>
            </w:pPr>
            <w:r>
              <w:rPr>
                <w:rFonts w:hint="eastAsia" w:ascii="宋体" w:hAnsi="宋体"/>
                <w:color w:val="000000"/>
                <w:sz w:val="18"/>
              </w:rPr>
              <w:t>1.电源电压 220 VAC±15%；工作温度 -20℃~+60℃；工作湿度≦5%-90%@40℃，无凝结；覆盖单车道，有效拍摄距离18-25(米)；最高闪光频率 6次/秒，最大闪光能量75J，回电时间不大于67ms；色温值（K）5500±200；触发方式 兼容电平量和开关量触发；闪光灯持续时间（S）&lt;1/30000；使用寿命（万次）2000；防护等级 IP66。</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12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38</w:t>
            </w:r>
          </w:p>
        </w:tc>
        <w:tc>
          <w:tcPr>
            <w:tcW w:w="1158" w:type="dxa"/>
          </w:tcPr>
          <w:p>
            <w:pPr>
              <w:spacing w:line="260" w:lineRule="exact"/>
              <w:rPr>
                <w:rFonts w:ascii="宋体" w:hAnsi="宋体"/>
                <w:color w:val="000000"/>
                <w:sz w:val="18"/>
              </w:rPr>
            </w:pPr>
            <w:r>
              <w:rPr>
                <w:rFonts w:hint="eastAsia" w:ascii="宋体" w:hAnsi="宋体"/>
                <w:color w:val="000000"/>
                <w:sz w:val="18"/>
              </w:rPr>
              <w:t>补光灯</w:t>
            </w:r>
          </w:p>
        </w:tc>
        <w:tc>
          <w:tcPr>
            <w:tcW w:w="6086" w:type="dxa"/>
          </w:tcPr>
          <w:p>
            <w:pPr>
              <w:spacing w:line="260" w:lineRule="exact"/>
              <w:rPr>
                <w:rFonts w:ascii="宋体" w:hAnsi="宋体"/>
                <w:color w:val="000000"/>
                <w:sz w:val="18"/>
              </w:rPr>
            </w:pPr>
            <w:r>
              <w:rPr>
                <w:rFonts w:hint="eastAsia" w:ascii="宋体" w:hAnsi="宋体"/>
                <w:color w:val="000000"/>
                <w:sz w:val="18"/>
              </w:rPr>
              <w:t>1.16颗原装进口大功率暖光LED频闪灯，单车道环境补光灯；最佳补光距离16m～25m；支持5V电平量触发(可选开关量)，最大功率30W</w:t>
            </w:r>
          </w:p>
        </w:tc>
        <w:tc>
          <w:tcPr>
            <w:tcW w:w="739" w:type="dxa"/>
          </w:tcPr>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39</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高速智能监控球机</w:t>
            </w:r>
          </w:p>
        </w:tc>
        <w:tc>
          <w:tcPr>
            <w:tcW w:w="6086" w:type="dxa"/>
          </w:tcPr>
          <w:p>
            <w:pPr>
              <w:spacing w:line="260" w:lineRule="exact"/>
              <w:rPr>
                <w:rFonts w:ascii="宋体" w:hAnsi="宋体"/>
                <w:color w:val="000000"/>
                <w:sz w:val="18"/>
              </w:rPr>
            </w:pPr>
            <w:r>
              <w:rPr>
                <w:rFonts w:hint="eastAsia" w:ascii="宋体" w:hAnsi="宋体"/>
                <w:color w:val="000000"/>
                <w:sz w:val="18"/>
              </w:rPr>
              <w:t>1.E系列300万7寸红外；2048×1536@30fps；彩色≧0.005Lux @ (F1.6，AGC ON)；黑白≧0.001Lux @(F1.6，AGC ON) ；0 Lux with IR；150米红外照射距离；焦距≧4.5-135mm, 30倍光学；支持音频、报警；支持自动跟踪；支持宽动态、透雾、强光抑制、Smart IR、3D数字降噪 ；支持萤石云；区域入侵侦测、越界侦测、音频异常侦测、移动侦测；水平键控速度最大160°/s，垂直键控速度最大120°/s，垂直范围-15°~90°；H.265/H.264/MJPEG；最大支持256GB Micro SD卡；电源AC24V，工作温度≦-30℃-65℃。</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40</w:t>
            </w:r>
          </w:p>
        </w:tc>
        <w:tc>
          <w:tcPr>
            <w:tcW w:w="1158" w:type="dxa"/>
          </w:tcPr>
          <w:p>
            <w:pPr>
              <w:spacing w:line="260" w:lineRule="exact"/>
              <w:rPr>
                <w:rFonts w:ascii="宋体" w:hAnsi="宋体"/>
                <w:color w:val="000000"/>
                <w:sz w:val="18"/>
              </w:rPr>
            </w:pPr>
            <w:r>
              <w:rPr>
                <w:rFonts w:hint="eastAsia" w:ascii="宋体" w:hAnsi="宋体"/>
                <w:color w:val="000000"/>
                <w:sz w:val="18"/>
              </w:rPr>
              <w:t>L型监控杆杆件</w:t>
            </w:r>
          </w:p>
        </w:tc>
        <w:tc>
          <w:tcPr>
            <w:tcW w:w="6086" w:type="dxa"/>
          </w:tcPr>
          <w:p>
            <w:pPr>
              <w:spacing w:line="260" w:lineRule="exact"/>
              <w:rPr>
                <w:rFonts w:ascii="宋体" w:hAnsi="宋体"/>
                <w:color w:val="000000"/>
                <w:sz w:val="18"/>
              </w:rPr>
            </w:pPr>
            <w:r>
              <w:rPr>
                <w:rFonts w:hint="eastAsia" w:ascii="宋体" w:hAnsi="宋体"/>
                <w:color w:val="000000"/>
                <w:sz w:val="18"/>
              </w:rPr>
              <w:t>1.杆高≧6.5M；横臂≧12M；镀锌八角杆。</w:t>
            </w:r>
          </w:p>
        </w:tc>
        <w:tc>
          <w:tcPr>
            <w:tcW w:w="739" w:type="dxa"/>
          </w:tcPr>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41</w:t>
            </w:r>
          </w:p>
        </w:tc>
        <w:tc>
          <w:tcPr>
            <w:tcW w:w="1158" w:type="dxa"/>
          </w:tcPr>
          <w:p>
            <w:pPr>
              <w:spacing w:line="260" w:lineRule="exact"/>
              <w:rPr>
                <w:rFonts w:ascii="宋体" w:hAnsi="宋体"/>
                <w:color w:val="000000"/>
                <w:sz w:val="18"/>
              </w:rPr>
            </w:pPr>
            <w:r>
              <w:rPr>
                <w:rFonts w:hint="eastAsia" w:ascii="宋体" w:hAnsi="宋体"/>
                <w:color w:val="000000"/>
                <w:sz w:val="18"/>
              </w:rPr>
              <w:t>L型杆件及抓拍系统安装施工费</w:t>
            </w:r>
          </w:p>
        </w:tc>
        <w:tc>
          <w:tcPr>
            <w:tcW w:w="6086" w:type="dxa"/>
          </w:tcPr>
          <w:p>
            <w:pPr>
              <w:spacing w:line="260" w:lineRule="exact"/>
              <w:rPr>
                <w:rFonts w:ascii="宋体" w:hAnsi="宋体"/>
                <w:color w:val="000000"/>
                <w:sz w:val="18"/>
              </w:rPr>
            </w:pPr>
            <w:r>
              <w:rPr>
                <w:rFonts w:hint="eastAsia" w:ascii="宋体" w:hAnsi="宋体"/>
                <w:color w:val="000000"/>
                <w:sz w:val="18"/>
              </w:rPr>
              <w:t>含L杆基础施工，吊装，摄像机安装。</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pStyle w:val="9"/>
              <w:jc w:val="center"/>
              <w:rPr>
                <w:rFonts w:ascii="宋体" w:hAnsi="宋体"/>
                <w:color w:val="000000"/>
                <w:sz w:val="18"/>
              </w:rPr>
            </w:pPr>
            <w:r>
              <w:rPr>
                <w:rFonts w:hint="eastAsia" w:ascii="宋体" w:hAnsi="宋体"/>
                <w:color w:val="000000"/>
                <w:sz w:val="18"/>
              </w:rPr>
              <w:t>42</w:t>
            </w:r>
          </w:p>
        </w:tc>
        <w:tc>
          <w:tcPr>
            <w:tcW w:w="1158" w:type="dxa"/>
          </w:tcPr>
          <w:p>
            <w:pPr>
              <w:spacing w:line="260" w:lineRule="exact"/>
              <w:rPr>
                <w:rFonts w:ascii="宋体" w:hAnsi="宋体"/>
                <w:color w:val="000000"/>
                <w:sz w:val="18"/>
              </w:rPr>
            </w:pPr>
            <w:r>
              <w:rPr>
                <w:rFonts w:hint="eastAsia" w:ascii="宋体" w:hAnsi="宋体"/>
                <w:color w:val="000000"/>
                <w:sz w:val="18"/>
              </w:rPr>
              <w:t>车牌识别系统调试</w:t>
            </w:r>
          </w:p>
        </w:tc>
        <w:tc>
          <w:tcPr>
            <w:tcW w:w="6086" w:type="dxa"/>
          </w:tcPr>
          <w:p>
            <w:pPr>
              <w:spacing w:line="260" w:lineRule="exact"/>
              <w:rPr>
                <w:rFonts w:ascii="宋体" w:hAnsi="宋体"/>
                <w:color w:val="000000"/>
                <w:sz w:val="18"/>
              </w:rPr>
            </w:pPr>
            <w:r>
              <w:rPr>
                <w:rFonts w:hint="eastAsia" w:ascii="宋体" w:hAnsi="宋体"/>
                <w:color w:val="000000"/>
                <w:sz w:val="18"/>
              </w:rPr>
              <w:t>1.车牌识别系统抓拍调试及匹配调试，包含称重设备同步触发、识别效果统计和提升、前后抓拍系统同步、识别结果和称重结果匹配等调试及需要的人工、车辆和设备。</w:t>
            </w:r>
          </w:p>
        </w:tc>
        <w:tc>
          <w:tcPr>
            <w:tcW w:w="739"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套</w:t>
            </w:r>
          </w:p>
        </w:tc>
        <w:tc>
          <w:tcPr>
            <w:tcW w:w="898"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（四）可变情报板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43</w:t>
            </w:r>
          </w:p>
        </w:tc>
        <w:tc>
          <w:tcPr>
            <w:tcW w:w="1158" w:type="dxa"/>
          </w:tcPr>
          <w:p>
            <w:pPr>
              <w:spacing w:line="260" w:lineRule="exact"/>
              <w:rPr>
                <w:rFonts w:ascii="宋体" w:hAnsi="宋体"/>
                <w:color w:val="000000"/>
                <w:sz w:val="18"/>
              </w:rPr>
            </w:pPr>
            <w:r>
              <w:rPr>
                <w:rFonts w:hint="eastAsia" w:ascii="宋体" w:hAnsi="宋体"/>
                <w:color w:val="000000"/>
                <w:sz w:val="18"/>
              </w:rPr>
              <w:t>LED显示屏屏体（F型）</w:t>
            </w:r>
          </w:p>
        </w:tc>
        <w:tc>
          <w:tcPr>
            <w:tcW w:w="6086" w:type="dxa"/>
          </w:tcPr>
          <w:p>
            <w:pPr>
              <w:spacing w:line="260" w:lineRule="exact"/>
              <w:rPr>
                <w:rFonts w:ascii="宋体" w:hAnsi="宋体"/>
                <w:color w:val="000000"/>
                <w:sz w:val="18"/>
              </w:rPr>
            </w:pPr>
            <w:r>
              <w:rPr>
                <w:rFonts w:hint="eastAsia" w:ascii="宋体" w:hAnsi="宋体"/>
                <w:color w:val="000000"/>
                <w:sz w:val="18"/>
              </w:rPr>
              <w:t>1.显示尺寸≧4.0m×2.0m（F型）；LED像素点间距≧10mm；显示亮度≥8000cd/m2；LED视认角≥30°；LED平均寿命为≥10000小时；失控率≤1‰；</w:t>
            </w:r>
          </w:p>
        </w:tc>
        <w:tc>
          <w:tcPr>
            <w:tcW w:w="739" w:type="dxa"/>
          </w:tcPr>
          <w:p>
            <w:pPr>
              <w:spacing w:line="260" w:lineRule="exact"/>
              <w:rPr>
                <w:rFonts w:ascii="宋体" w:hAnsi="宋体"/>
                <w:color w:val="000000"/>
                <w:sz w:val="18"/>
              </w:rPr>
            </w:pPr>
            <w:r>
              <w:rPr>
                <w:rFonts w:hint="eastAsia" w:ascii="宋体" w:hAnsi="宋体"/>
                <w:color w:val="000000"/>
                <w:sz w:val="18"/>
              </w:rPr>
              <w:t>台</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44</w:t>
            </w:r>
          </w:p>
        </w:tc>
        <w:tc>
          <w:tcPr>
            <w:tcW w:w="1158" w:type="dxa"/>
          </w:tcPr>
          <w:p>
            <w:pPr>
              <w:spacing w:line="260" w:lineRule="exact"/>
              <w:rPr>
                <w:rFonts w:ascii="宋体" w:hAnsi="宋体"/>
                <w:color w:val="000000"/>
                <w:sz w:val="18"/>
              </w:rPr>
            </w:pPr>
            <w:r>
              <w:rPr>
                <w:rFonts w:hint="eastAsia" w:ascii="宋体" w:hAnsi="宋体"/>
                <w:color w:val="000000"/>
                <w:sz w:val="18"/>
              </w:rPr>
              <w:t>F型立杆</w:t>
            </w:r>
          </w:p>
        </w:tc>
        <w:tc>
          <w:tcPr>
            <w:tcW w:w="6086" w:type="dxa"/>
          </w:tcPr>
          <w:p>
            <w:pPr>
              <w:spacing w:line="260" w:lineRule="exact"/>
              <w:rPr>
                <w:rFonts w:ascii="宋体" w:hAnsi="宋体"/>
                <w:color w:val="000000"/>
                <w:sz w:val="18"/>
              </w:rPr>
            </w:pPr>
            <w:r>
              <w:rPr>
                <w:rFonts w:hint="eastAsia" w:ascii="宋体" w:hAnsi="宋体"/>
                <w:color w:val="000000"/>
                <w:sz w:val="18"/>
              </w:rPr>
              <w:t>镀锌圆杆，屏体最下部离地5.5m。</w:t>
            </w:r>
          </w:p>
        </w:tc>
        <w:tc>
          <w:tcPr>
            <w:tcW w:w="739" w:type="dxa"/>
          </w:tcPr>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45</w:t>
            </w:r>
          </w:p>
        </w:tc>
        <w:tc>
          <w:tcPr>
            <w:tcW w:w="1158" w:type="dxa"/>
          </w:tcPr>
          <w:p>
            <w:pPr>
              <w:spacing w:line="260" w:lineRule="exact"/>
              <w:rPr>
                <w:rFonts w:ascii="宋体" w:hAnsi="宋体"/>
                <w:color w:val="000000"/>
                <w:sz w:val="18"/>
              </w:rPr>
            </w:pPr>
            <w:r>
              <w:rPr>
                <w:rFonts w:hint="eastAsia" w:ascii="宋体" w:hAnsi="宋体"/>
                <w:color w:val="000000"/>
                <w:sz w:val="18"/>
              </w:rPr>
              <w:t>F型杆件及LED显示屏安装</w:t>
            </w:r>
          </w:p>
        </w:tc>
        <w:tc>
          <w:tcPr>
            <w:tcW w:w="6086" w:type="dxa"/>
          </w:tcPr>
          <w:p>
            <w:pPr>
              <w:spacing w:line="260" w:lineRule="exact"/>
              <w:rPr>
                <w:rFonts w:ascii="宋体" w:hAnsi="宋体"/>
                <w:color w:val="000000"/>
                <w:sz w:val="18"/>
              </w:rPr>
            </w:pPr>
            <w:r>
              <w:rPr>
                <w:rFonts w:hint="eastAsia" w:ascii="宋体" w:hAnsi="宋体"/>
                <w:color w:val="000000"/>
                <w:sz w:val="18"/>
              </w:rPr>
              <w:t>基础，防雷接地，预埋件，屏体吊装。</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（五）标志牌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46</w:t>
            </w:r>
          </w:p>
        </w:tc>
        <w:tc>
          <w:tcPr>
            <w:tcW w:w="1158" w:type="dxa"/>
          </w:tcPr>
          <w:p>
            <w:pPr>
              <w:spacing w:line="260" w:lineRule="exact"/>
              <w:rPr>
                <w:rFonts w:ascii="宋体" w:hAnsi="宋体"/>
                <w:color w:val="000000"/>
                <w:sz w:val="18"/>
              </w:rPr>
            </w:pPr>
            <w:r>
              <w:rPr>
                <w:rFonts w:hint="eastAsia" w:ascii="宋体" w:hAnsi="宋体"/>
                <w:color w:val="000000"/>
                <w:sz w:val="18"/>
              </w:rPr>
              <w:t>前方超限提醒标志牌(通用）</w:t>
            </w:r>
          </w:p>
        </w:tc>
        <w:tc>
          <w:tcPr>
            <w:tcW w:w="6086" w:type="dxa"/>
          </w:tcPr>
          <w:p>
            <w:pPr>
              <w:spacing w:line="260" w:lineRule="exact"/>
              <w:rPr>
                <w:rFonts w:ascii="宋体" w:hAnsi="宋体"/>
                <w:color w:val="000000"/>
                <w:sz w:val="18"/>
              </w:rPr>
            </w:pPr>
            <w:r>
              <w:rPr>
                <w:rFonts w:hint="eastAsia" w:ascii="宋体" w:hAnsi="宋体"/>
                <w:color w:val="000000"/>
                <w:sz w:val="18"/>
              </w:rPr>
              <w:t>1.尺寸≧5m*3m；立杆作防腐处理，除锈后涂防锈漆二度，面漆二度；抗风速度≧40m/s；</w:t>
            </w:r>
          </w:p>
          <w:p>
            <w:pPr>
              <w:spacing w:line="260" w:lineRule="exact"/>
              <w:rPr>
                <w:rFonts w:ascii="宋体" w:hAnsi="宋体"/>
                <w:color w:val="000000"/>
                <w:sz w:val="18"/>
              </w:rPr>
            </w:pPr>
            <w:r>
              <w:rPr>
                <w:rFonts w:hint="eastAsia" w:ascii="宋体" w:hAnsi="宋体"/>
                <w:color w:val="000000"/>
                <w:sz w:val="18"/>
              </w:rPr>
              <w:t>2.抵抗强度≧215Mpa；承受重量≧100Kg；臂长≧5m，净空高度≧6m；</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47</w:t>
            </w:r>
          </w:p>
        </w:tc>
        <w:tc>
          <w:tcPr>
            <w:tcW w:w="1158" w:type="dxa"/>
          </w:tcPr>
          <w:p>
            <w:pPr>
              <w:spacing w:line="260" w:lineRule="exact"/>
              <w:rPr>
                <w:rFonts w:ascii="宋体" w:hAnsi="宋体"/>
                <w:color w:val="000000"/>
                <w:sz w:val="18"/>
              </w:rPr>
            </w:pPr>
            <w:r>
              <w:rPr>
                <w:rFonts w:hint="eastAsia" w:ascii="宋体" w:hAnsi="宋体"/>
                <w:color w:val="000000"/>
                <w:sz w:val="18"/>
              </w:rPr>
              <w:t>禁止变道及解除提示牌</w:t>
            </w:r>
          </w:p>
        </w:tc>
        <w:tc>
          <w:tcPr>
            <w:tcW w:w="6086" w:type="dxa"/>
          </w:tcPr>
          <w:p>
            <w:pPr>
              <w:spacing w:line="260" w:lineRule="exact"/>
              <w:rPr>
                <w:rFonts w:ascii="宋体" w:hAnsi="宋体"/>
                <w:color w:val="000000"/>
                <w:sz w:val="18"/>
              </w:rPr>
            </w:pPr>
            <w:r>
              <w:rPr>
                <w:rFonts w:hint="eastAsia" w:ascii="宋体" w:hAnsi="宋体"/>
                <w:color w:val="000000"/>
                <w:sz w:val="18"/>
              </w:rPr>
              <w:t>1.圆型单立柱标志，立杆，标志牌安装，每套含禁止变道标志和解除禁止变道标志各1块，共2块。每个站点2块；基础开挖、混凝土（C40）浇筑、布线等</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48</w:t>
            </w:r>
          </w:p>
        </w:tc>
        <w:tc>
          <w:tcPr>
            <w:tcW w:w="1158" w:type="dxa"/>
          </w:tcPr>
          <w:p>
            <w:pPr>
              <w:spacing w:line="260" w:lineRule="exact"/>
              <w:rPr>
                <w:rFonts w:ascii="宋体" w:hAnsi="宋体"/>
                <w:color w:val="000000"/>
                <w:sz w:val="18"/>
              </w:rPr>
            </w:pPr>
            <w:r>
              <w:rPr>
                <w:rFonts w:hint="eastAsia" w:ascii="宋体" w:hAnsi="宋体"/>
                <w:color w:val="000000"/>
                <w:sz w:val="18"/>
              </w:rPr>
              <w:t>卸货引导标志</w:t>
            </w:r>
          </w:p>
        </w:tc>
        <w:tc>
          <w:tcPr>
            <w:tcW w:w="6086" w:type="dxa"/>
          </w:tcPr>
          <w:p>
            <w:pPr>
              <w:spacing w:line="260" w:lineRule="exact"/>
              <w:rPr>
                <w:rFonts w:ascii="宋体" w:hAnsi="宋体"/>
                <w:color w:val="000000"/>
                <w:sz w:val="18"/>
              </w:rPr>
            </w:pPr>
            <w:r>
              <w:rPr>
                <w:rFonts w:hint="eastAsia" w:ascii="宋体" w:hAnsi="宋体"/>
                <w:color w:val="000000"/>
                <w:sz w:val="18"/>
              </w:rPr>
              <w:t>1.尺寸≧5mX3m；立杆作防腐处理，除锈后涂防锈漆二度，面漆二度； 抗风速度≧40m/s；</w:t>
            </w:r>
          </w:p>
          <w:p>
            <w:pPr>
              <w:spacing w:line="260" w:lineRule="exact"/>
              <w:rPr>
                <w:rFonts w:ascii="宋体" w:hAnsi="宋体"/>
                <w:color w:val="000000"/>
                <w:sz w:val="18"/>
              </w:rPr>
            </w:pPr>
            <w:r>
              <w:rPr>
                <w:rFonts w:hint="eastAsia" w:ascii="宋体" w:hAnsi="宋体"/>
                <w:color w:val="000000"/>
                <w:sz w:val="18"/>
              </w:rPr>
              <w:t>2.抵抗强度≧215Mpa；承受重量≧100Kg；臂长≧5m，净空高度≧6m；</w:t>
            </w:r>
          </w:p>
        </w:tc>
        <w:tc>
          <w:tcPr>
            <w:tcW w:w="739"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套</w:t>
            </w:r>
          </w:p>
        </w:tc>
        <w:tc>
          <w:tcPr>
            <w:tcW w:w="898"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49</w:t>
            </w:r>
          </w:p>
        </w:tc>
        <w:tc>
          <w:tcPr>
            <w:tcW w:w="1158" w:type="dxa"/>
          </w:tcPr>
          <w:p>
            <w:pPr>
              <w:spacing w:line="260" w:lineRule="exact"/>
              <w:rPr>
                <w:rFonts w:ascii="宋体" w:hAnsi="宋体"/>
                <w:color w:val="000000"/>
                <w:sz w:val="18"/>
              </w:rPr>
            </w:pPr>
            <w:r>
              <w:rPr>
                <w:rFonts w:hint="eastAsia" w:ascii="宋体" w:hAnsi="宋体"/>
                <w:color w:val="000000"/>
                <w:sz w:val="18"/>
              </w:rPr>
              <w:t>标志基础</w:t>
            </w:r>
          </w:p>
        </w:tc>
        <w:tc>
          <w:tcPr>
            <w:tcW w:w="6086" w:type="dxa"/>
          </w:tcPr>
          <w:p>
            <w:pPr>
              <w:spacing w:line="260" w:lineRule="exact"/>
              <w:rPr>
                <w:rFonts w:ascii="宋体" w:hAnsi="宋体"/>
                <w:color w:val="000000"/>
                <w:sz w:val="18"/>
              </w:rPr>
            </w:pPr>
            <w:r>
              <w:rPr>
                <w:rFonts w:hint="eastAsia" w:ascii="宋体" w:hAnsi="宋体"/>
                <w:color w:val="000000"/>
                <w:sz w:val="18"/>
              </w:rPr>
              <w:t>1.基础开挖、混凝土（C40）浇筑、布线等</w:t>
            </w:r>
          </w:p>
        </w:tc>
        <w:tc>
          <w:tcPr>
            <w:tcW w:w="739" w:type="dxa"/>
          </w:tcPr>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r>
              <w:rPr>
                <w:rFonts w:hint="eastAsia" w:ascii="宋体" w:hAnsi="宋体"/>
                <w:color w:val="000000"/>
                <w:sz w:val="18"/>
              </w:rPr>
              <w:t>6</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50</w:t>
            </w:r>
          </w:p>
        </w:tc>
        <w:tc>
          <w:tcPr>
            <w:tcW w:w="1158" w:type="dxa"/>
          </w:tcPr>
          <w:p>
            <w:pPr>
              <w:spacing w:line="260" w:lineRule="exact"/>
              <w:rPr>
                <w:rFonts w:ascii="宋体" w:hAnsi="宋体"/>
                <w:color w:val="000000"/>
                <w:sz w:val="18"/>
              </w:rPr>
            </w:pPr>
            <w:r>
              <w:rPr>
                <w:rFonts w:hint="eastAsia" w:ascii="宋体" w:hAnsi="宋体"/>
                <w:color w:val="000000"/>
                <w:sz w:val="18"/>
              </w:rPr>
              <w:t>网络费</w:t>
            </w:r>
          </w:p>
        </w:tc>
        <w:tc>
          <w:tcPr>
            <w:tcW w:w="6086" w:type="dxa"/>
          </w:tcPr>
          <w:p>
            <w:pPr>
              <w:spacing w:line="260" w:lineRule="exact"/>
              <w:rPr>
                <w:rFonts w:ascii="宋体" w:hAnsi="宋体"/>
                <w:color w:val="000000"/>
                <w:sz w:val="18"/>
              </w:rPr>
            </w:pPr>
            <w:r>
              <w:rPr>
                <w:rFonts w:hint="eastAsia" w:ascii="宋体" w:hAnsi="宋体"/>
                <w:color w:val="000000"/>
                <w:sz w:val="18"/>
              </w:rPr>
              <w:t>1.租用运营商VPN接入公路局内网，50M</w:t>
            </w:r>
            <w:r>
              <w:rPr>
                <w:rFonts w:hint="eastAsia" w:ascii="宋体" w:hAnsi="宋体"/>
                <w:color w:val="000000"/>
                <w:sz w:val="18"/>
                <w:lang w:val="en-US" w:eastAsia="zh-CN"/>
              </w:rPr>
              <w:t>/</w:t>
            </w:r>
            <w:r>
              <w:rPr>
                <w:rFonts w:hint="eastAsia" w:ascii="宋体" w:hAnsi="宋体"/>
                <w:color w:val="000000"/>
                <w:sz w:val="18"/>
              </w:rPr>
              <w:t>1年。</w:t>
            </w:r>
          </w:p>
        </w:tc>
        <w:tc>
          <w:tcPr>
            <w:tcW w:w="739" w:type="dxa"/>
          </w:tcPr>
          <w:p>
            <w:pPr>
              <w:spacing w:line="260" w:lineRule="exact"/>
              <w:jc w:val="center"/>
              <w:rPr>
                <w:rFonts w:ascii="宋体" w:hAnsi="宋体"/>
                <w:color w:val="000000"/>
                <w:sz w:val="18"/>
              </w:rPr>
            </w:pPr>
            <w:r>
              <w:rPr>
                <w:rFonts w:hint="eastAsia" w:ascii="宋体" w:hAnsi="宋体"/>
                <w:color w:val="000000"/>
                <w:sz w:val="18"/>
              </w:rPr>
              <w:t>年</w:t>
            </w:r>
          </w:p>
        </w:tc>
        <w:tc>
          <w:tcPr>
            <w:tcW w:w="898" w:type="dxa"/>
          </w:tcPr>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（六）线缆及网络设备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51</w:t>
            </w:r>
          </w:p>
        </w:tc>
        <w:tc>
          <w:tcPr>
            <w:tcW w:w="1158" w:type="dxa"/>
          </w:tcPr>
          <w:p>
            <w:pPr>
              <w:spacing w:line="260" w:lineRule="exact"/>
              <w:rPr>
                <w:rFonts w:ascii="宋体" w:hAnsi="宋体"/>
                <w:color w:val="000000"/>
                <w:sz w:val="18"/>
              </w:rPr>
            </w:pPr>
            <w:r>
              <w:rPr>
                <w:rFonts w:hint="eastAsia" w:ascii="宋体" w:hAnsi="宋体"/>
                <w:color w:val="000000"/>
                <w:sz w:val="18"/>
              </w:rPr>
              <w:t>供电局市电初装费</w:t>
            </w:r>
          </w:p>
        </w:tc>
        <w:tc>
          <w:tcPr>
            <w:tcW w:w="6086" w:type="dxa"/>
          </w:tcPr>
          <w:p>
            <w:pPr>
              <w:spacing w:line="260" w:lineRule="exact"/>
              <w:rPr>
                <w:rFonts w:ascii="宋体" w:hAnsi="宋体"/>
                <w:color w:val="000000"/>
                <w:sz w:val="18"/>
              </w:rPr>
            </w:pPr>
            <w:r>
              <w:rPr>
                <w:rFonts w:hint="eastAsia" w:ascii="宋体" w:hAnsi="宋体"/>
                <w:color w:val="000000"/>
                <w:sz w:val="18"/>
              </w:rPr>
              <w:t>1.供电局包装新增用电，挂电表费用</w:t>
            </w:r>
            <w:r>
              <w:rPr>
                <w:rFonts w:hint="eastAsia" w:ascii="宋体" w:hAnsi="宋体"/>
                <w:color w:val="FF0000"/>
                <w:sz w:val="18"/>
              </w:rPr>
              <w:t>。</w:t>
            </w:r>
          </w:p>
        </w:tc>
        <w:tc>
          <w:tcPr>
            <w:tcW w:w="739" w:type="dxa"/>
          </w:tcPr>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52</w:t>
            </w:r>
          </w:p>
        </w:tc>
        <w:tc>
          <w:tcPr>
            <w:tcW w:w="1158" w:type="dxa"/>
          </w:tcPr>
          <w:p>
            <w:pPr>
              <w:spacing w:line="260" w:lineRule="exact"/>
              <w:rPr>
                <w:rFonts w:ascii="宋体" w:hAnsi="宋体"/>
                <w:color w:val="000000"/>
                <w:sz w:val="18"/>
              </w:rPr>
            </w:pPr>
            <w:r>
              <w:rPr>
                <w:rFonts w:hint="eastAsia" w:ascii="宋体" w:hAnsi="宋体"/>
                <w:color w:val="000000"/>
                <w:sz w:val="18"/>
              </w:rPr>
              <w:t>光纤收发器</w:t>
            </w:r>
          </w:p>
        </w:tc>
        <w:tc>
          <w:tcPr>
            <w:tcW w:w="6086" w:type="dxa"/>
          </w:tcPr>
          <w:p>
            <w:pPr>
              <w:spacing w:line="260" w:lineRule="exact"/>
              <w:rPr>
                <w:rFonts w:ascii="宋体" w:hAnsi="宋体"/>
                <w:color w:val="000000"/>
                <w:sz w:val="18"/>
              </w:rPr>
            </w:pPr>
            <w:r>
              <w:rPr>
                <w:rFonts w:hint="eastAsia" w:ascii="宋体" w:hAnsi="宋体"/>
                <w:color w:val="000000"/>
                <w:sz w:val="18"/>
              </w:rPr>
              <w:t>1电1光，单模，20km级，每台大屏需2台。</w:t>
            </w:r>
          </w:p>
        </w:tc>
        <w:tc>
          <w:tcPr>
            <w:tcW w:w="739" w:type="dxa"/>
          </w:tcPr>
          <w:p>
            <w:pPr>
              <w:spacing w:line="260" w:lineRule="exact"/>
              <w:jc w:val="center"/>
              <w:rPr>
                <w:rFonts w:ascii="宋体" w:hAnsi="宋体"/>
                <w:color w:val="000000"/>
                <w:sz w:val="18"/>
              </w:rPr>
            </w:pPr>
            <w:r>
              <w:rPr>
                <w:rFonts w:hint="eastAsia" w:ascii="宋体" w:hAnsi="宋体"/>
                <w:color w:val="000000"/>
                <w:sz w:val="18"/>
              </w:rPr>
              <w:t>台</w:t>
            </w:r>
          </w:p>
        </w:tc>
        <w:tc>
          <w:tcPr>
            <w:tcW w:w="898" w:type="dxa"/>
          </w:tcPr>
          <w:p>
            <w:pPr>
              <w:spacing w:line="260" w:lineRule="exact"/>
              <w:jc w:val="center"/>
              <w:rPr>
                <w:rFonts w:ascii="宋体" w:hAnsi="宋体"/>
                <w:color w:val="000000"/>
                <w:sz w:val="18"/>
              </w:rPr>
            </w:pPr>
            <w:r>
              <w:rPr>
                <w:rFonts w:hint="eastAsia" w:ascii="宋体" w:hAnsi="宋体"/>
                <w:color w:val="000000"/>
                <w:sz w:val="18"/>
              </w:rPr>
              <w:t>4</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53</w:t>
            </w:r>
          </w:p>
        </w:tc>
        <w:tc>
          <w:tcPr>
            <w:tcW w:w="1158" w:type="dxa"/>
          </w:tcPr>
          <w:p>
            <w:pPr>
              <w:spacing w:line="260" w:lineRule="exact"/>
              <w:rPr>
                <w:rFonts w:ascii="宋体" w:hAnsi="宋体"/>
                <w:color w:val="000000"/>
                <w:sz w:val="18"/>
              </w:rPr>
            </w:pPr>
            <w:r>
              <w:rPr>
                <w:rFonts w:hint="eastAsia" w:ascii="宋体" w:hAnsi="宋体"/>
                <w:color w:val="000000"/>
                <w:sz w:val="18"/>
              </w:rPr>
              <w:t>主电缆（市电引入）</w:t>
            </w:r>
          </w:p>
        </w:tc>
        <w:tc>
          <w:tcPr>
            <w:tcW w:w="6086" w:type="dxa"/>
          </w:tcPr>
          <w:p>
            <w:pPr>
              <w:spacing w:line="260" w:lineRule="exact"/>
              <w:rPr>
                <w:rFonts w:ascii="宋体" w:hAnsi="宋体"/>
                <w:color w:val="000000"/>
                <w:sz w:val="18"/>
              </w:rPr>
            </w:pPr>
            <w:r>
              <w:rPr>
                <w:rFonts w:hint="eastAsia" w:ascii="宋体" w:hAnsi="宋体"/>
                <w:color w:val="000000"/>
                <w:sz w:val="18"/>
              </w:rPr>
              <w:t>从挂表处接至机柜，按实际数量计算。</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300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54</w:t>
            </w:r>
          </w:p>
        </w:tc>
        <w:tc>
          <w:tcPr>
            <w:tcW w:w="1158" w:type="dxa"/>
          </w:tcPr>
          <w:p>
            <w:pPr>
              <w:spacing w:line="260" w:lineRule="exact"/>
              <w:rPr>
                <w:rFonts w:ascii="宋体" w:hAnsi="宋体"/>
                <w:color w:val="000000"/>
                <w:sz w:val="18"/>
              </w:rPr>
            </w:pPr>
            <w:r>
              <w:rPr>
                <w:rFonts w:hint="eastAsia" w:ascii="宋体" w:hAnsi="宋体"/>
                <w:color w:val="000000"/>
                <w:sz w:val="18"/>
              </w:rPr>
              <w:t>主电缆施工费</w:t>
            </w:r>
          </w:p>
        </w:tc>
        <w:tc>
          <w:tcPr>
            <w:tcW w:w="6086" w:type="dxa"/>
          </w:tcPr>
          <w:p>
            <w:pPr>
              <w:spacing w:line="260" w:lineRule="exact"/>
              <w:rPr>
                <w:rFonts w:ascii="宋体" w:hAnsi="宋体"/>
                <w:color w:val="000000"/>
                <w:sz w:val="18"/>
              </w:rPr>
            </w:pPr>
            <w:r>
              <w:rPr>
                <w:rFonts w:hint="eastAsia" w:ascii="宋体" w:hAnsi="宋体"/>
                <w:color w:val="000000"/>
                <w:sz w:val="18"/>
              </w:rPr>
              <w:t>外部电缆地埋或架空，含管材，按实际数量计算。</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300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55</w:t>
            </w:r>
          </w:p>
        </w:tc>
        <w:tc>
          <w:tcPr>
            <w:tcW w:w="1158" w:type="dxa"/>
          </w:tcPr>
          <w:p>
            <w:pPr>
              <w:spacing w:line="260" w:lineRule="exact"/>
              <w:rPr>
                <w:rFonts w:ascii="宋体" w:hAnsi="宋体"/>
                <w:color w:val="000000"/>
                <w:sz w:val="18"/>
              </w:rPr>
            </w:pPr>
            <w:r>
              <w:rPr>
                <w:rFonts w:hint="eastAsia" w:ascii="宋体" w:hAnsi="宋体"/>
                <w:color w:val="000000"/>
                <w:sz w:val="18"/>
              </w:rPr>
              <w:t>LED供电电缆</w:t>
            </w:r>
          </w:p>
        </w:tc>
        <w:tc>
          <w:tcPr>
            <w:tcW w:w="6086" w:type="dxa"/>
          </w:tcPr>
          <w:p>
            <w:pPr>
              <w:spacing w:line="260" w:lineRule="exact"/>
              <w:rPr>
                <w:rFonts w:ascii="宋体" w:hAnsi="宋体"/>
                <w:color w:val="000000"/>
                <w:sz w:val="18"/>
              </w:rPr>
            </w:pPr>
            <w:r>
              <w:rPr>
                <w:rFonts w:hint="eastAsia" w:ascii="宋体" w:hAnsi="宋体"/>
                <w:color w:val="000000"/>
                <w:sz w:val="18"/>
              </w:rPr>
              <w:t>工控机至LED屏，电源线</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500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56</w:t>
            </w:r>
          </w:p>
        </w:tc>
        <w:tc>
          <w:tcPr>
            <w:tcW w:w="1158" w:type="dxa"/>
          </w:tcPr>
          <w:p>
            <w:pPr>
              <w:spacing w:line="260" w:lineRule="exact"/>
              <w:rPr>
                <w:rFonts w:ascii="宋体" w:hAnsi="宋体"/>
                <w:color w:val="000000"/>
                <w:sz w:val="18"/>
              </w:rPr>
            </w:pPr>
            <w:r>
              <w:rPr>
                <w:rFonts w:hint="eastAsia" w:ascii="宋体" w:hAnsi="宋体"/>
                <w:color w:val="000000"/>
                <w:sz w:val="18"/>
              </w:rPr>
              <w:t>摄像机电源线</w:t>
            </w:r>
          </w:p>
        </w:tc>
        <w:tc>
          <w:tcPr>
            <w:tcW w:w="6086" w:type="dxa"/>
          </w:tcPr>
          <w:p>
            <w:pPr>
              <w:spacing w:line="260" w:lineRule="exact"/>
              <w:rPr>
                <w:rFonts w:ascii="宋体" w:hAnsi="宋体"/>
                <w:color w:val="000000"/>
                <w:sz w:val="18"/>
              </w:rPr>
            </w:pPr>
            <w:r>
              <w:rPr>
                <w:rFonts w:hint="eastAsia" w:ascii="宋体" w:hAnsi="宋体"/>
                <w:color w:val="000000"/>
                <w:sz w:val="18"/>
              </w:rPr>
              <w:t>工控机柜至摄像机，电源线，每台摄像机及监控球机需50米。</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700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57</w:t>
            </w:r>
          </w:p>
        </w:tc>
        <w:tc>
          <w:tcPr>
            <w:tcW w:w="1158" w:type="dxa"/>
          </w:tcPr>
          <w:p>
            <w:pPr>
              <w:spacing w:line="260" w:lineRule="exact"/>
              <w:rPr>
                <w:rFonts w:ascii="宋体" w:hAnsi="宋体"/>
                <w:color w:val="000000"/>
                <w:sz w:val="18"/>
              </w:rPr>
            </w:pPr>
            <w:r>
              <w:rPr>
                <w:rFonts w:hint="eastAsia" w:ascii="宋体" w:hAnsi="宋体"/>
                <w:color w:val="000000"/>
                <w:sz w:val="18"/>
              </w:rPr>
              <w:t>摄像机信号控制线</w:t>
            </w:r>
          </w:p>
        </w:tc>
        <w:tc>
          <w:tcPr>
            <w:tcW w:w="6086" w:type="dxa"/>
          </w:tcPr>
          <w:p>
            <w:pPr>
              <w:spacing w:line="260" w:lineRule="exact"/>
              <w:rPr>
                <w:rFonts w:ascii="宋体" w:hAnsi="宋体"/>
                <w:color w:val="000000"/>
                <w:sz w:val="18"/>
              </w:rPr>
            </w:pPr>
            <w:r>
              <w:rPr>
                <w:rFonts w:hint="eastAsia" w:ascii="宋体" w:hAnsi="宋体"/>
                <w:color w:val="000000"/>
                <w:sz w:val="18"/>
              </w:rPr>
              <w:t>工控机柜485模块至摄像机，信号线，每台摄像机（不含球机）需50米。</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700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58</w:t>
            </w:r>
          </w:p>
        </w:tc>
        <w:tc>
          <w:tcPr>
            <w:tcW w:w="1158" w:type="dxa"/>
          </w:tcPr>
          <w:p>
            <w:pPr>
              <w:spacing w:line="260" w:lineRule="exact"/>
              <w:rPr>
                <w:rFonts w:ascii="宋体" w:hAnsi="宋体"/>
                <w:color w:val="000000"/>
                <w:sz w:val="18"/>
              </w:rPr>
            </w:pPr>
            <w:r>
              <w:rPr>
                <w:rFonts w:hint="eastAsia" w:ascii="宋体" w:hAnsi="宋体"/>
                <w:color w:val="000000"/>
                <w:sz w:val="18"/>
              </w:rPr>
              <w:t>接地母线</w:t>
            </w:r>
          </w:p>
        </w:tc>
        <w:tc>
          <w:tcPr>
            <w:tcW w:w="6086" w:type="dxa"/>
          </w:tcPr>
          <w:p>
            <w:pPr>
              <w:spacing w:line="260" w:lineRule="exact"/>
              <w:rPr>
                <w:rFonts w:ascii="宋体" w:hAnsi="宋体"/>
                <w:color w:val="000000"/>
                <w:sz w:val="18"/>
              </w:rPr>
            </w:pPr>
            <w:r>
              <w:rPr>
                <w:rFonts w:hint="eastAsia" w:ascii="宋体" w:hAnsi="宋体"/>
                <w:color w:val="000000"/>
                <w:sz w:val="18"/>
              </w:rPr>
              <w:t>防雷接地引下线，每一个检测方向30米。</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60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59</w:t>
            </w:r>
          </w:p>
        </w:tc>
        <w:tc>
          <w:tcPr>
            <w:tcW w:w="1158" w:type="dxa"/>
          </w:tcPr>
          <w:p>
            <w:pPr>
              <w:spacing w:line="260" w:lineRule="exact"/>
              <w:rPr>
                <w:rFonts w:ascii="宋体" w:hAnsi="宋体"/>
                <w:color w:val="000000"/>
                <w:sz w:val="18"/>
              </w:rPr>
            </w:pPr>
            <w:r>
              <w:rPr>
                <w:rFonts w:hint="eastAsia" w:ascii="宋体" w:hAnsi="宋体"/>
                <w:color w:val="000000"/>
                <w:sz w:val="18"/>
              </w:rPr>
              <w:t>网线</w:t>
            </w:r>
          </w:p>
        </w:tc>
        <w:tc>
          <w:tcPr>
            <w:tcW w:w="6086" w:type="dxa"/>
          </w:tcPr>
          <w:p>
            <w:pPr>
              <w:spacing w:line="260" w:lineRule="exact"/>
              <w:rPr>
                <w:rFonts w:ascii="宋体" w:hAnsi="宋体"/>
                <w:color w:val="000000"/>
                <w:sz w:val="18"/>
              </w:rPr>
            </w:pPr>
            <w:r>
              <w:rPr>
                <w:rFonts w:hint="eastAsia" w:ascii="宋体" w:hAnsi="宋体"/>
                <w:color w:val="000000"/>
                <w:sz w:val="18"/>
              </w:rPr>
              <w:t>交换机至摄像机，信号线每台摄像机及监控球机需50米，后台系统用线，50米。</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750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60</w:t>
            </w:r>
          </w:p>
        </w:tc>
        <w:tc>
          <w:tcPr>
            <w:tcW w:w="1158" w:type="dxa"/>
          </w:tcPr>
          <w:p>
            <w:pPr>
              <w:spacing w:line="260" w:lineRule="exact"/>
              <w:rPr>
                <w:rFonts w:ascii="宋体" w:hAnsi="宋体"/>
                <w:color w:val="000000"/>
                <w:sz w:val="18"/>
              </w:rPr>
            </w:pPr>
            <w:r>
              <w:rPr>
                <w:rFonts w:hint="eastAsia" w:ascii="宋体" w:hAnsi="宋体"/>
                <w:color w:val="000000"/>
                <w:sz w:val="18"/>
              </w:rPr>
              <w:t>LED光缆</w:t>
            </w:r>
          </w:p>
        </w:tc>
        <w:tc>
          <w:tcPr>
            <w:tcW w:w="6086" w:type="dxa"/>
          </w:tcPr>
          <w:p>
            <w:pPr>
              <w:spacing w:line="260" w:lineRule="exact"/>
              <w:rPr>
                <w:rFonts w:ascii="宋体" w:hAnsi="宋体"/>
                <w:color w:val="000000"/>
                <w:sz w:val="18"/>
              </w:rPr>
            </w:pPr>
            <w:r>
              <w:rPr>
                <w:rFonts w:hint="eastAsia" w:ascii="宋体" w:hAnsi="宋体"/>
                <w:color w:val="000000"/>
                <w:sz w:val="18"/>
              </w:rPr>
              <w:t>室外单模，6芯，工控机至LED屏</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500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61</w:t>
            </w:r>
          </w:p>
        </w:tc>
        <w:tc>
          <w:tcPr>
            <w:tcW w:w="1158" w:type="dxa"/>
          </w:tcPr>
          <w:p>
            <w:pPr>
              <w:spacing w:line="260" w:lineRule="exact"/>
              <w:rPr>
                <w:rFonts w:ascii="宋体" w:hAnsi="宋体"/>
                <w:color w:val="000000"/>
                <w:sz w:val="18"/>
              </w:rPr>
            </w:pPr>
            <w:r>
              <w:rPr>
                <w:rFonts w:hint="eastAsia" w:ascii="宋体" w:hAnsi="宋体"/>
                <w:color w:val="000000"/>
                <w:sz w:val="18"/>
              </w:rPr>
              <w:t>LED光缆电缆施工</w:t>
            </w:r>
          </w:p>
        </w:tc>
        <w:tc>
          <w:tcPr>
            <w:tcW w:w="6086" w:type="dxa"/>
          </w:tcPr>
          <w:p>
            <w:pPr>
              <w:spacing w:line="260" w:lineRule="exact"/>
              <w:rPr>
                <w:rFonts w:ascii="宋体" w:hAnsi="宋体"/>
                <w:color w:val="000000"/>
                <w:sz w:val="18"/>
              </w:rPr>
            </w:pPr>
            <w:r>
              <w:rPr>
                <w:rFonts w:hint="eastAsia" w:ascii="宋体" w:hAnsi="宋体"/>
                <w:color w:val="000000"/>
                <w:sz w:val="18"/>
              </w:rPr>
              <w:t>强弱电共沟，同内部光缆等长。</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500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62</w:t>
            </w:r>
          </w:p>
        </w:tc>
        <w:tc>
          <w:tcPr>
            <w:tcW w:w="1158" w:type="dxa"/>
          </w:tcPr>
          <w:p>
            <w:pPr>
              <w:spacing w:line="260" w:lineRule="exact"/>
              <w:rPr>
                <w:rFonts w:ascii="宋体" w:hAnsi="宋体"/>
                <w:color w:val="000000"/>
                <w:sz w:val="18"/>
              </w:rPr>
            </w:pPr>
            <w:r>
              <w:rPr>
                <w:rFonts w:hint="eastAsia" w:ascii="宋体" w:hAnsi="宋体"/>
                <w:color w:val="000000"/>
                <w:sz w:val="18"/>
              </w:rPr>
              <w:t>破路及恢复</w:t>
            </w:r>
          </w:p>
        </w:tc>
        <w:tc>
          <w:tcPr>
            <w:tcW w:w="6086" w:type="dxa"/>
          </w:tcPr>
          <w:p>
            <w:pPr>
              <w:spacing w:line="260" w:lineRule="exact"/>
              <w:rPr>
                <w:rFonts w:ascii="宋体" w:hAnsi="宋体"/>
                <w:color w:val="000000"/>
                <w:sz w:val="18"/>
              </w:rPr>
            </w:pPr>
            <w:r>
              <w:rPr>
                <w:rFonts w:hint="eastAsia" w:ascii="宋体" w:hAnsi="宋体"/>
                <w:color w:val="000000"/>
                <w:sz w:val="18"/>
              </w:rPr>
              <w:t>传输供电施工时沥青或混凝土，人行道路面开挖和恢复，按每个检测方向50米预估。</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100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63</w:t>
            </w:r>
          </w:p>
        </w:tc>
        <w:tc>
          <w:tcPr>
            <w:tcW w:w="1158" w:type="dxa"/>
          </w:tcPr>
          <w:p>
            <w:pPr>
              <w:spacing w:line="260" w:lineRule="exact"/>
              <w:rPr>
                <w:rFonts w:ascii="宋体" w:hAnsi="宋体"/>
                <w:color w:val="000000"/>
                <w:sz w:val="18"/>
              </w:rPr>
            </w:pPr>
            <w:r>
              <w:rPr>
                <w:rFonts w:hint="eastAsia" w:ascii="宋体" w:hAnsi="宋体"/>
                <w:color w:val="000000"/>
                <w:sz w:val="18"/>
              </w:rPr>
              <w:t>LED光电缆管材</w:t>
            </w:r>
          </w:p>
        </w:tc>
        <w:tc>
          <w:tcPr>
            <w:tcW w:w="6086" w:type="dxa"/>
          </w:tcPr>
          <w:p>
            <w:pPr>
              <w:spacing w:line="260" w:lineRule="exact"/>
              <w:rPr>
                <w:rFonts w:ascii="宋体" w:hAnsi="宋体"/>
                <w:color w:val="000000"/>
                <w:sz w:val="18"/>
              </w:rPr>
            </w:pPr>
            <w:r>
              <w:rPr>
                <w:rFonts w:hint="eastAsia" w:ascii="宋体" w:hAnsi="宋体"/>
                <w:color w:val="000000"/>
                <w:sz w:val="18"/>
              </w:rPr>
              <w:t xml:space="preserve">内部传输供电套管材料，同内部光缆等长。 </w:t>
            </w:r>
          </w:p>
        </w:tc>
        <w:tc>
          <w:tcPr>
            <w:tcW w:w="739" w:type="dxa"/>
          </w:tcPr>
          <w:p>
            <w:pPr>
              <w:spacing w:line="260" w:lineRule="exact"/>
              <w:jc w:val="center"/>
              <w:rPr>
                <w:rFonts w:ascii="宋体" w:hAnsi="宋体"/>
                <w:color w:val="000000"/>
                <w:sz w:val="18"/>
              </w:rPr>
            </w:pPr>
            <w:r>
              <w:rPr>
                <w:rFonts w:hint="eastAsia" w:ascii="宋体" w:hAnsi="宋体"/>
                <w:color w:val="000000"/>
                <w:sz w:val="18"/>
              </w:rPr>
              <w:t>米</w:t>
            </w:r>
          </w:p>
        </w:tc>
        <w:tc>
          <w:tcPr>
            <w:tcW w:w="898" w:type="dxa"/>
          </w:tcPr>
          <w:p>
            <w:pPr>
              <w:spacing w:line="260" w:lineRule="exact"/>
              <w:jc w:val="center"/>
              <w:rPr>
                <w:rFonts w:ascii="宋体" w:hAnsi="宋体"/>
                <w:color w:val="000000"/>
                <w:sz w:val="18"/>
              </w:rPr>
            </w:pPr>
            <w:r>
              <w:rPr>
                <w:rFonts w:hint="eastAsia" w:ascii="宋体" w:hAnsi="宋体"/>
                <w:color w:val="000000"/>
                <w:sz w:val="18"/>
              </w:rPr>
              <w:t>500</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64</w:t>
            </w:r>
          </w:p>
        </w:tc>
        <w:tc>
          <w:tcPr>
            <w:tcW w:w="1158" w:type="dxa"/>
          </w:tcPr>
          <w:p>
            <w:pPr>
              <w:spacing w:line="260" w:lineRule="exact"/>
              <w:rPr>
                <w:rFonts w:ascii="宋体" w:hAnsi="宋体"/>
                <w:color w:val="000000"/>
                <w:sz w:val="18"/>
              </w:rPr>
            </w:pPr>
            <w:r>
              <w:rPr>
                <w:rFonts w:hint="eastAsia" w:ascii="宋体" w:hAnsi="宋体"/>
                <w:color w:val="000000"/>
                <w:sz w:val="18"/>
              </w:rPr>
              <w:t>安全防护</w:t>
            </w:r>
          </w:p>
        </w:tc>
        <w:tc>
          <w:tcPr>
            <w:tcW w:w="6086" w:type="dxa"/>
          </w:tcPr>
          <w:p>
            <w:pPr>
              <w:spacing w:line="260" w:lineRule="exact"/>
              <w:rPr>
                <w:rFonts w:ascii="宋体" w:hAnsi="宋体"/>
                <w:color w:val="000000"/>
                <w:sz w:val="18"/>
              </w:rPr>
            </w:pPr>
            <w:r>
              <w:rPr>
                <w:rFonts w:hint="eastAsia" w:ascii="宋体" w:hAnsi="宋体"/>
                <w:color w:val="000000"/>
                <w:sz w:val="18"/>
              </w:rPr>
              <w:t>反光锥、水马、爆闪灯、照明灯、警示牌、警戒线</w:t>
            </w:r>
          </w:p>
        </w:tc>
        <w:tc>
          <w:tcPr>
            <w:tcW w:w="739" w:type="dxa"/>
          </w:tcPr>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65</w:t>
            </w:r>
          </w:p>
        </w:tc>
        <w:tc>
          <w:tcPr>
            <w:tcW w:w="1158" w:type="dxa"/>
          </w:tcPr>
          <w:p>
            <w:pPr>
              <w:spacing w:line="260" w:lineRule="exact"/>
              <w:rPr>
                <w:rFonts w:ascii="宋体" w:hAnsi="宋体"/>
                <w:color w:val="000000"/>
                <w:sz w:val="18"/>
              </w:rPr>
            </w:pPr>
            <w:r>
              <w:rPr>
                <w:rFonts w:hint="eastAsia" w:ascii="宋体" w:hAnsi="宋体"/>
                <w:color w:val="000000"/>
                <w:sz w:val="18"/>
              </w:rPr>
              <w:t>辅料</w:t>
            </w:r>
          </w:p>
        </w:tc>
        <w:tc>
          <w:tcPr>
            <w:tcW w:w="6086" w:type="dxa"/>
          </w:tcPr>
          <w:p>
            <w:pPr>
              <w:spacing w:line="260" w:lineRule="exact"/>
              <w:rPr>
                <w:rFonts w:ascii="宋体" w:hAnsi="宋体"/>
                <w:color w:val="000000"/>
                <w:sz w:val="18"/>
              </w:rPr>
            </w:pPr>
            <w:r>
              <w:rPr>
                <w:rFonts w:hint="eastAsia" w:ascii="宋体" w:hAnsi="宋体"/>
                <w:color w:val="000000"/>
                <w:sz w:val="18"/>
              </w:rPr>
              <w:t>手井、井盖，每一个检测方向1项。</w:t>
            </w:r>
          </w:p>
        </w:tc>
        <w:tc>
          <w:tcPr>
            <w:tcW w:w="739" w:type="dxa"/>
          </w:tcPr>
          <w:p>
            <w:pPr>
              <w:spacing w:line="260" w:lineRule="exact"/>
              <w:jc w:val="center"/>
              <w:rPr>
                <w:rFonts w:ascii="宋体" w:hAnsi="宋体"/>
                <w:color w:val="000000"/>
                <w:sz w:val="18"/>
              </w:rPr>
            </w:pPr>
            <w:r>
              <w:rPr>
                <w:rFonts w:hint="eastAsia" w:ascii="宋体" w:hAnsi="宋体"/>
                <w:color w:val="000000"/>
                <w:sz w:val="18"/>
              </w:rPr>
              <w:t>项</w:t>
            </w:r>
          </w:p>
        </w:tc>
        <w:tc>
          <w:tcPr>
            <w:tcW w:w="898" w:type="dxa"/>
          </w:tcPr>
          <w:p>
            <w:pPr>
              <w:spacing w:line="260" w:lineRule="exact"/>
              <w:jc w:val="center"/>
              <w:rPr>
                <w:rFonts w:ascii="宋体" w:hAnsi="宋体"/>
                <w:color w:val="000000"/>
                <w:sz w:val="18"/>
              </w:rPr>
            </w:pPr>
            <w:r>
              <w:rPr>
                <w:rFonts w:hint="eastAsia" w:ascii="宋体" w:hAnsi="宋体"/>
                <w:color w:val="000000"/>
                <w:sz w:val="18"/>
              </w:rPr>
              <w:t>2</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（七）移动执法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p>
          <w:p>
            <w:pPr>
              <w:spacing w:line="260" w:lineRule="exact"/>
              <w:jc w:val="center"/>
              <w:rPr>
                <w:rFonts w:ascii="宋体" w:hAnsi="宋体"/>
                <w:color w:val="000000"/>
                <w:sz w:val="18"/>
              </w:rPr>
            </w:pPr>
            <w:r>
              <w:rPr>
                <w:rFonts w:hint="eastAsia" w:ascii="宋体" w:hAnsi="宋体"/>
                <w:color w:val="000000"/>
                <w:sz w:val="18"/>
              </w:rPr>
              <w:t>66</w:t>
            </w:r>
          </w:p>
        </w:tc>
        <w:tc>
          <w:tcPr>
            <w:tcW w:w="1158" w:type="dxa"/>
          </w:tcPr>
          <w:p>
            <w:pPr>
              <w:spacing w:line="260" w:lineRule="exact"/>
              <w:rPr>
                <w:rFonts w:ascii="宋体" w:hAnsi="宋体"/>
                <w:color w:val="000000"/>
                <w:sz w:val="18"/>
              </w:rPr>
            </w:pPr>
          </w:p>
          <w:p>
            <w:pPr>
              <w:spacing w:line="260" w:lineRule="exact"/>
              <w:rPr>
                <w:rFonts w:ascii="宋体" w:hAnsi="宋体"/>
                <w:color w:val="000000"/>
                <w:sz w:val="18"/>
              </w:rPr>
            </w:pPr>
            <w:r>
              <w:rPr>
                <w:rFonts w:hint="eastAsia" w:ascii="宋体" w:hAnsi="宋体"/>
                <w:color w:val="000000"/>
                <w:sz w:val="18"/>
              </w:rPr>
              <w:t>移动执法箱</w:t>
            </w:r>
          </w:p>
        </w:tc>
        <w:tc>
          <w:tcPr>
            <w:tcW w:w="6086" w:type="dxa"/>
            <w:vAlign w:val="top"/>
          </w:tcPr>
          <w:p>
            <w:pPr>
              <w:spacing w:line="260" w:lineRule="exact"/>
              <w:rPr>
                <w:rFonts w:ascii="宋体" w:hAnsi="宋体" w:eastAsia="宋体" w:cs="Times New Roman"/>
                <w:color w:val="000000"/>
                <w:kern w:val="2"/>
                <w:sz w:val="18"/>
                <w:szCs w:val="24"/>
                <w:lang w:val="en-US" w:eastAsia="zh-CN" w:bidi="ar-SA"/>
              </w:rPr>
            </w:pPr>
            <w:r>
              <w:rPr>
                <w:rFonts w:hint="eastAsia" w:ascii="宋体" w:hAnsi="宋体"/>
                <w:color w:val="000000"/>
                <w:sz w:val="18"/>
              </w:rPr>
              <w:t>利用便携式移动执法设备，自动比对过往车辆道路运输证、经营许可证、四级联网称重检测记录、违法记录、抄告案件信息和重点车辆等数据，将违法信息推送至执法人员的APP上，部署执法平台的还可以在案件稽查信息列表中显示疑似违法的车辆号牌和违法信息进行立案办理。</w:t>
            </w:r>
          </w:p>
        </w:tc>
        <w:tc>
          <w:tcPr>
            <w:tcW w:w="739" w:type="dxa"/>
          </w:tcPr>
          <w:p>
            <w:pPr>
              <w:spacing w:line="260" w:lineRule="exact"/>
              <w:rPr>
                <w:rFonts w:ascii="宋体" w:hAnsi="宋体"/>
                <w:color w:val="000000"/>
                <w:sz w:val="18"/>
              </w:rPr>
            </w:pPr>
          </w:p>
          <w:p>
            <w:pPr>
              <w:spacing w:line="260" w:lineRule="exact"/>
              <w:ind w:firstLine="180" w:firstLineChars="100"/>
              <w:rPr>
                <w:rFonts w:ascii="宋体" w:hAnsi="宋体"/>
                <w:color w:val="000000"/>
                <w:sz w:val="18"/>
              </w:rPr>
            </w:pPr>
            <w:r>
              <w:rPr>
                <w:rFonts w:hint="eastAsia" w:ascii="宋体" w:hAnsi="宋体"/>
                <w:color w:val="000000"/>
                <w:sz w:val="18"/>
              </w:rPr>
              <w:t>台</w:t>
            </w:r>
          </w:p>
        </w:tc>
        <w:tc>
          <w:tcPr>
            <w:tcW w:w="898" w:type="dxa"/>
            <w:vAlign w:val="center"/>
          </w:tcPr>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vAlign w:val="center"/>
          </w:tcPr>
          <w:p>
            <w:pPr>
              <w:spacing w:line="260" w:lineRule="exact"/>
              <w:rPr>
                <w:rFonts w:ascii="宋体" w:hAnsi="宋体"/>
                <w:color w:val="000000"/>
                <w:sz w:val="18"/>
              </w:rPr>
            </w:pPr>
            <w:r>
              <w:rPr>
                <w:rFonts w:hint="eastAsia" w:ascii="宋体" w:hAnsi="宋体"/>
                <w:color w:val="000000"/>
                <w:sz w:val="18"/>
              </w:rPr>
              <w:t>含1年流量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6" w:type="dxa"/>
            <w:gridSpan w:val="6"/>
          </w:tcPr>
          <w:p>
            <w:pPr>
              <w:spacing w:line="260" w:lineRule="exact"/>
              <w:jc w:val="center"/>
              <w:rPr>
                <w:rFonts w:ascii="宋体" w:hAnsi="宋体"/>
                <w:color w:val="000000"/>
                <w:sz w:val="18"/>
              </w:rPr>
            </w:pPr>
            <w:r>
              <w:rPr>
                <w:rFonts w:hint="eastAsia" w:ascii="宋体" w:hAnsi="宋体"/>
                <w:b/>
                <w:color w:val="000000"/>
                <w:sz w:val="18"/>
              </w:rPr>
              <w:t>（八）后台数据处理系统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67</w:t>
            </w:r>
          </w:p>
        </w:tc>
        <w:tc>
          <w:tcPr>
            <w:tcW w:w="1158" w:type="dxa"/>
          </w:tcPr>
          <w:p>
            <w:pPr>
              <w:spacing w:line="260" w:lineRule="exact"/>
              <w:rPr>
                <w:rFonts w:ascii="宋体" w:hAnsi="宋体"/>
                <w:color w:val="000000"/>
                <w:sz w:val="18"/>
              </w:rPr>
            </w:pPr>
            <w:r>
              <w:rPr>
                <w:rFonts w:hint="eastAsia" w:ascii="宋体" w:hAnsi="宋体"/>
                <w:color w:val="000000"/>
                <w:sz w:val="18"/>
              </w:rPr>
              <w:t>上级数据库对接软件</w:t>
            </w:r>
          </w:p>
        </w:tc>
        <w:tc>
          <w:tcPr>
            <w:tcW w:w="6086" w:type="dxa"/>
          </w:tcPr>
          <w:p>
            <w:pPr>
              <w:spacing w:line="260" w:lineRule="exact"/>
              <w:rPr>
                <w:rFonts w:ascii="宋体" w:hAnsi="宋体"/>
                <w:color w:val="000000"/>
                <w:sz w:val="18"/>
              </w:rPr>
            </w:pPr>
            <w:r>
              <w:rPr>
                <w:rFonts w:hint="eastAsia" w:ascii="宋体" w:hAnsi="宋体"/>
                <w:color w:val="000000"/>
                <w:sz w:val="18"/>
              </w:rPr>
              <w:t>接入非现场平台，非现场执法接入软件</w:t>
            </w:r>
          </w:p>
        </w:tc>
        <w:tc>
          <w:tcPr>
            <w:tcW w:w="739" w:type="dxa"/>
          </w:tcPr>
          <w:p>
            <w:pPr>
              <w:spacing w:line="260" w:lineRule="exact"/>
              <w:ind w:firstLine="180" w:firstLineChars="100"/>
              <w:rPr>
                <w:rFonts w:ascii="宋体" w:hAnsi="宋体"/>
                <w:color w:val="000000"/>
                <w:sz w:val="18"/>
              </w:rPr>
            </w:pPr>
            <w:r>
              <w:rPr>
                <w:rFonts w:hint="eastAsia" w:ascii="宋体" w:hAnsi="宋体"/>
                <w:color w:val="000000"/>
                <w:sz w:val="18"/>
              </w:rPr>
              <w:t>套</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1</w:t>
            </w:r>
          </w:p>
        </w:tc>
        <w:tc>
          <w:tcPr>
            <w:tcW w:w="609" w:type="dxa"/>
          </w:tcPr>
          <w:p>
            <w:pPr>
              <w:spacing w:line="260" w:lineRule="exact"/>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line="260" w:lineRule="exact"/>
              <w:jc w:val="center"/>
              <w:rPr>
                <w:rFonts w:ascii="宋体" w:hAnsi="宋体"/>
                <w:color w:val="000000"/>
                <w:sz w:val="18"/>
              </w:rPr>
            </w:pPr>
            <w:r>
              <w:rPr>
                <w:rFonts w:hint="eastAsia" w:ascii="宋体" w:hAnsi="宋体"/>
                <w:color w:val="000000"/>
                <w:sz w:val="18"/>
              </w:rPr>
              <w:t>68</w:t>
            </w:r>
          </w:p>
        </w:tc>
        <w:tc>
          <w:tcPr>
            <w:tcW w:w="1158" w:type="dxa"/>
          </w:tcPr>
          <w:p>
            <w:pPr>
              <w:spacing w:line="260" w:lineRule="exact"/>
              <w:rPr>
                <w:rFonts w:ascii="宋体" w:hAnsi="宋体"/>
                <w:color w:val="000000"/>
                <w:sz w:val="18"/>
              </w:rPr>
            </w:pPr>
            <w:r>
              <w:rPr>
                <w:rFonts w:hint="eastAsia" w:ascii="宋体" w:hAnsi="宋体"/>
                <w:color w:val="000000"/>
                <w:sz w:val="18"/>
              </w:rPr>
              <w:t>售后服务</w:t>
            </w:r>
          </w:p>
        </w:tc>
        <w:tc>
          <w:tcPr>
            <w:tcW w:w="6086" w:type="dxa"/>
          </w:tcPr>
          <w:p>
            <w:pPr>
              <w:spacing w:line="260" w:lineRule="exact"/>
              <w:rPr>
                <w:rFonts w:ascii="宋体" w:hAnsi="宋体"/>
                <w:color w:val="000000"/>
                <w:sz w:val="18"/>
              </w:rPr>
            </w:pPr>
          </w:p>
        </w:tc>
        <w:tc>
          <w:tcPr>
            <w:tcW w:w="739" w:type="dxa"/>
          </w:tcPr>
          <w:p>
            <w:pPr>
              <w:spacing w:line="260" w:lineRule="exact"/>
              <w:ind w:firstLine="180" w:firstLineChars="100"/>
              <w:rPr>
                <w:rFonts w:ascii="宋体" w:hAnsi="宋体"/>
                <w:color w:val="000000"/>
                <w:sz w:val="18"/>
              </w:rPr>
            </w:pPr>
            <w:r>
              <w:rPr>
                <w:rFonts w:hint="eastAsia" w:ascii="宋体" w:hAnsi="宋体"/>
                <w:color w:val="000000"/>
                <w:sz w:val="18"/>
              </w:rPr>
              <w:t>年</w:t>
            </w:r>
          </w:p>
        </w:tc>
        <w:tc>
          <w:tcPr>
            <w:tcW w:w="898" w:type="dxa"/>
          </w:tcPr>
          <w:p>
            <w:pPr>
              <w:spacing w:line="260" w:lineRule="exact"/>
              <w:ind w:firstLine="180" w:firstLineChars="100"/>
              <w:rPr>
                <w:rFonts w:ascii="宋体" w:hAnsi="宋体"/>
                <w:color w:val="000000"/>
                <w:sz w:val="18"/>
              </w:rPr>
            </w:pPr>
            <w:r>
              <w:rPr>
                <w:rFonts w:hint="eastAsia" w:ascii="宋体" w:hAnsi="宋体"/>
                <w:color w:val="000000"/>
                <w:sz w:val="18"/>
              </w:rPr>
              <w:t>3</w:t>
            </w:r>
          </w:p>
        </w:tc>
        <w:tc>
          <w:tcPr>
            <w:tcW w:w="609" w:type="dxa"/>
          </w:tcPr>
          <w:p>
            <w:pPr>
              <w:spacing w:line="260" w:lineRule="exact"/>
              <w:rPr>
                <w:rFonts w:ascii="宋体" w:hAnsi="宋体"/>
                <w:color w:val="000000"/>
                <w:sz w:val="18"/>
              </w:rPr>
            </w:pPr>
          </w:p>
        </w:tc>
      </w:tr>
    </w:tbl>
    <w:p>
      <w:pPr>
        <w:pStyle w:val="10"/>
        <w:numPr>
          <w:ilvl w:val="0"/>
          <w:numId w:val="0"/>
        </w:numPr>
        <w:ind w:leftChars="0"/>
        <w:jc w:val="both"/>
        <w:rPr>
          <w:rFonts w:hint="eastAsia"/>
          <w:b/>
          <w:bCs/>
          <w:sz w:val="32"/>
          <w:szCs w:val="32"/>
        </w:rPr>
      </w:pPr>
    </w:p>
    <w:bookmarkEnd w:id="244"/>
    <w:p>
      <w:pPr>
        <w:widowControl/>
        <w:spacing w:line="560" w:lineRule="exact"/>
        <w:ind w:firstLine="422" w:firstLineChars="200"/>
        <w:jc w:val="left"/>
        <w:rPr>
          <w:rFonts w:ascii="宋体" w:hAnsi="宋体" w:cs="宋体"/>
          <w:b/>
          <w:bCs/>
          <w:kern w:val="0"/>
          <w:szCs w:val="21"/>
        </w:rPr>
      </w:pPr>
      <w:bookmarkStart w:id="246" w:name="_Toc26235"/>
      <w:bookmarkStart w:id="247" w:name="_Toc426369533"/>
      <w:bookmarkStart w:id="248" w:name="_Toc403122572"/>
      <w:bookmarkStart w:id="249" w:name="_Toc7906"/>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16"/>
        <w:spacing w:line="600" w:lineRule="exact"/>
        <w:ind w:right="-63" w:rightChars="-30"/>
        <w:rPr>
          <w:rFonts w:asciiTheme="minorEastAsia" w:hAnsiTheme="minorEastAsia" w:eastAsiaTheme="minorEastAsia" w:cstheme="minorEastAsia"/>
          <w:sz w:val="36"/>
          <w:szCs w:val="36"/>
        </w:rPr>
      </w:pPr>
    </w:p>
    <w:p>
      <w:pPr>
        <w:pStyle w:val="1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6"/>
      <w:bookmarkEnd w:id="247"/>
      <w:bookmarkEnd w:id="248"/>
      <w:bookmarkEnd w:id="249"/>
    </w:p>
    <w:p>
      <w:pPr>
        <w:rPr>
          <w:rFonts w:asciiTheme="minorEastAsia" w:hAnsiTheme="minorEastAsia" w:eastAsiaTheme="minorEastAsia" w:cstheme="minorEastAsia"/>
        </w:rPr>
      </w:pPr>
      <w:bookmarkStart w:id="250" w:name="_Toc18905"/>
      <w:bookmarkStart w:id="251" w:name="_Toc402961301"/>
      <w:bookmarkStart w:id="252" w:name="_Toc27452"/>
      <w:bookmarkStart w:id="253" w:name="_Toc403122573"/>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0"/>
      <w:bookmarkEnd w:id="251"/>
      <w:bookmarkEnd w:id="252"/>
      <w:bookmarkEnd w:id="253"/>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1"/>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1"/>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1"/>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4"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5" w:name="_Toc1921"/>
      <w:r>
        <w:rPr>
          <w:rFonts w:hint="eastAsia" w:asciiTheme="minorEastAsia" w:hAnsiTheme="minorEastAsia" w:eastAsiaTheme="minorEastAsia" w:cstheme="minorEastAsia"/>
          <w:b/>
          <w:bCs/>
          <w:sz w:val="30"/>
          <w:szCs w:val="30"/>
        </w:rPr>
        <w:t>一、投标函</w:t>
      </w:r>
      <w:bookmarkEnd w:id="254"/>
      <w:r>
        <w:rPr>
          <w:rFonts w:hint="eastAsia" w:asciiTheme="minorEastAsia" w:hAnsiTheme="minorEastAsia" w:eastAsiaTheme="minorEastAsia" w:cstheme="minorEastAsia"/>
          <w:b/>
          <w:bCs/>
          <w:sz w:val="30"/>
          <w:szCs w:val="30"/>
        </w:rPr>
        <w:t>及开标一览表</w:t>
      </w:r>
      <w:bookmarkEnd w:id="255"/>
    </w:p>
    <w:p>
      <w:pPr>
        <w:jc w:val="center"/>
        <w:outlineLvl w:val="2"/>
        <w:rPr>
          <w:rFonts w:asciiTheme="minorEastAsia" w:hAnsiTheme="minorEastAsia" w:eastAsiaTheme="minorEastAsia" w:cstheme="minorEastAsia"/>
          <w:b/>
          <w:bCs/>
          <w:sz w:val="28"/>
        </w:rPr>
      </w:pPr>
      <w:bookmarkStart w:id="256" w:name="_Toc27218"/>
      <w:bookmarkStart w:id="257" w:name="_Toc12044"/>
      <w:bookmarkStart w:id="258" w:name="_Toc600"/>
      <w:r>
        <w:rPr>
          <w:rFonts w:hint="eastAsia" w:asciiTheme="minorEastAsia" w:hAnsiTheme="minorEastAsia" w:eastAsiaTheme="minorEastAsia" w:cstheme="minorEastAsia"/>
          <w:b/>
          <w:sz w:val="28"/>
          <w:szCs w:val="28"/>
        </w:rPr>
        <w:t>（一）投标函</w:t>
      </w:r>
      <w:bookmarkEnd w:id="256"/>
      <w:bookmarkEnd w:id="257"/>
      <w:bookmarkEnd w:id="258"/>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1"/>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1"/>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1"/>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9" w:name="_Toc9543"/>
      <w:bookmarkStart w:id="260" w:name="_Toc14778"/>
      <w:bookmarkStart w:id="261" w:name="_Toc208"/>
      <w:r>
        <w:rPr>
          <w:rFonts w:hint="eastAsia" w:asciiTheme="minorEastAsia" w:hAnsiTheme="minorEastAsia" w:eastAsiaTheme="minorEastAsia" w:cstheme="minorEastAsia"/>
          <w:b/>
          <w:bCs/>
          <w:sz w:val="28"/>
          <w:szCs w:val="28"/>
        </w:rPr>
        <w:t>（二） 开标一览表</w:t>
      </w:r>
      <w:bookmarkEnd w:id="259"/>
      <w:bookmarkEnd w:id="260"/>
      <w:bookmarkEnd w:id="261"/>
    </w:p>
    <w:p>
      <w:pPr>
        <w:jc w:val="center"/>
        <w:rPr>
          <w:rFonts w:asciiTheme="minorEastAsia" w:hAnsiTheme="minorEastAsia" w:eastAsiaTheme="minorEastAsia" w:cstheme="minorEastAsia"/>
          <w:b/>
          <w:bCs/>
          <w:sz w:val="28"/>
        </w:rPr>
      </w:pPr>
    </w:p>
    <w:tbl>
      <w:tblPr>
        <w:tblStyle w:val="1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24"/>
        </w:rPr>
        <w:sectPr>
          <w:footerReference r:id="rId11" w:type="default"/>
          <w:pgSz w:w="11907" w:h="16840"/>
          <w:pgMar w:top="1276" w:right="1116" w:bottom="1417" w:left="911" w:header="850" w:footer="998" w:gutter="0"/>
          <w:pgNumType w:fmt="numberInDash"/>
          <w:cols w:space="720" w:num="1"/>
          <w:docGrid w:type="lines" w:linePitch="380" w:charSpace="0"/>
        </w:sectPr>
      </w:pPr>
    </w:p>
    <w:p>
      <w:pPr>
        <w:spacing w:line="440" w:lineRule="exact"/>
        <w:ind w:firstLine="441" w:firstLineChars="147"/>
        <w:jc w:val="center"/>
        <w:rPr>
          <w:rFonts w:ascii="宋体" w:hAnsi="宋体" w:cs="宋体"/>
          <w:b w:val="0"/>
          <w:bCs/>
          <w:color w:val="auto"/>
          <w:sz w:val="30"/>
          <w:szCs w:val="30"/>
        </w:rPr>
      </w:pPr>
      <w:r>
        <w:rPr>
          <w:rFonts w:hint="eastAsia" w:ascii="宋体" w:hAnsi="宋体" w:cs="宋体"/>
          <w:b w:val="0"/>
          <w:bCs/>
          <w:color w:val="auto"/>
          <w:sz w:val="30"/>
          <w:szCs w:val="30"/>
        </w:rPr>
        <w:t>（三）报价明细表</w:t>
      </w:r>
    </w:p>
    <w:p>
      <w:pPr>
        <w:spacing w:line="440" w:lineRule="exact"/>
        <w:ind w:firstLine="308" w:firstLineChars="147"/>
        <w:rPr>
          <w:rFonts w:ascii="宋体" w:hAnsi="宋体" w:cs="宋体"/>
          <w:b w:val="0"/>
          <w:bCs/>
          <w:color w:val="auto"/>
          <w:szCs w:val="21"/>
        </w:rPr>
      </w:pPr>
    </w:p>
    <w:tbl>
      <w:tblPr>
        <w:tblStyle w:val="17"/>
        <w:tblW w:w="1385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189"/>
        <w:gridCol w:w="1187"/>
        <w:gridCol w:w="4267"/>
        <w:gridCol w:w="800"/>
        <w:gridCol w:w="800"/>
        <w:gridCol w:w="1293"/>
        <w:gridCol w:w="148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826" w:type="dxa"/>
            <w:vMerge w:val="restart"/>
            <w:tcBorders>
              <w:top w:val="single" w:color="auto" w:sz="4" w:space="0"/>
              <w:left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6643"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800" w:type="dxa"/>
            <w:vMerge w:val="restart"/>
            <w:tcBorders>
              <w:top w:val="single" w:color="auto" w:sz="4" w:space="0"/>
              <w:left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800" w:type="dxa"/>
            <w:vMerge w:val="restart"/>
            <w:tcBorders>
              <w:top w:val="single" w:color="auto" w:sz="4" w:space="0"/>
              <w:left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1293" w:type="dxa"/>
            <w:vMerge w:val="restart"/>
            <w:tcBorders>
              <w:top w:val="single" w:color="auto" w:sz="4" w:space="0"/>
              <w:left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15"/>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15"/>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480" w:type="dxa"/>
            <w:vMerge w:val="restart"/>
            <w:tcBorders>
              <w:top w:val="single" w:color="auto" w:sz="4" w:space="0"/>
              <w:left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1014" w:type="dxa"/>
            <w:vMerge w:val="restart"/>
            <w:tcBorders>
              <w:top w:val="single" w:color="auto" w:sz="4" w:space="0"/>
              <w:left w:val="single" w:color="auto" w:sz="4" w:space="0"/>
              <w:right w:val="single" w:color="auto" w:sz="4" w:space="0"/>
            </w:tcBorders>
            <w:noWrap w:val="0"/>
            <w:vAlign w:val="top"/>
          </w:tcPr>
          <w:p>
            <w:pPr>
              <w:pStyle w:val="15"/>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15"/>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826" w:type="dxa"/>
            <w:vMerge w:val="continue"/>
            <w:tcBorders>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4267"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800" w:type="dxa"/>
            <w:vMerge w:val="continue"/>
            <w:tcBorders>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800" w:type="dxa"/>
            <w:vMerge w:val="continue"/>
            <w:tcBorders>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293" w:type="dxa"/>
            <w:vMerge w:val="continue"/>
            <w:tcBorders>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480" w:type="dxa"/>
            <w:vMerge w:val="continue"/>
            <w:tcBorders>
              <w:left w:val="single" w:color="auto" w:sz="4" w:space="0"/>
              <w:bottom w:val="single" w:color="auto" w:sz="4" w:space="0"/>
              <w:right w:val="single" w:color="auto" w:sz="4" w:space="0"/>
            </w:tcBorders>
            <w:noWrap w:val="0"/>
            <w:vAlign w:val="center"/>
          </w:tcPr>
          <w:p>
            <w:pPr>
              <w:pStyle w:val="15"/>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014" w:type="dxa"/>
            <w:vMerge w:val="continue"/>
            <w:tcBorders>
              <w:left w:val="single" w:color="auto" w:sz="4" w:space="0"/>
              <w:bottom w:val="single" w:color="auto" w:sz="4" w:space="0"/>
              <w:right w:val="single" w:color="auto" w:sz="4" w:space="0"/>
            </w:tcBorders>
            <w:noWrap w:val="0"/>
            <w:vAlign w:val="top"/>
          </w:tcPr>
          <w:p>
            <w:pPr>
              <w:pStyle w:val="15"/>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426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9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4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8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1203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1385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重要提示：1、本页不够的可根据需要添加；2、本表的每一页须加盖企业印章。最后价格汇总页，须加盖企业印章并法人代表</w:t>
            </w:r>
            <w:r>
              <w:rPr>
                <w:rFonts w:hint="eastAsia" w:ascii="宋体" w:hAnsi="宋体" w:eastAsia="宋体" w:cs="宋体"/>
                <w:b/>
                <w:bCs w:val="0"/>
                <w:color w:val="auto"/>
                <w:sz w:val="24"/>
                <w:szCs w:val="20"/>
              </w:rPr>
              <w:t>或其委托代理人</w:t>
            </w:r>
            <w:r>
              <w:rPr>
                <w:rFonts w:hint="eastAsia" w:ascii="宋体" w:hAnsi="宋体" w:eastAsia="宋体" w:cs="宋体"/>
                <w:b/>
                <w:bCs w:val="0"/>
                <w:color w:val="auto"/>
                <w:sz w:val="24"/>
              </w:rPr>
              <w:t>签字或盖章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否则按无效投标处理</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3、涉及有国家标准的产品，须填写名称、品牌、型号及技术参数、报价等本表内容（若品牌、型号等填写的与实际不符，按照无效标处理）4、所投软件须经相关部门认证（提供认证资料，加盖投标公司印章）</w:t>
            </w:r>
          </w:p>
        </w:tc>
      </w:tr>
    </w:tbl>
    <w:p>
      <w:pPr>
        <w:spacing w:line="480" w:lineRule="exact"/>
        <w:rPr>
          <w:rFonts w:ascii="宋体" w:hAnsi="宋体" w:eastAsia="宋体" w:cs="宋体"/>
          <w:b w:val="0"/>
          <w:bCs/>
          <w:color w:val="auto"/>
          <w:sz w:val="24"/>
        </w:rPr>
      </w:pPr>
      <w:r>
        <w:rPr>
          <w:rFonts w:hint="eastAsia" w:ascii="宋体" w:hAnsi="宋体" w:cs="宋体"/>
          <w:b w:val="0"/>
          <w:bCs/>
          <w:color w:val="auto"/>
          <w:sz w:val="24"/>
        </w:rPr>
        <w:t xml:space="preserve"> </w:t>
      </w:r>
      <w:r>
        <w:rPr>
          <w:rFonts w:hint="eastAsia" w:ascii="宋体" w:hAnsi="宋体" w:eastAsia="宋体" w:cs="宋体"/>
          <w:b w:val="0"/>
          <w:bCs/>
          <w:color w:val="auto"/>
          <w:sz w:val="24"/>
        </w:rPr>
        <w:t>供应商：（单位公章）</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rPr>
        <w:t xml:space="preserve">     法定代表人</w:t>
      </w:r>
      <w:r>
        <w:rPr>
          <w:rFonts w:hint="eastAsia" w:ascii="宋体" w:hAnsi="宋体" w:eastAsia="宋体" w:cs="宋体"/>
          <w:b w:val="0"/>
          <w:bCs/>
          <w:color w:val="auto"/>
          <w:sz w:val="24"/>
          <w:szCs w:val="20"/>
        </w:rPr>
        <w:t>或其委托代理人</w:t>
      </w:r>
      <w:r>
        <w:rPr>
          <w:rFonts w:hint="eastAsia" w:ascii="宋体" w:hAnsi="宋体" w:eastAsia="宋体" w:cs="宋体"/>
          <w:b w:val="0"/>
          <w:bCs/>
          <w:color w:val="auto"/>
          <w:sz w:val="24"/>
        </w:rPr>
        <w:t>：（签字或盖章）</w:t>
      </w:r>
    </w:p>
    <w:p>
      <w:pPr>
        <w:ind w:left="1050" w:leftChars="500"/>
        <w:jc w:val="center"/>
        <w:rPr>
          <w:rFonts w:ascii="宋体" w:hAnsi="宋体" w:eastAsia="宋体" w:cs="宋体"/>
          <w:b w:val="0"/>
          <w:bCs/>
          <w:color w:val="auto"/>
          <w:sz w:val="24"/>
        </w:rPr>
      </w:pPr>
    </w:p>
    <w:p>
      <w:pPr>
        <w:ind w:left="1050" w:leftChars="500"/>
        <w:jc w:val="center"/>
        <w:rPr>
          <w:rFonts w:ascii="宋体" w:hAnsi="宋体" w:eastAsia="宋体" w:cs="宋体"/>
          <w:b w:val="0"/>
          <w:bCs/>
          <w:color w:val="auto"/>
          <w:sz w:val="24"/>
        </w:rPr>
      </w:pPr>
      <w:r>
        <w:rPr>
          <w:rFonts w:hint="eastAsia" w:ascii="宋体" w:hAnsi="宋体" w:eastAsia="宋体" w:cs="宋体"/>
          <w:b w:val="0"/>
          <w:bCs/>
          <w:color w:val="auto"/>
          <w:sz w:val="24"/>
        </w:rPr>
        <w:t xml:space="preserve">                日  期：     年   月   日</w:t>
      </w:r>
    </w:p>
    <w:p>
      <w:pPr>
        <w:autoSpaceDE w:val="0"/>
        <w:autoSpaceDN w:val="0"/>
        <w:adjustRightInd w:val="0"/>
        <w:spacing w:line="440" w:lineRule="exact"/>
        <w:jc w:val="center"/>
        <w:rPr>
          <w:rFonts w:hint="eastAsia" w:ascii="宋体" w:hAnsi="宋体" w:cs="宋体"/>
          <w:b/>
          <w:sz w:val="30"/>
          <w:szCs w:val="30"/>
          <w:lang w:eastAsia="zh-CN"/>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四</w:t>
      </w:r>
      <w:r>
        <w:rPr>
          <w:rFonts w:hint="eastAsia" w:ascii="宋体" w:hAnsi="宋体" w:cs="宋体"/>
          <w:b/>
          <w:sz w:val="30"/>
          <w:szCs w:val="30"/>
          <w:lang w:eastAsia="zh-CN"/>
        </w:rPr>
        <w:t>）</w:t>
      </w:r>
      <w:r>
        <w:rPr>
          <w:rFonts w:hint="eastAsia" w:ascii="宋体" w:hAnsi="宋体" w:cs="宋体"/>
          <w:b/>
          <w:sz w:val="30"/>
          <w:szCs w:val="30"/>
        </w:rPr>
        <w:t>技术偏离表</w:t>
      </w:r>
    </w:p>
    <w:p>
      <w:pPr>
        <w:spacing w:line="440" w:lineRule="exact"/>
        <w:rPr>
          <w:rFonts w:ascii="宋体" w:hAnsi="宋体" w:cs="宋体"/>
          <w:sz w:val="32"/>
        </w:rPr>
      </w:pPr>
    </w:p>
    <w:tbl>
      <w:tblPr>
        <w:tblStyle w:val="17"/>
        <w:tblW w:w="13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2745"/>
        <w:gridCol w:w="2925"/>
        <w:gridCol w:w="3107"/>
        <w:gridCol w:w="3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124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141" w:right="0"/>
              <w:jc w:val="center"/>
              <w:rPr>
                <w:rFonts w:hint="default" w:ascii="宋体" w:hAnsi="宋体" w:cs="宋体"/>
                <w:b/>
                <w:sz w:val="24"/>
              </w:rPr>
            </w:pPr>
            <w:r>
              <w:rPr>
                <w:rFonts w:hint="eastAsia" w:ascii="宋体" w:hAnsi="宋体" w:cs="宋体"/>
                <w:b/>
                <w:sz w:val="24"/>
              </w:rPr>
              <w:t>序号</w:t>
            </w:r>
          </w:p>
        </w:tc>
        <w:tc>
          <w:tcPr>
            <w:tcW w:w="274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货物名称</w:t>
            </w:r>
          </w:p>
        </w:tc>
        <w:tc>
          <w:tcPr>
            <w:tcW w:w="292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招标技术要求</w:t>
            </w:r>
          </w:p>
        </w:tc>
        <w:tc>
          <w:tcPr>
            <w:tcW w:w="3107"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投标货物实际技术规格</w:t>
            </w:r>
          </w:p>
        </w:tc>
        <w:tc>
          <w:tcPr>
            <w:tcW w:w="3719"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pStyle w:val="15"/>
              <w:keepNext w:val="0"/>
              <w:keepLines w:val="0"/>
              <w:widowControl w:val="0"/>
              <w:suppressLineNumbers w:val="0"/>
              <w:tabs>
                <w:tab w:val="left" w:pos="420"/>
              </w:tabs>
              <w:spacing w:before="0" w:beforeAutospacing="0" w:after="0" w:afterAutospacing="0" w:line="440" w:lineRule="exact"/>
              <w:ind w:left="0" w:right="0"/>
              <w:jc w:val="both"/>
              <w:rPr>
                <w:rFonts w:hint="default"/>
                <w:bCs/>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24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7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9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31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371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2"/>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2"/>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sz w:val="24"/>
        </w:rPr>
      </w:pPr>
    </w:p>
    <w:p>
      <w:pPr>
        <w:spacing w:line="600" w:lineRule="exact"/>
        <w:rPr>
          <w:rFonts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spacing w:line="600" w:lineRule="exact"/>
        <w:rPr>
          <w:rFonts w:ascii="宋体" w:hAnsi="宋体" w:eastAsia="宋体" w:cs="宋体"/>
          <w:sz w:val="24"/>
        </w:rPr>
      </w:pPr>
      <w:r>
        <w:rPr>
          <w:rFonts w:hint="eastAsia" w:ascii="宋体" w:hAnsi="宋体" w:eastAsia="宋体" w:cs="宋体"/>
          <w:sz w:val="24"/>
        </w:rPr>
        <w:t>法人代表或授权委托人（签字或盖章）：</w:t>
      </w:r>
      <w:r>
        <w:rPr>
          <w:rFonts w:hint="eastAsia" w:ascii="宋体" w:hAnsi="宋体" w:eastAsia="宋体" w:cs="宋体"/>
          <w:sz w:val="24"/>
          <w:u w:val="single"/>
        </w:rPr>
        <w:t xml:space="preserve">                 </w:t>
      </w:r>
    </w:p>
    <w:p>
      <w:pPr>
        <w:ind w:firstLine="480"/>
        <w:rPr>
          <w:rFonts w:hint="eastAsia" w:ascii="宋体" w:hAnsi="宋体" w:eastAsia="宋体" w:cs="宋体"/>
          <w:sz w:val="24"/>
        </w:rPr>
        <w:sectPr>
          <w:pgSz w:w="16840" w:h="11907" w:orient="landscape"/>
          <w:pgMar w:top="913" w:right="1276" w:bottom="1117" w:left="1417" w:header="850" w:footer="998" w:gutter="0"/>
          <w:pgNumType w:fmt="numberInDash"/>
          <w:cols w:space="0" w:num="1"/>
          <w:rtlGutter w:val="0"/>
          <w:docGrid w:type="lines" w:linePitch="379" w:charSpace="0"/>
        </w:sectPr>
      </w:pPr>
      <w:r>
        <w:rPr>
          <w:rFonts w:hint="eastAsia" w:ascii="宋体" w:hAnsi="宋体" w:eastAsia="宋体" w:cs="宋体"/>
          <w:sz w:val="24"/>
        </w:rPr>
        <w:t xml:space="preserve">                                         年    月    日  </w:t>
      </w:r>
    </w:p>
    <w:p>
      <w:pPr>
        <w:pStyle w:val="5"/>
        <w:ind w:firstLine="480"/>
        <w:rPr>
          <w:rFonts w:ascii="宋体" w:hAnsi="宋体" w:eastAsia="宋体" w:cs="宋体"/>
          <w:color w:val="000000"/>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30"/>
          <w:szCs w:val="30"/>
        </w:rPr>
      </w:pPr>
      <w:bookmarkStart w:id="262" w:name="_Toc5614"/>
      <w:bookmarkStart w:id="263" w:name="_Toc2213"/>
      <w:r>
        <w:rPr>
          <w:rFonts w:hint="eastAsia" w:asciiTheme="minorEastAsia" w:hAnsiTheme="minorEastAsia" w:eastAsiaTheme="minorEastAsia" w:cstheme="minorEastAsia"/>
          <w:sz w:val="30"/>
          <w:szCs w:val="30"/>
        </w:rPr>
        <w:t>二、法定代表人身份证明书</w:t>
      </w:r>
      <w:bookmarkEnd w:id="262"/>
      <w:bookmarkEnd w:id="263"/>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16"/>
        <w:spacing w:before="120" w:after="120" w:line="500" w:lineRule="exact"/>
        <w:ind w:right="29" w:rightChars="14"/>
        <w:outlineLvl w:val="9"/>
        <w:rPr>
          <w:rFonts w:asciiTheme="minorEastAsia" w:hAnsiTheme="minorEastAsia" w:eastAsiaTheme="minorEastAsia" w:cstheme="minorEastAsia"/>
          <w:sz w:val="30"/>
          <w:szCs w:val="30"/>
        </w:rPr>
      </w:pPr>
      <w:bookmarkStart w:id="264" w:name="_Toc6009"/>
    </w:p>
    <w:p>
      <w:pPr>
        <w:pStyle w:val="16"/>
        <w:spacing w:before="120" w:after="120" w:line="500" w:lineRule="exact"/>
        <w:ind w:right="29" w:rightChars="14"/>
        <w:jc w:val="center"/>
        <w:outlineLvl w:val="1"/>
        <w:rPr>
          <w:rFonts w:hint="eastAsia" w:asciiTheme="minorEastAsia" w:hAnsiTheme="minorEastAsia" w:eastAsiaTheme="minorEastAsia" w:cstheme="minorEastAsia"/>
          <w:sz w:val="30"/>
          <w:szCs w:val="30"/>
        </w:rPr>
      </w:pPr>
      <w:bookmarkStart w:id="265" w:name="_Toc15395"/>
    </w:p>
    <w:p>
      <w:pPr>
        <w:pStyle w:val="16"/>
        <w:spacing w:before="120" w:after="12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三、授权委托书</w:t>
      </w:r>
      <w:bookmarkEnd w:id="264"/>
      <w:bookmarkEnd w:id="265"/>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1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6" w:name="_Toc19057"/>
      <w:r>
        <w:rPr>
          <w:rFonts w:hint="eastAsia" w:asciiTheme="minorEastAsia" w:hAnsiTheme="minorEastAsia" w:eastAsiaTheme="minorEastAsia" w:cstheme="minorEastAsia"/>
          <w:b/>
          <w:sz w:val="32"/>
          <w:szCs w:val="32"/>
        </w:rPr>
        <w:t>四、投标承诺函</w:t>
      </w:r>
      <w:bookmarkEnd w:id="266"/>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sz w:val="30"/>
          <w:szCs w:val="30"/>
        </w:rPr>
      </w:pPr>
      <w:bookmarkStart w:id="267" w:name="_Toc8304"/>
      <w:r>
        <w:rPr>
          <w:rFonts w:hint="eastAsia" w:asciiTheme="minorEastAsia" w:hAnsiTheme="minorEastAsia" w:eastAsiaTheme="minorEastAsia" w:cstheme="minorEastAsia"/>
          <w:b/>
          <w:bCs w:val="0"/>
          <w:kern w:val="2"/>
          <w:sz w:val="30"/>
          <w:szCs w:val="30"/>
        </w:rPr>
        <w:t>五、项目供货及安装保证措施、售后服务方案</w:t>
      </w:r>
      <w:bookmarkEnd w:id="267"/>
      <w:r>
        <w:rPr>
          <w:rFonts w:hint="eastAsia" w:asciiTheme="minorEastAsia" w:hAnsiTheme="minorEastAsia" w:eastAsiaTheme="minorEastAsia" w:cstheme="minorEastAsia"/>
          <w:b/>
          <w:bCs w:val="0"/>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8" w:name="_Toc10043"/>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20650"/>
      <w:bookmarkStart w:id="270" w:name="_Toc29492"/>
      <w:r>
        <w:rPr>
          <w:rFonts w:hint="eastAsia" w:asciiTheme="minorEastAsia" w:hAnsiTheme="minorEastAsia" w:eastAsiaTheme="minorEastAsia" w:cstheme="minorEastAsia"/>
          <w:b/>
          <w:kern w:val="2"/>
          <w:sz w:val="30"/>
          <w:szCs w:val="30"/>
        </w:rPr>
        <w:t>六、资格证明文件</w:t>
      </w:r>
      <w:bookmarkEnd w:id="268"/>
      <w:bookmarkEnd w:id="269"/>
      <w:bookmarkEnd w:id="270"/>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5"/>
        <w:ind w:firstLine="482"/>
        <w:rPr>
          <w:b/>
          <w:bCs/>
        </w:rPr>
      </w:pPr>
      <w:r>
        <w:rPr>
          <w:rFonts w:hint="eastAsia"/>
          <w:b/>
          <w:bCs/>
          <w:sz w:val="24"/>
        </w:rPr>
        <w:t>备注：以上资格证明文件须提供原件的扫描件。</w:t>
      </w:r>
    </w:p>
    <w:p>
      <w:pPr>
        <w:pStyle w:val="5"/>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1" w:name="_Toc8330"/>
      <w:bookmarkStart w:id="272" w:name="_Toc6465"/>
      <w:bookmarkStart w:id="273" w:name="_Toc31553"/>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numPr>
          <w:ilvl w:val="0"/>
          <w:numId w:val="13"/>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1"/>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4" w:name="_Toc28422"/>
      <w:bookmarkStart w:id="275" w:name="_Toc18925"/>
      <w:bookmarkStart w:id="276" w:name="_Toc24210"/>
      <w:r>
        <w:rPr>
          <w:rFonts w:hint="eastAsia" w:asciiTheme="minorEastAsia" w:hAnsiTheme="minorEastAsia" w:eastAsiaTheme="minorEastAsia" w:cstheme="minorEastAsia"/>
          <w:b/>
          <w:kern w:val="2"/>
          <w:sz w:val="30"/>
          <w:szCs w:val="30"/>
        </w:rPr>
        <w:t>证明材料</w:t>
      </w:r>
      <w:bookmarkEnd w:id="272"/>
      <w:bookmarkEnd w:id="274"/>
      <w:bookmarkEnd w:id="275"/>
      <w:bookmarkEnd w:id="276"/>
      <w:r>
        <w:rPr>
          <w:rFonts w:hint="eastAsia" w:asciiTheme="minorEastAsia" w:hAnsiTheme="minorEastAsia" w:eastAsiaTheme="minorEastAsia" w:cstheme="minorEastAsia"/>
          <w:b/>
          <w:kern w:val="2"/>
          <w:sz w:val="30"/>
          <w:szCs w:val="30"/>
        </w:rPr>
        <w:t>（如有）</w:t>
      </w: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10717"/>
      <w:bookmarkStart w:id="278" w:name="_Toc23227"/>
      <w:r>
        <w:rPr>
          <w:rFonts w:hint="eastAsia" w:asciiTheme="minorEastAsia" w:hAnsiTheme="minorEastAsia" w:eastAsiaTheme="minorEastAsia" w:cstheme="minorEastAsia"/>
          <w:b/>
          <w:kern w:val="2"/>
          <w:sz w:val="30"/>
          <w:szCs w:val="30"/>
        </w:rPr>
        <w:t>九、中小企业声明函（如有）</w:t>
      </w:r>
      <w:bookmarkEnd w:id="277"/>
      <w:bookmarkEnd w:id="278"/>
    </w:p>
    <w:p>
      <w:pPr>
        <w:pStyle w:val="1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9" w:name="_Toc20881"/>
      <w:bookmarkStart w:id="280" w:name="_Toc14292"/>
      <w:bookmarkStart w:id="281" w:name="_Toc30170"/>
      <w:r>
        <w:rPr>
          <w:rFonts w:hint="eastAsia" w:asciiTheme="minorEastAsia" w:hAnsiTheme="minorEastAsia" w:eastAsiaTheme="minorEastAsia" w:cstheme="minorEastAsia"/>
          <w:b/>
          <w:kern w:val="2"/>
          <w:sz w:val="30"/>
          <w:szCs w:val="30"/>
        </w:rPr>
        <w:t>十、残疾人福利性单位声明函（如有）</w:t>
      </w:r>
      <w:bookmarkEnd w:id="279"/>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3"/>
    <w:bookmarkEnd w:id="280"/>
    <w:bookmarkEnd w:id="281"/>
    <w:p>
      <w:pPr>
        <w:rPr>
          <w:rFonts w:ascii="Times New Roman" w:hAnsi="Times New Roman" w:eastAsia="仿宋"/>
          <w:sz w:val="32"/>
          <w:szCs w:val="32"/>
          <w:shd w:val="clear" w:color="FFFFFF" w:fill="D9D9D9"/>
        </w:rPr>
      </w:pPr>
    </w:p>
    <w:p>
      <w:pPr>
        <w:pStyle w:val="8"/>
        <w:rPr>
          <w:shd w:val="clear" w:color="FFFFFF" w:fill="D9D9D9"/>
        </w:rPr>
      </w:pPr>
    </w:p>
    <w:p>
      <w:pPr>
        <w:pStyle w:val="1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1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2"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2"/>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pgSz w:w="11907" w:h="16840"/>
      <w:pgMar w:top="1276" w:right="1117" w:bottom="1417" w:left="913" w:header="850" w:footer="998" w:gutter="0"/>
      <w:pgNumType w:fmt="numberInDash"/>
      <w:cols w:space="0" w:num="1"/>
      <w:rtlGutter w:val="0"/>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_x0000_s1026"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RQ+FNoAAAAKAQAADwAAAAAA&#10;AAABACAAAAAiAAAAZHJzL2Rvd25yZXYueG1sUEsBAhQAFAAAAAgAh07iQMqHPUURAgAAEgQAAA4A&#10;AAAAAAAAAQAgAAAAKQEAAGRycy9lMm9Eb2MueG1sUEsFBgAAAAAGAAYAWQEAAKwFAAAAAA==&#10;">
              <v:fill on="f" focussize="0,0"/>
              <v:stroke on="f"/>
              <v:imagedata o:title=""/>
              <o:lock v:ext="edit" aspectratio="f"/>
              <v:textbox inset="0mm,0mm,0mm,0mm">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2"/>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B6249D5"/>
    <w:multiLevelType w:val="singleLevel"/>
    <w:tmpl w:val="9B6249D5"/>
    <w:lvl w:ilvl="0" w:tentative="0">
      <w:start w:val="1"/>
      <w:numFmt w:val="chineseCounting"/>
      <w:suff w:val="nothing"/>
      <w:lvlText w:val="%1、"/>
      <w:lvlJc w:val="left"/>
      <w:rPr>
        <w:rFonts w:hint="eastAsia"/>
      </w:rPr>
    </w:lvl>
  </w:abstractNum>
  <w:abstractNum w:abstractNumId="3">
    <w:nsid w:val="A8F91F36"/>
    <w:multiLevelType w:val="singleLevel"/>
    <w:tmpl w:val="A8F91F36"/>
    <w:lvl w:ilvl="0" w:tentative="0">
      <w:start w:val="1"/>
      <w:numFmt w:val="decimal"/>
      <w:suff w:val="nothing"/>
      <w:lvlText w:val="%1、"/>
      <w:lvlJc w:val="left"/>
    </w:lvl>
  </w:abstractNum>
  <w:abstractNum w:abstractNumId="4">
    <w:nsid w:val="D6A8FD69"/>
    <w:multiLevelType w:val="singleLevel"/>
    <w:tmpl w:val="D6A8FD69"/>
    <w:lvl w:ilvl="0" w:tentative="0">
      <w:start w:val="7"/>
      <w:numFmt w:val="chineseCounting"/>
      <w:suff w:val="nothing"/>
      <w:lvlText w:val="%1、"/>
      <w:lvlJc w:val="left"/>
      <w:rPr>
        <w:rFonts w:hint="eastAsia"/>
      </w:r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303CA36A"/>
    <w:multiLevelType w:val="singleLevel"/>
    <w:tmpl w:val="303CA36A"/>
    <w:lvl w:ilvl="0" w:tentative="0">
      <w:start w:val="1"/>
      <w:numFmt w:val="decimal"/>
      <w:suff w:val="nothing"/>
      <w:lvlText w:val="%1、"/>
      <w:lvlJc w:val="left"/>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12"/>
  </w:num>
  <w:num w:numId="2">
    <w:abstractNumId w:val="0"/>
  </w:num>
  <w:num w:numId="3">
    <w:abstractNumId w:val="7"/>
  </w:num>
  <w:num w:numId="4">
    <w:abstractNumId w:val="11"/>
  </w:num>
  <w:num w:numId="5">
    <w:abstractNumId w:val="1"/>
  </w:num>
  <w:num w:numId="6">
    <w:abstractNumId w:val="8"/>
  </w:num>
  <w:num w:numId="7">
    <w:abstractNumId w:val="5"/>
  </w:num>
  <w:num w:numId="8">
    <w:abstractNumId w:val="2"/>
  </w:num>
  <w:num w:numId="9">
    <w:abstractNumId w:val="3"/>
  </w:num>
  <w:num w:numId="10">
    <w:abstractNumId w:val="9"/>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1B1E"/>
    <w:rsid w:val="08B6562F"/>
    <w:rsid w:val="0D792EC2"/>
    <w:rsid w:val="0D81592D"/>
    <w:rsid w:val="19EF2318"/>
    <w:rsid w:val="1E360353"/>
    <w:rsid w:val="23C21A0E"/>
    <w:rsid w:val="297E4D4C"/>
    <w:rsid w:val="2E7164C1"/>
    <w:rsid w:val="3B680882"/>
    <w:rsid w:val="3C875BD5"/>
    <w:rsid w:val="3FD66319"/>
    <w:rsid w:val="407C1AED"/>
    <w:rsid w:val="42181E5B"/>
    <w:rsid w:val="42F65BA4"/>
    <w:rsid w:val="486E372E"/>
    <w:rsid w:val="51B11685"/>
    <w:rsid w:val="522B7DE8"/>
    <w:rsid w:val="5549056E"/>
    <w:rsid w:val="5664557C"/>
    <w:rsid w:val="56BB3C75"/>
    <w:rsid w:val="56DE7067"/>
    <w:rsid w:val="57527C3E"/>
    <w:rsid w:val="5AE6318E"/>
    <w:rsid w:val="5C8E651C"/>
    <w:rsid w:val="5EAE4FD3"/>
    <w:rsid w:val="64CA3CB4"/>
    <w:rsid w:val="65EF7DA6"/>
    <w:rsid w:val="67923FAF"/>
    <w:rsid w:val="682E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8">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rPr>
      <w:rFonts w:hint="eastAsia" w:ascii="楷体_GB2312" w:eastAsia="楷体_GB2312"/>
      <w:sz w:val="32"/>
    </w:rPr>
  </w:style>
  <w:style w:type="paragraph" w:styleId="3">
    <w:name w:val="Body Text"/>
    <w:basedOn w:val="1"/>
    <w:next w:val="4"/>
    <w:qFormat/>
    <w:uiPriority w:val="0"/>
    <w:rPr>
      <w:rFonts w:ascii="Times New Roman" w:hAnsi="Times New Roman"/>
    </w:rPr>
  </w:style>
  <w:style w:type="paragraph" w:styleId="4">
    <w:name w:val="Body Text 2"/>
    <w:basedOn w:val="1"/>
    <w:next w:val="3"/>
    <w:unhideWhenUsed/>
    <w:qFormat/>
    <w:uiPriority w:val="0"/>
    <w:pPr>
      <w:spacing w:after="120" w:line="480" w:lineRule="auto"/>
    </w:pPr>
    <w:rPr>
      <w:rFonts w:ascii="Times New Roman" w:hAnsi="Times New Roman"/>
    </w:rPr>
  </w:style>
  <w:style w:type="paragraph" w:styleId="5">
    <w:name w:val="Body Text First Indent 2"/>
    <w:basedOn w:val="6"/>
    <w:qFormat/>
    <w:uiPriority w:val="0"/>
    <w:pPr>
      <w:ind w:firstLine="420"/>
    </w:pPr>
  </w:style>
  <w:style w:type="paragraph" w:styleId="6">
    <w:name w:val="Body Text Indent"/>
    <w:basedOn w:val="1"/>
    <w:next w:val="7"/>
    <w:qFormat/>
    <w:uiPriority w:val="0"/>
    <w:pPr>
      <w:ind w:firstLine="560" w:firstLineChars="200"/>
    </w:pPr>
    <w:rPr>
      <w:rFonts w:ascii="Times New Roman" w:hAnsi="Times New Roman"/>
    </w:rPr>
  </w:style>
  <w:style w:type="paragraph" w:styleId="7">
    <w:name w:val="envelope return"/>
    <w:basedOn w:val="1"/>
    <w:qFormat/>
    <w:uiPriority w:val="99"/>
    <w:pPr>
      <w:snapToGrid w:val="0"/>
    </w:pPr>
    <w:rPr>
      <w:rFonts w:ascii="Arial" w:hAnsi="Arial" w:cs="Arial"/>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unhideWhenUsed/>
    <w:qFormat/>
    <w:uiPriority w:val="0"/>
    <w:pPr>
      <w:spacing w:after="120"/>
    </w:pPr>
    <w:rPr>
      <w:rFonts w:ascii="Times New Roman" w:hAnsi="Times New Roman"/>
      <w:sz w:val="16"/>
      <w:szCs w:val="16"/>
    </w:rPr>
  </w:style>
  <w:style w:type="paragraph" w:styleId="11">
    <w:name w:val="Plain Text"/>
    <w:basedOn w:val="1"/>
    <w:qFormat/>
    <w:uiPriority w:val="0"/>
    <w:rPr>
      <w:rFonts w:hint="eastAsia" w:ascii="宋体" w:hAnsi="Courier New"/>
      <w:szCs w:val="21"/>
    </w:rPr>
  </w:style>
  <w:style w:type="paragraph" w:styleId="1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4">
    <w:name w:val="toc 1"/>
    <w:basedOn w:val="1"/>
    <w:next w:val="1"/>
    <w:qFormat/>
    <w:uiPriority w:val="0"/>
    <w:rPr>
      <w:rFonts w:ascii="Times New Roman" w:hAnsi="Times New Roman"/>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libri Light" w:hAnsi="Calibri Light" w:eastAsia="Calibri Light"/>
      <w:b/>
      <w:sz w:val="32"/>
      <w:szCs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Body Text First Indent1"/>
    <w:basedOn w:val="3"/>
    <w:qFormat/>
    <w:uiPriority w:val="0"/>
    <w:pPr>
      <w:ind w:firstLine="420" w:firstLineChars="100"/>
    </w:pPr>
  </w:style>
  <w:style w:type="paragraph" w:customStyle="1" w:styleId="21">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2">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23">
    <w:name w:val="表格文字"/>
    <w:basedOn w:val="1"/>
    <w:next w:val="3"/>
    <w:qFormat/>
    <w:uiPriority w:val="0"/>
    <w:pPr>
      <w:adjustRightInd w:val="0"/>
      <w:spacing w:line="420" w:lineRule="atLeast"/>
      <w:jc w:val="left"/>
      <w:textAlignment w:val="baseline"/>
    </w:pPr>
    <w:rPr>
      <w:kern w:val="0"/>
    </w:rPr>
  </w:style>
  <w:style w:type="paragraph" w:customStyle="1" w:styleId="24">
    <w:name w:val="p0"/>
    <w:basedOn w:val="1"/>
    <w:qFormat/>
    <w:uiPriority w:val="0"/>
    <w:pPr>
      <w:widowControl/>
    </w:pPr>
    <w:rPr>
      <w:rFonts w:ascii="Times New Roman" w:hAnsi="Times New Roman"/>
      <w:kern w:val="0"/>
      <w:szCs w:val="21"/>
    </w:rPr>
  </w:style>
  <w:style w:type="character" w:customStyle="1" w:styleId="25">
    <w:name w:val="NormalCharacter"/>
    <w:qFormat/>
    <w:uiPriority w:val="0"/>
    <w:rPr>
      <w:rFonts w:ascii="Book Antiqua" w:hAnsi="Book Antiqua" w:eastAsia="宋体" w:cs="Times New Roman"/>
      <w:kern w:val="2"/>
      <w:sz w:val="21"/>
      <w:szCs w:val="24"/>
      <w:lang w:val="en-US" w:eastAsia="zh-CN" w:bidi="ar-SA"/>
    </w:rPr>
  </w:style>
  <w:style w:type="paragraph" w:customStyle="1" w:styleId="26">
    <w:name w:val="BodyText1I"/>
    <w:basedOn w:val="27"/>
    <w:next w:val="29"/>
    <w:qFormat/>
    <w:uiPriority w:val="0"/>
    <w:pPr>
      <w:ind w:firstLine="420" w:firstLineChars="100"/>
    </w:pPr>
    <w:rPr>
      <w:rFonts w:ascii="楷体_GB2312"/>
      <w:sz w:val="32"/>
    </w:rPr>
  </w:style>
  <w:style w:type="paragraph" w:customStyle="1" w:styleId="27">
    <w:name w:val="BodyText"/>
    <w:basedOn w:val="1"/>
    <w:next w:val="28"/>
    <w:qFormat/>
    <w:uiPriority w:val="0"/>
    <w:pPr>
      <w:textAlignment w:val="baseline"/>
    </w:pPr>
    <w:rPr>
      <w:rFonts w:ascii="Calibri" w:hAnsi="Calibri" w:eastAsia="楷体_GB2312"/>
      <w:kern w:val="0"/>
      <w:sz w:val="28"/>
    </w:rPr>
  </w:style>
  <w:style w:type="paragraph" w:customStyle="1" w:styleId="28">
    <w:name w:val="BodyText2"/>
    <w:basedOn w:val="1"/>
    <w:next w:val="27"/>
    <w:qFormat/>
    <w:uiPriority w:val="0"/>
    <w:pPr>
      <w:spacing w:after="120" w:line="480" w:lineRule="auto"/>
      <w:textAlignment w:val="baseline"/>
    </w:pPr>
  </w:style>
  <w:style w:type="paragraph" w:customStyle="1" w:styleId="29">
    <w:name w:val="BodyText1I2"/>
    <w:basedOn w:val="30"/>
    <w:qFormat/>
    <w:uiPriority w:val="0"/>
    <w:pPr>
      <w:ind w:firstLine="420" w:firstLineChars="200"/>
    </w:pPr>
  </w:style>
  <w:style w:type="paragraph" w:customStyle="1" w:styleId="30">
    <w:name w:val="BodyTextIndent"/>
    <w:basedOn w:val="1"/>
    <w:qFormat/>
    <w:uiPriority w:val="0"/>
    <w:pPr>
      <w:spacing w:after="120"/>
      <w:ind w:left="420" w:leftChars="200"/>
      <w:textAlignment w:val="baseline"/>
    </w:pPr>
  </w:style>
  <w:style w:type="paragraph" w:customStyle="1" w:styleId="31">
    <w:name w:val="TOAHeading"/>
    <w:basedOn w:val="1"/>
    <w:next w:val="1"/>
    <w:qFormat/>
    <w:uiPriority w:val="0"/>
    <w:pPr>
      <w:spacing w:before="120"/>
      <w:textAlignment w:val="baseline"/>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2021-10-26T03:00:00Z</dcterms:created>
  <dc:creator>DELL</dc:creator>
  <cp:lastModifiedBy>DELL</cp:lastModifiedBy>
  <dcterms:modified xsi:type="dcterms:W3CDTF">2021-12-09T09:25:35Z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4232ED472E1C4CA09004CBEC284CE638</vt:lpwstr>
  </property>
</Properties>
</file>