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rPr>
          <w:rFonts w:asciiTheme="minorEastAsia" w:hAnsiTheme="minorEastAsia" w:eastAsiaTheme="minorEastAsia" w:cstheme="minorEastAsia"/>
        </w:rPr>
      </w:pPr>
      <w:bookmarkStart w:id="0" w:name="_Toc281574833"/>
    </w:p>
    <w:p>
      <w:pPr>
        <w:pStyle w:val="4"/>
        <w:rPr>
          <w:rFonts w:asciiTheme="minorEastAsia" w:hAnsiTheme="minorEastAsia" w:eastAsiaTheme="minorEastAsia" w:cstheme="minorEastAsia"/>
        </w:rPr>
      </w:pPr>
    </w:p>
    <w:p>
      <w:pPr>
        <w:spacing w:line="560" w:lineRule="exact"/>
        <w:ind w:right="-330" w:rightChars="-157"/>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博爱县人民医院康复医疗设备技术升级改造</w:t>
      </w:r>
    </w:p>
    <w:p>
      <w:pPr>
        <w:spacing w:line="560" w:lineRule="exact"/>
        <w:ind w:right="-330" w:rightChars="-157"/>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采购项目（二次）</w:t>
      </w:r>
    </w:p>
    <w:p>
      <w:pPr>
        <w:spacing w:line="360" w:lineRule="auto"/>
        <w:jc w:val="center"/>
        <w:rPr>
          <w:rFonts w:asciiTheme="minorEastAsia" w:hAnsiTheme="minorEastAsia" w:eastAsiaTheme="minorEastAsia" w:cstheme="minorEastAsia"/>
          <w:sz w:val="28"/>
        </w:rPr>
      </w:pPr>
    </w:p>
    <w:p>
      <w:pPr>
        <w:pStyle w:val="106"/>
        <w:ind w:firstLine="210"/>
        <w:rPr>
          <w:rFonts w:asciiTheme="minorEastAsia" w:hAnsiTheme="minorEastAsia" w:eastAsiaTheme="minorEastAsia" w:cstheme="minorEastAsia"/>
          <w:highlight w:val="yellow"/>
        </w:rPr>
      </w:pPr>
    </w:p>
    <w:p>
      <w:pPr>
        <w:spacing w:line="360" w:lineRule="auto"/>
        <w:jc w:val="center"/>
        <w:rPr>
          <w:rFonts w:asciiTheme="minorEastAsia" w:hAnsiTheme="minorEastAsia" w:eastAsiaTheme="minorEastAsia" w:cstheme="minorEastAsia"/>
          <w:b/>
          <w:sz w:val="84"/>
          <w:szCs w:val="84"/>
        </w:rPr>
      </w:pPr>
    </w:p>
    <w:p>
      <w:pPr>
        <w:pStyle w:val="12"/>
      </w:pPr>
      <w:r>
        <w:rPr>
          <w:rFonts w:hint="eastAsia"/>
        </w:rPr>
        <w:t xml:space="preserve"> </w:t>
      </w: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采购编号：</w:t>
      </w:r>
      <w:r>
        <w:rPr>
          <w:rFonts w:hint="eastAsia" w:asciiTheme="minorEastAsia" w:hAnsiTheme="minorEastAsia" w:eastAsiaTheme="minorEastAsia" w:cstheme="minorEastAsia"/>
          <w:b/>
          <w:bCs/>
          <w:sz w:val="36"/>
          <w:szCs w:val="36"/>
          <w:lang w:eastAsia="zh-CN"/>
        </w:rPr>
        <w:t>博政采购(2021)114</w:t>
      </w:r>
      <w:r>
        <w:rPr>
          <w:rFonts w:hint="eastAsia" w:asciiTheme="minorEastAsia" w:hAnsiTheme="minorEastAsia" w:eastAsiaTheme="minorEastAsia" w:cstheme="minorEastAsia"/>
          <w:b/>
          <w:bCs/>
          <w:sz w:val="36"/>
          <w:szCs w:val="36"/>
        </w:rPr>
        <w:t>号</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博爱县人民医院</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代理机构：博爱县城市建设项目管理有限公司</w:t>
      </w:r>
    </w:p>
    <w:p>
      <w:pPr>
        <w:ind w:firstLine="1928" w:firstLineChars="600"/>
        <w:rPr>
          <w:rFonts w:asciiTheme="minorEastAsia" w:hAnsiTheme="minorEastAsia" w:eastAsiaTheme="minorEastAsia" w:cstheme="minorEastAsia"/>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期：2021年</w:t>
      </w:r>
      <w:r>
        <w:rPr>
          <w:rFonts w:hint="eastAsia" w:asciiTheme="minorEastAsia" w:hAnsiTheme="minorEastAsia" w:eastAsiaTheme="minorEastAsia" w:cstheme="minorEastAsia"/>
          <w:b/>
          <w:bCs/>
          <w:sz w:val="32"/>
          <w:szCs w:val="32"/>
          <w:lang w:val="en-US" w:eastAsia="zh-CN"/>
        </w:rPr>
        <w:t>12</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     录</w:t>
      </w:r>
    </w:p>
    <w:p>
      <w:pPr>
        <w:pStyle w:val="30"/>
        <w:tabs>
          <w:tab w:val="right" w:leader="dot" w:pos="9460"/>
        </w:tabs>
        <w:spacing w:line="520" w:lineRule="exact"/>
        <w:rPr>
          <w:b/>
          <w:bCs/>
        </w:rPr>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"_Toc9243" </w:instrText>
      </w:r>
      <w:r>
        <w:fldChar w:fldCharType="separate"/>
      </w:r>
      <w:r>
        <w:rPr>
          <w:rFonts w:hint="eastAsia" w:asciiTheme="minorEastAsia" w:hAnsiTheme="minorEastAsia" w:eastAsiaTheme="minorEastAsia" w:cstheme="minorEastAsia"/>
          <w:b/>
          <w:bCs/>
        </w:rPr>
        <w:t>第一章   招标公告</w:t>
      </w:r>
      <w:r>
        <w:rPr>
          <w:b/>
          <w:bCs/>
        </w:rPr>
        <w:tab/>
      </w:r>
      <w:r>
        <w:rPr>
          <w:b/>
          <w:bCs/>
        </w:rPr>
        <w:fldChar w:fldCharType="begin"/>
      </w:r>
      <w:r>
        <w:rPr>
          <w:b/>
          <w:bCs/>
        </w:rPr>
        <w:instrText xml:space="preserve"> PAGEREF _Toc9243 </w:instrText>
      </w:r>
      <w:r>
        <w:rPr>
          <w:b/>
          <w:bCs/>
        </w:rPr>
        <w:fldChar w:fldCharType="separate"/>
      </w:r>
      <w:r>
        <w:rPr>
          <w:b/>
          <w:bCs/>
        </w:rPr>
        <w:t>- 3 -</w:t>
      </w:r>
      <w:r>
        <w:rPr>
          <w:b/>
          <w:bCs/>
        </w:rPr>
        <w:fldChar w:fldCharType="end"/>
      </w:r>
      <w:r>
        <w:rPr>
          <w:b/>
          <w:bCs/>
        </w:rPr>
        <w:fldChar w:fldCharType="end"/>
      </w:r>
    </w:p>
    <w:p>
      <w:pPr>
        <w:pStyle w:val="30"/>
        <w:tabs>
          <w:tab w:val="right" w:leader="dot" w:pos="9460"/>
        </w:tabs>
        <w:spacing w:line="520" w:lineRule="exact"/>
        <w:rPr>
          <w:b/>
          <w:bCs/>
        </w:rPr>
      </w:pPr>
      <w:r>
        <w:fldChar w:fldCharType="begin"/>
      </w:r>
      <w:r>
        <w:instrText xml:space="preserve"> HYPERLINK \l "_Toc25354" </w:instrText>
      </w:r>
      <w:r>
        <w:fldChar w:fldCharType="separate"/>
      </w:r>
      <w:r>
        <w:rPr>
          <w:rFonts w:hint="eastAsia" w:asciiTheme="minorEastAsia" w:hAnsiTheme="minorEastAsia" w:eastAsiaTheme="minorEastAsia" w:cstheme="minorEastAsia"/>
          <w:b/>
          <w:bCs/>
          <w:szCs w:val="32"/>
        </w:rPr>
        <w:t>第二章  供应商须知</w:t>
      </w:r>
      <w:r>
        <w:rPr>
          <w:b/>
          <w:bCs/>
        </w:rPr>
        <w:tab/>
      </w:r>
      <w:r>
        <w:rPr>
          <w:b/>
          <w:bCs/>
        </w:rPr>
        <w:fldChar w:fldCharType="begin"/>
      </w:r>
      <w:r>
        <w:rPr>
          <w:b/>
          <w:bCs/>
        </w:rPr>
        <w:instrText xml:space="preserve"> PAGEREF _Toc25354 </w:instrText>
      </w:r>
      <w:r>
        <w:rPr>
          <w:b/>
          <w:bCs/>
        </w:rPr>
        <w:fldChar w:fldCharType="separate"/>
      </w:r>
      <w:r>
        <w:rPr>
          <w:b/>
          <w:bCs/>
        </w:rPr>
        <w:t>- 6 -</w:t>
      </w:r>
      <w:r>
        <w:rPr>
          <w:b/>
          <w:bCs/>
        </w:rPr>
        <w:fldChar w:fldCharType="end"/>
      </w:r>
      <w:r>
        <w:rPr>
          <w:b/>
          <w:bCs/>
        </w:rPr>
        <w:fldChar w:fldCharType="end"/>
      </w:r>
    </w:p>
    <w:p>
      <w:pPr>
        <w:pStyle w:val="30"/>
        <w:tabs>
          <w:tab w:val="right" w:leader="dot" w:pos="9460"/>
        </w:tabs>
        <w:spacing w:line="520" w:lineRule="exact"/>
        <w:rPr>
          <w:b/>
          <w:bCs/>
        </w:rPr>
      </w:pPr>
      <w:r>
        <w:fldChar w:fldCharType="begin"/>
      </w:r>
      <w:r>
        <w:instrText xml:space="preserve"> HYPERLINK \l "_Toc1253" </w:instrText>
      </w:r>
      <w:r>
        <w:fldChar w:fldCharType="separate"/>
      </w:r>
      <w:r>
        <w:rPr>
          <w:rFonts w:asciiTheme="minorEastAsia" w:hAnsiTheme="minorEastAsia" w:eastAsiaTheme="minorEastAsia" w:cstheme="minorEastAsia"/>
          <w:b/>
          <w:bCs/>
          <w:szCs w:val="36"/>
        </w:rPr>
        <w:t xml:space="preserve">第三章 </w:t>
      </w:r>
      <w:r>
        <w:rPr>
          <w:rFonts w:hint="eastAsia" w:asciiTheme="minorEastAsia" w:hAnsiTheme="minorEastAsia" w:eastAsiaTheme="minorEastAsia" w:cstheme="minorEastAsia"/>
          <w:b/>
          <w:bCs/>
          <w:szCs w:val="36"/>
        </w:rPr>
        <w:t>评标办法（综合评分法）</w:t>
      </w:r>
      <w:r>
        <w:rPr>
          <w:b/>
          <w:bCs/>
        </w:rPr>
        <w:tab/>
      </w:r>
      <w:r>
        <w:rPr>
          <w:b/>
          <w:bCs/>
        </w:rPr>
        <w:fldChar w:fldCharType="begin"/>
      </w:r>
      <w:r>
        <w:rPr>
          <w:b/>
          <w:bCs/>
        </w:rPr>
        <w:instrText xml:space="preserve"> PAGEREF _Toc1253 </w:instrText>
      </w:r>
      <w:r>
        <w:rPr>
          <w:b/>
          <w:bCs/>
        </w:rPr>
        <w:fldChar w:fldCharType="separate"/>
      </w:r>
      <w:r>
        <w:rPr>
          <w:b/>
          <w:bCs/>
        </w:rPr>
        <w:t>- 18 -</w:t>
      </w:r>
      <w:r>
        <w:rPr>
          <w:b/>
          <w:bCs/>
        </w:rPr>
        <w:fldChar w:fldCharType="end"/>
      </w:r>
      <w:r>
        <w:rPr>
          <w:b/>
          <w:bCs/>
        </w:rPr>
        <w:fldChar w:fldCharType="end"/>
      </w:r>
    </w:p>
    <w:p>
      <w:pPr>
        <w:pStyle w:val="30"/>
        <w:tabs>
          <w:tab w:val="right" w:leader="dot" w:pos="9460"/>
        </w:tabs>
        <w:spacing w:line="520" w:lineRule="exact"/>
        <w:rPr>
          <w:b/>
          <w:bCs/>
        </w:rPr>
      </w:pPr>
      <w:r>
        <w:fldChar w:fldCharType="begin"/>
      </w:r>
      <w:r>
        <w:instrText xml:space="preserve"> HYPERLINK \l "_Toc955" </w:instrText>
      </w:r>
      <w:r>
        <w:fldChar w:fldCharType="separate"/>
      </w:r>
      <w:r>
        <w:rPr>
          <w:rFonts w:hint="eastAsia" w:asciiTheme="minorEastAsia" w:hAnsiTheme="minorEastAsia" w:eastAsiaTheme="minorEastAsia" w:cstheme="minorEastAsia"/>
          <w:b/>
          <w:bCs/>
          <w:szCs w:val="36"/>
        </w:rPr>
        <w:t>第四章  合同条款及格式</w:t>
      </w:r>
      <w:r>
        <w:rPr>
          <w:b/>
          <w:bCs/>
        </w:rPr>
        <w:tab/>
      </w:r>
      <w:r>
        <w:rPr>
          <w:b/>
          <w:bCs/>
        </w:rPr>
        <w:fldChar w:fldCharType="begin"/>
      </w:r>
      <w:r>
        <w:rPr>
          <w:b/>
          <w:bCs/>
        </w:rPr>
        <w:instrText xml:space="preserve"> PAGEREF _Toc955 </w:instrText>
      </w:r>
      <w:r>
        <w:rPr>
          <w:b/>
          <w:bCs/>
        </w:rPr>
        <w:fldChar w:fldCharType="separate"/>
      </w:r>
      <w:r>
        <w:rPr>
          <w:b/>
          <w:bCs/>
        </w:rPr>
        <w:t>- 23 -</w:t>
      </w:r>
      <w:r>
        <w:rPr>
          <w:b/>
          <w:bCs/>
        </w:rPr>
        <w:fldChar w:fldCharType="end"/>
      </w:r>
      <w:r>
        <w:rPr>
          <w:b/>
          <w:bCs/>
        </w:rPr>
        <w:fldChar w:fldCharType="end"/>
      </w:r>
    </w:p>
    <w:p>
      <w:pPr>
        <w:pStyle w:val="30"/>
        <w:tabs>
          <w:tab w:val="right" w:leader="dot" w:pos="9460"/>
        </w:tabs>
        <w:spacing w:line="520" w:lineRule="exact"/>
        <w:rPr>
          <w:rFonts w:asciiTheme="minorEastAsia" w:hAnsiTheme="minorEastAsia" w:eastAsiaTheme="minorEastAsia" w:cstheme="minorEastAsia"/>
          <w:b/>
          <w:bCs/>
          <w:caps/>
          <w:szCs w:val="21"/>
          <w:lang w:val="zh-CN"/>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第五章  采购内容及要求</w:t>
      </w:r>
      <w:r>
        <w:rPr>
          <w:b/>
          <w:bCs/>
        </w:rPr>
        <w:tab/>
      </w:r>
      <w:r>
        <w:rPr>
          <w:b/>
          <w:bCs/>
        </w:rPr>
        <w:fldChar w:fldCharType="begin"/>
      </w:r>
      <w:r>
        <w:rPr>
          <w:b/>
          <w:bCs/>
        </w:rPr>
        <w:instrText xml:space="preserve"> PAGEREF _Toc26235 </w:instrText>
      </w:r>
      <w:r>
        <w:rPr>
          <w:b/>
          <w:bCs/>
        </w:rPr>
        <w:fldChar w:fldCharType="separate"/>
      </w:r>
      <w:r>
        <w:rPr>
          <w:b/>
          <w:bCs/>
        </w:rPr>
        <w:t>- 26 -</w:t>
      </w:r>
      <w:r>
        <w:rPr>
          <w:b/>
          <w:bCs/>
        </w:rPr>
        <w:fldChar w:fldCharType="end"/>
      </w:r>
      <w:r>
        <w:rPr>
          <w:b/>
          <w:bCs/>
        </w:rPr>
        <w:fldChar w:fldCharType="end"/>
      </w:r>
    </w:p>
    <w:p>
      <w:pPr>
        <w:pStyle w:val="30"/>
        <w:tabs>
          <w:tab w:val="right" w:leader="dot" w:pos="9460"/>
        </w:tabs>
        <w:spacing w:line="520" w:lineRule="exact"/>
        <w:rPr>
          <w:b/>
          <w:bCs/>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第六章  投标文件格式</w:t>
      </w:r>
      <w:r>
        <w:rPr>
          <w:b/>
          <w:bCs/>
        </w:rPr>
        <w:tab/>
      </w:r>
      <w:r>
        <w:rPr>
          <w:b/>
          <w:bCs/>
        </w:rPr>
        <w:fldChar w:fldCharType="begin"/>
      </w:r>
      <w:r>
        <w:rPr>
          <w:b/>
          <w:bCs/>
        </w:rPr>
        <w:instrText xml:space="preserve"> PAGEREF _Toc26235 </w:instrText>
      </w:r>
      <w:r>
        <w:rPr>
          <w:b/>
          <w:bCs/>
        </w:rPr>
        <w:fldChar w:fldCharType="separate"/>
      </w:r>
      <w:r>
        <w:rPr>
          <w:b/>
          <w:bCs/>
        </w:rPr>
        <w:t>- 26 -</w:t>
      </w:r>
      <w:r>
        <w:rPr>
          <w:b/>
          <w:bCs/>
        </w:rPr>
        <w:fldChar w:fldCharType="end"/>
      </w:r>
      <w:r>
        <w:rPr>
          <w:b/>
          <w:bCs/>
        </w:rPr>
        <w:fldChar w:fldCharType="end"/>
      </w:r>
    </w:p>
    <w:p>
      <w:pPr>
        <w:spacing w:line="520" w:lineRule="exact"/>
        <w:rPr>
          <w:b/>
          <w:bCs/>
        </w:rPr>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
          <w:bCs/>
          <w:caps/>
          <w:szCs w:val="21"/>
          <w:lang w:val="zh-CN"/>
        </w:rPr>
        <w:fldChar w:fldCharType="end"/>
      </w:r>
    </w:p>
    <w:p>
      <w:pPr>
        <w:pStyle w:val="38"/>
        <w:spacing w:line="360" w:lineRule="auto"/>
        <w:ind w:right="-63" w:rightChars="-30"/>
        <w:rPr>
          <w:rFonts w:asciiTheme="minorEastAsia" w:hAnsiTheme="minorEastAsia" w:eastAsiaTheme="minorEastAsia" w:cstheme="minorEastAsia"/>
          <w:bCs/>
        </w:rPr>
      </w:pPr>
      <w:bookmarkStart w:id="1" w:name="_Toc9243"/>
    </w:p>
    <w:p>
      <w:pPr>
        <w:pStyle w:val="38"/>
        <w:spacing w:line="360" w:lineRule="auto"/>
        <w:ind w:right="-63" w:rightChars="-30"/>
        <w:rPr>
          <w:rFonts w:asciiTheme="minorEastAsia" w:hAnsiTheme="minorEastAsia" w:eastAsiaTheme="minorEastAsia" w:cstheme="minorEastAsia"/>
          <w:bCs/>
        </w:rPr>
      </w:pPr>
    </w:p>
    <w:p>
      <w:pPr>
        <w:pStyle w:val="38"/>
        <w:spacing w:line="360" w:lineRule="auto"/>
        <w:ind w:right="-63" w:rightChars="-30"/>
        <w:rPr>
          <w:rFonts w:asciiTheme="minorEastAsia" w:hAnsiTheme="minorEastAsia" w:eastAsiaTheme="minorEastAsia" w:cstheme="minorEastAsia"/>
          <w:bCs/>
        </w:rPr>
      </w:pPr>
    </w:p>
    <w:p>
      <w:pPr>
        <w:pStyle w:val="38"/>
        <w:spacing w:line="360" w:lineRule="auto"/>
        <w:ind w:right="-63" w:rightChars="-30"/>
        <w:rPr>
          <w:rFonts w:asciiTheme="minorEastAsia" w:hAnsiTheme="minorEastAsia" w:eastAsiaTheme="minorEastAsia" w:cstheme="minorEastAsia"/>
          <w:bCs/>
        </w:rPr>
      </w:pPr>
    </w:p>
    <w:p>
      <w:pPr>
        <w:pStyle w:val="38"/>
        <w:spacing w:line="360" w:lineRule="auto"/>
        <w:ind w:right="-63" w:rightChars="-30"/>
        <w:rPr>
          <w:rFonts w:asciiTheme="minorEastAsia" w:hAnsiTheme="minorEastAsia" w:eastAsiaTheme="minorEastAsia" w:cstheme="minorEastAsia"/>
          <w:bCs/>
        </w:rPr>
      </w:pPr>
    </w:p>
    <w:p>
      <w:pPr>
        <w:pStyle w:val="38"/>
        <w:spacing w:line="360" w:lineRule="auto"/>
        <w:ind w:right="-63" w:rightChars="-30"/>
        <w:rPr>
          <w:rFonts w:asciiTheme="minorEastAsia" w:hAnsiTheme="minorEastAsia" w:eastAsiaTheme="minorEastAsia" w:cstheme="minorEastAsia"/>
          <w:bCs/>
        </w:rPr>
      </w:pPr>
    </w:p>
    <w:p>
      <w:pPr>
        <w:pStyle w:val="38"/>
        <w:spacing w:line="360" w:lineRule="auto"/>
        <w:ind w:right="-63" w:rightChars="-30"/>
        <w:rPr>
          <w:rFonts w:asciiTheme="minorEastAsia" w:hAnsiTheme="minorEastAsia" w:eastAsiaTheme="minorEastAsia" w:cstheme="minorEastAsia"/>
          <w:bCs/>
        </w:rPr>
      </w:pPr>
    </w:p>
    <w:p>
      <w:pPr>
        <w:pStyle w:val="38"/>
        <w:spacing w:line="360" w:lineRule="auto"/>
        <w:ind w:right="-63" w:rightChars="-30"/>
        <w:rPr>
          <w:rFonts w:asciiTheme="minorEastAsia" w:hAnsiTheme="minorEastAsia" w:eastAsiaTheme="minorEastAsia" w:cstheme="minorEastAsia"/>
          <w:bCs/>
        </w:rPr>
      </w:pPr>
    </w:p>
    <w:p>
      <w:pPr>
        <w:pStyle w:val="38"/>
        <w:spacing w:line="360" w:lineRule="auto"/>
        <w:ind w:right="-63" w:rightChars="-30"/>
        <w:jc w:val="both"/>
        <w:rPr>
          <w:rFonts w:asciiTheme="minorEastAsia" w:hAnsiTheme="minorEastAsia" w:eastAsiaTheme="minorEastAsia" w:cstheme="minorEastAsia"/>
          <w:bCs/>
        </w:rPr>
      </w:pPr>
    </w:p>
    <w:p>
      <w:pPr>
        <w:pStyle w:val="38"/>
        <w:numPr>
          <w:ilvl w:val="0"/>
          <w:numId w:val="2"/>
        </w:numPr>
        <w:spacing w:line="360" w:lineRule="auto"/>
        <w:ind w:right="-63" w:rightChars="-30"/>
      </w:pPr>
      <w:r>
        <w:rPr>
          <w:rFonts w:hint="eastAsia" w:asciiTheme="minorEastAsia" w:hAnsiTheme="minorEastAsia" w:eastAsiaTheme="minorEastAsia" w:cstheme="minorEastAsia"/>
          <w:bCs/>
        </w:rPr>
        <w:t xml:space="preserve">  招标公告</w:t>
      </w:r>
      <w:bookmarkEnd w:id="1"/>
    </w:p>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博爱县人民医院康复医疗设备技术升级改造采购项目（二次）</w:t>
      </w:r>
    </w:p>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招标公告（不见面开标）</w:t>
      </w:r>
    </w:p>
    <w:tbl>
      <w:tblPr>
        <w:tblStyle w:val="40"/>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5"/>
              <w:spacing w:line="440" w:lineRule="exact"/>
              <w:ind w:firstLine="480"/>
              <w:rPr>
                <w:rFonts w:ascii="宋体" w:hAnsi="宋体" w:cs="宋体"/>
                <w:color w:val="auto"/>
                <w:sz w:val="24"/>
              </w:rPr>
            </w:pPr>
            <w:bookmarkStart w:id="2" w:name="_Toc25354"/>
            <w:r>
              <w:rPr>
                <w:rFonts w:hint="eastAsia" w:ascii="宋体" w:hAnsi="宋体" w:cs="宋体"/>
                <w:color w:val="auto"/>
                <w:sz w:val="24"/>
              </w:rPr>
              <w:t>项目概况：</w:t>
            </w:r>
            <w:r>
              <w:rPr>
                <w:rFonts w:hint="eastAsia" w:ascii="宋体" w:hAnsi="宋体" w:cs="宋体"/>
                <w:color w:val="auto"/>
                <w:sz w:val="24"/>
                <w:lang w:eastAsia="zh-CN"/>
              </w:rPr>
              <w:t>博爱县人民医院康复医疗设备技术升级改造采购项目（二次）</w:t>
            </w:r>
            <w:r>
              <w:rPr>
                <w:rFonts w:hint="eastAsia" w:ascii="宋体" w:hAnsi="宋体" w:cs="宋体"/>
                <w:color w:val="auto"/>
                <w:sz w:val="24"/>
              </w:rPr>
              <w:t>的潜在供应商应在焦作市公共资源交易中心网站获取采购文件，并于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2</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日上午</w:t>
            </w:r>
            <w:r>
              <w:rPr>
                <w:rFonts w:hint="eastAsia" w:ascii="宋体" w:hAnsi="宋体" w:cs="宋体"/>
                <w:color w:val="auto"/>
                <w:sz w:val="24"/>
                <w:u w:val="single"/>
                <w:lang w:val="en-US" w:eastAsia="zh-CN"/>
              </w:rPr>
              <w:t>9</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00</w:t>
            </w:r>
            <w:r>
              <w:rPr>
                <w:rFonts w:hint="eastAsia" w:ascii="宋体" w:hAnsi="宋体" w:cs="宋体"/>
                <w:color w:val="auto"/>
                <w:sz w:val="24"/>
                <w:u w:val="single"/>
              </w:rPr>
              <w:t>分（北京时间）</w:t>
            </w:r>
            <w:r>
              <w:rPr>
                <w:rFonts w:hint="eastAsia" w:ascii="宋体" w:hAnsi="宋体" w:cs="宋体"/>
                <w:color w:val="auto"/>
                <w:sz w:val="24"/>
              </w:rPr>
              <w:t>前提交响应文件。</w:t>
            </w:r>
          </w:p>
        </w:tc>
      </w:tr>
    </w:tbl>
    <w:p>
      <w:pPr>
        <w:pStyle w:val="113"/>
        <w:spacing w:line="440" w:lineRule="exact"/>
        <w:ind w:left="0" w:firstLine="0"/>
        <w:rPr>
          <w:b/>
          <w:bCs/>
          <w:color w:val="auto"/>
          <w:sz w:val="24"/>
          <w:lang w:eastAsia="zh-CN"/>
        </w:rPr>
      </w:pPr>
      <w:r>
        <w:rPr>
          <w:rFonts w:hint="eastAsia"/>
          <w:b/>
          <w:bCs/>
          <w:color w:val="auto"/>
          <w:sz w:val="24"/>
          <w:lang w:eastAsia="zh-CN"/>
        </w:rPr>
        <w:t>一、项目基本情况</w:t>
      </w:r>
    </w:p>
    <w:p>
      <w:pPr>
        <w:pStyle w:val="113"/>
        <w:spacing w:line="440" w:lineRule="exact"/>
        <w:ind w:left="0" w:firstLine="480" w:firstLineChars="200"/>
        <w:rPr>
          <w:color w:val="auto"/>
          <w:sz w:val="24"/>
          <w:lang w:eastAsia="zh-CN"/>
        </w:rPr>
      </w:pPr>
      <w:r>
        <w:rPr>
          <w:rFonts w:hint="eastAsia"/>
          <w:color w:val="auto"/>
          <w:sz w:val="24"/>
          <w:lang w:eastAsia="zh-CN"/>
        </w:rPr>
        <w:t>项目编号：博政采购(2021)114号</w:t>
      </w:r>
    </w:p>
    <w:p>
      <w:pPr>
        <w:pStyle w:val="113"/>
        <w:spacing w:line="440" w:lineRule="exact"/>
        <w:ind w:left="0" w:firstLine="480" w:firstLineChars="200"/>
        <w:rPr>
          <w:color w:val="auto"/>
          <w:sz w:val="24"/>
          <w:lang w:eastAsia="zh-CN"/>
        </w:rPr>
      </w:pPr>
      <w:r>
        <w:rPr>
          <w:rFonts w:hint="eastAsia"/>
          <w:color w:val="auto"/>
          <w:sz w:val="24"/>
          <w:lang w:eastAsia="zh-CN"/>
        </w:rPr>
        <w:t>项目名称：博爱县人民医院康复医疗设备技术升级改造采购项目（二次）</w:t>
      </w:r>
    </w:p>
    <w:p>
      <w:pPr>
        <w:pStyle w:val="113"/>
        <w:spacing w:line="440" w:lineRule="exact"/>
        <w:ind w:left="0" w:firstLine="480" w:firstLineChars="200"/>
        <w:rPr>
          <w:color w:val="auto"/>
          <w:sz w:val="24"/>
          <w:lang w:eastAsia="zh-CN"/>
        </w:rPr>
      </w:pPr>
      <w:r>
        <w:rPr>
          <w:rFonts w:hint="eastAsia"/>
          <w:color w:val="auto"/>
          <w:sz w:val="24"/>
          <w:lang w:eastAsia="zh-CN"/>
        </w:rPr>
        <w:t>采购方式：公开招标</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预算金额：</w:t>
      </w:r>
      <w:r>
        <w:rPr>
          <w:rFonts w:hint="eastAsia" w:ascii="宋体" w:hAnsi="宋体" w:cs="宋体"/>
          <w:color w:val="auto"/>
          <w:kern w:val="0"/>
          <w:sz w:val="24"/>
          <w:lang w:eastAsia="zh-CN"/>
        </w:rPr>
        <w:t>3496980</w:t>
      </w:r>
      <w:r>
        <w:rPr>
          <w:rFonts w:hint="eastAsia" w:ascii="宋体" w:hAnsi="宋体" w:cs="宋体"/>
          <w:color w:val="auto"/>
          <w:kern w:val="0"/>
          <w:sz w:val="24"/>
        </w:rPr>
        <w:t>元</w:t>
      </w:r>
    </w:p>
    <w:p>
      <w:pPr>
        <w:widowControl/>
        <w:spacing w:line="440" w:lineRule="exact"/>
        <w:ind w:firstLine="480" w:firstLineChars="200"/>
        <w:jc w:val="left"/>
        <w:rPr>
          <w:rFonts w:asciiTheme="minorEastAsia" w:hAnsiTheme="minorEastAsia" w:cstheme="minorEastAsia"/>
          <w:color w:val="auto"/>
          <w:kern w:val="0"/>
          <w:sz w:val="24"/>
        </w:rPr>
      </w:pPr>
      <w:r>
        <w:rPr>
          <w:rFonts w:hint="eastAsia" w:ascii="宋体" w:hAnsi="宋体" w:cs="宋体"/>
          <w:color w:val="auto"/>
          <w:kern w:val="0"/>
          <w:sz w:val="24"/>
        </w:rPr>
        <w:t>采购内容：采购</w:t>
      </w:r>
      <w:r>
        <w:rPr>
          <w:rFonts w:hint="eastAsia" w:ascii="宋体" w:hAnsi="宋体" w:cs="宋体"/>
          <w:color w:val="auto"/>
          <w:kern w:val="0"/>
          <w:sz w:val="24"/>
          <w:lang w:eastAsia="zh-CN"/>
        </w:rPr>
        <w:t>认知能力测试训练仪、儿童认知能力测试与训练仪、脑电仿生电刺激仪、体外冲击波治疗</w:t>
      </w:r>
      <w:r>
        <w:rPr>
          <w:rFonts w:hint="eastAsia" w:ascii="宋体" w:hAnsi="宋体" w:cs="宋体"/>
          <w:color w:val="auto"/>
          <w:kern w:val="0"/>
          <w:sz w:val="24"/>
          <w:highlight w:val="none"/>
          <w:lang w:eastAsia="zh-CN"/>
        </w:rPr>
        <w:t>仪等</w:t>
      </w:r>
      <w:r>
        <w:rPr>
          <w:rFonts w:hint="eastAsia"/>
          <w:color w:val="auto"/>
          <w:sz w:val="24"/>
          <w:highlight w:val="none"/>
          <w:lang w:eastAsia="zh-CN"/>
        </w:rPr>
        <w:t>康复医疗设备</w:t>
      </w:r>
      <w:r>
        <w:rPr>
          <w:rFonts w:hint="eastAsia" w:ascii="宋体" w:hAnsi="宋体" w:cs="宋体"/>
          <w:color w:val="auto"/>
          <w:kern w:val="0"/>
          <w:sz w:val="24"/>
          <w:highlight w:val="none"/>
          <w:lang w:eastAsia="zh-CN"/>
        </w:rPr>
        <w:t>及技术升级改造</w:t>
      </w:r>
      <w:r>
        <w:rPr>
          <w:rFonts w:hint="eastAsia" w:ascii="宋体" w:hAnsi="宋体" w:cs="宋体"/>
          <w:color w:val="auto"/>
          <w:kern w:val="0"/>
          <w:sz w:val="24"/>
        </w:rPr>
        <w:t>（详见招标文件）</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供货及安装期：</w:t>
      </w:r>
      <w:r>
        <w:rPr>
          <w:rFonts w:hint="eastAsia" w:ascii="宋体" w:hAnsi="宋体" w:cs="宋体"/>
          <w:color w:val="auto"/>
          <w:kern w:val="0"/>
          <w:sz w:val="24"/>
          <w:lang w:val="en-US" w:eastAsia="zh-CN"/>
        </w:rPr>
        <w:t>40</w:t>
      </w:r>
      <w:r>
        <w:rPr>
          <w:rFonts w:hint="eastAsia" w:ascii="宋体" w:hAnsi="宋体" w:cs="宋体"/>
          <w:color w:val="auto"/>
          <w:kern w:val="0"/>
          <w:sz w:val="24"/>
        </w:rPr>
        <w:t>日历天</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质量标准：合格</w:t>
      </w:r>
    </w:p>
    <w:p>
      <w:pPr>
        <w:adjustRightInd w:val="0"/>
        <w:snapToGrid w:val="0"/>
        <w:spacing w:line="440" w:lineRule="exact"/>
        <w:rPr>
          <w:rFonts w:ascii="宋体" w:hAnsi="宋体" w:cs="宋体"/>
          <w:color w:val="auto"/>
          <w:kern w:val="0"/>
          <w:sz w:val="24"/>
        </w:rPr>
      </w:pPr>
      <w:r>
        <w:rPr>
          <w:rFonts w:hint="eastAsia" w:ascii="宋体" w:hAnsi="宋体" w:cs="宋体"/>
          <w:b/>
          <w:bCs/>
          <w:color w:val="auto"/>
          <w:kern w:val="0"/>
          <w:sz w:val="24"/>
        </w:rPr>
        <w:t>二、申请人资格要求：</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1、符合《中华人民共和国政府采购法》第二十二条之规定；</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3、本项目的特定资格要求：</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3.3本项目不接受联合体投标；</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3.4资格审查方式：资格后审。</w:t>
      </w:r>
    </w:p>
    <w:p>
      <w:pPr>
        <w:widowControl/>
        <w:spacing w:line="440" w:lineRule="exact"/>
        <w:jc w:val="left"/>
        <w:rPr>
          <w:rFonts w:ascii="宋体" w:hAnsi="宋体" w:cs="宋体"/>
          <w:b/>
          <w:bCs/>
          <w:color w:val="auto"/>
          <w:kern w:val="0"/>
          <w:sz w:val="24"/>
        </w:rPr>
      </w:pPr>
      <w:r>
        <w:rPr>
          <w:rFonts w:hint="eastAsia" w:ascii="宋体" w:hAnsi="宋体" w:cs="宋体"/>
          <w:b/>
          <w:bCs/>
          <w:color w:val="auto"/>
          <w:kern w:val="0"/>
          <w:sz w:val="24"/>
        </w:rPr>
        <w:t>三、获取采购文件</w:t>
      </w:r>
    </w:p>
    <w:p>
      <w:pPr>
        <w:pStyle w:val="37"/>
        <w:shd w:val="clear" w:color="auto" w:fill="FFFFFF"/>
        <w:autoSpaceDE w:val="0"/>
        <w:spacing w:before="0" w:beforeAutospacing="0" w:after="0" w:afterAutospacing="0" w:line="440" w:lineRule="atLeast"/>
        <w:ind w:firstLine="480" w:firstLineChars="200"/>
        <w:rPr>
          <w:color w:val="auto"/>
        </w:rPr>
      </w:pPr>
      <w:r>
        <w:rPr>
          <w:rFonts w:hint="eastAsia"/>
          <w:color w:val="auto"/>
        </w:rPr>
        <w:t>1.时间：2021年</w:t>
      </w:r>
      <w:r>
        <w:rPr>
          <w:rFonts w:hint="eastAsia"/>
          <w:color w:val="auto"/>
          <w:lang w:val="en-US" w:eastAsia="zh-CN"/>
        </w:rPr>
        <w:t>12</w:t>
      </w:r>
      <w:r>
        <w:rPr>
          <w:rFonts w:hint="eastAsia"/>
          <w:color w:val="auto"/>
        </w:rPr>
        <w:t>月</w:t>
      </w:r>
      <w:r>
        <w:rPr>
          <w:rFonts w:hint="eastAsia"/>
          <w:color w:val="auto"/>
          <w:lang w:val="en-US" w:eastAsia="zh-CN"/>
        </w:rPr>
        <w:t>22</w:t>
      </w:r>
      <w:r>
        <w:rPr>
          <w:rFonts w:hint="eastAsia"/>
          <w:color w:val="auto"/>
        </w:rPr>
        <w:t>日至2021年</w:t>
      </w:r>
      <w:r>
        <w:rPr>
          <w:rFonts w:hint="eastAsia"/>
          <w:color w:val="auto"/>
          <w:lang w:val="en-US" w:eastAsia="zh-CN"/>
        </w:rPr>
        <w:t>12</w:t>
      </w:r>
      <w:r>
        <w:rPr>
          <w:rFonts w:hint="eastAsia"/>
          <w:color w:val="auto"/>
        </w:rPr>
        <w:t>月</w:t>
      </w:r>
      <w:r>
        <w:rPr>
          <w:rFonts w:hint="eastAsia"/>
          <w:color w:val="auto"/>
          <w:lang w:val="en-US" w:eastAsia="zh-CN"/>
        </w:rPr>
        <w:t>28</w:t>
      </w:r>
      <w:r>
        <w:rPr>
          <w:rFonts w:hint="eastAsia"/>
          <w:color w:val="auto"/>
        </w:rPr>
        <w:t>日（北京时间）；</w:t>
      </w:r>
      <w:r>
        <w:rPr>
          <w:rFonts w:hint="eastAsia"/>
          <w:color w:val="auto"/>
        </w:rPr>
        <w:br w:type="textWrapping"/>
      </w:r>
      <w:r>
        <w:rPr>
          <w:rFonts w:hint="eastAsia"/>
          <w:color w:val="auto"/>
        </w:rPr>
        <w:t>  2.地点：</w:t>
      </w:r>
      <w:r>
        <w:rPr>
          <w:rFonts w:hint="eastAsia"/>
          <w:color w:val="auto"/>
          <w:shd w:val="clear" w:color="auto" w:fill="FFFFFF"/>
        </w:rPr>
        <w:t>凡有意参加投标者，请登陆焦作市公共资源交易中心网站会员系统进行网上下载。凡未在规定时间内完成下载文件者，视为无效。（联系电话：0391-3568920，QQ：232850725、361532918（群）；</w:t>
      </w:r>
    </w:p>
    <w:p>
      <w:pPr>
        <w:pStyle w:val="37"/>
        <w:shd w:val="clear" w:color="auto" w:fill="FFFFFF"/>
        <w:autoSpaceDE w:val="0"/>
        <w:spacing w:before="0" w:beforeAutospacing="0" w:after="0" w:afterAutospacing="0" w:line="440" w:lineRule="atLeast"/>
        <w:rPr>
          <w:color w:val="auto"/>
        </w:rPr>
      </w:pPr>
      <w:r>
        <w:rPr>
          <w:rFonts w:hint="eastAsia"/>
          <w:color w:val="auto"/>
        </w:rPr>
        <w:t>  3.方式：本项目采用电子开评标（不见面开标），凡有意参加投标者，请登陆焦作市公共资源交易中心网站“交易主体登录”栏目下载招标文件；</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四、响应文件提交</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1.截止时间：202</w:t>
      </w:r>
      <w:r>
        <w:rPr>
          <w:rFonts w:hint="eastAsia" w:ascii="宋体" w:hAnsi="宋体" w:cs="宋体"/>
          <w:color w:val="auto"/>
          <w:kern w:val="0"/>
          <w:sz w:val="24"/>
          <w:lang w:val="en-US" w:eastAsia="zh-CN"/>
        </w:rPr>
        <w:t>2</w:t>
      </w:r>
      <w:r>
        <w:rPr>
          <w:rFonts w:hint="eastAsia" w:ascii="宋体" w:hAnsi="宋体" w:cs="宋体"/>
          <w:color w:val="auto"/>
          <w:kern w:val="0"/>
          <w:sz w:val="24"/>
        </w:rPr>
        <w:t>年</w:t>
      </w:r>
      <w:r>
        <w:rPr>
          <w:rFonts w:hint="eastAsia" w:ascii="宋体" w:hAnsi="宋体" w:cs="宋体"/>
          <w:color w:val="auto"/>
          <w:kern w:val="0"/>
          <w:sz w:val="24"/>
          <w:lang w:val="en-US" w:eastAsia="zh-CN"/>
        </w:rPr>
        <w:t>1</w:t>
      </w:r>
      <w:r>
        <w:rPr>
          <w:rFonts w:hint="eastAsia" w:ascii="宋体" w:hAnsi="宋体" w:cs="宋体"/>
          <w:color w:val="auto"/>
          <w:kern w:val="0"/>
          <w:sz w:val="24"/>
        </w:rPr>
        <w:t>月</w:t>
      </w:r>
      <w:r>
        <w:rPr>
          <w:rFonts w:hint="eastAsia" w:ascii="宋体" w:hAnsi="宋体" w:cs="宋体"/>
          <w:color w:val="auto"/>
          <w:kern w:val="0"/>
          <w:sz w:val="24"/>
          <w:lang w:val="en-US" w:eastAsia="zh-CN"/>
        </w:rPr>
        <w:t>11</w:t>
      </w:r>
      <w:r>
        <w:rPr>
          <w:rFonts w:hint="eastAsia" w:ascii="宋体" w:hAnsi="宋体" w:cs="宋体"/>
          <w:color w:val="auto"/>
          <w:kern w:val="0"/>
          <w:sz w:val="24"/>
        </w:rPr>
        <w:t>日</w:t>
      </w:r>
      <w:r>
        <w:rPr>
          <w:rFonts w:hint="eastAsia" w:ascii="宋体" w:hAnsi="宋体" w:cs="宋体"/>
          <w:color w:val="auto"/>
          <w:kern w:val="0"/>
          <w:sz w:val="24"/>
          <w:lang w:val="en-US" w:eastAsia="zh-CN"/>
        </w:rPr>
        <w:t>9</w:t>
      </w:r>
      <w:r>
        <w:rPr>
          <w:rFonts w:hint="eastAsia" w:ascii="宋体" w:hAnsi="宋体" w:cs="宋体"/>
          <w:color w:val="auto"/>
          <w:kern w:val="0"/>
          <w:sz w:val="24"/>
        </w:rPr>
        <w:t>点</w:t>
      </w:r>
      <w:r>
        <w:rPr>
          <w:rFonts w:hint="eastAsia" w:ascii="宋体" w:hAnsi="宋体" w:cs="宋体"/>
          <w:color w:val="auto"/>
          <w:kern w:val="0"/>
          <w:sz w:val="24"/>
          <w:lang w:val="en-US" w:eastAsia="zh-CN"/>
        </w:rPr>
        <w:t>00</w:t>
      </w:r>
      <w:r>
        <w:rPr>
          <w:rFonts w:hint="eastAsia" w:ascii="宋体" w:hAnsi="宋体" w:cs="宋体"/>
          <w:color w:val="auto"/>
          <w:kern w:val="0"/>
          <w:sz w:val="24"/>
        </w:rPr>
        <w:t>分（北京时间）；</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五、开启</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1.时间：202</w:t>
      </w:r>
      <w:r>
        <w:rPr>
          <w:rFonts w:hint="eastAsia" w:ascii="宋体" w:hAnsi="宋体" w:cs="宋体"/>
          <w:color w:val="auto"/>
          <w:kern w:val="0"/>
          <w:sz w:val="24"/>
          <w:lang w:val="en-US" w:eastAsia="zh-CN"/>
        </w:rPr>
        <w:t>2</w:t>
      </w:r>
      <w:r>
        <w:rPr>
          <w:rFonts w:hint="eastAsia" w:ascii="宋体" w:hAnsi="宋体" w:cs="宋体"/>
          <w:color w:val="auto"/>
          <w:kern w:val="0"/>
          <w:sz w:val="24"/>
        </w:rPr>
        <w:t>年</w:t>
      </w:r>
      <w:r>
        <w:rPr>
          <w:rFonts w:hint="eastAsia" w:ascii="宋体" w:hAnsi="宋体" w:cs="宋体"/>
          <w:color w:val="auto"/>
          <w:kern w:val="0"/>
          <w:sz w:val="24"/>
          <w:lang w:val="en-US" w:eastAsia="zh-CN"/>
        </w:rPr>
        <w:t>1</w:t>
      </w:r>
      <w:r>
        <w:rPr>
          <w:rFonts w:hint="eastAsia" w:ascii="宋体" w:hAnsi="宋体" w:cs="宋体"/>
          <w:color w:val="auto"/>
          <w:kern w:val="0"/>
          <w:sz w:val="24"/>
        </w:rPr>
        <w:t>月</w:t>
      </w:r>
      <w:r>
        <w:rPr>
          <w:rFonts w:hint="eastAsia" w:ascii="宋体" w:hAnsi="宋体" w:cs="宋体"/>
          <w:color w:val="auto"/>
          <w:kern w:val="0"/>
          <w:sz w:val="24"/>
          <w:lang w:val="en-US" w:eastAsia="zh-CN"/>
        </w:rPr>
        <w:t>11</w:t>
      </w:r>
      <w:r>
        <w:rPr>
          <w:rFonts w:hint="eastAsia" w:ascii="宋体" w:hAnsi="宋体" w:cs="宋体"/>
          <w:color w:val="auto"/>
          <w:kern w:val="0"/>
          <w:sz w:val="24"/>
        </w:rPr>
        <w:t>日</w:t>
      </w:r>
      <w:r>
        <w:rPr>
          <w:rFonts w:hint="eastAsia" w:ascii="宋体" w:hAnsi="宋体" w:cs="宋体"/>
          <w:color w:val="auto"/>
          <w:kern w:val="0"/>
          <w:sz w:val="24"/>
          <w:lang w:val="en-US" w:eastAsia="zh-CN"/>
        </w:rPr>
        <w:t>9</w:t>
      </w:r>
      <w:r>
        <w:rPr>
          <w:rFonts w:hint="eastAsia" w:ascii="宋体" w:hAnsi="宋体" w:cs="宋体"/>
          <w:color w:val="auto"/>
          <w:kern w:val="0"/>
          <w:sz w:val="24"/>
        </w:rPr>
        <w:t>点</w:t>
      </w:r>
      <w:r>
        <w:rPr>
          <w:rFonts w:hint="eastAsia" w:ascii="宋体" w:hAnsi="宋体" w:cs="宋体"/>
          <w:color w:val="auto"/>
          <w:kern w:val="0"/>
          <w:sz w:val="24"/>
          <w:lang w:val="en-US" w:eastAsia="zh-CN"/>
        </w:rPr>
        <w:t>00</w:t>
      </w:r>
      <w:r>
        <w:rPr>
          <w:rFonts w:hint="eastAsia" w:ascii="宋体" w:hAnsi="宋体" w:cs="宋体"/>
          <w:color w:val="auto"/>
          <w:kern w:val="0"/>
          <w:sz w:val="24"/>
        </w:rPr>
        <w:t>分（北京时间）；</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adjustRightInd w:val="0"/>
        <w:snapToGrid w:val="0"/>
        <w:spacing w:line="440" w:lineRule="exact"/>
        <w:rPr>
          <w:rFonts w:ascii="宋体" w:hAnsi="宋体" w:cs="宋体"/>
          <w:b/>
          <w:bCs/>
          <w:color w:val="auto"/>
          <w:sz w:val="24"/>
        </w:rPr>
      </w:pPr>
      <w:r>
        <w:rPr>
          <w:rFonts w:hint="eastAsia" w:ascii="宋体" w:hAnsi="宋体" w:cs="宋体"/>
          <w:b/>
          <w:bCs/>
          <w:color w:val="auto"/>
          <w:sz w:val="24"/>
        </w:rPr>
        <w:t>六、公告期限</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sz w:val="24"/>
        </w:rPr>
        <w:t>自本公告发布之</w:t>
      </w:r>
      <w:r>
        <w:rPr>
          <w:rFonts w:hint="eastAsia" w:ascii="宋体" w:hAnsi="宋体" w:cs="宋体"/>
          <w:color w:val="auto"/>
          <w:kern w:val="0"/>
          <w:sz w:val="24"/>
        </w:rPr>
        <w:t>日起5个工作日。</w:t>
      </w:r>
    </w:p>
    <w:p>
      <w:pPr>
        <w:pStyle w:val="37"/>
        <w:numPr>
          <w:ilvl w:val="0"/>
          <w:numId w:val="3"/>
        </w:numPr>
        <w:shd w:val="clear" w:color="auto" w:fill="FFFFFF"/>
        <w:autoSpaceDE w:val="0"/>
        <w:spacing w:before="0" w:beforeAutospacing="0" w:after="0" w:afterAutospacing="0" w:line="440" w:lineRule="exact"/>
        <w:rPr>
          <w:b/>
          <w:color w:val="auto"/>
          <w:shd w:val="clear" w:color="auto" w:fill="FFFFFF"/>
        </w:rPr>
      </w:pPr>
      <w:r>
        <w:rPr>
          <w:rFonts w:hint="eastAsia"/>
          <w:b/>
          <w:color w:val="auto"/>
          <w:shd w:val="clear" w:color="auto" w:fill="FFFFFF"/>
        </w:rPr>
        <w:t>其他补充事宜</w:t>
      </w:r>
    </w:p>
    <w:p>
      <w:pPr>
        <w:pStyle w:val="37"/>
        <w:shd w:val="clear" w:color="auto" w:fill="FFFFFF"/>
        <w:autoSpaceDE w:val="0"/>
        <w:spacing w:before="0" w:beforeAutospacing="0" w:after="0" w:afterAutospacing="0" w:line="440" w:lineRule="exact"/>
        <w:ind w:firstLine="480" w:firstLineChars="200"/>
        <w:rPr>
          <w:rFonts w:hint="eastAsia" w:eastAsia="宋体"/>
          <w:color w:val="auto"/>
          <w:shd w:val="clear" w:color="auto" w:fill="FFFFFF"/>
          <w:lang w:eastAsia="zh-CN"/>
        </w:rPr>
      </w:pPr>
      <w:r>
        <w:rPr>
          <w:rFonts w:hint="eastAsia"/>
          <w:color w:val="auto"/>
          <w:shd w:val="clear" w:color="auto" w:fill="FFFFFF"/>
        </w:rPr>
        <w:t>1.本次本公告在《河南省政府采购网》、《焦作市政府采购网》、《焦作市公共资源交易中心网》、《博爱县人民政府网》、《博爱县公共资源交易中心网》上发布</w:t>
      </w:r>
      <w:r>
        <w:rPr>
          <w:rFonts w:hint="eastAsia"/>
          <w:color w:val="auto"/>
          <w:shd w:val="clear" w:color="auto" w:fill="FFFFFF"/>
          <w:lang w:eastAsia="zh-CN"/>
        </w:rPr>
        <w:t>。</w:t>
      </w:r>
    </w:p>
    <w:p>
      <w:pPr>
        <w:pStyle w:val="37"/>
        <w:spacing w:beforeAutospacing="0" w:afterAutospacing="0" w:line="440" w:lineRule="exact"/>
        <w:ind w:firstLine="468" w:firstLineChars="195"/>
        <w:jc w:val="both"/>
        <w:rPr>
          <w:color w:val="auto"/>
        </w:rPr>
      </w:pPr>
      <w:r>
        <w:rPr>
          <w:rFonts w:hint="eastAsia"/>
          <w:color w:val="auto"/>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37"/>
        <w:spacing w:beforeAutospacing="0" w:afterAutospacing="0" w:line="440" w:lineRule="exact"/>
        <w:ind w:firstLine="468" w:firstLineChars="195"/>
        <w:jc w:val="both"/>
        <w:rPr>
          <w:color w:val="auto"/>
        </w:rPr>
      </w:pPr>
      <w:r>
        <w:rPr>
          <w:rFonts w:hint="eastAsia"/>
          <w:color w:val="auto"/>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37"/>
        <w:spacing w:beforeAutospacing="0" w:afterAutospacing="0" w:line="440" w:lineRule="exact"/>
        <w:ind w:firstLine="468" w:firstLineChars="195"/>
        <w:jc w:val="both"/>
        <w:rPr>
          <w:color w:val="auto"/>
        </w:rPr>
      </w:pPr>
      <w:r>
        <w:rPr>
          <w:rFonts w:hint="eastAsia"/>
          <w:color w:val="auto"/>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八、</w:t>
      </w:r>
      <w:r>
        <w:rPr>
          <w:rFonts w:hint="eastAsia" w:ascii="宋体" w:hAnsi="宋体" w:cs="宋体"/>
          <w:b/>
          <w:color w:val="auto"/>
          <w:sz w:val="24"/>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1.采购人信息：</w:t>
      </w:r>
    </w:p>
    <w:p>
      <w:pPr>
        <w:widowControl/>
        <w:spacing w:line="440" w:lineRule="exact"/>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采购人：</w:t>
      </w:r>
      <w:r>
        <w:rPr>
          <w:rFonts w:hint="eastAsia" w:ascii="宋体" w:hAnsi="宋体" w:cs="宋体"/>
          <w:color w:val="auto"/>
          <w:kern w:val="0"/>
          <w:sz w:val="24"/>
          <w:lang w:eastAsia="zh-CN"/>
        </w:rPr>
        <w:t>博爱县人民医院</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地址：</w:t>
      </w:r>
      <w:r>
        <w:rPr>
          <w:rFonts w:hint="eastAsia" w:ascii="宋体" w:hAnsi="宋体" w:cs="宋体"/>
          <w:bCs/>
          <w:color w:val="auto"/>
          <w:sz w:val="24"/>
          <w:lang w:eastAsia="zh-CN"/>
        </w:rPr>
        <w:t>博爱县滨河路</w:t>
      </w:r>
    </w:p>
    <w:p>
      <w:pPr>
        <w:adjustRightInd w:val="0"/>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kern w:val="0"/>
          <w:sz w:val="24"/>
        </w:rPr>
        <w:t>电话：</w:t>
      </w:r>
      <w:r>
        <w:rPr>
          <w:rFonts w:hint="eastAsia" w:ascii="宋体" w:hAnsi="宋体" w:cs="宋体"/>
          <w:bCs/>
          <w:color w:val="auto"/>
          <w:sz w:val="24"/>
          <w:lang w:eastAsia="zh-CN"/>
        </w:rPr>
        <w:t>15978760197</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2.采购代理机构信息：</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名称：博爱县城市建设项目管理有限公司 </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shd w:val="clear" w:color="auto" w:fill="FFFFFF"/>
        </w:rPr>
        <w:t>博爱县中山路东段</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电话：0391-8690958</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3.项目联系方式</w:t>
      </w:r>
    </w:p>
    <w:p>
      <w:pPr>
        <w:adjustRightInd w:val="0"/>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项目联系人：</w:t>
      </w:r>
      <w:r>
        <w:rPr>
          <w:rFonts w:hint="eastAsia" w:ascii="宋体" w:hAnsi="宋体" w:cs="宋体"/>
          <w:bCs/>
          <w:color w:val="auto"/>
          <w:sz w:val="24"/>
          <w:lang w:eastAsia="zh-CN"/>
        </w:rPr>
        <w:t>秦先生</w:t>
      </w:r>
    </w:p>
    <w:p>
      <w:pPr>
        <w:adjustRightInd w:val="0"/>
        <w:snapToGrid w:val="0"/>
        <w:spacing w:line="44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sz w:val="24"/>
        </w:rPr>
        <w:t>电话：</w:t>
      </w:r>
      <w:r>
        <w:rPr>
          <w:rFonts w:hint="eastAsia" w:ascii="宋体" w:hAnsi="宋体" w:cs="宋体"/>
          <w:bCs/>
          <w:color w:val="auto"/>
          <w:sz w:val="24"/>
          <w:lang w:eastAsia="zh-CN"/>
        </w:rPr>
        <w:t>15978760197</w:t>
      </w:r>
    </w:p>
    <w:p>
      <w:pPr>
        <w:keepNext w:val="0"/>
        <w:keepLines w:val="0"/>
        <w:pageBreakBefore w:val="0"/>
        <w:kinsoku/>
        <w:wordWrap/>
        <w:overflowPunct/>
        <w:topLinePunct w:val="0"/>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九、监督部门</w:t>
      </w:r>
    </w:p>
    <w:p>
      <w:pPr>
        <w:keepNext w:val="0"/>
        <w:keepLines w:val="0"/>
        <w:pageBreakBefore w:val="0"/>
        <w:kinsoku/>
        <w:wordWrap/>
        <w:overflowPunct/>
        <w:topLinePunct w:val="0"/>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博爱县财政局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电话：0391-8683273</w:t>
      </w:r>
    </w:p>
    <w:p>
      <w:pPr>
        <w:pStyle w:val="18"/>
        <w:rPr>
          <w:color w:val="auto"/>
        </w:rPr>
      </w:pPr>
    </w:p>
    <w:p>
      <w:pPr>
        <w:widowControl/>
        <w:spacing w:line="440" w:lineRule="exact"/>
        <w:ind w:left="2940" w:firstLine="420"/>
        <w:rPr>
          <w:rFonts w:hint="eastAsia" w:ascii="宋体" w:hAnsi="宋体" w:eastAsia="宋体" w:cs="宋体"/>
          <w:color w:val="auto"/>
          <w:sz w:val="24"/>
          <w:shd w:val="clear" w:color="auto" w:fill="FFFFFF"/>
          <w:lang w:eastAsia="zh-CN"/>
        </w:rPr>
      </w:pPr>
      <w:r>
        <w:rPr>
          <w:rFonts w:hint="eastAsia" w:ascii="宋体" w:hAnsi="宋体" w:cs="宋体"/>
          <w:color w:val="auto"/>
          <w:sz w:val="24"/>
        </w:rPr>
        <w:t>采购人：</w:t>
      </w:r>
      <w:r>
        <w:rPr>
          <w:rFonts w:hint="eastAsia" w:ascii="宋体" w:hAnsi="宋体" w:cs="宋体"/>
          <w:color w:val="auto"/>
          <w:sz w:val="24"/>
          <w:shd w:val="clear" w:color="auto" w:fill="FFFFFF"/>
          <w:lang w:eastAsia="zh-CN"/>
        </w:rPr>
        <w:t>博爱县人民医院</w:t>
      </w:r>
    </w:p>
    <w:p>
      <w:pPr>
        <w:widowControl/>
        <w:spacing w:line="440" w:lineRule="exact"/>
        <w:ind w:firstLine="2880" w:firstLineChars="1200"/>
        <w:jc w:val="left"/>
        <w:rPr>
          <w:rFonts w:ascii="宋体" w:hAnsi="宋体" w:cs="宋体"/>
          <w:color w:val="auto"/>
          <w:sz w:val="24"/>
          <w:shd w:val="clear" w:color="auto" w:fill="FFFFFF"/>
        </w:rPr>
      </w:pPr>
      <w:r>
        <w:rPr>
          <w:rFonts w:hint="eastAsia" w:ascii="宋体" w:hAnsi="宋体" w:cs="宋体"/>
          <w:color w:val="auto"/>
          <w:sz w:val="24"/>
          <w:shd w:val="clear" w:color="auto" w:fill="FFFFFF"/>
        </w:rPr>
        <w:t>采购代理机构：博爱县城市建设项目管理有限公司</w:t>
      </w:r>
    </w:p>
    <w:p>
      <w:pPr>
        <w:widowControl/>
        <w:spacing w:line="440" w:lineRule="exact"/>
        <w:ind w:left="2940" w:firstLine="420"/>
        <w:rPr>
          <w:color w:val="auto"/>
        </w:rPr>
      </w:pPr>
      <w:r>
        <w:rPr>
          <w:rFonts w:hint="eastAsia" w:ascii="宋体" w:hAnsi="宋体" w:cs="宋体"/>
          <w:color w:val="auto"/>
          <w:sz w:val="24"/>
        </w:rPr>
        <w:t>发布时间：2021年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w:t>
      </w:r>
    </w:p>
    <w:p>
      <w:pPr>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2"/>
    </w:p>
    <w:bookmarkEnd w:id="0"/>
    <w:p>
      <w:pPr>
        <w:pStyle w:val="38"/>
        <w:spacing w:before="0" w:after="0" w:line="360" w:lineRule="auto"/>
        <w:ind w:right="-23" w:rightChars="-11"/>
        <w:rPr>
          <w:rFonts w:asciiTheme="minorEastAsia" w:hAnsiTheme="minorEastAsia" w:eastAsiaTheme="minorEastAsia" w:cstheme="minorEastAsia"/>
          <w:sz w:val="30"/>
          <w:szCs w:val="30"/>
        </w:rPr>
      </w:pPr>
      <w:bookmarkStart w:id="3" w:name="_Toc9161"/>
      <w:bookmarkStart w:id="4" w:name="_Toc32497"/>
      <w:bookmarkStart w:id="5" w:name="_Toc426369478"/>
      <w:bookmarkStart w:id="6" w:name="_Toc403122490"/>
      <w:r>
        <w:rPr>
          <w:rFonts w:hint="eastAsia" w:asciiTheme="minorEastAsia" w:hAnsiTheme="minorEastAsia" w:eastAsiaTheme="minorEastAsia" w:cstheme="minorEastAsia"/>
          <w:sz w:val="30"/>
          <w:szCs w:val="30"/>
        </w:rPr>
        <w:t>供应商须知前附表</w:t>
      </w:r>
      <w:bookmarkEnd w:id="3"/>
      <w:bookmarkEnd w:id="4"/>
      <w:bookmarkEnd w:id="5"/>
      <w:bookmarkEnd w:id="6"/>
    </w:p>
    <w:tbl>
      <w:tblPr>
        <w:tblStyle w:val="4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pPr>
              <w:pStyle w:val="23"/>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pPr>
              <w:pStyle w:val="23"/>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pPr>
              <w:pStyle w:val="23"/>
              <w:spacing w:line="360" w:lineRule="exact"/>
              <w:rPr>
                <w:rFonts w:hint="eastAsia" w:asciiTheme="minorEastAsia" w:hAnsiTheme="minorEastAsia" w:eastAsiaTheme="minorEastAsia" w:cstheme="minorEastAsia"/>
                <w:lang w:eastAsia="zh-CN"/>
              </w:rPr>
            </w:pPr>
            <w:r>
              <w:rPr>
                <w:rFonts w:asciiTheme="minorEastAsia" w:hAnsiTheme="minorEastAsia" w:eastAsiaTheme="minorEastAsia" w:cstheme="minorEastAsia"/>
              </w:rPr>
              <w:t>名称：</w:t>
            </w:r>
            <w:r>
              <w:rPr>
                <w:rFonts w:hint="eastAsia" w:asciiTheme="minorEastAsia" w:hAnsiTheme="minorEastAsia" w:eastAsiaTheme="minorEastAsia" w:cstheme="minorEastAsia"/>
                <w:lang w:eastAsia="zh-CN"/>
              </w:rPr>
              <w:t>博爱县人民医院</w:t>
            </w:r>
          </w:p>
          <w:p>
            <w:pPr>
              <w:pStyle w:val="23"/>
              <w:spacing w:line="360" w:lineRule="exact"/>
              <w:rPr>
                <w:rFonts w:hint="eastAsia" w:asciiTheme="minorEastAsia" w:hAnsiTheme="minorEastAsia" w:eastAsiaTheme="minorEastAsia" w:cstheme="minorEastAsia"/>
                <w:lang w:eastAsia="zh-CN"/>
              </w:rPr>
            </w:pPr>
            <w:r>
              <w:rPr>
                <w:rFonts w:asciiTheme="minorEastAsia" w:hAnsiTheme="minorEastAsia" w:eastAsiaTheme="minorEastAsia" w:cstheme="minorEastAsia"/>
              </w:rPr>
              <w:t>联系</w:t>
            </w:r>
            <w:r>
              <w:rPr>
                <w:rFonts w:asciiTheme="minorEastAsia" w:hAnsiTheme="minorEastAsia" w:eastAsiaTheme="minorEastAsia" w:cstheme="minorEastAsia"/>
                <w:szCs w:val="24"/>
              </w:rPr>
              <w:t>人：</w:t>
            </w:r>
            <w:r>
              <w:rPr>
                <w:rFonts w:hint="eastAsia" w:hAnsi="宋体" w:cs="宋体" w:eastAsiaTheme="minorEastAsia"/>
                <w:bCs/>
                <w:lang w:eastAsia="zh-CN"/>
              </w:rPr>
              <w:t>秦先生</w:t>
            </w:r>
          </w:p>
          <w:p>
            <w:pPr>
              <w:pStyle w:val="23"/>
              <w:spacing w:line="360" w:lineRule="exact"/>
              <w:rPr>
                <w:rFonts w:hint="eastAsia" w:asciiTheme="minorEastAsia" w:hAnsiTheme="minorEastAsia" w:eastAsiaTheme="minorEastAsia" w:cstheme="minorEastAsia"/>
                <w:lang w:eastAsia="zh-CN"/>
              </w:rPr>
            </w:pPr>
            <w:r>
              <w:rPr>
                <w:rFonts w:asciiTheme="minorEastAsia" w:hAnsiTheme="minorEastAsia" w:eastAsiaTheme="minorEastAsia" w:cstheme="minorEastAsia"/>
              </w:rPr>
              <w:t>电话：</w:t>
            </w:r>
            <w:r>
              <w:rPr>
                <w:rFonts w:hint="eastAsia" w:hAnsi="宋体" w:cs="宋体" w:eastAsiaTheme="minorEastAsia"/>
                <w:bCs/>
                <w:lang w:eastAsia="zh-CN"/>
              </w:rPr>
              <w:t>15978760197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 xml:space="preserve">采购代理机构：博爱县城市建设项目管理有限公司  </w:t>
            </w:r>
          </w:p>
          <w:p>
            <w:pPr>
              <w:pStyle w:val="23"/>
              <w:spacing w:line="360" w:lineRule="exact"/>
              <w:rPr>
                <w:rFonts w:hint="default"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 xml:space="preserve">系人：张先生      </w:t>
            </w:r>
          </w:p>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bCs/>
                <w:iCs/>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iCs/>
                <w:szCs w:val="21"/>
                <w:lang w:eastAsia="zh-CN"/>
              </w:rPr>
              <w:t>博爱县人民医院康复医疗设备技术升级改造采购项目（二次）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资金来源</w:t>
            </w:r>
          </w:p>
        </w:tc>
        <w:tc>
          <w:tcPr>
            <w:tcW w:w="6112" w:type="dxa"/>
            <w:vAlign w:val="center"/>
          </w:tcPr>
          <w:p>
            <w:pPr>
              <w:pStyle w:val="23"/>
              <w:spacing w:line="360" w:lineRule="exact"/>
              <w:rPr>
                <w:rFonts w:hint="default" w:asciiTheme="minorEastAsia" w:hAnsiTheme="minorEastAsia" w:eastAsiaTheme="minorEastAsia" w:cstheme="minorEastAsia"/>
              </w:rPr>
            </w:pPr>
            <w:r>
              <w:rPr>
                <w:rFonts w:hint="eastAsia" w:asciiTheme="minorEastAsia" w:hAnsiTheme="minorEastAsia" w:eastAsiaTheme="minorEastAsia" w:cstheme="minorEastAsia"/>
                <w:lang w:eastAsia="zh-CN"/>
              </w:rPr>
              <w:t>自筹资金</w:t>
            </w:r>
            <w:r>
              <w:rPr>
                <w:rFonts w:asciiTheme="minorEastAsia" w:hAnsiTheme="minorEastAsia" w:eastAsiaTheme="minorEastAsia" w:cs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112"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采购内容</w:t>
            </w:r>
          </w:p>
        </w:tc>
        <w:tc>
          <w:tcPr>
            <w:tcW w:w="6112" w:type="dxa"/>
          </w:tcPr>
          <w:p>
            <w:pPr>
              <w:pStyle w:val="23"/>
              <w:spacing w:line="360" w:lineRule="exact"/>
              <w:rPr>
                <w:rFonts w:hint="default" w:asciiTheme="minorEastAsia" w:hAnsiTheme="minorEastAsia" w:eastAsiaTheme="minorEastAsia" w:cstheme="minorEastAsia"/>
              </w:rPr>
            </w:pPr>
            <w:r>
              <w:rPr>
                <w:rFonts w:hint="eastAsia" w:asciiTheme="minorEastAsia" w:hAnsiTheme="minorEastAsia" w:eastAsiaTheme="minorEastAsia" w:cstheme="minorEastAsia"/>
                <w:bCs/>
                <w:iCs/>
                <w:kern w:val="2"/>
                <w:sz w:val="21"/>
                <w:szCs w:val="21"/>
                <w:lang w:val="en-US" w:eastAsia="zh-CN" w:bidi="ar-SA"/>
              </w:rPr>
              <w:t>采购认知能力测试训练仪、儿童认知能力测试与训练仪、脑电仿生电刺激仪、体外冲击波治疗仪等康复医疗设备及技术升级改造（详见招标文件第五章）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pPr>
              <w:pStyle w:val="23"/>
              <w:spacing w:line="360" w:lineRule="exact"/>
              <w:jc w:val="center"/>
              <w:rPr>
                <w:rFonts w:hint="default" w:hAnsi="宋体" w:cs="宋体"/>
                <w:kern w:val="0"/>
              </w:rPr>
            </w:pPr>
            <w:r>
              <w:rPr>
                <w:rFonts w:hAnsi="宋体" w:cs="宋体"/>
                <w:kern w:val="0"/>
              </w:rPr>
              <w:t>供货及安装期</w:t>
            </w:r>
          </w:p>
        </w:tc>
        <w:tc>
          <w:tcPr>
            <w:tcW w:w="6112" w:type="dxa"/>
            <w:vAlign w:val="center"/>
          </w:tcPr>
          <w:p>
            <w:pPr>
              <w:adjustRightInd w:val="0"/>
              <w:snapToGrid w:val="0"/>
              <w:spacing w:line="560" w:lineRule="exact"/>
              <w:rPr>
                <w:rFonts w:ascii="宋体" w:hAnsi="宋体" w:cs="宋体"/>
                <w:kern w:val="0"/>
                <w:szCs w:val="21"/>
              </w:rPr>
            </w:pPr>
            <w:r>
              <w:rPr>
                <w:rFonts w:hint="eastAsia" w:ascii="宋体" w:hAnsi="宋体" w:cs="宋体"/>
                <w:kern w:val="0"/>
                <w:szCs w:val="21"/>
                <w:lang w:val="en-US" w:eastAsia="zh-CN"/>
              </w:rPr>
              <w:t>40</w:t>
            </w:r>
            <w:r>
              <w:rPr>
                <w:rFonts w:hint="eastAsia" w:ascii="宋体" w:hAnsi="宋体" w:cs="宋体"/>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pPr>
              <w:pStyle w:val="23"/>
              <w:spacing w:line="360" w:lineRule="exact"/>
              <w:jc w:val="center"/>
              <w:rPr>
                <w:rFonts w:hint="default" w:hAnsi="宋体" w:cs="宋体"/>
                <w:kern w:val="0"/>
              </w:rPr>
            </w:pPr>
            <w:r>
              <w:rPr>
                <w:rFonts w:hint="default" w:hAnsi="宋体" w:cs="宋体"/>
                <w:kern w:val="0"/>
              </w:rPr>
              <w:t>质量标准</w:t>
            </w:r>
          </w:p>
        </w:tc>
        <w:tc>
          <w:tcPr>
            <w:tcW w:w="6112" w:type="dxa"/>
            <w:vAlign w:val="center"/>
          </w:tcPr>
          <w:p>
            <w:pPr>
              <w:spacing w:line="400" w:lineRule="exact"/>
              <w:rPr>
                <w:rFonts w:ascii="宋体" w:hAnsi="宋体" w:cs="宋体"/>
                <w:kern w:val="0"/>
                <w:szCs w:val="21"/>
              </w:rPr>
            </w:pPr>
            <w:r>
              <w:rPr>
                <w:rFonts w:hint="eastAsia" w:ascii="宋体" w:hAnsi="宋体" w:cs="宋体"/>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1.3.4</w:t>
            </w:r>
          </w:p>
        </w:tc>
        <w:tc>
          <w:tcPr>
            <w:tcW w:w="2318" w:type="dxa"/>
            <w:vAlign w:val="center"/>
          </w:tcPr>
          <w:p>
            <w:pPr>
              <w:pStyle w:val="23"/>
              <w:spacing w:line="360" w:lineRule="exact"/>
              <w:jc w:val="center"/>
              <w:rPr>
                <w:rFonts w:hint="default" w:hAnsi="宋体" w:cs="宋体"/>
                <w:kern w:val="0"/>
              </w:rPr>
            </w:pPr>
            <w:r>
              <w:rPr>
                <w:rFonts w:hAnsi="宋体" w:cs="宋体"/>
                <w:kern w:val="0"/>
              </w:rPr>
              <w:t>质保期</w:t>
            </w:r>
          </w:p>
        </w:tc>
        <w:tc>
          <w:tcPr>
            <w:tcW w:w="6112" w:type="dxa"/>
            <w:vAlign w:val="center"/>
          </w:tcPr>
          <w:p>
            <w:pPr>
              <w:spacing w:line="400" w:lineRule="exact"/>
              <w:rPr>
                <w:rFonts w:ascii="宋体" w:hAnsi="宋体" w:cs="宋体"/>
                <w:kern w:val="0"/>
                <w:szCs w:val="21"/>
              </w:rPr>
            </w:pPr>
            <w:r>
              <w:rPr>
                <w:rFonts w:hint="eastAsia" w:ascii="宋体" w:hAnsi="宋体" w:cs="宋体"/>
                <w:kern w:val="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供应商资质条件</w:t>
            </w:r>
          </w:p>
        </w:tc>
        <w:tc>
          <w:tcPr>
            <w:tcW w:w="6112"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1、符合《中华人民共和国政府采购法》第二十二条之规定；</w:t>
            </w:r>
          </w:p>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2、落实政府采购政策需满足的资格要求：促进中小企业和监狱企业发展扶持政策、政府强制采购节能产品、节能产品及环境标志产品优先采购。</w:t>
            </w:r>
          </w:p>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3、本项目的特定资格要求：</w:t>
            </w:r>
          </w:p>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3.1供应商须具有有效的营业执照，并具有实施完成本项目的经营实力和完善的售后服务体系；</w:t>
            </w:r>
          </w:p>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3.3本项目不接受联合体投标；</w:t>
            </w:r>
          </w:p>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供应商提出问题的</w:t>
            </w:r>
          </w:p>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采购人说明澄清的时间</w:t>
            </w:r>
          </w:p>
        </w:tc>
        <w:tc>
          <w:tcPr>
            <w:tcW w:w="6112"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供应商要求澄清招标文件的截止时间</w:t>
            </w:r>
          </w:p>
        </w:tc>
        <w:tc>
          <w:tcPr>
            <w:tcW w:w="6112"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pPr>
              <w:pStyle w:val="23"/>
              <w:spacing w:line="360" w:lineRule="exact"/>
              <w:jc w:val="center"/>
              <w:rPr>
                <w:rFonts w:hint="default" w:asciiTheme="minorEastAsia" w:hAnsiTheme="minorEastAsia" w:eastAsiaTheme="minorEastAsia" w:cstheme="minorEastAsia"/>
                <w:b/>
                <w:bCs/>
                <w:color w:val="auto"/>
              </w:rPr>
            </w:pPr>
            <w:r>
              <w:rPr>
                <w:rFonts w:asciiTheme="minorEastAsia" w:hAnsiTheme="minorEastAsia" w:eastAsiaTheme="minorEastAsia" w:cstheme="minorEastAsia"/>
                <w:b/>
                <w:bCs/>
                <w:color w:val="auto"/>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rPr>
            </w:pPr>
            <w:r>
              <w:rPr>
                <w:rFonts w:hint="eastAsia" w:ascii="宋体" w:hAnsi="宋体" w:cs="宋体"/>
                <w:b/>
                <w:bCs/>
                <w:color w:val="auto"/>
                <w:kern w:val="0"/>
                <w:sz w:val="21"/>
                <w:szCs w:val="21"/>
              </w:rPr>
              <w:t>202</w:t>
            </w:r>
            <w:r>
              <w:rPr>
                <w:rFonts w:hint="eastAsia" w:ascii="宋体" w:hAnsi="宋体" w:cs="宋体"/>
                <w:b/>
                <w:bCs/>
                <w:color w:val="auto"/>
                <w:kern w:val="0"/>
                <w:sz w:val="21"/>
                <w:szCs w:val="21"/>
                <w:lang w:val="en-US" w:eastAsia="zh-CN"/>
              </w:rPr>
              <w:t>2</w:t>
            </w:r>
            <w:r>
              <w:rPr>
                <w:rFonts w:hint="eastAsia" w:ascii="宋体" w:hAnsi="宋体" w:cs="宋体"/>
                <w:b/>
                <w:bCs/>
                <w:color w:val="auto"/>
                <w:kern w:val="0"/>
                <w:sz w:val="21"/>
                <w:szCs w:val="21"/>
              </w:rPr>
              <w:t>年</w:t>
            </w:r>
            <w:r>
              <w:rPr>
                <w:rFonts w:hint="eastAsia" w:ascii="宋体" w:hAnsi="宋体" w:cs="宋体"/>
                <w:b/>
                <w:bCs/>
                <w:color w:val="auto"/>
                <w:kern w:val="0"/>
                <w:sz w:val="21"/>
                <w:szCs w:val="21"/>
                <w:lang w:val="en-US" w:eastAsia="zh-CN"/>
              </w:rPr>
              <w:t>1</w:t>
            </w:r>
            <w:r>
              <w:rPr>
                <w:rFonts w:hint="eastAsia" w:ascii="宋体" w:hAnsi="宋体" w:cs="宋体"/>
                <w:b/>
                <w:bCs/>
                <w:color w:val="auto"/>
                <w:kern w:val="0"/>
                <w:sz w:val="21"/>
                <w:szCs w:val="21"/>
              </w:rPr>
              <w:t>月</w:t>
            </w:r>
            <w:r>
              <w:rPr>
                <w:rFonts w:hint="eastAsia" w:ascii="宋体" w:hAnsi="宋体" w:cs="宋体"/>
                <w:b/>
                <w:bCs/>
                <w:color w:val="auto"/>
                <w:kern w:val="0"/>
                <w:sz w:val="21"/>
                <w:szCs w:val="21"/>
                <w:lang w:val="en-US" w:eastAsia="zh-CN"/>
              </w:rPr>
              <w:t>11</w:t>
            </w:r>
            <w:r>
              <w:rPr>
                <w:rFonts w:hint="eastAsia" w:ascii="宋体" w:hAnsi="宋体" w:cs="宋体"/>
                <w:b/>
                <w:bCs/>
                <w:color w:val="auto"/>
                <w:kern w:val="0"/>
                <w:sz w:val="21"/>
                <w:szCs w:val="21"/>
              </w:rPr>
              <w:t>日</w:t>
            </w:r>
            <w:r>
              <w:rPr>
                <w:rFonts w:hint="eastAsia" w:ascii="宋体" w:hAnsi="宋体" w:cs="宋体"/>
                <w:b/>
                <w:bCs/>
                <w:color w:val="auto"/>
                <w:kern w:val="0"/>
                <w:sz w:val="21"/>
                <w:szCs w:val="21"/>
                <w:lang w:val="en-US" w:eastAsia="zh-CN"/>
              </w:rPr>
              <w:t xml:space="preserve">9 </w:t>
            </w:r>
            <w:r>
              <w:rPr>
                <w:rFonts w:hint="eastAsia" w:ascii="宋体" w:hAnsi="宋体" w:cs="宋体"/>
                <w:b/>
                <w:bCs/>
                <w:color w:val="auto"/>
                <w:kern w:val="0"/>
                <w:sz w:val="21"/>
                <w:szCs w:val="21"/>
              </w:rPr>
              <w:t>点</w:t>
            </w:r>
            <w:r>
              <w:rPr>
                <w:rFonts w:hint="eastAsia" w:ascii="宋体" w:hAnsi="宋体" w:cs="宋体"/>
                <w:b/>
                <w:bCs/>
                <w:color w:val="auto"/>
                <w:kern w:val="0"/>
                <w:sz w:val="21"/>
                <w:szCs w:val="21"/>
                <w:lang w:val="en-US" w:eastAsia="zh-CN"/>
              </w:rPr>
              <w:t>00</w:t>
            </w:r>
            <w:r>
              <w:rPr>
                <w:rFonts w:hint="eastAsia" w:ascii="宋体" w:hAnsi="宋体" w:cs="宋体"/>
                <w:b/>
                <w:bCs/>
                <w:color w:val="auto"/>
                <w:kern w:val="0"/>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pPr>
              <w:pStyle w:val="23"/>
              <w:spacing w:line="360" w:lineRule="exact"/>
              <w:rPr>
                <w:rFonts w:hint="default" w:asciiTheme="minorEastAsia" w:hAnsiTheme="minorEastAsia" w:eastAsiaTheme="minorEastAsia" w:cstheme="minorEastAsia"/>
                <w:color w:val="FF0000"/>
              </w:rPr>
            </w:pPr>
            <w:r>
              <w:rPr>
                <w:rFonts w:asciiTheme="minorEastAsia" w:hAnsiTheme="minorEastAsia" w:eastAsiaTheme="minorEastAsia" w:cstheme="minorEastAsia"/>
                <w:color w:val="000000" w:themeColor="text1"/>
                <w14:textFill>
                  <w14:solidFill>
                    <w14:schemeClr w14:val="tx1"/>
                  </w14:solidFill>
                </w14:textFill>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112" w:type="dxa"/>
            <w:shd w:val="clear" w:color="auto" w:fill="auto"/>
            <w:vAlign w:val="center"/>
          </w:tcPr>
          <w:p>
            <w:pPr>
              <w:spacing w:line="360" w:lineRule="exact"/>
              <w:jc w:val="left"/>
              <w:rPr>
                <w:rFonts w:ascii="宋体" w:hAnsi="宋体" w:cs="宋体"/>
                <w:szCs w:val="21"/>
              </w:rPr>
            </w:pPr>
            <w:r>
              <w:rPr>
                <w:rFonts w:hint="eastAsia" w:ascii="宋体" w:hAnsi="宋体" w:cs="宋体"/>
                <w:szCs w:val="21"/>
              </w:rPr>
              <w:t>（1）所有要求投标人加盖公章的地方都须加盖投标人单位的 CA 印章。</w:t>
            </w:r>
          </w:p>
          <w:p>
            <w:pPr>
              <w:pStyle w:val="23"/>
              <w:spacing w:line="360" w:lineRule="exact"/>
              <w:rPr>
                <w:rFonts w:hint="default" w:asciiTheme="minorEastAsia" w:hAnsiTheme="minorEastAsia" w:eastAsiaTheme="minorEastAsia" w:cstheme="minorEastAsia"/>
              </w:rPr>
            </w:pPr>
            <w:r>
              <w:rPr>
                <w:rFonts w:hAnsi="宋体" w:cs="宋体"/>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pPr>
              <w:pStyle w:val="23"/>
              <w:spacing w:line="360" w:lineRule="exact"/>
              <w:rPr>
                <w:rFonts w:hint="default" w:asciiTheme="minorEastAsia" w:hAnsiTheme="minorEastAsia" w:cstheme="minorEastAsia"/>
              </w:rPr>
            </w:pPr>
            <w: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递交投标文件方式和</w:t>
            </w:r>
          </w:p>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地点</w:t>
            </w:r>
          </w:p>
        </w:tc>
        <w:tc>
          <w:tcPr>
            <w:tcW w:w="6112" w:type="dxa"/>
            <w:vAlign w:val="center"/>
          </w:tcPr>
          <w:p>
            <w:pPr>
              <w:pStyle w:val="23"/>
              <w:spacing w:line="400" w:lineRule="exact"/>
              <w:rPr>
                <w:rFonts w:hint="default" w:hAnsi="宋体"/>
              </w:rPr>
            </w:pPr>
            <w:r>
              <w:rPr>
                <w:rFonts w:hAnsi="宋体"/>
              </w:rPr>
              <w:t xml:space="preserve">本项目采用“远程不见面”开标方式，远程开标大厅网址为http://122.112.246.33/BidOpening/bidopeninghallaction/hall/login。投标人不需到开标现场参加开标会议，不需提交原件资料等。 </w:t>
            </w:r>
          </w:p>
          <w:p>
            <w:pPr>
              <w:pStyle w:val="23"/>
              <w:spacing w:line="400" w:lineRule="exact"/>
              <w:rPr>
                <w:rFonts w:hint="default" w:hAnsi="宋体"/>
              </w:rPr>
            </w:pPr>
            <w:r>
              <w:rPr>
                <w:rFonts w:hAnsi="宋体"/>
              </w:rPr>
              <w:t>（1）电子投标文件的递交</w:t>
            </w:r>
          </w:p>
          <w:p>
            <w:pPr>
              <w:pStyle w:val="23"/>
              <w:spacing w:line="400" w:lineRule="exact"/>
              <w:rPr>
                <w:rFonts w:hint="default" w:hAnsi="宋体"/>
              </w:rPr>
            </w:pPr>
            <w:r>
              <w:rPr>
                <w:rFonts w:hAnsi="宋体"/>
              </w:rPr>
              <w:t>a、各投标人应在投标截止时间前上传加密的电子投标文件</w:t>
            </w:r>
          </w:p>
          <w:p>
            <w:pPr>
              <w:pStyle w:val="23"/>
              <w:spacing w:line="400" w:lineRule="exact"/>
              <w:rPr>
                <w:rFonts w:hint="default" w:hAnsi="宋体"/>
              </w:rPr>
            </w:pPr>
            <w:r>
              <w:rPr>
                <w:rFonts w:hAnsi="宋体"/>
              </w:rPr>
              <w:t>（.jztf 格式）到会员系统的指定位置。上传时必须得到电脑“上传成功”的确认回复。请投标人在上传时认真检查上传投标文件是否完整、正确。</w:t>
            </w:r>
          </w:p>
          <w:p>
            <w:pPr>
              <w:pStyle w:val="23"/>
              <w:spacing w:line="400" w:lineRule="exact"/>
              <w:rPr>
                <w:rFonts w:hint="default" w:hAnsi="宋体"/>
              </w:rPr>
            </w:pPr>
            <w:r>
              <w:rPr>
                <w:rFonts w:hAnsi="宋体"/>
              </w:rPr>
              <w:t>b、如系统故故障需上传非加密文件时，投标人应按照招标人指示将非加密文件递交给招标人。</w:t>
            </w:r>
          </w:p>
          <w:p>
            <w:pPr>
              <w:pStyle w:val="23"/>
              <w:spacing w:line="360" w:lineRule="exact"/>
              <w:rPr>
                <w:rFonts w:hint="default"/>
                <w:color w:val="0000FF"/>
              </w:rPr>
            </w:pPr>
            <w:r>
              <w:rPr>
                <w:rFonts w:hAnsi="宋体"/>
              </w:rPr>
              <w:t>C、投标人因交易中心投标系统无法上传电子投标文件时， 请在工作时间与博爱县公共资源交易中心联系，联系电话：0391-8301661。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pPr>
              <w:pStyle w:val="23"/>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pPr>
              <w:pStyle w:val="23"/>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112" w:type="dxa"/>
            <w:vAlign w:val="center"/>
          </w:tcPr>
          <w:p>
            <w:pPr>
              <w:adjustRightInd w:val="0"/>
              <w:snapToGrid w:val="0"/>
              <w:spacing w:line="400" w:lineRule="exact"/>
              <w:rPr>
                <w:rFonts w:ascii="宋体" w:hAnsi="宋体"/>
                <w:szCs w:val="21"/>
              </w:rPr>
            </w:pPr>
            <w:r>
              <w:rPr>
                <w:rFonts w:hint="eastAsia" w:ascii="宋体" w:hAnsi="宋体"/>
                <w:szCs w:val="21"/>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rPr>
            </w:pPr>
            <w:r>
              <w:rPr>
                <w:rFonts w:hint="eastAsia" w:ascii="宋体" w:hAnsi="宋体"/>
                <w:szCs w:val="21"/>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取的评审专家4名共5人组成。</w:t>
            </w:r>
          </w:p>
          <w:p>
            <w:pPr>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23"/>
              <w:spacing w:line="360" w:lineRule="exact"/>
              <w:jc w:val="center"/>
              <w:rPr>
                <w:rFonts w:hint="default" w:asciiTheme="minorEastAsia" w:hAnsiTheme="minorEastAsia" w:eastAsiaTheme="minorEastAsia" w:cstheme="minorEastAsia"/>
                <w:lang w:val="en-US" w:eastAsia="zh-CN"/>
              </w:rPr>
            </w:pPr>
            <w:r>
              <w:rPr>
                <w:rFonts w:asciiTheme="minorEastAsia" w:hAnsiTheme="minorEastAsia" w:eastAsiaTheme="minorEastAsia" w:cstheme="minorEastAsia"/>
              </w:rPr>
              <w:t>7.3</w:t>
            </w:r>
            <w:r>
              <w:rPr>
                <w:rFonts w:hint="eastAsia" w:asciiTheme="minorEastAsia" w:hAnsiTheme="minorEastAsia" w:eastAsiaTheme="minorEastAsia" w:cstheme="minorEastAsia"/>
                <w:lang w:val="en-US" w:eastAsia="zh-CN"/>
              </w:rPr>
              <w:t>.1</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6112" w:type="dxa"/>
            <w:vAlign w:val="bottom"/>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1、本项目预算金额为：</w:t>
            </w:r>
            <w:r>
              <w:rPr>
                <w:rFonts w:hint="eastAsia" w:asciiTheme="minorEastAsia" w:hAnsiTheme="minorEastAsia" w:eastAsiaTheme="minorEastAsia" w:cstheme="minorEastAsia"/>
                <w:szCs w:val="21"/>
                <w:lang w:eastAsia="zh-CN"/>
              </w:rPr>
              <w:t>3496980</w:t>
            </w:r>
            <w:r>
              <w:rPr>
                <w:rFonts w:hint="eastAsia" w:asciiTheme="minorEastAsia" w:hAnsiTheme="minorEastAsia" w:eastAsiaTheme="minorEastAsia" w:cstheme="minorEastAsia"/>
                <w:szCs w:val="21"/>
              </w:rPr>
              <w:t>元</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1、对小型或微型企业投标的扶持：(如有）</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1.1投标供应商为小型或微型企业时，报价给予C1的价格扣除（C1的取值为6%），即：评标价＝投标报价（最后报价）×(1－C1）；</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auto"/>
                <w:kern w:val="0"/>
                <w:szCs w:val="21"/>
              </w:rPr>
              <w:t>小微企业应当列明本项目中所投的“小型和微型企业产品的清单”并提供《中小企业声明函》（见格式）。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1.2按照</w:t>
            </w:r>
            <w:r>
              <w:rPr>
                <w:rFonts w:hint="eastAsia" w:ascii="宋体" w:hAnsi="宋体" w:cs="宋体"/>
                <w:color w:val="000000" w:themeColor="text1"/>
                <w:kern w:val="0"/>
                <w:sz w:val="24"/>
                <w:szCs w:val="22"/>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政府采购促进中小企业发展管理办法》有关规定，中小企业的标准为：</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szCs w:val="21"/>
              </w:rPr>
            </w:pPr>
            <w:r>
              <w:rPr>
                <w:rFonts w:hint="eastAsia" w:ascii="宋体" w:hAnsi="宋体" w:cs="宋体"/>
                <w:bCs/>
                <w:color w:val="000000" w:themeColor="text1"/>
                <w14:textFill>
                  <w14:solidFill>
                    <w14:schemeClr w14:val="tx1"/>
                  </w14:solidFill>
                </w14:textFill>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318" w:type="dxa"/>
            <w:vAlign w:val="center"/>
          </w:tcPr>
          <w:p>
            <w:pPr>
              <w:spacing w:line="440" w:lineRule="exact"/>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付款方式</w:t>
            </w:r>
          </w:p>
        </w:tc>
        <w:tc>
          <w:tcPr>
            <w:tcW w:w="6112" w:type="dxa"/>
            <w:vAlign w:val="center"/>
          </w:tcPr>
          <w:p>
            <w:pPr>
              <w:spacing w:line="440" w:lineRule="exact"/>
              <w:rPr>
                <w:rFonts w:hint="default"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供货安装完毕</w:t>
            </w:r>
            <w:r>
              <w:rPr>
                <w:rFonts w:hint="eastAsia" w:ascii="宋体" w:hAnsi="宋体" w:cs="宋体"/>
                <w:bCs/>
                <w:color w:val="000000" w:themeColor="text1"/>
                <w:lang w:val="en-US" w:eastAsia="zh-CN"/>
                <w14:textFill>
                  <w14:solidFill>
                    <w14:schemeClr w14:val="tx1"/>
                  </w14:solidFill>
                </w14:textFill>
              </w:rPr>
              <w:t>后两个月内</w:t>
            </w:r>
            <w:r>
              <w:rPr>
                <w:rFonts w:hint="eastAsia" w:ascii="宋体" w:hAnsi="宋体" w:cs="宋体"/>
                <w:bCs/>
                <w:color w:val="000000" w:themeColor="text1"/>
                <w14:textFill>
                  <w14:solidFill>
                    <w14:schemeClr w14:val="tx1"/>
                  </w14:solidFill>
                </w14:textFill>
              </w:rPr>
              <w:t>付合同金额的</w:t>
            </w:r>
            <w:r>
              <w:rPr>
                <w:rFonts w:hint="eastAsia" w:ascii="宋体" w:hAnsi="宋体" w:cs="宋体"/>
                <w:bCs/>
                <w:color w:val="000000" w:themeColor="text1"/>
                <w:lang w:val="en-US" w:eastAsia="zh-CN"/>
                <w14:textFill>
                  <w14:solidFill>
                    <w14:schemeClr w14:val="tx1"/>
                  </w14:solidFill>
                </w14:textFill>
              </w:rPr>
              <w:t>2</w:t>
            </w:r>
            <w:r>
              <w:rPr>
                <w:rFonts w:hint="eastAsia" w:ascii="宋体" w:hAnsi="宋体" w:cs="宋体"/>
                <w:bCs/>
                <w:color w:val="000000" w:themeColor="text1"/>
                <w14:textFill>
                  <w14:solidFill>
                    <w14:schemeClr w14:val="tx1"/>
                  </w14:solidFill>
                </w14:textFill>
              </w:rPr>
              <w:t>0%，经验收合格后</w:t>
            </w:r>
            <w:r>
              <w:rPr>
                <w:rFonts w:hint="eastAsia" w:ascii="宋体" w:hAnsi="宋体" w:cs="宋体"/>
                <w:bCs/>
                <w:color w:val="000000" w:themeColor="text1"/>
                <w:lang w:val="en-US" w:eastAsia="zh-CN"/>
                <w14:textFill>
                  <w14:solidFill>
                    <w14:schemeClr w14:val="tx1"/>
                  </w14:solidFill>
                </w14:textFill>
              </w:rPr>
              <w:t>剩余80%按照科室收入的增长按比例分60个月付款。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pPr>
              <w:spacing w:line="440" w:lineRule="exact"/>
            </w:pPr>
            <w:r>
              <w:rPr>
                <w:rFonts w:hint="eastAsia"/>
              </w:rPr>
              <w:t>1、招标</w:t>
            </w:r>
            <w:r>
              <w:rPr>
                <w:rFonts w:hint="eastAsia" w:asciiTheme="minorEastAsia" w:hAnsiTheme="minorEastAsia" w:eastAsiaTheme="minorEastAsia" w:cstheme="minorEastAsia"/>
                <w:szCs w:val="21"/>
              </w:rPr>
              <w:t>代理服务费参照（国家计委（计价格[2002]1980号）文件、国家发改委（发改办价格[2003]857号）文件及国家发改委（发改价格[2011]534号）文件）的收费标准，向中标人收取</w:t>
            </w:r>
            <w:r>
              <w:rPr>
                <w:rFonts w:hint="eastAsia"/>
              </w:rPr>
              <w:t>。</w:t>
            </w:r>
          </w:p>
          <w:p>
            <w:pPr>
              <w:pStyle w:val="56"/>
            </w:pPr>
            <w:r>
              <w:rPr>
                <w:rFonts w:hint="eastAsia" w:asciiTheme="minorEastAsia" w:hAnsiTheme="minorEastAsia" w:eastAsiaTheme="minorEastAsia" w:cstheme="minorEastAsia"/>
              </w:rPr>
              <w:t>2、</w:t>
            </w:r>
            <w:r>
              <w:rPr>
                <w:rFonts w:asciiTheme="minorEastAsia" w:hAnsiTheme="minorEastAsia" w:eastAsiaTheme="minorEastAsia" w:cstheme="minorEastAsia"/>
              </w:rPr>
              <w:t>中标人在</w:t>
            </w:r>
            <w:r>
              <w:rPr>
                <w:rFonts w:hint="eastAsia" w:asciiTheme="minorEastAsia" w:hAnsiTheme="minorEastAsia" w:eastAsiaTheme="minorEastAsia" w:cstheme="minorEastAsia"/>
              </w:rPr>
              <w:t>领取中标通知书时，将</w:t>
            </w:r>
            <w:r>
              <w:rPr>
                <w:rFonts w:asciiTheme="minorEastAsia" w:hAnsiTheme="minorEastAsia" w:eastAsiaTheme="minorEastAsia" w:cstheme="minorEastAsia"/>
              </w:rPr>
              <w:t>投标文件纸质版</w:t>
            </w:r>
            <w:r>
              <w:rPr>
                <w:rFonts w:hint="eastAsia" w:asciiTheme="minorEastAsia" w:hAnsiTheme="minorEastAsia" w:eastAsiaTheme="minorEastAsia" w:cstheme="minorEastAsia"/>
              </w:rPr>
              <w:t>打印</w:t>
            </w:r>
            <w:r>
              <w:rPr>
                <w:rFonts w:asciiTheme="minorEastAsia" w:hAnsiTheme="minorEastAsia" w:eastAsiaTheme="minorEastAsia" w:cstheme="minorEastAsia"/>
              </w:rPr>
              <w:t>装订</w:t>
            </w:r>
            <w:r>
              <w:rPr>
                <w:rFonts w:hint="eastAsia" w:asciiTheme="minorEastAsia" w:hAnsiTheme="minorEastAsia" w:eastAsiaTheme="minorEastAsia" w:cstheme="minorEastAsia"/>
              </w:rPr>
              <w:t>（</w:t>
            </w:r>
            <w:r>
              <w:rPr>
                <w:rFonts w:asciiTheme="minorEastAsia" w:hAnsiTheme="minorEastAsia" w:eastAsiaTheme="minorEastAsia" w:cstheme="minorEastAsia"/>
              </w:rPr>
              <w:t>投标文件正本</w:t>
            </w:r>
            <w:r>
              <w:rPr>
                <w:rFonts w:hint="eastAsia" w:asciiTheme="minorEastAsia" w:hAnsiTheme="minorEastAsia" w:eastAsiaTheme="minorEastAsia" w:cstheme="minorEastAsia"/>
              </w:rPr>
              <w:t>壹份和</w:t>
            </w:r>
            <w:r>
              <w:rPr>
                <w:rFonts w:asciiTheme="minorEastAsia" w:hAnsiTheme="minorEastAsia" w:eastAsiaTheme="minorEastAsia" w:cstheme="minorEastAsia"/>
              </w:rPr>
              <w:t>副本</w:t>
            </w:r>
            <w:r>
              <w:rPr>
                <w:rFonts w:hint="eastAsia" w:asciiTheme="minorEastAsia" w:hAnsiTheme="minorEastAsia" w:eastAsiaTheme="minorEastAsia" w:cstheme="minorEastAsia"/>
              </w:rPr>
              <w:t>肆份，</w:t>
            </w:r>
            <w:r>
              <w:rPr>
                <w:rFonts w:asciiTheme="minorEastAsia" w:hAnsiTheme="minorEastAsia" w:eastAsiaTheme="minorEastAsia" w:cstheme="minorEastAsia"/>
              </w:rPr>
              <w:t>每册应采用左侧粘贴方式</w:t>
            </w:r>
            <w:r>
              <w:rPr>
                <w:rFonts w:hint="eastAsia" w:asciiTheme="minorEastAsia" w:hAnsiTheme="minorEastAsia" w:eastAsiaTheme="minorEastAsia" w:cstheme="minorEastAsia"/>
              </w:rPr>
              <w:t>，</w:t>
            </w:r>
            <w:r>
              <w:rPr>
                <w:rFonts w:asciiTheme="minorEastAsia" w:hAnsiTheme="minorEastAsia" w:eastAsiaTheme="minorEastAsia" w:cstheme="minorEastAsia"/>
              </w:rPr>
              <w:t>不得采用活页装订</w:t>
            </w:r>
            <w:r>
              <w:rPr>
                <w:rFonts w:hint="eastAsia" w:asciiTheme="minorEastAsia" w:hAnsiTheme="minorEastAsia" w:eastAsiaTheme="minorEastAsia" w:cstheme="minorEastAsia"/>
              </w:rPr>
              <w:t>）递交采购人</w:t>
            </w:r>
            <w:r>
              <w:rPr>
                <w:rFonts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10.8</w:t>
            </w:r>
          </w:p>
        </w:tc>
        <w:tc>
          <w:tcPr>
            <w:tcW w:w="231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认定为不响应招标文件的其它条件</w:t>
            </w:r>
          </w:p>
        </w:tc>
        <w:tc>
          <w:tcPr>
            <w:tcW w:w="6112" w:type="dxa"/>
            <w:vAlign w:val="center"/>
          </w:tcPr>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1、未按招标文件明示的规定签字盖章的；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2、投标文件的关键内容（投标报价、供货及安装期、质量等）未填写或填写字迹模糊、达不到采购要求的；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3、投标报价超出招标控制价的；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4、供应商递交两份或多份内容不同的投标文件，或在一份投标文件中对同一招标项目有两个或多个报价，且未声明哪一个有效的；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5、相关资格证明文件不合格的；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6、未按要求提供相关证件的；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7、未按要求在报价明细表中标明品牌、型号及技术参数的。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8、附有采购人不能接受的条件的；</w:t>
            </w:r>
          </w:p>
          <w:p>
            <w:pPr>
              <w:pStyle w:val="5"/>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9、评标过程中，如有投标人存在“投标文件制作机器码一致”，则视其投标无效，并按照相关规定进行处理。</w:t>
            </w:r>
          </w:p>
          <w:p>
            <w:pPr>
              <w:pStyle w:val="5"/>
              <w:ind w:left="0" w:leftChars="0" w:firstLine="0" w:firstLineChars="0"/>
            </w:pPr>
            <w:r>
              <w:rPr>
                <w:rFonts w:hint="eastAsia" w:asciiTheme="minorEastAsia" w:hAnsiTheme="minorEastAsia" w:eastAsiaTheme="minorEastAsia" w:cstheme="minorEastAsia"/>
                <w:szCs w:val="21"/>
              </w:rPr>
              <w:t>10、投标文件有明显不符合招标文件其它要求和有关法律法规的。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10.9</w:t>
            </w:r>
          </w:p>
        </w:tc>
        <w:tc>
          <w:tcPr>
            <w:tcW w:w="8430" w:type="dxa"/>
            <w:gridSpan w:val="2"/>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本招标文件解释权归采购人</w:t>
            </w:r>
          </w:p>
        </w:tc>
      </w:tr>
    </w:tbl>
    <w:p>
      <w:pPr>
        <w:pStyle w:val="38"/>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 w:name="_Toc23576"/>
      <w:bookmarkStart w:id="8" w:name="_Toc9048"/>
      <w:bookmarkStart w:id="9" w:name="_Toc426369479"/>
      <w:bookmarkStart w:id="10" w:name="_Toc403122491"/>
      <w:bookmarkStart w:id="11" w:name="_Toc26894"/>
      <w:bookmarkStart w:id="12" w:name="_Toc426369491"/>
      <w:bookmarkStart w:id="13" w:name="_Toc403122503"/>
      <w:r>
        <w:rPr>
          <w:rFonts w:hint="eastAsia" w:asciiTheme="minorEastAsia" w:hAnsiTheme="minorEastAsia" w:eastAsiaTheme="minorEastAsia" w:cstheme="minorEastAsia"/>
          <w:sz w:val="24"/>
          <w:szCs w:val="24"/>
        </w:rPr>
        <w:t>1. 总则</w:t>
      </w:r>
      <w:bookmarkEnd w:id="7"/>
      <w:bookmarkEnd w:id="8"/>
      <w:bookmarkEnd w:id="9"/>
      <w:bookmarkEnd w:id="10"/>
    </w:p>
    <w:p>
      <w:pPr>
        <w:spacing w:line="500" w:lineRule="exact"/>
        <w:ind w:firstLine="482" w:firstLineChars="200"/>
        <w:rPr>
          <w:rFonts w:asciiTheme="minorEastAsia" w:hAnsiTheme="minorEastAsia" w:eastAsiaTheme="minorEastAsia" w:cstheme="minorEastAsia"/>
          <w:b/>
          <w:bCs/>
          <w:sz w:val="24"/>
        </w:rPr>
      </w:pPr>
      <w:bookmarkStart w:id="14" w:name="_Toc274249575"/>
      <w:bookmarkStart w:id="15" w:name="_Toc279599771"/>
      <w:bookmarkStart w:id="16" w:name="_Toc426369480"/>
      <w:bookmarkStart w:id="17" w:name="_Toc403122492"/>
      <w:r>
        <w:rPr>
          <w:rFonts w:hint="eastAsia" w:asciiTheme="minorEastAsia" w:hAnsiTheme="minorEastAsia" w:eastAsiaTheme="minorEastAsia" w:cstheme="minorEastAsia"/>
          <w:b/>
          <w:bCs/>
          <w:sz w:val="24"/>
        </w:rPr>
        <w:t>1.1 项目概况</w:t>
      </w:r>
      <w:bookmarkEnd w:id="14"/>
      <w:bookmarkEnd w:id="15"/>
      <w:bookmarkEnd w:id="16"/>
      <w:bookmarkEnd w:id="1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18" w:name="_Toc279599772"/>
      <w:bookmarkStart w:id="19" w:name="_Toc426369481"/>
      <w:bookmarkStart w:id="20" w:name="_Toc274249576"/>
      <w:bookmarkStart w:id="21" w:name="_Toc403122493"/>
      <w:r>
        <w:rPr>
          <w:rFonts w:hint="eastAsia" w:asciiTheme="minorEastAsia" w:hAnsiTheme="minorEastAsia" w:eastAsiaTheme="minorEastAsia" w:cstheme="minorEastAsia"/>
          <w:b/>
          <w:bCs/>
          <w:sz w:val="24"/>
        </w:rPr>
        <w:t>1.2 资金来源和落实情况</w:t>
      </w:r>
      <w:bookmarkEnd w:id="18"/>
      <w:bookmarkEnd w:id="19"/>
      <w:bookmarkEnd w:id="20"/>
      <w:bookmarkEnd w:id="2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22" w:name="_Toc426369482"/>
      <w:bookmarkStart w:id="23" w:name="_Toc274249577"/>
      <w:bookmarkStart w:id="24" w:name="_Toc279599773"/>
      <w:bookmarkStart w:id="25" w:name="_Toc403122494"/>
      <w:r>
        <w:rPr>
          <w:rFonts w:hint="eastAsia" w:asciiTheme="minorEastAsia" w:hAnsiTheme="minorEastAsia" w:eastAsiaTheme="minorEastAsia" w:cstheme="minorEastAsia"/>
          <w:b/>
          <w:bCs/>
          <w:sz w:val="24"/>
        </w:rPr>
        <w:t>1.3 采购内容、项目完成期和质量要求</w:t>
      </w:r>
      <w:bookmarkEnd w:id="22"/>
      <w:bookmarkEnd w:id="23"/>
      <w:bookmarkEnd w:id="24"/>
      <w:bookmarkEnd w:id="2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26" w:name="_Toc279599774"/>
      <w:bookmarkStart w:id="27" w:name="_Toc426369483"/>
      <w:bookmarkStart w:id="28" w:name="_Toc274249578"/>
      <w:bookmarkStart w:id="29" w:name="_Toc403122495"/>
      <w:r>
        <w:rPr>
          <w:rFonts w:hint="eastAsia" w:asciiTheme="minorEastAsia" w:hAnsiTheme="minorEastAsia" w:eastAsiaTheme="minorEastAsia" w:cstheme="minorEastAsia"/>
          <w:b/>
          <w:bCs/>
          <w:sz w:val="24"/>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30" w:name="_Toc279599775"/>
      <w:bookmarkStart w:id="31" w:name="_Toc274249579"/>
      <w:bookmarkStart w:id="32" w:name="_Toc403122496"/>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33" w:name="_Toc426369484"/>
      <w:r>
        <w:rPr>
          <w:rFonts w:hint="eastAsia" w:asciiTheme="minorEastAsia" w:hAnsiTheme="minorEastAsia" w:eastAsiaTheme="minorEastAsia" w:cstheme="minorEastAsia"/>
          <w:b/>
          <w:bCs/>
          <w:sz w:val="24"/>
        </w:rPr>
        <w:t>1.5 费用承担</w:t>
      </w:r>
      <w:bookmarkEnd w:id="30"/>
      <w:bookmarkEnd w:id="31"/>
      <w:bookmarkEnd w:id="32"/>
      <w:bookmarkEnd w:id="3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34" w:name="_Toc426369485"/>
      <w:bookmarkStart w:id="35" w:name="_Toc403122497"/>
      <w:r>
        <w:rPr>
          <w:rFonts w:hint="eastAsia" w:asciiTheme="minorEastAsia" w:hAnsiTheme="minorEastAsia" w:eastAsiaTheme="minorEastAsia" w:cstheme="minorEastAsia"/>
          <w:b/>
          <w:bCs/>
          <w:sz w:val="24"/>
        </w:rPr>
        <w:t>1.6 保密</w:t>
      </w:r>
      <w:bookmarkEnd w:id="34"/>
      <w:bookmarkEnd w:id="3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36" w:name="_Toc274249581"/>
      <w:bookmarkStart w:id="37" w:name="_Toc279599777"/>
      <w:bookmarkStart w:id="38" w:name="_Toc403122498"/>
      <w:bookmarkStart w:id="39" w:name="_Toc426369486"/>
      <w:r>
        <w:rPr>
          <w:rFonts w:hint="eastAsia" w:asciiTheme="minorEastAsia" w:hAnsiTheme="minorEastAsia" w:eastAsiaTheme="minorEastAsia" w:cstheme="minorEastAsia"/>
          <w:b/>
          <w:bCs/>
          <w:sz w:val="24"/>
        </w:rPr>
        <w:t>1.7 语言文字</w:t>
      </w:r>
      <w:bookmarkEnd w:id="36"/>
      <w:bookmarkEnd w:id="37"/>
      <w:bookmarkEnd w:id="38"/>
      <w:bookmarkEnd w:id="3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sz w:val="24"/>
        </w:rPr>
      </w:pPr>
      <w:bookmarkStart w:id="40" w:name="_Toc403122499"/>
      <w:bookmarkStart w:id="41" w:name="_Toc426369487"/>
      <w:r>
        <w:rPr>
          <w:rFonts w:hint="eastAsia" w:asciiTheme="minorEastAsia" w:hAnsiTheme="minorEastAsia" w:eastAsiaTheme="minorEastAsia" w:cstheme="minorEastAsia"/>
          <w:b/>
          <w:bCs/>
          <w:sz w:val="24"/>
        </w:rPr>
        <w:t>1.8 计量单位</w:t>
      </w:r>
      <w:bookmarkEnd w:id="40"/>
      <w:bookmarkEnd w:id="4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所有计量均采用中华人民共和国法定计量单位。</w:t>
      </w:r>
    </w:p>
    <w:p>
      <w:pPr>
        <w:spacing w:line="500" w:lineRule="exact"/>
        <w:ind w:firstLine="482" w:firstLineChars="200"/>
        <w:rPr>
          <w:rFonts w:asciiTheme="minorEastAsia" w:hAnsiTheme="minorEastAsia" w:eastAsiaTheme="minorEastAsia" w:cstheme="minorEastAsia"/>
          <w:b/>
          <w:bCs/>
          <w:sz w:val="24"/>
        </w:rPr>
      </w:pPr>
      <w:bookmarkStart w:id="42" w:name="_Toc426369488"/>
      <w:bookmarkStart w:id="43" w:name="_Toc274249583"/>
      <w:bookmarkStart w:id="44" w:name="_Toc403122500"/>
      <w:bookmarkStart w:id="45" w:name="_Toc279599779"/>
      <w:r>
        <w:rPr>
          <w:rFonts w:hint="eastAsia" w:asciiTheme="minorEastAsia" w:hAnsiTheme="minorEastAsia" w:eastAsiaTheme="minorEastAsia" w:cstheme="minorEastAsia"/>
          <w:b/>
          <w:bCs/>
          <w:sz w:val="24"/>
        </w:rPr>
        <w:t>1.9 踏勘现场</w:t>
      </w:r>
      <w:bookmarkEnd w:id="42"/>
      <w:bookmarkEnd w:id="43"/>
      <w:bookmarkEnd w:id="44"/>
      <w:bookmarkEnd w:id="4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46" w:name="_Toc403122501"/>
      <w:bookmarkStart w:id="47" w:name="_Toc274249584"/>
      <w:bookmarkStart w:id="48" w:name="_Toc426369489"/>
      <w:bookmarkStart w:id="49" w:name="_Toc279599780"/>
      <w:r>
        <w:rPr>
          <w:rFonts w:hint="eastAsia" w:asciiTheme="minorEastAsia" w:hAnsiTheme="minorEastAsia" w:eastAsiaTheme="minorEastAsia" w:cstheme="minorEastAsia"/>
          <w:b/>
          <w:bCs/>
          <w:sz w:val="24"/>
        </w:rPr>
        <w:t>1.10 投标预备会</w:t>
      </w:r>
      <w:bookmarkEnd w:id="46"/>
      <w:bookmarkEnd w:id="47"/>
      <w:bookmarkEnd w:id="48"/>
      <w:bookmarkEnd w:id="4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50" w:name="_Toc426369490"/>
      <w:bookmarkStart w:id="51" w:name="_Toc279599781"/>
      <w:bookmarkStart w:id="52" w:name="_Toc403122502"/>
      <w:bookmarkStart w:id="53" w:name="_Toc274249585"/>
      <w:r>
        <w:rPr>
          <w:rFonts w:hint="eastAsia" w:asciiTheme="minorEastAsia" w:hAnsiTheme="minorEastAsia" w:eastAsiaTheme="minorEastAsia" w:cstheme="minorEastAsia"/>
          <w:b/>
          <w:bCs/>
          <w:sz w:val="24"/>
        </w:rPr>
        <w:t>1.11 分包</w:t>
      </w:r>
      <w:bookmarkEnd w:id="50"/>
      <w:bookmarkEnd w:id="51"/>
      <w:bookmarkEnd w:id="52"/>
      <w:bookmarkEnd w:id="5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38"/>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54" w:name="_Toc28663"/>
      <w:r>
        <w:rPr>
          <w:rFonts w:hint="eastAsia" w:asciiTheme="minorEastAsia" w:hAnsiTheme="minorEastAsia" w:eastAsiaTheme="minorEastAsia" w:cstheme="minorEastAsia"/>
          <w:sz w:val="24"/>
          <w:szCs w:val="24"/>
        </w:rPr>
        <w:t>2. 招标文件</w:t>
      </w:r>
      <w:bookmarkEnd w:id="11"/>
      <w:bookmarkEnd w:id="12"/>
      <w:bookmarkEnd w:id="13"/>
      <w:bookmarkEnd w:id="54"/>
    </w:p>
    <w:p>
      <w:pPr>
        <w:spacing w:line="500" w:lineRule="exact"/>
        <w:ind w:firstLine="482" w:firstLineChars="200"/>
        <w:rPr>
          <w:rFonts w:asciiTheme="minorEastAsia" w:hAnsiTheme="minorEastAsia" w:eastAsiaTheme="minorEastAsia" w:cstheme="minorEastAsia"/>
          <w:b/>
          <w:bCs/>
          <w:sz w:val="24"/>
        </w:rPr>
      </w:pPr>
      <w:bookmarkStart w:id="55" w:name="_Toc403122504"/>
      <w:bookmarkStart w:id="56" w:name="_Toc274249587"/>
      <w:bookmarkStart w:id="57" w:name="_Toc426369492"/>
      <w:bookmarkStart w:id="58" w:name="_Toc279599783"/>
      <w:r>
        <w:rPr>
          <w:rFonts w:hint="eastAsia" w:asciiTheme="minorEastAsia" w:hAnsiTheme="minorEastAsia" w:eastAsiaTheme="minorEastAsia" w:cstheme="minorEastAsia"/>
          <w:b/>
          <w:bCs/>
          <w:sz w:val="24"/>
        </w:rPr>
        <w:t>2.1 招标文件的组成</w:t>
      </w:r>
      <w:bookmarkEnd w:id="55"/>
      <w:bookmarkEnd w:id="56"/>
      <w:bookmarkEnd w:id="57"/>
      <w:bookmarkEnd w:id="58"/>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59" w:name="_Toc403122505"/>
      <w:bookmarkStart w:id="60" w:name="_Toc426369493"/>
      <w:bookmarkStart w:id="61" w:name="_Toc279599784"/>
      <w:bookmarkStart w:id="62" w:name="_Toc274249588"/>
      <w:r>
        <w:rPr>
          <w:rFonts w:hint="eastAsia" w:asciiTheme="minorEastAsia" w:hAnsiTheme="minorEastAsia" w:eastAsiaTheme="minorEastAsia" w:cstheme="minorEastAsia"/>
          <w:b/>
          <w:bCs/>
          <w:sz w:val="24"/>
        </w:rPr>
        <w:t>2.2 招标文件的澄清</w:t>
      </w:r>
      <w:bookmarkEnd w:id="59"/>
      <w:bookmarkEnd w:id="60"/>
      <w:bookmarkEnd w:id="61"/>
      <w:bookmarkEnd w:id="62"/>
    </w:p>
    <w:p>
      <w:pPr>
        <w:spacing w:line="44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r>
        <w:rPr>
          <w:rFonts w:hint="eastAsia" w:asciiTheme="minorEastAsia" w:hAnsiTheme="minorEastAsia" w:eastAsiaTheme="minorEastAsia" w:cstheme="minorEastAsia"/>
          <w:szCs w:val="21"/>
          <w:lang w:val="en-US" w:eastAsia="zh-CN"/>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63" w:name="_Toc426369494"/>
      <w:bookmarkStart w:id="64" w:name="_Toc279599785"/>
      <w:bookmarkStart w:id="65" w:name="_Toc403122506"/>
      <w:bookmarkStart w:id="66" w:name="_Toc274249589"/>
      <w:r>
        <w:rPr>
          <w:rFonts w:hint="eastAsia" w:asciiTheme="minorEastAsia" w:hAnsiTheme="minorEastAsia" w:eastAsiaTheme="minorEastAsia" w:cstheme="minorEastAsia"/>
          <w:b/>
          <w:bCs/>
          <w:sz w:val="24"/>
        </w:rPr>
        <w:t>2.3 招标文件的修改</w:t>
      </w:r>
      <w:bookmarkEnd w:id="63"/>
      <w:bookmarkEnd w:id="64"/>
      <w:bookmarkEnd w:id="65"/>
      <w:bookmarkEnd w:id="66"/>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67" w:name="_Toc23265"/>
      <w:bookmarkStart w:id="68" w:name="_Toc426369495"/>
      <w:bookmarkStart w:id="69" w:name="_Toc403122507"/>
    </w:p>
    <w:p>
      <w:pPr>
        <w:pStyle w:val="38"/>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0" w:name="_Toc13865"/>
      <w:r>
        <w:rPr>
          <w:rFonts w:hint="eastAsia" w:asciiTheme="minorEastAsia" w:hAnsiTheme="minorEastAsia" w:eastAsiaTheme="minorEastAsia" w:cstheme="minorEastAsia"/>
          <w:sz w:val="24"/>
          <w:szCs w:val="24"/>
        </w:rPr>
        <w:t>3. 投标文件</w:t>
      </w:r>
      <w:bookmarkEnd w:id="67"/>
      <w:bookmarkEnd w:id="68"/>
      <w:bookmarkEnd w:id="69"/>
      <w:bookmarkEnd w:id="70"/>
    </w:p>
    <w:p>
      <w:pPr>
        <w:spacing w:line="500" w:lineRule="exact"/>
        <w:ind w:firstLine="482" w:firstLineChars="200"/>
        <w:rPr>
          <w:rFonts w:asciiTheme="minorEastAsia" w:hAnsiTheme="minorEastAsia" w:eastAsiaTheme="minorEastAsia" w:cstheme="minorEastAsia"/>
          <w:b/>
          <w:bCs/>
          <w:sz w:val="24"/>
        </w:rPr>
      </w:pPr>
      <w:bookmarkStart w:id="71" w:name="_Toc426369496"/>
      <w:bookmarkStart w:id="72" w:name="_Toc274249591"/>
      <w:bookmarkStart w:id="73" w:name="_Toc403122508"/>
      <w:bookmarkStart w:id="74" w:name="_Toc279599787"/>
      <w:r>
        <w:rPr>
          <w:rFonts w:hint="eastAsia" w:asciiTheme="minorEastAsia" w:hAnsiTheme="minorEastAsia" w:eastAsiaTheme="minorEastAsia" w:cstheme="minorEastAsia"/>
          <w:b/>
          <w:bCs/>
          <w:sz w:val="24"/>
        </w:rPr>
        <w:t>3.1 投标文件的组成</w:t>
      </w:r>
      <w:bookmarkEnd w:id="71"/>
      <w:bookmarkEnd w:id="72"/>
      <w:bookmarkEnd w:id="73"/>
      <w:bookmarkEnd w:id="74"/>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75" w:name="_Toc403122509"/>
      <w:bookmarkStart w:id="76" w:name="_Toc279599788"/>
      <w:bookmarkStart w:id="77" w:name="_Toc274249592"/>
      <w:bookmarkStart w:id="78" w:name="_Toc426369497"/>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（三）报价明细表</w:t>
      </w:r>
    </w:p>
    <w:p>
      <w:pPr>
        <w:spacing w:line="440" w:lineRule="exact"/>
        <w:ind w:firstLine="420" w:firstLineChars="200"/>
        <w:rPr>
          <w:rFonts w:ascii="宋体" w:hAnsi="宋体" w:cs="宋体"/>
          <w:szCs w:val="21"/>
        </w:rPr>
      </w:pPr>
      <w:r>
        <w:rPr>
          <w:rFonts w:hint="eastAsia" w:ascii="宋体" w:hAnsi="宋体" w:cs="宋体"/>
          <w:szCs w:val="21"/>
        </w:rPr>
        <w:t>二、法定代表人身份证明书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szCs w:val="21"/>
        </w:rPr>
      </w:pPr>
      <w:r>
        <w:rPr>
          <w:rFonts w:hint="eastAsia" w:ascii="宋体" w:hAnsi="宋体" w:cs="宋体"/>
          <w:szCs w:val="21"/>
        </w:rPr>
        <w:t>四、 投标承诺函</w:t>
      </w:r>
    </w:p>
    <w:p>
      <w:pPr>
        <w:spacing w:line="440" w:lineRule="exact"/>
        <w:ind w:firstLine="420" w:firstLineChars="200"/>
        <w:rPr>
          <w:rFonts w:ascii="宋体" w:hAnsi="宋体" w:cs="宋体"/>
          <w:szCs w:val="21"/>
        </w:rPr>
      </w:pPr>
      <w:r>
        <w:rPr>
          <w:rFonts w:hint="eastAsia" w:ascii="宋体" w:hAnsi="宋体" w:cs="宋体"/>
          <w:szCs w:val="21"/>
        </w:rPr>
        <w:t>五、项目供货及安装保证措施、售后服务方案及应急方案等</w:t>
      </w:r>
    </w:p>
    <w:p>
      <w:pPr>
        <w:spacing w:line="440" w:lineRule="exact"/>
        <w:ind w:firstLine="420" w:firstLineChars="200"/>
        <w:rPr>
          <w:rFonts w:ascii="宋体" w:hAnsi="宋体" w:cs="宋体"/>
          <w:szCs w:val="21"/>
        </w:rPr>
      </w:pPr>
      <w:r>
        <w:rPr>
          <w:rFonts w:hint="eastAsia" w:ascii="宋体" w:hAnsi="宋体" w:cs="宋体"/>
          <w:szCs w:val="21"/>
        </w:rPr>
        <w:t>六、资格证明文件；</w:t>
      </w:r>
    </w:p>
    <w:p>
      <w:pPr>
        <w:pStyle w:val="2"/>
        <w:spacing w:line="440" w:lineRule="exact"/>
        <w:ind w:firstLineChars="200"/>
        <w:rPr>
          <w:rFonts w:hint="default" w:ascii="宋体" w:hAnsi="宋体" w:eastAsia="宋体" w:cs="宋体"/>
          <w:sz w:val="21"/>
          <w:szCs w:val="21"/>
        </w:rPr>
      </w:pPr>
      <w:r>
        <w:rPr>
          <w:rFonts w:ascii="宋体" w:hAnsi="宋体" w:eastAsia="宋体" w:cs="宋体"/>
          <w:sz w:val="21"/>
          <w:szCs w:val="21"/>
        </w:rPr>
        <w:t>七、供应商服务承诺和优惠承诺</w:t>
      </w:r>
    </w:p>
    <w:p>
      <w:pPr>
        <w:spacing w:line="440" w:lineRule="exact"/>
        <w:ind w:firstLine="420" w:firstLineChars="200"/>
        <w:rPr>
          <w:rFonts w:ascii="宋体" w:hAnsi="宋体" w:cs="宋体"/>
          <w:szCs w:val="21"/>
        </w:rPr>
      </w:pPr>
      <w:r>
        <w:rPr>
          <w:rFonts w:hint="eastAsia" w:ascii="宋体" w:hAnsi="宋体" w:cs="宋体"/>
          <w:szCs w:val="21"/>
        </w:rPr>
        <w:t>八、供应商所投产品属于当期政府采购清单规定的节能环保产品的证明材料；</w:t>
      </w:r>
    </w:p>
    <w:p>
      <w:pPr>
        <w:spacing w:line="440" w:lineRule="exact"/>
        <w:ind w:firstLine="420" w:firstLineChars="200"/>
        <w:rPr>
          <w:rFonts w:ascii="宋体" w:hAnsi="宋体" w:cs="宋体"/>
          <w:szCs w:val="21"/>
        </w:rPr>
      </w:pPr>
      <w:r>
        <w:rPr>
          <w:rFonts w:hint="eastAsia" w:ascii="宋体" w:hAnsi="宋体" w:cs="宋体"/>
          <w:szCs w:val="21"/>
        </w:rPr>
        <w:t>九、中小企业声明函（如为中小企业）；</w:t>
      </w:r>
    </w:p>
    <w:p>
      <w:pPr>
        <w:spacing w:line="440" w:lineRule="exact"/>
        <w:ind w:firstLine="420" w:firstLineChars="200"/>
        <w:rPr>
          <w:rFonts w:ascii="宋体" w:hAnsi="宋体" w:cs="宋体"/>
          <w:szCs w:val="21"/>
        </w:rPr>
      </w:pPr>
      <w:r>
        <w:rPr>
          <w:rFonts w:hint="eastAsia" w:ascii="宋体" w:hAnsi="宋体" w:cs="宋体"/>
          <w:szCs w:val="21"/>
        </w:rPr>
        <w:t>十、残疾人福利性单位声明函（如有）；</w:t>
      </w:r>
    </w:p>
    <w:p>
      <w:pPr>
        <w:spacing w:line="440" w:lineRule="exact"/>
        <w:ind w:firstLine="420" w:firstLineChars="200"/>
        <w:rPr>
          <w:rFonts w:ascii="宋体" w:hAnsi="宋体" w:cs="宋体"/>
          <w:szCs w:val="21"/>
        </w:rPr>
      </w:pPr>
      <w:r>
        <w:rPr>
          <w:rFonts w:hint="eastAsia" w:ascii="宋体" w:hAnsi="宋体" w:cs="宋体"/>
          <w:szCs w:val="21"/>
        </w:rPr>
        <w:t>十一、招标文件要求的或投标人认为需要加以说明的其他内容。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75"/>
      <w:bookmarkEnd w:id="76"/>
      <w:bookmarkEnd w:id="77"/>
      <w:bookmarkEnd w:id="78"/>
    </w:p>
    <w:p>
      <w:pPr>
        <w:spacing w:line="420" w:lineRule="exact"/>
        <w:ind w:firstLine="420" w:firstLineChars="200"/>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3.2.1投标报价包括：供应商的投标报价应包括设备、劳务、材料、管理、利润、税金、政策性规费等所有费用。 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79" w:name="_Toc279599789"/>
      <w:bookmarkStart w:id="80" w:name="_Toc274249593"/>
      <w:bookmarkStart w:id="81" w:name="_Toc403122510"/>
      <w:bookmarkStart w:id="82" w:name="_Toc426369498"/>
      <w:r>
        <w:rPr>
          <w:rFonts w:hint="eastAsia" w:asciiTheme="minorEastAsia" w:hAnsiTheme="minorEastAsia" w:eastAsiaTheme="minorEastAsia" w:cstheme="minorEastAsia"/>
          <w:b/>
          <w:bCs/>
          <w:sz w:val="24"/>
        </w:rPr>
        <w:t>3.3 投标有效期</w:t>
      </w:r>
      <w:bookmarkEnd w:id="79"/>
      <w:bookmarkEnd w:id="80"/>
      <w:bookmarkEnd w:id="81"/>
      <w:bookmarkEnd w:id="82"/>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83" w:name="_Toc279599791"/>
      <w:bookmarkStart w:id="84" w:name="_Toc403122512"/>
      <w:bookmarkStart w:id="85" w:name="_Toc426369501"/>
      <w:bookmarkStart w:id="86" w:name="_Toc274249595"/>
      <w:r>
        <w:rPr>
          <w:rFonts w:hint="eastAsia" w:asciiTheme="minorEastAsia" w:hAnsiTheme="minorEastAsia" w:eastAsiaTheme="minorEastAsia" w:cstheme="minorEastAsia"/>
          <w:b/>
          <w:bCs/>
          <w:sz w:val="24"/>
        </w:rPr>
        <w:t>3.5 资格审查资料</w:t>
      </w:r>
      <w:bookmarkEnd w:id="83"/>
      <w:bookmarkEnd w:id="84"/>
      <w:bookmarkEnd w:id="85"/>
      <w:bookmarkEnd w:id="86"/>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p>
    <w:p>
      <w:pPr>
        <w:spacing w:line="500" w:lineRule="exact"/>
        <w:ind w:firstLine="482" w:firstLineChars="200"/>
        <w:rPr>
          <w:rFonts w:asciiTheme="minorEastAsia" w:hAnsiTheme="minorEastAsia" w:eastAsiaTheme="minorEastAsia" w:cstheme="minorEastAsia"/>
          <w:b/>
          <w:bCs/>
          <w:sz w:val="24"/>
        </w:rPr>
      </w:pPr>
      <w:bookmarkStart w:id="87" w:name="_Toc279599792"/>
      <w:bookmarkStart w:id="88" w:name="_Toc274249596"/>
      <w:bookmarkStart w:id="89" w:name="_Toc403122513"/>
      <w:bookmarkStart w:id="90" w:name="_Toc426369502"/>
      <w:r>
        <w:rPr>
          <w:rFonts w:hint="eastAsia" w:asciiTheme="minorEastAsia" w:hAnsiTheme="minorEastAsia" w:eastAsiaTheme="minorEastAsia" w:cstheme="minorEastAsia"/>
          <w:b/>
          <w:bCs/>
          <w:sz w:val="24"/>
        </w:rPr>
        <w:t>3.6 备选投标方案</w:t>
      </w:r>
      <w:bookmarkEnd w:id="87"/>
      <w:bookmarkEnd w:id="88"/>
      <w:bookmarkEnd w:id="89"/>
      <w:bookmarkEnd w:id="90"/>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91" w:name="_Toc274249597"/>
      <w:bookmarkStart w:id="92" w:name="_Toc426369503"/>
      <w:bookmarkStart w:id="93" w:name="_Toc279599793"/>
      <w:bookmarkStart w:id="94" w:name="_Toc403122514"/>
      <w:r>
        <w:rPr>
          <w:rFonts w:hint="eastAsia" w:asciiTheme="minorEastAsia" w:hAnsiTheme="minorEastAsia" w:eastAsiaTheme="minorEastAsia" w:cstheme="minorEastAsia"/>
          <w:b/>
          <w:bCs/>
          <w:sz w:val="24"/>
        </w:rPr>
        <w:t>3.7 投标文件的编制</w:t>
      </w:r>
      <w:bookmarkEnd w:id="91"/>
      <w:bookmarkEnd w:id="92"/>
      <w:bookmarkEnd w:id="93"/>
      <w:bookmarkEnd w:id="9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投标文件应当对招标文件有关项目完成期、投标有效期、质量要求、采购要求及服务内容、等实质性内容作出响应。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38"/>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95" w:name="_Toc26998"/>
      <w:bookmarkStart w:id="96" w:name="_Toc30100"/>
      <w:bookmarkStart w:id="97" w:name="_Toc426369504"/>
      <w:bookmarkStart w:id="98" w:name="_Toc403122515"/>
      <w:r>
        <w:rPr>
          <w:rFonts w:hint="eastAsia" w:asciiTheme="minorEastAsia" w:hAnsiTheme="minorEastAsia" w:eastAsiaTheme="minorEastAsia" w:cstheme="minorEastAsia"/>
          <w:sz w:val="24"/>
          <w:szCs w:val="24"/>
        </w:rPr>
        <w:t>4. 投标</w:t>
      </w:r>
      <w:bookmarkEnd w:id="95"/>
      <w:bookmarkEnd w:id="96"/>
      <w:bookmarkEnd w:id="97"/>
      <w:bookmarkEnd w:id="98"/>
    </w:p>
    <w:p>
      <w:pPr>
        <w:spacing w:line="500" w:lineRule="exact"/>
        <w:ind w:firstLine="482" w:firstLineChars="200"/>
        <w:rPr>
          <w:rFonts w:asciiTheme="minorEastAsia" w:hAnsiTheme="minorEastAsia" w:eastAsiaTheme="minorEastAsia" w:cstheme="minorEastAsia"/>
          <w:b/>
          <w:bCs/>
          <w:sz w:val="24"/>
        </w:rPr>
      </w:pPr>
      <w:bookmarkStart w:id="99" w:name="_Toc279599795"/>
      <w:bookmarkStart w:id="100" w:name="_Toc403122516"/>
      <w:bookmarkStart w:id="101" w:name="_Toc426369505"/>
      <w:bookmarkStart w:id="102" w:name="_Toc274249599"/>
      <w:r>
        <w:rPr>
          <w:rFonts w:hint="eastAsia" w:asciiTheme="minorEastAsia" w:hAnsiTheme="minorEastAsia" w:eastAsiaTheme="minorEastAsia" w:cstheme="minorEastAsia"/>
          <w:b/>
          <w:bCs/>
          <w:sz w:val="24"/>
        </w:rPr>
        <w:t>4.1 投标文件的密封和标记</w:t>
      </w:r>
      <w:bookmarkEnd w:id="99"/>
      <w:bookmarkEnd w:id="100"/>
      <w:bookmarkEnd w:id="101"/>
      <w:bookmarkEnd w:id="102"/>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03" w:name="_Toc279599796"/>
      <w:bookmarkStart w:id="104" w:name="_Toc403122517"/>
      <w:bookmarkStart w:id="105" w:name="_Toc426369506"/>
      <w:bookmarkStart w:id="106" w:name="_Toc274249600"/>
      <w:r>
        <w:rPr>
          <w:rFonts w:hint="eastAsia" w:asciiTheme="minorEastAsia" w:hAnsiTheme="minorEastAsia" w:eastAsiaTheme="minorEastAsia" w:cstheme="minorEastAsia"/>
          <w:b/>
          <w:bCs/>
          <w:sz w:val="24"/>
        </w:rPr>
        <w:t>4.2 投标文件的递交</w:t>
      </w:r>
      <w:bookmarkEnd w:id="103"/>
      <w:bookmarkEnd w:id="104"/>
      <w:bookmarkEnd w:id="105"/>
      <w:bookmarkEnd w:id="106"/>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提前上传，并在开标截止时间前登录不见面开标大厅，按要求</w:t>
      </w:r>
      <w:r>
        <w:rPr>
          <w:rFonts w:hint="eastAsia" w:ascii="宋体" w:hAnsi="宋体"/>
          <w:szCs w:val="21"/>
        </w:rPr>
        <w:t>在线签到、解密文件等，解密时间为投标截止时后30分钟内，</w:t>
      </w:r>
      <w:r>
        <w:rPr>
          <w:rFonts w:hint="eastAsia" w:ascii="宋体" w:hAnsi="宋体" w:cs="宋体"/>
          <w:kern w:val="0"/>
          <w:szCs w:val="21"/>
        </w:rPr>
        <w:t>不能按时上传、签到、解密者视为自动放弃投标。</w:t>
      </w:r>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07" w:name="_Hlt26954862"/>
      <w:bookmarkEnd w:id="107"/>
      <w:bookmarkStart w:id="108" w:name="_Hlt26954754"/>
      <w:bookmarkEnd w:id="108"/>
    </w:p>
    <w:p>
      <w:pPr>
        <w:spacing w:line="400" w:lineRule="exact"/>
        <w:ind w:firstLine="420" w:firstLineChars="200"/>
        <w:rPr>
          <w:rFonts w:asciiTheme="minorEastAsia" w:hAnsiTheme="minorEastAsia" w:eastAsiaTheme="minorEastAsia" w:cstheme="minorEastAsia"/>
          <w:szCs w:val="21"/>
        </w:rPr>
      </w:pPr>
    </w:p>
    <w:p>
      <w:pPr>
        <w:spacing w:line="500" w:lineRule="exact"/>
        <w:ind w:firstLine="482" w:firstLineChars="200"/>
        <w:rPr>
          <w:rFonts w:asciiTheme="minorEastAsia" w:hAnsiTheme="minorEastAsia" w:eastAsiaTheme="minorEastAsia" w:cstheme="minorEastAsia"/>
          <w:b/>
          <w:bCs/>
          <w:sz w:val="24"/>
          <w:highlight w:val="yellow"/>
        </w:rPr>
      </w:pPr>
      <w:bookmarkStart w:id="109" w:name="_Toc403122518"/>
      <w:bookmarkStart w:id="110" w:name="_Toc426369507"/>
      <w:bookmarkStart w:id="111" w:name="_Toc279599797"/>
      <w:bookmarkStart w:id="112" w:name="_Toc274249601"/>
      <w:r>
        <w:rPr>
          <w:rFonts w:hint="eastAsia" w:asciiTheme="minorEastAsia" w:hAnsiTheme="minorEastAsia" w:eastAsiaTheme="minorEastAsia" w:cstheme="minorEastAsia"/>
          <w:b/>
          <w:bCs/>
          <w:sz w:val="24"/>
        </w:rPr>
        <w:t>4.3 投标文件的修改与撤回</w:t>
      </w:r>
      <w:bookmarkEnd w:id="109"/>
      <w:bookmarkEnd w:id="110"/>
      <w:bookmarkEnd w:id="111"/>
      <w:bookmarkEnd w:id="112"/>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38"/>
        <w:spacing w:before="120" w:after="120" w:line="500" w:lineRule="exact"/>
        <w:ind w:right="-1029" w:rightChars="-490" w:firstLine="482" w:firstLineChars="200"/>
        <w:jc w:val="left"/>
        <w:rPr>
          <w:rFonts w:asciiTheme="minorEastAsia" w:hAnsiTheme="minorEastAsia" w:eastAsiaTheme="minorEastAsia" w:cstheme="minorEastAsia"/>
          <w:sz w:val="24"/>
          <w:szCs w:val="24"/>
        </w:rPr>
      </w:pPr>
      <w:bookmarkStart w:id="113" w:name="_Toc32449"/>
      <w:bookmarkStart w:id="114" w:name="_Toc426369508"/>
      <w:bookmarkStart w:id="115" w:name="_Toc403122519"/>
      <w:bookmarkStart w:id="116" w:name="_Toc18170"/>
      <w:r>
        <w:rPr>
          <w:rFonts w:hint="eastAsia" w:asciiTheme="minorEastAsia" w:hAnsiTheme="minorEastAsia" w:eastAsiaTheme="minorEastAsia" w:cstheme="minorEastAsia"/>
          <w:sz w:val="24"/>
          <w:szCs w:val="24"/>
        </w:rPr>
        <w:t>5. 开标</w:t>
      </w:r>
      <w:bookmarkEnd w:id="113"/>
      <w:bookmarkEnd w:id="114"/>
      <w:bookmarkEnd w:id="115"/>
      <w:bookmarkEnd w:id="11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所有投标文件必须在本招标文件中规定的投标截止时间之前提前上传投标文件，并在开标截止时间前登录不见面开标大厅进行签到，按要求解密投标文件，不能按时上传、签到、解密者视为自动放弃投标。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5.1.2投标人不足3家的，不得开标。  </w:t>
      </w:r>
    </w:p>
    <w:p>
      <w:pPr>
        <w:spacing w:line="500" w:lineRule="exact"/>
        <w:ind w:firstLine="482" w:firstLineChars="200"/>
        <w:rPr>
          <w:rFonts w:asciiTheme="minorEastAsia" w:hAnsiTheme="minorEastAsia" w:eastAsiaTheme="minorEastAsia" w:cstheme="minorEastAsia"/>
          <w:b/>
          <w:bCs/>
          <w:sz w:val="24"/>
        </w:rPr>
      </w:pPr>
      <w:bookmarkStart w:id="117" w:name="_Toc403122520"/>
      <w:bookmarkStart w:id="118" w:name="_Toc274249603"/>
      <w:bookmarkStart w:id="119" w:name="_Toc426369509"/>
      <w:bookmarkStart w:id="120" w:name="_Toc279599799"/>
      <w:r>
        <w:rPr>
          <w:rFonts w:hint="eastAsia" w:asciiTheme="minorEastAsia" w:hAnsiTheme="minorEastAsia" w:eastAsiaTheme="minorEastAsia" w:cstheme="minorEastAsia"/>
          <w:b/>
          <w:bCs/>
          <w:sz w:val="24"/>
        </w:rPr>
        <w:t>5.2 开标时间和地点</w:t>
      </w:r>
      <w:bookmarkEnd w:id="117"/>
      <w:bookmarkEnd w:id="118"/>
      <w:bookmarkEnd w:id="119"/>
      <w:bookmarkEnd w:id="12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21" w:name="_Toc274249604"/>
      <w:bookmarkStart w:id="122" w:name="_Toc279599800"/>
      <w:bookmarkStart w:id="123" w:name="_Toc403122521"/>
      <w:bookmarkStart w:id="124" w:name="_Toc426369510"/>
      <w:r>
        <w:rPr>
          <w:rFonts w:hint="eastAsia" w:asciiTheme="minorEastAsia" w:hAnsiTheme="minorEastAsia" w:eastAsiaTheme="minorEastAsia" w:cstheme="minorEastAsia"/>
          <w:b/>
          <w:bCs/>
          <w:sz w:val="24"/>
        </w:rPr>
        <w:t>5.3开标程序</w:t>
      </w:r>
      <w:bookmarkEnd w:id="121"/>
      <w:bookmarkEnd w:id="122"/>
      <w:bookmarkEnd w:id="123"/>
      <w:bookmarkEnd w:id="124"/>
    </w:p>
    <w:p>
      <w:pPr>
        <w:spacing w:line="400" w:lineRule="exact"/>
        <w:ind w:firstLine="420" w:firstLineChars="200"/>
        <w:rPr>
          <w:rFonts w:asciiTheme="minorEastAsia" w:hAnsiTheme="minorEastAsia" w:eastAsiaTheme="minorEastAsia" w:cstheme="minorEastAsia"/>
          <w:szCs w:val="21"/>
          <w:lang w:val="zh-CN"/>
        </w:rPr>
      </w:pPr>
      <w:bookmarkStart w:id="125"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（2）宣布开标纪律；</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(3）宣布开标人、唱标人、记录人、监标人等有关人员姓名；</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(4）电子投标文件解密；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（5）宣布投标文件开标顺序，电子唱标并记录在案；</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（6）投标人代表、招标人、监标人等有关人员在开标记录上签字确认；</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(7）开标结束。</w:t>
      </w:r>
    </w:p>
    <w:p>
      <w:pPr>
        <w:spacing w:line="500" w:lineRule="exact"/>
        <w:ind w:firstLine="482" w:firstLineChars="200"/>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rPr>
        <w:t>5.3</w:t>
      </w:r>
      <w:r>
        <w:rPr>
          <w:rFonts w:hint="eastAsia" w:asciiTheme="minorEastAsia" w:hAnsiTheme="minorEastAsia" w:eastAsiaTheme="minorEastAsia" w:cstheme="minorEastAsia"/>
          <w:b/>
          <w:bCs/>
          <w:sz w:val="24"/>
          <w:lang w:val="zh-CN"/>
        </w:rPr>
        <w:t>.2开标时出现下列情况的，采购人将拒绝其投标文件。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（1）经检查数字证书无效的投标文件；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（2）投标人未按投标人须知前附表规定的时间内解密投标文件的；</w:t>
      </w:r>
    </w:p>
    <w:p>
      <w:pPr>
        <w:spacing w:line="400" w:lineRule="exact"/>
        <w:ind w:firstLine="420" w:firstLineChars="200"/>
        <w:rPr>
          <w:rFonts w:asciiTheme="minorEastAsia" w:hAnsiTheme="minorEastAsia" w:eastAsiaTheme="minorEastAsia" w:cstheme="minorEastAsia"/>
          <w:szCs w:val="21"/>
          <w:lang w:val="zh-CN"/>
        </w:rPr>
      </w:pP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25"/>
    </w:p>
    <w:p>
      <w:pPr>
        <w:spacing w:line="400" w:lineRule="exact"/>
        <w:ind w:firstLine="420" w:firstLineChars="200"/>
        <w:rPr>
          <w:rFonts w:asciiTheme="minorEastAsia" w:hAnsiTheme="minorEastAsia" w:eastAsiaTheme="minorEastAsia" w:cstheme="minorEastAsia"/>
          <w:szCs w:val="21"/>
        </w:rPr>
      </w:pPr>
      <w:bookmarkStart w:id="126" w:name="_Toc426369512"/>
      <w:bookmarkStart w:id="127" w:name="_Toc21662"/>
      <w:bookmarkStart w:id="128" w:name="_Toc12881"/>
      <w:bookmarkStart w:id="129" w:name="_Toc403122522"/>
      <w:r>
        <w:rPr>
          <w:rFonts w:hint="eastAsia" w:asciiTheme="minorEastAsia" w:hAnsiTheme="minorEastAsia" w:eastAsiaTheme="minorEastAsia" w:cstheme="minorEastAsia"/>
          <w:szCs w:val="21"/>
        </w:rPr>
        <w:t>投标人对开标有异议的，应当在开标现场提出，采购人当场作出答复，并制作记录。</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30" w:name="_Toc13445"/>
      <w:bookmarkStart w:id="131" w:name="_Toc9927"/>
      <w:r>
        <w:rPr>
          <w:rFonts w:hint="eastAsia" w:asciiTheme="minorEastAsia" w:hAnsiTheme="minorEastAsia" w:eastAsiaTheme="minorEastAsia" w:cstheme="minorEastAsia"/>
          <w:b/>
          <w:bCs/>
          <w:szCs w:val="21"/>
        </w:rPr>
        <w:t>5.资格审查工作</w:t>
      </w:r>
      <w:bookmarkEnd w:id="130"/>
      <w:bookmarkEnd w:id="131"/>
    </w:p>
    <w:p>
      <w:pPr>
        <w:spacing w:line="400" w:lineRule="exact"/>
        <w:ind w:firstLine="420" w:firstLineChars="200"/>
        <w:rPr>
          <w:rFonts w:asciiTheme="minorEastAsia" w:hAnsiTheme="minorEastAsia" w:eastAsiaTheme="minorEastAsia" w:cstheme="minorEastAsia"/>
          <w:szCs w:val="21"/>
        </w:rPr>
      </w:pPr>
      <w:bookmarkStart w:id="132" w:name="_Toc15919"/>
      <w:bookmarkStart w:id="133" w:name="_Toc18888"/>
      <w:bookmarkStart w:id="134" w:name="_Toc18803"/>
      <w:bookmarkStart w:id="135" w:name="_Toc25448"/>
      <w:bookmarkStart w:id="136" w:name="_Toc18806"/>
      <w:bookmarkStart w:id="137" w:name="_Toc22488"/>
      <w:bookmarkStart w:id="138" w:name="_Toc25275"/>
      <w:r>
        <w:rPr>
          <w:rFonts w:hint="eastAsia" w:asciiTheme="minorEastAsia" w:hAnsiTheme="minorEastAsia" w:eastAsiaTheme="minorEastAsia" w:cstheme="minor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32"/>
      <w:bookmarkEnd w:id="133"/>
      <w:bookmarkEnd w:id="134"/>
      <w:bookmarkEnd w:id="135"/>
      <w:bookmarkEnd w:id="136"/>
      <w:bookmarkEnd w:id="137"/>
      <w:bookmarkEnd w:id="138"/>
    </w:p>
    <w:p>
      <w:pPr>
        <w:pStyle w:val="38"/>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评标</w:t>
      </w:r>
      <w:bookmarkEnd w:id="126"/>
      <w:bookmarkEnd w:id="127"/>
      <w:bookmarkEnd w:id="128"/>
      <w:bookmarkEnd w:id="129"/>
    </w:p>
    <w:p>
      <w:pPr>
        <w:spacing w:line="500" w:lineRule="exact"/>
        <w:ind w:firstLine="482" w:firstLineChars="200"/>
        <w:rPr>
          <w:rFonts w:asciiTheme="minorEastAsia" w:hAnsiTheme="minorEastAsia" w:eastAsiaTheme="minorEastAsia" w:cstheme="minorEastAsia"/>
          <w:b/>
          <w:bCs/>
          <w:sz w:val="24"/>
        </w:rPr>
      </w:pPr>
      <w:bookmarkStart w:id="139" w:name="_Toc274249606"/>
      <w:bookmarkStart w:id="140" w:name="_Toc426369513"/>
      <w:bookmarkStart w:id="141" w:name="_Toc279599802"/>
      <w:bookmarkStart w:id="142" w:name="_Toc403122523"/>
      <w:r>
        <w:rPr>
          <w:rFonts w:hint="eastAsia" w:asciiTheme="minorEastAsia" w:hAnsiTheme="minorEastAsia" w:eastAsiaTheme="minorEastAsia" w:cstheme="minorEastAsia"/>
          <w:b/>
          <w:bCs/>
          <w:sz w:val="24"/>
        </w:rPr>
        <w:t>6.1 评标委员会</w:t>
      </w:r>
      <w:bookmarkEnd w:id="139"/>
      <w:bookmarkEnd w:id="140"/>
      <w:bookmarkEnd w:id="141"/>
      <w:bookmarkEnd w:id="14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43" w:name="_Toc403122524"/>
      <w:bookmarkStart w:id="144" w:name="_Toc426369514"/>
      <w:bookmarkStart w:id="145" w:name="_Toc279599803"/>
      <w:bookmarkStart w:id="146" w:name="_Toc274249607"/>
      <w:r>
        <w:rPr>
          <w:rFonts w:hint="eastAsia" w:asciiTheme="minorEastAsia" w:hAnsiTheme="minorEastAsia" w:eastAsiaTheme="minorEastAsia" w:cstheme="minorEastAsia"/>
          <w:b/>
          <w:bCs/>
          <w:sz w:val="24"/>
        </w:rPr>
        <w:t>6.2 评标原则</w:t>
      </w:r>
      <w:bookmarkEnd w:id="143"/>
      <w:bookmarkEnd w:id="144"/>
      <w:bookmarkEnd w:id="145"/>
      <w:bookmarkEnd w:id="14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sz w:val="24"/>
        </w:rPr>
      </w:pPr>
      <w:bookmarkStart w:id="147" w:name="_Toc403122525"/>
      <w:bookmarkStart w:id="148" w:name="_Toc274249608"/>
      <w:bookmarkStart w:id="149" w:name="_Toc426369515"/>
      <w:bookmarkStart w:id="150" w:name="_Toc279599804"/>
      <w:r>
        <w:rPr>
          <w:rFonts w:hint="eastAsia" w:asciiTheme="minorEastAsia" w:hAnsiTheme="minorEastAsia" w:eastAsiaTheme="minorEastAsia" w:cstheme="minorEastAsia"/>
          <w:b/>
          <w:bCs/>
          <w:sz w:val="24"/>
        </w:rPr>
        <w:t>6.3 评标</w:t>
      </w:r>
      <w:bookmarkEnd w:id="147"/>
      <w:bookmarkEnd w:id="148"/>
      <w:bookmarkEnd w:id="149"/>
      <w:bookmarkEnd w:id="150"/>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（2）要求投标人对投标文件有关事项作出澄清或者说明；</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6.4  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（4）因重大变故，采购任务取消的。废标后，采购人应当将废标理由通知所有投标人。</w:t>
      </w:r>
    </w:p>
    <w:p>
      <w:pPr>
        <w:pStyle w:val="38"/>
        <w:spacing w:before="120" w:after="120" w:line="500" w:lineRule="exact"/>
        <w:ind w:right="-1029" w:rightChars="-490" w:firstLine="482" w:firstLineChars="200"/>
        <w:jc w:val="both"/>
      </w:pPr>
      <w:bookmarkStart w:id="151" w:name="_Toc426369516"/>
      <w:bookmarkStart w:id="152" w:name="_Toc403122526"/>
      <w:bookmarkStart w:id="153" w:name="_Toc17811"/>
      <w:bookmarkStart w:id="154" w:name="_Toc26569"/>
      <w:r>
        <w:rPr>
          <w:rFonts w:hint="eastAsia" w:asciiTheme="minorEastAsia" w:hAnsiTheme="minorEastAsia" w:eastAsiaTheme="minorEastAsia" w:cstheme="minorEastAsia"/>
          <w:sz w:val="24"/>
          <w:szCs w:val="24"/>
        </w:rPr>
        <w:t>7. 合同授予</w:t>
      </w:r>
      <w:bookmarkEnd w:id="151"/>
      <w:bookmarkEnd w:id="152"/>
      <w:bookmarkEnd w:id="153"/>
      <w:bookmarkEnd w:id="154"/>
    </w:p>
    <w:p>
      <w:pPr>
        <w:spacing w:line="500" w:lineRule="exact"/>
        <w:ind w:firstLine="482" w:firstLineChars="200"/>
        <w:rPr>
          <w:rFonts w:asciiTheme="minorEastAsia" w:hAnsiTheme="minorEastAsia" w:eastAsiaTheme="minorEastAsia" w:cstheme="minorEastAsia"/>
          <w:b/>
          <w:bCs/>
          <w:sz w:val="24"/>
        </w:rPr>
      </w:pPr>
      <w:bookmarkStart w:id="155" w:name="_Toc274249610"/>
      <w:bookmarkStart w:id="156" w:name="_Toc426369517"/>
      <w:bookmarkStart w:id="157" w:name="_Toc403122527"/>
      <w:bookmarkStart w:id="158" w:name="_Toc279599806"/>
      <w:r>
        <w:rPr>
          <w:rFonts w:hint="eastAsia" w:asciiTheme="minorEastAsia" w:hAnsiTheme="minorEastAsia" w:eastAsiaTheme="minorEastAsia" w:cstheme="minorEastAsia"/>
          <w:b/>
          <w:bCs/>
          <w:sz w:val="24"/>
        </w:rPr>
        <w:t>7.1 定标方式</w:t>
      </w:r>
      <w:bookmarkEnd w:id="155"/>
      <w:bookmarkEnd w:id="156"/>
      <w:bookmarkEnd w:id="157"/>
      <w:bookmarkEnd w:id="158"/>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59" w:name="_Toc274249611"/>
      <w:bookmarkStart w:id="160" w:name="_Toc426369518"/>
      <w:bookmarkStart w:id="161" w:name="_Toc403122528"/>
      <w:bookmarkStart w:id="162" w:name="_Toc279599807"/>
      <w:r>
        <w:rPr>
          <w:rFonts w:hint="eastAsia" w:asciiTheme="minorEastAsia" w:hAnsiTheme="minorEastAsia" w:eastAsiaTheme="minorEastAsia" w:cstheme="minorEastAsia"/>
          <w:b/>
          <w:bCs/>
          <w:sz w:val="24"/>
        </w:rPr>
        <w:t>7.2 中标通知</w:t>
      </w:r>
      <w:bookmarkEnd w:id="159"/>
      <w:bookmarkEnd w:id="160"/>
      <w:bookmarkEnd w:id="161"/>
      <w:bookmarkEnd w:id="16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3" w:name="_Toc274249612"/>
      <w:bookmarkStart w:id="164" w:name="_Toc311550376"/>
      <w:bookmarkStart w:id="165" w:name="_Toc279599808"/>
      <w:bookmarkStart w:id="166" w:name="_Toc426369519"/>
      <w:bookmarkStart w:id="167" w:name="_Toc403122529"/>
      <w:r>
        <w:rPr>
          <w:rFonts w:hint="eastAsia" w:asciiTheme="minorEastAsia" w:hAnsiTheme="minorEastAsia" w:eastAsiaTheme="minorEastAsia" w:cstheme="minorEastAsia"/>
          <w:b/>
          <w:bCs/>
          <w:color w:val="auto"/>
          <w:sz w:val="24"/>
          <w:highlight w:val="none"/>
        </w:rPr>
        <w:t>7.3</w:t>
      </w:r>
      <w:bookmarkEnd w:id="163"/>
      <w:bookmarkEnd w:id="164"/>
      <w:bookmarkEnd w:id="165"/>
      <w:r>
        <w:rPr>
          <w:rFonts w:hint="eastAsia" w:asciiTheme="minorEastAsia" w:hAnsiTheme="minorEastAsia" w:eastAsiaTheme="minorEastAsia" w:cstheme="minorEastAsia"/>
          <w:b/>
          <w:bCs/>
          <w:color w:val="auto"/>
          <w:sz w:val="24"/>
          <w:highlight w:val="none"/>
          <w:lang w:val="en-US" w:eastAsia="zh-CN"/>
        </w:rPr>
        <w:t>投标</w:t>
      </w:r>
      <w:r>
        <w:rPr>
          <w:rFonts w:hint="eastAsia" w:asciiTheme="minorEastAsia" w:hAnsiTheme="minorEastAsia" w:eastAsiaTheme="minorEastAsia" w:cstheme="minorEastAsia"/>
          <w:b/>
          <w:bCs/>
          <w:color w:val="auto"/>
          <w:sz w:val="24"/>
          <w:highlight w:val="none"/>
        </w:rPr>
        <w:t>保证金</w:t>
      </w:r>
      <w:bookmarkEnd w:id="166"/>
      <w:bookmarkEnd w:id="167"/>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7.3.1</w:t>
      </w:r>
      <w:r>
        <w:rPr>
          <w:rFonts w:hint="eastAsia" w:asciiTheme="minorEastAsia" w:hAnsiTheme="minorEastAsia" w:eastAsiaTheme="minorEastAsia" w:cstheme="minorEastAsia"/>
          <w:szCs w:val="21"/>
        </w:rPr>
        <w:t>投标保证金</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无</w:t>
      </w:r>
    </w:p>
    <w:p>
      <w:pPr>
        <w:spacing w:line="500" w:lineRule="exact"/>
        <w:ind w:firstLine="482" w:firstLineChars="200"/>
        <w:rPr>
          <w:rFonts w:asciiTheme="minorEastAsia" w:hAnsiTheme="minorEastAsia" w:eastAsiaTheme="minorEastAsia" w:cstheme="minorEastAsia"/>
          <w:b/>
          <w:bCs/>
          <w:color w:val="auto"/>
          <w:sz w:val="24"/>
        </w:rPr>
      </w:pPr>
      <w:bookmarkStart w:id="168" w:name="_Toc403122530"/>
      <w:bookmarkStart w:id="169" w:name="_Toc426369520"/>
      <w:bookmarkStart w:id="170" w:name="_Toc274249613"/>
      <w:bookmarkStart w:id="171" w:name="_Toc279599809"/>
      <w:r>
        <w:rPr>
          <w:rFonts w:hint="eastAsia" w:asciiTheme="minorEastAsia" w:hAnsiTheme="minorEastAsia" w:eastAsiaTheme="minorEastAsia" w:cstheme="minorEastAsia"/>
          <w:b/>
          <w:bCs/>
          <w:color w:val="auto"/>
          <w:sz w:val="24"/>
        </w:rPr>
        <w:t>7.4 签订合同</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38"/>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72" w:name="_Toc403122531"/>
      <w:bookmarkStart w:id="173" w:name="_Toc30009"/>
      <w:bookmarkStart w:id="174" w:name="_Toc426369521"/>
      <w:bookmarkStart w:id="175" w:name="_Toc10541"/>
      <w:r>
        <w:rPr>
          <w:rFonts w:hint="eastAsia" w:asciiTheme="minorEastAsia" w:hAnsiTheme="minorEastAsia" w:eastAsiaTheme="minorEastAsia" w:cstheme="minorEastAsia"/>
          <w:sz w:val="24"/>
          <w:szCs w:val="24"/>
        </w:rPr>
        <w:t>8. 重新招标</w:t>
      </w:r>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sz w:val="24"/>
        </w:rPr>
      </w:pPr>
      <w:bookmarkStart w:id="176" w:name="_Toc274249615"/>
      <w:bookmarkStart w:id="177" w:name="_Toc279599811"/>
      <w:bookmarkStart w:id="178" w:name="_Toc403122532"/>
      <w:bookmarkStart w:id="179" w:name="_Toc426369522"/>
      <w:r>
        <w:rPr>
          <w:rFonts w:hint="eastAsia" w:asciiTheme="minorEastAsia" w:hAnsiTheme="minorEastAsia" w:eastAsiaTheme="minorEastAsia" w:cstheme="minorEastAsia"/>
          <w:b/>
          <w:bCs/>
          <w:sz w:val="24"/>
        </w:rPr>
        <w:t>8.1 重新招标</w:t>
      </w:r>
      <w:bookmarkEnd w:id="176"/>
      <w:bookmarkEnd w:id="177"/>
      <w:bookmarkEnd w:id="178"/>
      <w:bookmarkEnd w:id="17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38"/>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80" w:name="_Toc403122533"/>
      <w:bookmarkStart w:id="181" w:name="_Toc426369523"/>
      <w:bookmarkStart w:id="182" w:name="_Toc3760"/>
      <w:bookmarkStart w:id="183" w:name="_Toc10372"/>
      <w:r>
        <w:rPr>
          <w:rFonts w:hint="eastAsia" w:asciiTheme="minorEastAsia" w:hAnsiTheme="minorEastAsia" w:eastAsiaTheme="minorEastAsia" w:cstheme="minorEastAsia"/>
          <w:sz w:val="24"/>
          <w:szCs w:val="24"/>
        </w:rPr>
        <w:t>9. 纪律和监督</w:t>
      </w:r>
      <w:bookmarkEnd w:id="180"/>
      <w:bookmarkEnd w:id="181"/>
      <w:bookmarkEnd w:id="182"/>
      <w:bookmarkEnd w:id="183"/>
    </w:p>
    <w:p>
      <w:pPr>
        <w:spacing w:line="500" w:lineRule="exact"/>
        <w:ind w:firstLine="482" w:firstLineChars="200"/>
        <w:rPr>
          <w:rFonts w:asciiTheme="minorEastAsia" w:hAnsiTheme="minorEastAsia" w:eastAsiaTheme="minorEastAsia" w:cstheme="minorEastAsia"/>
          <w:b/>
          <w:bCs/>
          <w:sz w:val="24"/>
        </w:rPr>
      </w:pPr>
      <w:bookmarkStart w:id="184" w:name="_Toc426369524"/>
      <w:bookmarkStart w:id="185" w:name="_Toc279599814"/>
      <w:bookmarkStart w:id="186" w:name="_Toc403122534"/>
      <w:bookmarkStart w:id="187" w:name="_Toc274249618"/>
      <w:r>
        <w:rPr>
          <w:rFonts w:hint="eastAsia" w:asciiTheme="minorEastAsia" w:hAnsiTheme="minorEastAsia" w:eastAsiaTheme="minorEastAsia" w:cstheme="minorEastAsia"/>
          <w:b/>
          <w:bCs/>
          <w:sz w:val="24"/>
        </w:rPr>
        <w:t>9.1 对采购人的纪律要求</w:t>
      </w:r>
      <w:bookmarkEnd w:id="184"/>
      <w:bookmarkEnd w:id="185"/>
      <w:bookmarkEnd w:id="186"/>
      <w:bookmarkEnd w:id="18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188" w:name="_Toc279599815"/>
      <w:bookmarkStart w:id="189" w:name="_Toc403122535"/>
      <w:bookmarkStart w:id="190" w:name="_Toc274249619"/>
      <w:bookmarkStart w:id="191" w:name="_Toc426369525"/>
      <w:r>
        <w:rPr>
          <w:rFonts w:hint="eastAsia" w:asciiTheme="minorEastAsia" w:hAnsiTheme="minorEastAsia" w:eastAsiaTheme="minorEastAsia" w:cstheme="minorEastAsia"/>
          <w:b/>
          <w:bCs/>
          <w:sz w:val="24"/>
        </w:rPr>
        <w:t>9.2 对投标人的纪律要求</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192" w:name="_Toc426369526"/>
      <w:bookmarkStart w:id="193" w:name="_Toc279599816"/>
      <w:bookmarkStart w:id="194" w:name="_Toc403122536"/>
      <w:bookmarkStart w:id="195" w:name="_Toc274249620"/>
      <w:r>
        <w:rPr>
          <w:rFonts w:hint="eastAsia" w:asciiTheme="minorEastAsia" w:hAnsiTheme="minorEastAsia" w:eastAsiaTheme="minorEastAsia" w:cstheme="minorEastAsia"/>
          <w:b/>
          <w:bCs/>
          <w:sz w:val="24"/>
        </w:rPr>
        <w:t>9.3 对评标委员会成员的纪律要求</w:t>
      </w:r>
      <w:bookmarkEnd w:id="192"/>
      <w:bookmarkEnd w:id="193"/>
      <w:bookmarkEnd w:id="194"/>
      <w:bookmarkEnd w:id="19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196" w:name="_Toc279599817"/>
      <w:bookmarkStart w:id="197" w:name="_Toc403122537"/>
      <w:bookmarkStart w:id="198" w:name="_Toc274249621"/>
      <w:bookmarkStart w:id="199" w:name="_Toc426369527"/>
      <w:r>
        <w:rPr>
          <w:rFonts w:hint="eastAsia" w:asciiTheme="minorEastAsia" w:hAnsiTheme="minorEastAsia" w:eastAsiaTheme="minorEastAsia" w:cstheme="minorEastAsia"/>
          <w:b/>
          <w:bCs/>
          <w:sz w:val="24"/>
        </w:rPr>
        <w:t>9.4 对与评标活动有关的工作人员的纪律要求</w:t>
      </w:r>
      <w:bookmarkEnd w:id="196"/>
      <w:bookmarkEnd w:id="197"/>
      <w:bookmarkEnd w:id="198"/>
      <w:bookmarkEnd w:id="19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00" w:name="_Toc403122538"/>
      <w:bookmarkStart w:id="201" w:name="_Toc279599818"/>
      <w:bookmarkStart w:id="202" w:name="_Toc274249622"/>
      <w:bookmarkStart w:id="203" w:name="_Toc426369528"/>
      <w:r>
        <w:rPr>
          <w:rFonts w:hint="eastAsia" w:asciiTheme="minorEastAsia" w:hAnsiTheme="minorEastAsia" w:eastAsiaTheme="minorEastAsia" w:cstheme="minorEastAsia"/>
          <w:b/>
          <w:bCs/>
          <w:sz w:val="24"/>
        </w:rPr>
        <w:t>9.5 投诉</w:t>
      </w:r>
      <w:bookmarkEnd w:id="200"/>
      <w:bookmarkEnd w:id="201"/>
      <w:bookmarkEnd w:id="202"/>
      <w:bookmarkEnd w:id="20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38"/>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04" w:name="_Toc10880"/>
      <w:bookmarkStart w:id="205" w:name="_Toc403122539"/>
      <w:bookmarkStart w:id="206" w:name="_Toc13281"/>
      <w:bookmarkStart w:id="207" w:name="_Toc426369529"/>
      <w:r>
        <w:rPr>
          <w:rFonts w:hint="eastAsia" w:asciiTheme="minorEastAsia" w:hAnsiTheme="minorEastAsia" w:eastAsiaTheme="minorEastAsia" w:cstheme="minorEastAsia"/>
          <w:sz w:val="24"/>
          <w:szCs w:val="24"/>
        </w:rPr>
        <w:t>10. 需要补充的其他内容</w:t>
      </w:r>
      <w:bookmarkEnd w:id="204"/>
      <w:bookmarkEnd w:id="205"/>
      <w:bookmarkEnd w:id="206"/>
      <w:bookmarkEnd w:id="207"/>
    </w:p>
    <w:p>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（3）供应商与采购人签订合同后，将合同报采购代理机构备案。</w:t>
      </w:r>
    </w:p>
    <w:p>
      <w:pPr>
        <w:pStyle w:val="56"/>
        <w:ind w:firstLine="482" w:firstLineChars="200"/>
      </w:pPr>
      <w:r>
        <w:rPr>
          <w:rFonts w:hint="eastAsia" w:ascii="宋体" w:hAnsi="宋体" w:cs="宋体"/>
          <w:b/>
          <w:sz w:val="24"/>
        </w:rPr>
        <w:t>10.2</w:t>
      </w:r>
      <w:r>
        <w:rPr>
          <w:rFonts w:hint="eastAsia" w:ascii="宋体" w:hAnsi="宋体" w:cs="宋体"/>
          <w:b/>
          <w:szCs w:val="21"/>
        </w:rPr>
        <w:t>本招标文件未尽事宜，按《中华人民共和国政府采购法》等法律法规的有关规定执行。</w:t>
      </w:r>
    </w:p>
    <w:p>
      <w:pPr>
        <w:pStyle w:val="3"/>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38"/>
        <w:numPr>
          <w:ilvl w:val="0"/>
          <w:numId w:val="5"/>
        </w:numPr>
        <w:spacing w:line="600" w:lineRule="exact"/>
        <w:ind w:right="-63" w:rightChars="-30"/>
        <w:rPr>
          <w:rFonts w:asciiTheme="minorEastAsia" w:hAnsiTheme="minorEastAsia" w:eastAsiaTheme="minorEastAsia" w:cstheme="minorEastAsia"/>
          <w:sz w:val="36"/>
          <w:szCs w:val="36"/>
        </w:rPr>
      </w:pPr>
      <w:bookmarkStart w:id="208" w:name="_Toc426369530"/>
      <w:bookmarkStart w:id="209" w:name="_Toc28433"/>
      <w:bookmarkStart w:id="210" w:name="_Toc403122540"/>
      <w:bookmarkStart w:id="211" w:name="_Toc1253"/>
      <w:r>
        <w:rPr>
          <w:rFonts w:hint="eastAsia" w:asciiTheme="minorEastAsia" w:hAnsiTheme="minorEastAsia" w:eastAsiaTheme="minorEastAsia" w:cstheme="minorEastAsia"/>
          <w:sz w:val="36"/>
          <w:szCs w:val="36"/>
        </w:rPr>
        <w:t>评标办法</w:t>
      </w:r>
      <w:bookmarkEnd w:id="208"/>
      <w:bookmarkEnd w:id="209"/>
      <w:bookmarkEnd w:id="210"/>
      <w:r>
        <w:rPr>
          <w:rFonts w:hint="eastAsia" w:asciiTheme="minorEastAsia" w:hAnsiTheme="minorEastAsia" w:eastAsiaTheme="minorEastAsia" w:cstheme="minorEastAsia"/>
          <w:sz w:val="36"/>
          <w:szCs w:val="36"/>
        </w:rPr>
        <w:t>（综合评分法）</w:t>
      </w:r>
      <w:bookmarkEnd w:id="211"/>
    </w:p>
    <w:p>
      <w:pPr>
        <w:pStyle w:val="107"/>
        <w:spacing w:line="540" w:lineRule="exact"/>
        <w:outlineLvl w:val="2"/>
        <w:rPr>
          <w:rFonts w:asciiTheme="minorEastAsia" w:hAnsiTheme="minorEastAsia" w:eastAsiaTheme="minorEastAsia" w:cstheme="minorEastAsia"/>
          <w:b/>
          <w:bCs/>
          <w:sz w:val="28"/>
          <w:szCs w:val="28"/>
        </w:rPr>
      </w:pPr>
      <w:bookmarkStart w:id="212" w:name="_Toc30933"/>
      <w:bookmarkStart w:id="213" w:name="_Toc17859"/>
      <w:bookmarkStart w:id="214" w:name="_Toc29947"/>
      <w:bookmarkStart w:id="215" w:name="_Toc21885"/>
      <w:bookmarkStart w:id="216" w:name="_Toc16529"/>
      <w:bookmarkStart w:id="217" w:name="_Toc2761070"/>
      <w:r>
        <w:rPr>
          <w:rFonts w:hint="eastAsia" w:asciiTheme="minorEastAsia" w:hAnsiTheme="minorEastAsia" w:eastAsiaTheme="minorEastAsia" w:cstheme="minorEastAsia"/>
          <w:b/>
          <w:bCs/>
          <w:sz w:val="28"/>
          <w:szCs w:val="28"/>
        </w:rPr>
        <w:t>（一）评分办法前附表</w:t>
      </w:r>
      <w:bookmarkEnd w:id="212"/>
      <w:bookmarkEnd w:id="213"/>
      <w:bookmarkEnd w:id="214"/>
      <w:bookmarkEnd w:id="215"/>
    </w:p>
    <w:tbl>
      <w:tblPr>
        <w:tblStyle w:val="40"/>
        <w:tblpPr w:leftFromText="180" w:rightFromText="180" w:vertAnchor="text" w:horzAnchor="page" w:tblpX="1258" w:tblpY="326"/>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pPr>
              <w:spacing w:line="440" w:lineRule="exact"/>
              <w:jc w:val="center"/>
              <w:rPr>
                <w:rFonts w:ascii="宋体" w:hAnsi="宋体" w:cs="宋体"/>
                <w:b/>
                <w:szCs w:val="21"/>
              </w:rPr>
            </w:pPr>
            <w:bookmarkStart w:id="218" w:name="_Toc471"/>
            <w:bookmarkStart w:id="219" w:name="_Toc13389"/>
            <w:bookmarkStart w:id="220" w:name="_Toc28874"/>
            <w:bookmarkStart w:id="221" w:name="_Toc26394"/>
            <w:r>
              <w:rPr>
                <w:rFonts w:hint="eastAsia" w:ascii="宋体" w:hAnsi="宋体" w:cs="宋体"/>
                <w:b/>
                <w:bCs/>
                <w:kern w:val="0"/>
                <w:szCs w:val="21"/>
              </w:rPr>
              <w:t>审查主体</w:t>
            </w:r>
          </w:p>
        </w:tc>
        <w:tc>
          <w:tcPr>
            <w:tcW w:w="3179" w:type="dxa"/>
            <w:gridSpan w:val="2"/>
            <w:vAlign w:val="center"/>
          </w:tcPr>
          <w:p>
            <w:pPr>
              <w:spacing w:line="440" w:lineRule="exact"/>
              <w:jc w:val="center"/>
              <w:rPr>
                <w:rFonts w:ascii="宋体" w:hAnsi="宋体" w:cs="宋体"/>
                <w:b/>
                <w:szCs w:val="21"/>
              </w:rPr>
            </w:pPr>
            <w:r>
              <w:rPr>
                <w:rFonts w:hint="eastAsia" w:ascii="宋体" w:hAnsi="宋体" w:cs="宋体"/>
                <w:b/>
                <w:szCs w:val="21"/>
              </w:rPr>
              <w:t>评审因素</w:t>
            </w:r>
          </w:p>
        </w:tc>
        <w:tc>
          <w:tcPr>
            <w:tcW w:w="5602" w:type="dxa"/>
            <w:vAlign w:val="center"/>
          </w:tcPr>
          <w:p>
            <w:pPr>
              <w:tabs>
                <w:tab w:val="left" w:pos="417"/>
                <w:tab w:val="center" w:pos="2999"/>
              </w:tabs>
              <w:spacing w:line="440" w:lineRule="exact"/>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095" w:type="dxa"/>
            <w:vMerge w:val="restart"/>
            <w:vAlign w:val="center"/>
          </w:tcPr>
          <w:p>
            <w:pPr>
              <w:spacing w:line="360" w:lineRule="exact"/>
              <w:jc w:val="center"/>
              <w:rPr>
                <w:rFonts w:ascii="宋体" w:hAnsi="宋体" w:cs="宋体"/>
                <w:szCs w:val="21"/>
              </w:rPr>
            </w:pPr>
            <w:r>
              <w:rPr>
                <w:rFonts w:hint="eastAsia" w:ascii="宋体" w:hAnsi="宋体" w:cs="宋体"/>
                <w:szCs w:val="21"/>
              </w:rPr>
              <w:t>资格审查小组</w:t>
            </w:r>
          </w:p>
        </w:tc>
        <w:tc>
          <w:tcPr>
            <w:tcW w:w="1095" w:type="dxa"/>
            <w:vMerge w:val="restart"/>
            <w:vAlign w:val="center"/>
          </w:tcPr>
          <w:p>
            <w:pPr>
              <w:spacing w:line="360" w:lineRule="exact"/>
              <w:jc w:val="center"/>
              <w:rPr>
                <w:rFonts w:ascii="宋体" w:hAnsi="宋体" w:cs="宋体"/>
                <w:szCs w:val="21"/>
              </w:rPr>
            </w:pPr>
            <w:r>
              <w:rPr>
                <w:rFonts w:hint="eastAsia" w:ascii="宋体" w:hAnsi="宋体" w:cs="宋体"/>
                <w:szCs w:val="21"/>
              </w:rPr>
              <w:t>一、资格评审标准</w:t>
            </w:r>
          </w:p>
        </w:tc>
        <w:tc>
          <w:tcPr>
            <w:tcW w:w="2084" w:type="dxa"/>
            <w:vAlign w:val="center"/>
          </w:tcPr>
          <w:p>
            <w:pPr>
              <w:spacing w:line="320" w:lineRule="exact"/>
              <w:jc w:val="center"/>
              <w:rPr>
                <w:rFonts w:ascii="宋体" w:hAnsi="宋体" w:cs="宋体"/>
                <w:szCs w:val="21"/>
              </w:rPr>
            </w:pPr>
            <w:r>
              <w:rPr>
                <w:rFonts w:hint="eastAsia" w:ascii="宋体" w:hAnsi="宋体" w:cs="宋体"/>
                <w:szCs w:val="21"/>
              </w:rPr>
              <w:t>营业执照、税务登记证、组织机构代码证</w:t>
            </w:r>
          </w:p>
        </w:tc>
        <w:tc>
          <w:tcPr>
            <w:tcW w:w="5602" w:type="dxa"/>
            <w:vAlign w:val="center"/>
          </w:tcPr>
          <w:p>
            <w:pPr>
              <w:spacing w:line="320" w:lineRule="exact"/>
              <w:rPr>
                <w:rFonts w:ascii="宋体" w:hAnsi="宋体" w:cs="宋体"/>
                <w:szCs w:val="21"/>
              </w:rPr>
            </w:pPr>
            <w:r>
              <w:rPr>
                <w:rFonts w:hint="eastAsia" w:ascii="宋体" w:hAnsi="宋体" w:cs="宋体"/>
                <w:szCs w:val="21"/>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095" w:type="dxa"/>
            <w:vMerge w:val="continue"/>
            <w:vAlign w:val="center"/>
          </w:tcPr>
          <w:p>
            <w:pPr>
              <w:spacing w:line="440" w:lineRule="exact"/>
              <w:jc w:val="center"/>
              <w:rPr>
                <w:rFonts w:ascii="宋体" w:hAnsi="宋体" w:cs="宋体"/>
                <w:szCs w:val="21"/>
              </w:rPr>
            </w:pPr>
          </w:p>
        </w:tc>
        <w:tc>
          <w:tcPr>
            <w:tcW w:w="1095" w:type="dxa"/>
            <w:vMerge w:val="continue"/>
            <w:vAlign w:val="center"/>
          </w:tcPr>
          <w:p>
            <w:pPr>
              <w:spacing w:line="440" w:lineRule="exact"/>
              <w:jc w:val="center"/>
              <w:rPr>
                <w:rFonts w:ascii="宋体" w:hAnsi="宋体" w:cs="宋体"/>
                <w:szCs w:val="21"/>
              </w:rPr>
            </w:pPr>
          </w:p>
        </w:tc>
        <w:tc>
          <w:tcPr>
            <w:tcW w:w="2084" w:type="dxa"/>
            <w:vAlign w:val="center"/>
          </w:tcPr>
          <w:p>
            <w:pPr>
              <w:spacing w:line="360" w:lineRule="exact"/>
              <w:jc w:val="center"/>
              <w:rPr>
                <w:rFonts w:ascii="宋体" w:hAnsi="宋体" w:cs="宋体"/>
                <w:szCs w:val="21"/>
              </w:rPr>
            </w:pPr>
            <w:r>
              <w:rPr>
                <w:rFonts w:hint="eastAsia" w:ascii="宋体" w:hAnsi="宋体" w:cs="宋体"/>
                <w:szCs w:val="21"/>
              </w:rPr>
              <w:t>法人代表证明或法人授权委托书</w:t>
            </w:r>
          </w:p>
        </w:tc>
        <w:tc>
          <w:tcPr>
            <w:tcW w:w="5602" w:type="dxa"/>
            <w:vAlign w:val="center"/>
          </w:tcPr>
          <w:p>
            <w:pPr>
              <w:spacing w:line="360" w:lineRule="exact"/>
              <w:rPr>
                <w:rFonts w:ascii="宋体" w:hAnsi="宋体" w:cs="宋体"/>
                <w:szCs w:val="21"/>
              </w:rPr>
            </w:pPr>
            <w:r>
              <w:rPr>
                <w:rFonts w:hint="eastAsia" w:ascii="宋体" w:hAnsi="宋体" w:cs="宋体"/>
                <w:szCs w:val="21"/>
              </w:rPr>
              <w:t>法人代表（负责人）证明或法人授权委托书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095" w:type="dxa"/>
            <w:vMerge w:val="continue"/>
            <w:vAlign w:val="center"/>
          </w:tcPr>
          <w:p>
            <w:pPr>
              <w:spacing w:line="440" w:lineRule="exact"/>
              <w:jc w:val="center"/>
              <w:rPr>
                <w:rFonts w:ascii="宋体" w:hAnsi="宋体" w:cs="宋体"/>
                <w:szCs w:val="21"/>
              </w:rPr>
            </w:pPr>
          </w:p>
        </w:tc>
        <w:tc>
          <w:tcPr>
            <w:tcW w:w="1095" w:type="dxa"/>
            <w:vMerge w:val="continue"/>
            <w:vAlign w:val="center"/>
          </w:tcPr>
          <w:p>
            <w:pPr>
              <w:spacing w:line="440" w:lineRule="exact"/>
              <w:jc w:val="center"/>
              <w:rPr>
                <w:rFonts w:ascii="宋体" w:hAnsi="宋体" w:cs="宋体"/>
                <w:szCs w:val="21"/>
              </w:rPr>
            </w:pPr>
          </w:p>
        </w:tc>
        <w:tc>
          <w:tcPr>
            <w:tcW w:w="2084" w:type="dxa"/>
            <w:vAlign w:val="center"/>
          </w:tcPr>
          <w:p>
            <w:pPr>
              <w:spacing w:line="360" w:lineRule="exact"/>
              <w:jc w:val="center"/>
              <w:rPr>
                <w:rFonts w:ascii="宋体" w:hAnsi="宋体" w:cs="宋体"/>
                <w:szCs w:val="21"/>
              </w:rPr>
            </w:pPr>
            <w:r>
              <w:rPr>
                <w:rFonts w:hint="eastAsia" w:ascii="宋体" w:hAnsi="宋体" w:cs="宋体"/>
                <w:szCs w:val="21"/>
              </w:rPr>
              <w:t>信誉要求</w:t>
            </w:r>
          </w:p>
        </w:tc>
        <w:tc>
          <w:tcPr>
            <w:tcW w:w="5602" w:type="dxa"/>
            <w:vAlign w:val="center"/>
          </w:tcPr>
          <w:p>
            <w:pPr>
              <w:spacing w:line="360" w:lineRule="exact"/>
              <w:rPr>
                <w:rFonts w:ascii="宋体" w:hAnsi="宋体" w:cs="宋体"/>
                <w:szCs w:val="21"/>
              </w:rPr>
            </w:pPr>
            <w:r>
              <w:rPr>
                <w:rFonts w:hint="eastAsia" w:ascii="宋体" w:hAnsi="宋体" w:cs="宋体"/>
                <w:szCs w:val="21"/>
              </w:rPr>
              <w:t>符合第二章“供应商须知”第1.4.1项规定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1095" w:type="dxa"/>
            <w:vMerge w:val="continue"/>
            <w:tcBorders>
              <w:bottom w:val="single" w:color="auto" w:sz="4" w:space="0"/>
            </w:tcBorders>
            <w:vAlign w:val="center"/>
          </w:tcPr>
          <w:p>
            <w:pPr>
              <w:spacing w:line="440" w:lineRule="exact"/>
              <w:jc w:val="center"/>
              <w:rPr>
                <w:rFonts w:ascii="宋体" w:hAnsi="宋体" w:cs="宋体"/>
                <w:szCs w:val="21"/>
              </w:rPr>
            </w:pPr>
          </w:p>
        </w:tc>
        <w:tc>
          <w:tcPr>
            <w:tcW w:w="1095" w:type="dxa"/>
            <w:vMerge w:val="continue"/>
            <w:tcBorders>
              <w:bottom w:val="single" w:color="auto" w:sz="4" w:space="0"/>
            </w:tcBorders>
            <w:vAlign w:val="center"/>
          </w:tcPr>
          <w:p>
            <w:pPr>
              <w:spacing w:line="440" w:lineRule="exact"/>
              <w:jc w:val="center"/>
              <w:rPr>
                <w:rFonts w:ascii="宋体" w:hAnsi="宋体" w:cs="宋体"/>
                <w:szCs w:val="21"/>
              </w:rPr>
            </w:pPr>
          </w:p>
        </w:tc>
        <w:tc>
          <w:tcPr>
            <w:tcW w:w="2084" w:type="dxa"/>
            <w:tcBorders>
              <w:bottom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其他要求</w:t>
            </w:r>
          </w:p>
        </w:tc>
        <w:tc>
          <w:tcPr>
            <w:tcW w:w="5602" w:type="dxa"/>
            <w:tcBorders>
              <w:bottom w:val="single" w:color="auto" w:sz="4" w:space="0"/>
            </w:tcBorders>
            <w:vAlign w:val="center"/>
          </w:tcPr>
          <w:p>
            <w:pPr>
              <w:spacing w:line="360" w:lineRule="exact"/>
              <w:rPr>
                <w:rFonts w:ascii="宋体" w:hAnsi="宋体" w:cs="宋体"/>
                <w:szCs w:val="21"/>
              </w:rPr>
            </w:pPr>
            <w:r>
              <w:rPr>
                <w:rFonts w:hint="eastAsia" w:ascii="宋体" w:hAnsi="宋体" w:cs="宋体"/>
                <w:szCs w:val="21"/>
              </w:rPr>
              <w:t>符合第二章“供应商须知”第1.4.1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供应商名称</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投标函签字盖章</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投标文件格式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报价唯一</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采购内容</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bCs/>
                <w:iCs/>
                <w:sz w:val="20"/>
                <w:szCs w:val="20"/>
              </w:rPr>
              <w:t>供货及安装期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质量标准</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 w:val="20"/>
                <w:szCs w:val="20"/>
              </w:rPr>
              <w:t>质保期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 w:val="20"/>
                <w:szCs w:val="20"/>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投标有效期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权利义务</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技术标准和要求</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符合第五章“</w:t>
            </w:r>
            <w:r>
              <w:rPr>
                <w:rFonts w:hint="eastAsia" w:ascii="宋体" w:hAnsi="宋体" w:cs="宋体"/>
                <w:bCs/>
                <w:szCs w:val="21"/>
              </w:rPr>
              <w:t>采购内容及需求</w:t>
            </w:r>
            <w:r>
              <w:rPr>
                <w:rFonts w:hint="eastAsia" w:ascii="宋体" w:hAnsi="宋体" w:cs="宋体"/>
                <w:szCs w:val="21"/>
              </w:rPr>
              <w:t>”规定，若不符合第五章技术标准和要求规定，将不再进行评审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投标文件的其他响应</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符合法律、法规和招标文件中规定的其他实质性要求的</w:t>
            </w:r>
          </w:p>
        </w:tc>
      </w:tr>
    </w:tbl>
    <w:p>
      <w:pPr>
        <w:pStyle w:val="107"/>
        <w:spacing w:line="540" w:lineRule="exact"/>
        <w:outlineLvl w:val="2"/>
        <w:rPr>
          <w:rFonts w:asciiTheme="minorEastAsia" w:hAnsiTheme="minorEastAsia" w:eastAsiaTheme="minorEastAsia" w:cstheme="minorEastAsia"/>
          <w:b/>
          <w:bCs/>
          <w:sz w:val="28"/>
          <w:szCs w:val="28"/>
        </w:rPr>
      </w:pPr>
    </w:p>
    <w:bookmarkEnd w:id="216"/>
    <w:bookmarkEnd w:id="218"/>
    <w:bookmarkEnd w:id="219"/>
    <w:bookmarkEnd w:id="220"/>
    <w:bookmarkEnd w:id="221"/>
    <w:p>
      <w:pPr>
        <w:pStyle w:val="5"/>
        <w:ind w:firstLine="0" w:firstLineChars="0"/>
        <w:rPr>
          <w:rFonts w:asciiTheme="minorEastAsia" w:hAnsiTheme="minorEastAsia" w:eastAsiaTheme="minorEastAsia" w:cstheme="minorEastAsia"/>
          <w:b/>
          <w:bCs/>
          <w:sz w:val="28"/>
          <w:szCs w:val="28"/>
        </w:rPr>
      </w:pPr>
      <w:bookmarkStart w:id="222" w:name="_Toc426369531"/>
      <w:bookmarkStart w:id="223" w:name="_Toc31084"/>
      <w:bookmarkStart w:id="224" w:name="_Toc403122541"/>
    </w:p>
    <w:tbl>
      <w:tblPr>
        <w:tblStyle w:val="40"/>
        <w:tblpPr w:leftFromText="180" w:rightFromText="180" w:vertAnchor="text" w:horzAnchor="page" w:tblpX="1337" w:tblpY="893"/>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94"/>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2" w:hRule="atLeast"/>
        </w:trPr>
        <w:tc>
          <w:tcPr>
            <w:tcW w:w="2794" w:type="dxa"/>
            <w:vAlign w:val="center"/>
          </w:tcPr>
          <w:p>
            <w:pPr>
              <w:pStyle w:val="117"/>
              <w:adjustRightInd w:val="0"/>
              <w:snapToGrid w:val="0"/>
              <w:jc w:val="center"/>
              <w:rPr>
                <w:rFonts w:hint="eastAsia" w:ascii="宋体" w:hAnsi="宋体" w:eastAsia="宋体" w:cs="宋体"/>
                <w:color w:val="auto"/>
                <w:kern w:val="2"/>
                <w:sz w:val="20"/>
                <w:szCs w:val="20"/>
                <w:lang w:val="en-US" w:eastAsia="zh-CN" w:bidi="ar-SA"/>
              </w:rPr>
            </w:pPr>
            <w:bookmarkStart w:id="225" w:name="_Toc23606"/>
            <w:bookmarkStart w:id="226" w:name="_Toc25111"/>
            <w:bookmarkStart w:id="227" w:name="_Toc8263"/>
            <w:r>
              <w:rPr>
                <w:rFonts w:hint="eastAsia" w:ascii="宋体" w:hAnsi="宋体" w:eastAsia="宋体" w:cs="宋体"/>
                <w:color w:val="auto"/>
                <w:kern w:val="2"/>
                <w:sz w:val="20"/>
                <w:szCs w:val="20"/>
                <w:lang w:val="en-US" w:eastAsia="zh-CN" w:bidi="ar-SA"/>
              </w:rPr>
              <w:t>分值构成</w:t>
            </w:r>
          </w:p>
          <w:p>
            <w:pPr>
              <w:pStyle w:val="117"/>
              <w:adjustRightInd w:val="0"/>
              <w:snapToGrid w:val="0"/>
              <w:jc w:val="center"/>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(总分100分）</w:t>
            </w:r>
          </w:p>
        </w:tc>
        <w:tc>
          <w:tcPr>
            <w:tcW w:w="6826" w:type="dxa"/>
            <w:vAlign w:val="center"/>
          </w:tcPr>
          <w:p>
            <w:pPr>
              <w:pStyle w:val="117"/>
              <w:adjustRightInd w:val="0"/>
              <w:snapToGrid w:val="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报价部分（30分）</w:t>
            </w:r>
          </w:p>
          <w:p>
            <w:pPr>
              <w:pStyle w:val="117"/>
              <w:adjustRightInd w:val="0"/>
              <w:snapToGrid w:val="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商务部分（20</w:t>
            </w:r>
            <w:r>
              <w:rPr>
                <w:rFonts w:hint="eastAsia" w:ascii="宋体" w:hAnsi="宋体" w:eastAsia="宋体" w:cs="宋体"/>
                <w:color w:val="auto"/>
                <w:kern w:val="2"/>
                <w:sz w:val="20"/>
                <w:szCs w:val="20"/>
                <w:lang w:val="zh-TW" w:eastAsia="zh-TW" w:bidi="ar-SA"/>
              </w:rPr>
              <w:t>分</w:t>
            </w:r>
            <w:r>
              <w:rPr>
                <w:rFonts w:hint="eastAsia" w:ascii="宋体" w:hAnsi="宋体" w:eastAsia="宋体" w:cs="宋体"/>
                <w:color w:val="auto"/>
                <w:kern w:val="2"/>
                <w:sz w:val="20"/>
                <w:szCs w:val="20"/>
                <w:lang w:val="en-US" w:eastAsia="zh-CN" w:bidi="ar-SA"/>
              </w:rPr>
              <w:t>）</w:t>
            </w:r>
          </w:p>
          <w:p>
            <w:pPr>
              <w:pStyle w:val="117"/>
              <w:adjustRightInd w:val="0"/>
              <w:snapToGrid w:val="0"/>
              <w:jc w:val="both"/>
              <w:rPr>
                <w:rFonts w:hint="eastAsia"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技术部分（50分）</w:t>
            </w:r>
          </w:p>
        </w:tc>
      </w:tr>
    </w:tbl>
    <w:p>
      <w:pPr>
        <w:pStyle w:val="5"/>
        <w:widowControl/>
        <w:tabs>
          <w:tab w:val="left" w:pos="945"/>
          <w:tab w:val="left" w:pos="1155"/>
        </w:tabs>
        <w:ind w:left="420" w:firstLine="0" w:firstLineChars="0"/>
        <w:jc w:val="center"/>
        <w:rPr>
          <w:rFonts w:ascii="宋体" w:hAnsi="宋体" w:cs="宋体"/>
          <w:b/>
          <w:sz w:val="36"/>
          <w:szCs w:val="36"/>
        </w:rPr>
      </w:pPr>
      <w:r>
        <w:rPr>
          <w:rFonts w:hint="eastAsia" w:ascii="宋体" w:hAnsi="宋体" w:cs="宋体"/>
          <w:b/>
          <w:sz w:val="36"/>
          <w:szCs w:val="36"/>
        </w:rPr>
        <w:t xml:space="preserve"> 评标办法</w:t>
      </w:r>
      <w:bookmarkEnd w:id="225"/>
      <w:bookmarkEnd w:id="226"/>
      <w:bookmarkEnd w:id="227"/>
    </w:p>
    <w:tbl>
      <w:tblPr>
        <w:tblStyle w:val="40"/>
        <w:tblpPr w:leftFromText="180" w:rightFromText="180" w:vertAnchor="text" w:horzAnchor="page" w:tblpX="1397" w:tblpY="222"/>
        <w:tblOverlap w:val="never"/>
        <w:tblW w:w="965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3"/>
        <w:gridCol w:w="996"/>
        <w:gridCol w:w="1729"/>
        <w:gridCol w:w="57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133" w:type="dxa"/>
            <w:tcBorders>
              <w:top w:val="double" w:color="auto" w:sz="4" w:space="0"/>
              <w:left w:val="double" w:color="auto" w:sz="4" w:space="0"/>
              <w:bottom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内容</w:t>
            </w:r>
          </w:p>
        </w:tc>
        <w:tc>
          <w:tcPr>
            <w:tcW w:w="996" w:type="dxa"/>
            <w:tcBorders>
              <w:top w:val="double" w:color="auto" w:sz="4" w:space="0"/>
              <w:left w:val="single" w:color="auto" w:sz="6" w:space="0"/>
              <w:bottom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分值</w:t>
            </w:r>
          </w:p>
        </w:tc>
        <w:tc>
          <w:tcPr>
            <w:tcW w:w="1729" w:type="dxa"/>
            <w:tcBorders>
              <w:top w:val="double" w:color="auto" w:sz="4" w:space="0"/>
              <w:left w:val="single" w:color="auto" w:sz="6" w:space="0"/>
              <w:bottom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评分因素分项</w:t>
            </w:r>
          </w:p>
        </w:tc>
        <w:tc>
          <w:tcPr>
            <w:tcW w:w="5792" w:type="dxa"/>
            <w:tcBorders>
              <w:top w:val="double" w:color="auto" w:sz="4" w:space="0"/>
              <w:left w:val="single" w:color="auto" w:sz="6" w:space="0"/>
              <w:bottom w:val="single" w:color="auto" w:sz="6" w:space="0"/>
              <w:right w:val="double" w:color="auto" w:sz="4"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3" w:hRule="atLeast"/>
        </w:trPr>
        <w:tc>
          <w:tcPr>
            <w:tcW w:w="1133" w:type="dxa"/>
            <w:tcBorders>
              <w:top w:val="single" w:color="auto" w:sz="6" w:space="0"/>
              <w:left w:val="double" w:color="auto" w:sz="4" w:space="0"/>
              <w:bottom w:val="single" w:color="auto" w:sz="6" w:space="0"/>
              <w:right w:val="single" w:color="auto" w:sz="6" w:space="0"/>
            </w:tcBorders>
            <w:shd w:val="clear" w:color="auto" w:fill="auto"/>
            <w:vAlign w:val="center"/>
          </w:tcPr>
          <w:p>
            <w:pPr>
              <w:widowControl/>
              <w:spacing w:before="156" w:beforeLines="50" w:line="360" w:lineRule="auto"/>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价格部分</w:t>
            </w:r>
          </w:p>
        </w:tc>
        <w:tc>
          <w:tcPr>
            <w:tcW w:w="99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30</w:t>
            </w:r>
            <w:r>
              <w:rPr>
                <w:rFonts w:hint="eastAsia" w:ascii="宋体" w:hAnsi="宋体" w:cs="宋体"/>
                <w:kern w:val="0"/>
                <w:sz w:val="20"/>
                <w:szCs w:val="20"/>
                <w:lang w:val="en-US" w:eastAsia="zh-CN" w:bidi="ar-SA"/>
              </w:rPr>
              <w:t>分</w:t>
            </w:r>
          </w:p>
        </w:tc>
        <w:tc>
          <w:tcPr>
            <w:tcW w:w="172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评标价格</w:t>
            </w:r>
          </w:p>
        </w:tc>
        <w:tc>
          <w:tcPr>
            <w:tcW w:w="5792" w:type="dxa"/>
            <w:tcBorders>
              <w:top w:val="single" w:color="auto" w:sz="6" w:space="0"/>
              <w:left w:val="single" w:color="auto" w:sz="6" w:space="0"/>
              <w:bottom w:val="single" w:color="auto" w:sz="6" w:space="0"/>
              <w:right w:val="double" w:color="auto" w:sz="4" w:space="0"/>
            </w:tcBorders>
            <w:shd w:val="clear" w:color="auto" w:fill="auto"/>
            <w:vAlign w:val="center"/>
          </w:tcPr>
          <w:p>
            <w:pPr>
              <w:rPr>
                <w:rFonts w:ascii="宋体" w:hAnsi="宋体"/>
                <w:color w:val="000000"/>
                <w:sz w:val="20"/>
                <w:szCs w:val="20"/>
              </w:rPr>
            </w:pPr>
            <w:r>
              <w:rPr>
                <w:rFonts w:hint="eastAsia" w:ascii="宋体" w:hAnsi="宋体"/>
                <w:color w:val="000000"/>
                <w:sz w:val="20"/>
                <w:szCs w:val="20"/>
              </w:rPr>
              <w:t>投标价格最低的投标报价为评标基准价，其价格分为满分</w:t>
            </w:r>
            <w:r>
              <w:rPr>
                <w:rFonts w:hint="eastAsia" w:ascii="宋体" w:hAnsi="宋体"/>
                <w:color w:val="000000"/>
                <w:sz w:val="20"/>
                <w:szCs w:val="20"/>
                <w:lang w:val="en-US" w:eastAsia="zh-CN"/>
              </w:rPr>
              <w:t>30</w:t>
            </w:r>
            <w:r>
              <w:rPr>
                <w:rFonts w:hint="eastAsia" w:ascii="宋体" w:hAnsi="宋体"/>
                <w:color w:val="000000"/>
                <w:sz w:val="20"/>
                <w:szCs w:val="20"/>
              </w:rPr>
              <w:t>分。</w:t>
            </w:r>
          </w:p>
          <w:p>
            <w:pPr>
              <w:rPr>
                <w:rFonts w:ascii="宋体" w:hAnsi="宋体"/>
                <w:color w:val="000000"/>
                <w:sz w:val="20"/>
                <w:szCs w:val="20"/>
              </w:rPr>
            </w:pPr>
            <w:r>
              <w:rPr>
                <w:rFonts w:hint="eastAsia" w:ascii="宋体" w:hAnsi="宋体"/>
                <w:color w:val="000000"/>
                <w:sz w:val="20"/>
                <w:szCs w:val="20"/>
              </w:rPr>
              <w:t>投标报价得分=（评标基准价/投标报价）×</w:t>
            </w:r>
            <w:r>
              <w:rPr>
                <w:rFonts w:hint="eastAsia" w:ascii="宋体" w:hAnsi="宋体"/>
                <w:color w:val="000000"/>
                <w:sz w:val="20"/>
                <w:szCs w:val="20"/>
                <w:lang w:val="en-US" w:eastAsia="zh-CN"/>
              </w:rPr>
              <w:t>3</w:t>
            </w:r>
            <w:r>
              <w:rPr>
                <w:rFonts w:hint="eastAsia" w:ascii="宋体" w:hAnsi="宋体"/>
                <w:color w:val="000000"/>
                <w:sz w:val="20"/>
                <w:szCs w:val="20"/>
              </w:rPr>
              <w:t>0</w:t>
            </w:r>
          </w:p>
          <w:p>
            <w:pPr>
              <w:tabs>
                <w:tab w:val="left" w:pos="654"/>
              </w:tabs>
              <w:ind w:left="-73" w:leftChars="-35" w:right="-34" w:rightChars="-16"/>
              <w:rPr>
                <w:rFonts w:ascii="宋体" w:hAnsi="宋体"/>
                <w:color w:val="000000"/>
                <w:sz w:val="20"/>
                <w:szCs w:val="20"/>
              </w:rPr>
            </w:pPr>
            <w:r>
              <w:rPr>
                <w:rFonts w:hint="eastAsia" w:ascii="宋体" w:hAnsi="宋体"/>
                <w:color w:val="000000"/>
                <w:sz w:val="20"/>
                <w:szCs w:val="20"/>
              </w:rPr>
              <w:t>（价格分计算保留小数点后两位）</w:t>
            </w:r>
          </w:p>
          <w:p>
            <w:pPr>
              <w:rPr>
                <w:rFonts w:ascii="宋体" w:hAnsi="宋体"/>
                <w:color w:val="000000"/>
                <w:sz w:val="20"/>
                <w:szCs w:val="20"/>
              </w:rPr>
            </w:pPr>
            <w:r>
              <w:rPr>
                <w:rFonts w:hint="eastAsia" w:ascii="宋体" w:hAnsi="宋体"/>
                <w:color w:val="000000"/>
                <w:sz w:val="20"/>
                <w:szCs w:val="20"/>
              </w:rPr>
              <w:t>投标报价分采用低价优先法计算，即满足招标文件要求且投标报价最低的为评审基准价，其价格分为满分（即</w:t>
            </w:r>
            <w:r>
              <w:rPr>
                <w:rFonts w:hint="eastAsia" w:ascii="宋体" w:hAnsi="宋体"/>
                <w:color w:val="000000"/>
                <w:sz w:val="20"/>
                <w:szCs w:val="20"/>
                <w:lang w:val="en-US" w:eastAsia="zh-CN"/>
              </w:rPr>
              <w:t>3</w:t>
            </w:r>
            <w:r>
              <w:rPr>
                <w:rFonts w:hint="eastAsia" w:ascii="宋体" w:hAnsi="宋体"/>
                <w:color w:val="000000"/>
                <w:sz w:val="20"/>
                <w:szCs w:val="20"/>
              </w:rPr>
              <w:t>0分）。其他投标人的价格分统一按照下列公式计算：</w:t>
            </w:r>
          </w:p>
          <w:p>
            <w:pPr>
              <w:rPr>
                <w:rFonts w:ascii="宋体" w:hAnsi="宋体"/>
                <w:color w:val="000000"/>
                <w:sz w:val="20"/>
                <w:szCs w:val="20"/>
              </w:rPr>
            </w:pPr>
            <w:r>
              <w:rPr>
                <w:rFonts w:hint="eastAsia" w:ascii="宋体" w:hAnsi="宋体"/>
                <w:color w:val="000000"/>
                <w:sz w:val="20"/>
                <w:szCs w:val="20"/>
              </w:rPr>
              <w:t>报价得分=(评标基准价／投标报价)×价格权值（</w:t>
            </w:r>
            <w:r>
              <w:rPr>
                <w:rFonts w:hint="eastAsia" w:ascii="宋体" w:hAnsi="宋体"/>
                <w:color w:val="000000"/>
                <w:sz w:val="20"/>
                <w:szCs w:val="20"/>
                <w:lang w:val="en-US" w:eastAsia="zh-CN"/>
              </w:rPr>
              <w:t>3</w:t>
            </w:r>
            <w:r>
              <w:rPr>
                <w:rFonts w:hint="eastAsia" w:ascii="宋体" w:hAnsi="宋体"/>
                <w:color w:val="000000"/>
                <w:sz w:val="20"/>
                <w:szCs w:val="20"/>
              </w:rPr>
              <w:t>0分）</w:t>
            </w:r>
          </w:p>
          <w:p>
            <w:pPr>
              <w:rPr>
                <w:rFonts w:ascii="宋体" w:hAnsi="宋体"/>
                <w:color w:val="000000"/>
                <w:sz w:val="20"/>
                <w:szCs w:val="20"/>
              </w:rPr>
            </w:pPr>
            <w:r>
              <w:rPr>
                <w:rFonts w:hint="eastAsia" w:ascii="宋体" w:hAnsi="宋体"/>
                <w:color w:val="000000"/>
                <w:sz w:val="20"/>
                <w:szCs w:val="20"/>
              </w:rPr>
              <w:t>（1）价格分计算保留小数点后两位。</w:t>
            </w:r>
          </w:p>
          <w:p>
            <w:pPr>
              <w:rPr>
                <w:rFonts w:ascii="宋体" w:hAnsi="宋体"/>
                <w:color w:val="000000"/>
                <w:sz w:val="20"/>
                <w:szCs w:val="20"/>
              </w:rPr>
            </w:pPr>
            <w:r>
              <w:rPr>
                <w:rFonts w:hint="eastAsia" w:ascii="宋体" w:hAnsi="宋体"/>
                <w:color w:val="000000"/>
                <w:sz w:val="20"/>
                <w:szCs w:val="20"/>
              </w:rPr>
              <w:t>（2）为了促进中小企业发展，根据《中华人民共和国政府采购法实施条例》第六条和财库[2011]181 号的规定，给予小型和微型企业产品（投标人为小微企业且提供的所有投标产品均为小微企业生产产品）价格6%的扣除，用扣除后的价格参与评审，小微企业产品投标报价=小微企业产品报价×（1-6%）。中小企业划型标准见《关于印发中小企业划型标准规定的通知》（工信部联企业[2011]300号）。</w:t>
            </w:r>
          </w:p>
          <w:p>
            <w:pPr>
              <w:rPr>
                <w:rFonts w:ascii="宋体" w:hAnsi="宋体"/>
                <w:color w:val="000000"/>
                <w:sz w:val="20"/>
                <w:szCs w:val="20"/>
              </w:rPr>
            </w:pPr>
            <w:r>
              <w:rPr>
                <w:rFonts w:hint="eastAsia" w:ascii="宋体" w:hAnsi="宋体"/>
                <w:color w:val="000000"/>
                <w:sz w:val="20"/>
                <w:szCs w:val="20"/>
              </w:rPr>
              <w:t>（3）为了发挥政府采购促进残疾人就业的作用，进一步保障残疾人权益，根据财库【2017】141号的规定，给予残疾人福利性单位（投标人为残疾人福利性单位且提供的所有投标产品均为残疾人福利性单位产品）价格6%的扣除，用扣除后的价格参与评审，残疾人福利性单位投标报价=残疾人福利性单位报价×（1-6%）。</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kern w:val="0"/>
                <w:sz w:val="20"/>
                <w:szCs w:val="20"/>
                <w:lang w:val="en-US" w:eastAsia="zh-CN" w:bidi="ar-SA"/>
              </w:rPr>
            </w:pPr>
            <w:r>
              <w:rPr>
                <w:rFonts w:hint="eastAsia" w:ascii="宋体" w:hAnsi="宋体"/>
                <w:color w:val="000000"/>
                <w:sz w:val="20"/>
                <w:szCs w:val="20"/>
              </w:rPr>
              <w:t>（4）残疾人福利性单位属于小型、微型企业的，不重复享受政策。仅给予一次价格6%的扣除。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1133" w:type="dxa"/>
            <w:vMerge w:val="restart"/>
            <w:tcBorders>
              <w:top w:val="single" w:color="auto" w:sz="6" w:space="0"/>
              <w:left w:val="double" w:color="auto" w:sz="4" w:space="0"/>
              <w:bottom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商务部分</w:t>
            </w:r>
          </w:p>
        </w:tc>
        <w:tc>
          <w:tcPr>
            <w:tcW w:w="99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bidi="ar-SA"/>
              </w:rPr>
              <w:t>13分</w:t>
            </w:r>
          </w:p>
        </w:tc>
        <w:tc>
          <w:tcPr>
            <w:tcW w:w="172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before="156" w:beforeLines="50" w:line="360" w:lineRule="auto"/>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业绩（</w:t>
            </w:r>
            <w:r>
              <w:rPr>
                <w:rFonts w:hint="eastAsia" w:ascii="宋体" w:hAnsi="宋体" w:cs="宋体"/>
                <w:kern w:val="0"/>
                <w:sz w:val="20"/>
                <w:szCs w:val="20"/>
                <w:lang w:val="en-US" w:eastAsia="zh-CN" w:bidi="ar-SA"/>
              </w:rPr>
              <w:t>6</w:t>
            </w:r>
            <w:r>
              <w:rPr>
                <w:rFonts w:hint="eastAsia" w:ascii="宋体" w:hAnsi="宋体" w:eastAsia="宋体" w:cs="宋体"/>
                <w:kern w:val="0"/>
                <w:sz w:val="20"/>
                <w:szCs w:val="20"/>
                <w:lang w:val="en-US" w:eastAsia="zh-CN" w:bidi="ar-SA"/>
              </w:rPr>
              <w:t>分）</w:t>
            </w:r>
          </w:p>
        </w:tc>
        <w:tc>
          <w:tcPr>
            <w:tcW w:w="5792" w:type="dxa"/>
            <w:tcBorders>
              <w:top w:val="single" w:color="auto" w:sz="6" w:space="0"/>
              <w:left w:val="single" w:color="auto" w:sz="6" w:space="0"/>
              <w:bottom w:val="single" w:color="auto" w:sz="6" w:space="0"/>
              <w:right w:val="double" w:color="auto" w:sz="4" w:space="0"/>
            </w:tcBorders>
            <w:shd w:val="clear" w:color="auto" w:fill="auto"/>
            <w:vAlign w:val="center"/>
          </w:tcPr>
          <w:p>
            <w:pPr>
              <w:widowControl/>
              <w:spacing w:before="156" w:beforeLines="50" w:line="360" w:lineRule="auto"/>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bidi="ar-SA"/>
              </w:rPr>
              <w:t>提供2019年1月1日以来完成的同类型项目的业绩，每个业绩得2分，最高6分（需提供完整合同）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1133" w:type="dxa"/>
            <w:vMerge w:val="continue"/>
            <w:tcBorders>
              <w:left w:val="double" w:color="auto" w:sz="4"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p>
        </w:tc>
        <w:tc>
          <w:tcPr>
            <w:tcW w:w="996" w:type="dxa"/>
            <w:vMerge w:val="continue"/>
            <w:tcBorders>
              <w:left w:val="single" w:color="auto" w:sz="6" w:space="0"/>
              <w:right w:val="single" w:color="auto" w:sz="6" w:space="0"/>
            </w:tcBorders>
            <w:shd w:val="clear" w:color="auto" w:fill="auto"/>
            <w:vAlign w:val="center"/>
          </w:tcPr>
          <w:p>
            <w:pPr>
              <w:widowControl/>
              <w:spacing w:before="156" w:beforeLines="50" w:line="360" w:lineRule="auto"/>
              <w:jc w:val="center"/>
              <w:rPr>
                <w:rFonts w:hint="eastAsia" w:ascii="宋体" w:hAnsi="宋体" w:eastAsia="宋体" w:cs="宋体"/>
                <w:kern w:val="0"/>
                <w:sz w:val="20"/>
                <w:szCs w:val="20"/>
                <w:lang w:val="en-US" w:eastAsia="zh-CN" w:bidi="ar-SA"/>
              </w:rPr>
            </w:pPr>
          </w:p>
        </w:tc>
        <w:tc>
          <w:tcPr>
            <w:tcW w:w="172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before="156" w:beforeLines="50" w:line="360" w:lineRule="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康复团队运营及技术支持（7分）</w:t>
            </w:r>
          </w:p>
        </w:tc>
        <w:tc>
          <w:tcPr>
            <w:tcW w:w="5792" w:type="dxa"/>
            <w:tcBorders>
              <w:top w:val="single" w:color="auto" w:sz="6" w:space="0"/>
              <w:left w:val="single" w:color="auto" w:sz="6" w:space="0"/>
              <w:bottom w:val="single" w:color="auto" w:sz="6" w:space="0"/>
              <w:right w:val="double" w:color="auto" w:sz="4" w:space="0"/>
            </w:tcBorders>
            <w:shd w:val="clear" w:color="auto" w:fill="auto"/>
            <w:vAlign w:val="center"/>
          </w:tcPr>
          <w:p>
            <w:pPr>
              <w:pStyle w:val="4"/>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根据本项目实际提供的康复团队运营及技术支持方案，需包含</w:t>
            </w:r>
          </w:p>
          <w:p>
            <w:pPr>
              <w:pStyle w:val="4"/>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服务内容、服务措施和服务保障，方案优秀得5-7分；</w:t>
            </w:r>
            <w:r>
              <w:rPr>
                <w:rFonts w:hint="eastAsia" w:ascii="宋体" w:hAnsi="宋体" w:cs="宋体"/>
                <w:kern w:val="0"/>
                <w:sz w:val="20"/>
                <w:szCs w:val="20"/>
                <w:highlight w:val="none"/>
                <w:lang w:val="en-US" w:eastAsia="zh-CN" w:bidi="ar-SA"/>
              </w:rPr>
              <w:t>方</w:t>
            </w:r>
            <w:r>
              <w:rPr>
                <w:rFonts w:hint="eastAsia" w:ascii="宋体" w:hAnsi="宋体" w:eastAsia="宋体" w:cs="宋体"/>
                <w:kern w:val="0"/>
                <w:sz w:val="20"/>
                <w:szCs w:val="20"/>
                <w:highlight w:val="none"/>
                <w:lang w:val="en-US" w:eastAsia="zh-CN" w:bidi="ar-SA"/>
              </w:rPr>
              <w:t>案良好的得2-4分；方案内容一般得1分；未提供不得分</w:t>
            </w:r>
            <w:r>
              <w:rPr>
                <w:rFonts w:hint="eastAsia" w:ascii="宋体" w:hAnsi="宋体" w:eastAsia="宋体" w:cs="宋体"/>
                <w:kern w:val="0"/>
                <w:sz w:val="20"/>
                <w:szCs w:val="20"/>
                <w:lang w:val="en-US" w:eastAsia="zh-CN" w:bidi="ar-SA"/>
              </w:rPr>
              <w:t xml:space="preserve">。 </w:t>
            </w:r>
          </w:p>
          <w:p>
            <w:pPr>
              <w:pStyle w:val="117"/>
              <w:adjustRightInd w:val="0"/>
              <w:snapToGrid w:val="0"/>
              <w:ind w:firstLine="400" w:firstLineChars="200"/>
              <w:jc w:val="left"/>
              <w:rPr>
                <w:rFonts w:hint="eastAsia" w:ascii="宋体" w:hAnsi="宋体" w:eastAsia="宋体" w:cs="宋体"/>
                <w:kern w:val="0"/>
                <w:sz w:val="20"/>
                <w:szCs w:val="20"/>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61" w:hRule="atLeast"/>
        </w:trPr>
        <w:tc>
          <w:tcPr>
            <w:tcW w:w="1133" w:type="dxa"/>
            <w:tcBorders>
              <w:top w:val="single" w:color="auto" w:sz="6" w:space="0"/>
              <w:left w:val="double" w:color="auto" w:sz="4" w:space="0"/>
              <w:bottom w:val="single" w:color="auto" w:sz="6" w:space="0"/>
              <w:right w:val="single" w:color="auto" w:sz="6" w:space="0"/>
            </w:tcBorders>
            <w:shd w:val="clear" w:color="auto" w:fill="auto"/>
            <w:vAlign w:val="center"/>
          </w:tcPr>
          <w:p>
            <w:pPr>
              <w:widowControl/>
              <w:spacing w:line="400" w:lineRule="exac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技术部分</w:t>
            </w:r>
          </w:p>
        </w:tc>
        <w:tc>
          <w:tcPr>
            <w:tcW w:w="99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400" w:lineRule="exact"/>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50</w:t>
            </w:r>
            <w:r>
              <w:rPr>
                <w:rFonts w:hint="eastAsia" w:ascii="宋体" w:hAnsi="宋体" w:cs="宋体"/>
                <w:kern w:val="0"/>
                <w:sz w:val="20"/>
                <w:szCs w:val="20"/>
                <w:lang w:val="en-US" w:eastAsia="zh-CN" w:bidi="ar-SA"/>
              </w:rPr>
              <w:t>分</w:t>
            </w:r>
          </w:p>
        </w:tc>
        <w:tc>
          <w:tcPr>
            <w:tcW w:w="172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pacing w:before="156" w:beforeLines="50" w:line="360" w:lineRule="auto"/>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技术参数（50分）</w:t>
            </w:r>
          </w:p>
        </w:tc>
        <w:tc>
          <w:tcPr>
            <w:tcW w:w="5792" w:type="dxa"/>
            <w:tcBorders>
              <w:top w:val="single" w:color="auto" w:sz="6" w:space="0"/>
              <w:left w:val="single" w:color="auto" w:sz="6" w:space="0"/>
              <w:bottom w:val="single" w:color="auto" w:sz="6" w:space="0"/>
              <w:right w:val="double" w:color="auto" w:sz="4" w:space="0"/>
            </w:tcBorders>
            <w:shd w:val="clear" w:color="auto" w:fill="FFFFFF"/>
            <w:vAlign w:val="center"/>
          </w:tcPr>
          <w:p>
            <w:pPr>
              <w:widowControl/>
              <w:spacing w:before="156" w:beforeLines="50" w:line="360" w:lineRule="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(1)根据招标文件技术要求，如果供应商所有条款均符合招标文件技术参数与要求，得基本分40分；</w:t>
            </w:r>
          </w:p>
          <w:p>
            <w:pPr>
              <w:widowControl/>
              <w:spacing w:before="156" w:beforeLines="50" w:line="360" w:lineRule="auto"/>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(2)带★号的技术参数为关键性技术参数，每一项优于招标文件，在基本分40分的基础上加2分，以此累计，最多不超过10分;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6" w:hRule="atLeast"/>
        </w:trPr>
        <w:tc>
          <w:tcPr>
            <w:tcW w:w="1133" w:type="dxa"/>
            <w:tcBorders>
              <w:top w:val="single" w:color="auto" w:sz="6" w:space="0"/>
              <w:left w:val="double" w:color="auto" w:sz="4" w:space="0"/>
              <w:right w:val="single" w:color="auto" w:sz="6" w:space="0"/>
            </w:tcBorders>
            <w:shd w:val="clear" w:color="auto" w:fill="auto"/>
            <w:vAlign w:val="center"/>
          </w:tcPr>
          <w:p>
            <w:pPr>
              <w:widowControl/>
              <w:spacing w:line="400" w:lineRule="exact"/>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bidi="ar-SA"/>
              </w:rPr>
              <w:t>售后</w:t>
            </w:r>
            <w:r>
              <w:rPr>
                <w:rFonts w:hint="eastAsia" w:ascii="宋体" w:hAnsi="宋体" w:cs="宋体"/>
                <w:kern w:val="0"/>
                <w:sz w:val="20"/>
                <w:szCs w:val="20"/>
                <w:highlight w:val="none"/>
                <w:lang w:val="en-US" w:eastAsia="zh-CN" w:bidi="ar-SA"/>
              </w:rPr>
              <w:t>服务</w:t>
            </w:r>
            <w:r>
              <w:rPr>
                <w:rFonts w:hint="eastAsia" w:ascii="宋体" w:hAnsi="宋体" w:eastAsia="宋体" w:cs="宋体"/>
                <w:kern w:val="0"/>
                <w:sz w:val="20"/>
                <w:szCs w:val="20"/>
                <w:highlight w:val="none"/>
                <w:lang w:val="en-US" w:eastAsia="zh-CN" w:bidi="ar-SA"/>
              </w:rPr>
              <w:t>部分</w:t>
            </w:r>
          </w:p>
        </w:tc>
        <w:tc>
          <w:tcPr>
            <w:tcW w:w="996" w:type="dxa"/>
            <w:tcBorders>
              <w:top w:val="single" w:color="auto" w:sz="6" w:space="0"/>
              <w:left w:val="single" w:color="auto" w:sz="6" w:space="0"/>
              <w:right w:val="single" w:color="auto" w:sz="6" w:space="0"/>
            </w:tcBorders>
            <w:shd w:val="clear" w:color="auto" w:fill="auto"/>
            <w:vAlign w:val="center"/>
          </w:tcPr>
          <w:p>
            <w:pPr>
              <w:widowControl/>
              <w:spacing w:line="400" w:lineRule="exact"/>
              <w:jc w:val="lef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bidi="ar-SA"/>
              </w:rPr>
              <w:t>7分</w:t>
            </w:r>
          </w:p>
        </w:tc>
        <w:tc>
          <w:tcPr>
            <w:tcW w:w="172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pacing w:before="156" w:beforeLines="50" w:line="360" w:lineRule="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售后服务（7分）</w:t>
            </w:r>
          </w:p>
        </w:tc>
        <w:tc>
          <w:tcPr>
            <w:tcW w:w="5792" w:type="dxa"/>
            <w:tcBorders>
              <w:top w:val="single" w:color="auto" w:sz="6" w:space="0"/>
              <w:left w:val="single" w:color="auto" w:sz="6" w:space="0"/>
              <w:bottom w:val="single" w:color="auto" w:sz="6" w:space="0"/>
              <w:right w:val="double" w:color="auto" w:sz="4" w:space="0"/>
            </w:tcBorders>
            <w:shd w:val="clear" w:color="auto" w:fill="FFFFFF"/>
            <w:vAlign w:val="center"/>
          </w:tcPr>
          <w:p>
            <w:pPr>
              <w:widowControl/>
              <w:spacing w:before="156" w:beforeLines="50" w:line="360" w:lineRule="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1、投标人承诺故障响应时间小于2小时，上门时间小于8小时，解决问题时间小于24小时；如24小时未能解决，2天内能更换配件或提供备用机的得1分，不满足不得分。</w:t>
            </w:r>
          </w:p>
          <w:p>
            <w:pPr>
              <w:widowControl/>
              <w:spacing w:before="156" w:beforeLines="50" w:line="360" w:lineRule="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2、投标人在符合免费质保期一年的基础上，每增加一年加1分，最高得2分。</w:t>
            </w:r>
          </w:p>
          <w:p>
            <w:pPr>
              <w:widowControl/>
              <w:spacing w:before="156" w:beforeLines="50" w:line="360" w:lineRule="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3、投标人提供送货、安装等计划和人员培训方案，方案优秀得4分；</w:t>
            </w:r>
            <w:r>
              <w:rPr>
                <w:rFonts w:hint="eastAsia" w:ascii="宋体" w:hAnsi="宋体" w:cs="宋体"/>
                <w:kern w:val="0"/>
                <w:sz w:val="20"/>
                <w:szCs w:val="20"/>
                <w:highlight w:val="none"/>
                <w:lang w:val="en-US" w:eastAsia="zh-CN" w:bidi="ar-SA"/>
              </w:rPr>
              <w:t>方</w:t>
            </w:r>
            <w:r>
              <w:rPr>
                <w:rFonts w:hint="eastAsia" w:ascii="宋体" w:hAnsi="宋体" w:eastAsia="宋体" w:cs="宋体"/>
                <w:kern w:val="0"/>
                <w:sz w:val="20"/>
                <w:szCs w:val="20"/>
                <w:highlight w:val="none"/>
                <w:lang w:val="en-US" w:eastAsia="zh-CN" w:bidi="ar-SA"/>
              </w:rPr>
              <w:t>案</w:t>
            </w:r>
            <w:r>
              <w:rPr>
                <w:rFonts w:hint="eastAsia" w:ascii="宋体" w:hAnsi="宋体" w:eastAsia="宋体" w:cs="宋体"/>
                <w:kern w:val="0"/>
                <w:sz w:val="20"/>
                <w:szCs w:val="20"/>
                <w:lang w:val="en-US" w:eastAsia="zh-CN" w:bidi="ar-SA"/>
              </w:rPr>
              <w:t xml:space="preserve">良好的得2-3分；方案内容一般得1分；未提供不得分。 </w:t>
            </w:r>
          </w:p>
        </w:tc>
      </w:tr>
    </w:tbl>
    <w:p>
      <w:pPr>
        <w:tabs>
          <w:tab w:val="left" w:pos="420"/>
        </w:tabs>
        <w:spacing w:line="360" w:lineRule="auto"/>
        <w:ind w:left="420" w:hanging="420"/>
        <w:rPr>
          <w:rFonts w:ascii="Arial" w:hAnsi="Arial" w:cs="Arial"/>
          <w:szCs w:val="21"/>
          <w:lang w:bidi="ar"/>
        </w:rPr>
      </w:pPr>
    </w:p>
    <w:p>
      <w:pPr>
        <w:pStyle w:val="5"/>
      </w:pPr>
    </w:p>
    <w:p>
      <w:pPr>
        <w:pStyle w:val="3"/>
      </w:pP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28" w:name="_Toc465502579"/>
      <w:bookmarkStart w:id="229" w:name="_Toc21064"/>
      <w:bookmarkStart w:id="230" w:name="_Toc19403"/>
      <w:bookmarkStart w:id="231" w:name="_Toc466017207"/>
      <w:bookmarkStart w:id="232" w:name="_Toc454147538"/>
      <w:r>
        <w:rPr>
          <w:rFonts w:hint="eastAsia" w:ascii="宋体" w:hAnsi="宋体" w:cs="仿宋_GB2312"/>
          <w:b/>
          <w:sz w:val="28"/>
          <w:szCs w:val="28"/>
        </w:rPr>
        <w:t xml:space="preserve"> 评标准则和评标方法</w:t>
      </w:r>
      <w:bookmarkEnd w:id="228"/>
      <w:bookmarkEnd w:id="229"/>
      <w:bookmarkEnd w:id="230"/>
      <w:bookmarkEnd w:id="231"/>
      <w:bookmarkEnd w:id="232"/>
    </w:p>
    <w:p>
      <w:pPr>
        <w:adjustRightInd w:val="0"/>
        <w:snapToGrid w:val="0"/>
        <w:spacing w:line="560" w:lineRule="exact"/>
        <w:rPr>
          <w:szCs w:val="21"/>
        </w:rPr>
      </w:pPr>
      <w:r>
        <w:rPr>
          <w:rFonts w:hint="eastAsia"/>
          <w:szCs w:val="21"/>
        </w:rPr>
        <w:t>1.1 评标过程将遵循“公平、公正、科学、择优”的原则进行。</w:t>
      </w:r>
    </w:p>
    <w:p>
      <w:pPr>
        <w:adjustRightInd w:val="0"/>
        <w:snapToGrid w:val="0"/>
        <w:spacing w:line="560" w:lineRule="exact"/>
        <w:rPr>
          <w:szCs w:val="21"/>
        </w:rPr>
      </w:pPr>
      <w:r>
        <w:rPr>
          <w:rFonts w:hint="eastAsia"/>
          <w:szCs w:val="21"/>
        </w:rPr>
        <w:t>1.2 评标将严格按照招标文件的要求和条件进行。</w:t>
      </w:r>
    </w:p>
    <w:p>
      <w:pPr>
        <w:adjustRightInd w:val="0"/>
        <w:snapToGrid w:val="0"/>
        <w:spacing w:line="560" w:lineRule="exact"/>
        <w:rPr>
          <w:szCs w:val="21"/>
        </w:rPr>
      </w:pPr>
      <w:r>
        <w:rPr>
          <w:rFonts w:hint="eastAsia"/>
          <w:szCs w:val="21"/>
        </w:rPr>
        <w:t>1.3 本次评标采用综合评分法。</w:t>
      </w: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3" w:name="_Toc465502580"/>
      <w:bookmarkStart w:id="234" w:name="_Toc466017208"/>
      <w:bookmarkStart w:id="235" w:name="_Toc13195"/>
      <w:bookmarkStart w:id="236" w:name="_Toc454147539"/>
      <w:bookmarkStart w:id="237" w:name="_Toc15449"/>
      <w:r>
        <w:rPr>
          <w:rFonts w:hint="eastAsia" w:ascii="宋体" w:hAnsi="宋体" w:cs="仿宋_GB2312"/>
          <w:b/>
          <w:sz w:val="28"/>
          <w:szCs w:val="28"/>
        </w:rPr>
        <w:t>评审标准</w:t>
      </w:r>
      <w:bookmarkEnd w:id="233"/>
      <w:bookmarkEnd w:id="234"/>
      <w:bookmarkEnd w:id="235"/>
      <w:bookmarkEnd w:id="236"/>
      <w:bookmarkEnd w:id="237"/>
    </w:p>
    <w:p>
      <w:pPr>
        <w:adjustRightInd w:val="0"/>
        <w:snapToGrid w:val="0"/>
        <w:spacing w:line="560" w:lineRule="exact"/>
        <w:rPr>
          <w:szCs w:val="21"/>
        </w:rPr>
      </w:pPr>
      <w:r>
        <w:rPr>
          <w:rFonts w:hint="eastAsia"/>
          <w:szCs w:val="21"/>
        </w:rPr>
        <w:t>2.1 资格评审标准：详见《评分办法前附表》中资格评审标准。</w:t>
      </w:r>
    </w:p>
    <w:p>
      <w:pPr>
        <w:adjustRightInd w:val="0"/>
        <w:snapToGrid w:val="0"/>
        <w:spacing w:line="560" w:lineRule="exact"/>
        <w:rPr>
          <w:szCs w:val="21"/>
        </w:rPr>
      </w:pPr>
      <w:r>
        <w:rPr>
          <w:rFonts w:hint="eastAsia"/>
          <w:szCs w:val="21"/>
        </w:rPr>
        <w:t>2.2 评分标准：详见《评分办法前附表》报价部分、技术部分、商务部分评审因素。</w:t>
      </w: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8" w:name="_Toc11065"/>
      <w:r>
        <w:rPr>
          <w:rFonts w:hint="eastAsia" w:ascii="宋体" w:hAnsi="宋体" w:cs="仿宋_GB2312"/>
          <w:b/>
          <w:sz w:val="28"/>
          <w:szCs w:val="28"/>
        </w:rPr>
        <w:t>评标程序</w:t>
      </w:r>
      <w:bookmarkEnd w:id="238"/>
    </w:p>
    <w:p>
      <w:pPr>
        <w:adjustRightInd w:val="0"/>
        <w:snapToGrid w:val="0"/>
        <w:spacing w:line="560" w:lineRule="exact"/>
        <w:rPr>
          <w:b/>
          <w:bCs/>
          <w:sz w:val="24"/>
        </w:rPr>
      </w:pPr>
      <w:r>
        <w:rPr>
          <w:rFonts w:hint="eastAsia"/>
          <w:b/>
          <w:bCs/>
          <w:sz w:val="24"/>
        </w:rPr>
        <w:t>3.1初步评审</w:t>
      </w:r>
    </w:p>
    <w:p>
      <w:pPr>
        <w:adjustRightInd w:val="0"/>
        <w:snapToGrid w:val="0"/>
        <w:spacing w:line="560" w:lineRule="exact"/>
        <w:rPr>
          <w:lang w:val="zh-CN"/>
        </w:rPr>
      </w:pPr>
      <w:r>
        <w:rPr>
          <w:rFonts w:hint="eastAsia" w:ascii="Times New Roman" w:hAnsi="Times New Roman"/>
          <w:szCs w:val="21"/>
        </w:rPr>
        <w:t xml:space="preserve">3.11 </w:t>
      </w:r>
      <w:r>
        <w:rPr>
          <w:rFonts w:hint="eastAsia" w:ascii="Times New Roman" w:hAnsi="Times New Roman"/>
          <w:szCs w:val="21"/>
          <w:lang w:val="zh-CN"/>
        </w:rPr>
        <w:t>采购人或代理机构可以要求投标人提交第二章“投标人须知”规定的有关证明和证件以便核验。采购人或代理机构依据本章第2.1款规定的标准对投标文件进行资格评审。有一项</w:t>
      </w:r>
      <w:r>
        <w:rPr>
          <w:rFonts w:hint="eastAsia"/>
          <w:lang w:val="zh-CN"/>
        </w:rPr>
        <w:t>不符合资格评审标准的，作无效投标处理。</w:t>
      </w:r>
    </w:p>
    <w:p>
      <w:pPr>
        <w:adjustRightInd w:val="0"/>
        <w:snapToGrid w:val="0"/>
        <w:spacing w:line="560" w:lineRule="exact"/>
        <w:rPr>
          <w:lang w:val="zh-CN"/>
        </w:rPr>
      </w:pPr>
      <w:r>
        <w:rPr>
          <w:rFonts w:hint="eastAsia"/>
        </w:rPr>
        <w:t xml:space="preserve">3.12 </w:t>
      </w:r>
      <w:r>
        <w:rPr>
          <w:rFonts w:hint="eastAsia"/>
          <w:lang w:val="zh-CN"/>
        </w:rPr>
        <w:t>投标文件属下列情况之一的，应当在资格性、符合性检查时按照无效投标处理：</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未按照招标文件规定要求密封、签署、盖章的；</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不具备招标文件中规定资格要求的；</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不符合法律、法规和招标文件中规定的其他实质性要求的。</w:t>
      </w:r>
    </w:p>
    <w:p>
      <w:pPr>
        <w:adjustRightInd w:val="0"/>
        <w:snapToGrid w:val="0"/>
        <w:spacing w:line="560" w:lineRule="exact"/>
        <w:rPr>
          <w:lang w:val="zh-CN"/>
        </w:rPr>
      </w:pPr>
      <w:r>
        <w:rPr>
          <w:rFonts w:hint="eastAsia"/>
        </w:rPr>
        <w:t xml:space="preserve">3.13 </w:t>
      </w:r>
      <w:r>
        <w:rPr>
          <w:rFonts w:hint="eastAsia"/>
          <w:lang w:val="zh-CN"/>
        </w:rPr>
        <w:t>投标报价有算数错误的，评标委员会按以下原则对投标报价进行修正，修正的价格经投标人书面确认后具有约束力。投标人不接受修正价格的，其投标作无效投标处理。</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投标文件中的大写金额与小写金额不一致的，以大写金额为准；</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投标文件中开标一览表内容与投标文件中明细表内容不一致的，以开标一览表为准。</w:t>
      </w:r>
    </w:p>
    <w:p>
      <w:pPr>
        <w:adjustRightInd w:val="0"/>
        <w:snapToGrid w:val="0"/>
        <w:spacing w:line="560" w:lineRule="exact"/>
        <w:rPr>
          <w:b/>
          <w:bCs/>
          <w:sz w:val="24"/>
        </w:rPr>
      </w:pPr>
      <w:r>
        <w:rPr>
          <w:rFonts w:hint="eastAsia"/>
          <w:b/>
          <w:bCs/>
          <w:sz w:val="24"/>
        </w:rPr>
        <w:t>3.2 详细评审</w:t>
      </w:r>
    </w:p>
    <w:p>
      <w:pPr>
        <w:adjustRightInd w:val="0"/>
        <w:snapToGrid w:val="0"/>
        <w:spacing w:line="560" w:lineRule="exact"/>
        <w:rPr>
          <w:lang w:val="zh-CN"/>
        </w:rPr>
      </w:pPr>
      <w:r>
        <w:rPr>
          <w:rFonts w:hint="eastAsia"/>
        </w:rPr>
        <w:t xml:space="preserve">3.2.1 </w:t>
      </w:r>
      <w:r>
        <w:rPr>
          <w:rFonts w:hint="eastAsia"/>
          <w:lang w:val="zh-CN"/>
        </w:rPr>
        <w:t>评标委员会按本章第2.2款的评分标准进行打分，并计算出综合评审得分。</w:t>
      </w:r>
    </w:p>
    <w:p>
      <w:pPr>
        <w:adjustRightInd w:val="0"/>
        <w:snapToGrid w:val="0"/>
        <w:spacing w:line="560" w:lineRule="exact"/>
        <w:rPr>
          <w:lang w:val="zh-CN"/>
        </w:rPr>
      </w:pPr>
      <w:r>
        <w:rPr>
          <w:rFonts w:hint="eastAsia"/>
        </w:rPr>
        <w:t xml:space="preserve">3.2.2 </w:t>
      </w:r>
      <w:r>
        <w:rPr>
          <w:rFonts w:hint="eastAsia"/>
          <w:lang w:val="zh-CN"/>
        </w:rPr>
        <w:t>评标委员会发现投标人的投标总报价</w:t>
      </w:r>
      <w:r>
        <w:rPr>
          <w:rFonts w:hint="eastAsia"/>
        </w:rPr>
        <w:t>高</w:t>
      </w:r>
      <w:r>
        <w:rPr>
          <w:rFonts w:hint="eastAsia"/>
          <w:lang w:val="zh-CN"/>
        </w:rPr>
        <w:t>于</w:t>
      </w:r>
      <w:r>
        <w:rPr>
          <w:rFonts w:hint="eastAsia"/>
        </w:rPr>
        <w:t>招标文件规定的控制价</w:t>
      </w:r>
      <w:r>
        <w:rPr>
          <w:rFonts w:hint="eastAsia"/>
          <w:lang w:val="zh-CN"/>
        </w:rPr>
        <w:t>，评标委员会应按无效投标处理。</w:t>
      </w:r>
    </w:p>
    <w:p>
      <w:pPr>
        <w:adjustRightInd w:val="0"/>
        <w:snapToGrid w:val="0"/>
        <w:spacing w:line="560" w:lineRule="exact"/>
        <w:rPr>
          <w:b/>
          <w:bCs/>
          <w:sz w:val="24"/>
        </w:rPr>
      </w:pPr>
      <w:r>
        <w:rPr>
          <w:rFonts w:hint="eastAsia"/>
          <w:b/>
          <w:bCs/>
          <w:sz w:val="24"/>
        </w:rPr>
        <w:t>3.3 投标文件的澄清和补正</w:t>
      </w:r>
    </w:p>
    <w:p>
      <w:pPr>
        <w:adjustRightInd w:val="0"/>
        <w:snapToGrid w:val="0"/>
        <w:spacing w:line="560" w:lineRule="exact"/>
        <w:rPr>
          <w:lang w:val="zh-CN"/>
        </w:rPr>
      </w:pPr>
      <w:r>
        <w:rPr>
          <w:rFonts w:hint="eastAsia"/>
        </w:rPr>
        <w:t xml:space="preserve">3.3.1 </w:t>
      </w:r>
      <w:r>
        <w:rPr>
          <w:rFonts w:hint="eastAsia"/>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lang w:val="zh-CN"/>
        </w:rPr>
      </w:pPr>
      <w:r>
        <w:rPr>
          <w:rFonts w:hint="eastAsia"/>
        </w:rPr>
        <w:t xml:space="preserve">3.3.2 </w:t>
      </w:r>
      <w:r>
        <w:rPr>
          <w:rFonts w:hint="eastAsia"/>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sz w:val="24"/>
        </w:rPr>
      </w:pPr>
      <w:r>
        <w:rPr>
          <w:rFonts w:hint="eastAsia"/>
          <w:b/>
          <w:bCs/>
          <w:sz w:val="24"/>
        </w:rPr>
        <w:t>3.4 评标结果</w:t>
      </w:r>
    </w:p>
    <w:p>
      <w:pPr>
        <w:adjustRightInd w:val="0"/>
        <w:snapToGrid w:val="0"/>
        <w:spacing w:line="560" w:lineRule="exact"/>
        <w:rPr>
          <w:rFonts w:hint="eastAsia" w:eastAsia="宋体"/>
          <w:lang w:val="en-US" w:eastAsia="zh-CN"/>
        </w:rPr>
      </w:pPr>
      <w:r>
        <w:rPr>
          <w:rFonts w:hint="eastAsia"/>
        </w:rPr>
        <w:t xml:space="preserve">3.4.1 </w:t>
      </w:r>
      <w:r>
        <w:rPr>
          <w:rFonts w:hint="eastAsia"/>
          <w:lang w:val="zh-CN"/>
        </w:rPr>
        <w:t>投标人得分=投标报价得分+</w:t>
      </w:r>
      <w:r>
        <w:rPr>
          <w:rFonts w:hint="eastAsia"/>
          <w:lang w:eastAsia="zh-CN"/>
        </w:rPr>
        <w:t>商务</w:t>
      </w:r>
      <w:r>
        <w:rPr>
          <w:rFonts w:hint="eastAsia"/>
        </w:rPr>
        <w:t>得分</w:t>
      </w:r>
      <w:r>
        <w:rPr>
          <w:rFonts w:hint="eastAsia"/>
          <w:lang w:val="zh-CN"/>
        </w:rPr>
        <w:t>+</w:t>
      </w:r>
      <w:r>
        <w:rPr>
          <w:rFonts w:hint="eastAsia"/>
          <w:lang w:eastAsia="zh-CN"/>
        </w:rPr>
        <w:t>技术</w:t>
      </w:r>
      <w:r>
        <w:rPr>
          <w:rFonts w:hint="eastAsia"/>
        </w:rPr>
        <w:t>得分</w:t>
      </w:r>
      <w:r>
        <w:rPr>
          <w:rFonts w:hint="eastAsia"/>
          <w:lang w:val="en-US" w:eastAsia="zh-CN"/>
        </w:rPr>
        <w:t>+售后服务得分</w:t>
      </w:r>
    </w:p>
    <w:p>
      <w:pPr>
        <w:adjustRightInd w:val="0"/>
        <w:snapToGrid w:val="0"/>
        <w:spacing w:line="560" w:lineRule="exact"/>
        <w:rPr>
          <w:lang w:val="zh-CN"/>
        </w:rPr>
      </w:pPr>
      <w:r>
        <w:rPr>
          <w:rFonts w:hint="eastAsia"/>
        </w:rPr>
        <w:t>3.4.2</w:t>
      </w:r>
      <w:r>
        <w:rPr>
          <w:rFonts w:hint="eastAsia"/>
          <w:lang w:val="zh-CN"/>
        </w:rPr>
        <w:t>投标人最终得分为评标委员会完成评审后所有评分的算术平均值，作为该投标人最终得分。</w:t>
      </w:r>
    </w:p>
    <w:p>
      <w:pPr>
        <w:adjustRightInd w:val="0"/>
        <w:snapToGrid w:val="0"/>
        <w:spacing w:line="560" w:lineRule="exact"/>
        <w:rPr>
          <w:lang w:val="zh-CN"/>
        </w:rPr>
      </w:pPr>
      <w:r>
        <w:rPr>
          <w:rFonts w:hint="eastAsia"/>
        </w:rPr>
        <w:t xml:space="preserve">3.4.3 </w:t>
      </w:r>
      <w:r>
        <w:rPr>
          <w:rFonts w:hint="eastAsia"/>
          <w:lang w:val="zh-CN"/>
        </w:rPr>
        <w:t>投标人最终得分相同的，投标报价</w:t>
      </w:r>
      <w:r>
        <w:rPr>
          <w:rFonts w:hint="eastAsia"/>
        </w:rPr>
        <w:t>低</w:t>
      </w:r>
      <w:r>
        <w:rPr>
          <w:rFonts w:hint="eastAsia"/>
          <w:lang w:val="zh-CN"/>
        </w:rPr>
        <w:t>的优先，</w:t>
      </w:r>
      <w:r>
        <w:rPr>
          <w:rFonts w:hint="eastAsia"/>
        </w:rPr>
        <w:t>投标报价也相同的以技术得分高的优先，技术得分也相同的由采购人自行确定</w:t>
      </w:r>
      <w:r>
        <w:rPr>
          <w:rFonts w:hint="eastAsia"/>
          <w:lang w:val="zh-CN"/>
        </w:rPr>
        <w:t>。</w:t>
      </w:r>
    </w:p>
    <w:p>
      <w:pPr>
        <w:adjustRightInd w:val="0"/>
        <w:snapToGrid w:val="0"/>
        <w:spacing w:line="560" w:lineRule="exact"/>
        <w:rPr>
          <w:lang w:val="zh-CN"/>
        </w:rPr>
      </w:pPr>
      <w:r>
        <w:rPr>
          <w:rFonts w:hint="eastAsia"/>
        </w:rPr>
        <w:t xml:space="preserve">3.4.4 </w:t>
      </w:r>
      <w:r>
        <w:rPr>
          <w:rFonts w:hint="eastAsia"/>
          <w:lang w:val="zh-CN"/>
        </w:rPr>
        <w:t>计分过程中按四舍五入的法则，最终结果取至小数点后两位。</w:t>
      </w:r>
    </w:p>
    <w:p>
      <w:pPr>
        <w:adjustRightInd w:val="0"/>
        <w:snapToGrid w:val="0"/>
        <w:spacing w:line="560" w:lineRule="exact"/>
        <w:rPr>
          <w:lang w:val="zh-CN"/>
        </w:rPr>
      </w:pPr>
      <w:r>
        <w:rPr>
          <w:rFonts w:hint="eastAsia"/>
        </w:rPr>
        <w:t xml:space="preserve">3.4.5 </w:t>
      </w:r>
      <w:r>
        <w:rPr>
          <w:rFonts w:hint="eastAsia"/>
          <w:lang w:val="zh-CN"/>
        </w:rPr>
        <w:t>评标委员会按照得分由高到低的顺序推荐</w:t>
      </w:r>
      <w:r>
        <w:rPr>
          <w:rFonts w:hint="eastAsia"/>
        </w:rPr>
        <w:t>1-3名</w:t>
      </w:r>
      <w:r>
        <w:rPr>
          <w:rFonts w:hint="eastAsia"/>
          <w:lang w:val="zh-CN"/>
        </w:rPr>
        <w:t>中标候选人。</w:t>
      </w:r>
    </w:p>
    <w:p>
      <w:pPr>
        <w:adjustRightInd w:val="0"/>
        <w:snapToGrid w:val="0"/>
        <w:spacing w:line="560" w:lineRule="exact"/>
        <w:rPr>
          <w:lang w:val="zh-CN"/>
        </w:rPr>
      </w:pPr>
      <w:r>
        <w:rPr>
          <w:rFonts w:hint="eastAsia"/>
        </w:rPr>
        <w:t xml:space="preserve">3.4.6 </w:t>
      </w:r>
      <w:r>
        <w:rPr>
          <w:rFonts w:hint="eastAsia"/>
          <w:lang w:val="zh-CN"/>
        </w:rPr>
        <w:t>评标委员会完成评标后，应当向采购人提交书面评标报告。</w:t>
      </w:r>
    </w:p>
    <w:p>
      <w:pPr>
        <w:adjustRightInd w:val="0"/>
        <w:snapToGrid w:val="0"/>
        <w:spacing w:line="560" w:lineRule="exact"/>
        <w:rPr>
          <w:b/>
          <w:bCs/>
          <w:sz w:val="24"/>
          <w:lang w:val="zh-CN"/>
        </w:rPr>
      </w:pPr>
      <w:r>
        <w:rPr>
          <w:rFonts w:hint="eastAsia"/>
          <w:b/>
          <w:bCs/>
          <w:sz w:val="24"/>
        </w:rPr>
        <w:t xml:space="preserve">3.5 </w:t>
      </w:r>
      <w:r>
        <w:rPr>
          <w:rFonts w:hint="eastAsia"/>
          <w:b/>
          <w:bCs/>
          <w:sz w:val="24"/>
          <w:lang w:val="zh-CN"/>
        </w:rPr>
        <w:t>顺延中标人或重新招标</w:t>
      </w:r>
    </w:p>
    <w:p>
      <w:pPr>
        <w:adjustRightInd w:val="0"/>
        <w:snapToGrid w:val="0"/>
        <w:spacing w:line="560" w:lineRule="exact"/>
        <w:rPr>
          <w:lang w:val="zh-CN"/>
        </w:rPr>
      </w:pPr>
      <w:r>
        <w:rPr>
          <w:rFonts w:hint="eastAsia"/>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sz w:val="24"/>
        </w:rPr>
      </w:pPr>
      <w:bookmarkStart w:id="239" w:name="_Toc7468"/>
      <w:bookmarkStart w:id="240" w:name="_Toc16293"/>
      <w:bookmarkStart w:id="241" w:name="_Toc28863"/>
      <w:bookmarkStart w:id="242" w:name="_Toc19590"/>
      <w:bookmarkStart w:id="243" w:name="_Toc11630"/>
      <w:bookmarkStart w:id="244" w:name="_Toc17922"/>
      <w:bookmarkStart w:id="245" w:name="_Toc54"/>
      <w:r>
        <w:rPr>
          <w:rFonts w:hint="eastAsia"/>
          <w:b/>
          <w:bCs/>
          <w:sz w:val="24"/>
        </w:rPr>
        <w:t>3.6 保密及其他注意事项</w:t>
      </w:r>
      <w:bookmarkEnd w:id="239"/>
      <w:bookmarkEnd w:id="240"/>
      <w:bookmarkEnd w:id="241"/>
      <w:bookmarkEnd w:id="242"/>
      <w:bookmarkEnd w:id="243"/>
      <w:bookmarkEnd w:id="244"/>
      <w:bookmarkEnd w:id="245"/>
    </w:p>
    <w:p>
      <w:pPr>
        <w:adjustRightInd w:val="0"/>
        <w:snapToGrid w:val="0"/>
        <w:spacing w:line="560" w:lineRule="exact"/>
        <w:rPr>
          <w:lang w:val="zh-CN"/>
        </w:rPr>
      </w:pPr>
      <w:r>
        <w:rPr>
          <w:rFonts w:hint="eastAsia"/>
        </w:rPr>
        <w:t xml:space="preserve">3.6.1 </w:t>
      </w:r>
      <w:r>
        <w:rPr>
          <w:rFonts w:hint="eastAsia"/>
          <w:lang w:val="zh-CN"/>
        </w:rPr>
        <w:t>在评标期间，投标企业不得向评标委员会成员询问评标情况，不得进行旨在影响中标结果的活动。</w:t>
      </w:r>
    </w:p>
    <w:p>
      <w:pPr>
        <w:adjustRightInd w:val="0"/>
        <w:snapToGrid w:val="0"/>
        <w:spacing w:line="560" w:lineRule="exact"/>
        <w:rPr>
          <w:lang w:val="zh-CN"/>
        </w:rPr>
      </w:pPr>
      <w:r>
        <w:rPr>
          <w:rFonts w:hint="eastAsia"/>
        </w:rPr>
        <w:t xml:space="preserve">3.6.2 </w:t>
      </w:r>
      <w:r>
        <w:rPr>
          <w:rFonts w:hint="eastAsia"/>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sz w:val="44"/>
          <w:szCs w:val="44"/>
        </w:rPr>
      </w:pPr>
      <w:r>
        <w:rPr>
          <w:rFonts w:hint="eastAsia"/>
        </w:rPr>
        <w:t>3.6.3</w:t>
      </w:r>
      <w:r>
        <w:rPr>
          <w:rFonts w:hint="eastAsia"/>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38"/>
        <w:spacing w:line="600" w:lineRule="exact"/>
        <w:ind w:right="-63" w:rightChars="-30"/>
        <w:rPr>
          <w:rFonts w:asciiTheme="minorEastAsia" w:hAnsiTheme="minorEastAsia" w:eastAsiaTheme="minorEastAsia" w:cstheme="minorEastAsia"/>
          <w:sz w:val="36"/>
          <w:szCs w:val="36"/>
        </w:rPr>
      </w:pPr>
      <w:bookmarkStart w:id="246" w:name="_Toc955"/>
      <w:r>
        <w:rPr>
          <w:rFonts w:hint="eastAsia" w:asciiTheme="minorEastAsia" w:hAnsiTheme="minorEastAsia" w:eastAsiaTheme="minorEastAsia" w:cstheme="minorEastAsia"/>
          <w:sz w:val="36"/>
          <w:szCs w:val="36"/>
        </w:rPr>
        <w:t>第四章  合同条款及格式</w:t>
      </w:r>
      <w:bookmarkEnd w:id="222"/>
      <w:bookmarkEnd w:id="223"/>
      <w:bookmarkEnd w:id="224"/>
      <w:bookmarkEnd w:id="246"/>
    </w:p>
    <w:p>
      <w:pPr>
        <w:spacing w:line="440" w:lineRule="exact"/>
        <w:ind w:firstLine="482"/>
        <w:rPr>
          <w:rFonts w:asciiTheme="minorEastAsia" w:hAnsiTheme="minorEastAsia" w:eastAsiaTheme="minorEastAsia" w:cstheme="minorEastAsia"/>
          <w:szCs w:val="21"/>
        </w:rPr>
      </w:pPr>
      <w:bookmarkStart w:id="247" w:name="_Toc12807"/>
      <w:r>
        <w:rPr>
          <w:rFonts w:hint="eastAsia" w:asciiTheme="minorEastAsia" w:hAnsiTheme="minorEastAsia" w:eastAsiaTheme="minorEastAsia" w:cstheme="minorEastAsia"/>
          <w:szCs w:val="21"/>
        </w:rPr>
        <w:t xml:space="preserve">合同名称：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合同编号：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         （以下简称 “发包人” ） 与“承包人” ）于   年  月  日商定并签署。</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一、概述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定义： 合同文本中以下的用词及词语除根据上下文另有</w:t>
      </w:r>
      <w:r>
        <w:rPr>
          <w:rFonts w:hint="eastAsia" w:asciiTheme="minorEastAsia" w:hAnsiTheme="minorEastAsia" w:eastAsiaTheme="minorEastAsia" w:cstheme="minorEastAsia"/>
          <w:kern w:val="0"/>
          <w:szCs w:val="21"/>
        </w:rPr>
        <w:t xml:space="preserve">要求外， 应具有本条所赋予的含义：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(1)合同：指本合同条款、合同协议书以及其它明确列入或合同协议书中的文件；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(2)发包人：</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(3)承包人：具有承包主体资格并被发包人接受的当事人。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(4)投标书：指承包人为项目向发包人提供的，为项目而作的有报价的投标文件。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(6)合同价款： 指根据合同条款， 用以支付承包人为完成本项目有关工作应付的总金额。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(7)不可抗力：不能预见、无法避免又不能克服的客观强制力量。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二、项目名称及技术要求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（2）技术要求： </w:t>
      </w:r>
    </w:p>
    <w:p>
      <w:pPr>
        <w:spacing w:line="440" w:lineRule="exact"/>
        <w:ind w:firstLine="482"/>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 xml:space="preserve">三、双方责任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3.1 发包人责任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(1)发包人向承包人提供开展本项目所需的有关基础资料，并对提供的时间、进度和资料的可靠性负责，时间为合同签订后 5天内。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(2)发包人应按合同规定向承包人支付合同价款；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(3)发包人负责协调本项目工作过程中与有关部门的配合问题；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3.2 承包人责任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(1)按照国家及行业现行的标准、规程、规范、技术条例进行工作；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(2)承包人应按照合同的规定和投标书中有关服务质量方面的承诺进行合同任务的 组织和具体实施，保证服务的质量；</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(4)承包人应依据合同，接受发包人的建议、检查、确认、同意、批准或类似行为， 并不因此变更或免除承包人的责任；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(5)承包人未经发包人同意不得向第三方转让， 或用于本合同以外的任何项目。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四、合同工期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供货及安装期：</w:t>
      </w:r>
      <w:r>
        <w:rPr>
          <w:rFonts w:hint="eastAsia" w:asciiTheme="minorEastAsia" w:hAnsiTheme="minorEastAsia" w:eastAsiaTheme="minorEastAsia" w:cstheme="minorEastAsia"/>
          <w:kern w:val="1"/>
          <w:szCs w:val="21"/>
        </w:rPr>
        <w:t xml:space="preserve">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五、合同价款与支付方式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 合同价款： 本项目合同价款为人民币大写： （￥       元）。 </w:t>
      </w:r>
    </w:p>
    <w:p>
      <w:pPr>
        <w:pStyle w:val="3"/>
        <w:ind w:firstLine="420" w:firstLineChars="200"/>
        <w:rPr>
          <w:rFonts w:hint="default"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color w:val="auto"/>
          <w:kern w:val="2"/>
          <w:sz w:val="21"/>
          <w:szCs w:val="21"/>
        </w:rPr>
        <w:t>5</w:t>
      </w:r>
      <w:r>
        <w:rPr>
          <w:rFonts w:hint="eastAsia" w:asciiTheme="minorEastAsia" w:hAnsiTheme="minorEastAsia" w:eastAsiaTheme="minorEastAsia" w:cstheme="minorEastAsia"/>
          <w:kern w:val="2"/>
          <w:sz w:val="21"/>
          <w:szCs w:val="21"/>
          <w:lang w:val="en-US" w:eastAsia="zh-CN" w:bidi="ar-SA"/>
        </w:rPr>
        <w:t>.2 付款方式：供货安装完毕后两个月内付合同金额的20%，经验收合格后剩余80%按照科室收入的增长按比例分60个月付款。</w:t>
      </w:r>
    </w:p>
    <w:p>
      <w:pPr>
        <w:spacing w:line="440" w:lineRule="exact"/>
        <w:ind w:firstLine="482"/>
        <w:rPr>
          <w:rFonts w:hint="eastAsia" w:asciiTheme="minorEastAsia" w:hAnsiTheme="minorEastAsia" w:eastAsiaTheme="minorEastAsia" w:cstheme="minorEastAsia"/>
          <w:szCs w:val="21"/>
        </w:rPr>
      </w:pPr>
      <w:r>
        <w:rPr>
          <w:rFonts w:hint="eastAsia" w:ascii="宋体" w:hAnsi="宋体" w:eastAsia="宋体" w:cs="宋体"/>
          <w:color w:val="000000"/>
          <w:szCs w:val="21"/>
        </w:rPr>
        <w:t>六、合同主要条款</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 发包人或承包人违反合同规定造成损失的应承担违约责任；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6.2 因承包人提供的成果造成发包人损失的，由承包人继续完善成果，并按损失的大小减收服务费； </w:t>
      </w:r>
    </w:p>
    <w:p>
      <w:pPr>
        <w:spacing w:line="440" w:lineRule="exact"/>
        <w:ind w:firstLine="482"/>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 xml:space="preserve">6.3 如由于承包人错误造成重大损失，承包人除负责采取补救措施外，应免收损失部分的服务费，并根据损失程度向发包人偿付赔偿金，赔偿金最多与免收的服务费金额相等。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6.4 发包人违约变更合同内容，未按期提交资料或提交资料错误及对所提资料作较 大修改，以致造成承包人返工或增加工作量时，双方除需另行协商签订补充合同、重新 明确有关条款外，发包人应按承包人所耗工作量向承包人支付返工费或追加工作量的补偿。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6.5 在合同履行期间，非承包人原因，发包人要求终止或解除合同，承包人不退还发包人已付的合同价款；承包人已开始服务工作的，发包人应根据承包人已进行的实际 工作量，支付价款。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6.6合同生效后，非发包人原因承包人要求终止或解除合同，应双倍返还已付合同价款。 </w:t>
      </w:r>
    </w:p>
    <w:p>
      <w:pPr>
        <w:pStyle w:val="3"/>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 6.7履约保证金</w:t>
      </w:r>
      <w:r>
        <w:rPr>
          <w:rFonts w:hint="eastAsia" w:ascii="宋体" w:hAnsi="宋体" w:eastAsia="宋体" w:cs="宋体"/>
          <w:color w:val="000000"/>
          <w:szCs w:val="21"/>
        </w:rPr>
        <w:tab/>
      </w:r>
      <w:r>
        <w:rPr>
          <w:rFonts w:hint="eastAsia" w:ascii="宋体" w:hAnsi="宋体" w:eastAsia="宋体" w:cs="宋体"/>
          <w:color w:val="000000"/>
          <w:szCs w:val="21"/>
        </w:rPr>
        <w:t>履约保证金为中标价的5%。</w:t>
      </w:r>
    </w:p>
    <w:p>
      <w:pPr>
        <w:pStyle w:val="3"/>
        <w:ind w:firstLine="420" w:firstLineChars="200"/>
        <w:rPr>
          <w:rFonts w:eastAsia="宋体"/>
          <w:color w:val="000000"/>
        </w:rPr>
      </w:pPr>
      <w:r>
        <w:rPr>
          <w:rFonts w:hint="eastAsia" w:ascii="宋体" w:hAnsi="宋体" w:eastAsia="宋体" w:cs="宋体"/>
          <w:color w:val="000000"/>
          <w:szCs w:val="21"/>
        </w:rPr>
        <w:t>履约保证金的形式包括：现金、转账和银行保函。</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七、争议与索赔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7.1 争议：发包人、承包人双方因合同发生争议时，双方应通过友好协商解决，协商不能达成协议，要求调解、仲裁、或诉讼的，可采用以下程序解决：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首先双方向上级管部门请求调解，调解达不成协议的，</w:t>
      </w:r>
      <w:bookmarkStart w:id="248" w:name="page"/>
      <w:bookmarkEnd w:id="248"/>
      <w:r>
        <w:rPr>
          <w:rFonts w:hint="eastAsia" w:asciiTheme="minorEastAsia" w:hAnsiTheme="minorEastAsia" w:eastAsiaTheme="minorEastAsia" w:cstheme="minorEastAsia"/>
          <w:szCs w:val="21"/>
        </w:rPr>
        <w:t xml:space="preserve">双方向有管辖权的仲 裁机关申请仲裁或直接向人民法院起诉。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仲裁费用或一切诉讼费用由败诉方承担。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仲裁及诉讼期间，发包人、承包人应继续履行合同规定的各自义务。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 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承包人可按以下规定向发包人索赔： </w:t>
      </w:r>
    </w:p>
    <w:p>
      <w:pPr>
        <w:spacing w:line="44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天内，向发包人发出要求索赔的通知；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（3）发包人在接到索赔通知后 10 天内给予响应，或要求承包人进一步补充索赔理 由和证据，发包人在 10 天内未予答复，应视为该项索赔已经认可。</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    7.2.2 发包人可按以下规定向承包人索赔：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天内，向承包人发出要求索赔的通知；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（3）承包人在接到索赔通知后 10 天内给予响应，或要求发包人进一步补充索赔理 由或证据，承包人在 10 天内未予答复，应视为该项索赔已经认可。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八、设备、人员事故的责任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承包人应为其执行本合同所投入的设备及雇佣的全部人员承担事故责任。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九、其它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9.1 下列文件应作为本合同的组成部分：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① 本合同及补充合同（如有）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② 投标书（发包人接受的部分）；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③ 双方认为必要的其它文件。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9.2 由于不可抗力因素致使合同无法履行时，双方应及时协商解决；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9.3 本合同未尽事宜，双方可签订补充协议作为附件，补充协议与合同具有同等法律效力；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9.4 合同有效期：本合同经双方代表签字盖章后生效。</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9.5 合同份数：合同正本 2 份，双方各执 1 份；副本 4 份，双方各执 2 份。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发包人：(盖公章)  承包人：(盖公章)</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法定代表人(或授权代表)：(签名)                      法定代表人(或授权代表)：(签字)</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                                         地址：</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邮编：                                         邮编：</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                                         传真：</w:t>
      </w:r>
    </w:p>
    <w:p>
      <w:pPr>
        <w:spacing w:line="440" w:lineRule="exact"/>
        <w:ind w:left="479" w:leftChars="2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            开户行：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账号：                                         账号：</w:t>
      </w:r>
    </w:p>
    <w:p>
      <w:pPr>
        <w:spacing w:line="440" w:lineRule="exact"/>
        <w:ind w:right="42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签字日期:   年   月   日</w:t>
      </w:r>
    </w:p>
    <w:p>
      <w:pPr>
        <w:pStyle w:val="20"/>
        <w:jc w:val="center"/>
        <w:rPr>
          <w:rFonts w:hint="eastAsia"/>
          <w:b/>
          <w:bCs/>
          <w:sz w:val="32"/>
          <w:szCs w:val="32"/>
        </w:rPr>
      </w:pPr>
      <w:r>
        <w:rPr>
          <w:rFonts w:hint="eastAsia"/>
          <w:b/>
          <w:bCs/>
          <w:sz w:val="32"/>
          <w:szCs w:val="32"/>
        </w:rPr>
        <w:t>第五章 采购内容及需求</w:t>
      </w:r>
    </w:p>
    <w:tbl>
      <w:tblPr>
        <w:tblStyle w:val="40"/>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692"/>
        <w:gridCol w:w="2075"/>
        <w:gridCol w:w="126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序号</w:t>
            </w:r>
          </w:p>
        </w:tc>
        <w:tc>
          <w:tcPr>
            <w:tcW w:w="369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类别</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采购内容及要求</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数量</w:t>
            </w:r>
          </w:p>
        </w:tc>
        <w:tc>
          <w:tcPr>
            <w:tcW w:w="778"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top w:val="single" w:color="auto" w:sz="4" w:space="0"/>
              <w:left w:val="single" w:color="auto" w:sz="4" w:space="0"/>
              <w:right w:val="single" w:color="auto" w:sz="4" w:space="0"/>
            </w:tcBorders>
            <w:vAlign w:val="center"/>
          </w:tcPr>
          <w:p>
            <w:pPr>
              <w:jc w:val="center"/>
              <w:textAlignment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w:t>
            </w:r>
          </w:p>
        </w:tc>
        <w:tc>
          <w:tcPr>
            <w:tcW w:w="3692"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宋体" w:hAnsi="宋体" w:eastAsia="宋体" w:cs="宋体"/>
                <w:color w:val="000000"/>
                <w:kern w:val="0"/>
                <w:sz w:val="20"/>
                <w:szCs w:val="20"/>
              </w:rPr>
              <w:t>儿童综合康复脑功能评估训练系统</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1套</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2</w:t>
            </w:r>
          </w:p>
        </w:tc>
        <w:tc>
          <w:tcPr>
            <w:tcW w:w="3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音乐训练仪</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lang w:val="en-US" w:eastAsia="zh-CN"/>
              </w:rPr>
              <w:t>2</w:t>
            </w:r>
            <w:r>
              <w:rPr>
                <w:rFonts w:hint="eastAsia" w:asciiTheme="minorEastAsia" w:hAnsiTheme="minorEastAsia" w:eastAsiaTheme="minorEastAsia" w:cstheme="minorEastAsia"/>
                <w:color w:val="000000"/>
                <w:kern w:val="0"/>
                <w:sz w:val="22"/>
                <w:lang w:eastAsia="zh-CN"/>
              </w:rPr>
              <w:t>台</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3</w:t>
            </w:r>
          </w:p>
        </w:tc>
        <w:tc>
          <w:tcPr>
            <w:tcW w:w="3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2"/>
                <w:sz w:val="20"/>
                <w:szCs w:val="20"/>
                <w:lang w:val="en-US" w:eastAsia="zh-CN" w:bidi="ar-SA"/>
              </w:rPr>
            </w:pPr>
            <w:r>
              <w:rPr>
                <w:rFonts w:hint="eastAsia" w:ascii="宋体" w:hAnsi="宋体"/>
                <w:sz w:val="18"/>
                <w:szCs w:val="18"/>
              </w:rPr>
              <w:t>儿童认知能力测试与训练仪</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rPr>
              <w:t>1</w:t>
            </w:r>
            <w:r>
              <w:rPr>
                <w:rFonts w:hint="eastAsia" w:asciiTheme="minorEastAsia" w:hAnsiTheme="minorEastAsia" w:eastAsiaTheme="minorEastAsia" w:cstheme="minorEastAsia"/>
                <w:color w:val="000000"/>
                <w:kern w:val="0"/>
                <w:sz w:val="22"/>
                <w:lang w:eastAsia="zh-CN"/>
              </w:rPr>
              <w:t>台</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4</w:t>
            </w:r>
          </w:p>
        </w:tc>
        <w:tc>
          <w:tcPr>
            <w:tcW w:w="3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引导式教育小组训练仪</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rPr>
              <w:t>1</w:t>
            </w:r>
            <w:r>
              <w:rPr>
                <w:rFonts w:hint="eastAsia" w:asciiTheme="minorEastAsia" w:hAnsiTheme="minorEastAsia" w:eastAsiaTheme="minorEastAsia" w:cstheme="minorEastAsia"/>
                <w:color w:val="000000"/>
                <w:kern w:val="0"/>
                <w:sz w:val="22"/>
                <w:lang w:eastAsia="zh-CN"/>
              </w:rPr>
              <w:t>台</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bottom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5</w:t>
            </w:r>
          </w:p>
        </w:tc>
        <w:tc>
          <w:tcPr>
            <w:tcW w:w="3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多感官训练系统</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1套</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top w:val="single" w:color="auto" w:sz="4" w:space="0"/>
              <w:left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lang w:val="en-US" w:eastAsia="zh-CN"/>
              </w:rPr>
              <w:t>6</w:t>
            </w:r>
          </w:p>
        </w:tc>
        <w:tc>
          <w:tcPr>
            <w:tcW w:w="3692"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体外冲击波治疗仪</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rPr>
              <w:t>1</w:t>
            </w:r>
            <w:r>
              <w:rPr>
                <w:rFonts w:hint="eastAsia" w:asciiTheme="minorEastAsia" w:hAnsiTheme="minorEastAsia" w:eastAsiaTheme="minorEastAsia" w:cstheme="minorEastAsia"/>
                <w:color w:val="000000"/>
                <w:kern w:val="0"/>
                <w:sz w:val="22"/>
                <w:lang w:eastAsia="zh-CN"/>
              </w:rPr>
              <w:t>台</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right w:val="single" w:color="auto" w:sz="4" w:space="0"/>
            </w:tcBorders>
            <w:vAlign w:val="center"/>
          </w:tcPr>
          <w:p>
            <w:pPr>
              <w:jc w:val="center"/>
              <w:textAlignment w:val="center"/>
              <w:rPr>
                <w:rFonts w:hint="default"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7</w:t>
            </w:r>
          </w:p>
        </w:tc>
        <w:tc>
          <w:tcPr>
            <w:tcW w:w="3692" w:type="dxa"/>
            <w:tcBorders>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脑电仿生电刺激仪</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1台</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8</w:t>
            </w:r>
          </w:p>
        </w:tc>
        <w:tc>
          <w:tcPr>
            <w:tcW w:w="3692" w:type="dxa"/>
            <w:tcBorders>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生物反馈神经功能重建治疗</w:t>
            </w:r>
            <w:r>
              <w:rPr>
                <w:rFonts w:hint="eastAsia" w:ascii="宋体" w:hAnsi="宋体" w:cs="宋体"/>
                <w:color w:val="000000"/>
                <w:kern w:val="0"/>
                <w:sz w:val="20"/>
                <w:szCs w:val="20"/>
                <w:lang w:eastAsia="zh-CN"/>
              </w:rPr>
              <w:t>系统</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val="en-US" w:eastAsia="zh-CN"/>
              </w:rPr>
              <w:t>2</w:t>
            </w:r>
            <w:r>
              <w:rPr>
                <w:rFonts w:hint="eastAsia" w:asciiTheme="minorEastAsia" w:hAnsiTheme="minorEastAsia" w:eastAsiaTheme="minorEastAsia" w:cstheme="minorEastAsia"/>
                <w:color w:val="000000"/>
                <w:kern w:val="0"/>
                <w:sz w:val="22"/>
              </w:rPr>
              <w:t>套</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right w:val="single" w:color="auto" w:sz="4" w:space="0"/>
            </w:tcBorders>
            <w:vAlign w:val="center"/>
          </w:tcPr>
          <w:p>
            <w:pPr>
              <w:jc w:val="center"/>
              <w:textAlignment w:val="center"/>
              <w:rPr>
                <w:rFonts w:hint="eastAsia"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9</w:t>
            </w:r>
          </w:p>
        </w:tc>
        <w:tc>
          <w:tcPr>
            <w:tcW w:w="3692" w:type="dxa"/>
            <w:tcBorders>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eastAsia="zh-CN"/>
              </w:rPr>
              <w:t>高压</w:t>
            </w:r>
            <w:r>
              <w:rPr>
                <w:rFonts w:hint="eastAsia" w:ascii="宋体" w:hAnsi="宋体" w:eastAsia="宋体" w:cs="宋体"/>
                <w:color w:val="000000"/>
                <w:kern w:val="0"/>
                <w:sz w:val="20"/>
                <w:szCs w:val="20"/>
              </w:rPr>
              <w:t>低频脉冲治疗</w:t>
            </w:r>
            <w:r>
              <w:rPr>
                <w:rFonts w:hint="eastAsia" w:ascii="宋体" w:hAnsi="宋体" w:cs="宋体"/>
                <w:color w:val="000000"/>
                <w:kern w:val="0"/>
                <w:sz w:val="20"/>
                <w:szCs w:val="20"/>
                <w:lang w:eastAsia="zh-CN"/>
              </w:rPr>
              <w:t>机</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lang w:val="en-US" w:eastAsia="zh-CN"/>
              </w:rPr>
              <w:t>2</w:t>
            </w:r>
            <w:r>
              <w:rPr>
                <w:rFonts w:hint="eastAsia" w:asciiTheme="minorEastAsia" w:hAnsiTheme="minorEastAsia" w:eastAsiaTheme="minorEastAsia" w:cstheme="minorEastAsia"/>
                <w:color w:val="000000"/>
                <w:kern w:val="0"/>
                <w:sz w:val="22"/>
                <w:lang w:eastAsia="zh-CN"/>
              </w:rPr>
              <w:t>台</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bottom w:val="single" w:color="auto" w:sz="4" w:space="0"/>
              <w:right w:val="single" w:color="auto" w:sz="4" w:space="0"/>
            </w:tcBorders>
            <w:vAlign w:val="center"/>
          </w:tcPr>
          <w:p>
            <w:pPr>
              <w:jc w:val="center"/>
              <w:textAlignment w:val="center"/>
              <w:rPr>
                <w:rFonts w:hint="default"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10</w:t>
            </w:r>
          </w:p>
        </w:tc>
        <w:tc>
          <w:tcPr>
            <w:tcW w:w="3692" w:type="dxa"/>
            <w:tcBorders>
              <w:left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毫米波治疗仪</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hint="eastAsia" w:asciiTheme="minorEastAsia" w:hAnsiTheme="minorEastAsia" w:eastAsiaTheme="minorEastAsia" w:cstheme="minorEastAsia"/>
                <w:color w:val="000000"/>
                <w:kern w:val="0"/>
                <w:sz w:val="22"/>
                <w:lang w:eastAsia="zh-CN"/>
              </w:rPr>
            </w:pPr>
            <w:r>
              <w:rPr>
                <w:rFonts w:hint="eastAsia" w:asciiTheme="minorEastAsia" w:hAnsiTheme="minorEastAsia" w:eastAsiaTheme="minorEastAsia" w:cstheme="minorEastAsia"/>
                <w:color w:val="000000"/>
                <w:kern w:val="0"/>
                <w:sz w:val="22"/>
                <w:lang w:val="en-US" w:eastAsia="zh-CN"/>
              </w:rPr>
              <w:t>2</w:t>
            </w:r>
            <w:r>
              <w:rPr>
                <w:rFonts w:hint="eastAsia" w:asciiTheme="minorEastAsia" w:hAnsiTheme="minorEastAsia" w:eastAsiaTheme="minorEastAsia" w:cstheme="minorEastAsia"/>
                <w:color w:val="000000"/>
                <w:kern w:val="0"/>
                <w:sz w:val="22"/>
                <w:lang w:eastAsia="zh-CN"/>
              </w:rPr>
              <w:t>台</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top w:val="single" w:color="auto" w:sz="4" w:space="0"/>
              <w:left w:val="single" w:color="auto" w:sz="4" w:space="0"/>
              <w:right w:val="single" w:color="auto" w:sz="4" w:space="0"/>
            </w:tcBorders>
            <w:vAlign w:val="center"/>
          </w:tcPr>
          <w:p>
            <w:pPr>
              <w:jc w:val="center"/>
              <w:textAlignment w:val="center"/>
              <w:rPr>
                <w:rFonts w:hint="default"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11</w:t>
            </w:r>
          </w:p>
        </w:tc>
        <w:tc>
          <w:tcPr>
            <w:tcW w:w="3692" w:type="dxa"/>
            <w:tcBorders>
              <w:left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上肢关节训练系统</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1套</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tcBorders>
              <w:left w:val="single" w:color="auto" w:sz="4" w:space="0"/>
              <w:right w:val="single" w:color="auto" w:sz="4" w:space="0"/>
            </w:tcBorders>
            <w:vAlign w:val="center"/>
          </w:tcPr>
          <w:p>
            <w:pPr>
              <w:jc w:val="center"/>
              <w:textAlignment w:val="center"/>
              <w:rPr>
                <w:rFonts w:hint="default"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12</w:t>
            </w:r>
          </w:p>
        </w:tc>
        <w:tc>
          <w:tcPr>
            <w:tcW w:w="3692" w:type="dxa"/>
            <w:tcBorders>
              <w:left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color w:val="000000"/>
                <w:kern w:val="0"/>
                <w:sz w:val="22"/>
              </w:rPr>
            </w:pPr>
            <w:r>
              <w:rPr>
                <w:rFonts w:hint="eastAsia" w:ascii="宋体" w:hAnsi="宋体" w:eastAsia="宋体" w:cs="宋体"/>
                <w:color w:val="000000"/>
                <w:kern w:val="0"/>
                <w:sz w:val="20"/>
                <w:szCs w:val="20"/>
              </w:rPr>
              <w:t>上下肢主被动训练系统</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lang w:val="en-US" w:eastAsia="zh-CN"/>
              </w:rPr>
              <w:t>2</w:t>
            </w:r>
            <w:r>
              <w:rPr>
                <w:rFonts w:hint="eastAsia" w:asciiTheme="minorEastAsia" w:hAnsiTheme="minorEastAsia" w:eastAsiaTheme="minorEastAsia" w:cstheme="minorEastAsia"/>
                <w:color w:val="000000"/>
                <w:kern w:val="0"/>
                <w:sz w:val="22"/>
              </w:rPr>
              <w:t>套</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48" w:type="dxa"/>
            <w:tcBorders>
              <w:left w:val="single" w:color="auto" w:sz="4" w:space="0"/>
              <w:right w:val="single" w:color="auto" w:sz="4" w:space="0"/>
            </w:tcBorders>
            <w:vAlign w:val="center"/>
          </w:tcPr>
          <w:p>
            <w:pPr>
              <w:jc w:val="center"/>
              <w:textAlignment w:val="center"/>
              <w:rPr>
                <w:rFonts w:hint="default" w:asciiTheme="minorEastAsia" w:hAnsiTheme="minorEastAsia" w:eastAsiaTheme="minorEastAsia" w:cstheme="minorEastAsia"/>
                <w:color w:val="000000"/>
                <w:kern w:val="0"/>
                <w:sz w:val="22"/>
                <w:lang w:val="en-US" w:eastAsia="zh-CN"/>
              </w:rPr>
            </w:pPr>
            <w:r>
              <w:rPr>
                <w:rFonts w:hint="eastAsia" w:asciiTheme="minorEastAsia" w:hAnsiTheme="minorEastAsia" w:eastAsiaTheme="minorEastAsia" w:cstheme="minorEastAsia"/>
                <w:color w:val="000000"/>
                <w:kern w:val="0"/>
                <w:sz w:val="22"/>
                <w:lang w:val="en-US" w:eastAsia="zh-CN"/>
              </w:rPr>
              <w:t>13</w:t>
            </w:r>
          </w:p>
        </w:tc>
        <w:tc>
          <w:tcPr>
            <w:tcW w:w="3692" w:type="dxa"/>
            <w:tcBorders>
              <w:left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rPr>
              <w:t>波波池</w:t>
            </w:r>
          </w:p>
        </w:tc>
        <w:tc>
          <w:tcPr>
            <w:tcW w:w="207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详见附表</w:t>
            </w:r>
          </w:p>
        </w:tc>
        <w:tc>
          <w:tcPr>
            <w:tcW w:w="1265" w:type="dxa"/>
            <w:tcBorders>
              <w:top w:val="single" w:color="auto" w:sz="4" w:space="0"/>
              <w:left w:val="single" w:color="auto" w:sz="4" w:space="0"/>
              <w:bottom w:val="single" w:color="auto" w:sz="4" w:space="0"/>
              <w:right w:val="single" w:color="auto" w:sz="4" w:space="0"/>
            </w:tcBorders>
            <w:vAlign w:val="center"/>
          </w:tcPr>
          <w:p>
            <w:pPr>
              <w:spacing w:before="100" w:beforeAutospacing="1"/>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1套</w:t>
            </w:r>
          </w:p>
        </w:tc>
        <w:tc>
          <w:tcPr>
            <w:tcW w:w="778" w:type="dxa"/>
            <w:tcBorders>
              <w:top w:val="single" w:color="auto" w:sz="4" w:space="0"/>
              <w:left w:val="single" w:color="auto" w:sz="4" w:space="0"/>
              <w:bottom w:val="single" w:color="auto" w:sz="4" w:space="0"/>
              <w:right w:val="single" w:color="auto" w:sz="4" w:space="0"/>
            </w:tcBorders>
          </w:tcPr>
          <w:p>
            <w:pPr>
              <w:spacing w:before="100" w:beforeAutospacing="1"/>
              <w:jc w:val="center"/>
              <w:rPr>
                <w:rFonts w:asciiTheme="minorEastAsia" w:hAnsiTheme="minorEastAsia" w:eastAsiaTheme="minorEastAsia" w:cstheme="minorEastAsia"/>
                <w:color w:val="000000"/>
                <w:kern w:val="0"/>
                <w:sz w:val="22"/>
              </w:rPr>
            </w:pPr>
          </w:p>
        </w:tc>
      </w:tr>
    </w:tbl>
    <w:p>
      <w:pPr>
        <w:pStyle w:val="20"/>
        <w:jc w:val="center"/>
        <w:rPr>
          <w:rFonts w:hint="eastAsia"/>
          <w:b/>
          <w:bCs/>
          <w:sz w:val="32"/>
          <w:szCs w:val="32"/>
        </w:rPr>
      </w:pPr>
    </w:p>
    <w:p>
      <w:pPr>
        <w:pStyle w:val="20"/>
        <w:jc w:val="center"/>
        <w:rPr>
          <w:rFonts w:hint="eastAsia"/>
          <w:b/>
          <w:bCs/>
          <w:sz w:val="32"/>
          <w:szCs w:val="32"/>
        </w:rPr>
      </w:pPr>
    </w:p>
    <w:p>
      <w:pPr>
        <w:pStyle w:val="20"/>
        <w:jc w:val="center"/>
        <w:rPr>
          <w:rFonts w:hint="eastAsia"/>
          <w:b/>
          <w:bCs/>
          <w:sz w:val="32"/>
          <w:szCs w:val="32"/>
        </w:rPr>
      </w:pPr>
    </w:p>
    <w:p>
      <w:pPr>
        <w:pStyle w:val="20"/>
        <w:jc w:val="center"/>
        <w:rPr>
          <w:rFonts w:hint="eastAsia"/>
          <w:b/>
          <w:bCs/>
          <w:sz w:val="32"/>
          <w:szCs w:val="32"/>
        </w:rPr>
      </w:pPr>
    </w:p>
    <w:p>
      <w:pPr>
        <w:pStyle w:val="20"/>
        <w:jc w:val="center"/>
        <w:rPr>
          <w:rFonts w:hint="eastAsia"/>
          <w:b/>
          <w:bCs/>
          <w:sz w:val="32"/>
          <w:szCs w:val="32"/>
        </w:rPr>
      </w:pPr>
    </w:p>
    <w:p>
      <w:pPr>
        <w:pStyle w:val="20"/>
        <w:jc w:val="center"/>
        <w:rPr>
          <w:rFonts w:hint="eastAsia"/>
          <w:b/>
          <w:bCs/>
          <w:sz w:val="32"/>
          <w:szCs w:val="32"/>
        </w:rPr>
      </w:pPr>
    </w:p>
    <w:bookmarkEnd w:id="247"/>
    <w:tbl>
      <w:tblPr>
        <w:tblStyle w:val="40"/>
        <w:tblW w:w="9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27"/>
        <w:gridCol w:w="8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bookmarkStart w:id="249" w:name="_Toc426369533"/>
            <w:bookmarkStart w:id="250" w:name="_Toc7906"/>
            <w:bookmarkStart w:id="251" w:name="_Toc26235"/>
            <w:bookmarkStart w:id="252" w:name="_Toc403122572"/>
            <w:r>
              <w:rPr>
                <w:rFonts w:hint="eastAsia" w:ascii="宋体" w:hAnsi="宋体" w:eastAsia="宋体" w:cs="宋体"/>
                <w:color w:val="000000"/>
                <w:kern w:val="0"/>
                <w:sz w:val="20"/>
                <w:szCs w:val="20"/>
              </w:rPr>
              <w:t>设备名称</w:t>
            </w:r>
          </w:p>
        </w:tc>
        <w:tc>
          <w:tcPr>
            <w:tcW w:w="8308"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技术参数及要求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儿童综合康复脑功能评估训练系统</w:t>
            </w:r>
          </w:p>
        </w:tc>
        <w:tc>
          <w:tcPr>
            <w:tcW w:w="8308" w:type="dxa"/>
            <w:tcBorders>
              <w:tl2br w:val="nil"/>
              <w:tr2bl w:val="nil"/>
            </w:tcBorders>
            <w:shd w:val="clear" w:color="auto" w:fill="auto"/>
            <w:vAlign w:val="center"/>
          </w:tcPr>
          <w:p>
            <w:pPr>
              <w:widowControl/>
              <w:numPr>
                <w:ilvl w:val="0"/>
                <w:numId w:val="9"/>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评定量表</w:t>
            </w:r>
            <w:r>
              <w:rPr>
                <w:rFonts w:hint="eastAsia" w:ascii="宋体" w:hAnsi="宋体" w:cs="宋体"/>
                <w:color w:val="000000"/>
                <w:kern w:val="0"/>
                <w:sz w:val="20"/>
                <w:szCs w:val="20"/>
                <w:lang w:val="en-US" w:eastAsia="zh-CN"/>
              </w:rPr>
              <w:t>至少包含</w:t>
            </w:r>
            <w:r>
              <w:rPr>
                <w:rFonts w:hint="eastAsia" w:ascii="宋体" w:hAnsi="宋体" w:eastAsia="宋体" w:cs="宋体"/>
                <w:color w:val="000000"/>
                <w:kern w:val="0"/>
                <w:sz w:val="20"/>
                <w:szCs w:val="20"/>
              </w:rPr>
              <w:t>认知评定、心理评定</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注意评定、记忆评定等。</w:t>
            </w:r>
          </w:p>
          <w:p>
            <w:pPr>
              <w:widowControl/>
              <w:jc w:val="both"/>
              <w:textAlignment w:val="center"/>
              <w:rPr>
                <w:rFonts w:hint="eastAsia" w:ascii="宋体" w:hAnsi="宋体" w:cs="宋体"/>
                <w:color w:val="000000"/>
                <w:kern w:val="0"/>
                <w:sz w:val="20"/>
                <w:szCs w:val="20"/>
                <w:lang w:eastAsia="zh-CN"/>
              </w:rPr>
            </w:pPr>
            <w:r>
              <w:rPr>
                <w:rFonts w:hint="eastAsia" w:ascii="宋体" w:hAnsi="宋体" w:eastAsia="宋体" w:cs="宋体"/>
                <w:color w:val="000000"/>
                <w:kern w:val="0"/>
                <w:sz w:val="20"/>
                <w:szCs w:val="20"/>
              </w:rPr>
              <w:t>2．认知训练模块</w:t>
            </w:r>
            <w:r>
              <w:rPr>
                <w:rFonts w:hint="eastAsia" w:ascii="宋体" w:hAnsi="宋体" w:cs="宋体"/>
                <w:color w:val="000000"/>
                <w:kern w:val="0"/>
                <w:sz w:val="20"/>
                <w:szCs w:val="20"/>
                <w:lang w:val="en-US" w:eastAsia="zh-CN"/>
              </w:rPr>
              <w:t>≥10</w:t>
            </w:r>
            <w:r>
              <w:rPr>
                <w:rFonts w:hint="eastAsia" w:ascii="宋体" w:hAnsi="宋体" w:eastAsia="宋体" w:cs="宋体"/>
                <w:color w:val="000000"/>
                <w:kern w:val="0"/>
                <w:sz w:val="20"/>
                <w:szCs w:val="20"/>
              </w:rPr>
              <w:t>种，训练模式</w:t>
            </w:r>
            <w:r>
              <w:rPr>
                <w:rFonts w:hint="eastAsia" w:ascii="宋体" w:hAnsi="宋体" w:cs="宋体"/>
                <w:color w:val="000000"/>
                <w:kern w:val="0"/>
                <w:sz w:val="20"/>
                <w:szCs w:val="20"/>
                <w:lang w:val="en-US" w:eastAsia="zh-CN"/>
              </w:rPr>
              <w:t>≥10</w:t>
            </w:r>
            <w:r>
              <w:rPr>
                <w:rFonts w:hint="eastAsia" w:ascii="宋体" w:hAnsi="宋体" w:eastAsia="宋体" w:cs="宋体"/>
                <w:color w:val="000000"/>
                <w:kern w:val="0"/>
                <w:sz w:val="20"/>
                <w:szCs w:val="20"/>
              </w:rPr>
              <w:t>种</w:t>
            </w:r>
            <w:r>
              <w:rPr>
                <w:rFonts w:hint="eastAsia" w:ascii="宋体" w:hAnsi="宋体" w:cs="宋体"/>
                <w:color w:val="000000"/>
                <w:kern w:val="0"/>
                <w:sz w:val="20"/>
                <w:szCs w:val="20"/>
                <w:lang w:eastAsia="zh-CN"/>
              </w:rPr>
              <w:t>。</w:t>
            </w:r>
          </w:p>
          <w:p>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 双屏分控模式</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内含</w:t>
            </w:r>
            <w:r>
              <w:rPr>
                <w:rFonts w:hint="eastAsia" w:ascii="宋体" w:hAnsi="宋体" w:eastAsia="宋体" w:cs="宋体"/>
                <w:color w:val="000000"/>
                <w:kern w:val="0"/>
                <w:sz w:val="20"/>
                <w:szCs w:val="20"/>
              </w:rPr>
              <w:t>现场数据录像化，</w:t>
            </w:r>
            <w:r>
              <w:rPr>
                <w:rFonts w:hint="eastAsia" w:ascii="宋体" w:hAnsi="宋体" w:cs="宋体"/>
                <w:color w:val="000000"/>
                <w:kern w:val="0"/>
                <w:sz w:val="20"/>
                <w:szCs w:val="20"/>
                <w:lang w:val="en-US" w:eastAsia="zh-CN"/>
              </w:rPr>
              <w:t>可</w:t>
            </w:r>
            <w:r>
              <w:rPr>
                <w:rFonts w:hint="eastAsia" w:ascii="宋体" w:hAnsi="宋体" w:eastAsia="宋体" w:cs="宋体"/>
                <w:color w:val="000000"/>
                <w:kern w:val="0"/>
                <w:sz w:val="20"/>
                <w:szCs w:val="20"/>
              </w:rPr>
              <w:t>全方位现场数据保留</w:t>
            </w:r>
            <w:r>
              <w:rPr>
                <w:rFonts w:hint="eastAsia" w:ascii="宋体" w:hAnsi="宋体" w:cs="宋体"/>
                <w:color w:val="000000"/>
                <w:kern w:val="0"/>
                <w:sz w:val="20"/>
                <w:szCs w:val="20"/>
                <w:lang w:eastAsia="zh-CN"/>
              </w:rPr>
              <w:t>。</w:t>
            </w:r>
          </w:p>
          <w:p>
            <w:pPr>
              <w:widowControl/>
              <w:jc w:val="both"/>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4、支持多语音平台</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适用普通话及各类方言</w:t>
            </w:r>
            <w:r>
              <w:rPr>
                <w:rFonts w:hint="eastAsia" w:ascii="宋体" w:hAnsi="宋体" w:cs="宋体"/>
                <w:color w:val="000000"/>
                <w:kern w:val="0"/>
                <w:sz w:val="20"/>
                <w:szCs w:val="20"/>
                <w:lang w:eastAsia="zh-CN"/>
              </w:rPr>
              <w:t>。</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cs="宋体"/>
                <w:color w:val="000000"/>
                <w:kern w:val="0"/>
                <w:sz w:val="20"/>
                <w:szCs w:val="20"/>
                <w:lang w:val="en-US" w:eastAsia="zh-CN"/>
              </w:rPr>
              <w:t>支持</w:t>
            </w:r>
            <w:r>
              <w:rPr>
                <w:rFonts w:hint="eastAsia" w:ascii="宋体" w:hAnsi="宋体" w:eastAsia="宋体" w:cs="宋体"/>
                <w:color w:val="000000"/>
                <w:kern w:val="0"/>
                <w:sz w:val="20"/>
                <w:szCs w:val="20"/>
              </w:rPr>
              <w:t>各阶段</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不同种类的多个评定自动综合到同一报告单上，方便</w:t>
            </w:r>
            <w:r>
              <w:rPr>
                <w:rFonts w:hint="eastAsia" w:ascii="宋体" w:hAnsi="宋体" w:cs="宋体"/>
                <w:color w:val="000000"/>
                <w:kern w:val="0"/>
                <w:sz w:val="20"/>
                <w:szCs w:val="20"/>
                <w:lang w:val="en-US" w:eastAsia="zh-CN"/>
              </w:rPr>
              <w:t>医</w:t>
            </w:r>
            <w:r>
              <w:rPr>
                <w:rFonts w:hint="eastAsia" w:ascii="宋体" w:hAnsi="宋体" w:eastAsia="宋体" w:cs="宋体"/>
                <w:color w:val="000000"/>
                <w:kern w:val="0"/>
                <w:sz w:val="20"/>
                <w:szCs w:val="20"/>
              </w:rPr>
              <w:t xml:space="preserve">患交流。     </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6．训练难度自动匹配，自动适应患者的认知水平无须治疗师人工干预。</w:t>
            </w:r>
          </w:p>
          <w:p>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w:t>
            </w:r>
            <w:r>
              <w:rPr>
                <w:rFonts w:hint="eastAsia" w:ascii="宋体" w:hAnsi="宋体" w:cs="宋体"/>
                <w:color w:val="000000"/>
                <w:kern w:val="0"/>
                <w:sz w:val="20"/>
                <w:szCs w:val="20"/>
                <w:lang w:val="en-US" w:eastAsia="zh-CN"/>
              </w:rPr>
              <w:t xml:space="preserve">.  </w:t>
            </w:r>
            <w:r>
              <w:rPr>
                <w:rFonts w:hint="eastAsia" w:ascii="宋体" w:hAnsi="宋体" w:eastAsia="宋体" w:cs="宋体"/>
                <w:color w:val="000000"/>
                <w:kern w:val="0"/>
                <w:sz w:val="20"/>
                <w:szCs w:val="20"/>
              </w:rPr>
              <w:t>支持忽视症训练，保证偏侧忽略患者最大程度参与训练</w:t>
            </w:r>
            <w:r>
              <w:rPr>
                <w:rFonts w:hint="eastAsia" w:ascii="宋体" w:hAnsi="宋体" w:cs="宋体"/>
                <w:color w:val="000000"/>
                <w:kern w:val="0"/>
                <w:sz w:val="20"/>
                <w:szCs w:val="20"/>
                <w:lang w:eastAsia="zh-CN"/>
              </w:rPr>
              <w:t>。</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 xml:space="preserve"> 支持视听觉反馈组合，方便视觉或听觉障碍患者训练。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音乐训练仪</w:t>
            </w:r>
          </w:p>
        </w:tc>
        <w:tc>
          <w:tcPr>
            <w:tcW w:w="8308" w:type="dxa"/>
            <w:tcBorders>
              <w:tl2br w:val="nil"/>
              <w:tr2bl w:val="nil"/>
            </w:tcBorders>
            <w:shd w:val="clear" w:color="auto" w:fill="auto"/>
            <w:vAlign w:val="center"/>
          </w:tcPr>
          <w:p>
            <w:pPr>
              <w:widowControl/>
              <w:numPr>
                <w:ilvl w:val="0"/>
                <w:numId w:val="1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支持蓝牙连接和音频播放功能</w:t>
            </w:r>
          </w:p>
          <w:p>
            <w:pPr>
              <w:pStyle w:val="3"/>
              <w:numPr>
                <w:ilvl w:val="0"/>
                <w:numId w:val="10"/>
              </w:numPr>
              <w:rPr>
                <w:rFonts w:hint="default"/>
                <w:lang w:val="en-US" w:eastAsia="zh-CN"/>
              </w:rPr>
            </w:pPr>
            <w:r>
              <w:rPr>
                <w:rFonts w:hint="eastAsia" w:ascii="宋体" w:hAnsi="宋体" w:eastAsia="宋体" w:cs="宋体"/>
                <w:color w:val="000000"/>
                <w:kern w:val="0"/>
                <w:sz w:val="20"/>
                <w:szCs w:val="20"/>
              </w:rPr>
              <w:t>识别人体杂波发声</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支持双手触摸发声</w:t>
            </w:r>
          </w:p>
          <w:p>
            <w:pPr>
              <w:widowControl/>
              <w:numPr>
                <w:ilvl w:val="0"/>
                <w:numId w:val="10"/>
              </w:numPr>
              <w:ind w:left="0" w:leftChars="0" w:firstLine="0" w:firstLineChars="0"/>
              <w:jc w:val="both"/>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可模仿</w:t>
            </w:r>
            <w:r>
              <w:rPr>
                <w:rFonts w:hint="eastAsia" w:ascii="宋体" w:hAnsi="宋体" w:cs="宋体"/>
                <w:color w:val="000000"/>
                <w:kern w:val="0"/>
                <w:sz w:val="20"/>
                <w:szCs w:val="20"/>
                <w:lang w:val="en-US" w:eastAsia="zh-CN"/>
              </w:rPr>
              <w:t>≥10</w:t>
            </w:r>
            <w:r>
              <w:rPr>
                <w:rFonts w:hint="eastAsia" w:ascii="宋体" w:hAnsi="宋体" w:eastAsia="宋体" w:cs="宋体"/>
                <w:color w:val="000000"/>
                <w:kern w:val="0"/>
                <w:sz w:val="20"/>
                <w:szCs w:val="20"/>
              </w:rPr>
              <w:t>种旋律乐器音色与音阶，可模仿架子鼓、康加鼓、桑巴鼓等打击乐器音色</w:t>
            </w:r>
          </w:p>
          <w:p>
            <w:pPr>
              <w:widowControl/>
              <w:numPr>
                <w:ilvl w:val="0"/>
                <w:numId w:val="10"/>
              </w:numPr>
              <w:ind w:left="0" w:leftChars="0" w:firstLine="0" w:firstLineChars="0"/>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触控方式</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双脚踩踏和金属感应区双手</w:t>
            </w:r>
            <w:r>
              <w:rPr>
                <w:rFonts w:hint="eastAsia" w:ascii="宋体" w:hAnsi="宋体" w:cs="宋体"/>
                <w:color w:val="000000"/>
                <w:kern w:val="0"/>
                <w:sz w:val="20"/>
                <w:szCs w:val="20"/>
                <w:lang w:val="en-US" w:eastAsia="zh-CN"/>
              </w:rPr>
              <w:t>演奏，</w:t>
            </w:r>
            <w:r>
              <w:rPr>
                <w:rFonts w:hint="eastAsia" w:ascii="宋体" w:hAnsi="宋体" w:eastAsia="宋体" w:cs="宋体"/>
                <w:color w:val="000000"/>
                <w:kern w:val="0"/>
                <w:sz w:val="20"/>
                <w:szCs w:val="20"/>
              </w:rPr>
              <w:t>可演奏</w:t>
            </w:r>
            <w:r>
              <w:rPr>
                <w:rFonts w:hint="eastAsia" w:ascii="宋体" w:hAnsi="宋体" w:cs="宋体"/>
                <w:color w:val="000000"/>
                <w:kern w:val="0"/>
                <w:sz w:val="20"/>
                <w:szCs w:val="20"/>
                <w:lang w:val="en-US" w:eastAsia="zh-CN"/>
              </w:rPr>
              <w:t>≥10</w:t>
            </w:r>
            <w:r>
              <w:rPr>
                <w:rFonts w:hint="eastAsia" w:ascii="宋体" w:hAnsi="宋体" w:eastAsia="宋体" w:cs="宋体"/>
                <w:color w:val="000000"/>
                <w:kern w:val="0"/>
                <w:sz w:val="20"/>
                <w:szCs w:val="20"/>
              </w:rPr>
              <w:t>个音级。</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操作延时:触摸操作连续两次操作反应延迟≤100ms:</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音符时值：双手按住触摸操作部位，可不间断演奏出拍速速度≥75的4/4拍歌曲全音音符</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记忆回放功能;可按照操作者操作的音符顺序和时间间隔，记录并回放演奏者所演奏的音乐，回放最多可记录</w:t>
            </w:r>
            <w:r>
              <w:rPr>
                <w:rFonts w:hint="eastAsia" w:ascii="宋体" w:hAnsi="宋体" w:cs="宋体"/>
                <w:color w:val="000000"/>
                <w:kern w:val="0"/>
                <w:sz w:val="20"/>
                <w:szCs w:val="20"/>
                <w:lang w:val="en-US" w:eastAsia="zh-CN"/>
              </w:rPr>
              <w:t>≥100</w:t>
            </w:r>
            <w:r>
              <w:rPr>
                <w:rFonts w:hint="eastAsia" w:ascii="宋体" w:hAnsi="宋体" w:eastAsia="宋体" w:cs="宋体"/>
                <w:color w:val="000000"/>
                <w:kern w:val="0"/>
                <w:sz w:val="20"/>
                <w:szCs w:val="20"/>
              </w:rPr>
              <w:t>个音符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jc w:val="center"/>
              <w:rPr>
                <w:rFonts w:ascii="宋体" w:hAnsi="宋体" w:eastAsia="宋体" w:cs="宋体"/>
                <w:color w:val="000000"/>
                <w:sz w:val="20"/>
                <w:szCs w:val="20"/>
              </w:rPr>
            </w:pPr>
            <w:r>
              <w:rPr>
                <w:rFonts w:hint="eastAsia" w:ascii="宋体" w:hAnsi="宋体"/>
                <w:sz w:val="18"/>
                <w:szCs w:val="18"/>
              </w:rPr>
              <w:t>儿童认知能力测试与训练仪</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智能评测儿童各项认知能力所对应的能力数值及其所处阶段，并根据评测结果自动导入个体化训练方案。</w:t>
            </w:r>
          </w:p>
          <w:p>
            <w:pPr>
              <w:widowControl/>
              <w:jc w:val="both"/>
              <w:textAlignment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评测结果自动保存，结果报表可直接打印</w:t>
            </w:r>
            <w:r>
              <w:rPr>
                <w:rFonts w:hint="eastAsia" w:ascii="宋体" w:hAnsi="宋体" w:cs="宋体"/>
                <w:color w:val="000000"/>
                <w:kern w:val="0"/>
                <w:sz w:val="20"/>
                <w:szCs w:val="20"/>
                <w:lang w:eastAsia="zh-CN"/>
              </w:rPr>
              <w:t>。</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软件包括测试平台与学习平台。</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1）认知能力测试</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根据不同儿童的认知发展水平差异，自动导入相应的等级甄别题和等级测试题。该平台还提供自录音功能，可根据实际情况录制地方方言，使被测者的检测结果不受语言地区差异的束缚。</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2）认知能力学习平台</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针对五项认知能力：感知觉、注意、观察、记忆、思维（推理）等进行学习训练；并根据儿童认知能力发展阶段分为五个难度级别。每一个认知级别对五项认知能力及语言交流进行训练。</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3）个性化学习平台</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需提供开放性训练</w:t>
            </w:r>
            <w:r>
              <w:rPr>
                <w:rFonts w:hint="eastAsia" w:ascii="宋体" w:hAnsi="宋体" w:eastAsia="宋体" w:cs="宋体"/>
                <w:color w:val="000000"/>
                <w:kern w:val="0"/>
                <w:sz w:val="20"/>
                <w:szCs w:val="20"/>
              </w:rPr>
              <w:t>平台，</w:t>
            </w:r>
            <w:r>
              <w:rPr>
                <w:rFonts w:hint="eastAsia" w:ascii="宋体" w:hAnsi="宋体" w:eastAsia="宋体" w:cs="宋体"/>
                <w:color w:val="000000"/>
                <w:kern w:val="0"/>
                <w:sz w:val="20"/>
                <w:szCs w:val="20"/>
                <w:lang w:val="en-US" w:eastAsia="zh-CN"/>
              </w:rPr>
              <w:t>治疗师</w:t>
            </w:r>
            <w:r>
              <w:rPr>
                <w:rFonts w:hint="eastAsia" w:ascii="宋体" w:hAnsi="宋体" w:eastAsia="宋体" w:cs="宋体"/>
                <w:color w:val="000000"/>
                <w:kern w:val="0"/>
                <w:sz w:val="20"/>
                <w:szCs w:val="20"/>
              </w:rPr>
              <w:t>可根据</w:t>
            </w:r>
            <w:r>
              <w:rPr>
                <w:rFonts w:hint="eastAsia" w:ascii="宋体" w:hAnsi="宋体" w:eastAsia="宋体" w:cs="宋体"/>
                <w:color w:val="000000"/>
                <w:kern w:val="0"/>
                <w:sz w:val="20"/>
                <w:szCs w:val="20"/>
                <w:lang w:val="en-US" w:eastAsia="zh-CN"/>
              </w:rPr>
              <w:t>患者</w:t>
            </w:r>
            <w:r>
              <w:rPr>
                <w:rFonts w:hint="eastAsia" w:ascii="宋体" w:hAnsi="宋体" w:eastAsia="宋体" w:cs="宋体"/>
                <w:color w:val="000000"/>
                <w:kern w:val="0"/>
                <w:sz w:val="20"/>
                <w:szCs w:val="20"/>
              </w:rPr>
              <w:t>的实际需要和自己的经验设计针对性的个体化康复方案，无限拓展。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引导式教育小组训练仪</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LED 液晶屏(16:9)，显示分辨率不低于1920×1080；全屏幕防水，全触控操作区防水</w:t>
            </w:r>
            <w:r>
              <w:rPr>
                <w:rFonts w:hint="eastAsia" w:ascii="宋体" w:hAnsi="宋体" w:cs="宋体"/>
                <w:color w:val="000000"/>
                <w:kern w:val="0"/>
                <w:sz w:val="20"/>
                <w:szCs w:val="20"/>
                <w:lang w:eastAsia="zh-CN"/>
              </w:rPr>
              <w:t>。</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屏幕</w:t>
            </w:r>
            <w:r>
              <w:rPr>
                <w:rFonts w:hint="eastAsia" w:ascii="宋体" w:hAnsi="宋体" w:eastAsia="宋体" w:cs="宋体"/>
                <w:color w:val="000000"/>
                <w:kern w:val="0"/>
                <w:sz w:val="20"/>
                <w:szCs w:val="20"/>
                <w:lang w:eastAsia="zh-CN"/>
              </w:rPr>
              <w:t>需</w:t>
            </w:r>
            <w:r>
              <w:rPr>
                <w:rFonts w:hint="eastAsia" w:ascii="宋体" w:hAnsi="宋体" w:eastAsia="宋体" w:cs="宋体"/>
                <w:color w:val="000000"/>
                <w:kern w:val="0"/>
                <w:sz w:val="20"/>
                <w:szCs w:val="20"/>
              </w:rPr>
              <w:t>采用投射式电容感应数字触控技术，实现高精度多点触控操作,设备屏幕纯平设计；</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屏幕触摸响应，非人体皮肤触摸不响应，从而有效避免误操作；</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触摸精度直径≥1mm物体；</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训练软件包括：互动协作训练、互动对抗训练两个方面，其中互动协作训练不少于12个训练软件，互动对抗训练不少于20个训练软件；</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软件</w:t>
            </w:r>
            <w:r>
              <w:rPr>
                <w:rFonts w:hint="eastAsia" w:ascii="宋体" w:hAnsi="宋体" w:cs="宋体"/>
                <w:color w:val="000000"/>
                <w:kern w:val="0"/>
                <w:sz w:val="20"/>
                <w:szCs w:val="20"/>
                <w:lang w:val="en-US" w:eastAsia="zh-CN"/>
              </w:rPr>
              <w:t>支持</w:t>
            </w:r>
            <w:r>
              <w:rPr>
                <w:rFonts w:hint="eastAsia" w:ascii="宋体" w:hAnsi="宋体" w:eastAsia="宋体" w:cs="宋体"/>
                <w:color w:val="000000"/>
                <w:kern w:val="0"/>
                <w:sz w:val="20"/>
                <w:szCs w:val="20"/>
              </w:rPr>
              <w:t>本地U盘升级更新</w:t>
            </w:r>
            <w:r>
              <w:rPr>
                <w:rFonts w:hint="eastAsia" w:ascii="宋体" w:hAnsi="宋体" w:cs="宋体"/>
                <w:color w:val="000000"/>
                <w:kern w:val="0"/>
                <w:sz w:val="20"/>
                <w:szCs w:val="20"/>
                <w:lang w:val="en-US" w:eastAsia="zh-CN"/>
              </w:rPr>
              <w:t>功能</w:t>
            </w:r>
            <w:r>
              <w:rPr>
                <w:rFonts w:hint="eastAsia" w:ascii="宋体" w:hAnsi="宋体" w:eastAsia="宋体" w:cs="宋体"/>
                <w:color w:val="000000"/>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多感官训练系统</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b/>
                <w:bCs/>
                <w:color w:val="000000"/>
                <w:kern w:val="0"/>
                <w:sz w:val="20"/>
                <w:szCs w:val="20"/>
              </w:rPr>
            </w:pPr>
            <w:r>
              <w:rPr>
                <w:rFonts w:hint="eastAsia" w:ascii="宋体" w:hAnsi="宋体" w:cs="宋体"/>
                <w:b/>
                <w:bCs/>
                <w:color w:val="000000"/>
                <w:kern w:val="0"/>
                <w:sz w:val="20"/>
                <w:szCs w:val="20"/>
                <w:lang w:val="en-US" w:eastAsia="zh-CN"/>
              </w:rPr>
              <w:t>1.</w:t>
            </w:r>
            <w:r>
              <w:rPr>
                <w:rFonts w:hint="eastAsia" w:ascii="宋体" w:hAnsi="宋体" w:eastAsia="宋体" w:cs="宋体"/>
                <w:b/>
                <w:bCs/>
                <w:color w:val="000000"/>
                <w:kern w:val="0"/>
                <w:sz w:val="20"/>
                <w:szCs w:val="20"/>
              </w:rPr>
              <w:t>多感官音色互动训练器（互动钢琴水柱）</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幻彩水柱-8PCS，幻彩水柱 8 个音阶按键,每个按键对应 8 种声音,每个模式同个按键声音不同,</w:t>
            </w:r>
            <w:r>
              <w:rPr>
                <w:rFonts w:hint="eastAsia" w:ascii="宋体" w:hAnsi="宋体" w:eastAsia="宋体" w:cs="宋体"/>
                <w:color w:val="000000"/>
                <w:kern w:val="0"/>
                <w:sz w:val="20"/>
                <w:szCs w:val="20"/>
                <w:lang w:eastAsia="zh-CN"/>
              </w:rPr>
              <w:t>不低于</w:t>
            </w:r>
            <w:r>
              <w:rPr>
                <w:rFonts w:hint="eastAsia" w:ascii="宋体" w:hAnsi="宋体" w:eastAsia="宋体" w:cs="宋体"/>
                <w:color w:val="000000"/>
                <w:kern w:val="0"/>
                <w:sz w:val="20"/>
                <w:szCs w:val="20"/>
              </w:rPr>
              <w:t>64 种声音。</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1、背景镜面1套。</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2、幻彩有机玻璃水柱8根。</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3、换水水泵一台及换水软管1根。</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4、输入电压:220VAC 工作电压:12VDC、AC220V 。</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、支持USB热插拔，教师可根据训练内容更换音乐。</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、阻燃符合于GB 6675-2014标准；环保符合于GB 18584-2001、GB 21550标准；</w:t>
            </w:r>
          </w:p>
          <w:p>
            <w:pPr>
              <w:widowControl/>
              <w:jc w:val="both"/>
              <w:textAlignment w:val="center"/>
              <w:rPr>
                <w:rFonts w:hint="eastAsia" w:ascii="宋体" w:hAnsi="宋体" w:cs="宋体"/>
                <w:color w:val="000000"/>
                <w:kern w:val="0"/>
                <w:sz w:val="20"/>
                <w:szCs w:val="20"/>
                <w:lang w:eastAsia="zh-CN"/>
              </w:rPr>
            </w:pPr>
            <w:r>
              <w:rPr>
                <w:rFonts w:hint="eastAsia" w:ascii="宋体" w:hAnsi="宋体" w:eastAsia="宋体" w:cs="宋体"/>
                <w:color w:val="000000"/>
                <w:kern w:val="0"/>
                <w:sz w:val="20"/>
                <w:szCs w:val="20"/>
              </w:rPr>
              <w:t xml:space="preserve"> </w:t>
            </w:r>
            <w:r>
              <w:rPr>
                <w:rFonts w:hint="eastAsia" w:ascii="宋体" w:hAnsi="宋体" w:cs="宋体"/>
                <w:color w:val="000000"/>
                <w:kern w:val="0"/>
                <w:sz w:val="20"/>
                <w:szCs w:val="20"/>
                <w:lang w:eastAsia="zh-CN"/>
              </w:rPr>
              <w:t>质量要求符合于JY0001－2003标准。</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cs="宋体"/>
                <w:b/>
                <w:bCs/>
                <w:color w:val="000000"/>
                <w:kern w:val="0"/>
                <w:sz w:val="20"/>
                <w:szCs w:val="20"/>
                <w:lang w:val="en-US" w:eastAsia="zh-CN"/>
              </w:rPr>
              <w:t>2、</w:t>
            </w:r>
            <w:r>
              <w:rPr>
                <w:rFonts w:hint="eastAsia" w:ascii="宋体" w:hAnsi="宋体" w:eastAsia="宋体" w:cs="宋体"/>
                <w:b/>
                <w:bCs/>
                <w:color w:val="000000"/>
                <w:kern w:val="0"/>
                <w:sz w:val="20"/>
                <w:szCs w:val="20"/>
              </w:rPr>
              <w:t>多感官触感训练组合（手掌感知声光游戏箱）</w:t>
            </w:r>
            <w:r>
              <w:rPr>
                <w:rFonts w:hint="eastAsia" w:ascii="宋体" w:hAnsi="宋体" w:eastAsia="宋体" w:cs="宋体"/>
                <w:color w:val="000000"/>
                <w:kern w:val="0"/>
                <w:sz w:val="20"/>
                <w:szCs w:val="20"/>
              </w:rPr>
              <w:tab/>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、输入电压:220VAC  工作电压:12VDC。</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、额定功率：小于40W</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、尺寸：</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1200*750*120mm</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、质量要求符合于JY0001－2003标准；阻燃符合于GB 6675-2014标准；环保符合于GB 18584-2001、GB 21550-2008标准。</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支持USB热插拔，教师可根据训练内容更换音乐。</w:t>
            </w:r>
          </w:p>
          <w:p>
            <w:pPr>
              <w:widowControl/>
              <w:jc w:val="both"/>
              <w:textAlignment w:val="center"/>
              <w:rPr>
                <w:rFonts w:hint="eastAsia" w:ascii="宋体" w:hAnsi="宋体" w:eastAsia="宋体" w:cs="宋体"/>
                <w:b/>
                <w:bCs/>
                <w:color w:val="000000"/>
                <w:kern w:val="0"/>
                <w:sz w:val="20"/>
                <w:szCs w:val="20"/>
                <w:highlight w:val="red"/>
              </w:rPr>
            </w:pPr>
            <w:r>
              <w:rPr>
                <w:rFonts w:hint="eastAsia" w:ascii="宋体" w:hAnsi="宋体" w:cs="宋体"/>
                <w:b/>
                <w:bCs/>
                <w:color w:val="000000"/>
                <w:kern w:val="0"/>
                <w:sz w:val="20"/>
                <w:szCs w:val="20"/>
                <w:lang w:val="en-US" w:eastAsia="zh-CN"/>
              </w:rPr>
              <w:t>3、</w:t>
            </w:r>
            <w:r>
              <w:rPr>
                <w:rFonts w:hint="eastAsia" w:ascii="宋体" w:hAnsi="宋体" w:eastAsia="宋体" w:cs="宋体"/>
                <w:b/>
                <w:bCs/>
                <w:color w:val="000000"/>
                <w:kern w:val="0"/>
                <w:sz w:val="20"/>
                <w:szCs w:val="20"/>
              </w:rPr>
              <w:t>无尽深度镜</w:t>
            </w:r>
            <w:r>
              <w:rPr>
                <w:rFonts w:hint="eastAsia" w:ascii="宋体" w:hAnsi="宋体" w:eastAsia="宋体" w:cs="宋体"/>
                <w:b/>
                <w:bCs/>
                <w:color w:val="000000"/>
                <w:kern w:val="0"/>
                <w:sz w:val="20"/>
                <w:szCs w:val="20"/>
                <w:highlight w:val="none"/>
              </w:rPr>
              <w:t>灯</w:t>
            </w:r>
            <w:r>
              <w:rPr>
                <w:rFonts w:hint="eastAsia" w:ascii="宋体" w:hAnsi="宋体" w:eastAsia="宋体" w:cs="宋体"/>
                <w:b/>
                <w:bCs/>
                <w:color w:val="000000"/>
                <w:kern w:val="0"/>
                <w:sz w:val="20"/>
                <w:szCs w:val="20"/>
                <w:highlight w:val="none"/>
              </w:rPr>
              <w:tab/>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1，输入电压:220VAC 工作电压:12VDC。</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2，规格尺寸：</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600*900*120mm。</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3，模式；具有 4 种颜色变换，4 种模式变换功能由小类灯泡与简片组合而成，透过灯光与镜片的反射效果，产生大小不同层次的圆形灯点圆案，镜内灯泡具闪烁功能，产生幻彩的视觉效果。</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4、具有声控功能，控制声音的变化。 </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5、四色按钮分别为：模式、速度、暂停、渐近四种功能控制。   </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6、支持USB热插拔，教师可根据训练内容更换音乐。</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7、质量要求符合于JY0001－2003标准；阻燃符合于GB 6675-2014标准；环保符合于GB 18584-2001、GB 21550-2008标准。</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b/>
                <w:bCs/>
                <w:color w:val="000000"/>
                <w:kern w:val="0"/>
                <w:sz w:val="20"/>
                <w:szCs w:val="20"/>
                <w:lang w:val="en-US" w:eastAsia="zh-CN"/>
              </w:rPr>
              <w:t>4、</w:t>
            </w:r>
            <w:r>
              <w:rPr>
                <w:rFonts w:hint="eastAsia" w:ascii="宋体" w:hAnsi="宋体" w:eastAsia="宋体" w:cs="宋体"/>
                <w:b/>
                <w:bCs/>
                <w:color w:val="000000"/>
                <w:kern w:val="0"/>
                <w:sz w:val="20"/>
                <w:szCs w:val="20"/>
              </w:rPr>
              <w:t>视觉、注意力训练模块</w:t>
            </w:r>
            <w:r>
              <w:rPr>
                <w:rFonts w:hint="eastAsia" w:ascii="宋体" w:hAnsi="宋体" w:eastAsia="宋体" w:cs="宋体"/>
                <w:color w:val="000000"/>
                <w:kern w:val="0"/>
                <w:sz w:val="20"/>
                <w:szCs w:val="20"/>
              </w:rPr>
              <w:tab/>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1、材质：</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本体：采用ＡＢＳ工程环保塑料及亚克力结合制作；</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配件：不少于6张亚克力训练卡片；</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2、规格：</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本体：500*400*70MM；</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配件：210*210*3MM；</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3、操作控制面板采用7''触摸LCD液晶屏；训练面板采用12''触摸屏；</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4、训练面板采用多点触摸控制；LED多点显示，可显示矩阵数为3*3；4*4；5*5；</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、功率：小于50W；</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、输入电压：220VAC；</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、信噪比：大于85DB；</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rPr>
              <w:t>、产品分为视觉训练模式和注意力训模式。注意力训练模式不少于3种训练层级；</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、质量要求符合于JY0001－2003标准；阻燃符合于GB</w:t>
            </w:r>
            <w:r>
              <w:rPr>
                <w:rFonts w:hint="eastAsia" w:ascii="宋体" w:hAnsi="宋体" w:cs="宋体"/>
                <w:color w:val="000000"/>
                <w:kern w:val="0"/>
                <w:sz w:val="20"/>
                <w:szCs w:val="20"/>
                <w:lang w:val="en-US" w:eastAsia="zh-CN"/>
              </w:rPr>
              <w:t xml:space="preserve"> </w:t>
            </w:r>
            <w:r>
              <w:rPr>
                <w:rFonts w:hint="eastAsia" w:ascii="宋体" w:hAnsi="宋体" w:eastAsia="宋体" w:cs="宋体"/>
                <w:color w:val="000000"/>
                <w:kern w:val="0"/>
                <w:sz w:val="20"/>
                <w:szCs w:val="20"/>
              </w:rPr>
              <w:t>6675-2014标准；环保符合于GB 18584-2001、GB 21550-2008标准。</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cs="宋体"/>
                <w:color w:val="000000"/>
                <w:kern w:val="0"/>
                <w:sz w:val="20"/>
                <w:szCs w:val="20"/>
                <w:lang w:val="en-US" w:eastAsia="zh-CN"/>
              </w:rPr>
              <w:t>0</w:t>
            </w:r>
            <w:r>
              <w:rPr>
                <w:rFonts w:hint="eastAsia" w:ascii="宋体" w:hAnsi="宋体" w:eastAsia="宋体" w:cs="宋体"/>
                <w:color w:val="000000"/>
                <w:kern w:val="0"/>
                <w:sz w:val="20"/>
                <w:szCs w:val="20"/>
              </w:rPr>
              <w:t>、注意力训练模式每个层次对应一张舒尔特训练</w:t>
            </w:r>
            <w:r>
              <w:rPr>
                <w:rFonts w:hint="eastAsia" w:ascii="宋体" w:hAnsi="宋体" w:eastAsia="宋体" w:cs="宋体"/>
                <w:color w:val="auto"/>
                <w:kern w:val="0"/>
                <w:sz w:val="20"/>
                <w:szCs w:val="20"/>
              </w:rPr>
              <w:t>卡片。</w:t>
            </w:r>
            <w:r>
              <w:rPr>
                <w:rFonts w:hint="eastAsia" w:ascii="宋体" w:hAnsi="宋体" w:eastAsia="宋体" w:cs="宋体"/>
                <w:color w:val="auto"/>
                <w:kern w:val="0"/>
                <w:sz w:val="20"/>
                <w:szCs w:val="20"/>
                <w:lang w:eastAsia="zh-CN"/>
              </w:rPr>
              <w:t>不低于</w:t>
            </w:r>
            <w:r>
              <w:rPr>
                <w:rFonts w:hint="eastAsia" w:ascii="宋体" w:hAnsi="宋体" w:eastAsia="宋体" w:cs="宋体"/>
                <w:color w:val="000000"/>
                <w:kern w:val="0"/>
                <w:sz w:val="20"/>
                <w:szCs w:val="20"/>
              </w:rPr>
              <w:t xml:space="preserve">6张。  </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rPr>
              <w:t>5</w:t>
            </w:r>
            <w:r>
              <w:rPr>
                <w:rFonts w:hint="eastAsia" w:ascii="宋体" w:hAnsi="宋体" w:cs="宋体"/>
                <w:b/>
                <w:bCs/>
                <w:color w:val="000000"/>
                <w:kern w:val="0"/>
                <w:sz w:val="20"/>
                <w:szCs w:val="20"/>
                <w:lang w:eastAsia="zh-CN"/>
              </w:rPr>
              <w:t>、</w:t>
            </w:r>
            <w:r>
              <w:rPr>
                <w:rFonts w:hint="eastAsia" w:ascii="宋体" w:hAnsi="宋体" w:eastAsia="宋体" w:cs="宋体"/>
                <w:b/>
                <w:bCs/>
                <w:color w:val="000000"/>
                <w:kern w:val="0"/>
                <w:sz w:val="20"/>
                <w:szCs w:val="20"/>
              </w:rPr>
              <w:t>圆环投射灯光音乐跳（地垫式）</w:t>
            </w:r>
            <w:r>
              <w:rPr>
                <w:rFonts w:hint="eastAsia" w:ascii="宋体" w:hAnsi="宋体" w:eastAsia="宋体" w:cs="宋体"/>
                <w:color w:val="000000"/>
                <w:kern w:val="0"/>
                <w:sz w:val="20"/>
                <w:szCs w:val="20"/>
              </w:rPr>
              <w:tab/>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导师可根据游戏者的体能及智能选择不同的游戏及时间调节模式，以视及听觉刺激吸引游戏者的身体移动，逹至训练游戏者的大肌肉活动、空间控制及身体平衡等能力。圆环式方位设置可训练游戏者对身体四周的空间感。</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参数：</w:t>
            </w:r>
          </w:p>
          <w:p>
            <w:pPr>
              <w:widowControl/>
              <w:jc w:val="both"/>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1、质量要求符合于JY0001－2003标准；阻燃符合于GB 6675-2014标准；环保符合于GB 18584-2001、GB 21550-2008标准。</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2、4种游戏模式 包括:顺序模式、全亮模式、全灭模式、自由模式。</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3、可速度调节，音量调节</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4、支持USB热插拔，可更换音乐。</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5、内置无线接收及发射装置。</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6、输入电压:220VAC  工作电压:12VDC</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7、圆环尺寸：直径1600mm，地垫尺寸：</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2000*2000*50mm。</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cs="宋体"/>
                <w:b/>
                <w:bCs/>
                <w:color w:val="000000"/>
                <w:kern w:val="0"/>
                <w:sz w:val="20"/>
                <w:szCs w:val="20"/>
                <w:lang w:val="en-US" w:eastAsia="zh-CN"/>
              </w:rPr>
              <w:t>6、</w:t>
            </w:r>
            <w:r>
              <w:rPr>
                <w:rFonts w:hint="eastAsia" w:ascii="宋体" w:hAnsi="宋体" w:eastAsia="宋体" w:cs="宋体"/>
                <w:b/>
                <w:bCs/>
                <w:color w:val="000000"/>
                <w:kern w:val="0"/>
                <w:sz w:val="20"/>
                <w:szCs w:val="20"/>
              </w:rPr>
              <w:t>动视觉多功能训练系统</w:t>
            </w:r>
            <w:r>
              <w:rPr>
                <w:rFonts w:hint="eastAsia" w:ascii="宋体" w:hAnsi="宋体" w:eastAsia="宋体" w:cs="宋体"/>
                <w:color w:val="000000"/>
                <w:kern w:val="0"/>
                <w:sz w:val="20"/>
                <w:szCs w:val="20"/>
              </w:rPr>
              <w:tab/>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模式一：上肢协调性训练模式，训练时8个不同区域目标将发出不同的灯光颜色，学生对在规定时间内对目标进行捕捉，专门性对上肢系统能力及空间感知能力进行训练。</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模式二：下肢协调性训练模式，训练时根据屏幕显示的颜色，学生需要利用下肢踩踏对应的地面颜色模块，专门性对下肢系统能力及空间感知能力进行训练。</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模式三：视觉识别训练模式，训练学生通过对目标的触摸，目标小鱼将发出不同的灯光颜色，学生对颜色进行辨识，并回答颜色，系统将对回答进行判断，并提示正确或者错误，如果错误将提示正确颜色。</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模式四：动视觉被动训练模式，目标按键按照音乐节奏顺序进行亮灯，学生须对亮灯目标进行触摸，系统对结果进行判断并提示。可训练学生的动视觉的上下感知能力。</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模式五：动视觉互动训练模式，目标按键自由随机顺序进行亮灯，学生须对亮灯目标进行触摸，系统对结果进行判断并提示。可训练学生的动视觉的空间感知能力。</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模式六：多人训练模式，两个目标按键将随机进行亮灯，学生须同时用左右手分别对亮灯目标进行触摸，系统对结果进行判断并提示。可训练学生的左右手协调能力。</w:t>
            </w:r>
          </w:p>
          <w:p>
            <w:pPr>
              <w:widowControl/>
              <w:jc w:val="both"/>
              <w:textAlignment w:val="center"/>
              <w:rPr>
                <w:rFonts w:hint="eastAsia" w:ascii="宋体" w:hAnsi="宋体" w:eastAsia="宋体" w:cs="宋体"/>
                <w:color w:val="000000"/>
                <w:kern w:val="0"/>
                <w:sz w:val="20"/>
                <w:szCs w:val="20"/>
                <w:highlight w:val="red"/>
              </w:rPr>
            </w:pPr>
            <w:r>
              <w:rPr>
                <w:rFonts w:hint="eastAsia" w:ascii="宋体" w:hAnsi="宋体" w:eastAsia="宋体" w:cs="宋体"/>
                <w:color w:val="000000"/>
                <w:kern w:val="0"/>
                <w:sz w:val="20"/>
                <w:szCs w:val="20"/>
              </w:rPr>
              <w:t>参数：</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.ABS医疗塑胶机壳材质，防潮耐磨损。</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.7寸彩色触摸显示电容屏，触摸灵敏。</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.管理员在控制屏上可设置开机密码，</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.触摸控制屏对训练历史数据进行记录，可随时对前五次训练数据进行查阅比较。</w:t>
            </w:r>
          </w:p>
          <w:p>
            <w:pPr>
              <w:widowControl/>
              <w:jc w:val="both"/>
              <w:textAlignment w:val="center"/>
              <w:rPr>
                <w:rFonts w:hint="eastAsia" w:ascii="宋体" w:hAnsi="宋体" w:eastAsia="宋体" w:cs="宋体"/>
                <w:b/>
                <w:bCs/>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.表面海洋背景，可针对不同训练学生视觉的反馈能力，对背景灯光的强度进行调节。                                    </w:t>
            </w:r>
            <w:r>
              <w:rPr>
                <w:rFonts w:hint="eastAsia" w:ascii="宋体" w:hAnsi="宋体" w:eastAsia="宋体" w:cs="宋体"/>
                <w:b/>
                <w:bCs/>
                <w:color w:val="000000"/>
                <w:kern w:val="0"/>
                <w:sz w:val="20"/>
                <w:szCs w:val="20"/>
              </w:rPr>
              <w:t>7</w:t>
            </w:r>
            <w:r>
              <w:rPr>
                <w:rFonts w:hint="eastAsia" w:ascii="宋体" w:hAnsi="宋体" w:cs="宋体"/>
                <w:b/>
                <w:bCs/>
                <w:color w:val="000000"/>
                <w:kern w:val="0"/>
                <w:sz w:val="20"/>
                <w:szCs w:val="20"/>
                <w:lang w:eastAsia="zh-CN"/>
              </w:rPr>
              <w:t>、</w:t>
            </w:r>
            <w:r>
              <w:rPr>
                <w:rFonts w:hint="eastAsia" w:ascii="宋体" w:hAnsi="宋体" w:eastAsia="宋体" w:cs="宋体"/>
                <w:b/>
                <w:bCs/>
                <w:color w:val="000000"/>
                <w:kern w:val="0"/>
                <w:sz w:val="20"/>
                <w:szCs w:val="20"/>
              </w:rPr>
              <w:t>钢琴地垫</w:t>
            </w:r>
            <w:r>
              <w:rPr>
                <w:rFonts w:hint="eastAsia" w:ascii="宋体" w:hAnsi="宋体" w:eastAsia="宋体" w:cs="宋体"/>
                <w:b/>
                <w:bCs/>
                <w:color w:val="000000"/>
                <w:kern w:val="0"/>
                <w:sz w:val="20"/>
                <w:szCs w:val="20"/>
              </w:rPr>
              <w:tab/>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质量要求符合于JY0001－2003标准；阻燃符合于GB 6675-2014标准；环保符合于GB 18584-2001、GB 21550-2008标准</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产品共3种模式，代表钢琴音高、低、中的三个音阶；通过踩踏琴键就会有相应的琴音响起；</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1、控制箱1件</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2、琴键地垫1套(长方形地垫2块共8键)</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3、AC220V电源线1根</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4、输入电压:220VAC  工作电压:12VDC。</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5、额定功率：小于40W</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6、支持USB热插拔，教师可根据训练内容更换音乐。</w:t>
            </w:r>
          </w:p>
          <w:p>
            <w:pPr>
              <w:widowControl/>
              <w:numPr>
                <w:ilvl w:val="0"/>
                <w:numId w:val="11"/>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尺寸：地垫：1500*400*50mm(2块)，主控箱</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400*30</w:t>
            </w:r>
            <w:r>
              <w:rPr>
                <w:rFonts w:hint="eastAsia" w:ascii="宋体" w:hAnsi="宋体" w:eastAsia="宋体" w:cs="宋体"/>
                <w:color w:val="000000"/>
                <w:kern w:val="0"/>
                <w:sz w:val="20"/>
                <w:szCs w:val="20"/>
              </w:rPr>
              <w:t>0*80mm。</w:t>
            </w:r>
          </w:p>
          <w:p>
            <w:pPr>
              <w:widowControl/>
              <w:numPr>
                <w:ilvl w:val="0"/>
                <w:numId w:val="0"/>
              </w:numPr>
              <w:jc w:val="both"/>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8</w:t>
            </w:r>
            <w:r>
              <w:rPr>
                <w:rFonts w:hint="eastAsia" w:ascii="宋体" w:hAnsi="宋体" w:cs="宋体"/>
                <w:b/>
                <w:bCs/>
                <w:color w:val="000000"/>
                <w:kern w:val="0"/>
                <w:sz w:val="20"/>
                <w:szCs w:val="20"/>
                <w:lang w:eastAsia="zh-CN"/>
              </w:rPr>
              <w:t>、</w:t>
            </w:r>
            <w:r>
              <w:rPr>
                <w:rFonts w:hint="eastAsia" w:ascii="宋体" w:hAnsi="宋体" w:eastAsia="宋体" w:cs="宋体"/>
                <w:b/>
                <w:bCs/>
                <w:color w:val="000000"/>
                <w:kern w:val="0"/>
                <w:sz w:val="20"/>
                <w:szCs w:val="20"/>
              </w:rPr>
              <w:t>嗅觉感知训练器</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1，输入电压:220VAC 工作电压:12VDC。</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2，规格尺寸：</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600×900×120mm。</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3.含各种香精油 4-6 种，和操控系统联动，可以控制电脑、投影之间切换。</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4、产品有无声模式和有声模式，共4种声音。</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5、支持USB热插拔，教师可根据训练内容更换音乐。  按钮点亮后对应此按钮的预置气味将通过飘香器散发出来，刺激学生的嗅觉，引起他（她）的兴趣。同时在投影仪上显示与此香味相关的图片声音或视频。产品共有2种模式，有声模式和无声模式，共4个按键，每个按键控制一种飘香器的开与关。内置无线接收及发射装置。</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配合联动多媒体感官控制系统软件使用，采用无线通讯技术。12V 安全电压。</w:t>
            </w:r>
          </w:p>
          <w:p>
            <w:pPr>
              <w:widowControl/>
              <w:numPr>
                <w:ilvl w:val="0"/>
                <w:numId w:val="0"/>
              </w:numPr>
              <w:jc w:val="both"/>
              <w:textAlignment w:val="center"/>
              <w:rPr>
                <w:rFonts w:hint="eastAsia" w:ascii="宋体" w:hAnsi="宋体" w:eastAsia="宋体" w:cs="宋体"/>
                <w:color w:val="000000"/>
                <w:kern w:val="0"/>
                <w:sz w:val="20"/>
                <w:szCs w:val="20"/>
                <w:highlight w:val="none"/>
              </w:rPr>
            </w:pP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highlight w:val="none"/>
              </w:rPr>
              <w:t>阻燃符合于GB 6675-2014标准；环保符合于GB 18584-2001、GB 21550-2008标准；质量要求符合于JY0001－2003标准。</w:t>
            </w:r>
          </w:p>
          <w:p>
            <w:pPr>
              <w:widowControl/>
              <w:numPr>
                <w:ilvl w:val="0"/>
                <w:numId w:val="0"/>
              </w:numPr>
              <w:ind w:leftChars="0"/>
              <w:jc w:val="both"/>
              <w:textAlignment w:val="center"/>
              <w:rPr>
                <w:rFonts w:hint="eastAsia" w:ascii="宋体" w:hAnsi="宋体" w:eastAsia="宋体" w:cs="宋体"/>
                <w:color w:val="000000"/>
                <w:kern w:val="0"/>
                <w:sz w:val="20"/>
                <w:szCs w:val="20"/>
              </w:rPr>
            </w:pPr>
            <w:r>
              <w:rPr>
                <w:rFonts w:hint="eastAsia" w:ascii="宋体" w:hAnsi="宋体" w:cs="宋体"/>
                <w:b/>
                <w:bCs/>
                <w:color w:val="000000"/>
                <w:kern w:val="0"/>
                <w:sz w:val="20"/>
                <w:szCs w:val="20"/>
                <w:lang w:val="en-US" w:eastAsia="zh-CN"/>
              </w:rPr>
              <w:t>9、配备</w:t>
            </w:r>
            <w:r>
              <w:rPr>
                <w:rFonts w:hint="eastAsia" w:ascii="宋体" w:hAnsi="宋体" w:eastAsia="宋体" w:cs="宋体"/>
                <w:b/>
                <w:bCs/>
                <w:color w:val="000000"/>
                <w:kern w:val="0"/>
                <w:sz w:val="20"/>
                <w:szCs w:val="20"/>
              </w:rPr>
              <w:t>旋转镜球</w:t>
            </w:r>
            <w:r>
              <w:rPr>
                <w:rFonts w:hint="eastAsia" w:ascii="宋体" w:hAnsi="宋体" w:eastAsia="宋体" w:cs="宋体"/>
                <w:color w:val="000000"/>
                <w:kern w:val="0"/>
                <w:sz w:val="20"/>
                <w:szCs w:val="20"/>
              </w:rPr>
              <w:tab/>
            </w:r>
          </w:p>
          <w:p>
            <w:pPr>
              <w:widowControl/>
              <w:numPr>
                <w:ilvl w:val="0"/>
                <w:numId w:val="0"/>
              </w:numPr>
              <w:jc w:val="both"/>
              <w:textAlignment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000000"/>
                <w:kern w:val="0"/>
                <w:sz w:val="20"/>
                <w:szCs w:val="20"/>
                <w:highlight w:val="none"/>
              </w:rPr>
              <w:t>1</w:t>
            </w:r>
            <w:r>
              <w:rPr>
                <w:rFonts w:hint="eastAsia" w:ascii="宋体" w:hAnsi="宋体" w:eastAsia="宋体" w:cs="宋体"/>
                <w:b/>
                <w:bCs/>
                <w:color w:val="auto"/>
                <w:kern w:val="0"/>
                <w:sz w:val="20"/>
                <w:szCs w:val="20"/>
                <w:highlight w:val="none"/>
              </w:rPr>
              <w:t>0</w:t>
            </w:r>
            <w:r>
              <w:rPr>
                <w:rFonts w:hint="eastAsia" w:ascii="宋体" w:hAnsi="宋体" w:cs="宋体"/>
                <w:b/>
                <w:bCs/>
                <w:color w:val="auto"/>
                <w:kern w:val="0"/>
                <w:sz w:val="20"/>
                <w:szCs w:val="20"/>
                <w:highlight w:val="none"/>
                <w:lang w:eastAsia="zh-CN"/>
              </w:rPr>
              <w:t>、配备</w:t>
            </w:r>
            <w:r>
              <w:rPr>
                <w:rFonts w:hint="eastAsia" w:ascii="宋体" w:hAnsi="宋体" w:eastAsia="宋体" w:cs="宋体"/>
                <w:b/>
                <w:bCs/>
                <w:color w:val="auto"/>
                <w:kern w:val="0"/>
                <w:sz w:val="20"/>
                <w:szCs w:val="20"/>
                <w:highlight w:val="none"/>
              </w:rPr>
              <w:tab/>
            </w:r>
            <w:r>
              <w:rPr>
                <w:rFonts w:hint="eastAsia" w:ascii="宋体" w:hAnsi="宋体" w:eastAsia="宋体" w:cs="宋体"/>
                <w:b/>
                <w:bCs/>
                <w:color w:val="auto"/>
                <w:kern w:val="0"/>
                <w:sz w:val="20"/>
                <w:szCs w:val="20"/>
                <w:highlight w:val="none"/>
              </w:rPr>
              <w:t>4色射灯（七彩射灯）</w:t>
            </w:r>
          </w:p>
          <w:p>
            <w:pPr>
              <w:widowControl/>
              <w:numPr>
                <w:ilvl w:val="0"/>
                <w:numId w:val="0"/>
              </w:numPr>
              <w:jc w:val="both"/>
              <w:textAlignment w:val="center"/>
              <w:rPr>
                <w:rFonts w:hint="eastAsia" w:ascii="宋体" w:hAnsi="宋体" w:eastAsia="宋体" w:cs="宋体"/>
                <w:color w:val="auto"/>
                <w:kern w:val="0"/>
                <w:sz w:val="20"/>
                <w:szCs w:val="20"/>
                <w:highlight w:val="none"/>
              </w:rPr>
            </w:pPr>
            <w:r>
              <w:rPr>
                <w:rFonts w:hint="eastAsia" w:ascii="宋体" w:hAnsi="宋体" w:cs="宋体"/>
                <w:b/>
                <w:bCs/>
                <w:color w:val="auto"/>
                <w:kern w:val="0"/>
                <w:sz w:val="20"/>
                <w:szCs w:val="20"/>
                <w:highlight w:val="none"/>
                <w:lang w:val="en-US" w:eastAsia="zh-CN"/>
              </w:rPr>
              <w:t>11、配备</w:t>
            </w:r>
            <w:r>
              <w:rPr>
                <w:rFonts w:hint="eastAsia" w:ascii="宋体" w:hAnsi="宋体" w:eastAsia="宋体" w:cs="宋体"/>
                <w:b/>
                <w:bCs/>
                <w:color w:val="auto"/>
                <w:kern w:val="0"/>
                <w:sz w:val="20"/>
                <w:szCs w:val="20"/>
                <w:highlight w:val="none"/>
              </w:rPr>
              <w:t>卡通墙体彩绘</w:t>
            </w:r>
            <w:r>
              <w:rPr>
                <w:rFonts w:hint="eastAsia" w:ascii="宋体" w:hAnsi="宋体" w:eastAsia="宋体" w:cs="宋体"/>
                <w:color w:val="auto"/>
                <w:kern w:val="0"/>
                <w:sz w:val="20"/>
                <w:szCs w:val="20"/>
                <w:highlight w:val="none"/>
              </w:rPr>
              <w:tab/>
            </w:r>
          </w:p>
          <w:p>
            <w:pPr>
              <w:widowControl/>
              <w:numPr>
                <w:ilvl w:val="0"/>
                <w:numId w:val="0"/>
              </w:numPr>
              <w:jc w:val="both"/>
              <w:textAlignment w:val="center"/>
              <w:rPr>
                <w:rFonts w:hint="eastAsia" w:ascii="宋体" w:hAnsi="宋体" w:eastAsia="宋体" w:cs="宋体"/>
                <w:color w:val="auto"/>
                <w:kern w:val="0"/>
                <w:sz w:val="20"/>
                <w:szCs w:val="20"/>
                <w:highlight w:val="none"/>
              </w:rPr>
            </w:pPr>
            <w:r>
              <w:rPr>
                <w:rFonts w:hint="eastAsia" w:ascii="宋体" w:hAnsi="宋体" w:cs="宋体"/>
                <w:b/>
                <w:bCs/>
                <w:color w:val="auto"/>
                <w:kern w:val="0"/>
                <w:sz w:val="20"/>
                <w:szCs w:val="20"/>
                <w:highlight w:val="none"/>
                <w:lang w:val="en-US" w:eastAsia="zh-CN"/>
              </w:rPr>
              <w:t>12</w:t>
            </w:r>
            <w:r>
              <w:rPr>
                <w:rFonts w:hint="eastAsia" w:ascii="宋体" w:hAnsi="宋体" w:eastAsia="宋体" w:cs="宋体"/>
                <w:b/>
                <w:bCs/>
                <w:color w:val="auto"/>
                <w:kern w:val="0"/>
                <w:sz w:val="20"/>
                <w:szCs w:val="20"/>
                <w:highlight w:val="none"/>
              </w:rPr>
              <w:t>单色墙垫</w:t>
            </w:r>
            <w:r>
              <w:rPr>
                <w:rFonts w:hint="eastAsia" w:ascii="宋体" w:hAnsi="宋体" w:eastAsia="宋体" w:cs="宋体"/>
                <w:color w:val="auto"/>
                <w:kern w:val="0"/>
                <w:sz w:val="20"/>
                <w:szCs w:val="20"/>
                <w:highlight w:val="none"/>
              </w:rPr>
              <w:tab/>
            </w:r>
          </w:p>
          <w:p>
            <w:pPr>
              <w:widowControl/>
              <w:numPr>
                <w:ilvl w:val="0"/>
                <w:numId w:val="0"/>
              </w:numPr>
              <w:ind w:firstLine="200" w:firstLineChars="100"/>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、材质：外层：PU皮革，软体：EPE高分子发泡棉和海绵组成；</w:t>
            </w:r>
          </w:p>
          <w:p>
            <w:pPr>
              <w:widowControl/>
              <w:numPr>
                <w:ilvl w:val="0"/>
                <w:numId w:val="0"/>
              </w:numPr>
              <w:ind w:firstLine="200" w:firstLineChars="100"/>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阻燃符合于GB 6675-2014标准；环保符合于GB 18584-2001、GB 21550-2008标准；质量要求符合于JY0001－2003标准。</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cs="宋体"/>
                <w:b/>
                <w:bCs/>
                <w:color w:val="000000"/>
                <w:kern w:val="0"/>
                <w:sz w:val="20"/>
                <w:szCs w:val="20"/>
                <w:lang w:val="en-US" w:eastAsia="zh-CN"/>
              </w:rPr>
              <w:t>13、</w:t>
            </w:r>
            <w:r>
              <w:rPr>
                <w:rFonts w:hint="eastAsia" w:ascii="宋体" w:hAnsi="宋体" w:eastAsia="宋体" w:cs="宋体"/>
                <w:b/>
                <w:bCs/>
                <w:color w:val="000000"/>
                <w:kern w:val="0"/>
                <w:sz w:val="20"/>
                <w:szCs w:val="20"/>
              </w:rPr>
              <w:t>单色地垫</w:t>
            </w:r>
            <w:r>
              <w:rPr>
                <w:rFonts w:hint="eastAsia" w:ascii="宋体" w:hAnsi="宋体" w:eastAsia="宋体" w:cs="宋体"/>
                <w:color w:val="000000"/>
                <w:kern w:val="0"/>
                <w:sz w:val="20"/>
                <w:szCs w:val="20"/>
              </w:rPr>
              <w:tab/>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1、规格：</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1000*1000*50；</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2、材质：外层：PU皮革，软体：EPE高分子发泡棉和海绵组成；</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阻燃符合于GB 6675-2014标准；环保符合于GB 18584-2001、GB 21550-2008标准；质量要求符合于JY0001－2003标准。</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cs="宋体"/>
                <w:b/>
                <w:bCs/>
                <w:color w:val="000000"/>
                <w:kern w:val="0"/>
                <w:sz w:val="20"/>
                <w:szCs w:val="20"/>
                <w:lang w:val="en-US" w:eastAsia="zh-CN"/>
              </w:rPr>
              <w:t>14、</w:t>
            </w:r>
            <w:r>
              <w:rPr>
                <w:rFonts w:hint="eastAsia" w:ascii="宋体" w:hAnsi="宋体" w:eastAsia="宋体" w:cs="宋体"/>
                <w:b/>
                <w:bCs/>
                <w:color w:val="000000"/>
                <w:kern w:val="0"/>
                <w:sz w:val="20"/>
                <w:szCs w:val="20"/>
              </w:rPr>
              <w:t>音律可视化训练器</w:t>
            </w:r>
            <w:r>
              <w:rPr>
                <w:rFonts w:hint="eastAsia" w:ascii="宋体" w:hAnsi="宋体" w:eastAsia="宋体" w:cs="宋体"/>
                <w:color w:val="000000"/>
                <w:kern w:val="0"/>
                <w:sz w:val="20"/>
                <w:szCs w:val="20"/>
              </w:rPr>
              <w:tab/>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.尺寸：不小于60*16*5cm</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2.至少</w:t>
            </w:r>
            <w:r>
              <w:rPr>
                <w:rFonts w:hint="eastAsia" w:ascii="宋体" w:hAnsi="宋体" w:eastAsia="宋体" w:cs="宋体"/>
                <w:color w:val="000000"/>
                <w:kern w:val="0"/>
                <w:sz w:val="20"/>
                <w:szCs w:val="20"/>
              </w:rPr>
              <w:t xml:space="preserve">具有8种音轨显示模式，每种显示模式可进行8种颜色的转换，共64种模式+颜色的变换组合，                                    </w:t>
            </w:r>
          </w:p>
          <w:p>
            <w:pPr>
              <w:widowControl/>
              <w:numPr>
                <w:ilvl w:val="0"/>
                <w:numId w:val="0"/>
              </w:numPr>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 xml:space="preserve">.按键功能转换：按键一：音律模式转换键，可进行同一种音律颜色下，不同音律模式的转换；按键二：音律颜色转换键，可进行同一音律模式下，不同音律颜色的转换。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体外冲击波治疗仪</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可移动式柜式主机系统（包括：主机、台车、空气压缩机），主机与空气压缩机分离。</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工作压力：1bar - 4bar 治疗时连续可调</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工作频率：4、8、12、20Hz</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手柄治疗头可伸缩，有施压指示器，带压力刻度</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手柄有计数器，记录手柄累计使用次数</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6.配备疼痛治疗手柄一把，配专用软把手和移动运输盒。</w:t>
            </w:r>
          </w:p>
          <w:p>
            <w:pPr>
              <w:widowControl/>
              <w:jc w:val="both"/>
              <w:textAlignment w:val="center"/>
              <w:rPr>
                <w:rFonts w:hint="eastAsia" w:ascii="宋体" w:hAnsi="宋体" w:eastAsia="宋体" w:cs="宋体"/>
                <w:color w:val="000000"/>
                <w:kern w:val="0"/>
                <w:sz w:val="20"/>
                <w:szCs w:val="20"/>
                <w:highlight w:val="red"/>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能流密度：0～0.31mJ/mm2（标准能量手柄）</w:t>
            </w:r>
          </w:p>
          <w:p>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lang w:eastAsia="zh-CN"/>
              </w:rPr>
              <w:t>至少配备</w:t>
            </w:r>
            <w:r>
              <w:rPr>
                <w:rFonts w:hint="eastAsia" w:ascii="宋体" w:hAnsi="宋体" w:cs="宋体"/>
                <w:color w:val="000000"/>
                <w:kern w:val="0"/>
                <w:sz w:val="20"/>
                <w:szCs w:val="20"/>
                <w:lang w:val="en-US" w:eastAsia="zh-CN"/>
              </w:rPr>
              <w:t>4个治疗头，</w:t>
            </w:r>
            <w:r>
              <w:rPr>
                <w:rFonts w:hint="eastAsia" w:ascii="宋体" w:hAnsi="宋体" w:eastAsia="宋体" w:cs="宋体"/>
                <w:color w:val="000000"/>
                <w:kern w:val="0"/>
                <w:sz w:val="20"/>
                <w:szCs w:val="20"/>
              </w:rPr>
              <w:tab/>
            </w:r>
            <w:r>
              <w:rPr>
                <w:rFonts w:hint="eastAsia" w:ascii="宋体" w:hAnsi="宋体" w:cs="宋体"/>
                <w:color w:val="000000"/>
                <w:kern w:val="0"/>
                <w:sz w:val="20"/>
                <w:szCs w:val="20"/>
                <w:lang w:eastAsia="zh-CN"/>
              </w:rPr>
              <w:t>具体如下：</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Æ6mm  放散状冲击头</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Æ10mm放散状冲击头</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Æ15mm 标准放散状冲击头</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Æ15mm 放散状冲击头 </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均可+135℃高温高压消毒</w:t>
            </w:r>
          </w:p>
          <w:p>
            <w:pPr>
              <w:widowControl/>
              <w:jc w:val="both"/>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10.生产厂商需在河南省有定点培训机构，能提供完善的技术培训方案和售后维修方案。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脑电仿生电刺激仪</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highlight w:val="red"/>
              </w:rPr>
            </w:pPr>
            <w:r>
              <w:rPr>
                <w:rFonts w:hint="eastAsia" w:ascii="宋体" w:hAnsi="宋体" w:eastAsia="宋体" w:cs="宋体"/>
                <w:color w:val="000000"/>
                <w:kern w:val="0"/>
                <w:sz w:val="20"/>
                <w:szCs w:val="20"/>
              </w:rPr>
              <w:t>★1. 生物电输出特性，由α、β、θ脑电成份数字频率合成仿脑电波生物电自颅外无创电刺激。</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刺激电流（仿脑电波）具有超慢波及智能诱导波成份。</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 输出特性, 输出电流均方根(r.m.s)值≤18.01mA。</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 增强输出最大输出电流峰-峰值≤25.74mA。</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 输出开路最大电压峰-峰值不大于100V。</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 频谱范围:0∽100Hz。</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 液晶显示屏、数字显字、中文界面、即时输出频段同步显示（便于临床动态观察病人情况）。</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 五路独立输出（物理隔离）可以同时治疗五个患者。</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 强度显示按实际强度增强等分表示，采用LCD图腾柱显示，强度调节分32级。</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 机车一体化。</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 具有软硬件升级功能，可在本机上直接升级。</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★12．内置数字音乐播放器，在输出电刺激电流期间，可以同时提供音频信号。</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 </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种治疗模式，</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治疗类型。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rPr>
              <w:t>生物反馈神经功能重建治疗</w:t>
            </w:r>
            <w:r>
              <w:rPr>
                <w:rFonts w:hint="eastAsia" w:ascii="宋体" w:hAnsi="宋体" w:cs="宋体"/>
                <w:color w:val="000000"/>
                <w:kern w:val="0"/>
                <w:sz w:val="20"/>
                <w:szCs w:val="20"/>
                <w:lang w:eastAsia="zh-CN"/>
              </w:rPr>
              <w:t>系统</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两种治疗模式：儿童快速治疗和生物反馈治疗。</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电刺激治疗波形分为三种：单向波、双向波和交互波。</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治疗部位：头颈部、肩部和上肢、胸腹部、腰背部和下肢共五个部位。</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治疗方案：内置</w:t>
            </w:r>
            <w:r>
              <w:rPr>
                <w:rFonts w:hint="eastAsia" w:ascii="宋体" w:hAnsi="宋体" w:cs="宋体"/>
                <w:color w:val="000000"/>
                <w:kern w:val="0"/>
                <w:sz w:val="20"/>
                <w:szCs w:val="20"/>
                <w:lang w:eastAsia="zh-CN"/>
              </w:rPr>
              <w:t>至少</w:t>
            </w:r>
            <w:r>
              <w:rPr>
                <w:rFonts w:hint="eastAsia" w:ascii="宋体" w:hAnsi="宋体" w:eastAsia="宋体" w:cs="宋体"/>
                <w:color w:val="000000"/>
                <w:kern w:val="0"/>
                <w:sz w:val="20"/>
                <w:szCs w:val="20"/>
              </w:rPr>
              <w:t>十种常用治疗方案，包括关节屈曲和伸展、关节旋转、 手指训练、步态训练和肌肉力量训练等。</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双通道独立进行治疗，互不干涉，可单独设置治疗参数。</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电极脱落保护：在进行电刺激治疗的过程中，当电极从人体表面脱时，刺 激电流自动停止，避免电流对人体皮肤造成意外伤害。。。</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.EMG 每个通道单独采集肌电信号，采样频率高不低于 2500Hz。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rPr>
              <w:t>高压</w:t>
            </w:r>
            <w:r>
              <w:rPr>
                <w:rFonts w:hint="eastAsia" w:ascii="宋体" w:hAnsi="宋体" w:eastAsia="宋体" w:cs="宋体"/>
                <w:color w:val="000000"/>
                <w:kern w:val="0"/>
                <w:sz w:val="20"/>
                <w:szCs w:val="20"/>
              </w:rPr>
              <w:t>低频脉冲治疗</w:t>
            </w:r>
            <w:r>
              <w:rPr>
                <w:rFonts w:hint="eastAsia" w:ascii="宋体" w:hAnsi="宋体" w:cs="宋体"/>
                <w:color w:val="000000"/>
                <w:kern w:val="0"/>
                <w:sz w:val="20"/>
                <w:szCs w:val="20"/>
                <w:lang w:eastAsia="zh-CN"/>
              </w:rPr>
              <w:t>机</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1、输出电压及治疗频率</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1.1电压：0-2000V</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1.2频率：0.5-60Hz（0.5、10、60三档位可调）</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2、脉宽：0.4-2.2ms  （0.4 ms  0.8 ms  1.6 ms三档固定）</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3、自增功能：每24秒自动增加强度一级，共99级可调 </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4、治疗部位：头面、肢体、躯干</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5、输出通道：5组10个独立通道</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6、治疗模式</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 模拟针灸</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 水浴疗法</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7、浪涌：长浪：6秒一个周期；短浪：3秒一个周期</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8、治疗时间：0-60min，5分钟为一步进</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9、入选国家中医药管</w:t>
            </w:r>
            <w:r>
              <w:rPr>
                <w:rFonts w:hint="eastAsia" w:ascii="宋体" w:hAnsi="宋体" w:eastAsia="宋体" w:cs="宋体"/>
                <w:color w:val="000000"/>
                <w:kern w:val="0"/>
                <w:sz w:val="20"/>
                <w:szCs w:val="20"/>
                <w:highlight w:val="none"/>
              </w:rPr>
              <w:t>理局诊疗设备推荐目录（</w:t>
            </w:r>
            <w:r>
              <w:rPr>
                <w:rFonts w:hint="eastAsia" w:ascii="宋体" w:hAnsi="宋体" w:eastAsia="宋体" w:cs="宋体"/>
                <w:color w:val="000000"/>
                <w:kern w:val="0"/>
                <w:sz w:val="20"/>
                <w:szCs w:val="20"/>
              </w:rPr>
              <w:t>提供相关文件）；</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10、极性：正极性、负极性</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11、微电脑自动化控制，LED数码显示</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12、具有超压供电、上电、断电、开机等各种保护电路</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14、额定电流电压：220V±22V  50Hz±1H</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15、额定功耗：≤40W</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16、输出波形：可控脉冲方波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毫米波治疗仪</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输出功率密度：(3.9∽7.5)mW/cm2，</w:t>
            </w:r>
            <w:r>
              <w:rPr>
                <w:rFonts w:hint="eastAsia" w:ascii="宋体" w:hAnsi="宋体" w:cs="宋体"/>
                <w:color w:val="000000"/>
                <w:kern w:val="0"/>
                <w:sz w:val="20"/>
                <w:szCs w:val="20"/>
                <w:lang w:val="en-US" w:eastAsia="zh-CN"/>
              </w:rPr>
              <w:t>能提供</w:t>
            </w:r>
            <w:r>
              <w:rPr>
                <w:rFonts w:hint="eastAsia" w:ascii="宋体" w:hAnsi="宋体" w:eastAsia="宋体" w:cs="宋体"/>
                <w:color w:val="000000"/>
                <w:kern w:val="0"/>
                <w:sz w:val="20"/>
                <w:szCs w:val="20"/>
              </w:rPr>
              <w:t>极低能量工作方式</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无任何有害电磁辐射，无需在高频室进行治疗，提供更安全的治疗方式。</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振荡源工作频率:36GHz±5%，能量集中于人体组织固有频率范围，保证疗效;</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 xml:space="preserve">立体定向活动曲臂，准确定位辐射头，保证治疗的有效性； </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具备红色引导光，及时指示治疗范围；</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振荡源输出功率:(80±20)mW；</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定时选择：10、20、30、40、50、60min,到时声音提示；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上肢关节训练系统</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highlight w:val="none"/>
                <w:lang w:eastAsia="zh-CN"/>
              </w:rPr>
              <w:t>核心力反馈技术</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力反馈传感器精度0.1公斤, 范围0-10公斤，反馈数值可以实时显示，即时计算运动控制主动占比，训练参数均可调节。</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提供等速和等长力量测试与训练,可以模拟不同阻尼，不同质量的力学效果。</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提供不少于10款3D和2D的多元化的交互体验场景，包含视、听、触觉交互反馈训练，训练过程具有趣味性和沉浸感, 虚拟现实技术使用户身临其境。</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具有示教模式，提供自定义轨迹设置，可以自由带动机械臂进行轨迹记录和回放训练，支持针对性运动处方订制。</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三重安全保护：设备具备急停开关，电子围栏，并且具备过载检测提供痉挛保护。</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运动速度0-35cm/s，控制精度为1mm，连续可调。</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运动范围≥570mm*400mm，连续可调。</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rPr>
              <w:t>控制方式：结合全伺服电机控制和电脑控制，训练时间、运动范围，运动速度均可电脑调节。</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软件预留多种接口，例如EMG信号，EEG信号接口，扩展设备功能。</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cs="宋体"/>
                <w:color w:val="000000"/>
                <w:kern w:val="0"/>
                <w:sz w:val="20"/>
                <w:szCs w:val="20"/>
                <w:lang w:val="en-US" w:eastAsia="zh-CN"/>
              </w:rPr>
              <w:t>0.</w:t>
            </w:r>
            <w:r>
              <w:rPr>
                <w:rFonts w:hint="eastAsia" w:ascii="宋体" w:hAnsi="宋体" w:eastAsia="宋体" w:cs="宋体"/>
                <w:color w:val="000000"/>
                <w:kern w:val="0"/>
                <w:sz w:val="20"/>
                <w:szCs w:val="20"/>
              </w:rPr>
              <w:t>机械结构：采用同步带联动导轨设计。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上下肢主被动训练系统</w:t>
            </w:r>
          </w:p>
          <w:p>
            <w:pPr>
              <w:widowControl/>
              <w:jc w:val="center"/>
              <w:textAlignment w:val="center"/>
              <w:rPr>
                <w:rFonts w:ascii="宋体" w:hAnsi="宋体" w:eastAsia="宋体" w:cs="宋体"/>
                <w:color w:val="000000"/>
                <w:sz w:val="20"/>
                <w:szCs w:val="20"/>
              </w:rPr>
            </w:pP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具有主动训练、被动训练、主被动训练模式；</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.定时时间：设定范围0-99min；旋转角度：水平：180°，垂直：90°（上肢）；</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上肢多角度、多维度训练模式</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eastAsia="zh-CN"/>
              </w:rPr>
              <w:t>具备</w:t>
            </w:r>
            <w:r>
              <w:rPr>
                <w:rFonts w:hint="eastAsia" w:ascii="宋体" w:hAnsi="宋体" w:eastAsia="宋体" w:cs="宋体"/>
                <w:color w:val="000000"/>
                <w:kern w:val="0"/>
                <w:sz w:val="20"/>
                <w:szCs w:val="20"/>
              </w:rPr>
              <w:t>语音提示功能；急停按键控制的急停功能；</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.上肢或下肢左右对称训练功能；</w:t>
            </w:r>
          </w:p>
          <w:p>
            <w:pPr>
              <w:widowControl/>
              <w:jc w:val="both"/>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能够智能探测痉挛并自动缓解痉挛（识别痉挛后自动反转，防止关节肌肉的损伤）；</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.配备</w:t>
            </w:r>
            <w:r>
              <w:rPr>
                <w:rFonts w:hint="eastAsia" w:ascii="宋体" w:hAnsi="宋体" w:cs="宋体"/>
                <w:color w:val="000000"/>
                <w:kern w:val="0"/>
                <w:sz w:val="20"/>
                <w:szCs w:val="20"/>
                <w:lang w:eastAsia="zh-CN"/>
              </w:rPr>
              <w:t>不小于</w:t>
            </w:r>
            <w:r>
              <w:rPr>
                <w:rFonts w:hint="eastAsia" w:ascii="宋体" w:hAnsi="宋体" w:eastAsia="宋体" w:cs="宋体"/>
                <w:color w:val="000000"/>
                <w:kern w:val="0"/>
                <w:sz w:val="20"/>
                <w:szCs w:val="20"/>
              </w:rPr>
              <w:t>10寸触屏工作台，内置多款游戏，可以在主动模式下与用户互动；</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rPr>
              <w:t>.辅助脚踏板调节功能</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.开机自检功能，可以自动检测可能存在的问题，并把自检问题返回在显示器上；</w:t>
            </w:r>
          </w:p>
          <w:p>
            <w:pPr>
              <w:widowControl/>
              <w:jc w:val="both"/>
              <w:textAlignment w:val="center"/>
              <w:rPr>
                <w:rFonts w:hint="eastAsia" w:ascii="宋体" w:hAnsi="宋体" w:eastAsia="宋体" w:cs="宋体"/>
                <w:color w:val="000000"/>
                <w:kern w:val="0"/>
                <w:sz w:val="20"/>
                <w:szCs w:val="20"/>
                <w:highlight w:val="red"/>
              </w:rPr>
            </w:pPr>
            <w:r>
              <w:rPr>
                <w:rFonts w:hint="eastAsia" w:ascii="宋体" w:hAnsi="宋体" w:cs="宋体"/>
                <w:color w:val="000000"/>
                <w:kern w:val="0"/>
                <w:sz w:val="20"/>
                <w:szCs w:val="20"/>
                <w:lang w:val="en-US" w:eastAsia="zh-CN"/>
              </w:rPr>
              <w:t>10.</w:t>
            </w:r>
            <w:r>
              <w:rPr>
                <w:rFonts w:hint="eastAsia" w:ascii="宋体" w:hAnsi="宋体" w:eastAsia="宋体" w:cs="宋体"/>
                <w:color w:val="000000"/>
                <w:kern w:val="0"/>
                <w:sz w:val="20"/>
                <w:szCs w:val="20"/>
              </w:rPr>
              <w:t>程序更新功能。程序版本更新可以直接功过U盘自动更新</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11</w:t>
            </w:r>
            <w:r>
              <w:rPr>
                <w:rFonts w:hint="eastAsia" w:ascii="宋体" w:hAnsi="宋体" w:eastAsia="宋体" w:cs="宋体"/>
                <w:color w:val="000000"/>
                <w:kern w:val="0"/>
                <w:sz w:val="20"/>
                <w:szCs w:val="20"/>
              </w:rPr>
              <w:t>.训练数据实时反馈</w:t>
            </w:r>
          </w:p>
          <w:p>
            <w:pPr>
              <w:widowControl/>
              <w:jc w:val="both"/>
              <w:textAlignment w:val="cente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12</w:t>
            </w:r>
            <w:r>
              <w:rPr>
                <w:rFonts w:hint="eastAsia" w:ascii="宋体" w:hAnsi="宋体" w:eastAsia="宋体" w:cs="宋体"/>
                <w:color w:val="000000"/>
                <w:kern w:val="0"/>
                <w:sz w:val="20"/>
                <w:szCs w:val="20"/>
              </w:rPr>
              <w:t>.训练结果可量化、评估、报告输出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 w:hRule="atLeast"/>
          <w:jc w:val="center"/>
        </w:trPr>
        <w:tc>
          <w:tcPr>
            <w:tcW w:w="1027" w:type="dxa"/>
            <w:tcBorders>
              <w:tl2br w:val="nil"/>
              <w:tr2bl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波波池</w:t>
            </w:r>
          </w:p>
        </w:tc>
        <w:tc>
          <w:tcPr>
            <w:tcW w:w="8308" w:type="dxa"/>
            <w:tcBorders>
              <w:tl2br w:val="nil"/>
              <w:tr2bl w:val="nil"/>
            </w:tcBorders>
            <w:shd w:val="clear" w:color="auto" w:fill="auto"/>
            <w:vAlign w:val="center"/>
          </w:tcPr>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一、产品组成</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由塑料球、球池组成。</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二、主要技术指标和参数</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外形尺寸（长×宽×高）：</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2000mm×2000mm×600mm</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小球直径：ф55mm</w:t>
            </w:r>
          </w:p>
          <w:p>
            <w:pPr>
              <w:widowControl/>
              <w:jc w:val="both"/>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 小球数量：8000个</w:t>
            </w:r>
            <w:r>
              <w:rPr>
                <w:rFonts w:hint="eastAsia" w:ascii="宋体" w:hAnsi="宋体" w:eastAsia="宋体" w:cs="宋体"/>
                <w:color w:val="000000"/>
                <w:kern w:val="0"/>
                <w:sz w:val="20"/>
                <w:szCs w:val="20"/>
              </w:rPr>
              <w:tab/>
            </w:r>
          </w:p>
          <w:p>
            <w:pPr>
              <w:widowControl/>
              <w:jc w:val="both"/>
              <w:textAlignment w:val="center"/>
              <w:rPr>
                <w:rFonts w:hint="eastAsia" w:ascii="宋体" w:hAnsi="宋体" w:eastAsia="宋体" w:cs="宋体"/>
                <w:color w:val="000000"/>
                <w:kern w:val="0"/>
                <w:sz w:val="20"/>
                <w:szCs w:val="20"/>
              </w:rPr>
            </w:pPr>
          </w:p>
        </w:tc>
      </w:tr>
    </w:tbl>
    <w:p>
      <w:pPr>
        <w:widowControl/>
        <w:spacing w:line="560" w:lineRule="exact"/>
        <w:ind w:firstLine="422" w:firstLineChars="200"/>
        <w:jc w:val="left"/>
        <w:rPr>
          <w:rFonts w:hint="eastAsia" w:ascii="宋体" w:hAnsi="宋体" w:cs="宋体"/>
          <w:b/>
          <w:bCs/>
          <w:kern w:val="0"/>
          <w:szCs w:val="21"/>
        </w:rPr>
      </w:pPr>
    </w:p>
    <w:p>
      <w:pPr>
        <w:widowControl/>
        <w:spacing w:line="560" w:lineRule="exact"/>
        <w:ind w:firstLine="422" w:firstLineChars="200"/>
        <w:jc w:val="left"/>
        <w:rPr>
          <w:rFonts w:ascii="宋体" w:hAnsi="宋体" w:cs="宋体"/>
          <w:b/>
          <w:bCs/>
          <w:kern w:val="0"/>
          <w:szCs w:val="21"/>
        </w:rPr>
      </w:pPr>
      <w:r>
        <w:rPr>
          <w:rFonts w:hint="eastAsia" w:ascii="宋体" w:hAnsi="宋体" w:cs="宋体"/>
          <w:b/>
          <w:bCs/>
          <w:kern w:val="0"/>
          <w:szCs w:val="21"/>
        </w:rPr>
        <w:t>注：1、投标人提供的货物必须是原装全新、高于或等于招标文件规定技术参数的产品；</w:t>
      </w:r>
    </w:p>
    <w:p>
      <w:pPr>
        <w:widowControl/>
        <w:spacing w:line="560" w:lineRule="exact"/>
        <w:ind w:firstLine="422" w:firstLineChars="200"/>
        <w:jc w:val="left"/>
        <w:rPr>
          <w:rFonts w:ascii="宋体" w:hAnsi="宋体" w:cs="宋体"/>
          <w:b/>
          <w:bCs/>
          <w:kern w:val="0"/>
          <w:szCs w:val="21"/>
        </w:rPr>
        <w:sectPr>
          <w:footerReference r:id="rId10" w:type="first"/>
          <w:footerReference r:id="rId9" w:type="default"/>
          <w:pgSz w:w="11906" w:h="16838"/>
          <w:pgMar w:top="2098" w:right="1474" w:bottom="1985" w:left="1588" w:header="851" w:footer="992" w:gutter="0"/>
          <w:pgNumType w:fmt="numberInDash"/>
          <w:cols w:space="720" w:num="1"/>
          <w:docGrid w:type="lines" w:linePitch="318" w:charSpace="0"/>
        </w:sectPr>
      </w:pPr>
      <w:r>
        <w:rPr>
          <w:rFonts w:hint="eastAsia" w:ascii="宋体" w:hAnsi="宋体" w:cs="宋体"/>
          <w:b/>
          <w:bCs/>
          <w:kern w:val="0"/>
          <w:szCs w:val="21"/>
        </w:rPr>
        <w:t>2、属于节能产品政府采购清单规定必须强制采购的, 必须采购当期节能产品政府采购清单内设备或产品；在价格、技术、服务等指标同等条件下，优先采购节能、环保产品。（开标时需提供投标人所投产品属于政府采购清单规定的节能环保产品的证明材料）。</w:t>
      </w:r>
    </w:p>
    <w:p>
      <w:pPr>
        <w:pStyle w:val="38"/>
        <w:spacing w:line="600" w:lineRule="exact"/>
        <w:ind w:right="-63" w:rightChars="-30"/>
        <w:rPr>
          <w:rFonts w:asciiTheme="minorEastAsia" w:hAnsiTheme="minorEastAsia" w:eastAsiaTheme="minorEastAsia" w:cstheme="minorEastAsia"/>
          <w:sz w:val="36"/>
          <w:szCs w:val="36"/>
        </w:rPr>
      </w:pPr>
    </w:p>
    <w:p>
      <w:pPr>
        <w:pStyle w:val="38"/>
        <w:spacing w:line="600" w:lineRule="exact"/>
        <w:ind w:right="-63" w:rightChars="-3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第六章  投标文件格式</w:t>
      </w:r>
      <w:bookmarkEnd w:id="249"/>
      <w:bookmarkEnd w:id="250"/>
      <w:bookmarkEnd w:id="251"/>
      <w:bookmarkEnd w:id="252"/>
    </w:p>
    <w:p>
      <w:pPr>
        <w:rPr>
          <w:rFonts w:asciiTheme="minorEastAsia" w:hAnsiTheme="minorEastAsia" w:eastAsiaTheme="minorEastAsia" w:cstheme="minorEastAsia"/>
        </w:rPr>
      </w:pPr>
      <w:bookmarkStart w:id="253" w:name="_Toc403122573"/>
      <w:bookmarkStart w:id="254" w:name="_Toc402961301"/>
      <w:bookmarkStart w:id="255" w:name="_Toc27452"/>
      <w:bookmarkStart w:id="256" w:name="_Toc18905"/>
    </w:p>
    <w:p>
      <w:pPr>
        <w:rPr>
          <w:rFonts w:asciiTheme="minorEastAsia" w:hAnsiTheme="minorEastAsia" w:eastAsiaTheme="minorEastAsia" w:cstheme="minorEastAsia"/>
        </w:rPr>
      </w:pPr>
      <w:r>
        <w:rPr>
          <w:rFonts w:hint="eastAsia" w:asciiTheme="minorEastAsia" w:hAnsiTheme="minorEastAsia" w:eastAsiaTheme="minorEastAsia" w:cstheme="minorEastAsia"/>
          <w:b/>
          <w:bCs/>
          <w:sz w:val="28"/>
          <w:szCs w:val="28"/>
        </w:rPr>
        <w:t xml:space="preserve">                 </w:t>
      </w:r>
      <w:bookmarkEnd w:id="253"/>
      <w:bookmarkEnd w:id="254"/>
      <w:bookmarkEnd w:id="255"/>
      <w:bookmarkEnd w:id="256"/>
      <w:r>
        <w:rPr>
          <w:rFonts w:hint="eastAsia" w:asciiTheme="minorEastAsia" w:hAnsiTheme="minorEastAsia" w:eastAsiaTheme="minorEastAsia" w:cstheme="minorEastAsia"/>
          <w:b/>
          <w:sz w:val="36"/>
          <w:szCs w:val="36"/>
        </w:rPr>
        <w:t xml:space="preserve">（项目名称）                   </w:t>
      </w:r>
      <w:r>
        <w:rPr>
          <w:rFonts w:hint="eastAsia" w:asciiTheme="minorEastAsia" w:hAnsiTheme="minorEastAsia" w:eastAsiaTheme="minorEastAsia" w:cstheme="minorEastAsia"/>
          <w:b/>
          <w:bCs/>
          <w:sz w:val="28"/>
          <w:szCs w:val="28"/>
        </w:rPr>
        <w:t>正本/副本</w:t>
      </w:r>
    </w:p>
    <w:p>
      <w:pPr>
        <w:spacing w:line="360" w:lineRule="auto"/>
        <w:jc w:val="center"/>
        <w:rPr>
          <w:rFonts w:asciiTheme="minorEastAsia" w:hAnsiTheme="minorEastAsia" w:eastAsiaTheme="minorEastAsia" w:cstheme="minorEastAsia"/>
          <w:b/>
          <w:sz w:val="32"/>
          <w:szCs w:val="32"/>
        </w:rPr>
      </w:pPr>
    </w:p>
    <w:p>
      <w:pPr>
        <w:pStyle w:val="5"/>
      </w:pPr>
    </w:p>
    <w:p>
      <w:pPr>
        <w:pStyle w:val="5"/>
      </w:pPr>
    </w:p>
    <w:p>
      <w:pPr>
        <w:pStyle w:val="5"/>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23"/>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23"/>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23"/>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500" w:lineRule="exact"/>
        <w:jc w:val="center"/>
        <w:outlineLvl w:val="1"/>
        <w:rPr>
          <w:rFonts w:asciiTheme="minorEastAsia" w:hAnsiTheme="minorEastAsia" w:eastAsiaTheme="minorEastAsia" w:cstheme="minorEastAsia"/>
          <w:b/>
          <w:bCs/>
          <w:sz w:val="28"/>
          <w:szCs w:val="28"/>
        </w:rPr>
      </w:pPr>
      <w:bookmarkStart w:id="257" w:name="_Toc31547"/>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58" w:name="_Toc1921"/>
      <w:r>
        <w:rPr>
          <w:rFonts w:hint="eastAsia" w:asciiTheme="minorEastAsia" w:hAnsiTheme="minorEastAsia" w:eastAsiaTheme="minorEastAsia" w:cstheme="minorEastAsia"/>
          <w:b/>
          <w:bCs/>
          <w:sz w:val="30"/>
          <w:szCs w:val="30"/>
        </w:rPr>
        <w:t>一、投标函</w:t>
      </w:r>
      <w:bookmarkEnd w:id="257"/>
      <w:r>
        <w:rPr>
          <w:rFonts w:hint="eastAsia" w:asciiTheme="minorEastAsia" w:hAnsiTheme="minorEastAsia" w:eastAsiaTheme="minorEastAsia" w:cstheme="minorEastAsia"/>
          <w:b/>
          <w:bCs/>
          <w:sz w:val="30"/>
          <w:szCs w:val="30"/>
        </w:rPr>
        <w:t>及开标一览表</w:t>
      </w:r>
      <w:bookmarkEnd w:id="258"/>
    </w:p>
    <w:p>
      <w:pPr>
        <w:jc w:val="center"/>
        <w:outlineLvl w:val="2"/>
        <w:rPr>
          <w:rFonts w:asciiTheme="minorEastAsia" w:hAnsiTheme="minorEastAsia" w:eastAsiaTheme="minorEastAsia" w:cstheme="minorEastAsia"/>
          <w:b/>
          <w:bCs/>
          <w:sz w:val="28"/>
        </w:rPr>
      </w:pPr>
      <w:bookmarkStart w:id="259" w:name="_Toc600"/>
      <w:bookmarkStart w:id="260" w:name="_Toc27218"/>
      <w:bookmarkStart w:id="261" w:name="_Toc12044"/>
      <w:r>
        <w:rPr>
          <w:rFonts w:hint="eastAsia" w:asciiTheme="minorEastAsia" w:hAnsiTheme="minorEastAsia" w:eastAsiaTheme="minorEastAsia" w:cstheme="minorEastAsia"/>
          <w:b/>
          <w:sz w:val="28"/>
          <w:szCs w:val="28"/>
        </w:rPr>
        <w:t>（一）投标函</w:t>
      </w:r>
      <w:bookmarkEnd w:id="259"/>
      <w:bookmarkEnd w:id="260"/>
      <w:bookmarkEnd w:id="261"/>
    </w:p>
    <w:p>
      <w:pPr>
        <w:spacing w:line="44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（采购人名称）： </w:t>
      </w:r>
    </w:p>
    <w:p>
      <w:pPr>
        <w:numPr>
          <w:ilvl w:val="0"/>
          <w:numId w:val="12"/>
        </w:numPr>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我方已仔细研究了（项目名称）招标文件的全部内容，对本项目愿意以人民币（大写）元（￥</w:t>
      </w:r>
      <w:r>
        <w:rPr>
          <w:rFonts w:hint="eastAsia" w:asciiTheme="minorEastAsia" w:hAnsiTheme="minorEastAsia" w:eastAsiaTheme="minorEastAsia" w:cstheme="minorEastAsia"/>
          <w:szCs w:val="21"/>
          <w:u w:val="single"/>
        </w:rPr>
        <w:t xml:space="preserve">          元</w:t>
      </w:r>
      <w:r>
        <w:rPr>
          <w:rFonts w:hint="eastAsia" w:asciiTheme="minorEastAsia" w:hAnsiTheme="minorEastAsia" w:eastAsiaTheme="minorEastAsia" w:cstheme="minorEastAsia"/>
          <w:szCs w:val="21"/>
        </w:rPr>
        <w:t>）的投标报价，</w:t>
      </w:r>
      <w:r>
        <w:rPr>
          <w:rFonts w:hint="eastAsia" w:asciiTheme="minorEastAsia" w:hAnsiTheme="minorEastAsia" w:eastAsiaTheme="minorEastAsia" w:cstheme="minorEastAsia"/>
        </w:rPr>
        <w:t>供货及安装期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，按合同约定实施和完成本项目。 </w:t>
      </w:r>
    </w:p>
    <w:p>
      <w:pPr>
        <w:numPr>
          <w:ilvl w:val="0"/>
          <w:numId w:val="12"/>
        </w:numPr>
        <w:tabs>
          <w:tab w:val="left" w:pos="840"/>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我方承诺我公司完全满足《中华人民共和国政府采购法》第二十二条之各项规定，如果我们的投标文件被接受，我们将履行招标文件中规定的各项要求，按期、按质、按量完成中标项目。</w:t>
      </w:r>
    </w:p>
    <w:p>
      <w:pPr>
        <w:numPr>
          <w:ilvl w:val="0"/>
          <w:numId w:val="12"/>
        </w:numPr>
        <w:tabs>
          <w:tab w:val="left" w:pos="840"/>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我方承诺在投标有效期内不修改、撤销投标文件。</w:t>
      </w:r>
    </w:p>
    <w:p>
      <w:pPr>
        <w:numPr>
          <w:ilvl w:val="0"/>
          <w:numId w:val="12"/>
        </w:numPr>
        <w:tabs>
          <w:tab w:val="left" w:pos="840"/>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如我方中标：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（1）我方承诺在收到中标通知书后，在中标通知书规定的期限内与你方签订合同。</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（2）随同本投标函递交的投标函附录属于合同文件的组成部分。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（3）我方承诺按照招标文件规定向你方递交履约保证金。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（4）我们将根据招标文件的规定，严格按照《合同法》履行自己的责任和义务,并保证于投标报价表中规定的时间交货使用，否则我们的履约保证金将被贵方没收。</w:t>
      </w:r>
    </w:p>
    <w:p>
      <w:pPr>
        <w:numPr>
          <w:ilvl w:val="0"/>
          <w:numId w:val="12"/>
        </w:numPr>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我方在此声明，所递交的投标文件及有关资料内容完整、真实和准确。 </w:t>
      </w:r>
    </w:p>
    <w:p>
      <w:pPr>
        <w:spacing w:line="440" w:lineRule="exact"/>
        <w:ind w:left="105"/>
        <w:rPr>
          <w:rFonts w:asciiTheme="minorEastAsia" w:hAnsiTheme="minorEastAsia" w:eastAsiaTheme="minorEastAsia" w:cstheme="minorEastAsia"/>
          <w:szCs w:val="21"/>
        </w:rPr>
      </w:pPr>
    </w:p>
    <w:p>
      <w:pPr>
        <w:spacing w:line="440" w:lineRule="exact"/>
        <w:ind w:left="105"/>
        <w:rPr>
          <w:rFonts w:asciiTheme="minorEastAsia" w:hAnsiTheme="minorEastAsia" w:eastAsiaTheme="minorEastAsia" w:cstheme="minorEastAsia"/>
          <w:szCs w:val="21"/>
        </w:rPr>
      </w:pP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人：（盖企业公章）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w:t>
      </w:r>
      <w:r>
        <w:rPr>
          <w:rFonts w:hint="eastAsia" w:asciiTheme="minorEastAsia" w:hAnsiTheme="minorEastAsia" w:eastAsiaTheme="minorEastAsia" w:cstheme="minorEastAsia"/>
          <w:kern w:val="0"/>
          <w:szCs w:val="21"/>
        </w:rPr>
        <w:t>签字或盖章）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p>
    <w:p>
      <w:pPr>
        <w:spacing w:line="440" w:lineRule="exact"/>
        <w:ind w:left="2625" w:leftChars="125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年月日</w:t>
      </w:r>
    </w:p>
    <w:p>
      <w:pPr>
        <w:spacing w:line="400" w:lineRule="exact"/>
        <w:ind w:left="2625" w:leftChars="1250"/>
        <w:rPr>
          <w:rFonts w:asciiTheme="minorEastAsia" w:hAnsiTheme="minorEastAsia" w:eastAsiaTheme="minorEastAsia" w:cstheme="minorEastAsia"/>
          <w:sz w:val="24"/>
        </w:rPr>
      </w:pPr>
    </w:p>
    <w:p>
      <w:pPr>
        <w:spacing w:line="400" w:lineRule="exact"/>
        <w:ind w:left="2625" w:leftChars="1250"/>
        <w:rPr>
          <w:rFonts w:asciiTheme="minorEastAsia" w:hAnsiTheme="minorEastAsia" w:eastAsiaTheme="minorEastAsia" w:cstheme="minorEastAsia"/>
          <w:sz w:val="24"/>
        </w:r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62" w:name="_Toc9543"/>
      <w:bookmarkStart w:id="263" w:name="_Toc14778"/>
      <w:bookmarkStart w:id="264" w:name="_Toc208"/>
      <w:r>
        <w:rPr>
          <w:rFonts w:hint="eastAsia" w:asciiTheme="minorEastAsia" w:hAnsiTheme="minorEastAsia" w:eastAsiaTheme="minorEastAsia" w:cstheme="minorEastAsia"/>
          <w:b/>
          <w:bCs/>
          <w:sz w:val="28"/>
          <w:szCs w:val="28"/>
        </w:rPr>
        <w:t>（二） 开标一览表</w:t>
      </w:r>
      <w:bookmarkEnd w:id="262"/>
      <w:bookmarkEnd w:id="263"/>
      <w:bookmarkEnd w:id="264"/>
    </w:p>
    <w:p>
      <w:pPr>
        <w:jc w:val="center"/>
        <w:rPr>
          <w:rFonts w:asciiTheme="minorEastAsia" w:hAnsiTheme="minorEastAsia" w:eastAsiaTheme="minorEastAsia" w:cstheme="minorEastAsia"/>
          <w:b/>
          <w:bCs/>
          <w:sz w:val="28"/>
        </w:rPr>
      </w:pPr>
    </w:p>
    <w:tbl>
      <w:tblPr>
        <w:tblStyle w:val="40"/>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6"/>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bookmarkStart w:id="286" w:name="_GoBack"/>
            <w:bookmarkEnd w:id="2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供货及安装期</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6"/>
              <w:spacing w:line="400" w:lineRule="exact"/>
              <w:ind w:firstLine="48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6"/>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6"/>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3"/>
        <w:rPr>
          <w:rFonts w:asciiTheme="minorEastAsia" w:hAnsiTheme="minorEastAsia" w:eastAsiaTheme="minorEastAsia" w:cstheme="minorEastAsia"/>
          <w:sz w:val="24"/>
        </w:rPr>
      </w:pPr>
    </w:p>
    <w:p>
      <w:pPr>
        <w:pStyle w:val="38"/>
        <w:spacing w:before="120" w:after="120" w:line="500" w:lineRule="exact"/>
        <w:ind w:right="29" w:rightChars="14"/>
        <w:outlineLvl w:val="1"/>
        <w:rPr>
          <w:rFonts w:asciiTheme="minorEastAsia" w:hAnsiTheme="minorEastAsia" w:eastAsiaTheme="minorEastAsia" w:cstheme="minorEastAsia"/>
          <w:sz w:val="24"/>
        </w:rPr>
      </w:pPr>
    </w:p>
    <w:p>
      <w:pPr>
        <w:pStyle w:val="38"/>
        <w:spacing w:before="120" w:after="120" w:line="500" w:lineRule="exact"/>
        <w:ind w:right="29" w:rightChars="14"/>
        <w:outlineLvl w:val="1"/>
        <w:rPr>
          <w:rFonts w:asciiTheme="minorEastAsia" w:hAnsiTheme="minorEastAsia" w:eastAsiaTheme="minorEastAsia" w:cstheme="minorEastAsia"/>
          <w:sz w:val="24"/>
        </w:rPr>
      </w:pPr>
    </w:p>
    <w:p>
      <w:pPr>
        <w:pStyle w:val="38"/>
        <w:spacing w:before="120" w:after="120" w:line="500" w:lineRule="exact"/>
        <w:ind w:right="29" w:rightChars="14"/>
        <w:outlineLvl w:val="1"/>
        <w:rPr>
          <w:rFonts w:asciiTheme="minorEastAsia" w:hAnsiTheme="minorEastAsia" w:eastAsiaTheme="minorEastAsia" w:cstheme="minorEastAsia"/>
          <w:sz w:val="24"/>
        </w:rPr>
      </w:pPr>
    </w:p>
    <w:p>
      <w:pPr>
        <w:spacing w:line="440" w:lineRule="exact"/>
        <w:ind w:firstLine="441" w:firstLineChars="147"/>
        <w:jc w:val="center"/>
        <w:rPr>
          <w:rFonts w:ascii="宋体" w:hAnsi="宋体" w:cs="宋体"/>
          <w:b w:val="0"/>
          <w:bCs/>
          <w:color w:val="auto"/>
          <w:sz w:val="30"/>
          <w:szCs w:val="30"/>
        </w:rPr>
      </w:pPr>
      <w:r>
        <w:rPr>
          <w:rFonts w:hint="eastAsia" w:ascii="宋体" w:hAnsi="宋体" w:cs="宋体"/>
          <w:b w:val="0"/>
          <w:bCs/>
          <w:color w:val="auto"/>
          <w:sz w:val="30"/>
          <w:szCs w:val="30"/>
        </w:rPr>
        <w:t>（三）报价明细表</w:t>
      </w:r>
    </w:p>
    <w:p>
      <w:pPr>
        <w:spacing w:line="440" w:lineRule="exact"/>
        <w:ind w:firstLine="308" w:firstLineChars="147"/>
        <w:rPr>
          <w:rFonts w:ascii="宋体" w:hAnsi="宋体" w:cs="宋体"/>
          <w:b w:val="0"/>
          <w:bCs/>
          <w:color w:val="auto"/>
          <w:szCs w:val="21"/>
        </w:rPr>
      </w:pPr>
    </w:p>
    <w:tbl>
      <w:tblPr>
        <w:tblStyle w:val="40"/>
        <w:tblW w:w="977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838"/>
        <w:gridCol w:w="837"/>
        <w:gridCol w:w="3015"/>
        <w:gridCol w:w="563"/>
        <w:gridCol w:w="563"/>
        <w:gridCol w:w="912"/>
        <w:gridCol w:w="1044"/>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1289" w:type="dxa"/>
            <w:vMerge w:val="restart"/>
            <w:tcBorders>
              <w:top w:val="single" w:color="auto" w:sz="4" w:space="0"/>
              <w:left w:val="single" w:color="auto" w:sz="4" w:space="0"/>
              <w:right w:val="single" w:color="auto" w:sz="4" w:space="0"/>
            </w:tcBorders>
            <w:noWrap w:val="0"/>
            <w:vAlign w:val="center"/>
          </w:tcPr>
          <w:p>
            <w:pPr>
              <w:pStyle w:val="37"/>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名称</w:t>
            </w:r>
          </w:p>
        </w:tc>
        <w:tc>
          <w:tcPr>
            <w:tcW w:w="4690" w:type="dxa"/>
            <w:gridSpan w:val="3"/>
            <w:tcBorders>
              <w:top w:val="single" w:color="auto" w:sz="4" w:space="0"/>
              <w:left w:val="single" w:color="auto" w:sz="4" w:space="0"/>
              <w:bottom w:val="single" w:color="auto" w:sz="4" w:space="0"/>
              <w:right w:val="single" w:color="auto" w:sz="4" w:space="0"/>
            </w:tcBorders>
            <w:noWrap w:val="0"/>
            <w:vAlign w:val="center"/>
          </w:tcPr>
          <w:p>
            <w:pPr>
              <w:pStyle w:val="37"/>
              <w:keepNext w:val="0"/>
              <w:keepLines w:val="0"/>
              <w:widowControl w:val="0"/>
              <w:suppressLineNumbers w:val="0"/>
              <w:adjustRightInd w:val="0"/>
              <w:spacing w:before="0" w:beforeAutospacing="0" w:after="0" w:afterAutospacing="0" w:line="480" w:lineRule="exact"/>
              <w:ind w:left="0" w:right="0"/>
              <w:jc w:val="center"/>
              <w:rPr>
                <w:rFonts w:hint="eastAsia" w:eastAsia="宋体"/>
                <w:b w:val="0"/>
                <w:bCs/>
                <w:color w:val="auto"/>
                <w:lang w:val="en-US" w:eastAsia="zh-CN"/>
              </w:rPr>
            </w:pPr>
            <w:r>
              <w:rPr>
                <w:rFonts w:hint="eastAsia"/>
                <w:b w:val="0"/>
                <w:bCs/>
                <w:color w:val="auto"/>
                <w:lang w:val="en-US" w:eastAsia="zh-CN"/>
              </w:rPr>
              <w:t>所投设备</w:t>
            </w:r>
          </w:p>
        </w:tc>
        <w:tc>
          <w:tcPr>
            <w:tcW w:w="563" w:type="dxa"/>
            <w:vMerge w:val="restart"/>
            <w:tcBorders>
              <w:top w:val="single" w:color="auto" w:sz="4" w:space="0"/>
              <w:left w:val="single" w:color="auto" w:sz="4" w:space="0"/>
              <w:right w:val="single" w:color="auto" w:sz="4" w:space="0"/>
            </w:tcBorders>
            <w:noWrap w:val="0"/>
            <w:vAlign w:val="center"/>
          </w:tcPr>
          <w:p>
            <w:pPr>
              <w:pStyle w:val="37"/>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单位</w:t>
            </w:r>
          </w:p>
        </w:tc>
        <w:tc>
          <w:tcPr>
            <w:tcW w:w="563" w:type="dxa"/>
            <w:vMerge w:val="restart"/>
            <w:tcBorders>
              <w:top w:val="single" w:color="auto" w:sz="4" w:space="0"/>
              <w:left w:val="single" w:color="auto" w:sz="4" w:space="0"/>
              <w:right w:val="single" w:color="auto" w:sz="4" w:space="0"/>
            </w:tcBorders>
            <w:noWrap w:val="0"/>
            <w:vAlign w:val="center"/>
          </w:tcPr>
          <w:p>
            <w:pPr>
              <w:pStyle w:val="37"/>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数量</w:t>
            </w:r>
          </w:p>
        </w:tc>
        <w:tc>
          <w:tcPr>
            <w:tcW w:w="912" w:type="dxa"/>
            <w:vMerge w:val="restart"/>
            <w:tcBorders>
              <w:top w:val="single" w:color="auto" w:sz="4" w:space="0"/>
              <w:left w:val="single" w:color="auto" w:sz="4" w:space="0"/>
              <w:right w:val="single" w:color="auto" w:sz="4" w:space="0"/>
            </w:tcBorders>
            <w:noWrap w:val="0"/>
            <w:vAlign w:val="center"/>
          </w:tcPr>
          <w:p>
            <w:pPr>
              <w:pStyle w:val="37"/>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p>
            <w:pPr>
              <w:pStyle w:val="37"/>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单价（元）</w:t>
            </w:r>
          </w:p>
          <w:p>
            <w:pPr>
              <w:pStyle w:val="37"/>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tc>
        <w:tc>
          <w:tcPr>
            <w:tcW w:w="1044" w:type="dxa"/>
            <w:vMerge w:val="restart"/>
            <w:tcBorders>
              <w:top w:val="single" w:color="auto" w:sz="4" w:space="0"/>
              <w:left w:val="single" w:color="auto" w:sz="4" w:space="0"/>
              <w:right w:val="single" w:color="auto" w:sz="4" w:space="0"/>
            </w:tcBorders>
            <w:noWrap w:val="0"/>
            <w:vAlign w:val="center"/>
          </w:tcPr>
          <w:p>
            <w:pPr>
              <w:pStyle w:val="37"/>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合价（元）</w:t>
            </w:r>
          </w:p>
        </w:tc>
        <w:tc>
          <w:tcPr>
            <w:tcW w:w="715" w:type="dxa"/>
            <w:vMerge w:val="restart"/>
            <w:tcBorders>
              <w:top w:val="single" w:color="auto" w:sz="4" w:space="0"/>
              <w:left w:val="single" w:color="auto" w:sz="4" w:space="0"/>
              <w:right w:val="single" w:color="auto" w:sz="4" w:space="0"/>
            </w:tcBorders>
            <w:noWrap w:val="0"/>
            <w:vAlign w:val="top"/>
          </w:tcPr>
          <w:p>
            <w:pPr>
              <w:pStyle w:val="37"/>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default"/>
                <w:b w:val="0"/>
                <w:bCs/>
                <w:color w:val="auto"/>
              </w:rPr>
            </w:pPr>
          </w:p>
          <w:p>
            <w:pPr>
              <w:pStyle w:val="37"/>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default"/>
                <w:b w:val="0"/>
                <w:bCs/>
                <w:color w:val="auto"/>
              </w:rPr>
            </w:pPr>
            <w:r>
              <w:rPr>
                <w:rFonts w:hint="eastAsia"/>
                <w:b w:val="0"/>
                <w:bCs/>
                <w:color w:val="auto"/>
              </w:rPr>
              <w:t>备注</w:t>
            </w:r>
            <w:r>
              <w:rPr>
                <w:rFonts w:hint="eastAsia"/>
                <w:b w:val="0"/>
                <w:bCs/>
                <w:color w:val="auto"/>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1289" w:type="dxa"/>
            <w:vMerge w:val="continue"/>
            <w:tcBorders>
              <w:left w:val="single" w:color="auto" w:sz="4" w:space="0"/>
              <w:bottom w:val="single" w:color="auto" w:sz="4" w:space="0"/>
              <w:right w:val="single" w:color="auto" w:sz="4" w:space="0"/>
            </w:tcBorders>
            <w:noWrap w:val="0"/>
            <w:vAlign w:val="center"/>
          </w:tcPr>
          <w:p>
            <w:pPr>
              <w:pStyle w:val="37"/>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37"/>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品牌</w:t>
            </w:r>
          </w:p>
        </w:tc>
        <w:tc>
          <w:tcPr>
            <w:tcW w:w="837" w:type="dxa"/>
            <w:tcBorders>
              <w:top w:val="single" w:color="auto" w:sz="4" w:space="0"/>
              <w:left w:val="single" w:color="auto" w:sz="4" w:space="0"/>
              <w:bottom w:val="single" w:color="auto" w:sz="4" w:space="0"/>
              <w:right w:val="single" w:color="auto" w:sz="4" w:space="0"/>
            </w:tcBorders>
            <w:noWrap w:val="0"/>
            <w:vAlign w:val="center"/>
          </w:tcPr>
          <w:p>
            <w:pPr>
              <w:pStyle w:val="37"/>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型号</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pStyle w:val="37"/>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技术参数</w:t>
            </w:r>
          </w:p>
        </w:tc>
        <w:tc>
          <w:tcPr>
            <w:tcW w:w="563" w:type="dxa"/>
            <w:vMerge w:val="continue"/>
            <w:tcBorders>
              <w:left w:val="single" w:color="auto" w:sz="4" w:space="0"/>
              <w:bottom w:val="single" w:color="auto" w:sz="4" w:space="0"/>
              <w:right w:val="single" w:color="auto" w:sz="4" w:space="0"/>
            </w:tcBorders>
            <w:noWrap w:val="0"/>
            <w:vAlign w:val="center"/>
          </w:tcPr>
          <w:p>
            <w:pPr>
              <w:pStyle w:val="37"/>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563" w:type="dxa"/>
            <w:vMerge w:val="continue"/>
            <w:tcBorders>
              <w:left w:val="single" w:color="auto" w:sz="4" w:space="0"/>
              <w:bottom w:val="single" w:color="auto" w:sz="4" w:space="0"/>
              <w:right w:val="single" w:color="auto" w:sz="4" w:space="0"/>
            </w:tcBorders>
            <w:noWrap w:val="0"/>
            <w:vAlign w:val="center"/>
          </w:tcPr>
          <w:p>
            <w:pPr>
              <w:pStyle w:val="37"/>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912" w:type="dxa"/>
            <w:vMerge w:val="continue"/>
            <w:tcBorders>
              <w:left w:val="single" w:color="auto" w:sz="4" w:space="0"/>
              <w:bottom w:val="single" w:color="auto" w:sz="4" w:space="0"/>
              <w:right w:val="single" w:color="auto" w:sz="4" w:space="0"/>
            </w:tcBorders>
            <w:noWrap w:val="0"/>
            <w:vAlign w:val="center"/>
          </w:tcPr>
          <w:p>
            <w:pPr>
              <w:pStyle w:val="37"/>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tc>
        <w:tc>
          <w:tcPr>
            <w:tcW w:w="1044" w:type="dxa"/>
            <w:vMerge w:val="continue"/>
            <w:tcBorders>
              <w:left w:val="single" w:color="auto" w:sz="4" w:space="0"/>
              <w:bottom w:val="single" w:color="auto" w:sz="4" w:space="0"/>
              <w:right w:val="single" w:color="auto" w:sz="4" w:space="0"/>
            </w:tcBorders>
            <w:noWrap w:val="0"/>
            <w:vAlign w:val="center"/>
          </w:tcPr>
          <w:p>
            <w:pPr>
              <w:pStyle w:val="37"/>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715" w:type="dxa"/>
            <w:vMerge w:val="continue"/>
            <w:tcBorders>
              <w:left w:val="single" w:color="auto" w:sz="4" w:space="0"/>
              <w:bottom w:val="single" w:color="auto" w:sz="4" w:space="0"/>
              <w:right w:val="single" w:color="auto" w:sz="4" w:space="0"/>
            </w:tcBorders>
            <w:noWrap w:val="0"/>
            <w:vAlign w:val="top"/>
          </w:tcPr>
          <w:p>
            <w:pPr>
              <w:pStyle w:val="37"/>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eastAsia"/>
                <w:b w:val="0"/>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2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2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2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2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2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2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2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b w:val="0"/>
                <w:bCs/>
                <w:color w:val="auto"/>
                <w:sz w:val="24"/>
              </w:rPr>
            </w:pPr>
            <w:r>
              <w:rPr>
                <w:rFonts w:hint="eastAsia" w:ascii="宋体" w:hAnsi="宋体" w:cs="宋体"/>
                <w:b w:val="0"/>
                <w:bCs/>
                <w:color w:val="auto"/>
                <w:sz w:val="24"/>
              </w:rPr>
              <w:t>合计（元）</w:t>
            </w:r>
          </w:p>
        </w:tc>
        <w:tc>
          <w:tcPr>
            <w:tcW w:w="8487"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b w:val="0"/>
                <w:bCs/>
                <w:color w:val="auto"/>
                <w:sz w:val="24"/>
              </w:rPr>
            </w:pPr>
            <w:r>
              <w:rPr>
                <w:rFonts w:hint="eastAsia" w:ascii="宋体" w:hAnsi="宋体" w:cs="宋体"/>
                <w:b w:val="0"/>
                <w:bCs/>
                <w:color w:val="auto"/>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7" w:hRule="atLeast"/>
        </w:trPr>
        <w:tc>
          <w:tcPr>
            <w:tcW w:w="977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eastAsia="宋体" w:cs="宋体"/>
                <w:b w:val="0"/>
                <w:bCs/>
                <w:color w:val="auto"/>
                <w:sz w:val="24"/>
                <w:lang w:val="en-US" w:eastAsia="zh-CN"/>
              </w:rPr>
            </w:pPr>
            <w:r>
              <w:rPr>
                <w:rFonts w:hint="eastAsia" w:ascii="宋体" w:hAnsi="宋体" w:cs="宋体"/>
                <w:b/>
                <w:bCs w:val="0"/>
                <w:color w:val="auto"/>
                <w:sz w:val="24"/>
                <w:lang w:val="en-US" w:eastAsia="zh-CN"/>
              </w:rPr>
              <w:t>重要提示：1、本页不够的可根据需要添加；2、本表的每一页须加盖企业印章。最后价格汇总页，须加盖企业印章并法人代表</w:t>
            </w:r>
            <w:r>
              <w:rPr>
                <w:rFonts w:hint="eastAsia" w:ascii="宋体" w:hAnsi="宋体" w:eastAsia="宋体" w:cs="宋体"/>
                <w:b/>
                <w:bCs w:val="0"/>
                <w:color w:val="auto"/>
                <w:sz w:val="24"/>
                <w:szCs w:val="20"/>
              </w:rPr>
              <w:t>或其委托代理人</w:t>
            </w:r>
            <w:r>
              <w:rPr>
                <w:rFonts w:hint="eastAsia" w:ascii="宋体" w:hAnsi="宋体" w:eastAsia="宋体" w:cs="宋体"/>
                <w:b/>
                <w:bCs w:val="0"/>
                <w:color w:val="auto"/>
                <w:sz w:val="24"/>
              </w:rPr>
              <w:t>签字或盖章</w:t>
            </w:r>
            <w:r>
              <w:rPr>
                <w:rFonts w:hint="eastAsia" w:ascii="宋体" w:hAnsi="宋体" w:cs="宋体"/>
                <w:b/>
                <w:bCs w:val="0"/>
                <w:color w:val="auto"/>
                <w:sz w:val="24"/>
                <w:lang w:eastAsia="zh-CN"/>
              </w:rPr>
              <w:t>（</w:t>
            </w:r>
            <w:r>
              <w:rPr>
                <w:rFonts w:hint="eastAsia" w:ascii="宋体" w:hAnsi="宋体" w:cs="宋体"/>
                <w:b/>
                <w:bCs w:val="0"/>
                <w:color w:val="auto"/>
                <w:sz w:val="24"/>
                <w:lang w:val="en-US" w:eastAsia="zh-CN"/>
              </w:rPr>
              <w:t>否则按无效投标处理</w:t>
            </w:r>
            <w:r>
              <w:rPr>
                <w:rFonts w:hint="eastAsia" w:ascii="宋体" w:hAnsi="宋体" w:cs="宋体"/>
                <w:b/>
                <w:bCs w:val="0"/>
                <w:color w:val="auto"/>
                <w:sz w:val="24"/>
                <w:lang w:eastAsia="zh-CN"/>
              </w:rPr>
              <w:t>）；</w:t>
            </w:r>
            <w:r>
              <w:rPr>
                <w:rFonts w:hint="eastAsia" w:ascii="宋体" w:hAnsi="宋体" w:cs="宋体"/>
                <w:b/>
                <w:bCs w:val="0"/>
                <w:color w:val="auto"/>
                <w:sz w:val="24"/>
                <w:lang w:val="en-US" w:eastAsia="zh-CN"/>
              </w:rPr>
              <w:t>3、涉及有国家标准的产品，须填写名称、品牌、型号及技术参数、报价等本表内容（若品牌、型号等填写的与实际不符，按照无效标处理）4、所投软件须经相关部门认证（提供认证资料，加盖投标公司印章）</w:t>
            </w:r>
          </w:p>
        </w:tc>
      </w:tr>
    </w:tbl>
    <w:p>
      <w:pPr>
        <w:spacing w:line="480" w:lineRule="exact"/>
        <w:jc w:val="right"/>
        <w:rPr>
          <w:rFonts w:hint="eastAsia" w:ascii="宋体" w:hAnsi="宋体" w:cs="宋体"/>
          <w:b w:val="0"/>
          <w:bCs/>
          <w:color w:val="auto"/>
          <w:sz w:val="24"/>
        </w:rPr>
      </w:pPr>
    </w:p>
    <w:p>
      <w:pPr>
        <w:spacing w:line="480" w:lineRule="exact"/>
        <w:jc w:val="right"/>
        <w:rPr>
          <w:rFonts w:hint="eastAsia" w:ascii="宋体" w:hAnsi="宋体" w:cs="宋体"/>
          <w:b w:val="0"/>
          <w:bCs/>
          <w:color w:val="auto"/>
          <w:sz w:val="24"/>
        </w:rPr>
      </w:pPr>
    </w:p>
    <w:p>
      <w:pPr>
        <w:spacing w:line="480" w:lineRule="exact"/>
        <w:jc w:val="right"/>
        <w:rPr>
          <w:rFonts w:hint="eastAsia" w:ascii="宋体" w:hAnsi="宋体" w:eastAsia="宋体" w:cs="宋体"/>
          <w:b w:val="0"/>
          <w:bCs/>
          <w:color w:val="auto"/>
          <w:sz w:val="24"/>
        </w:rPr>
      </w:pPr>
      <w:r>
        <w:rPr>
          <w:rFonts w:hint="eastAsia" w:ascii="宋体" w:hAnsi="宋体" w:cs="宋体"/>
          <w:b w:val="0"/>
          <w:bCs/>
          <w:color w:val="auto"/>
          <w:sz w:val="24"/>
        </w:rPr>
        <w:t xml:space="preserve"> </w:t>
      </w:r>
      <w:r>
        <w:rPr>
          <w:rFonts w:hint="eastAsia" w:ascii="宋体" w:hAnsi="宋体" w:eastAsia="宋体" w:cs="宋体"/>
          <w:b w:val="0"/>
          <w:bCs/>
          <w:color w:val="auto"/>
          <w:sz w:val="24"/>
        </w:rPr>
        <w:t>供应商：（单位公章）</w:t>
      </w:r>
      <w:r>
        <w:rPr>
          <w:rFonts w:hint="eastAsia" w:ascii="宋体" w:hAnsi="宋体" w:cs="宋体"/>
          <w:b w:val="0"/>
          <w:bCs/>
          <w:color w:val="auto"/>
          <w:sz w:val="24"/>
          <w:lang w:val="en-US" w:eastAsia="zh-CN"/>
        </w:rPr>
        <w:t xml:space="preserve">                                   </w:t>
      </w:r>
      <w:r>
        <w:rPr>
          <w:rFonts w:hint="eastAsia" w:ascii="宋体" w:hAnsi="宋体" w:eastAsia="宋体" w:cs="宋体"/>
          <w:b w:val="0"/>
          <w:bCs/>
          <w:color w:val="auto"/>
          <w:sz w:val="24"/>
        </w:rPr>
        <w:t xml:space="preserve">   </w:t>
      </w:r>
    </w:p>
    <w:p>
      <w:pPr>
        <w:spacing w:line="480" w:lineRule="exact"/>
        <w:jc w:val="right"/>
        <w:rPr>
          <w:rFonts w:ascii="宋体" w:hAnsi="宋体" w:eastAsia="宋体" w:cs="宋体"/>
          <w:b w:val="0"/>
          <w:bCs/>
          <w:color w:val="auto"/>
          <w:sz w:val="24"/>
        </w:rPr>
      </w:pPr>
      <w:r>
        <w:rPr>
          <w:rFonts w:hint="eastAsia" w:ascii="宋体" w:hAnsi="宋体" w:eastAsia="宋体" w:cs="宋体"/>
          <w:b w:val="0"/>
          <w:bCs/>
          <w:color w:val="auto"/>
          <w:sz w:val="24"/>
        </w:rPr>
        <w:t xml:space="preserve">  法定代表人</w:t>
      </w:r>
      <w:r>
        <w:rPr>
          <w:rFonts w:hint="eastAsia" w:ascii="宋体" w:hAnsi="宋体" w:eastAsia="宋体" w:cs="宋体"/>
          <w:b w:val="0"/>
          <w:bCs/>
          <w:color w:val="auto"/>
          <w:sz w:val="24"/>
          <w:szCs w:val="20"/>
        </w:rPr>
        <w:t>或其委托代理人</w:t>
      </w:r>
      <w:r>
        <w:rPr>
          <w:rFonts w:hint="eastAsia" w:ascii="宋体" w:hAnsi="宋体" w:eastAsia="宋体" w:cs="宋体"/>
          <w:b w:val="0"/>
          <w:bCs/>
          <w:color w:val="auto"/>
          <w:sz w:val="24"/>
        </w:rPr>
        <w:t>：（签字或盖章）</w:t>
      </w:r>
    </w:p>
    <w:p>
      <w:pPr>
        <w:ind w:left="1050" w:leftChars="500"/>
        <w:jc w:val="right"/>
        <w:rPr>
          <w:rFonts w:ascii="宋体" w:hAnsi="宋体" w:eastAsia="宋体" w:cs="宋体"/>
          <w:b w:val="0"/>
          <w:bCs/>
          <w:color w:val="auto"/>
          <w:sz w:val="24"/>
        </w:rPr>
      </w:pPr>
    </w:p>
    <w:p>
      <w:pPr>
        <w:ind w:left="1050" w:leftChars="500"/>
        <w:jc w:val="right"/>
        <w:rPr>
          <w:rFonts w:ascii="宋体" w:hAnsi="宋体" w:eastAsia="宋体" w:cs="宋体"/>
          <w:b w:val="0"/>
          <w:bCs/>
          <w:color w:val="auto"/>
          <w:sz w:val="24"/>
        </w:rPr>
      </w:pPr>
      <w:r>
        <w:rPr>
          <w:rFonts w:hint="eastAsia" w:ascii="宋体" w:hAnsi="宋体" w:eastAsia="宋体" w:cs="宋体"/>
          <w:b w:val="0"/>
          <w:bCs/>
          <w:color w:val="auto"/>
          <w:sz w:val="24"/>
        </w:rPr>
        <w:t xml:space="preserve">                日  期：     年   月   日</w:t>
      </w:r>
    </w:p>
    <w:p>
      <w:pPr>
        <w:autoSpaceDE w:val="0"/>
        <w:autoSpaceDN w:val="0"/>
        <w:adjustRightInd w:val="0"/>
        <w:spacing w:line="440" w:lineRule="exact"/>
        <w:jc w:val="right"/>
        <w:rPr>
          <w:rFonts w:hint="eastAsia" w:ascii="宋体" w:hAnsi="宋体" w:cs="宋体"/>
          <w:b/>
          <w:sz w:val="30"/>
          <w:szCs w:val="30"/>
          <w:lang w:eastAsia="zh-CN"/>
        </w:rPr>
      </w:pPr>
    </w:p>
    <w:p>
      <w:pPr>
        <w:autoSpaceDE w:val="0"/>
        <w:autoSpaceDN w:val="0"/>
        <w:adjustRightInd w:val="0"/>
        <w:spacing w:line="440" w:lineRule="exact"/>
        <w:jc w:val="center"/>
        <w:rPr>
          <w:rFonts w:hint="eastAsia" w:ascii="宋体" w:hAnsi="宋体" w:cs="宋体"/>
          <w:b/>
          <w:sz w:val="30"/>
          <w:szCs w:val="30"/>
          <w:lang w:eastAsia="zh-CN"/>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lang w:eastAsia="zh-CN"/>
        </w:rPr>
        <w:t>（</w:t>
      </w:r>
      <w:r>
        <w:rPr>
          <w:rFonts w:hint="eastAsia" w:ascii="宋体" w:hAnsi="宋体" w:cs="宋体"/>
          <w:b/>
          <w:sz w:val="30"/>
          <w:szCs w:val="30"/>
          <w:lang w:val="en-US" w:eastAsia="zh-CN"/>
        </w:rPr>
        <w:t>四</w:t>
      </w:r>
      <w:r>
        <w:rPr>
          <w:rFonts w:hint="eastAsia" w:ascii="宋体" w:hAnsi="宋体" w:cs="宋体"/>
          <w:b/>
          <w:sz w:val="30"/>
          <w:szCs w:val="30"/>
          <w:lang w:eastAsia="zh-CN"/>
        </w:rPr>
        <w:t>）</w:t>
      </w:r>
      <w:r>
        <w:rPr>
          <w:rFonts w:hint="eastAsia" w:ascii="宋体" w:hAnsi="宋体" w:cs="宋体"/>
          <w:b/>
          <w:sz w:val="30"/>
          <w:szCs w:val="30"/>
        </w:rPr>
        <w:t>技术偏离表</w:t>
      </w:r>
    </w:p>
    <w:p>
      <w:pPr>
        <w:spacing w:line="440" w:lineRule="exact"/>
        <w:rPr>
          <w:rFonts w:ascii="宋体" w:hAnsi="宋体" w:cs="宋体"/>
          <w:sz w:val="32"/>
        </w:rPr>
      </w:pPr>
    </w:p>
    <w:tbl>
      <w:tblPr>
        <w:tblStyle w:val="40"/>
        <w:tblW w:w="94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5"/>
        <w:gridCol w:w="1886"/>
        <w:gridCol w:w="2010"/>
        <w:gridCol w:w="2135"/>
        <w:gridCol w:w="25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85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141" w:right="0"/>
              <w:rPr>
                <w:rFonts w:hint="default" w:ascii="宋体" w:hAnsi="宋体" w:cs="宋体"/>
                <w:b/>
                <w:sz w:val="24"/>
              </w:rPr>
            </w:pPr>
            <w:r>
              <w:rPr>
                <w:rFonts w:hint="eastAsia" w:ascii="宋体" w:hAnsi="宋体" w:cs="宋体"/>
                <w:b/>
                <w:sz w:val="24"/>
              </w:rPr>
              <w:t xml:space="preserve">  序号</w:t>
            </w:r>
          </w:p>
        </w:tc>
        <w:tc>
          <w:tcPr>
            <w:tcW w:w="1886"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货物名称</w:t>
            </w:r>
          </w:p>
        </w:tc>
        <w:tc>
          <w:tcPr>
            <w:tcW w:w="2010"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招标技术要求</w:t>
            </w:r>
          </w:p>
        </w:tc>
        <w:tc>
          <w:tcPr>
            <w:tcW w:w="2135" w:type="dxa"/>
            <w:tcBorders>
              <w:top w:val="single" w:color="auto" w:sz="12"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投标货物实际技术规格</w:t>
            </w:r>
          </w:p>
        </w:tc>
        <w:tc>
          <w:tcPr>
            <w:tcW w:w="2556" w:type="dxa"/>
            <w:tcBorders>
              <w:top w:val="single" w:color="auto" w:sz="12" w:space="0"/>
              <w:left w:val="single" w:color="auto" w:sz="6" w:space="0"/>
              <w:bottom w:val="single" w:color="auto" w:sz="6" w:space="0"/>
              <w:right w:val="single" w:color="auto" w:sz="12" w:space="0"/>
            </w:tcBorders>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偏离说明</w:t>
            </w:r>
          </w:p>
          <w:p>
            <w:pPr>
              <w:keepNext w:val="0"/>
              <w:keepLines w:val="0"/>
              <w:widowControl/>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pStyle w:val="37"/>
              <w:keepNext w:val="0"/>
              <w:keepLines w:val="0"/>
              <w:widowControl w:val="0"/>
              <w:suppressLineNumbers w:val="0"/>
              <w:tabs>
                <w:tab w:val="left" w:pos="420"/>
              </w:tabs>
              <w:spacing w:before="0" w:beforeAutospacing="0" w:after="0" w:afterAutospacing="0" w:line="440" w:lineRule="exact"/>
              <w:ind w:left="0" w:right="0"/>
              <w:jc w:val="both"/>
              <w:rPr>
                <w:rFonts w:hint="default"/>
                <w:bCs/>
              </w:rPr>
            </w:pP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85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rPr>
                <w:rFonts w:hint="default" w:ascii="宋体" w:hAnsi="宋体" w:cs="宋体"/>
                <w:bCs/>
                <w:sz w:val="32"/>
              </w:rPr>
            </w:pPr>
          </w:p>
        </w:tc>
        <w:tc>
          <w:tcPr>
            <w:tcW w:w="188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01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13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556"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bl>
    <w:p>
      <w:pPr>
        <w:ind w:firstLine="640" w:firstLineChars="200"/>
        <w:rPr>
          <w:rFonts w:ascii="宋体" w:hAnsi="宋体"/>
          <w:szCs w:val="21"/>
        </w:rPr>
      </w:pPr>
      <w:r>
        <w:rPr>
          <w:rFonts w:hint="eastAsia" w:ascii="宋体" w:hAnsi="宋体" w:cs="宋体"/>
          <w:sz w:val="32"/>
        </w:rPr>
        <w:t xml:space="preserve"> </w:t>
      </w:r>
      <w:r>
        <w:rPr>
          <w:rFonts w:hint="eastAsia" w:ascii="宋体" w:hAnsi="宋体"/>
          <w:szCs w:val="21"/>
        </w:rPr>
        <w:t>注：投标人须对照招标文件技术规格，将自己所投的所有货物的功能、技术性能、配置等内容按照上表格式与招标文件要求逐条填写，</w:t>
      </w:r>
      <w:r>
        <w:rPr>
          <w:rFonts w:hint="eastAsia" w:ascii="宋体" w:hAnsi="宋体"/>
          <w:b/>
          <w:bCs/>
          <w:szCs w:val="21"/>
        </w:rPr>
        <w:t>供应商必须提供所投设备的具体参数值，并在偏离说明栏中标明技术及配置的实际响应情况</w:t>
      </w:r>
      <w:r>
        <w:rPr>
          <w:rFonts w:hint="eastAsia" w:ascii="宋体" w:hAnsi="宋体"/>
          <w:szCs w:val="21"/>
        </w:rPr>
        <w:t>：</w:t>
      </w:r>
    </w:p>
    <w:p>
      <w:pPr>
        <w:ind w:firstLine="420" w:firstLineChars="200"/>
        <w:rPr>
          <w:rFonts w:ascii="宋体" w:hAnsi="宋体"/>
          <w:szCs w:val="21"/>
        </w:rPr>
      </w:pPr>
      <w:r>
        <w:rPr>
          <w:rFonts w:hint="eastAsia" w:ascii="宋体" w:hAnsi="宋体"/>
          <w:szCs w:val="21"/>
        </w:rPr>
        <w:t>1、偏离说明栏中必须标明技术及配置的响应情况，整项货物及该项货物各部分相应情况须按下列要求填写，任何不真实响应都将按无效投标处理：</w:t>
      </w:r>
    </w:p>
    <w:p>
      <w:pPr>
        <w:numPr>
          <w:ilvl w:val="0"/>
          <w:numId w:val="13"/>
        </w:numPr>
        <w:ind w:firstLine="420" w:firstLineChars="200"/>
        <w:rPr>
          <w:rFonts w:ascii="宋体" w:hAnsi="宋体"/>
          <w:szCs w:val="21"/>
        </w:rPr>
      </w:pPr>
      <w:r>
        <w:rPr>
          <w:rFonts w:hint="eastAsia" w:ascii="宋体" w:hAnsi="宋体"/>
          <w:szCs w:val="21"/>
        </w:rPr>
        <w:t>对应项中的所有技术参数、性能和配置全部符合招标文件要求的才能填写“符合”；</w:t>
      </w:r>
    </w:p>
    <w:p>
      <w:pPr>
        <w:numPr>
          <w:ilvl w:val="0"/>
          <w:numId w:val="13"/>
        </w:numPr>
        <w:ind w:firstLine="420" w:firstLineChars="200"/>
        <w:rPr>
          <w:rFonts w:ascii="宋体" w:hAnsi="宋体"/>
          <w:szCs w:val="21"/>
        </w:rPr>
      </w:pPr>
      <w:r>
        <w:rPr>
          <w:rFonts w:hint="eastAsia" w:ascii="宋体" w:hAnsi="宋体"/>
          <w:szCs w:val="21"/>
        </w:rPr>
        <w:t>对应项中的所有技术参数、性能和配置全部符合招标文件要求并且其中有一个或以上指标优于招标文件要求的，可填写“正偏离”；</w:t>
      </w:r>
    </w:p>
    <w:p>
      <w:pPr>
        <w:spacing w:line="600" w:lineRule="exact"/>
        <w:rPr>
          <w:rFonts w:ascii="宋体" w:hAnsi="宋体" w:eastAsia="宋体" w:cs="宋体"/>
          <w:sz w:val="24"/>
        </w:rPr>
      </w:pPr>
    </w:p>
    <w:p>
      <w:pPr>
        <w:spacing w:line="600" w:lineRule="exact"/>
        <w:rPr>
          <w:rFonts w:ascii="宋体" w:hAnsi="宋体" w:eastAsia="宋体" w:cs="宋体"/>
          <w:sz w:val="24"/>
          <w:u w:val="single"/>
        </w:rPr>
      </w:pPr>
      <w:r>
        <w:rPr>
          <w:rFonts w:hint="eastAsia" w:ascii="宋体" w:hAnsi="宋体" w:eastAsia="宋体" w:cs="宋体"/>
          <w:sz w:val="24"/>
        </w:rPr>
        <w:t>投标单位名称（盖章）：</w:t>
      </w:r>
      <w:r>
        <w:rPr>
          <w:rFonts w:hint="eastAsia" w:ascii="宋体" w:hAnsi="宋体" w:eastAsia="宋体" w:cs="宋体"/>
          <w:sz w:val="24"/>
          <w:u w:val="single"/>
        </w:rPr>
        <w:t xml:space="preserve">                              </w:t>
      </w:r>
    </w:p>
    <w:p>
      <w:pPr>
        <w:spacing w:line="600" w:lineRule="exact"/>
        <w:rPr>
          <w:rFonts w:ascii="宋体" w:hAnsi="宋体" w:eastAsia="宋体" w:cs="宋体"/>
          <w:sz w:val="24"/>
        </w:rPr>
      </w:pPr>
      <w:r>
        <w:rPr>
          <w:rFonts w:hint="eastAsia" w:ascii="宋体" w:hAnsi="宋体" w:eastAsia="宋体" w:cs="宋体"/>
          <w:sz w:val="24"/>
        </w:rPr>
        <w:t>法人代表或授权委托人（签字或盖章）：</w:t>
      </w:r>
      <w:r>
        <w:rPr>
          <w:rFonts w:hint="eastAsia" w:ascii="宋体" w:hAnsi="宋体" w:eastAsia="宋体" w:cs="宋体"/>
          <w:sz w:val="24"/>
          <w:u w:val="single"/>
        </w:rPr>
        <w:t xml:space="preserve">                 </w:t>
      </w:r>
    </w:p>
    <w:p>
      <w:pPr>
        <w:ind w:firstLine="480"/>
        <w:rPr>
          <w:rFonts w:ascii="宋体" w:hAnsi="宋体" w:eastAsia="宋体" w:cs="宋体"/>
        </w:rPr>
      </w:pPr>
      <w:r>
        <w:rPr>
          <w:rFonts w:hint="eastAsia" w:ascii="宋体" w:hAnsi="宋体" w:eastAsia="宋体" w:cs="宋体"/>
          <w:sz w:val="24"/>
        </w:rPr>
        <w:t xml:space="preserve">                                         年    月    日  </w:t>
      </w:r>
    </w:p>
    <w:p>
      <w:pPr>
        <w:pStyle w:val="5"/>
        <w:rPr>
          <w:rFonts w:asciiTheme="minorEastAsia" w:hAnsiTheme="minorEastAsia" w:eastAsiaTheme="minorEastAsia" w:cstheme="minorEastAsia"/>
          <w:sz w:val="24"/>
        </w:rPr>
      </w:pPr>
    </w:p>
    <w:p>
      <w:pPr>
        <w:pStyle w:val="5"/>
        <w:rPr>
          <w:rFonts w:asciiTheme="minorEastAsia" w:hAnsiTheme="minorEastAsia" w:eastAsiaTheme="minorEastAsia" w:cstheme="minorEastAsia"/>
          <w:sz w:val="24"/>
        </w:rPr>
      </w:pPr>
    </w:p>
    <w:p>
      <w:pPr>
        <w:pStyle w:val="5"/>
        <w:rPr>
          <w:rFonts w:asciiTheme="minorEastAsia" w:hAnsiTheme="minorEastAsia" w:eastAsiaTheme="minorEastAsia" w:cstheme="minorEastAsia"/>
          <w:sz w:val="24"/>
        </w:rPr>
      </w:pPr>
    </w:p>
    <w:p>
      <w:pPr>
        <w:pStyle w:val="5"/>
        <w:rPr>
          <w:rFonts w:asciiTheme="minorEastAsia" w:hAnsiTheme="minorEastAsia" w:eastAsiaTheme="minorEastAsia" w:cstheme="minorEastAsia"/>
          <w:sz w:val="24"/>
        </w:rPr>
      </w:pPr>
    </w:p>
    <w:p>
      <w:pPr>
        <w:pStyle w:val="5"/>
        <w:rPr>
          <w:rFonts w:asciiTheme="minorEastAsia" w:hAnsiTheme="minorEastAsia" w:eastAsiaTheme="minorEastAsia" w:cstheme="minorEastAsia"/>
          <w:sz w:val="24"/>
        </w:rPr>
      </w:pPr>
    </w:p>
    <w:p>
      <w:pPr>
        <w:pStyle w:val="5"/>
        <w:rPr>
          <w:rFonts w:asciiTheme="minorEastAsia" w:hAnsiTheme="minorEastAsia" w:eastAsiaTheme="minorEastAsia" w:cstheme="minorEastAsia"/>
          <w:sz w:val="24"/>
        </w:rPr>
      </w:pPr>
    </w:p>
    <w:p>
      <w:pPr>
        <w:pStyle w:val="5"/>
        <w:rPr>
          <w:rFonts w:asciiTheme="minorEastAsia" w:hAnsiTheme="minorEastAsia" w:eastAsiaTheme="minorEastAsia" w:cstheme="minorEastAsia"/>
          <w:sz w:val="24"/>
        </w:rPr>
      </w:pPr>
    </w:p>
    <w:p>
      <w:pPr>
        <w:pStyle w:val="5"/>
        <w:rPr>
          <w:rFonts w:asciiTheme="minorEastAsia" w:hAnsiTheme="minorEastAsia" w:eastAsiaTheme="minorEastAsia" w:cstheme="minorEastAsia"/>
          <w:sz w:val="24"/>
        </w:rPr>
      </w:pPr>
    </w:p>
    <w:p>
      <w:pPr>
        <w:pStyle w:val="5"/>
        <w:rPr>
          <w:rFonts w:asciiTheme="minorEastAsia" w:hAnsiTheme="minorEastAsia" w:eastAsiaTheme="minorEastAsia" w:cstheme="minorEastAsia"/>
          <w:sz w:val="24"/>
        </w:rPr>
      </w:pPr>
    </w:p>
    <w:p>
      <w:pPr>
        <w:pStyle w:val="5"/>
        <w:rPr>
          <w:rFonts w:asciiTheme="minorEastAsia" w:hAnsiTheme="minorEastAsia" w:eastAsiaTheme="minorEastAsia" w:cstheme="minorEastAsia"/>
          <w:sz w:val="24"/>
        </w:rPr>
      </w:pPr>
    </w:p>
    <w:p>
      <w:pPr>
        <w:pStyle w:val="38"/>
        <w:spacing w:before="120" w:after="120" w:line="500" w:lineRule="exact"/>
        <w:ind w:right="29" w:rightChars="14"/>
        <w:outlineLvl w:val="1"/>
        <w:rPr>
          <w:rFonts w:asciiTheme="minorEastAsia" w:hAnsiTheme="minorEastAsia" w:eastAsiaTheme="minorEastAsia" w:cstheme="minorEastAsia"/>
          <w:sz w:val="30"/>
          <w:szCs w:val="30"/>
        </w:rPr>
      </w:pPr>
      <w:bookmarkStart w:id="265" w:name="_Toc2213"/>
      <w:bookmarkStart w:id="266" w:name="_Toc5614"/>
      <w:r>
        <w:rPr>
          <w:rFonts w:hint="eastAsia" w:asciiTheme="minorEastAsia" w:hAnsiTheme="minorEastAsia" w:eastAsiaTheme="minorEastAsia" w:cstheme="minorEastAsia"/>
          <w:sz w:val="30"/>
          <w:szCs w:val="30"/>
        </w:rPr>
        <w:t>二、法定代表人身份证明书</w:t>
      </w:r>
      <w:bookmarkEnd w:id="265"/>
      <w:bookmarkEnd w:id="266"/>
    </w:p>
    <w:p>
      <w:pPr>
        <w:spacing w:line="440" w:lineRule="exact"/>
        <w:jc w:val="center"/>
        <w:rPr>
          <w:rFonts w:asciiTheme="minorEastAsia" w:hAnsiTheme="minorEastAsia" w:eastAsiaTheme="minorEastAsia" w:cstheme="minorEastAsia"/>
          <w:sz w:val="24"/>
        </w:rPr>
      </w:pP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单位性质：__________________________________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    址：________________________________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系（供应商单位名称）的法定代表人。</w:t>
      </w: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供应商：（盖单位公章）</w:t>
      </w:r>
    </w:p>
    <w:p>
      <w:pPr>
        <w:spacing w:line="440" w:lineRule="exact"/>
        <w:rPr>
          <w:rFonts w:asciiTheme="minorEastAsia" w:hAnsiTheme="minorEastAsia" w:eastAsiaTheme="minorEastAsia" w:cstheme="minorEastAsia"/>
          <w:sz w:val="24"/>
        </w:rPr>
      </w:pPr>
    </w:p>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pStyle w:val="38"/>
        <w:spacing w:before="120" w:after="120" w:line="500" w:lineRule="exact"/>
        <w:ind w:right="29" w:rightChars="14"/>
        <w:outlineLvl w:val="9"/>
        <w:rPr>
          <w:rFonts w:asciiTheme="minorEastAsia" w:hAnsiTheme="minorEastAsia" w:eastAsiaTheme="minorEastAsia" w:cstheme="minorEastAsia"/>
          <w:sz w:val="30"/>
          <w:szCs w:val="30"/>
        </w:rPr>
      </w:pPr>
      <w:bookmarkStart w:id="267" w:name="_Toc6009"/>
    </w:p>
    <w:p>
      <w:pPr>
        <w:pStyle w:val="38"/>
        <w:spacing w:before="120" w:after="120" w:line="500" w:lineRule="exact"/>
        <w:ind w:right="29" w:rightChars="14"/>
        <w:jc w:val="center"/>
        <w:outlineLvl w:val="1"/>
        <w:rPr>
          <w:rFonts w:asciiTheme="minorEastAsia" w:hAnsiTheme="minorEastAsia" w:eastAsiaTheme="minorEastAsia" w:cstheme="minorEastAsia"/>
          <w:sz w:val="30"/>
          <w:szCs w:val="30"/>
        </w:rPr>
      </w:pPr>
      <w:bookmarkStart w:id="268" w:name="_Toc15395"/>
      <w:r>
        <w:rPr>
          <w:rFonts w:hint="eastAsia" w:asciiTheme="minorEastAsia" w:hAnsiTheme="minorEastAsia" w:eastAsiaTheme="minorEastAsia" w:cstheme="minorEastAsia"/>
          <w:sz w:val="30"/>
          <w:szCs w:val="30"/>
        </w:rPr>
        <w:t>三、授权委托书</w:t>
      </w:r>
      <w:bookmarkEnd w:id="267"/>
      <w:bookmarkEnd w:id="268"/>
    </w:p>
    <w:p>
      <w:pPr>
        <w:spacing w:line="440" w:lineRule="exact"/>
        <w:ind w:left="-105"/>
        <w:rPr>
          <w:rFonts w:asciiTheme="minorEastAsia" w:hAnsiTheme="minorEastAsia" w:eastAsiaTheme="minorEastAsia" w:cstheme="minorEastAsia"/>
          <w:b/>
          <w:bCs/>
          <w:sz w:val="24"/>
        </w:rPr>
      </w:pPr>
    </w:p>
    <w:p>
      <w:pPr>
        <w:spacing w:line="500" w:lineRule="exact"/>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本人（姓名）系（供应商名称）的法定代表人，现委托（姓名）为我方代理人。代理人根据授权，以我方名义签署、澄清、说明、补正、递交、撤回、修改（项目名称）投标文件、签订合同和处理有关事宜，其法律后果由我方承担。 </w:t>
      </w:r>
    </w:p>
    <w:p>
      <w:pPr>
        <w:spacing w:line="500" w:lineRule="exact"/>
        <w:ind w:left="-10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委托期限：。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代理人无转委托权。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附：法定代表人和代理人身份证</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供应商：（盖单位公章）</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法定代表人：（签字或盖章） </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委托代理人：（签字或盖章）</w:t>
      </w:r>
    </w:p>
    <w:p>
      <w:pPr>
        <w:spacing w:line="440" w:lineRule="exact"/>
        <w:ind w:firstLine="638" w:firstLineChars="266"/>
        <w:rPr>
          <w:rFonts w:asciiTheme="minorEastAsia" w:hAnsiTheme="minorEastAsia" w:eastAsiaTheme="minorEastAsia" w:cstheme="minorEastAsia"/>
          <w:bCs/>
          <w:sz w:val="24"/>
        </w:rPr>
      </w:pPr>
    </w:p>
    <w:p>
      <w:pPr>
        <w:tabs>
          <w:tab w:val="left" w:pos="6510"/>
        </w:tabs>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left="357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jc w:val="righ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年月日</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
          <w:bCs/>
          <w:sz w:val="24"/>
        </w:rPr>
      </w:pPr>
    </w:p>
    <w:p>
      <w:pPr>
        <w:pStyle w:val="38"/>
        <w:spacing w:before="120" w:after="120" w:line="500" w:lineRule="exact"/>
        <w:ind w:right="29" w:rightChars="14"/>
        <w:outlineLvl w:val="9"/>
        <w:rPr>
          <w:rFonts w:asciiTheme="minorEastAsia" w:hAnsiTheme="minorEastAsia" w:eastAsiaTheme="minorEastAsia" w:cstheme="minorEastAsia"/>
          <w:sz w:val="30"/>
          <w:szCs w:val="30"/>
        </w:rPr>
      </w:pPr>
    </w:p>
    <w:bookmarkEnd w:id="217"/>
    <w:p>
      <w:pPr>
        <w:pageBreakBefore/>
        <w:spacing w:line="600" w:lineRule="exact"/>
        <w:jc w:val="center"/>
        <w:outlineLvl w:val="0"/>
        <w:rPr>
          <w:rFonts w:asciiTheme="minorEastAsia" w:hAnsiTheme="minorEastAsia" w:eastAsiaTheme="minorEastAsia" w:cstheme="minorEastAsia"/>
          <w:b/>
          <w:sz w:val="32"/>
          <w:szCs w:val="32"/>
        </w:rPr>
      </w:pPr>
      <w:bookmarkStart w:id="269" w:name="_Toc19057"/>
      <w:r>
        <w:rPr>
          <w:rFonts w:hint="eastAsia" w:asciiTheme="minorEastAsia" w:hAnsiTheme="minorEastAsia" w:eastAsiaTheme="minorEastAsia" w:cstheme="minorEastAsia"/>
          <w:b/>
          <w:sz w:val="32"/>
          <w:szCs w:val="32"/>
        </w:rPr>
        <w:t>四、投标承诺函</w:t>
      </w:r>
      <w:bookmarkEnd w:id="269"/>
    </w:p>
    <w:p>
      <w:pPr>
        <w:ind w:firstLine="883"/>
        <w:jc w:val="center"/>
        <w:rPr>
          <w:rFonts w:asciiTheme="minorEastAsia" w:hAnsiTheme="minorEastAsia" w:eastAsiaTheme="minorEastAsia" w:cstheme="minorEastAsia"/>
          <w:b/>
          <w:sz w:val="44"/>
          <w:szCs w:val="44"/>
        </w:rPr>
      </w:pP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w:t>
      </w:r>
      <w:r>
        <w:rPr>
          <w:rFonts w:hint="eastAsia" w:asciiTheme="minorEastAsia" w:hAnsiTheme="minorEastAsia" w:eastAsiaTheme="minorEastAsia" w:cstheme="minorEastAsia"/>
          <w:sz w:val="24"/>
          <w:u w:val="single"/>
        </w:rPr>
        <w:t xml:space="preserve">                                   项目</w:t>
      </w:r>
      <w:r>
        <w:rPr>
          <w:rFonts w:hint="eastAsia" w:asciiTheme="minorEastAsia" w:hAnsiTheme="minorEastAsia" w:eastAsiaTheme="minorEastAsia" w:cstheme="minorEastAsia"/>
          <w:sz w:val="24"/>
        </w:rPr>
        <w:t>（采购编号：）投标行为做出承诺，保证所提交材料的真实性。</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我单位承诺：</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1、在投标文件递交截止时间后至确定中标人的</w:t>
      </w:r>
      <w:r>
        <w:fldChar w:fldCharType="begin"/>
      </w:r>
      <w:r>
        <w:instrText xml:space="preserve"> HYPERLINK "https://baike.so.com/doc/5394983-5632135.html" \t "https://baike.so.com/doc/_blank" </w:instrText>
      </w:r>
      <w:r>
        <w:fldChar w:fldCharType="separate"/>
      </w:r>
      <w:r>
        <w:rPr>
          <w:rFonts w:hint="eastAsia" w:asciiTheme="minorEastAsia" w:hAnsiTheme="minorEastAsia" w:eastAsiaTheme="minorEastAsia" w:cstheme="minorEastAsia"/>
          <w:sz w:val="24"/>
        </w:rPr>
        <w:t>投标有效期</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非因不可抗力因素放弃中标的，或排名第一的中标人未按规定期限与采购人签订合同的，应赔偿采购人由此造成的损失，损失费的计算方法为该中标人的投标价与重新确定的中标人中标价的差额，还将取消其1年内在博爱县的投标资格，并给予通报的处罚。</w:t>
      </w:r>
    </w:p>
    <w:p>
      <w:pPr>
        <w:spacing w:line="600" w:lineRule="exact"/>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4、不存在法律法规规定的其他违法违规行为。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投标单位名称（盖章）：</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法人代表或授权委托人（签字或盖章）：</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年    月    日  </w:t>
      </w: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kern w:val="2"/>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val="0"/>
          <w:sz w:val="30"/>
          <w:szCs w:val="30"/>
        </w:rPr>
      </w:pPr>
      <w:bookmarkStart w:id="270" w:name="_Toc8304"/>
      <w:r>
        <w:rPr>
          <w:rFonts w:hint="eastAsia" w:asciiTheme="minorEastAsia" w:hAnsiTheme="minorEastAsia" w:eastAsiaTheme="minorEastAsia" w:cstheme="minorEastAsia"/>
          <w:b/>
          <w:bCs w:val="0"/>
          <w:kern w:val="2"/>
          <w:sz w:val="30"/>
          <w:szCs w:val="30"/>
        </w:rPr>
        <w:t>五、项目供货及安装保证措施、售后服务方案</w:t>
      </w:r>
      <w:bookmarkEnd w:id="270"/>
      <w:r>
        <w:rPr>
          <w:rFonts w:hint="eastAsia" w:asciiTheme="minorEastAsia" w:hAnsiTheme="minorEastAsia" w:eastAsiaTheme="minorEastAsia" w:cstheme="minorEastAsia"/>
          <w:b/>
          <w:bCs w:val="0"/>
          <w:kern w:val="2"/>
          <w:sz w:val="30"/>
          <w:szCs w:val="30"/>
        </w:rPr>
        <w:t>及应急方案等</w:t>
      </w: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271" w:name="_Toc10043"/>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2" w:name="_Toc20650"/>
      <w:bookmarkStart w:id="273" w:name="_Toc29492"/>
      <w:r>
        <w:rPr>
          <w:rFonts w:hint="eastAsia" w:asciiTheme="minorEastAsia" w:hAnsiTheme="minorEastAsia" w:eastAsiaTheme="minorEastAsia" w:cstheme="minorEastAsia"/>
          <w:b/>
          <w:kern w:val="2"/>
          <w:sz w:val="30"/>
          <w:szCs w:val="30"/>
        </w:rPr>
        <w:t>六、资格证明文件</w:t>
      </w:r>
      <w:bookmarkEnd w:id="271"/>
      <w:bookmarkEnd w:id="272"/>
      <w:bookmarkEnd w:id="273"/>
    </w:p>
    <w:p>
      <w:pPr>
        <w:spacing w:line="400" w:lineRule="exact"/>
        <w:jc w:val="left"/>
        <w:rPr>
          <w:rFonts w:asciiTheme="minorEastAsia" w:hAnsiTheme="minorEastAsia" w:eastAsiaTheme="minorEastAsia" w:cstheme="minorEastAsia"/>
          <w:bCs/>
          <w:sz w:val="24"/>
        </w:rPr>
      </w:pPr>
    </w:p>
    <w:p>
      <w:pPr>
        <w:spacing w:line="400" w:lineRule="exact"/>
        <w:jc w:val="left"/>
        <w:rPr>
          <w:sz w:val="24"/>
        </w:rPr>
      </w:pPr>
    </w:p>
    <w:p>
      <w:pPr>
        <w:spacing w:line="400" w:lineRule="exact"/>
        <w:jc w:val="left"/>
        <w:rPr>
          <w:sz w:val="24"/>
        </w:rPr>
      </w:pPr>
      <w:r>
        <w:rPr>
          <w:rFonts w:hint="eastAsia"/>
          <w:sz w:val="24"/>
        </w:rPr>
        <w:t>一、 供应商营业执照副本（三证合一）；</w:t>
      </w:r>
    </w:p>
    <w:p>
      <w:pPr>
        <w:spacing w:line="400" w:lineRule="exact"/>
        <w:jc w:val="left"/>
        <w:rPr>
          <w:sz w:val="24"/>
        </w:rPr>
      </w:pPr>
      <w:r>
        <w:rPr>
          <w:rFonts w:hint="eastAsia"/>
          <w:sz w:val="24"/>
        </w:rPr>
        <w:t>二、符合《中华人民共和国政府采购法》第二十二条规定:</w:t>
      </w:r>
    </w:p>
    <w:p>
      <w:pPr>
        <w:spacing w:line="400" w:lineRule="exact"/>
        <w:ind w:firstLine="480" w:firstLineChars="200"/>
        <w:jc w:val="left"/>
        <w:rPr>
          <w:sz w:val="24"/>
        </w:rPr>
      </w:pPr>
      <w:r>
        <w:rPr>
          <w:rFonts w:hint="eastAsia"/>
          <w:sz w:val="24"/>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sz w:val="24"/>
        </w:rPr>
      </w:pPr>
      <w:r>
        <w:rPr>
          <w:rFonts w:hint="eastAsia"/>
          <w:sz w:val="24"/>
        </w:rPr>
        <w:t>2.2.参加政府采购活动前三年内无重大违法记录的书面声明；</w:t>
      </w:r>
    </w:p>
    <w:p>
      <w:pPr>
        <w:spacing w:line="400" w:lineRule="exact"/>
        <w:jc w:val="left"/>
        <w:rPr>
          <w:sz w:val="24"/>
        </w:rPr>
      </w:pPr>
      <w:r>
        <w:rPr>
          <w:rFonts w:hint="eastAsia"/>
          <w:sz w:val="24"/>
        </w:rPr>
        <w:t>三、招标文件中要求的其他资格证明材料。</w:t>
      </w:r>
    </w:p>
    <w:p>
      <w:pPr>
        <w:pStyle w:val="5"/>
        <w:ind w:firstLine="482"/>
        <w:jc w:val="left"/>
        <w:rPr>
          <w:b/>
          <w:bCs/>
        </w:rPr>
      </w:pPr>
      <w:r>
        <w:rPr>
          <w:rFonts w:hint="eastAsia"/>
          <w:b/>
          <w:bCs/>
          <w:sz w:val="24"/>
        </w:rPr>
        <w:t>备注：以上资格证明文件须提供原件的扫描件。</w:t>
      </w:r>
    </w:p>
    <w:p>
      <w:pPr>
        <w:pStyle w:val="5"/>
      </w:pP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2"/>
        <w:ind w:firstLine="281"/>
        <w:rPr>
          <w:rFonts w:hint="default" w:asciiTheme="minorEastAsia" w:hAnsiTheme="minorEastAsia" w:eastAsiaTheme="minorEastAsia" w:cstheme="minorEastAsia"/>
          <w:b/>
          <w:sz w:val="28"/>
        </w:rPr>
      </w:pPr>
    </w:p>
    <w:p>
      <w:pPr>
        <w:pStyle w:val="5"/>
        <w:ind w:firstLine="562"/>
        <w:rPr>
          <w:rFonts w:asciiTheme="minorEastAsia" w:hAnsiTheme="minorEastAsia" w:eastAsiaTheme="minorEastAsia" w:cstheme="minorEastAsia"/>
          <w:b/>
          <w:sz w:val="28"/>
        </w:rPr>
      </w:pPr>
    </w:p>
    <w:p>
      <w:pPr>
        <w:pStyle w:val="5"/>
        <w:ind w:firstLine="562"/>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37"/>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bookmarkStart w:id="274" w:name="_Toc8330"/>
      <w:bookmarkStart w:id="275" w:name="_Toc6465"/>
      <w:bookmarkStart w:id="276" w:name="_Toc31553"/>
    </w:p>
    <w:p>
      <w:pPr>
        <w:pStyle w:val="37"/>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7"/>
        <w:widowControl w:val="0"/>
        <w:numPr>
          <w:ilvl w:val="0"/>
          <w:numId w:val="14"/>
        </w:numPr>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t>供应商服务承诺和优惠承诺</w:t>
      </w: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7"/>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八、供应商所投产品属于当期政府采购清单规定的节能环保产品的</w:t>
      </w:r>
      <w:bookmarkEnd w:id="274"/>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7" w:name="_Toc28422"/>
      <w:bookmarkStart w:id="278" w:name="_Toc18925"/>
      <w:bookmarkStart w:id="279" w:name="_Toc24210"/>
      <w:r>
        <w:rPr>
          <w:rFonts w:hint="eastAsia" w:asciiTheme="minorEastAsia" w:hAnsiTheme="minorEastAsia" w:eastAsiaTheme="minorEastAsia" w:cstheme="minorEastAsia"/>
          <w:b/>
          <w:kern w:val="2"/>
          <w:sz w:val="30"/>
          <w:szCs w:val="30"/>
        </w:rPr>
        <w:t>证明材料</w:t>
      </w:r>
      <w:bookmarkEnd w:id="275"/>
      <w:bookmarkEnd w:id="277"/>
      <w:bookmarkEnd w:id="278"/>
      <w:bookmarkEnd w:id="279"/>
      <w:r>
        <w:rPr>
          <w:rFonts w:hint="eastAsia" w:asciiTheme="minorEastAsia" w:hAnsiTheme="minorEastAsia" w:eastAsiaTheme="minorEastAsia" w:cstheme="minorEastAsia"/>
          <w:b/>
          <w:kern w:val="2"/>
          <w:sz w:val="30"/>
          <w:szCs w:val="30"/>
        </w:rPr>
        <w:t>（如有）</w:t>
      </w: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80" w:name="_Toc23227"/>
      <w:bookmarkStart w:id="281" w:name="_Toc10717"/>
      <w:r>
        <w:rPr>
          <w:rFonts w:hint="eastAsia" w:asciiTheme="minorEastAsia" w:hAnsiTheme="minorEastAsia" w:eastAsiaTheme="minorEastAsia" w:cstheme="minorEastAsia"/>
          <w:b/>
          <w:kern w:val="2"/>
          <w:sz w:val="30"/>
          <w:szCs w:val="30"/>
        </w:rPr>
        <w:t>九、中小企业声明函（如有）</w:t>
      </w:r>
      <w:bookmarkEnd w:id="280"/>
      <w:bookmarkEnd w:id="281"/>
    </w:p>
    <w:p>
      <w:pPr>
        <w:pStyle w:val="37"/>
        <w:shd w:val="clear" w:color="auto" w:fill="FFFFFF"/>
        <w:spacing w:line="315" w:lineRule="atLeast"/>
        <w:ind w:firstLine="42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企业名称（</w:t>
      </w:r>
      <w:r>
        <w:rPr>
          <w:rFonts w:hint="eastAsia" w:asciiTheme="minorEastAsia" w:hAnsiTheme="minorEastAsia" w:eastAsiaTheme="minorEastAsia" w:cstheme="minorEastAsia"/>
          <w:bCs/>
          <w:sz w:val="24"/>
        </w:rPr>
        <w:t>盖单位公章</w:t>
      </w:r>
      <w:r>
        <w:rPr>
          <w:rFonts w:hint="eastAsia" w:asciiTheme="minorEastAsia" w:hAnsiTheme="minorEastAsia" w:eastAsiaTheme="minorEastAsia" w:cstheme="minorEastAsia"/>
          <w:kern w:val="0"/>
          <w:sz w:val="24"/>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日期：</w:t>
      </w:r>
    </w:p>
    <w:p>
      <w:pPr>
        <w:spacing w:line="600" w:lineRule="exact"/>
        <w:rPr>
          <w:rFonts w:asciiTheme="minorEastAsia" w:hAnsiTheme="minorEastAsia" w:eastAsiaTheme="minorEastAsia" w:cstheme="minorEastAsia"/>
          <w:sz w:val="30"/>
          <w:szCs w:val="30"/>
        </w:rPr>
      </w:pPr>
    </w:p>
    <w:p>
      <w:pPr>
        <w:pStyle w:val="37"/>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282" w:name="_Toc20881"/>
      <w:bookmarkStart w:id="283" w:name="_Toc14292"/>
      <w:bookmarkStart w:id="284" w:name="_Toc30170"/>
      <w:r>
        <w:rPr>
          <w:rFonts w:hint="eastAsia" w:asciiTheme="minorEastAsia" w:hAnsiTheme="minorEastAsia" w:eastAsiaTheme="minorEastAsia" w:cstheme="minorEastAsia"/>
          <w:b/>
          <w:kern w:val="2"/>
          <w:sz w:val="30"/>
          <w:szCs w:val="30"/>
        </w:rPr>
        <w:t>十、残疾人福利性单位声明函（如有）</w:t>
      </w:r>
      <w:bookmarkEnd w:id="282"/>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bookmarkEnd w:id="276"/>
    <w:bookmarkEnd w:id="283"/>
    <w:bookmarkEnd w:id="284"/>
    <w:p>
      <w:pPr>
        <w:rPr>
          <w:rFonts w:ascii="Times New Roman" w:hAnsi="Times New Roman" w:eastAsia="仿宋"/>
          <w:sz w:val="32"/>
          <w:szCs w:val="32"/>
          <w:shd w:val="clear" w:color="FFFFFF" w:fill="D9D9D9"/>
        </w:rPr>
      </w:pPr>
    </w:p>
    <w:p>
      <w:pPr>
        <w:pStyle w:val="12"/>
        <w:rPr>
          <w:shd w:val="clear" w:color="FFFFFF" w:fill="D9D9D9"/>
        </w:rPr>
      </w:pPr>
    </w:p>
    <w:p>
      <w:pPr>
        <w:pStyle w:val="37"/>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kern w:val="2"/>
          <w:sz w:val="30"/>
          <w:szCs w:val="30"/>
          <w:shd w:val="clear" w:color="FFFFFF" w:fill="D9D9D9"/>
        </w:rPr>
      </w:pPr>
    </w:p>
    <w:p>
      <w:pPr>
        <w:pStyle w:val="37"/>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285" w:name="_Toc16608"/>
      <w:r>
        <w:rPr>
          <w:rFonts w:hint="eastAsia" w:asciiTheme="minorEastAsia" w:hAnsiTheme="minorEastAsia" w:eastAsiaTheme="minorEastAsia" w:cstheme="minorEastAsia"/>
          <w:b/>
          <w:kern w:val="2"/>
          <w:sz w:val="30"/>
          <w:szCs w:val="30"/>
        </w:rPr>
        <w:t>十一、招标文件要求的或供应商认为须提交的其他材料</w:t>
      </w:r>
      <w:bookmarkEnd w:id="285"/>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12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0"/>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pPr>
        <w:spacing w:line="420" w:lineRule="exact"/>
        <w:ind w:firstLine="367" w:firstLineChars="175"/>
        <w:rPr>
          <w:rFonts w:ascii="宋体" w:hAnsi="宋体" w:cs="宋体"/>
          <w:bCs/>
          <w:szCs w:val="21"/>
        </w:rPr>
      </w:pPr>
      <w:r>
        <w:rPr>
          <w:rFonts w:hint="eastAsia" w:ascii="宋体" w:hAnsi="宋体" w:cs="宋体"/>
          <w:bCs/>
          <w:szCs w:val="21"/>
        </w:rPr>
        <w:t>各供应商：</w:t>
      </w:r>
    </w:p>
    <w:p>
      <w:pPr>
        <w:spacing w:line="420" w:lineRule="exact"/>
        <w:ind w:firstLine="367" w:firstLineChars="175"/>
        <w:rPr>
          <w:rFonts w:ascii="宋体" w:hAnsi="宋体" w:cs="宋体"/>
          <w:bCs/>
          <w:szCs w:val="21"/>
        </w:rPr>
      </w:pPr>
      <w:r>
        <w:rPr>
          <w:rFonts w:hint="eastAsia" w:ascii="宋体" w:hAnsi="宋体" w:cs="宋体"/>
          <w:bCs/>
          <w:szCs w:val="21"/>
        </w:rPr>
        <w:t xml:space="preserve">   欢迎贵公司参与河南省政府采购活动！</w:t>
      </w:r>
    </w:p>
    <w:p>
      <w:pPr>
        <w:spacing w:line="420" w:lineRule="exact"/>
        <w:ind w:firstLine="367" w:firstLineChars="175"/>
        <w:rPr>
          <w:rFonts w:ascii="宋体" w:hAnsi="宋体" w:cs="宋体"/>
          <w:bCs/>
          <w:szCs w:val="21"/>
        </w:rPr>
      </w:pPr>
      <w:r>
        <w:rPr>
          <w:rFonts w:hint="eastAsia" w:ascii="宋体" w:hAnsi="宋体" w:cs="宋体"/>
          <w:bCs/>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bCs/>
          <w:szCs w:val="21"/>
        </w:rPr>
      </w:pPr>
      <w:r>
        <w:rPr>
          <w:rFonts w:hint="eastAsia" w:ascii="宋体" w:hAnsi="宋体" w:cs="宋体"/>
          <w:bCs/>
          <w:szCs w:val="21"/>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40"/>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56"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230"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1876"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325"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薛国战</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0391-2878039       13839109026</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曹阳</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0391-8825171  13839118160</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1876"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325"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李天祥</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0391-2981968 13523359082</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周建林</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0391-2116963 15893053027 </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230"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187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325"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王海宾</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0391-8787996 13598534626</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赵伟</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0391-8796520 15738533033</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656"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230"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张嘉强</w:t>
            </w:r>
          </w:p>
        </w:tc>
        <w:tc>
          <w:tcPr>
            <w:tcW w:w="1876"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0391-653785 13203910032</w:t>
            </w:r>
          </w:p>
        </w:tc>
        <w:tc>
          <w:tcPr>
            <w:tcW w:w="2325"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焦作市塔南路1736号嘉隆金融中心</w:t>
            </w:r>
          </w:p>
        </w:tc>
      </w:tr>
    </w:tbl>
    <w:p>
      <w:pPr>
        <w:rPr>
          <w:rFonts w:ascii="宋体" w:hAnsi="宋体" w:cs="宋体"/>
          <w:sz w:val="24"/>
          <w:highlight w:val="yellow"/>
        </w:rPr>
      </w:pPr>
      <w:r>
        <w:rPr>
          <w:rFonts w:hint="eastAsia" w:ascii="宋体" w:hAnsi="宋体" w:cs="宋体"/>
          <w:sz w:val="24"/>
        </w:rPr>
        <w:t>备注：融资服务机构名单和人员联系方式会随时变化。具体情况可登录“焦作市政府采购网”政府采购合同融资平台查询。</w:t>
      </w:r>
    </w:p>
    <w:p>
      <w:pPr>
        <w:rPr>
          <w:rFonts w:ascii="宋体" w:hAnsi="宋体" w:cs="宋体"/>
          <w:sz w:val="24"/>
          <w:highlight w:val="yellow"/>
        </w:rPr>
      </w:pPr>
    </w:p>
    <w:p>
      <w:pPr>
        <w:rPr>
          <w:highlight w:val="yellow"/>
        </w:rPr>
      </w:pPr>
    </w:p>
    <w:sectPr>
      <w:footerReference r:id="rId11" w:type="default"/>
      <w:pgSz w:w="11907" w:h="16840"/>
      <w:pgMar w:top="1276" w:right="1116" w:bottom="1417" w:left="911" w:header="850" w:footer="998"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moder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FZSS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E-BZ">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文本框 1025" o:spid="_x0000_s102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DdlaH3sQEAAGA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3360" behindDoc="0" locked="0" layoutInCell="1" allowOverlap="1">
              <wp:simplePos x="0" y="0"/>
              <wp:positionH relativeFrom="margin">
                <wp:posOffset>2551430</wp:posOffset>
              </wp:positionH>
              <wp:positionV relativeFrom="paragraph">
                <wp:posOffset>-180340</wp:posOffset>
              </wp:positionV>
              <wp:extent cx="742950" cy="42354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2950" cy="423545"/>
                      </a:xfrm>
                      <a:prstGeom prst="rect">
                        <a:avLst/>
                      </a:prstGeom>
                      <a:noFill/>
                      <a:ln>
                        <a:noFill/>
                      </a:ln>
                      <a:effectLst/>
                    </wps:spPr>
                    <wps:txbx>
                      <w:txbxContent>
                        <w:p>
                          <w:pPr>
                            <w:pStyle w:val="2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00.9pt;margin-top:-14.2pt;height:33.35pt;width:58.5pt;mso-position-horizontal-relative:margin;z-index:251663360;mso-width-relative:page;mso-height-relative:page;" filled="f" stroked="f" coordsize="21600,21600" o:gfxdata="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RQ+FNoAAAAKAQAADwAAAAAAAAABACAAAAAiAAAAZHJz&#10;L2Rvd25yZXYueG1sUEsBAhQAFAAAAAgAh07iQAwH3vgCAgAAEQQAAA4AAAAAAAAAAQAgAAAAKQEA&#10;AGRycy9lMm9Eb2MueG1sUEsFBgAAAAAGAAYAWQEAAJ0FAAAAAA==&#10;">
              <v:fill on="f" focussize="0,0"/>
              <v:stroke on="f"/>
              <v:imagedata o:title=""/>
              <o:lock v:ext="edit" aspectratio="f"/>
              <v:textbox inset="0mm,0mm,0mm,0mm">
                <w:txbxContent>
                  <w:p>
                    <w:pPr>
                      <w:pStyle w:val="2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8"/>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6pebnPAAAABQEAAA8AAAAAAAAAAQAgAAAAIgAAAGRycy9kb3ducmV2LnhtbFBLAQIUABQA&#10;AAAIAIdO4kAx1vjx+QEAABEEAAAOAAAAAAAAAAEAIAAAAB4BAABkcnMvZTJvRG9jLnhtbFBLBQYA&#10;AAAABgAGAFkBAACJ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28"/>
                          </w:pPr>
                          <w:r>
                            <w:fldChar w:fldCharType="begin"/>
                          </w:r>
                          <w:r>
                            <w:instrText xml:space="preserve"> PAGE  \* MERGEFORMAT </w:instrText>
                          </w:r>
                          <w:r>
                            <w:fldChar w:fldCharType="separate"/>
                          </w:r>
                          <w:r>
                            <w:t>- 34 -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zT0PSAQAApQMAAA4AAABkcnMvZTJvRG9jLnhtbK1TzY7TMBC+I/EO&#10;lu80yW4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XlJimcGBn379PP3+e/rz&#10;gyyTPL2HGrNuPebF4b0bcGlmP6AzsR5kMOmLfAjGUdzjWVwxRMLTo7flVYkRjqHqslou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P/NPQ9IBAAClAwAADgAAAAAAAAABACAAAAAfAQAA&#10;ZHJzL2Uyb0RvYy54bWxQSwUGAAAAAAYABgBZAQAAYw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89205907"/>
    <w:multiLevelType w:val="singleLevel"/>
    <w:tmpl w:val="89205907"/>
    <w:lvl w:ilvl="0" w:tentative="0">
      <w:start w:val="1"/>
      <w:numFmt w:val="decimal"/>
      <w:suff w:val="space"/>
      <w:lvlText w:val="%1."/>
      <w:lvlJc w:val="left"/>
    </w:lvl>
  </w:abstractNum>
  <w:abstractNum w:abstractNumId="2">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D6A8FD69"/>
    <w:multiLevelType w:val="singleLevel"/>
    <w:tmpl w:val="D6A8FD69"/>
    <w:lvl w:ilvl="0" w:tentative="0">
      <w:start w:val="7"/>
      <w:numFmt w:val="chineseCounting"/>
      <w:suff w:val="nothing"/>
      <w:lvlText w:val="%1、"/>
      <w:lvlJc w:val="left"/>
      <w:rPr>
        <w:rFonts w:hint="eastAsia"/>
      </w:rPr>
    </w:lvl>
  </w:abstractNum>
  <w:abstractNum w:abstractNumId="4">
    <w:nsid w:val="E25B3C03"/>
    <w:multiLevelType w:val="singleLevel"/>
    <w:tmpl w:val="E25B3C03"/>
    <w:lvl w:ilvl="0" w:tentative="0">
      <w:start w:val="1"/>
      <w:numFmt w:val="decimal"/>
      <w:suff w:val="nothing"/>
      <w:lvlText w:val="（%1）"/>
      <w:lvlJc w:val="left"/>
    </w:lvl>
  </w:abstractNum>
  <w:abstractNum w:abstractNumId="5">
    <w:nsid w:val="00000001"/>
    <w:multiLevelType w:val="multilevel"/>
    <w:tmpl w:val="00000001"/>
    <w:lvl w:ilvl="0" w:tentative="0">
      <w:start w:val="1"/>
      <w:numFmt w:val="decimal"/>
      <w:lvlText w:val="%1．"/>
      <w:lvlJc w:val="left"/>
      <w:pPr>
        <w:tabs>
          <w:tab w:val="left" w:pos="825"/>
        </w:tabs>
        <w:ind w:left="332" w:hanging="22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4"/>
    <w:multiLevelType w:val="multilevel"/>
    <w:tmpl w:val="00000004"/>
    <w:lvl w:ilvl="0" w:tentative="0">
      <w:start w:val="1"/>
      <w:numFmt w:val="decimal"/>
      <w:pStyle w:val="110"/>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rPr>
    </w:lvl>
    <w:lvl w:ilvl="2" w:tentative="0">
      <w:start w:val="1"/>
      <w:numFmt w:val="decimal"/>
      <w:lvlText w:val="%1.%2.%3."/>
      <w:lvlJc w:val="left"/>
      <w:pPr>
        <w:tabs>
          <w:tab w:val="left" w:pos="340"/>
        </w:tabs>
        <w:ind w:left="340" w:hanging="170"/>
      </w:pPr>
      <w:rPr>
        <w:rFonts w:hint="eastAsia"/>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B4CEF91"/>
    <w:multiLevelType w:val="singleLevel"/>
    <w:tmpl w:val="0B4CEF91"/>
    <w:lvl w:ilvl="0" w:tentative="0">
      <w:start w:val="1"/>
      <w:numFmt w:val="decimal"/>
      <w:lvlText w:val="%1."/>
      <w:lvlJc w:val="left"/>
      <w:pPr>
        <w:tabs>
          <w:tab w:val="left" w:pos="312"/>
        </w:tabs>
      </w:pPr>
    </w:lvl>
  </w:abstractNum>
  <w:abstractNum w:abstractNumId="9">
    <w:nsid w:val="1C58BAF0"/>
    <w:multiLevelType w:val="singleLevel"/>
    <w:tmpl w:val="1C58BAF0"/>
    <w:lvl w:ilvl="0" w:tentative="0">
      <w:start w:val="1"/>
      <w:numFmt w:val="decimal"/>
      <w:suff w:val="nothing"/>
      <w:lvlText w:val="（%1）"/>
      <w:lvlJc w:val="left"/>
    </w:lvl>
  </w:abstractNum>
  <w:abstractNum w:abstractNumId="10">
    <w:nsid w:val="3372C185"/>
    <w:multiLevelType w:val="singleLevel"/>
    <w:tmpl w:val="3372C185"/>
    <w:lvl w:ilvl="0" w:tentative="0">
      <w:start w:val="7"/>
      <w:numFmt w:val="decimal"/>
      <w:suff w:val="nothing"/>
      <w:lvlText w:val="%1、"/>
      <w:lvlJc w:val="left"/>
      <w:rPr>
        <w:rFonts w:hint="default"/>
        <w:b/>
        <w:bCs/>
      </w:rPr>
    </w:lvl>
  </w:abstractNum>
  <w:abstractNum w:abstractNumId="11">
    <w:nsid w:val="59CCA2E1"/>
    <w:multiLevelType w:val="singleLevel"/>
    <w:tmpl w:val="59CCA2E1"/>
    <w:lvl w:ilvl="0" w:tentative="0">
      <w:start w:val="1"/>
      <w:numFmt w:val="decimal"/>
      <w:suff w:val="nothing"/>
      <w:lvlText w:val="（%1）"/>
      <w:lvlJc w:val="left"/>
    </w:lvl>
  </w:abstractNum>
  <w:abstractNum w:abstractNumId="12">
    <w:nsid w:val="5A693C2F"/>
    <w:multiLevelType w:val="singleLevel"/>
    <w:tmpl w:val="5A693C2F"/>
    <w:lvl w:ilvl="0" w:tentative="0">
      <w:start w:val="3"/>
      <w:numFmt w:val="chineseCounting"/>
      <w:suff w:val="space"/>
      <w:lvlText w:val="第%1章"/>
      <w:lvlJc w:val="left"/>
    </w:lvl>
  </w:abstractNum>
  <w:abstractNum w:abstractNumId="13">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7"/>
  </w:num>
  <w:num w:numId="2">
    <w:abstractNumId w:val="13"/>
  </w:num>
  <w:num w:numId="3">
    <w:abstractNumId w:val="0"/>
  </w:num>
  <w:num w:numId="4">
    <w:abstractNumId w:val="6"/>
  </w:num>
  <w:num w:numId="5">
    <w:abstractNumId w:val="12"/>
  </w:num>
  <w:num w:numId="6">
    <w:abstractNumId w:val="2"/>
  </w:num>
  <w:num w:numId="7">
    <w:abstractNumId w:val="9"/>
  </w:num>
  <w:num w:numId="8">
    <w:abstractNumId w:val="4"/>
  </w:num>
  <w:num w:numId="9">
    <w:abstractNumId w:val="1"/>
  </w:num>
  <w:num w:numId="10">
    <w:abstractNumId w:val="8"/>
  </w:num>
  <w:num w:numId="11">
    <w:abstractNumId w:val="10"/>
  </w:num>
  <w:num w:numId="12">
    <w:abstractNumId w:val="5"/>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F7"/>
    <w:rsid w:val="0001346A"/>
    <w:rsid w:val="00063AF6"/>
    <w:rsid w:val="00076BE7"/>
    <w:rsid w:val="000A6C62"/>
    <w:rsid w:val="000B39BA"/>
    <w:rsid w:val="00107925"/>
    <w:rsid w:val="00166522"/>
    <w:rsid w:val="00216421"/>
    <w:rsid w:val="00221091"/>
    <w:rsid w:val="00225CFB"/>
    <w:rsid w:val="00253C5A"/>
    <w:rsid w:val="00284820"/>
    <w:rsid w:val="002A2493"/>
    <w:rsid w:val="002A615E"/>
    <w:rsid w:val="002C1302"/>
    <w:rsid w:val="002C2B66"/>
    <w:rsid w:val="00323857"/>
    <w:rsid w:val="00361BC5"/>
    <w:rsid w:val="0036575F"/>
    <w:rsid w:val="00367F1D"/>
    <w:rsid w:val="003D7AE1"/>
    <w:rsid w:val="00402E99"/>
    <w:rsid w:val="00407805"/>
    <w:rsid w:val="004406E3"/>
    <w:rsid w:val="00455C00"/>
    <w:rsid w:val="00462D90"/>
    <w:rsid w:val="004A0AB5"/>
    <w:rsid w:val="004A2465"/>
    <w:rsid w:val="004B5D60"/>
    <w:rsid w:val="004C597B"/>
    <w:rsid w:val="004F7D2F"/>
    <w:rsid w:val="0054352A"/>
    <w:rsid w:val="005673A3"/>
    <w:rsid w:val="005A353E"/>
    <w:rsid w:val="005F7ECF"/>
    <w:rsid w:val="00627B00"/>
    <w:rsid w:val="00661C96"/>
    <w:rsid w:val="006C19CE"/>
    <w:rsid w:val="006D0538"/>
    <w:rsid w:val="006E30FC"/>
    <w:rsid w:val="006F5C16"/>
    <w:rsid w:val="007017D0"/>
    <w:rsid w:val="007278C0"/>
    <w:rsid w:val="00793577"/>
    <w:rsid w:val="007B73C5"/>
    <w:rsid w:val="007F2A90"/>
    <w:rsid w:val="008135DE"/>
    <w:rsid w:val="008622AE"/>
    <w:rsid w:val="008849BB"/>
    <w:rsid w:val="008A0147"/>
    <w:rsid w:val="008A46C7"/>
    <w:rsid w:val="008C7300"/>
    <w:rsid w:val="00910B21"/>
    <w:rsid w:val="00935B6C"/>
    <w:rsid w:val="00956B37"/>
    <w:rsid w:val="009E601D"/>
    <w:rsid w:val="009F3EFB"/>
    <w:rsid w:val="009F60AB"/>
    <w:rsid w:val="00A101A6"/>
    <w:rsid w:val="00A218F8"/>
    <w:rsid w:val="00A83E98"/>
    <w:rsid w:val="00A85F8B"/>
    <w:rsid w:val="00A86084"/>
    <w:rsid w:val="00A912D2"/>
    <w:rsid w:val="00AE0C96"/>
    <w:rsid w:val="00B14CBE"/>
    <w:rsid w:val="00BF0334"/>
    <w:rsid w:val="00C0226B"/>
    <w:rsid w:val="00C2010F"/>
    <w:rsid w:val="00C56912"/>
    <w:rsid w:val="00C825EA"/>
    <w:rsid w:val="00C95C47"/>
    <w:rsid w:val="00C96A00"/>
    <w:rsid w:val="00D0289A"/>
    <w:rsid w:val="00D67F58"/>
    <w:rsid w:val="00DB1EFC"/>
    <w:rsid w:val="00DE5275"/>
    <w:rsid w:val="00DE5B2F"/>
    <w:rsid w:val="00E00402"/>
    <w:rsid w:val="00E216F9"/>
    <w:rsid w:val="00E325EF"/>
    <w:rsid w:val="00EA50CB"/>
    <w:rsid w:val="00F1461D"/>
    <w:rsid w:val="00F826BC"/>
    <w:rsid w:val="00FC07F7"/>
    <w:rsid w:val="01DB6127"/>
    <w:rsid w:val="02AE1565"/>
    <w:rsid w:val="02EE394E"/>
    <w:rsid w:val="04445A6F"/>
    <w:rsid w:val="047143D2"/>
    <w:rsid w:val="04B50786"/>
    <w:rsid w:val="0576381C"/>
    <w:rsid w:val="058218A3"/>
    <w:rsid w:val="05D003A1"/>
    <w:rsid w:val="05F652DD"/>
    <w:rsid w:val="06334F8C"/>
    <w:rsid w:val="069065B0"/>
    <w:rsid w:val="06ED1FEA"/>
    <w:rsid w:val="081E0A3F"/>
    <w:rsid w:val="08A21808"/>
    <w:rsid w:val="08D35DAA"/>
    <w:rsid w:val="09652EA6"/>
    <w:rsid w:val="09BC72E8"/>
    <w:rsid w:val="0A5E12A9"/>
    <w:rsid w:val="0ADD2DCB"/>
    <w:rsid w:val="0AE978F9"/>
    <w:rsid w:val="0B04224A"/>
    <w:rsid w:val="0B0A2060"/>
    <w:rsid w:val="0B2951FF"/>
    <w:rsid w:val="0B4170A8"/>
    <w:rsid w:val="0B4E0653"/>
    <w:rsid w:val="0B73403D"/>
    <w:rsid w:val="0C8F4EFE"/>
    <w:rsid w:val="0CD86A66"/>
    <w:rsid w:val="0CFE1D49"/>
    <w:rsid w:val="0D7F4A6C"/>
    <w:rsid w:val="0D9C0264"/>
    <w:rsid w:val="0DB43078"/>
    <w:rsid w:val="0E0C2192"/>
    <w:rsid w:val="0F0D7248"/>
    <w:rsid w:val="0F11475A"/>
    <w:rsid w:val="0F1B3720"/>
    <w:rsid w:val="0F5B7462"/>
    <w:rsid w:val="10953E1F"/>
    <w:rsid w:val="114E7AAC"/>
    <w:rsid w:val="11562B0A"/>
    <w:rsid w:val="11A42091"/>
    <w:rsid w:val="12763E2B"/>
    <w:rsid w:val="12C42210"/>
    <w:rsid w:val="13092A1A"/>
    <w:rsid w:val="133E2C29"/>
    <w:rsid w:val="135A2F84"/>
    <w:rsid w:val="13A93528"/>
    <w:rsid w:val="13C77543"/>
    <w:rsid w:val="14290222"/>
    <w:rsid w:val="15283D98"/>
    <w:rsid w:val="15463B6C"/>
    <w:rsid w:val="15E3035A"/>
    <w:rsid w:val="16937591"/>
    <w:rsid w:val="16B03348"/>
    <w:rsid w:val="16EF159D"/>
    <w:rsid w:val="172209D0"/>
    <w:rsid w:val="1820744D"/>
    <w:rsid w:val="18B93B6E"/>
    <w:rsid w:val="19631FB6"/>
    <w:rsid w:val="197C682C"/>
    <w:rsid w:val="1A006299"/>
    <w:rsid w:val="1A1F7191"/>
    <w:rsid w:val="1A2510C9"/>
    <w:rsid w:val="1ADE5238"/>
    <w:rsid w:val="1B4562C1"/>
    <w:rsid w:val="1B700604"/>
    <w:rsid w:val="1B7D6D4E"/>
    <w:rsid w:val="1C562EDE"/>
    <w:rsid w:val="1CF95EE9"/>
    <w:rsid w:val="1E2F2D92"/>
    <w:rsid w:val="1EF94C8B"/>
    <w:rsid w:val="1F3A1336"/>
    <w:rsid w:val="1F523D26"/>
    <w:rsid w:val="1F847E78"/>
    <w:rsid w:val="2007470B"/>
    <w:rsid w:val="20AD2DAB"/>
    <w:rsid w:val="20AF1CC3"/>
    <w:rsid w:val="225E003A"/>
    <w:rsid w:val="23EC33B3"/>
    <w:rsid w:val="245F009A"/>
    <w:rsid w:val="24680923"/>
    <w:rsid w:val="253C7BA7"/>
    <w:rsid w:val="25F614A6"/>
    <w:rsid w:val="268C5940"/>
    <w:rsid w:val="26AB105A"/>
    <w:rsid w:val="271E36CB"/>
    <w:rsid w:val="27D402D6"/>
    <w:rsid w:val="29026BDF"/>
    <w:rsid w:val="291C5FBB"/>
    <w:rsid w:val="292E546E"/>
    <w:rsid w:val="29496A52"/>
    <w:rsid w:val="2A9071FF"/>
    <w:rsid w:val="2AA24B72"/>
    <w:rsid w:val="2AC17834"/>
    <w:rsid w:val="2B092000"/>
    <w:rsid w:val="2B0D5125"/>
    <w:rsid w:val="2B2A1401"/>
    <w:rsid w:val="2B9920E3"/>
    <w:rsid w:val="2BE5451B"/>
    <w:rsid w:val="2D0D1776"/>
    <w:rsid w:val="2D114C8E"/>
    <w:rsid w:val="2D152317"/>
    <w:rsid w:val="2D65425F"/>
    <w:rsid w:val="2D8C768E"/>
    <w:rsid w:val="2E9056A7"/>
    <w:rsid w:val="2EC20184"/>
    <w:rsid w:val="2EE50335"/>
    <w:rsid w:val="2F550E93"/>
    <w:rsid w:val="2FE8185A"/>
    <w:rsid w:val="30387C7D"/>
    <w:rsid w:val="313F54DB"/>
    <w:rsid w:val="314431C2"/>
    <w:rsid w:val="317F2F66"/>
    <w:rsid w:val="31A250D5"/>
    <w:rsid w:val="3201312E"/>
    <w:rsid w:val="32737303"/>
    <w:rsid w:val="32C24E2D"/>
    <w:rsid w:val="338D077F"/>
    <w:rsid w:val="33EB7154"/>
    <w:rsid w:val="33F15DD4"/>
    <w:rsid w:val="348D1324"/>
    <w:rsid w:val="34AA319E"/>
    <w:rsid w:val="34BD2B9F"/>
    <w:rsid w:val="353D694F"/>
    <w:rsid w:val="361F2A08"/>
    <w:rsid w:val="36374EF3"/>
    <w:rsid w:val="36972C30"/>
    <w:rsid w:val="377D2C70"/>
    <w:rsid w:val="37FD624C"/>
    <w:rsid w:val="38422D98"/>
    <w:rsid w:val="38495F7C"/>
    <w:rsid w:val="38AD2459"/>
    <w:rsid w:val="38C459D3"/>
    <w:rsid w:val="39DC423E"/>
    <w:rsid w:val="39E32A71"/>
    <w:rsid w:val="3AB46B78"/>
    <w:rsid w:val="3B2E25BB"/>
    <w:rsid w:val="3BDE757E"/>
    <w:rsid w:val="3BE67BDB"/>
    <w:rsid w:val="3C312620"/>
    <w:rsid w:val="3C425AC0"/>
    <w:rsid w:val="3C521F1F"/>
    <w:rsid w:val="3C972765"/>
    <w:rsid w:val="3D3D120C"/>
    <w:rsid w:val="3D693636"/>
    <w:rsid w:val="3D9028E8"/>
    <w:rsid w:val="3DA90777"/>
    <w:rsid w:val="3DF020B6"/>
    <w:rsid w:val="3E44484D"/>
    <w:rsid w:val="3E4A5E23"/>
    <w:rsid w:val="3E7C2BFA"/>
    <w:rsid w:val="3F057D0A"/>
    <w:rsid w:val="3F266A69"/>
    <w:rsid w:val="3F80118C"/>
    <w:rsid w:val="3F830615"/>
    <w:rsid w:val="3FCD30FD"/>
    <w:rsid w:val="3FE204BF"/>
    <w:rsid w:val="40490F85"/>
    <w:rsid w:val="40C56269"/>
    <w:rsid w:val="41897C56"/>
    <w:rsid w:val="419C3B9D"/>
    <w:rsid w:val="41A34B74"/>
    <w:rsid w:val="41C302E1"/>
    <w:rsid w:val="42BA1E87"/>
    <w:rsid w:val="42C70355"/>
    <w:rsid w:val="43317379"/>
    <w:rsid w:val="43443E7F"/>
    <w:rsid w:val="44A936AB"/>
    <w:rsid w:val="44DC2CEC"/>
    <w:rsid w:val="44DC435C"/>
    <w:rsid w:val="44FC3702"/>
    <w:rsid w:val="454E447C"/>
    <w:rsid w:val="45FA2757"/>
    <w:rsid w:val="461F68EC"/>
    <w:rsid w:val="46357A2A"/>
    <w:rsid w:val="46401681"/>
    <w:rsid w:val="470962D2"/>
    <w:rsid w:val="4777736C"/>
    <w:rsid w:val="48103D33"/>
    <w:rsid w:val="48165964"/>
    <w:rsid w:val="48227F5A"/>
    <w:rsid w:val="498673D2"/>
    <w:rsid w:val="49C90449"/>
    <w:rsid w:val="4B096F1D"/>
    <w:rsid w:val="4BB72008"/>
    <w:rsid w:val="4BDA1D7E"/>
    <w:rsid w:val="4BF3412D"/>
    <w:rsid w:val="4C39729F"/>
    <w:rsid w:val="4C4923B9"/>
    <w:rsid w:val="4CD84652"/>
    <w:rsid w:val="4D9A55F4"/>
    <w:rsid w:val="4DE8259F"/>
    <w:rsid w:val="4EEC23A6"/>
    <w:rsid w:val="50215CD4"/>
    <w:rsid w:val="505607A6"/>
    <w:rsid w:val="50982AAA"/>
    <w:rsid w:val="50F72D1E"/>
    <w:rsid w:val="50F814D6"/>
    <w:rsid w:val="511A77AA"/>
    <w:rsid w:val="5170331B"/>
    <w:rsid w:val="526E16F1"/>
    <w:rsid w:val="52A35472"/>
    <w:rsid w:val="52CD2504"/>
    <w:rsid w:val="532B5264"/>
    <w:rsid w:val="535D34C4"/>
    <w:rsid w:val="53791202"/>
    <w:rsid w:val="53802A3B"/>
    <w:rsid w:val="53A73B65"/>
    <w:rsid w:val="53B05F34"/>
    <w:rsid w:val="546A6089"/>
    <w:rsid w:val="54720DB2"/>
    <w:rsid w:val="551B6C77"/>
    <w:rsid w:val="55C55D4B"/>
    <w:rsid w:val="56483449"/>
    <w:rsid w:val="564F0B7D"/>
    <w:rsid w:val="56694C24"/>
    <w:rsid w:val="567C55B4"/>
    <w:rsid w:val="57215150"/>
    <w:rsid w:val="57F56734"/>
    <w:rsid w:val="57FE699C"/>
    <w:rsid w:val="583E24A9"/>
    <w:rsid w:val="59391C7F"/>
    <w:rsid w:val="59830E9E"/>
    <w:rsid w:val="59BA5D29"/>
    <w:rsid w:val="5AD6734C"/>
    <w:rsid w:val="5B294FC7"/>
    <w:rsid w:val="5B8B46C1"/>
    <w:rsid w:val="5C6C0FCA"/>
    <w:rsid w:val="5CFF1E3E"/>
    <w:rsid w:val="5E25434C"/>
    <w:rsid w:val="5E7E0E34"/>
    <w:rsid w:val="5E8C7702"/>
    <w:rsid w:val="5F794779"/>
    <w:rsid w:val="60327E35"/>
    <w:rsid w:val="606C1599"/>
    <w:rsid w:val="614E0E3D"/>
    <w:rsid w:val="615333D3"/>
    <w:rsid w:val="61772E14"/>
    <w:rsid w:val="61883013"/>
    <w:rsid w:val="61E11D31"/>
    <w:rsid w:val="61F53810"/>
    <w:rsid w:val="62401092"/>
    <w:rsid w:val="62B362AA"/>
    <w:rsid w:val="631F289D"/>
    <w:rsid w:val="63A63B3F"/>
    <w:rsid w:val="64D94D23"/>
    <w:rsid w:val="65A036E9"/>
    <w:rsid w:val="65F06C9F"/>
    <w:rsid w:val="6699467E"/>
    <w:rsid w:val="66CA4FB7"/>
    <w:rsid w:val="66D90EB9"/>
    <w:rsid w:val="66E622F4"/>
    <w:rsid w:val="674457E3"/>
    <w:rsid w:val="6798197B"/>
    <w:rsid w:val="68310FA5"/>
    <w:rsid w:val="69BD2D3B"/>
    <w:rsid w:val="69F442AF"/>
    <w:rsid w:val="6A0E30DC"/>
    <w:rsid w:val="6A424CF1"/>
    <w:rsid w:val="6AB87832"/>
    <w:rsid w:val="6ADC5089"/>
    <w:rsid w:val="6B142F59"/>
    <w:rsid w:val="6B3B6738"/>
    <w:rsid w:val="6B7A07A7"/>
    <w:rsid w:val="6BA53A5A"/>
    <w:rsid w:val="6C014247"/>
    <w:rsid w:val="6C957CB4"/>
    <w:rsid w:val="6CA7784E"/>
    <w:rsid w:val="6CF62E72"/>
    <w:rsid w:val="6D0324C0"/>
    <w:rsid w:val="6D556A52"/>
    <w:rsid w:val="6D6444CB"/>
    <w:rsid w:val="6F5E2B52"/>
    <w:rsid w:val="70420AF8"/>
    <w:rsid w:val="70455963"/>
    <w:rsid w:val="71153B74"/>
    <w:rsid w:val="712216DB"/>
    <w:rsid w:val="7142073F"/>
    <w:rsid w:val="715E1779"/>
    <w:rsid w:val="72142713"/>
    <w:rsid w:val="726D5BAE"/>
    <w:rsid w:val="730200F1"/>
    <w:rsid w:val="739C06B8"/>
    <w:rsid w:val="75294A12"/>
    <w:rsid w:val="75820774"/>
    <w:rsid w:val="75DD55C7"/>
    <w:rsid w:val="76FB60A2"/>
    <w:rsid w:val="7770408A"/>
    <w:rsid w:val="78CF314E"/>
    <w:rsid w:val="78FB36EA"/>
    <w:rsid w:val="7BA24414"/>
    <w:rsid w:val="7BBB3515"/>
    <w:rsid w:val="7BC47911"/>
    <w:rsid w:val="7BDF7259"/>
    <w:rsid w:val="7C077878"/>
    <w:rsid w:val="7C991592"/>
    <w:rsid w:val="7CE3278B"/>
    <w:rsid w:val="7CF45685"/>
    <w:rsid w:val="7CF87660"/>
    <w:rsid w:val="7D4D3289"/>
    <w:rsid w:val="7DDA586C"/>
    <w:rsid w:val="7E16619A"/>
    <w:rsid w:val="7E282897"/>
    <w:rsid w:val="7FDF41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9">
    <w:name w:val="heading 1"/>
    <w:basedOn w:val="1"/>
    <w:next w:val="1"/>
    <w:link w:val="94"/>
    <w:qFormat/>
    <w:uiPriority w:val="0"/>
    <w:pPr>
      <w:keepNext/>
      <w:keepLines/>
      <w:spacing w:before="340" w:after="330" w:line="578" w:lineRule="auto"/>
      <w:outlineLvl w:val="0"/>
    </w:pPr>
    <w:rPr>
      <w:rFonts w:hint="eastAsia" w:ascii="楷体_GB2312" w:hAnsi="Times New Roman" w:eastAsia="楷体_GB2312"/>
      <w:b/>
      <w:kern w:val="44"/>
      <w:sz w:val="44"/>
      <w:szCs w:val="20"/>
    </w:rPr>
  </w:style>
  <w:style w:type="paragraph" w:styleId="10">
    <w:name w:val="heading 2"/>
    <w:basedOn w:val="1"/>
    <w:next w:val="1"/>
    <w:link w:val="99"/>
    <w:qFormat/>
    <w:uiPriority w:val="0"/>
    <w:pPr>
      <w:keepNext/>
      <w:keepLines/>
      <w:spacing w:before="260" w:after="260" w:line="416" w:lineRule="auto"/>
      <w:outlineLvl w:val="1"/>
    </w:pPr>
    <w:rPr>
      <w:rFonts w:ascii="Arial" w:hAnsi="Arial" w:eastAsia="黑体"/>
      <w:b/>
      <w:sz w:val="32"/>
      <w:szCs w:val="20"/>
    </w:rPr>
  </w:style>
  <w:style w:type="paragraph" w:styleId="11">
    <w:name w:val="heading 3"/>
    <w:basedOn w:val="1"/>
    <w:next w:val="1"/>
    <w:link w:val="100"/>
    <w:qFormat/>
    <w:uiPriority w:val="0"/>
    <w:pPr>
      <w:keepNext/>
      <w:keepLines/>
      <w:spacing w:line="360" w:lineRule="auto"/>
      <w:outlineLvl w:val="2"/>
    </w:pPr>
    <w:rPr>
      <w:rFonts w:ascii="Times New Roman" w:hAnsi="Times New Roman"/>
      <w:b/>
      <w:sz w:val="32"/>
      <w:szCs w:val="20"/>
    </w:rPr>
  </w:style>
  <w:style w:type="paragraph" w:styleId="12">
    <w:name w:val="heading 4"/>
    <w:basedOn w:val="1"/>
    <w:next w:val="1"/>
    <w:link w:val="86"/>
    <w:qFormat/>
    <w:uiPriority w:val="0"/>
    <w:pPr>
      <w:keepNext/>
      <w:keepLines/>
      <w:spacing w:before="280" w:after="290" w:line="376" w:lineRule="auto"/>
      <w:outlineLvl w:val="3"/>
    </w:pPr>
    <w:rPr>
      <w:rFonts w:ascii="Times New Roman" w:hAnsi="Times New Roman"/>
      <w:sz w:val="32"/>
      <w:szCs w:val="20"/>
    </w:rPr>
  </w:style>
  <w:style w:type="paragraph" w:styleId="13">
    <w:name w:val="heading 5"/>
    <w:basedOn w:val="1"/>
    <w:next w:val="1"/>
    <w:link w:val="65"/>
    <w:qFormat/>
    <w:uiPriority w:val="0"/>
    <w:pPr>
      <w:keepNext/>
      <w:keepLines/>
      <w:spacing w:before="280" w:after="290" w:line="372" w:lineRule="auto"/>
      <w:outlineLvl w:val="4"/>
    </w:pPr>
    <w:rPr>
      <w:rFonts w:ascii="Times New Roman" w:hAnsi="Times New Roman"/>
      <w:b/>
      <w:sz w:val="28"/>
      <w:szCs w:val="28"/>
    </w:rPr>
  </w:style>
  <w:style w:type="paragraph" w:styleId="14">
    <w:name w:val="heading 6"/>
    <w:basedOn w:val="1"/>
    <w:next w:val="1"/>
    <w:link w:val="89"/>
    <w:qFormat/>
    <w:uiPriority w:val="0"/>
    <w:pPr>
      <w:keepNext/>
      <w:keepLines/>
      <w:spacing w:before="240" w:after="64" w:line="317" w:lineRule="auto"/>
      <w:outlineLvl w:val="5"/>
    </w:pPr>
    <w:rPr>
      <w:rFonts w:hint="eastAsia" w:ascii="宋体" w:hAnsi="宋体"/>
      <w:b/>
      <w:kern w:val="0"/>
      <w:sz w:val="24"/>
      <w:lang w:eastAsia="en-US"/>
    </w:rPr>
  </w:style>
  <w:style w:type="paragraph" w:styleId="15">
    <w:name w:val="heading 7"/>
    <w:basedOn w:val="1"/>
    <w:next w:val="1"/>
    <w:link w:val="69"/>
    <w:qFormat/>
    <w:uiPriority w:val="0"/>
    <w:pPr>
      <w:keepNext/>
      <w:keepLines/>
      <w:spacing w:before="240" w:after="64" w:line="317" w:lineRule="auto"/>
      <w:outlineLvl w:val="6"/>
    </w:pPr>
    <w:rPr>
      <w:rFonts w:hint="eastAsia" w:ascii="宋体" w:hAnsi="宋体"/>
      <w:b/>
      <w:kern w:val="0"/>
      <w:szCs w:val="21"/>
      <w:lang w:eastAsia="en-US"/>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5"/>
    <w:link w:val="104"/>
    <w:unhideWhenUsed/>
    <w:qFormat/>
    <w:uiPriority w:val="0"/>
    <w:pPr>
      <w:ind w:firstLine="420" w:firstLineChars="100"/>
    </w:pPr>
    <w:rPr>
      <w:rFonts w:hint="eastAsia" w:ascii="楷体_GB2312" w:eastAsia="楷体_GB2312"/>
      <w:sz w:val="32"/>
    </w:rPr>
  </w:style>
  <w:style w:type="paragraph" w:styleId="3">
    <w:name w:val="Body Text"/>
    <w:basedOn w:val="1"/>
    <w:next w:val="4"/>
    <w:link w:val="68"/>
    <w:qFormat/>
    <w:uiPriority w:val="0"/>
    <w:rPr>
      <w:rFonts w:ascii="Times New Roman" w:hAnsi="Times New Roman"/>
    </w:rPr>
  </w:style>
  <w:style w:type="paragraph" w:styleId="4">
    <w:name w:val="Body Text 2"/>
    <w:basedOn w:val="1"/>
    <w:next w:val="3"/>
    <w:link w:val="84"/>
    <w:unhideWhenUsed/>
    <w:qFormat/>
    <w:uiPriority w:val="0"/>
    <w:pPr>
      <w:spacing w:after="120" w:line="480" w:lineRule="auto"/>
    </w:pPr>
    <w:rPr>
      <w:rFonts w:ascii="Times New Roman" w:hAnsi="Times New Roman"/>
    </w:rPr>
  </w:style>
  <w:style w:type="paragraph" w:styleId="5">
    <w:name w:val="Body Text First Indent 2"/>
    <w:basedOn w:val="6"/>
    <w:next w:val="8"/>
    <w:qFormat/>
    <w:uiPriority w:val="0"/>
    <w:pPr>
      <w:ind w:firstLine="420"/>
    </w:pPr>
  </w:style>
  <w:style w:type="paragraph" w:styleId="6">
    <w:name w:val="Body Text Indent"/>
    <w:basedOn w:val="1"/>
    <w:next w:val="7"/>
    <w:link w:val="103"/>
    <w:qFormat/>
    <w:uiPriority w:val="0"/>
    <w:pPr>
      <w:ind w:firstLine="560" w:firstLineChars="200"/>
    </w:pPr>
    <w:rPr>
      <w:rFonts w:ascii="Times New Roman" w:hAnsi="Times New Roman"/>
    </w:rPr>
  </w:style>
  <w:style w:type="paragraph" w:styleId="7">
    <w:name w:val="envelope return"/>
    <w:basedOn w:val="1"/>
    <w:qFormat/>
    <w:uiPriority w:val="99"/>
    <w:pPr>
      <w:snapToGrid w:val="0"/>
    </w:pPr>
    <w:rPr>
      <w:rFonts w:ascii="Arial" w:hAnsi="Arial" w:cs="Arial"/>
    </w:rPr>
  </w:style>
  <w:style w:type="paragraph" w:styleId="8">
    <w:name w:val="Normal Indent"/>
    <w:basedOn w:val="1"/>
    <w:unhideWhenUsed/>
    <w:qFormat/>
    <w:uiPriority w:val="99"/>
    <w:pPr>
      <w:ind w:firstLine="420"/>
    </w:pPr>
    <w:rPr>
      <w:rFonts w:ascii="Calibri" w:hAnsi="Calibri"/>
      <w:szCs w:val="20"/>
    </w:rPr>
  </w:style>
  <w:style w:type="paragraph" w:styleId="16">
    <w:name w:val="toc 7"/>
    <w:basedOn w:val="1"/>
    <w:next w:val="1"/>
    <w:qFormat/>
    <w:uiPriority w:val="0"/>
    <w:pPr>
      <w:ind w:left="2520" w:leftChars="1200"/>
    </w:pPr>
    <w:rPr>
      <w:rFonts w:ascii="Times New Roman" w:hAnsi="Times New Roman"/>
    </w:rPr>
  </w:style>
  <w:style w:type="paragraph" w:styleId="17">
    <w:name w:val="Document Map"/>
    <w:basedOn w:val="1"/>
    <w:link w:val="81"/>
    <w:unhideWhenUsed/>
    <w:qFormat/>
    <w:uiPriority w:val="0"/>
    <w:pPr>
      <w:shd w:val="clear" w:color="auto" w:fill="000080"/>
    </w:pPr>
    <w:rPr>
      <w:rFonts w:ascii="Times New Roman" w:hAnsi="Times New Roman"/>
    </w:rPr>
  </w:style>
  <w:style w:type="paragraph" w:styleId="18">
    <w:name w:val="toa heading"/>
    <w:basedOn w:val="1"/>
    <w:next w:val="1"/>
    <w:unhideWhenUsed/>
    <w:qFormat/>
    <w:uiPriority w:val="99"/>
    <w:pPr>
      <w:spacing w:before="120"/>
    </w:pPr>
    <w:rPr>
      <w:rFonts w:ascii="Arial" w:hAnsi="Arial" w:cs="Arial"/>
      <w:sz w:val="24"/>
    </w:rPr>
  </w:style>
  <w:style w:type="paragraph" w:styleId="19">
    <w:name w:val="annotation text"/>
    <w:basedOn w:val="1"/>
    <w:link w:val="80"/>
    <w:unhideWhenUsed/>
    <w:qFormat/>
    <w:uiPriority w:val="0"/>
    <w:pPr>
      <w:jc w:val="left"/>
    </w:pPr>
    <w:rPr>
      <w:rFonts w:ascii="Times New Roman" w:hAnsi="Times New Roman"/>
    </w:rPr>
  </w:style>
  <w:style w:type="paragraph" w:styleId="20">
    <w:name w:val="Body Text 3"/>
    <w:basedOn w:val="1"/>
    <w:link w:val="59"/>
    <w:unhideWhenUsed/>
    <w:qFormat/>
    <w:uiPriority w:val="0"/>
    <w:pPr>
      <w:spacing w:after="120"/>
    </w:pPr>
    <w:rPr>
      <w:rFonts w:ascii="Times New Roman" w:hAnsi="Times New Roman"/>
      <w:sz w:val="16"/>
      <w:szCs w:val="16"/>
    </w:rPr>
  </w:style>
  <w:style w:type="paragraph" w:styleId="21">
    <w:name w:val="toc 5"/>
    <w:basedOn w:val="1"/>
    <w:next w:val="1"/>
    <w:qFormat/>
    <w:uiPriority w:val="0"/>
    <w:pPr>
      <w:ind w:left="1680" w:leftChars="800"/>
    </w:pPr>
    <w:rPr>
      <w:rFonts w:ascii="Times New Roman" w:hAnsi="Times New Roman"/>
    </w:rPr>
  </w:style>
  <w:style w:type="paragraph" w:styleId="22">
    <w:name w:val="toc 3"/>
    <w:basedOn w:val="1"/>
    <w:next w:val="1"/>
    <w:qFormat/>
    <w:uiPriority w:val="0"/>
    <w:pPr>
      <w:ind w:left="840" w:leftChars="400"/>
    </w:pPr>
    <w:rPr>
      <w:rFonts w:ascii="Times New Roman" w:hAnsi="Times New Roman"/>
    </w:rPr>
  </w:style>
  <w:style w:type="paragraph" w:styleId="23">
    <w:name w:val="Plain Text"/>
    <w:basedOn w:val="1"/>
    <w:link w:val="61"/>
    <w:qFormat/>
    <w:uiPriority w:val="0"/>
    <w:rPr>
      <w:rFonts w:hint="eastAsia" w:ascii="宋体" w:hAnsi="Courier New"/>
      <w:szCs w:val="21"/>
    </w:rPr>
  </w:style>
  <w:style w:type="paragraph" w:styleId="24">
    <w:name w:val="toc 8"/>
    <w:basedOn w:val="1"/>
    <w:next w:val="1"/>
    <w:qFormat/>
    <w:uiPriority w:val="0"/>
    <w:pPr>
      <w:ind w:left="2940" w:leftChars="1400"/>
    </w:pPr>
    <w:rPr>
      <w:rFonts w:ascii="Times New Roman" w:hAnsi="Times New Roman"/>
    </w:rPr>
  </w:style>
  <w:style w:type="paragraph" w:styleId="25">
    <w:name w:val="Date"/>
    <w:basedOn w:val="1"/>
    <w:next w:val="1"/>
    <w:link w:val="74"/>
    <w:unhideWhenUsed/>
    <w:qFormat/>
    <w:uiPriority w:val="0"/>
    <w:pPr>
      <w:ind w:left="100" w:leftChars="2500"/>
    </w:pPr>
    <w:rPr>
      <w:rFonts w:ascii="Times New Roman" w:hAnsi="Times New Roman"/>
      <w:kern w:val="0"/>
      <w:sz w:val="28"/>
      <w:szCs w:val="20"/>
    </w:rPr>
  </w:style>
  <w:style w:type="paragraph" w:styleId="26">
    <w:name w:val="Body Text Indent 2"/>
    <w:basedOn w:val="1"/>
    <w:link w:val="83"/>
    <w:unhideWhenUsed/>
    <w:qFormat/>
    <w:uiPriority w:val="0"/>
    <w:pPr>
      <w:spacing w:after="120" w:line="480" w:lineRule="auto"/>
      <w:ind w:left="420" w:leftChars="200"/>
    </w:pPr>
    <w:rPr>
      <w:rFonts w:ascii="Times New Roman" w:hAnsi="Times New Roman"/>
    </w:rPr>
  </w:style>
  <w:style w:type="paragraph" w:styleId="27">
    <w:name w:val="Balloon Text"/>
    <w:basedOn w:val="1"/>
    <w:link w:val="91"/>
    <w:unhideWhenUsed/>
    <w:qFormat/>
    <w:uiPriority w:val="0"/>
    <w:rPr>
      <w:rFonts w:ascii="Times New Roman" w:hAnsi="Times New Roman"/>
      <w:sz w:val="18"/>
      <w:szCs w:val="18"/>
    </w:rPr>
  </w:style>
  <w:style w:type="paragraph" w:styleId="28">
    <w:name w:val="footer"/>
    <w:basedOn w:val="1"/>
    <w:link w:val="97"/>
    <w:qFormat/>
    <w:uiPriority w:val="0"/>
    <w:pPr>
      <w:tabs>
        <w:tab w:val="center" w:pos="4153"/>
        <w:tab w:val="right" w:pos="8306"/>
      </w:tabs>
      <w:snapToGrid w:val="0"/>
      <w:jc w:val="left"/>
    </w:pPr>
    <w:rPr>
      <w:rFonts w:ascii="Times New Roman" w:hAnsi="Times New Roman"/>
      <w:sz w:val="18"/>
      <w:szCs w:val="18"/>
    </w:rPr>
  </w:style>
  <w:style w:type="paragraph" w:styleId="29">
    <w:name w:val="header"/>
    <w:basedOn w:val="1"/>
    <w:link w:val="9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30">
    <w:name w:val="toc 1"/>
    <w:basedOn w:val="1"/>
    <w:next w:val="1"/>
    <w:qFormat/>
    <w:uiPriority w:val="0"/>
    <w:rPr>
      <w:rFonts w:ascii="Times New Roman" w:hAnsi="Times New Roman"/>
    </w:rPr>
  </w:style>
  <w:style w:type="paragraph" w:styleId="31">
    <w:name w:val="toc 4"/>
    <w:basedOn w:val="1"/>
    <w:next w:val="1"/>
    <w:qFormat/>
    <w:uiPriority w:val="0"/>
    <w:pPr>
      <w:ind w:left="1260" w:leftChars="600"/>
    </w:pPr>
    <w:rPr>
      <w:rFonts w:ascii="Times New Roman" w:hAnsi="Times New Roman"/>
    </w:rPr>
  </w:style>
  <w:style w:type="paragraph" w:styleId="32">
    <w:name w:val="toc 6"/>
    <w:basedOn w:val="1"/>
    <w:next w:val="1"/>
    <w:qFormat/>
    <w:uiPriority w:val="0"/>
    <w:pPr>
      <w:ind w:left="2100" w:leftChars="1000"/>
    </w:pPr>
    <w:rPr>
      <w:rFonts w:ascii="Times New Roman" w:hAnsi="Times New Roman"/>
    </w:rPr>
  </w:style>
  <w:style w:type="paragraph" w:styleId="33">
    <w:name w:val="Body Text Indent 3"/>
    <w:basedOn w:val="1"/>
    <w:link w:val="73"/>
    <w:qFormat/>
    <w:uiPriority w:val="0"/>
    <w:pPr>
      <w:ind w:firstLine="420" w:firstLineChars="200"/>
    </w:pPr>
    <w:rPr>
      <w:rFonts w:ascii="Times New Roman" w:hAnsi="Times New Roman"/>
      <w:sz w:val="16"/>
      <w:szCs w:val="16"/>
    </w:rPr>
  </w:style>
  <w:style w:type="paragraph" w:styleId="34">
    <w:name w:val="toc 2"/>
    <w:basedOn w:val="1"/>
    <w:next w:val="1"/>
    <w:qFormat/>
    <w:uiPriority w:val="0"/>
    <w:pPr>
      <w:ind w:left="420" w:leftChars="200"/>
    </w:pPr>
    <w:rPr>
      <w:rFonts w:ascii="Times New Roman" w:hAnsi="Times New Roman"/>
    </w:rPr>
  </w:style>
  <w:style w:type="paragraph" w:styleId="35">
    <w:name w:val="toc 9"/>
    <w:basedOn w:val="1"/>
    <w:next w:val="1"/>
    <w:qFormat/>
    <w:uiPriority w:val="0"/>
    <w:pPr>
      <w:ind w:left="3360" w:leftChars="1600"/>
    </w:pPr>
    <w:rPr>
      <w:rFonts w:ascii="Times New Roman" w:hAnsi="Times New Roman"/>
    </w:rPr>
  </w:style>
  <w:style w:type="paragraph" w:styleId="36">
    <w:name w:val="HTML Preformatted"/>
    <w:basedOn w:val="1"/>
    <w:link w:val="79"/>
    <w:unhideWhenUsed/>
    <w:qFormat/>
    <w:uiPriority w:val="0"/>
    <w:rPr>
      <w:rFonts w:ascii="Arial" w:hAnsi="Arial"/>
      <w:kern w:val="0"/>
      <w:sz w:val="24"/>
    </w:rPr>
  </w:style>
  <w:style w:type="paragraph" w:styleId="3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8">
    <w:name w:val="Title"/>
    <w:basedOn w:val="1"/>
    <w:next w:val="1"/>
    <w:link w:val="67"/>
    <w:qFormat/>
    <w:uiPriority w:val="0"/>
    <w:pPr>
      <w:spacing w:before="240" w:after="60"/>
      <w:jc w:val="center"/>
      <w:outlineLvl w:val="0"/>
    </w:pPr>
    <w:rPr>
      <w:rFonts w:ascii="Calibri Light" w:hAnsi="Calibri Light" w:eastAsia="Calibri Light"/>
      <w:b/>
      <w:sz w:val="32"/>
      <w:szCs w:val="32"/>
    </w:rPr>
  </w:style>
  <w:style w:type="paragraph" w:styleId="39">
    <w:name w:val="annotation subject"/>
    <w:basedOn w:val="19"/>
    <w:next w:val="19"/>
    <w:link w:val="71"/>
    <w:unhideWhenUsed/>
    <w:qFormat/>
    <w:uiPriority w:val="0"/>
    <w:rPr>
      <w:b/>
    </w:r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qFormat/>
    <w:uiPriority w:val="0"/>
    <w:rPr>
      <w:rFonts w:ascii="Times New Roman" w:hAnsi="Times New Roman" w:eastAsia="宋体" w:cs="Times New Roman"/>
    </w:rPr>
  </w:style>
  <w:style w:type="character" w:styleId="44">
    <w:name w:val="FollowedHyperlink"/>
    <w:unhideWhenUsed/>
    <w:qFormat/>
    <w:uiPriority w:val="99"/>
    <w:rPr>
      <w:rFonts w:ascii="Times New Roman" w:hAnsi="Times New Roman" w:eastAsia="宋体" w:cs="Times New Roman"/>
      <w:color w:val="333333"/>
      <w:u w:val="none"/>
    </w:rPr>
  </w:style>
  <w:style w:type="character" w:styleId="45">
    <w:name w:val="HTML Definition"/>
    <w:basedOn w:val="42"/>
    <w:unhideWhenUsed/>
    <w:qFormat/>
    <w:uiPriority w:val="99"/>
  </w:style>
  <w:style w:type="character" w:styleId="46">
    <w:name w:val="HTML Typewriter"/>
    <w:basedOn w:val="42"/>
    <w:unhideWhenUsed/>
    <w:qFormat/>
    <w:uiPriority w:val="99"/>
    <w:rPr>
      <w:rFonts w:hint="default" w:ascii="monospace" w:hAnsi="monospace" w:eastAsia="monospace" w:cs="monospace"/>
      <w:sz w:val="20"/>
    </w:rPr>
  </w:style>
  <w:style w:type="character" w:styleId="47">
    <w:name w:val="HTML Acronym"/>
    <w:basedOn w:val="42"/>
    <w:unhideWhenUsed/>
    <w:qFormat/>
    <w:uiPriority w:val="99"/>
  </w:style>
  <w:style w:type="character" w:styleId="48">
    <w:name w:val="HTML Variable"/>
    <w:basedOn w:val="42"/>
    <w:unhideWhenUsed/>
    <w:qFormat/>
    <w:uiPriority w:val="99"/>
  </w:style>
  <w:style w:type="character" w:styleId="49">
    <w:name w:val="Hyperlink"/>
    <w:qFormat/>
    <w:uiPriority w:val="0"/>
    <w:rPr>
      <w:rFonts w:ascii="Times New Roman" w:hAnsi="Times New Roman" w:eastAsia="宋体" w:cs="Times New Roman"/>
      <w:color w:val="0000FF"/>
      <w:u w:val="single"/>
    </w:rPr>
  </w:style>
  <w:style w:type="character" w:styleId="50">
    <w:name w:val="HTML Code"/>
    <w:basedOn w:val="42"/>
    <w:unhideWhenUsed/>
    <w:qFormat/>
    <w:uiPriority w:val="99"/>
    <w:rPr>
      <w:rFonts w:ascii="monospace" w:hAnsi="monospace" w:eastAsia="monospace" w:cs="monospace"/>
      <w:sz w:val="20"/>
    </w:rPr>
  </w:style>
  <w:style w:type="character" w:styleId="51">
    <w:name w:val="annotation reference"/>
    <w:unhideWhenUsed/>
    <w:qFormat/>
    <w:uiPriority w:val="99"/>
    <w:rPr>
      <w:rFonts w:ascii="Times New Roman" w:hAnsi="Times New Roman" w:eastAsia="宋体" w:cs="Times New Roman"/>
      <w:sz w:val="21"/>
      <w:szCs w:val="21"/>
    </w:rPr>
  </w:style>
  <w:style w:type="character" w:styleId="52">
    <w:name w:val="HTML Cite"/>
    <w:basedOn w:val="42"/>
    <w:unhideWhenUsed/>
    <w:qFormat/>
    <w:uiPriority w:val="99"/>
    <w:rPr>
      <w:vanish/>
    </w:rPr>
  </w:style>
  <w:style w:type="character" w:styleId="53">
    <w:name w:val="HTML Keyboard"/>
    <w:basedOn w:val="42"/>
    <w:unhideWhenUsed/>
    <w:qFormat/>
    <w:uiPriority w:val="99"/>
    <w:rPr>
      <w:rFonts w:hint="default" w:ascii="monospace" w:hAnsi="monospace" w:eastAsia="monospace" w:cs="monospace"/>
      <w:sz w:val="20"/>
    </w:rPr>
  </w:style>
  <w:style w:type="character" w:styleId="54">
    <w:name w:val="HTML Sample"/>
    <w:basedOn w:val="42"/>
    <w:unhideWhenUsed/>
    <w:qFormat/>
    <w:uiPriority w:val="99"/>
    <w:rPr>
      <w:rFonts w:hint="default" w:ascii="monospace" w:hAnsi="monospace" w:eastAsia="monospace" w:cs="monospace"/>
    </w:rPr>
  </w:style>
  <w:style w:type="paragraph" w:customStyle="1" w:styleId="55">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56">
    <w:name w:val="表格文字"/>
    <w:basedOn w:val="1"/>
    <w:next w:val="3"/>
    <w:qFormat/>
    <w:uiPriority w:val="0"/>
    <w:pPr>
      <w:adjustRightInd w:val="0"/>
      <w:spacing w:line="420" w:lineRule="atLeast"/>
      <w:jc w:val="left"/>
      <w:textAlignment w:val="baseline"/>
    </w:pPr>
    <w:rPr>
      <w:kern w:val="0"/>
    </w:rPr>
  </w:style>
  <w:style w:type="paragraph" w:customStyle="1" w:styleId="57">
    <w:name w:val="无间隔1"/>
    <w:qFormat/>
    <w:uiPriority w:val="1"/>
    <w:pPr>
      <w:widowControl w:val="0"/>
      <w:jc w:val="both"/>
    </w:pPr>
    <w:rPr>
      <w:rFonts w:ascii="Calibri" w:hAnsi="Calibri" w:eastAsia="宋体" w:cs="Times New Roman"/>
      <w:kern w:val="2"/>
      <w:sz w:val="24"/>
      <w:szCs w:val="22"/>
      <w:lang w:val="en-US" w:eastAsia="zh-CN" w:bidi="ar-SA"/>
    </w:rPr>
  </w:style>
  <w:style w:type="character" w:customStyle="1" w:styleId="58">
    <w:name w:val="font1"/>
    <w:qFormat/>
    <w:uiPriority w:val="0"/>
    <w:rPr>
      <w:rFonts w:ascii="Times New Roman" w:hAnsi="Times New Roman" w:eastAsia="宋体" w:cs="Times New Roman"/>
      <w:color w:val="999999"/>
      <w:sz w:val="18"/>
      <w:szCs w:val="18"/>
      <w:u w:val="none"/>
    </w:rPr>
  </w:style>
  <w:style w:type="character" w:customStyle="1" w:styleId="59">
    <w:name w:val="正文文本 3 Char"/>
    <w:link w:val="20"/>
    <w:qFormat/>
    <w:uiPriority w:val="0"/>
    <w:rPr>
      <w:rFonts w:ascii="Times New Roman" w:hAnsi="Times New Roman" w:eastAsia="宋体" w:cs="Times New Roman"/>
      <w:kern w:val="2"/>
      <w:sz w:val="16"/>
      <w:szCs w:val="16"/>
    </w:rPr>
  </w:style>
  <w:style w:type="character" w:customStyle="1" w:styleId="60">
    <w:name w:val="pt91"/>
    <w:qFormat/>
    <w:uiPriority w:val="0"/>
    <w:rPr>
      <w:rFonts w:hint="default" w:ascii="_x000B__x000C_" w:hAnsi="_x000B__x000C_" w:eastAsia="_x000B__x000C_" w:cs="_x000B__x000C_"/>
      <w:color w:val="333333"/>
      <w:sz w:val="18"/>
      <w:szCs w:val="18"/>
    </w:rPr>
  </w:style>
  <w:style w:type="character" w:customStyle="1" w:styleId="61">
    <w:name w:val="纯文本 Char"/>
    <w:link w:val="23"/>
    <w:qFormat/>
    <w:uiPriority w:val="0"/>
    <w:rPr>
      <w:rFonts w:hint="eastAsia" w:ascii="宋体" w:hAnsi="Courier New" w:eastAsia="宋体" w:cs="Courier New"/>
      <w:kern w:val="2"/>
      <w:sz w:val="21"/>
      <w:szCs w:val="21"/>
    </w:rPr>
  </w:style>
  <w:style w:type="character" w:customStyle="1" w:styleId="62">
    <w:name w:val="fontstyle01"/>
    <w:qFormat/>
    <w:uiPriority w:val="0"/>
    <w:rPr>
      <w:rFonts w:hint="default" w:ascii="FZSSK--GBK1-0" w:hAnsi="FZSSK--GBK1-0" w:eastAsia="FZSSK--GBK1-0" w:cs="FZSSK--GBK1-0"/>
      <w:color w:val="000000"/>
      <w:sz w:val="20"/>
      <w:szCs w:val="20"/>
    </w:rPr>
  </w:style>
  <w:style w:type="character" w:customStyle="1" w:styleId="63">
    <w:name w:val="Char Char15"/>
    <w:qFormat/>
    <w:uiPriority w:val="0"/>
    <w:rPr>
      <w:rFonts w:ascii="Times New Roman" w:hAnsi="Times New Roman" w:eastAsia="宋体" w:cs="Times New Roman"/>
      <w:kern w:val="2"/>
      <w:sz w:val="32"/>
    </w:rPr>
  </w:style>
  <w:style w:type="character" w:customStyle="1" w:styleId="64">
    <w:name w:val="纯文本 Char1"/>
    <w:qFormat/>
    <w:uiPriority w:val="0"/>
    <w:rPr>
      <w:rFonts w:hint="eastAsia" w:ascii="宋体" w:hAnsi="Courier New" w:eastAsia="宋体" w:cs="宋体"/>
      <w:kern w:val="2"/>
      <w:sz w:val="21"/>
      <w:lang w:eastAsia="zh-CN"/>
    </w:rPr>
  </w:style>
  <w:style w:type="character" w:customStyle="1" w:styleId="65">
    <w:name w:val="标题 5 Char"/>
    <w:link w:val="13"/>
    <w:qFormat/>
    <w:uiPriority w:val="0"/>
    <w:rPr>
      <w:rFonts w:ascii="Times New Roman" w:hAnsi="Times New Roman" w:eastAsia="宋体" w:cs="Times New Roman"/>
      <w:b/>
      <w:kern w:val="2"/>
      <w:sz w:val="28"/>
      <w:szCs w:val="28"/>
    </w:rPr>
  </w:style>
  <w:style w:type="character" w:customStyle="1" w:styleId="66">
    <w:name w:val="wen11"/>
    <w:qFormat/>
    <w:uiPriority w:val="0"/>
    <w:rPr>
      <w:rFonts w:ascii="Times New Roman" w:hAnsi="Times New Roman" w:eastAsia="宋体" w:cs="Times New Roman"/>
      <w:color w:val="000000"/>
      <w:sz w:val="21"/>
      <w:szCs w:val="21"/>
    </w:rPr>
  </w:style>
  <w:style w:type="character" w:customStyle="1" w:styleId="67">
    <w:name w:val="标题 Char"/>
    <w:link w:val="38"/>
    <w:qFormat/>
    <w:uiPriority w:val="0"/>
    <w:rPr>
      <w:rFonts w:hint="default" w:ascii="Calibri Light" w:hAnsi="Calibri Light" w:eastAsia="Calibri Light" w:cs="Calibri Light"/>
      <w:b/>
      <w:kern w:val="2"/>
      <w:sz w:val="32"/>
      <w:szCs w:val="32"/>
    </w:rPr>
  </w:style>
  <w:style w:type="character" w:customStyle="1" w:styleId="68">
    <w:name w:val="正文文本 Char"/>
    <w:link w:val="3"/>
    <w:qFormat/>
    <w:uiPriority w:val="0"/>
    <w:rPr>
      <w:rFonts w:ascii="Times New Roman" w:hAnsi="Times New Roman" w:eastAsia="宋体" w:cs="Times New Roman"/>
      <w:kern w:val="2"/>
      <w:sz w:val="21"/>
      <w:szCs w:val="24"/>
    </w:rPr>
  </w:style>
  <w:style w:type="character" w:customStyle="1" w:styleId="69">
    <w:name w:val="标题 7 Char"/>
    <w:link w:val="15"/>
    <w:qFormat/>
    <w:uiPriority w:val="0"/>
    <w:rPr>
      <w:rFonts w:hint="eastAsia" w:ascii="宋体" w:hAnsi="宋体" w:eastAsia="宋体" w:cs="宋体"/>
      <w:b/>
      <w:sz w:val="21"/>
      <w:szCs w:val="21"/>
      <w:lang w:eastAsia="en-US"/>
    </w:rPr>
  </w:style>
  <w:style w:type="character" w:customStyle="1" w:styleId="70">
    <w:name w:val="displayarti"/>
    <w:qFormat/>
    <w:uiPriority w:val="0"/>
    <w:rPr>
      <w:rFonts w:ascii="Times New Roman" w:hAnsi="Times New Roman" w:eastAsia="宋体" w:cs="Times New Roman"/>
      <w:color w:val="FFFFFF"/>
      <w:shd w:val="clear" w:color="auto" w:fill="A00000"/>
    </w:rPr>
  </w:style>
  <w:style w:type="character" w:customStyle="1" w:styleId="71">
    <w:name w:val="批注主题 Char"/>
    <w:link w:val="39"/>
    <w:qFormat/>
    <w:uiPriority w:val="0"/>
    <w:rPr>
      <w:rFonts w:ascii="Times New Roman" w:hAnsi="Times New Roman" w:eastAsia="宋体" w:cs="Times New Roman"/>
      <w:b/>
      <w:kern w:val="2"/>
      <w:sz w:val="21"/>
      <w:szCs w:val="24"/>
    </w:rPr>
  </w:style>
  <w:style w:type="character" w:customStyle="1" w:styleId="72">
    <w:name w:val="Table Text Char1"/>
    <w:qFormat/>
    <w:uiPriority w:val="0"/>
    <w:rPr>
      <w:rFonts w:hint="default" w:ascii="Arial" w:hAnsi="Arial" w:eastAsia="宋体" w:cs="Arial"/>
      <w:kern w:val="2"/>
      <w:sz w:val="18"/>
      <w:szCs w:val="24"/>
    </w:rPr>
  </w:style>
  <w:style w:type="character" w:customStyle="1" w:styleId="73">
    <w:name w:val="正文文本缩进 3 Char"/>
    <w:link w:val="33"/>
    <w:qFormat/>
    <w:uiPriority w:val="0"/>
    <w:rPr>
      <w:rFonts w:ascii="Times New Roman" w:hAnsi="Times New Roman" w:eastAsia="宋体" w:cs="Times New Roman"/>
      <w:kern w:val="2"/>
      <w:sz w:val="16"/>
      <w:szCs w:val="16"/>
    </w:rPr>
  </w:style>
  <w:style w:type="character" w:customStyle="1" w:styleId="74">
    <w:name w:val="日期 Char"/>
    <w:link w:val="25"/>
    <w:qFormat/>
    <w:uiPriority w:val="0"/>
    <w:rPr>
      <w:rFonts w:ascii="Times New Roman" w:hAnsi="Times New Roman" w:eastAsia="宋体" w:cs="Times New Roman"/>
      <w:sz w:val="28"/>
    </w:rPr>
  </w:style>
  <w:style w:type="character" w:customStyle="1" w:styleId="75">
    <w:name w:val="Char Char16"/>
    <w:qFormat/>
    <w:uiPriority w:val="0"/>
    <w:rPr>
      <w:rFonts w:ascii="Times New Roman" w:hAnsi="Times New Roman" w:eastAsia="宋体" w:cs="Times New Roman"/>
      <w:b/>
      <w:kern w:val="2"/>
      <w:sz w:val="32"/>
    </w:rPr>
  </w:style>
  <w:style w:type="character" w:customStyle="1" w:styleId="76">
    <w:name w:val="gpa"/>
    <w:qFormat/>
    <w:uiPriority w:val="0"/>
    <w:rPr>
      <w:rFonts w:hint="default" w:ascii="Arial" w:hAnsi="Arial" w:eastAsia="宋体" w:cs="Arial"/>
      <w:sz w:val="15"/>
      <w:szCs w:val="15"/>
    </w:rPr>
  </w:style>
  <w:style w:type="character" w:customStyle="1" w:styleId="77">
    <w:name w:val="p12h15"/>
    <w:basedOn w:val="42"/>
    <w:qFormat/>
    <w:uiPriority w:val="0"/>
  </w:style>
  <w:style w:type="character" w:customStyle="1" w:styleId="78">
    <w:name w:val="Char Char17"/>
    <w:qFormat/>
    <w:uiPriority w:val="0"/>
    <w:rPr>
      <w:rFonts w:hint="eastAsia" w:ascii="楷体_GB2312" w:hAnsi="Times New Roman" w:eastAsia="楷体_GB2312" w:cs="楷体_GB2312"/>
      <w:b/>
      <w:kern w:val="44"/>
      <w:sz w:val="44"/>
    </w:rPr>
  </w:style>
  <w:style w:type="character" w:customStyle="1" w:styleId="79">
    <w:name w:val="HTML 预设格式 Char"/>
    <w:link w:val="36"/>
    <w:qFormat/>
    <w:uiPriority w:val="0"/>
    <w:rPr>
      <w:rFonts w:hint="default" w:ascii="Arial" w:hAnsi="Arial" w:eastAsia="宋体" w:cs="Arial"/>
      <w:sz w:val="24"/>
      <w:szCs w:val="24"/>
    </w:rPr>
  </w:style>
  <w:style w:type="character" w:customStyle="1" w:styleId="80">
    <w:name w:val="批注文字 Char"/>
    <w:link w:val="19"/>
    <w:qFormat/>
    <w:uiPriority w:val="0"/>
    <w:rPr>
      <w:rFonts w:ascii="Times New Roman" w:hAnsi="Times New Roman" w:eastAsia="宋体" w:cs="Times New Roman"/>
      <w:kern w:val="2"/>
      <w:sz w:val="21"/>
      <w:szCs w:val="24"/>
    </w:rPr>
  </w:style>
  <w:style w:type="character" w:customStyle="1" w:styleId="81">
    <w:name w:val="文档结构图 Char"/>
    <w:link w:val="17"/>
    <w:qFormat/>
    <w:uiPriority w:val="0"/>
    <w:rPr>
      <w:rFonts w:ascii="Times New Roman" w:hAnsi="Times New Roman" w:eastAsia="宋体" w:cs="Times New Roman"/>
      <w:kern w:val="2"/>
      <w:sz w:val="21"/>
      <w:szCs w:val="24"/>
      <w:shd w:val="clear" w:color="auto" w:fill="000080"/>
    </w:rPr>
  </w:style>
  <w:style w:type="character" w:customStyle="1" w:styleId="82">
    <w:name w:val="Comment Text Char"/>
    <w:qFormat/>
    <w:uiPriority w:val="0"/>
    <w:rPr>
      <w:rFonts w:hint="default" w:ascii="Times New Roman" w:hAnsi="Times New Roman" w:eastAsia="宋体" w:cs="Times New Roman"/>
      <w:sz w:val="24"/>
    </w:rPr>
  </w:style>
  <w:style w:type="character" w:customStyle="1" w:styleId="83">
    <w:name w:val="正文文本缩进 2 Char"/>
    <w:link w:val="26"/>
    <w:qFormat/>
    <w:uiPriority w:val="0"/>
    <w:rPr>
      <w:rFonts w:ascii="Times New Roman" w:hAnsi="Times New Roman" w:eastAsia="宋体" w:cs="Times New Roman"/>
      <w:kern w:val="2"/>
      <w:sz w:val="21"/>
      <w:szCs w:val="24"/>
    </w:rPr>
  </w:style>
  <w:style w:type="character" w:customStyle="1" w:styleId="84">
    <w:name w:val="正文文本 2 Char"/>
    <w:link w:val="4"/>
    <w:qFormat/>
    <w:uiPriority w:val="0"/>
    <w:rPr>
      <w:rFonts w:ascii="Times New Roman" w:hAnsi="Times New Roman" w:eastAsia="宋体" w:cs="Times New Roman"/>
      <w:kern w:val="2"/>
      <w:sz w:val="21"/>
      <w:szCs w:val="24"/>
    </w:rPr>
  </w:style>
  <w:style w:type="character" w:customStyle="1" w:styleId="85">
    <w:name w:val="selected"/>
    <w:qFormat/>
    <w:uiPriority w:val="0"/>
    <w:rPr>
      <w:rFonts w:ascii="Times New Roman" w:hAnsi="Times New Roman" w:eastAsia="宋体" w:cs="Times New Roman"/>
      <w:shd w:val="clear" w:color="auto" w:fill="B00006"/>
    </w:rPr>
  </w:style>
  <w:style w:type="character" w:customStyle="1" w:styleId="86">
    <w:name w:val="标题 4 Char"/>
    <w:link w:val="12"/>
    <w:qFormat/>
    <w:uiPriority w:val="0"/>
    <w:rPr>
      <w:rFonts w:ascii="Times New Roman" w:hAnsi="Times New Roman" w:eastAsia="宋体" w:cs="Times New Roman"/>
      <w:kern w:val="2"/>
      <w:sz w:val="32"/>
    </w:rPr>
  </w:style>
  <w:style w:type="character" w:customStyle="1" w:styleId="87">
    <w:name w:val="Item List in Table Char Char"/>
    <w:qFormat/>
    <w:uiPriority w:val="0"/>
    <w:rPr>
      <w:rFonts w:hint="default" w:ascii="Arial" w:hAnsi="Arial" w:eastAsia="宋体" w:cs="Arial"/>
      <w:sz w:val="18"/>
      <w:szCs w:val="18"/>
    </w:rPr>
  </w:style>
  <w:style w:type="character" w:customStyle="1" w:styleId="88">
    <w:name w:val="标题 2 Char Char Char"/>
    <w:qFormat/>
    <w:uiPriority w:val="0"/>
    <w:rPr>
      <w:rFonts w:hint="default" w:ascii="Arial" w:hAnsi="Arial" w:eastAsia="黑体" w:cs="Arial"/>
      <w:b/>
      <w:kern w:val="2"/>
      <w:sz w:val="32"/>
      <w:szCs w:val="32"/>
      <w:lang w:val="en-US" w:eastAsia="zh-CN"/>
    </w:rPr>
  </w:style>
  <w:style w:type="character" w:customStyle="1" w:styleId="89">
    <w:name w:val="标题 6 Char"/>
    <w:link w:val="14"/>
    <w:qFormat/>
    <w:uiPriority w:val="0"/>
    <w:rPr>
      <w:rFonts w:hint="eastAsia" w:ascii="宋体" w:hAnsi="宋体" w:eastAsia="宋体" w:cs="宋体"/>
      <w:b/>
      <w:sz w:val="24"/>
      <w:szCs w:val="24"/>
      <w:lang w:eastAsia="en-US"/>
    </w:rPr>
  </w:style>
  <w:style w:type="character" w:customStyle="1" w:styleId="90">
    <w:name w:val="普通文字 Char Char Char Char"/>
    <w:qFormat/>
    <w:uiPriority w:val="0"/>
    <w:rPr>
      <w:rFonts w:hint="eastAsia" w:ascii="宋体" w:hAnsi="Courier New" w:eastAsia="宋体" w:cs="宋体"/>
      <w:color w:val="000080"/>
      <w:sz w:val="21"/>
      <w:szCs w:val="21"/>
      <w:lang w:val="en-US" w:eastAsia="zh-CN"/>
    </w:rPr>
  </w:style>
  <w:style w:type="character" w:customStyle="1" w:styleId="91">
    <w:name w:val="批注框文本 Char"/>
    <w:link w:val="27"/>
    <w:qFormat/>
    <w:uiPriority w:val="0"/>
    <w:rPr>
      <w:rFonts w:ascii="Times New Roman" w:hAnsi="Times New Roman" w:eastAsia="宋体" w:cs="Times New Roman"/>
      <w:kern w:val="2"/>
      <w:sz w:val="18"/>
      <w:szCs w:val="18"/>
    </w:rPr>
  </w:style>
  <w:style w:type="character" w:customStyle="1" w:styleId="92">
    <w:name w:val="Balloon Text Char"/>
    <w:qFormat/>
    <w:uiPriority w:val="0"/>
    <w:rPr>
      <w:rFonts w:ascii="Times New Roman" w:hAnsi="Times New Roman" w:eastAsia="宋体" w:cs="Times New Roman"/>
      <w:sz w:val="18"/>
    </w:rPr>
  </w:style>
  <w:style w:type="character" w:customStyle="1" w:styleId="93">
    <w:name w:val="overfont"/>
    <w:basedOn w:val="42"/>
    <w:qFormat/>
    <w:uiPriority w:val="0"/>
  </w:style>
  <w:style w:type="character" w:customStyle="1" w:styleId="94">
    <w:name w:val="标题 1 Char"/>
    <w:link w:val="9"/>
    <w:qFormat/>
    <w:uiPriority w:val="0"/>
    <w:rPr>
      <w:rFonts w:hint="eastAsia" w:ascii="楷体_GB2312" w:hAnsi="Times New Roman" w:eastAsia="楷体_GB2312" w:cs="楷体_GB2312"/>
      <w:b/>
      <w:kern w:val="44"/>
      <w:sz w:val="44"/>
    </w:rPr>
  </w:style>
  <w:style w:type="character" w:customStyle="1" w:styleId="95">
    <w:name w:val="页眉 Char"/>
    <w:link w:val="29"/>
    <w:qFormat/>
    <w:uiPriority w:val="0"/>
    <w:rPr>
      <w:rFonts w:ascii="Times New Roman" w:hAnsi="Times New Roman" w:eastAsia="宋体" w:cs="Times New Roman"/>
      <w:kern w:val="2"/>
      <w:sz w:val="18"/>
      <w:szCs w:val="18"/>
    </w:rPr>
  </w:style>
  <w:style w:type="character" w:customStyle="1" w:styleId="96">
    <w:name w:val="Char Char11"/>
    <w:qFormat/>
    <w:uiPriority w:val="0"/>
    <w:rPr>
      <w:rFonts w:ascii="Times New Roman" w:hAnsi="Times New Roman" w:eastAsia="宋体" w:cs="Times New Roman"/>
      <w:kern w:val="2"/>
      <w:sz w:val="18"/>
      <w:szCs w:val="18"/>
    </w:rPr>
  </w:style>
  <w:style w:type="character" w:customStyle="1" w:styleId="97">
    <w:name w:val="页脚 Char"/>
    <w:link w:val="28"/>
    <w:qFormat/>
    <w:uiPriority w:val="0"/>
    <w:rPr>
      <w:rFonts w:ascii="Times New Roman" w:hAnsi="Times New Roman" w:eastAsia="宋体" w:cs="Times New Roman"/>
      <w:kern w:val="2"/>
      <w:sz w:val="18"/>
      <w:szCs w:val="18"/>
    </w:rPr>
  </w:style>
  <w:style w:type="character" w:customStyle="1" w:styleId="98">
    <w:name w:val="Char Char Char"/>
    <w:qFormat/>
    <w:uiPriority w:val="0"/>
    <w:rPr>
      <w:rFonts w:hint="eastAsia" w:ascii="宋体" w:hAnsi="Courier New" w:eastAsia="宋体" w:cs="宋体"/>
      <w:kern w:val="2"/>
      <w:sz w:val="21"/>
      <w:lang w:val="en-US" w:eastAsia="zh-CN"/>
    </w:rPr>
  </w:style>
  <w:style w:type="character" w:customStyle="1" w:styleId="99">
    <w:name w:val="标题 2 Char"/>
    <w:link w:val="10"/>
    <w:qFormat/>
    <w:uiPriority w:val="0"/>
    <w:rPr>
      <w:rFonts w:ascii="Arial" w:hAnsi="Arial" w:eastAsia="黑体" w:cs="Arial"/>
      <w:b/>
      <w:kern w:val="2"/>
      <w:sz w:val="32"/>
    </w:rPr>
  </w:style>
  <w:style w:type="character" w:customStyle="1" w:styleId="100">
    <w:name w:val="标题 3 Char"/>
    <w:link w:val="11"/>
    <w:qFormat/>
    <w:uiPriority w:val="0"/>
    <w:rPr>
      <w:rFonts w:ascii="Times New Roman" w:hAnsi="Times New Roman" w:eastAsia="宋体" w:cs="Times New Roman"/>
      <w:b/>
      <w:kern w:val="2"/>
      <w:sz w:val="32"/>
    </w:rPr>
  </w:style>
  <w:style w:type="character" w:customStyle="1" w:styleId="101">
    <w:name w:val="p0 Char Char"/>
    <w:qFormat/>
    <w:uiPriority w:val="0"/>
    <w:rPr>
      <w:rFonts w:ascii="Times New Roman" w:hAnsi="Times New Roman" w:eastAsia="宋体" w:cs="Times New Roman"/>
      <w:kern w:val="2"/>
      <w:sz w:val="21"/>
    </w:rPr>
  </w:style>
  <w:style w:type="character" w:customStyle="1" w:styleId="102">
    <w:name w:val="fontstyle11"/>
    <w:qFormat/>
    <w:uiPriority w:val="0"/>
    <w:rPr>
      <w:rFonts w:hint="default" w:ascii="E-BZ" w:hAnsi="E-BZ" w:eastAsia="E-BZ" w:cs="E-BZ"/>
      <w:color w:val="000000"/>
      <w:sz w:val="20"/>
      <w:szCs w:val="20"/>
    </w:rPr>
  </w:style>
  <w:style w:type="character" w:customStyle="1" w:styleId="103">
    <w:name w:val="正文文本缩进 Char"/>
    <w:link w:val="6"/>
    <w:qFormat/>
    <w:uiPriority w:val="0"/>
    <w:rPr>
      <w:rFonts w:ascii="Times New Roman" w:hAnsi="Times New Roman" w:eastAsia="宋体" w:cs="Times New Roman"/>
      <w:kern w:val="2"/>
      <w:sz w:val="21"/>
      <w:szCs w:val="24"/>
    </w:rPr>
  </w:style>
  <w:style w:type="character" w:customStyle="1" w:styleId="104">
    <w:name w:val="正文首行缩进 Char"/>
    <w:link w:val="2"/>
    <w:qFormat/>
    <w:uiPriority w:val="0"/>
    <w:rPr>
      <w:rFonts w:hint="eastAsia" w:ascii="楷体_GB2312" w:hAnsi="Times New Roman" w:eastAsia="楷体_GB2312" w:cs="楷体_GB2312"/>
      <w:kern w:val="2"/>
      <w:sz w:val="32"/>
      <w:szCs w:val="24"/>
    </w:rPr>
  </w:style>
  <w:style w:type="character" w:customStyle="1" w:styleId="105">
    <w:name w:val="font61"/>
    <w:basedOn w:val="42"/>
    <w:qFormat/>
    <w:uiPriority w:val="0"/>
    <w:rPr>
      <w:rFonts w:hint="eastAsia" w:ascii="宋体" w:hAnsi="宋体" w:eastAsia="宋体" w:cs="宋体"/>
      <w:color w:val="000000"/>
      <w:sz w:val="21"/>
      <w:szCs w:val="21"/>
      <w:u w:val="none"/>
    </w:rPr>
  </w:style>
  <w:style w:type="paragraph" w:customStyle="1" w:styleId="106">
    <w:name w:val="Body Text First Indent1"/>
    <w:basedOn w:val="3"/>
    <w:qFormat/>
    <w:uiPriority w:val="0"/>
    <w:pPr>
      <w:ind w:firstLine="420" w:firstLineChars="100"/>
    </w:pPr>
  </w:style>
  <w:style w:type="paragraph" w:customStyle="1" w:styleId="107">
    <w:name w:val="p0"/>
    <w:basedOn w:val="1"/>
    <w:qFormat/>
    <w:uiPriority w:val="0"/>
    <w:pPr>
      <w:widowControl/>
    </w:pPr>
    <w:rPr>
      <w:rFonts w:ascii="Times New Roman" w:hAnsi="Times New Roman"/>
      <w:kern w:val="0"/>
      <w:szCs w:val="21"/>
    </w:rPr>
  </w:style>
  <w:style w:type="paragraph" w:customStyle="1" w:styleId="108">
    <w:name w:val="a2"/>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09">
    <w:name w:val="Char"/>
    <w:basedOn w:val="1"/>
    <w:qFormat/>
    <w:uiPriority w:val="0"/>
    <w:pPr>
      <w:snapToGrid w:val="0"/>
      <w:spacing w:line="360" w:lineRule="auto"/>
      <w:ind w:firstLine="200" w:firstLineChars="200"/>
    </w:pPr>
    <w:rPr>
      <w:rFonts w:ascii="Times New Roman" w:hAnsi="Times New Roman"/>
    </w:rPr>
  </w:style>
  <w:style w:type="paragraph" w:customStyle="1" w:styleId="110">
    <w:name w:val="标题3-1"/>
    <w:basedOn w:val="11"/>
    <w:qFormat/>
    <w:uiPriority w:val="0"/>
    <w:pPr>
      <w:numPr>
        <w:ilvl w:val="0"/>
        <w:numId w:val="1"/>
      </w:numPr>
    </w:pPr>
    <w:rPr>
      <w:sz w:val="24"/>
    </w:rPr>
  </w:style>
  <w:style w:type="paragraph" w:customStyle="1" w:styleId="111">
    <w:name w:val="a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2">
    <w:name w:val="列出段落1"/>
    <w:basedOn w:val="1"/>
    <w:qFormat/>
    <w:uiPriority w:val="0"/>
    <w:pPr>
      <w:ind w:firstLine="420" w:firstLineChars="200"/>
    </w:pPr>
    <w:rPr>
      <w:rFonts w:ascii="Times New Roman" w:hAnsi="Times New Roman"/>
    </w:rPr>
  </w:style>
  <w:style w:type="paragraph" w:customStyle="1" w:styleId="113">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114">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115">
    <w:name w:val="正文_13_0"/>
    <w:basedOn w:val="1"/>
    <w:qFormat/>
    <w:uiPriority w:val="0"/>
    <w:rPr>
      <w:rFonts w:ascii="Calibri" w:hAnsi="Calibri"/>
    </w:rPr>
  </w:style>
  <w:style w:type="paragraph" w:customStyle="1" w:styleId="116">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szCs w:val="20"/>
    </w:rPr>
  </w:style>
  <w:style w:type="paragraph" w:customStyle="1" w:styleId="117">
    <w:name w:val="Table Paragraph"/>
    <w:basedOn w:val="1"/>
    <w:unhideWhenUsed/>
    <w:qFormat/>
    <w:uiPriority w:val="1"/>
    <w:rPr>
      <w:sz w:val="24"/>
    </w:rPr>
  </w:style>
  <w:style w:type="paragraph" w:customStyle="1" w:styleId="1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p15"/>
    <w:basedOn w:val="1"/>
    <w:qFormat/>
    <w:uiPriority w:val="0"/>
    <w:pPr>
      <w:widowControl/>
      <w:spacing w:line="365" w:lineRule="atLeast"/>
      <w:ind w:left="1"/>
    </w:pPr>
    <w:rPr>
      <w:rFonts w:ascii="Times New Roman" w:hAnsi="Times New Roman"/>
      <w:kern w:val="0"/>
      <w:sz w:val="20"/>
    </w:rPr>
  </w:style>
  <w:style w:type="paragraph" w:customStyle="1" w:styleId="120">
    <w:name w:val="TOAHeading"/>
    <w:basedOn w:val="1"/>
    <w:next w:val="1"/>
    <w:qFormat/>
    <w:uiPriority w:val="0"/>
    <w:pPr>
      <w:spacing w:before="120"/>
      <w:textAlignment w:val="baseline"/>
    </w:pPr>
    <w:rPr>
      <w:rFonts w:ascii="Arial" w:hAnsi="Arial"/>
      <w:sz w:val="24"/>
      <w:szCs w:val="22"/>
    </w:rPr>
  </w:style>
  <w:style w:type="character" w:customStyle="1" w:styleId="121">
    <w:name w:val="NormalCharacter"/>
    <w:qFormat/>
    <w:uiPriority w:val="0"/>
    <w:rPr>
      <w:rFonts w:ascii="Book Antiqua" w:hAnsi="Book Antiqua" w:eastAsia="宋体" w:cs="Times New Roman"/>
      <w:kern w:val="2"/>
      <w:sz w:val="21"/>
      <w:szCs w:val="24"/>
      <w:lang w:val="en-US" w:eastAsia="zh-CN" w:bidi="ar-SA"/>
    </w:rPr>
  </w:style>
  <w:style w:type="paragraph" w:customStyle="1" w:styleId="122">
    <w:name w:val="BodyText1I"/>
    <w:basedOn w:val="123"/>
    <w:next w:val="125"/>
    <w:qFormat/>
    <w:uiPriority w:val="0"/>
    <w:pPr>
      <w:ind w:firstLine="420" w:firstLineChars="100"/>
    </w:pPr>
    <w:rPr>
      <w:rFonts w:ascii="楷体_GB2312"/>
      <w:sz w:val="32"/>
    </w:rPr>
  </w:style>
  <w:style w:type="paragraph" w:customStyle="1" w:styleId="123">
    <w:name w:val="BodyText"/>
    <w:basedOn w:val="1"/>
    <w:next w:val="124"/>
    <w:qFormat/>
    <w:uiPriority w:val="0"/>
    <w:pPr>
      <w:textAlignment w:val="baseline"/>
    </w:pPr>
    <w:rPr>
      <w:rFonts w:ascii="Calibri" w:hAnsi="Calibri" w:eastAsia="楷体_GB2312"/>
      <w:kern w:val="0"/>
      <w:sz w:val="28"/>
    </w:rPr>
  </w:style>
  <w:style w:type="paragraph" w:customStyle="1" w:styleId="124">
    <w:name w:val="BodyText2"/>
    <w:basedOn w:val="1"/>
    <w:next w:val="123"/>
    <w:qFormat/>
    <w:uiPriority w:val="0"/>
    <w:pPr>
      <w:spacing w:after="120" w:line="480" w:lineRule="auto"/>
      <w:textAlignment w:val="baseline"/>
    </w:pPr>
  </w:style>
  <w:style w:type="paragraph" w:customStyle="1" w:styleId="125">
    <w:name w:val="BodyText1I2"/>
    <w:basedOn w:val="126"/>
    <w:qFormat/>
    <w:uiPriority w:val="0"/>
    <w:pPr>
      <w:ind w:firstLine="420" w:firstLineChars="200"/>
    </w:pPr>
  </w:style>
  <w:style w:type="paragraph" w:customStyle="1" w:styleId="126">
    <w:name w:val="BodyTextIndent"/>
    <w:basedOn w:val="1"/>
    <w:qFormat/>
    <w:uiPriority w:val="0"/>
    <w:pPr>
      <w:spacing w:after="120"/>
      <w:ind w:left="420" w:leftChars="200"/>
      <w:textAlignment w:val="baseline"/>
    </w:pPr>
  </w:style>
  <w:style w:type="paragraph" w:customStyle="1" w:styleId="127">
    <w:name w:val="正文首行缩进 21"/>
    <w:basedOn w:val="1"/>
    <w:qFormat/>
    <w:uiPriority w:val="0"/>
    <w:pPr>
      <w:tabs>
        <w:tab w:val="left" w:pos="945"/>
        <w:tab w:val="left" w:pos="1155"/>
      </w:tabs>
      <w:ind w:firstLine="420" w:firstLineChars="200"/>
    </w:pPr>
    <w:rPr>
      <w:rFonts w:ascii="宋体"/>
      <w:sz w:val="24"/>
      <w:szCs w:val="20"/>
    </w:rPr>
  </w:style>
  <w:style w:type="paragraph" w:customStyle="1" w:styleId="128">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29">
    <w:name w:val="font31"/>
    <w:basedOn w:val="4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32EA3-D59A-4A73-A1FB-6FC3A6D0E55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3594</Words>
  <Characters>20489</Characters>
  <Lines>170</Lines>
  <Paragraphs>48</Paragraphs>
  <TotalTime>33</TotalTime>
  <ScaleCrop>false</ScaleCrop>
  <LinksUpToDate>false</LinksUpToDate>
  <CharactersWithSpaces>24035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2021-08-31T07:37:00Z</dcterms:created>
  <dc:creator>Administrator</dc:creator>
  <cp:lastModifiedBy>Trumen</cp:lastModifiedBy>
  <cp:lastPrinted>2021-08-06T00:56:00Z</cp:lastPrinted>
  <dcterms:modified xsi:type="dcterms:W3CDTF">2021-12-21T02:22:24Z</dcterms:modified>
  <dc:title>博爱县磨头镇际村小学新建教学楼、厕所项目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9DE1DB5AF5F44BF3B64EE3785582F9C6</vt:lpwstr>
  </property>
</Properties>
</file>