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heme="minorEastAsia" w:hAnsiTheme="minorEastAsia" w:eastAsiaTheme="minorEastAsia" w:cstheme="minorEastAsia"/>
        </w:rPr>
      </w:pPr>
      <w:bookmarkStart w:id="0" w:name="_Toc281574833"/>
    </w:p>
    <w:p>
      <w:pPr>
        <w:pStyle w:val="3"/>
        <w:rPr>
          <w:rFonts w:asciiTheme="minorEastAsia" w:hAnsiTheme="minorEastAsia" w:eastAsiaTheme="minorEastAsia" w:cstheme="minorEastAsia"/>
        </w:rPr>
      </w:pPr>
    </w:p>
    <w:p>
      <w:pPr>
        <w:spacing w:line="360" w:lineRule="auto"/>
        <w:jc w:val="center"/>
        <w:rPr>
          <w:rFonts w:asciiTheme="minorEastAsia" w:hAnsiTheme="minorEastAsia" w:eastAsiaTheme="minorEastAsia" w:cstheme="minorEastAsia"/>
          <w:sz w:val="28"/>
        </w:rPr>
      </w:pPr>
      <w:r>
        <w:rPr>
          <w:rFonts w:hint="eastAsia" w:asciiTheme="majorEastAsia" w:hAnsiTheme="majorEastAsia" w:eastAsiaTheme="majorEastAsia" w:cstheme="majorEastAsia"/>
          <w:b/>
          <w:bCs/>
          <w:sz w:val="44"/>
          <w:szCs w:val="44"/>
          <w:lang w:eastAsia="zh-CN"/>
        </w:rPr>
        <w:t>博爱县牛肉食品工程技术研发中心采购项目</w:t>
      </w:r>
    </w:p>
    <w:p>
      <w:pPr>
        <w:pStyle w:val="20"/>
        <w:ind w:firstLine="210"/>
        <w:rPr>
          <w:rFonts w:asciiTheme="minorEastAsia" w:hAnsiTheme="minorEastAsia" w:eastAsiaTheme="minorEastAsia" w:cstheme="minorEastAsia"/>
          <w:highlight w:val="yellow"/>
        </w:rPr>
      </w:pPr>
    </w:p>
    <w:p>
      <w:pPr>
        <w:spacing w:line="360" w:lineRule="auto"/>
        <w:jc w:val="center"/>
        <w:rPr>
          <w:rFonts w:asciiTheme="minorEastAsia" w:hAnsiTheme="minorEastAsia" w:eastAsiaTheme="minorEastAsia" w:cstheme="minorEastAsia"/>
          <w:b/>
          <w:sz w:val="84"/>
          <w:szCs w:val="84"/>
        </w:rPr>
      </w:pPr>
    </w:p>
    <w:p>
      <w:pPr>
        <w:pStyle w:val="4"/>
      </w:pPr>
      <w:r>
        <w:rPr>
          <w:rFonts w:hint="eastAsia"/>
        </w:rPr>
        <w:t xml:space="preserve"> </w:t>
      </w:r>
    </w:p>
    <w:p>
      <w:pPr>
        <w:spacing w:line="360" w:lineRule="auto"/>
        <w:jc w:val="center"/>
        <w:rPr>
          <w:rFonts w:asciiTheme="minorEastAsia" w:hAnsiTheme="minorEastAsia" w:eastAsiaTheme="minorEastAsia" w:cstheme="minorEastAsia"/>
          <w:b/>
          <w:sz w:val="120"/>
          <w:szCs w:val="120"/>
        </w:rPr>
      </w:pPr>
      <w:r>
        <w:rPr>
          <w:rFonts w:hint="eastAsia" w:asciiTheme="minorEastAsia" w:hAnsiTheme="minorEastAsia" w:eastAsiaTheme="minorEastAsia" w:cstheme="minorEastAsia"/>
          <w:b/>
          <w:sz w:val="120"/>
          <w:szCs w:val="120"/>
        </w:rPr>
        <w:t>招 标 文 件</w:t>
      </w:r>
    </w:p>
    <w:p>
      <w:pPr>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rPr>
        <w:t>采购编号：</w:t>
      </w:r>
      <w:r>
        <w:rPr>
          <w:rFonts w:hint="eastAsia" w:asciiTheme="minorEastAsia" w:hAnsiTheme="minorEastAsia" w:eastAsiaTheme="minorEastAsia" w:cstheme="minorEastAsia"/>
          <w:b/>
          <w:bCs/>
          <w:sz w:val="36"/>
          <w:szCs w:val="36"/>
          <w:lang w:eastAsia="zh-CN"/>
        </w:rPr>
        <w:t>博政采购(2021)</w:t>
      </w:r>
      <w:r>
        <w:rPr>
          <w:rFonts w:hint="eastAsia" w:asciiTheme="minorEastAsia" w:hAnsiTheme="minorEastAsia" w:eastAsiaTheme="minorEastAsia" w:cstheme="minorEastAsia"/>
          <w:b/>
          <w:bCs/>
          <w:sz w:val="36"/>
          <w:szCs w:val="36"/>
          <w:lang w:val="en-US" w:eastAsia="zh-CN"/>
        </w:rPr>
        <w:t>147-1</w:t>
      </w:r>
      <w:r>
        <w:rPr>
          <w:rFonts w:hint="eastAsia" w:asciiTheme="minorEastAsia" w:hAnsiTheme="minorEastAsia" w:eastAsiaTheme="minorEastAsia" w:cstheme="minorEastAsia"/>
          <w:b/>
          <w:bCs/>
          <w:sz w:val="36"/>
          <w:szCs w:val="36"/>
          <w:lang w:eastAsia="zh-CN"/>
        </w:rPr>
        <w:t>号</w:t>
      </w:r>
    </w:p>
    <w:p>
      <w:pPr>
        <w:jc w:val="center"/>
        <w:rPr>
          <w:rFonts w:asciiTheme="minorEastAsia" w:hAnsiTheme="minorEastAsia" w:eastAsiaTheme="minorEastAsia" w:cstheme="minorEastAsia"/>
          <w:sz w:val="30"/>
        </w:rPr>
      </w:pPr>
    </w:p>
    <w:p>
      <w:pPr>
        <w:rPr>
          <w:rFonts w:asciiTheme="minorEastAsia" w:hAnsiTheme="minorEastAsia" w:eastAsiaTheme="minorEastAsia" w:cstheme="minorEastAsia"/>
          <w:sz w:val="30"/>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ind w:firstLine="1928" w:firstLineChars="600"/>
        <w:rPr>
          <w:rFonts w:asciiTheme="minorEastAsia" w:hAnsiTheme="minorEastAsia" w:eastAsiaTheme="minorEastAsia" w:cstheme="minorEastAsia"/>
          <w:b/>
          <w:bCs/>
          <w:sz w:val="32"/>
          <w:szCs w:val="32"/>
        </w:rPr>
      </w:pPr>
    </w:p>
    <w:p>
      <w:pPr>
        <w:ind w:firstLine="1928" w:firstLineChars="600"/>
        <w:rPr>
          <w:rFonts w:asciiTheme="minorEastAsia" w:hAnsiTheme="minorEastAsia" w:eastAsiaTheme="minorEastAsia" w:cstheme="minorEastAsia"/>
          <w:b/>
          <w:bCs/>
          <w:sz w:val="32"/>
          <w:szCs w:val="32"/>
        </w:rPr>
      </w:pPr>
    </w:p>
    <w:p>
      <w:pPr>
        <w:ind w:firstLine="1928" w:firstLineChars="600"/>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rPr>
        <w:t>采 购 人：</w:t>
      </w:r>
      <w:r>
        <w:rPr>
          <w:rFonts w:hint="eastAsia" w:asciiTheme="minorEastAsia" w:hAnsiTheme="minorEastAsia" w:eastAsiaTheme="minorEastAsia" w:cstheme="minorEastAsia"/>
          <w:b/>
          <w:bCs/>
          <w:sz w:val="32"/>
          <w:szCs w:val="32"/>
          <w:lang w:eastAsia="zh-CN"/>
        </w:rPr>
        <w:t>博爱县农业农村局</w:t>
      </w:r>
    </w:p>
    <w:p>
      <w:pPr>
        <w:ind w:firstLine="1928" w:firstLineChars="6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代理机构：博爱县城市建设项目管理有限公司</w:t>
      </w:r>
    </w:p>
    <w:p>
      <w:pPr>
        <w:ind w:firstLine="1928" w:firstLineChars="600"/>
        <w:rPr>
          <w:rFonts w:asciiTheme="minorEastAsia" w:hAnsiTheme="minorEastAsia" w:eastAsiaTheme="minorEastAsia" w:cstheme="minorEastAsia"/>
          <w:b/>
          <w:bCs/>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597" w:right="1116" w:bottom="1417" w:left="1331"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sz w:val="32"/>
          <w:szCs w:val="32"/>
        </w:rPr>
        <w:t>日    期：2021年</w:t>
      </w:r>
      <w:r>
        <w:rPr>
          <w:rFonts w:hint="eastAsia" w:asciiTheme="minorEastAsia" w:hAnsiTheme="minorEastAsia" w:eastAsiaTheme="minorEastAsia" w:cstheme="minorEastAsia"/>
          <w:b/>
          <w:bCs/>
          <w:sz w:val="32"/>
          <w:szCs w:val="32"/>
          <w:lang w:val="en-US" w:eastAsia="zh-CN"/>
        </w:rPr>
        <w:t>12</w:t>
      </w:r>
      <w:r>
        <w:rPr>
          <w:rFonts w:hint="eastAsia" w:asciiTheme="minorEastAsia" w:hAnsiTheme="minorEastAsia" w:eastAsiaTheme="minorEastAsia" w:cstheme="minorEastAsia"/>
          <w:b/>
          <w:bCs/>
          <w:sz w:val="32"/>
          <w:szCs w:val="32"/>
        </w:rPr>
        <w:t>月</w:t>
      </w:r>
    </w:p>
    <w:p>
      <w:p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目     录</w:t>
      </w:r>
    </w:p>
    <w:p>
      <w:pPr>
        <w:pStyle w:val="12"/>
        <w:tabs>
          <w:tab w:val="right" w:leader="dot" w:pos="9460"/>
        </w:tabs>
        <w:spacing w:line="520" w:lineRule="exact"/>
        <w:rPr>
          <w:b/>
          <w:bCs/>
        </w:rPr>
      </w:pPr>
      <w:r>
        <w:rPr>
          <w:rFonts w:hint="eastAsia" w:asciiTheme="minorEastAsia" w:hAnsiTheme="minorEastAsia" w:eastAsiaTheme="minorEastAsia" w:cstheme="minorEastAsia"/>
          <w:b/>
          <w:bCs/>
          <w:szCs w:val="21"/>
          <w:lang w:val="zh-CN"/>
        </w:rPr>
        <w:fldChar w:fldCharType="begin"/>
      </w:r>
      <w:r>
        <w:rPr>
          <w:rFonts w:hint="eastAsia" w:asciiTheme="minorEastAsia" w:hAnsiTheme="minorEastAsia" w:eastAsiaTheme="minorEastAsia" w:cstheme="minorEastAsia"/>
          <w:b/>
          <w:bCs/>
          <w:szCs w:val="21"/>
          <w:lang w:val="zh-CN"/>
        </w:rPr>
        <w:instrText xml:space="preserve"> TOC \o "1-3" \h \z \u </w:instrText>
      </w:r>
      <w:r>
        <w:rPr>
          <w:rFonts w:hint="eastAsia" w:asciiTheme="minorEastAsia" w:hAnsiTheme="minorEastAsia" w:eastAsiaTheme="minorEastAsia" w:cstheme="minorEastAsia"/>
          <w:b/>
          <w:bCs/>
          <w:szCs w:val="21"/>
          <w:lang w:val="zh-CN"/>
        </w:rPr>
        <w:fldChar w:fldCharType="separate"/>
      </w:r>
      <w:r>
        <w:fldChar w:fldCharType="begin"/>
      </w:r>
      <w:r>
        <w:instrText xml:space="preserve"> HYPERLINK \l "_Toc9243" </w:instrText>
      </w:r>
      <w:r>
        <w:fldChar w:fldCharType="separate"/>
      </w:r>
      <w:r>
        <w:rPr>
          <w:rFonts w:hint="eastAsia" w:asciiTheme="minorEastAsia" w:hAnsiTheme="minorEastAsia" w:eastAsiaTheme="minorEastAsia" w:cstheme="minorEastAsia"/>
          <w:b/>
          <w:bCs/>
        </w:rPr>
        <w:t>第一章   招标公告</w:t>
      </w:r>
      <w:r>
        <w:rPr>
          <w:b/>
          <w:bCs/>
        </w:rPr>
        <w:tab/>
      </w:r>
      <w:r>
        <w:rPr>
          <w:b/>
          <w:bCs/>
        </w:rPr>
        <w:fldChar w:fldCharType="begin"/>
      </w:r>
      <w:r>
        <w:rPr>
          <w:b/>
          <w:bCs/>
        </w:rPr>
        <w:instrText xml:space="preserve"> PAGEREF _Toc9243 </w:instrText>
      </w:r>
      <w:r>
        <w:rPr>
          <w:b/>
          <w:bCs/>
        </w:rPr>
        <w:fldChar w:fldCharType="separate"/>
      </w:r>
      <w:r>
        <w:rPr>
          <w:b/>
          <w:bCs/>
        </w:rPr>
        <w:t>- 3 -</w:t>
      </w:r>
      <w:r>
        <w:rPr>
          <w:b/>
          <w:bCs/>
        </w:rPr>
        <w:fldChar w:fldCharType="end"/>
      </w:r>
      <w:r>
        <w:rPr>
          <w:b/>
          <w:bCs/>
        </w:rPr>
        <w:fldChar w:fldCharType="end"/>
      </w:r>
    </w:p>
    <w:p>
      <w:pPr>
        <w:pStyle w:val="12"/>
        <w:tabs>
          <w:tab w:val="right" w:leader="dot" w:pos="9460"/>
        </w:tabs>
        <w:spacing w:line="520" w:lineRule="exact"/>
        <w:rPr>
          <w:b/>
          <w:bCs/>
        </w:rPr>
      </w:pPr>
      <w:r>
        <w:fldChar w:fldCharType="begin"/>
      </w:r>
      <w:r>
        <w:instrText xml:space="preserve"> HYPERLINK \l "_Toc25354" </w:instrText>
      </w:r>
      <w:r>
        <w:fldChar w:fldCharType="separate"/>
      </w:r>
      <w:r>
        <w:rPr>
          <w:rFonts w:hint="eastAsia" w:asciiTheme="minorEastAsia" w:hAnsiTheme="minorEastAsia" w:eastAsiaTheme="minorEastAsia" w:cstheme="minorEastAsia"/>
          <w:b/>
          <w:bCs/>
          <w:szCs w:val="32"/>
        </w:rPr>
        <w:t>第二章  供应商须知</w:t>
      </w:r>
      <w:r>
        <w:rPr>
          <w:b/>
          <w:bCs/>
        </w:rPr>
        <w:tab/>
      </w:r>
      <w:r>
        <w:rPr>
          <w:b/>
          <w:bCs/>
        </w:rPr>
        <w:fldChar w:fldCharType="begin"/>
      </w:r>
      <w:r>
        <w:rPr>
          <w:b/>
          <w:bCs/>
        </w:rPr>
        <w:instrText xml:space="preserve"> PAGEREF _Toc25354 </w:instrText>
      </w:r>
      <w:r>
        <w:rPr>
          <w:b/>
          <w:bCs/>
        </w:rPr>
        <w:fldChar w:fldCharType="separate"/>
      </w:r>
      <w:r>
        <w:rPr>
          <w:b/>
          <w:bCs/>
        </w:rPr>
        <w:t>- 3 -</w:t>
      </w:r>
      <w:r>
        <w:rPr>
          <w:b/>
          <w:bCs/>
        </w:rPr>
        <w:fldChar w:fldCharType="end"/>
      </w:r>
      <w:r>
        <w:rPr>
          <w:b/>
          <w:bCs/>
        </w:rPr>
        <w:fldChar w:fldCharType="end"/>
      </w:r>
    </w:p>
    <w:p>
      <w:pPr>
        <w:pStyle w:val="12"/>
        <w:tabs>
          <w:tab w:val="right" w:leader="dot" w:pos="9460"/>
        </w:tabs>
        <w:spacing w:line="520" w:lineRule="exact"/>
        <w:rPr>
          <w:b/>
          <w:bCs/>
        </w:rPr>
      </w:pPr>
      <w:r>
        <w:fldChar w:fldCharType="begin"/>
      </w:r>
      <w:r>
        <w:instrText xml:space="preserve"> HYPERLINK \l "_Toc1253" </w:instrText>
      </w:r>
      <w:r>
        <w:fldChar w:fldCharType="separate"/>
      </w:r>
      <w:r>
        <w:rPr>
          <w:rFonts w:asciiTheme="minorEastAsia" w:hAnsiTheme="minorEastAsia" w:eastAsiaTheme="minorEastAsia" w:cstheme="minorEastAsia"/>
          <w:b/>
          <w:bCs/>
          <w:szCs w:val="36"/>
        </w:rPr>
        <w:t xml:space="preserve">第三章 </w:t>
      </w:r>
      <w:r>
        <w:rPr>
          <w:rFonts w:hint="eastAsia" w:asciiTheme="minorEastAsia" w:hAnsiTheme="minorEastAsia" w:eastAsiaTheme="minorEastAsia" w:cstheme="minorEastAsia"/>
          <w:b/>
          <w:bCs/>
          <w:szCs w:val="36"/>
        </w:rPr>
        <w:t>评标办法（综合评分法）</w:t>
      </w:r>
      <w:r>
        <w:rPr>
          <w:b/>
          <w:bCs/>
        </w:rPr>
        <w:tab/>
      </w:r>
      <w:r>
        <w:rPr>
          <w:b/>
          <w:bCs/>
        </w:rPr>
        <w:fldChar w:fldCharType="begin"/>
      </w:r>
      <w:r>
        <w:rPr>
          <w:b/>
          <w:bCs/>
        </w:rPr>
        <w:instrText xml:space="preserve"> PAGEREF _Toc1253 </w:instrText>
      </w:r>
      <w:r>
        <w:rPr>
          <w:b/>
          <w:bCs/>
        </w:rPr>
        <w:fldChar w:fldCharType="separate"/>
      </w:r>
      <w:r>
        <w:rPr>
          <w:b/>
          <w:bCs/>
        </w:rPr>
        <w:t>- 20 -</w:t>
      </w:r>
      <w:r>
        <w:rPr>
          <w:b/>
          <w:bCs/>
        </w:rPr>
        <w:fldChar w:fldCharType="end"/>
      </w:r>
      <w:r>
        <w:rPr>
          <w:b/>
          <w:bCs/>
        </w:rPr>
        <w:fldChar w:fldCharType="end"/>
      </w:r>
    </w:p>
    <w:p>
      <w:pPr>
        <w:pStyle w:val="12"/>
        <w:tabs>
          <w:tab w:val="right" w:leader="dot" w:pos="9460"/>
        </w:tabs>
        <w:spacing w:line="520" w:lineRule="exact"/>
        <w:rPr>
          <w:b/>
          <w:bCs/>
        </w:rPr>
      </w:pPr>
      <w:r>
        <w:fldChar w:fldCharType="begin"/>
      </w:r>
      <w:r>
        <w:instrText xml:space="preserve"> HYPERLINK \l "_Toc955" </w:instrText>
      </w:r>
      <w:r>
        <w:fldChar w:fldCharType="separate"/>
      </w:r>
      <w:r>
        <w:rPr>
          <w:rFonts w:hint="eastAsia" w:asciiTheme="minorEastAsia" w:hAnsiTheme="minorEastAsia" w:eastAsiaTheme="minorEastAsia" w:cstheme="minorEastAsia"/>
          <w:b/>
          <w:bCs/>
          <w:szCs w:val="36"/>
        </w:rPr>
        <w:t>第四章  合同条款及格式</w:t>
      </w:r>
      <w:r>
        <w:rPr>
          <w:b/>
          <w:bCs/>
        </w:rPr>
        <w:tab/>
      </w:r>
      <w:r>
        <w:rPr>
          <w:b/>
          <w:bCs/>
        </w:rPr>
        <w:fldChar w:fldCharType="begin"/>
      </w:r>
      <w:r>
        <w:rPr>
          <w:b/>
          <w:bCs/>
        </w:rPr>
        <w:instrText xml:space="preserve"> PAGEREF _Toc955 </w:instrText>
      </w:r>
      <w:r>
        <w:rPr>
          <w:b/>
          <w:bCs/>
        </w:rPr>
        <w:fldChar w:fldCharType="separate"/>
      </w:r>
      <w:r>
        <w:rPr>
          <w:b/>
          <w:bCs/>
        </w:rPr>
        <w:t>- 27 -</w:t>
      </w:r>
      <w:r>
        <w:rPr>
          <w:b/>
          <w:bCs/>
        </w:rPr>
        <w:fldChar w:fldCharType="end"/>
      </w:r>
      <w:r>
        <w:rPr>
          <w:b/>
          <w:bCs/>
        </w:rPr>
        <w:fldChar w:fldCharType="end"/>
      </w:r>
    </w:p>
    <w:p>
      <w:pPr>
        <w:pStyle w:val="12"/>
        <w:tabs>
          <w:tab w:val="right" w:leader="dot" w:pos="9460"/>
        </w:tabs>
        <w:spacing w:line="520" w:lineRule="exact"/>
        <w:rPr>
          <w:rFonts w:asciiTheme="minorEastAsia" w:hAnsiTheme="minorEastAsia" w:eastAsiaTheme="minorEastAsia" w:cstheme="minorEastAsia"/>
          <w:b/>
          <w:bCs/>
          <w:caps/>
          <w:szCs w:val="21"/>
          <w:lang w:val="zh-CN"/>
        </w:rPr>
      </w:pPr>
      <w:r>
        <w:fldChar w:fldCharType="begin"/>
      </w:r>
      <w:r>
        <w:instrText xml:space="preserve"> HYPERLINK \l "_Toc26235" </w:instrText>
      </w:r>
      <w:r>
        <w:fldChar w:fldCharType="separate"/>
      </w:r>
      <w:r>
        <w:rPr>
          <w:rFonts w:hint="eastAsia" w:asciiTheme="minorEastAsia" w:hAnsiTheme="minorEastAsia" w:eastAsiaTheme="minorEastAsia" w:cstheme="minorEastAsia"/>
          <w:b/>
          <w:bCs/>
          <w:szCs w:val="36"/>
        </w:rPr>
        <w:t>第五章  采购内容及要求</w:t>
      </w:r>
      <w:r>
        <w:rPr>
          <w:b/>
          <w:bCs/>
        </w:rPr>
        <w:tab/>
      </w:r>
      <w:r>
        <w:rPr>
          <w:b/>
          <w:bCs/>
        </w:rPr>
        <w:fldChar w:fldCharType="begin"/>
      </w:r>
      <w:r>
        <w:rPr>
          <w:b/>
          <w:bCs/>
        </w:rPr>
        <w:instrText xml:space="preserve"> PAGEREF _Toc26235 </w:instrText>
      </w:r>
      <w:r>
        <w:rPr>
          <w:b/>
          <w:bCs/>
        </w:rPr>
        <w:fldChar w:fldCharType="separate"/>
      </w:r>
      <w:r>
        <w:rPr>
          <w:b/>
          <w:bCs/>
        </w:rPr>
        <w:t>- 31 -</w:t>
      </w:r>
      <w:r>
        <w:rPr>
          <w:b/>
          <w:bCs/>
        </w:rPr>
        <w:fldChar w:fldCharType="end"/>
      </w:r>
      <w:r>
        <w:rPr>
          <w:b/>
          <w:bCs/>
        </w:rPr>
        <w:fldChar w:fldCharType="end"/>
      </w:r>
    </w:p>
    <w:p>
      <w:pPr>
        <w:pStyle w:val="12"/>
        <w:tabs>
          <w:tab w:val="right" w:leader="dot" w:pos="9460"/>
        </w:tabs>
        <w:spacing w:line="520" w:lineRule="exact"/>
        <w:rPr>
          <w:b/>
          <w:bCs/>
        </w:rPr>
      </w:pPr>
      <w:r>
        <w:fldChar w:fldCharType="begin"/>
      </w:r>
      <w:r>
        <w:instrText xml:space="preserve"> HYPERLINK \l "_Toc26235" </w:instrText>
      </w:r>
      <w:r>
        <w:fldChar w:fldCharType="separate"/>
      </w:r>
      <w:r>
        <w:rPr>
          <w:rFonts w:hint="eastAsia" w:asciiTheme="minorEastAsia" w:hAnsiTheme="minorEastAsia" w:eastAsiaTheme="minorEastAsia" w:cstheme="minorEastAsia"/>
          <w:b/>
          <w:bCs/>
          <w:szCs w:val="36"/>
        </w:rPr>
        <w:t>第六章  投标文件格式</w:t>
      </w:r>
      <w:r>
        <w:rPr>
          <w:b/>
          <w:bCs/>
        </w:rPr>
        <w:tab/>
      </w:r>
      <w:r>
        <w:rPr>
          <w:b/>
          <w:bCs/>
        </w:rPr>
        <w:fldChar w:fldCharType="begin"/>
      </w:r>
      <w:r>
        <w:rPr>
          <w:b/>
          <w:bCs/>
        </w:rPr>
        <w:instrText xml:space="preserve"> PAGEREF _Toc26235 </w:instrText>
      </w:r>
      <w:r>
        <w:rPr>
          <w:b/>
          <w:bCs/>
        </w:rPr>
        <w:fldChar w:fldCharType="separate"/>
      </w:r>
      <w:r>
        <w:rPr>
          <w:b/>
          <w:bCs/>
        </w:rPr>
        <w:t>- 31 -</w:t>
      </w:r>
      <w:r>
        <w:rPr>
          <w:b/>
          <w:bCs/>
        </w:rPr>
        <w:fldChar w:fldCharType="end"/>
      </w:r>
      <w:r>
        <w:rPr>
          <w:b/>
          <w:bCs/>
        </w:rPr>
        <w:fldChar w:fldCharType="end"/>
      </w:r>
    </w:p>
    <w:p>
      <w:pPr>
        <w:spacing w:line="520" w:lineRule="exact"/>
        <w:rPr>
          <w:b/>
          <w:bCs/>
        </w:rPr>
      </w:pPr>
    </w:p>
    <w:p>
      <w:pPr>
        <w:spacing w:line="520" w:lineRule="exact"/>
        <w:ind w:right="-273" w:rightChars="-130"/>
        <w:rPr>
          <w:rFonts w:asciiTheme="minorEastAsia" w:hAnsiTheme="minorEastAsia" w:eastAsiaTheme="minorEastAsia" w:cstheme="minorEastAsia"/>
          <w:bCs/>
        </w:rPr>
      </w:pPr>
      <w:r>
        <w:rPr>
          <w:rFonts w:hint="eastAsia" w:asciiTheme="minorEastAsia" w:hAnsiTheme="minorEastAsia" w:eastAsiaTheme="minorEastAsia" w:cstheme="minorEastAsia"/>
          <w:b/>
          <w:bCs/>
          <w:caps/>
          <w:szCs w:val="21"/>
          <w:lang w:val="zh-CN"/>
        </w:rPr>
        <w:fldChar w:fldCharType="end"/>
      </w:r>
    </w:p>
    <w:p>
      <w:pPr>
        <w:pStyle w:val="14"/>
        <w:spacing w:line="360" w:lineRule="auto"/>
        <w:ind w:right="-63" w:rightChars="-30"/>
        <w:rPr>
          <w:rFonts w:asciiTheme="minorEastAsia" w:hAnsiTheme="minorEastAsia" w:eastAsiaTheme="minorEastAsia" w:cstheme="minorEastAsia"/>
          <w:bCs/>
        </w:rPr>
      </w:pPr>
      <w:bookmarkStart w:id="1" w:name="_Toc9243"/>
    </w:p>
    <w:p>
      <w:pPr>
        <w:pStyle w:val="14"/>
        <w:spacing w:line="360" w:lineRule="auto"/>
        <w:ind w:right="-63" w:rightChars="-30"/>
        <w:rPr>
          <w:rFonts w:asciiTheme="minorEastAsia" w:hAnsiTheme="minorEastAsia" w:eastAsiaTheme="minorEastAsia" w:cstheme="minorEastAsia"/>
          <w:bCs/>
        </w:rPr>
      </w:pPr>
    </w:p>
    <w:p>
      <w:pPr>
        <w:pStyle w:val="14"/>
        <w:spacing w:line="360" w:lineRule="auto"/>
        <w:ind w:right="-63" w:rightChars="-30"/>
        <w:rPr>
          <w:rFonts w:asciiTheme="minorEastAsia" w:hAnsiTheme="minorEastAsia" w:eastAsiaTheme="minorEastAsia" w:cstheme="minorEastAsia"/>
          <w:bCs/>
        </w:rPr>
      </w:pPr>
    </w:p>
    <w:p>
      <w:pPr>
        <w:pStyle w:val="14"/>
        <w:spacing w:line="360" w:lineRule="auto"/>
        <w:ind w:right="-63" w:rightChars="-30"/>
        <w:rPr>
          <w:rFonts w:asciiTheme="minorEastAsia" w:hAnsiTheme="minorEastAsia" w:eastAsiaTheme="minorEastAsia" w:cstheme="minorEastAsia"/>
          <w:bCs/>
        </w:rPr>
      </w:pPr>
    </w:p>
    <w:p>
      <w:pPr>
        <w:pStyle w:val="14"/>
        <w:spacing w:line="360" w:lineRule="auto"/>
        <w:ind w:right="-63" w:rightChars="-30"/>
        <w:rPr>
          <w:rFonts w:asciiTheme="minorEastAsia" w:hAnsiTheme="minorEastAsia" w:eastAsiaTheme="minorEastAsia" w:cstheme="minorEastAsia"/>
          <w:bCs/>
        </w:rPr>
      </w:pPr>
    </w:p>
    <w:p>
      <w:pPr>
        <w:pStyle w:val="14"/>
        <w:spacing w:line="360" w:lineRule="auto"/>
        <w:ind w:right="-63" w:rightChars="-30"/>
        <w:rPr>
          <w:rFonts w:asciiTheme="minorEastAsia" w:hAnsiTheme="minorEastAsia" w:eastAsiaTheme="minorEastAsia" w:cstheme="minorEastAsia"/>
          <w:bCs/>
        </w:rPr>
      </w:pPr>
    </w:p>
    <w:p>
      <w:pPr>
        <w:pStyle w:val="14"/>
        <w:spacing w:line="360" w:lineRule="auto"/>
        <w:ind w:right="-63" w:rightChars="-30"/>
        <w:rPr>
          <w:rFonts w:asciiTheme="minorEastAsia" w:hAnsiTheme="minorEastAsia" w:eastAsiaTheme="minorEastAsia" w:cstheme="minorEastAsia"/>
          <w:bCs/>
        </w:rPr>
      </w:pPr>
    </w:p>
    <w:p>
      <w:pPr>
        <w:pStyle w:val="14"/>
        <w:spacing w:line="360" w:lineRule="auto"/>
        <w:ind w:right="-63" w:rightChars="-30"/>
        <w:rPr>
          <w:rFonts w:asciiTheme="minorEastAsia" w:hAnsiTheme="minorEastAsia" w:eastAsiaTheme="minorEastAsia" w:cstheme="minorEastAsia"/>
          <w:bCs/>
        </w:rPr>
      </w:pPr>
    </w:p>
    <w:p>
      <w:pPr>
        <w:pStyle w:val="14"/>
        <w:spacing w:line="360" w:lineRule="auto"/>
        <w:ind w:right="-63" w:rightChars="-30"/>
        <w:jc w:val="both"/>
        <w:rPr>
          <w:rFonts w:asciiTheme="minorEastAsia" w:hAnsiTheme="minorEastAsia" w:eastAsiaTheme="minorEastAsia" w:cstheme="minorEastAsia"/>
          <w:bCs/>
        </w:rPr>
      </w:pPr>
    </w:p>
    <w:p>
      <w:pPr>
        <w:pStyle w:val="14"/>
        <w:numPr>
          <w:ilvl w:val="0"/>
          <w:numId w:val="1"/>
        </w:numPr>
        <w:spacing w:line="360" w:lineRule="auto"/>
        <w:ind w:right="-63" w:rightChars="-30"/>
      </w:pPr>
      <w:r>
        <w:rPr>
          <w:rFonts w:hint="eastAsia" w:asciiTheme="minorEastAsia" w:hAnsiTheme="minorEastAsia" w:eastAsiaTheme="minorEastAsia" w:cstheme="minorEastAsia"/>
          <w:bCs/>
        </w:rPr>
        <w:t xml:space="preserve">  招标公告</w:t>
      </w:r>
      <w:bookmarkEnd w:id="1"/>
    </w:p>
    <w:p>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博爱县牛肉食品工程技术研发中心采购项目招标公告</w:t>
      </w:r>
    </w:p>
    <w:p>
      <w:pPr>
        <w:jc w:val="center"/>
        <w:rPr>
          <w:rFonts w:hint="eastAsia" w:asciiTheme="minorEastAsia" w:hAnsiTheme="minorEastAsia" w:eastAsiaTheme="minorEastAsia" w:cstheme="minorEastAsia"/>
          <w:b/>
          <w:bCs/>
          <w:sz w:val="40"/>
          <w:szCs w:val="40"/>
          <w:lang w:eastAsia="zh-CN"/>
        </w:rPr>
      </w:pPr>
      <w:r>
        <w:rPr>
          <w:rFonts w:hint="eastAsia" w:asciiTheme="minorEastAsia" w:hAnsiTheme="minorEastAsia" w:eastAsiaTheme="minorEastAsia" w:cstheme="minorEastAsia"/>
          <w:b/>
          <w:bCs/>
          <w:sz w:val="32"/>
          <w:szCs w:val="32"/>
          <w:lang w:eastAsia="zh-CN"/>
        </w:rPr>
        <w:t>（不见面开标）</w:t>
      </w:r>
    </w:p>
    <w:tbl>
      <w:tblPr>
        <w:tblStyle w:val="17"/>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tcPr>
          <w:p>
            <w:pPr>
              <w:pStyle w:val="16"/>
              <w:spacing w:line="440" w:lineRule="exact"/>
              <w:ind w:firstLine="480"/>
              <w:rPr>
                <w:rFonts w:ascii="宋体" w:hAnsi="宋体" w:cs="宋体"/>
                <w:color w:val="auto"/>
                <w:sz w:val="24"/>
              </w:rPr>
            </w:pPr>
            <w:bookmarkStart w:id="2" w:name="_Toc25354"/>
            <w:r>
              <w:rPr>
                <w:rFonts w:hint="eastAsia" w:ascii="宋体" w:hAnsi="宋体" w:cs="宋体"/>
                <w:color w:val="auto"/>
                <w:sz w:val="24"/>
              </w:rPr>
              <w:t>项目概况：</w:t>
            </w:r>
            <w:r>
              <w:rPr>
                <w:rFonts w:hint="eastAsia" w:ascii="宋体" w:hAnsi="宋体" w:cs="宋体"/>
                <w:color w:val="auto"/>
                <w:sz w:val="24"/>
                <w:lang w:eastAsia="zh-CN"/>
              </w:rPr>
              <w:t>博爱县牛肉食品工程技术研发中心采购项目</w:t>
            </w:r>
            <w:r>
              <w:rPr>
                <w:rFonts w:hint="eastAsia" w:ascii="宋体" w:hAnsi="宋体" w:cs="宋体"/>
                <w:color w:val="auto"/>
                <w:sz w:val="24"/>
              </w:rPr>
              <w:t>的潜在供应商应在焦作市公共资源交易中心网站获取采购文件，并于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2</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20</w:t>
            </w:r>
            <w:r>
              <w:rPr>
                <w:rFonts w:hint="eastAsia" w:ascii="宋体" w:hAnsi="宋体" w:cs="宋体"/>
                <w:color w:val="auto"/>
                <w:sz w:val="24"/>
                <w:u w:val="single"/>
              </w:rPr>
              <w:t>日上午</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分（北京时间）</w:t>
            </w:r>
            <w:r>
              <w:rPr>
                <w:rFonts w:hint="eastAsia" w:ascii="宋体" w:hAnsi="宋体" w:cs="宋体"/>
                <w:color w:val="auto"/>
                <w:sz w:val="24"/>
              </w:rPr>
              <w:t>前提交响应文件。</w:t>
            </w:r>
          </w:p>
        </w:tc>
      </w:tr>
    </w:tbl>
    <w:p>
      <w:pPr>
        <w:pStyle w:val="21"/>
        <w:spacing w:line="440" w:lineRule="exact"/>
        <w:ind w:left="0" w:firstLine="0"/>
        <w:rPr>
          <w:b/>
          <w:bCs/>
          <w:color w:val="auto"/>
          <w:sz w:val="24"/>
          <w:lang w:eastAsia="zh-CN"/>
        </w:rPr>
      </w:pPr>
      <w:r>
        <w:rPr>
          <w:rFonts w:hint="eastAsia"/>
          <w:b/>
          <w:bCs/>
          <w:color w:val="auto"/>
          <w:sz w:val="24"/>
          <w:lang w:eastAsia="zh-CN"/>
        </w:rPr>
        <w:t>一、项目基本情况</w:t>
      </w:r>
    </w:p>
    <w:p>
      <w:pPr>
        <w:pStyle w:val="21"/>
        <w:spacing w:line="440" w:lineRule="exact"/>
        <w:ind w:left="0" w:firstLine="480" w:firstLineChars="200"/>
        <w:rPr>
          <w:color w:val="auto"/>
          <w:sz w:val="24"/>
          <w:lang w:eastAsia="zh-CN"/>
        </w:rPr>
      </w:pPr>
      <w:r>
        <w:rPr>
          <w:rFonts w:hint="eastAsia"/>
          <w:color w:val="auto"/>
          <w:sz w:val="24"/>
          <w:lang w:eastAsia="zh-CN"/>
        </w:rPr>
        <w:t>项目编号：博政采购(2021)147-1号</w:t>
      </w:r>
    </w:p>
    <w:p>
      <w:pPr>
        <w:pStyle w:val="21"/>
        <w:spacing w:line="440" w:lineRule="exact"/>
        <w:ind w:left="0" w:firstLine="480" w:firstLineChars="200"/>
        <w:rPr>
          <w:rFonts w:hint="eastAsia"/>
          <w:color w:val="auto"/>
          <w:sz w:val="24"/>
          <w:lang w:eastAsia="zh-CN"/>
        </w:rPr>
      </w:pPr>
      <w:r>
        <w:rPr>
          <w:rFonts w:hint="eastAsia"/>
          <w:color w:val="auto"/>
          <w:sz w:val="24"/>
          <w:lang w:eastAsia="zh-CN"/>
        </w:rPr>
        <w:t>项目名称：博爱县牛肉食品工程技术研发中心采购项目</w:t>
      </w:r>
    </w:p>
    <w:p>
      <w:pPr>
        <w:pStyle w:val="21"/>
        <w:spacing w:line="440" w:lineRule="exact"/>
        <w:ind w:left="0" w:firstLine="480" w:firstLineChars="200"/>
        <w:rPr>
          <w:color w:val="auto"/>
          <w:sz w:val="24"/>
          <w:lang w:eastAsia="zh-CN"/>
        </w:rPr>
      </w:pPr>
      <w:r>
        <w:rPr>
          <w:rFonts w:hint="eastAsia"/>
          <w:color w:val="auto"/>
          <w:sz w:val="24"/>
          <w:lang w:eastAsia="zh-CN"/>
        </w:rPr>
        <w:t>采购方式：公开招标</w:t>
      </w:r>
    </w:p>
    <w:p>
      <w:pPr>
        <w:widowControl/>
        <w:spacing w:line="440" w:lineRule="exact"/>
        <w:ind w:firstLine="480" w:firstLineChars="200"/>
        <w:jc w:val="left"/>
        <w:rPr>
          <w:rFonts w:ascii="宋体" w:hAnsi="宋体" w:cs="宋体"/>
          <w:color w:val="auto"/>
          <w:kern w:val="0"/>
          <w:sz w:val="24"/>
        </w:rPr>
      </w:pPr>
      <w:r>
        <w:rPr>
          <w:rFonts w:hint="eastAsia" w:ascii="宋体" w:hAnsi="宋体" w:cs="宋体"/>
          <w:color w:val="auto"/>
          <w:kern w:val="0"/>
          <w:sz w:val="24"/>
        </w:rPr>
        <w:t>预算金额：</w:t>
      </w:r>
      <w:r>
        <w:rPr>
          <w:rFonts w:hint="eastAsia" w:ascii="宋体" w:hAnsi="宋体" w:cs="宋体"/>
          <w:color w:val="auto"/>
          <w:kern w:val="0"/>
          <w:sz w:val="24"/>
          <w:lang w:eastAsia="zh-CN"/>
        </w:rPr>
        <w:t>4000000</w:t>
      </w:r>
      <w:r>
        <w:rPr>
          <w:rFonts w:hint="eastAsia" w:ascii="宋体" w:hAnsi="宋体" w:cs="宋体"/>
          <w:color w:val="auto"/>
          <w:kern w:val="0"/>
          <w:sz w:val="24"/>
        </w:rPr>
        <w:t>元</w:t>
      </w:r>
    </w:p>
    <w:p>
      <w:pPr>
        <w:widowControl/>
        <w:spacing w:line="440" w:lineRule="exact"/>
        <w:ind w:firstLine="480" w:firstLineChars="200"/>
        <w:jc w:val="left"/>
        <w:rPr>
          <w:rFonts w:asciiTheme="minorEastAsia" w:hAnsiTheme="minorEastAsia" w:cstheme="minorEastAsia"/>
          <w:color w:val="auto"/>
          <w:kern w:val="0"/>
          <w:sz w:val="24"/>
        </w:rPr>
      </w:pPr>
      <w:r>
        <w:rPr>
          <w:rFonts w:hint="eastAsia" w:ascii="宋体" w:hAnsi="宋体" w:cs="宋体"/>
          <w:color w:val="auto"/>
          <w:kern w:val="0"/>
          <w:sz w:val="24"/>
        </w:rPr>
        <w:t>采购内容：采</w:t>
      </w:r>
      <w:r>
        <w:rPr>
          <w:rFonts w:hint="eastAsia" w:ascii="宋体" w:hAnsi="宋体" w:cs="宋体"/>
          <w:color w:val="auto"/>
          <w:kern w:val="0"/>
          <w:sz w:val="24"/>
          <w:highlight w:val="none"/>
        </w:rPr>
        <w:t>购超纯水机、全自动凯氏定氮仪、索氏抽提仪、高压灭菌器、近红外肉类快速分析仪等科研设备（</w:t>
      </w:r>
      <w:r>
        <w:rPr>
          <w:rFonts w:hint="eastAsia" w:ascii="宋体" w:hAnsi="宋体" w:cs="宋体"/>
          <w:color w:val="auto"/>
          <w:kern w:val="0"/>
          <w:sz w:val="24"/>
        </w:rPr>
        <w:t>详见招标文件）。</w:t>
      </w:r>
    </w:p>
    <w:p>
      <w:pPr>
        <w:widowControl/>
        <w:spacing w:line="440" w:lineRule="exact"/>
        <w:ind w:firstLine="480" w:firstLineChars="200"/>
        <w:jc w:val="left"/>
        <w:rPr>
          <w:rFonts w:ascii="宋体" w:hAnsi="宋体" w:cs="宋体"/>
          <w:color w:val="auto"/>
          <w:kern w:val="0"/>
          <w:sz w:val="24"/>
        </w:rPr>
      </w:pPr>
      <w:r>
        <w:rPr>
          <w:rFonts w:hint="eastAsia" w:ascii="宋体" w:hAnsi="宋体" w:cs="宋体"/>
          <w:color w:val="auto"/>
          <w:kern w:val="0"/>
          <w:sz w:val="24"/>
        </w:rPr>
        <w:t>供货及安装期：</w:t>
      </w:r>
      <w:r>
        <w:rPr>
          <w:rFonts w:hint="eastAsia" w:ascii="宋体" w:hAnsi="宋体" w:cs="宋体"/>
          <w:color w:val="auto"/>
          <w:kern w:val="0"/>
          <w:sz w:val="24"/>
          <w:lang w:val="en-US" w:eastAsia="zh-CN"/>
        </w:rPr>
        <w:t>40日历天</w:t>
      </w:r>
    </w:p>
    <w:p>
      <w:pPr>
        <w:widowControl/>
        <w:spacing w:line="440" w:lineRule="exact"/>
        <w:ind w:firstLine="480" w:firstLineChars="200"/>
        <w:jc w:val="left"/>
        <w:rPr>
          <w:rFonts w:ascii="宋体" w:hAnsi="宋体" w:cs="宋体"/>
          <w:color w:val="auto"/>
          <w:kern w:val="0"/>
          <w:sz w:val="24"/>
        </w:rPr>
      </w:pPr>
      <w:r>
        <w:rPr>
          <w:rFonts w:hint="eastAsia" w:ascii="宋体" w:hAnsi="宋体" w:cs="宋体"/>
          <w:color w:val="auto"/>
          <w:kern w:val="0"/>
          <w:sz w:val="24"/>
        </w:rPr>
        <w:t>质量标准：合格</w:t>
      </w:r>
    </w:p>
    <w:p>
      <w:pPr>
        <w:adjustRightInd w:val="0"/>
        <w:snapToGrid w:val="0"/>
        <w:spacing w:line="440" w:lineRule="exact"/>
        <w:rPr>
          <w:rFonts w:ascii="宋体" w:hAnsi="宋体" w:cs="宋体"/>
          <w:color w:val="auto"/>
          <w:kern w:val="0"/>
          <w:sz w:val="24"/>
        </w:rPr>
      </w:pPr>
      <w:r>
        <w:rPr>
          <w:rFonts w:hint="eastAsia" w:ascii="宋体" w:hAnsi="宋体" w:cs="宋体"/>
          <w:b/>
          <w:bCs/>
          <w:color w:val="auto"/>
          <w:kern w:val="0"/>
          <w:sz w:val="24"/>
        </w:rPr>
        <w:t>二、申请人资格要求：</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1、符合《中华人民共和国政府采购法》第二十二条之规定；</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2、落实政府采购政策需满足的资格要求：促进中小企业和监狱企业发展扶持政策、政府强制采购节能产品、节能产品及环境标志产品优先采购。</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3、本项目的特定资格要求：</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3.1供应商须具有有效的营业执照，并具有实施完成本项目的经营实力和完善的售后服务体系；</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3.3本项目不接受联合体投标；</w:t>
      </w:r>
    </w:p>
    <w:p>
      <w:pPr>
        <w:widowControl/>
        <w:spacing w:line="440" w:lineRule="exact"/>
        <w:ind w:firstLine="480" w:firstLineChars="200"/>
        <w:jc w:val="left"/>
        <w:rPr>
          <w:rFonts w:ascii="宋体" w:hAnsi="宋体" w:cs="宋体"/>
          <w:color w:val="auto"/>
          <w:sz w:val="24"/>
          <w:shd w:val="clear" w:color="auto" w:fill="FFFFFF"/>
        </w:rPr>
      </w:pPr>
      <w:r>
        <w:rPr>
          <w:rFonts w:hint="eastAsia" w:ascii="宋体" w:hAnsi="宋体" w:cs="宋体"/>
          <w:color w:val="auto"/>
          <w:sz w:val="24"/>
          <w:shd w:val="clear" w:color="auto" w:fill="FFFFFF"/>
        </w:rPr>
        <w:t>3.4资格审查方式：资格后审。</w:t>
      </w:r>
    </w:p>
    <w:p>
      <w:pPr>
        <w:widowControl/>
        <w:spacing w:line="440" w:lineRule="exact"/>
        <w:jc w:val="left"/>
        <w:rPr>
          <w:rFonts w:ascii="宋体" w:hAnsi="宋体" w:cs="宋体"/>
          <w:b/>
          <w:bCs/>
          <w:color w:val="auto"/>
          <w:kern w:val="0"/>
          <w:sz w:val="24"/>
        </w:rPr>
      </w:pPr>
      <w:r>
        <w:rPr>
          <w:rFonts w:hint="eastAsia" w:ascii="宋体" w:hAnsi="宋体" w:cs="宋体"/>
          <w:b/>
          <w:bCs/>
          <w:color w:val="auto"/>
          <w:kern w:val="0"/>
          <w:sz w:val="24"/>
        </w:rPr>
        <w:t>三、获取采购文件</w:t>
      </w:r>
    </w:p>
    <w:p>
      <w:pPr>
        <w:pStyle w:val="13"/>
        <w:shd w:val="clear" w:color="auto" w:fill="FFFFFF"/>
        <w:autoSpaceDE w:val="0"/>
        <w:spacing w:before="0" w:beforeAutospacing="0" w:after="0" w:afterAutospacing="0" w:line="440" w:lineRule="atLeast"/>
        <w:ind w:firstLine="480" w:firstLineChars="200"/>
        <w:rPr>
          <w:color w:val="auto"/>
        </w:rPr>
      </w:pPr>
      <w:r>
        <w:rPr>
          <w:rFonts w:hint="eastAsia"/>
          <w:color w:val="auto"/>
        </w:rPr>
        <w:t>1.时间：2021年</w:t>
      </w:r>
      <w:r>
        <w:rPr>
          <w:rFonts w:hint="eastAsia"/>
          <w:color w:val="auto"/>
          <w:lang w:val="en-US" w:eastAsia="zh-CN"/>
        </w:rPr>
        <w:t>12</w:t>
      </w:r>
      <w:r>
        <w:rPr>
          <w:rFonts w:hint="eastAsia"/>
          <w:color w:val="auto"/>
        </w:rPr>
        <w:t>月</w:t>
      </w:r>
      <w:r>
        <w:rPr>
          <w:rFonts w:hint="eastAsia"/>
          <w:color w:val="auto"/>
          <w:lang w:val="en-US" w:eastAsia="zh-CN"/>
        </w:rPr>
        <w:t>31</w:t>
      </w:r>
      <w:r>
        <w:rPr>
          <w:rFonts w:hint="eastAsia"/>
          <w:color w:val="auto"/>
        </w:rPr>
        <w:t>日至202</w:t>
      </w:r>
      <w:r>
        <w:rPr>
          <w:rFonts w:hint="eastAsia"/>
          <w:color w:val="auto"/>
          <w:lang w:val="en-US" w:eastAsia="zh-CN"/>
        </w:rPr>
        <w:t>2</w:t>
      </w:r>
      <w:r>
        <w:rPr>
          <w:rFonts w:hint="eastAsia"/>
          <w:color w:val="auto"/>
        </w:rPr>
        <w:t>年</w:t>
      </w:r>
      <w:r>
        <w:rPr>
          <w:rFonts w:hint="eastAsia"/>
          <w:color w:val="auto"/>
          <w:lang w:val="en-US" w:eastAsia="zh-CN"/>
        </w:rPr>
        <w:t>1</w:t>
      </w:r>
      <w:r>
        <w:rPr>
          <w:rFonts w:hint="eastAsia"/>
          <w:color w:val="auto"/>
        </w:rPr>
        <w:t>月</w:t>
      </w:r>
      <w:r>
        <w:rPr>
          <w:rFonts w:hint="eastAsia"/>
          <w:color w:val="auto"/>
          <w:lang w:val="en-US" w:eastAsia="zh-CN"/>
        </w:rPr>
        <w:t>7</w:t>
      </w:r>
      <w:r>
        <w:rPr>
          <w:rFonts w:hint="eastAsia"/>
          <w:color w:val="auto"/>
        </w:rPr>
        <w:t>日（北京时间）；</w:t>
      </w:r>
      <w:r>
        <w:rPr>
          <w:rFonts w:hint="eastAsia"/>
          <w:color w:val="auto"/>
        </w:rPr>
        <w:br w:type="textWrapping"/>
      </w:r>
      <w:r>
        <w:rPr>
          <w:rFonts w:hint="eastAsia"/>
          <w:color w:val="auto"/>
        </w:rPr>
        <w:t>  2.地点：</w:t>
      </w:r>
      <w:r>
        <w:rPr>
          <w:rFonts w:hint="eastAsia"/>
          <w:color w:val="auto"/>
          <w:shd w:val="clear" w:color="auto" w:fill="FFFFFF"/>
        </w:rPr>
        <w:t>凡有意参加投标者，请登陆焦作市公共资源交易中心网站会员系统进行网上下载。凡未在规定时间内完成下载文件者，视为无效。（联系电话：0391-3568920，QQ：232850725、361532918（群）；</w:t>
      </w:r>
    </w:p>
    <w:p>
      <w:pPr>
        <w:pStyle w:val="13"/>
        <w:shd w:val="clear" w:color="auto" w:fill="FFFFFF"/>
        <w:autoSpaceDE w:val="0"/>
        <w:spacing w:before="0" w:beforeAutospacing="0" w:after="0" w:afterAutospacing="0" w:line="440" w:lineRule="atLeast"/>
        <w:rPr>
          <w:color w:val="auto"/>
        </w:rPr>
      </w:pPr>
      <w:r>
        <w:rPr>
          <w:rFonts w:hint="eastAsia"/>
          <w:color w:val="auto"/>
        </w:rPr>
        <w:t>  3.方式：本项目采用电子开评标（不见面开标），凡有意参加投标者，请登陆焦作市公共资源交易中心网站“交易主体登录”栏目下载招标文件；</w:t>
      </w:r>
    </w:p>
    <w:p>
      <w:pPr>
        <w:adjustRightInd w:val="0"/>
        <w:snapToGrid w:val="0"/>
        <w:spacing w:line="440" w:lineRule="exact"/>
        <w:rPr>
          <w:rFonts w:ascii="宋体" w:hAnsi="宋体" w:cs="宋体"/>
          <w:b/>
          <w:color w:val="auto"/>
          <w:kern w:val="0"/>
          <w:sz w:val="24"/>
        </w:rPr>
      </w:pPr>
      <w:r>
        <w:rPr>
          <w:rFonts w:hint="eastAsia" w:ascii="宋体" w:hAnsi="宋体" w:cs="宋体"/>
          <w:b/>
          <w:color w:val="auto"/>
          <w:kern w:val="0"/>
          <w:sz w:val="24"/>
        </w:rPr>
        <w:t>四、响应文件提交</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1.截止时间：202</w:t>
      </w:r>
      <w:r>
        <w:rPr>
          <w:rFonts w:hint="eastAsia" w:ascii="宋体" w:hAnsi="宋体" w:cs="宋体"/>
          <w:color w:val="auto"/>
          <w:kern w:val="0"/>
          <w:sz w:val="24"/>
          <w:lang w:val="en-US" w:eastAsia="zh-CN"/>
        </w:rPr>
        <w:t>2</w:t>
      </w:r>
      <w:r>
        <w:rPr>
          <w:rFonts w:hint="eastAsia" w:ascii="宋体" w:hAnsi="宋体" w:cs="宋体"/>
          <w:color w:val="auto"/>
          <w:kern w:val="0"/>
          <w:sz w:val="24"/>
        </w:rPr>
        <w:t>年</w:t>
      </w:r>
      <w:r>
        <w:rPr>
          <w:rFonts w:hint="eastAsia" w:ascii="宋体" w:hAnsi="宋体" w:cs="宋体"/>
          <w:color w:val="auto"/>
          <w:kern w:val="0"/>
          <w:sz w:val="24"/>
          <w:lang w:val="en-US" w:eastAsia="zh-CN"/>
        </w:rPr>
        <w:t>1</w:t>
      </w:r>
      <w:r>
        <w:rPr>
          <w:rFonts w:hint="eastAsia" w:ascii="宋体" w:hAnsi="宋体" w:cs="宋体"/>
          <w:color w:val="auto"/>
          <w:kern w:val="0"/>
          <w:sz w:val="24"/>
        </w:rPr>
        <w:t>月</w:t>
      </w:r>
      <w:r>
        <w:rPr>
          <w:rFonts w:hint="eastAsia" w:ascii="宋体" w:hAnsi="宋体" w:cs="宋体"/>
          <w:color w:val="auto"/>
          <w:kern w:val="0"/>
          <w:sz w:val="24"/>
          <w:lang w:val="en-US" w:eastAsia="zh-CN"/>
        </w:rPr>
        <w:t>20</w:t>
      </w:r>
      <w:r>
        <w:rPr>
          <w:rFonts w:hint="eastAsia" w:ascii="宋体" w:hAnsi="宋体" w:cs="宋体"/>
          <w:color w:val="auto"/>
          <w:kern w:val="0"/>
          <w:sz w:val="24"/>
        </w:rPr>
        <w:t>日</w:t>
      </w:r>
      <w:r>
        <w:rPr>
          <w:rFonts w:hint="eastAsia" w:ascii="宋体" w:hAnsi="宋体" w:cs="宋体"/>
          <w:color w:val="auto"/>
          <w:kern w:val="0"/>
          <w:sz w:val="24"/>
          <w:lang w:val="en-US" w:eastAsia="zh-CN"/>
        </w:rPr>
        <w:t>9</w:t>
      </w:r>
      <w:r>
        <w:rPr>
          <w:rFonts w:hint="eastAsia" w:ascii="宋体" w:hAnsi="宋体" w:cs="宋体"/>
          <w:color w:val="auto"/>
          <w:kern w:val="0"/>
          <w:sz w:val="24"/>
        </w:rPr>
        <w:t>点</w:t>
      </w:r>
      <w:r>
        <w:rPr>
          <w:rFonts w:hint="eastAsia" w:ascii="宋体" w:hAnsi="宋体" w:cs="宋体"/>
          <w:color w:val="auto"/>
          <w:kern w:val="0"/>
          <w:sz w:val="24"/>
          <w:lang w:val="en-US" w:eastAsia="zh-CN"/>
        </w:rPr>
        <w:t>00</w:t>
      </w:r>
      <w:r>
        <w:rPr>
          <w:rFonts w:hint="eastAsia" w:ascii="宋体" w:hAnsi="宋体" w:cs="宋体"/>
          <w:color w:val="auto"/>
          <w:kern w:val="0"/>
          <w:sz w:val="24"/>
        </w:rPr>
        <w:t>分（北京时间）；</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2.地点：博爱县公共资源交易中心二楼不见面开标二室；</w:t>
      </w:r>
    </w:p>
    <w:p>
      <w:pPr>
        <w:adjustRightInd w:val="0"/>
        <w:snapToGrid w:val="0"/>
        <w:spacing w:line="440" w:lineRule="exact"/>
        <w:rPr>
          <w:rFonts w:ascii="宋体" w:hAnsi="宋体" w:cs="宋体"/>
          <w:b/>
          <w:color w:val="auto"/>
          <w:kern w:val="0"/>
          <w:sz w:val="24"/>
        </w:rPr>
      </w:pPr>
      <w:r>
        <w:rPr>
          <w:rFonts w:hint="eastAsia" w:ascii="宋体" w:hAnsi="宋体" w:cs="宋体"/>
          <w:b/>
          <w:color w:val="auto"/>
          <w:kern w:val="0"/>
          <w:sz w:val="24"/>
        </w:rPr>
        <w:t>五、开启</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1.时间：202</w:t>
      </w:r>
      <w:r>
        <w:rPr>
          <w:rFonts w:hint="eastAsia" w:ascii="宋体" w:hAnsi="宋体" w:cs="宋体"/>
          <w:color w:val="auto"/>
          <w:kern w:val="0"/>
          <w:sz w:val="24"/>
          <w:lang w:val="en-US" w:eastAsia="zh-CN"/>
        </w:rPr>
        <w:t>2</w:t>
      </w:r>
      <w:r>
        <w:rPr>
          <w:rFonts w:hint="eastAsia" w:ascii="宋体" w:hAnsi="宋体" w:cs="宋体"/>
          <w:color w:val="auto"/>
          <w:kern w:val="0"/>
          <w:sz w:val="24"/>
        </w:rPr>
        <w:t>年</w:t>
      </w:r>
      <w:r>
        <w:rPr>
          <w:rFonts w:hint="eastAsia" w:ascii="宋体" w:hAnsi="宋体" w:cs="宋体"/>
          <w:color w:val="auto"/>
          <w:kern w:val="0"/>
          <w:sz w:val="24"/>
          <w:lang w:val="en-US" w:eastAsia="zh-CN"/>
        </w:rPr>
        <w:t>1</w:t>
      </w:r>
      <w:r>
        <w:rPr>
          <w:rFonts w:hint="eastAsia" w:ascii="宋体" w:hAnsi="宋体" w:cs="宋体"/>
          <w:color w:val="auto"/>
          <w:kern w:val="0"/>
          <w:sz w:val="24"/>
        </w:rPr>
        <w:t>月</w:t>
      </w:r>
      <w:r>
        <w:rPr>
          <w:rFonts w:hint="eastAsia" w:ascii="宋体" w:hAnsi="宋体" w:cs="宋体"/>
          <w:color w:val="auto"/>
          <w:kern w:val="0"/>
          <w:sz w:val="24"/>
          <w:lang w:val="en-US" w:eastAsia="zh-CN"/>
        </w:rPr>
        <w:t>20</w:t>
      </w:r>
      <w:r>
        <w:rPr>
          <w:rFonts w:hint="eastAsia" w:ascii="宋体" w:hAnsi="宋体" w:cs="宋体"/>
          <w:color w:val="auto"/>
          <w:kern w:val="0"/>
          <w:sz w:val="24"/>
        </w:rPr>
        <w:t>日</w:t>
      </w:r>
      <w:r>
        <w:rPr>
          <w:rFonts w:hint="eastAsia" w:ascii="宋体" w:hAnsi="宋体" w:cs="宋体"/>
          <w:color w:val="auto"/>
          <w:kern w:val="0"/>
          <w:sz w:val="24"/>
          <w:lang w:val="en-US" w:eastAsia="zh-CN"/>
        </w:rPr>
        <w:t>9</w:t>
      </w:r>
      <w:r>
        <w:rPr>
          <w:rFonts w:hint="eastAsia" w:ascii="宋体" w:hAnsi="宋体" w:cs="宋体"/>
          <w:color w:val="auto"/>
          <w:kern w:val="0"/>
          <w:sz w:val="24"/>
        </w:rPr>
        <w:t>点</w:t>
      </w:r>
      <w:r>
        <w:rPr>
          <w:rFonts w:hint="eastAsia" w:ascii="宋体" w:hAnsi="宋体" w:cs="宋体"/>
          <w:color w:val="auto"/>
          <w:kern w:val="0"/>
          <w:sz w:val="24"/>
          <w:lang w:val="en-US" w:eastAsia="zh-CN"/>
        </w:rPr>
        <w:t>00</w:t>
      </w:r>
      <w:r>
        <w:rPr>
          <w:rFonts w:hint="eastAsia" w:ascii="宋体" w:hAnsi="宋体" w:cs="宋体"/>
          <w:color w:val="auto"/>
          <w:kern w:val="0"/>
          <w:sz w:val="24"/>
        </w:rPr>
        <w:t>分（北京时间）；</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2.地点：博爱县公共资源交易中心二楼不见面开标二室；</w:t>
      </w:r>
    </w:p>
    <w:p>
      <w:pPr>
        <w:adjustRightInd w:val="0"/>
        <w:snapToGrid w:val="0"/>
        <w:spacing w:line="440" w:lineRule="exact"/>
        <w:rPr>
          <w:rFonts w:ascii="宋体" w:hAnsi="宋体" w:cs="宋体"/>
          <w:b/>
          <w:bCs/>
          <w:color w:val="auto"/>
          <w:sz w:val="24"/>
        </w:rPr>
      </w:pPr>
      <w:r>
        <w:rPr>
          <w:rFonts w:hint="eastAsia" w:ascii="宋体" w:hAnsi="宋体" w:cs="宋体"/>
          <w:b/>
          <w:bCs/>
          <w:color w:val="auto"/>
          <w:sz w:val="24"/>
        </w:rPr>
        <w:t>六、公告期限</w:t>
      </w:r>
    </w:p>
    <w:p>
      <w:pPr>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sz w:val="24"/>
        </w:rPr>
        <w:t>自本公告发布之</w:t>
      </w:r>
      <w:r>
        <w:rPr>
          <w:rFonts w:hint="eastAsia" w:ascii="宋体" w:hAnsi="宋体" w:cs="宋体"/>
          <w:color w:val="auto"/>
          <w:kern w:val="0"/>
          <w:sz w:val="24"/>
        </w:rPr>
        <w:t>日起5个工作日。</w:t>
      </w:r>
    </w:p>
    <w:p>
      <w:pPr>
        <w:pStyle w:val="13"/>
        <w:numPr>
          <w:ilvl w:val="0"/>
          <w:numId w:val="2"/>
        </w:numPr>
        <w:shd w:val="clear" w:color="auto" w:fill="FFFFFF"/>
        <w:autoSpaceDE w:val="0"/>
        <w:spacing w:before="0" w:beforeAutospacing="0" w:after="0" w:afterAutospacing="0" w:line="440" w:lineRule="exact"/>
        <w:rPr>
          <w:b/>
          <w:color w:val="auto"/>
          <w:shd w:val="clear" w:color="auto" w:fill="FFFFFF"/>
        </w:rPr>
      </w:pPr>
      <w:r>
        <w:rPr>
          <w:rFonts w:hint="eastAsia"/>
          <w:b/>
          <w:color w:val="auto"/>
          <w:shd w:val="clear" w:color="auto" w:fill="FFFFFF"/>
        </w:rPr>
        <w:t>其他补充事宜</w:t>
      </w:r>
    </w:p>
    <w:p>
      <w:pPr>
        <w:pStyle w:val="13"/>
        <w:shd w:val="clear" w:color="auto" w:fill="FFFFFF"/>
        <w:autoSpaceDE w:val="0"/>
        <w:spacing w:before="0" w:beforeAutospacing="0" w:after="0" w:afterAutospacing="0" w:line="440" w:lineRule="exact"/>
        <w:ind w:firstLine="480" w:firstLineChars="200"/>
        <w:rPr>
          <w:rFonts w:hint="eastAsia" w:eastAsia="宋体"/>
          <w:color w:val="auto"/>
          <w:shd w:val="clear" w:color="auto" w:fill="FFFFFF"/>
          <w:lang w:eastAsia="zh-CN"/>
        </w:rPr>
      </w:pPr>
      <w:r>
        <w:rPr>
          <w:rFonts w:hint="eastAsia"/>
          <w:color w:val="auto"/>
          <w:shd w:val="clear" w:color="auto" w:fill="FFFFFF"/>
        </w:rPr>
        <w:t>1.本次本公告在河南省政府采购网、焦作市政府采购网、焦作市公共资源交易中心网、博爱县人民政府网、博爱县公共资源交易中心网http://www.baxggzyjyzx.cn/上发布</w:t>
      </w:r>
      <w:r>
        <w:rPr>
          <w:rFonts w:hint="eastAsia"/>
          <w:color w:val="auto"/>
          <w:shd w:val="clear" w:color="auto" w:fill="FFFFFF"/>
          <w:lang w:eastAsia="zh-CN"/>
        </w:rPr>
        <w:t>。</w:t>
      </w:r>
    </w:p>
    <w:p>
      <w:pPr>
        <w:pStyle w:val="13"/>
        <w:spacing w:beforeAutospacing="0" w:afterAutospacing="0" w:line="440" w:lineRule="exact"/>
        <w:ind w:firstLine="468" w:firstLineChars="195"/>
        <w:jc w:val="both"/>
        <w:rPr>
          <w:color w:val="auto"/>
        </w:rPr>
      </w:pPr>
      <w:r>
        <w:rPr>
          <w:rFonts w:hint="eastAsia"/>
          <w:color w:val="auto"/>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pPr>
        <w:pStyle w:val="13"/>
        <w:spacing w:beforeAutospacing="0" w:afterAutospacing="0" w:line="440" w:lineRule="exact"/>
        <w:ind w:firstLine="468" w:firstLineChars="195"/>
        <w:jc w:val="both"/>
        <w:rPr>
          <w:color w:val="auto"/>
        </w:rPr>
      </w:pPr>
      <w:r>
        <w:rPr>
          <w:rFonts w:hint="eastAsia"/>
          <w:color w:val="auto"/>
        </w:rPr>
        <w:t>（http://122.112.246.33/BidOpening/bidopeninghallaction/hall/login ）进行签到，按要求解密投标文件。因文件未及时上传导致投标失败的责任由投标人自行承担，具体要求详见招标文件。 平台统一技术服务电话：400-998-0000，服务 QQ：4008503300，服务时间：周一至周日 8：00-17：30。</w:t>
      </w:r>
    </w:p>
    <w:p>
      <w:pPr>
        <w:pStyle w:val="13"/>
        <w:spacing w:beforeAutospacing="0" w:afterAutospacing="0" w:line="440" w:lineRule="exact"/>
        <w:ind w:firstLine="468" w:firstLineChars="195"/>
        <w:jc w:val="both"/>
        <w:rPr>
          <w:color w:val="auto"/>
        </w:rPr>
      </w:pPr>
      <w:r>
        <w:rPr>
          <w:rFonts w:hint="eastAsia"/>
          <w:color w:val="auto"/>
        </w:rPr>
        <w:t>3.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adjustRightInd w:val="0"/>
        <w:snapToGrid w:val="0"/>
        <w:spacing w:line="440" w:lineRule="exact"/>
        <w:rPr>
          <w:rFonts w:ascii="宋体" w:hAnsi="宋体" w:cs="宋体"/>
          <w:b/>
          <w:color w:val="auto"/>
          <w:kern w:val="0"/>
          <w:sz w:val="24"/>
        </w:rPr>
      </w:pPr>
      <w:r>
        <w:rPr>
          <w:rFonts w:hint="eastAsia" w:ascii="宋体" w:hAnsi="宋体" w:cs="宋体"/>
          <w:b/>
          <w:color w:val="auto"/>
          <w:kern w:val="0"/>
          <w:sz w:val="24"/>
        </w:rPr>
        <w:t>八、</w:t>
      </w:r>
      <w:r>
        <w:rPr>
          <w:rFonts w:hint="eastAsia" w:ascii="宋体" w:hAnsi="宋体" w:cs="宋体"/>
          <w:b/>
          <w:color w:val="auto"/>
          <w:sz w:val="24"/>
          <w:shd w:val="clear" w:color="auto" w:fill="FFFFFF"/>
        </w:rPr>
        <w:t>凡对本次采购提出询问，请按以下方式联系</w:t>
      </w:r>
    </w:p>
    <w:p>
      <w:pPr>
        <w:widowControl/>
        <w:spacing w:line="440" w:lineRule="exact"/>
        <w:ind w:firstLine="480" w:firstLineChars="200"/>
        <w:jc w:val="left"/>
        <w:rPr>
          <w:rFonts w:ascii="宋体" w:hAnsi="宋体" w:cs="宋体"/>
          <w:color w:val="auto"/>
          <w:kern w:val="0"/>
          <w:sz w:val="24"/>
        </w:rPr>
      </w:pPr>
      <w:r>
        <w:rPr>
          <w:rFonts w:hint="eastAsia" w:ascii="宋体" w:hAnsi="宋体" w:cs="宋体"/>
          <w:color w:val="auto"/>
          <w:kern w:val="0"/>
          <w:sz w:val="24"/>
        </w:rPr>
        <w:t>1.采购人信息：</w:t>
      </w:r>
    </w:p>
    <w:p>
      <w:pPr>
        <w:widowControl/>
        <w:spacing w:line="440" w:lineRule="exact"/>
        <w:ind w:firstLine="480" w:firstLineChars="200"/>
        <w:jc w:val="left"/>
        <w:rPr>
          <w:rFonts w:hint="eastAsia" w:ascii="宋体" w:hAnsi="宋体" w:eastAsia="宋体" w:cs="宋体"/>
          <w:color w:val="auto"/>
          <w:kern w:val="0"/>
          <w:sz w:val="24"/>
          <w:lang w:eastAsia="zh-CN"/>
        </w:rPr>
      </w:pPr>
      <w:r>
        <w:rPr>
          <w:rFonts w:hint="eastAsia" w:ascii="宋体" w:hAnsi="宋体" w:cs="宋体"/>
          <w:color w:val="auto"/>
          <w:kern w:val="0"/>
          <w:sz w:val="24"/>
        </w:rPr>
        <w:t>采购人：</w:t>
      </w:r>
      <w:r>
        <w:rPr>
          <w:rFonts w:hint="eastAsia" w:ascii="宋体" w:hAnsi="宋体" w:cs="宋体"/>
          <w:color w:val="auto"/>
          <w:kern w:val="0"/>
          <w:sz w:val="24"/>
          <w:lang w:eastAsia="zh-CN"/>
        </w:rPr>
        <w:t>博爱县农业农村局</w:t>
      </w:r>
    </w:p>
    <w:p>
      <w:pPr>
        <w:adjustRightInd w:val="0"/>
        <w:snapToGrid w:val="0"/>
        <w:spacing w:line="440" w:lineRule="exact"/>
        <w:ind w:firstLine="480" w:firstLineChars="200"/>
        <w:rPr>
          <w:rFonts w:hint="default" w:ascii="宋体" w:hAnsi="宋体" w:cs="宋体"/>
          <w:bCs/>
          <w:color w:val="auto"/>
          <w:sz w:val="24"/>
          <w:lang w:val="en-US"/>
        </w:rPr>
      </w:pPr>
      <w:r>
        <w:rPr>
          <w:rFonts w:hint="eastAsia" w:ascii="宋体" w:hAnsi="宋体" w:cs="宋体"/>
          <w:color w:val="auto"/>
          <w:kern w:val="0"/>
          <w:sz w:val="24"/>
        </w:rPr>
        <w:t>地址：</w:t>
      </w:r>
      <w:r>
        <w:rPr>
          <w:rFonts w:hint="eastAsia" w:ascii="宋体" w:hAnsi="宋体" w:cs="宋体"/>
          <w:bCs/>
          <w:color w:val="auto"/>
          <w:sz w:val="24"/>
          <w:lang w:eastAsia="zh-CN"/>
        </w:rPr>
        <w:t>博爱县电商大厦</w:t>
      </w:r>
      <w:r>
        <w:rPr>
          <w:rFonts w:hint="eastAsia" w:ascii="宋体" w:hAnsi="宋体" w:cs="宋体"/>
          <w:bCs/>
          <w:color w:val="auto"/>
          <w:sz w:val="24"/>
          <w:lang w:val="en-US" w:eastAsia="zh-CN"/>
        </w:rPr>
        <w:t>C座7楼</w:t>
      </w:r>
    </w:p>
    <w:p>
      <w:pPr>
        <w:adjustRightInd w:val="0"/>
        <w:snapToGrid w:val="0"/>
        <w:spacing w:line="440" w:lineRule="exact"/>
        <w:ind w:firstLine="480" w:firstLineChars="200"/>
        <w:rPr>
          <w:rFonts w:hint="eastAsia" w:ascii="宋体" w:hAnsi="宋体" w:eastAsia="宋体" w:cs="宋体"/>
          <w:color w:val="auto"/>
          <w:kern w:val="0"/>
          <w:sz w:val="24"/>
          <w:lang w:eastAsia="zh-CN"/>
        </w:rPr>
      </w:pPr>
      <w:r>
        <w:rPr>
          <w:rFonts w:hint="eastAsia" w:ascii="宋体" w:hAnsi="宋体" w:cs="宋体"/>
          <w:bCs/>
          <w:color w:val="auto"/>
          <w:sz w:val="24"/>
          <w:lang w:eastAsia="zh-CN"/>
        </w:rPr>
        <w:t>联系人：张先生</w:t>
      </w:r>
    </w:p>
    <w:p>
      <w:pPr>
        <w:adjustRightInd w:val="0"/>
        <w:snapToGrid w:val="0"/>
        <w:spacing w:line="440" w:lineRule="exact"/>
        <w:ind w:firstLine="480" w:firstLineChars="200"/>
        <w:rPr>
          <w:rFonts w:hint="default" w:ascii="宋体" w:hAnsi="宋体" w:eastAsia="宋体" w:cs="宋体"/>
          <w:color w:val="auto"/>
          <w:sz w:val="24"/>
          <w:lang w:val="en-US" w:eastAsia="zh-CN"/>
        </w:rPr>
      </w:pPr>
      <w:r>
        <w:rPr>
          <w:rFonts w:hint="eastAsia" w:ascii="宋体" w:hAnsi="宋体" w:cs="宋体"/>
          <w:color w:val="auto"/>
          <w:kern w:val="0"/>
          <w:sz w:val="24"/>
        </w:rPr>
        <w:t>电</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话：</w:t>
      </w:r>
      <w:r>
        <w:rPr>
          <w:rFonts w:hint="eastAsia" w:ascii="宋体" w:hAnsi="宋体" w:cs="宋体"/>
          <w:color w:val="auto"/>
          <w:kern w:val="0"/>
          <w:sz w:val="24"/>
          <w:lang w:val="en-US" w:eastAsia="zh-CN"/>
        </w:rPr>
        <w:t>13503470129</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2.采购代理机构信息：</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 xml:space="preserve">名称：博爱县城市建设项目管理有限公司 </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shd w:val="clear" w:color="auto" w:fill="FFFFFF"/>
        </w:rPr>
        <w:t>博爱县中山路东段</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电话：0391-8690958</w:t>
      </w:r>
    </w:p>
    <w:p>
      <w:pPr>
        <w:adjustRightInd w:val="0"/>
        <w:snapToGrid w:val="0"/>
        <w:spacing w:line="440" w:lineRule="exact"/>
        <w:ind w:firstLine="480" w:firstLineChars="200"/>
        <w:rPr>
          <w:rFonts w:ascii="宋体" w:hAnsi="宋体" w:cs="宋体"/>
          <w:color w:val="auto"/>
          <w:sz w:val="24"/>
        </w:rPr>
      </w:pPr>
      <w:r>
        <w:rPr>
          <w:rFonts w:hint="eastAsia" w:ascii="宋体" w:hAnsi="宋体" w:cs="宋体"/>
          <w:color w:val="auto"/>
          <w:sz w:val="24"/>
        </w:rPr>
        <w:t>3.项目联系方式</w:t>
      </w:r>
    </w:p>
    <w:p>
      <w:pPr>
        <w:adjustRightInd w:val="0"/>
        <w:snapToGrid w:val="0"/>
        <w:spacing w:line="44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项目联系人：</w:t>
      </w:r>
      <w:r>
        <w:rPr>
          <w:rFonts w:hint="eastAsia" w:ascii="宋体" w:hAnsi="宋体" w:cs="宋体"/>
          <w:bCs/>
          <w:color w:val="auto"/>
          <w:sz w:val="24"/>
          <w:lang w:eastAsia="zh-CN"/>
        </w:rPr>
        <w:t>张先生</w:t>
      </w:r>
    </w:p>
    <w:p>
      <w:pPr>
        <w:adjustRightInd w:val="0"/>
        <w:snapToGrid w:val="0"/>
        <w:spacing w:line="440" w:lineRule="exact"/>
        <w:ind w:firstLine="480" w:firstLineChars="200"/>
        <w:rPr>
          <w:rFonts w:hint="eastAsia" w:ascii="宋体" w:hAnsi="宋体" w:eastAsia="宋体" w:cs="宋体"/>
          <w:color w:val="auto"/>
          <w:kern w:val="0"/>
          <w:sz w:val="24"/>
          <w:lang w:eastAsia="zh-CN"/>
        </w:rPr>
      </w:pPr>
      <w:r>
        <w:rPr>
          <w:rFonts w:hint="eastAsia" w:ascii="宋体" w:hAnsi="宋体" w:cs="宋体"/>
          <w:color w:val="auto"/>
          <w:sz w:val="24"/>
        </w:rPr>
        <w:t>电话：</w:t>
      </w:r>
      <w:r>
        <w:rPr>
          <w:rFonts w:hint="eastAsia" w:ascii="宋体" w:hAnsi="宋体" w:cs="宋体"/>
          <w:color w:val="auto"/>
          <w:kern w:val="0"/>
          <w:sz w:val="24"/>
          <w:lang w:val="en-US" w:eastAsia="zh-CN"/>
        </w:rPr>
        <w:t>13503470129</w:t>
      </w:r>
    </w:p>
    <w:p>
      <w:pPr>
        <w:widowControl/>
        <w:spacing w:line="440" w:lineRule="exact"/>
        <w:ind w:left="2940" w:firstLine="420"/>
        <w:rPr>
          <w:rFonts w:hint="eastAsia" w:ascii="宋体" w:hAnsi="宋体" w:cs="宋体"/>
          <w:color w:val="auto"/>
          <w:sz w:val="24"/>
        </w:rPr>
      </w:pPr>
    </w:p>
    <w:p>
      <w:pPr>
        <w:widowControl/>
        <w:spacing w:line="440" w:lineRule="exact"/>
        <w:ind w:left="2940" w:firstLine="420"/>
        <w:rPr>
          <w:rFonts w:hint="eastAsia" w:ascii="宋体" w:hAnsi="宋体" w:cs="宋体"/>
          <w:color w:val="auto"/>
          <w:sz w:val="24"/>
        </w:rPr>
      </w:pPr>
    </w:p>
    <w:p>
      <w:pPr>
        <w:widowControl/>
        <w:spacing w:line="440" w:lineRule="exact"/>
        <w:ind w:left="2940" w:firstLine="420"/>
        <w:rPr>
          <w:rFonts w:hint="eastAsia" w:ascii="宋体" w:hAnsi="宋体" w:cs="宋体"/>
          <w:color w:val="auto"/>
          <w:sz w:val="24"/>
        </w:rPr>
      </w:pPr>
    </w:p>
    <w:p>
      <w:pPr>
        <w:widowControl/>
        <w:spacing w:line="440" w:lineRule="exact"/>
        <w:ind w:left="2940" w:firstLine="420"/>
        <w:rPr>
          <w:rFonts w:hint="eastAsia" w:ascii="宋体" w:hAnsi="宋体" w:eastAsia="宋体" w:cs="宋体"/>
          <w:color w:val="auto"/>
          <w:sz w:val="24"/>
          <w:shd w:val="clear" w:color="auto" w:fill="FFFFFF"/>
          <w:lang w:eastAsia="zh-CN"/>
        </w:rPr>
      </w:pPr>
      <w:r>
        <w:rPr>
          <w:rFonts w:hint="eastAsia" w:ascii="宋体" w:hAnsi="宋体" w:cs="宋体"/>
          <w:color w:val="auto"/>
          <w:sz w:val="24"/>
        </w:rPr>
        <w:t>采购人：</w:t>
      </w:r>
      <w:r>
        <w:rPr>
          <w:rFonts w:hint="eastAsia" w:ascii="宋体" w:hAnsi="宋体" w:cs="宋体"/>
          <w:color w:val="auto"/>
          <w:sz w:val="24"/>
          <w:shd w:val="clear" w:color="auto" w:fill="FFFFFF"/>
          <w:lang w:eastAsia="zh-CN"/>
        </w:rPr>
        <w:t>博爱县农业农村局</w:t>
      </w:r>
    </w:p>
    <w:p>
      <w:pPr>
        <w:widowControl/>
        <w:spacing w:line="440" w:lineRule="exact"/>
        <w:ind w:firstLine="2880" w:firstLineChars="1200"/>
        <w:jc w:val="left"/>
        <w:rPr>
          <w:rFonts w:ascii="宋体" w:hAnsi="宋体" w:cs="宋体"/>
          <w:color w:val="auto"/>
          <w:sz w:val="24"/>
          <w:shd w:val="clear" w:color="auto" w:fill="FFFFFF"/>
        </w:rPr>
      </w:pPr>
      <w:r>
        <w:rPr>
          <w:rFonts w:hint="eastAsia" w:ascii="宋体" w:hAnsi="宋体" w:cs="宋体"/>
          <w:color w:val="auto"/>
          <w:sz w:val="24"/>
          <w:shd w:val="clear" w:color="auto" w:fill="FFFFFF"/>
        </w:rPr>
        <w:t>采购代理机构：博爱县城市建设项目管理有限公司</w:t>
      </w:r>
    </w:p>
    <w:p>
      <w:pPr>
        <w:widowControl/>
        <w:spacing w:line="440" w:lineRule="exact"/>
        <w:ind w:left="2940" w:firstLine="420"/>
        <w:rPr>
          <w:color w:val="auto"/>
        </w:rPr>
      </w:pPr>
      <w:r>
        <w:rPr>
          <w:rFonts w:hint="eastAsia" w:ascii="宋体" w:hAnsi="宋体" w:cs="宋体"/>
          <w:color w:val="auto"/>
          <w:sz w:val="24"/>
        </w:rPr>
        <w:t>发布时间：2021年</w:t>
      </w:r>
      <w:r>
        <w:rPr>
          <w:rFonts w:hint="eastAsia" w:ascii="宋体" w:hAnsi="宋体" w:cs="宋体"/>
          <w:color w:val="auto"/>
          <w:sz w:val="24"/>
          <w:lang w:val="en-US" w:eastAsia="zh-CN"/>
        </w:rPr>
        <w:t>12</w:t>
      </w:r>
      <w:r>
        <w:rPr>
          <w:rFonts w:hint="eastAsia" w:ascii="宋体" w:hAnsi="宋体" w:cs="宋体"/>
          <w:color w:val="auto"/>
          <w:sz w:val="24"/>
        </w:rPr>
        <w:t>月</w:t>
      </w:r>
      <w:r>
        <w:rPr>
          <w:rFonts w:hint="eastAsia" w:ascii="宋体" w:hAnsi="宋体" w:cs="宋体"/>
          <w:color w:val="auto"/>
          <w:sz w:val="24"/>
          <w:lang w:val="en-US" w:eastAsia="zh-CN"/>
        </w:rPr>
        <w:t>30</w:t>
      </w:r>
      <w:r>
        <w:rPr>
          <w:rFonts w:hint="eastAsia" w:ascii="宋体" w:hAnsi="宋体" w:cs="宋体"/>
          <w:color w:val="auto"/>
          <w:sz w:val="24"/>
        </w:rPr>
        <w:t>日</w:t>
      </w:r>
    </w:p>
    <w:p>
      <w:pPr>
        <w:rPr>
          <w:rFonts w:asciiTheme="minorEastAsia" w:hAnsiTheme="minorEastAsia" w:eastAsiaTheme="minorEastAsia" w:cstheme="minorEastAsia"/>
          <w:b/>
          <w:sz w:val="32"/>
          <w:szCs w:val="32"/>
        </w:rPr>
      </w:pPr>
    </w:p>
    <w:p>
      <w:pPr>
        <w:autoSpaceDE w:val="0"/>
        <w:autoSpaceDN w:val="0"/>
        <w:adjustRightInd w:val="0"/>
        <w:spacing w:line="360" w:lineRule="auto"/>
        <w:jc w:val="center"/>
        <w:outlineLvl w:val="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第二章  供应商须知</w:t>
      </w:r>
      <w:bookmarkEnd w:id="2"/>
    </w:p>
    <w:bookmarkEnd w:id="0"/>
    <w:p>
      <w:pPr>
        <w:pStyle w:val="14"/>
        <w:spacing w:before="0" w:after="0" w:line="360" w:lineRule="auto"/>
        <w:ind w:right="-23" w:rightChars="-11"/>
        <w:rPr>
          <w:rFonts w:asciiTheme="minorEastAsia" w:hAnsiTheme="minorEastAsia" w:eastAsiaTheme="minorEastAsia" w:cstheme="minorEastAsia"/>
          <w:sz w:val="30"/>
          <w:szCs w:val="30"/>
        </w:rPr>
      </w:pPr>
      <w:bookmarkStart w:id="3" w:name="_Toc426369478"/>
      <w:bookmarkStart w:id="4" w:name="_Toc32497"/>
      <w:bookmarkStart w:id="5" w:name="_Toc9161"/>
      <w:bookmarkStart w:id="6" w:name="_Toc403122490"/>
      <w:r>
        <w:rPr>
          <w:rFonts w:hint="eastAsia" w:asciiTheme="minorEastAsia" w:hAnsiTheme="minorEastAsia" w:eastAsiaTheme="minorEastAsia" w:cstheme="minorEastAsia"/>
          <w:sz w:val="30"/>
          <w:szCs w:val="30"/>
        </w:rPr>
        <w:t>供应商须知前附表</w:t>
      </w:r>
      <w:bookmarkEnd w:id="3"/>
      <w:bookmarkEnd w:id="4"/>
      <w:bookmarkEnd w:id="5"/>
      <w:bookmarkEnd w:id="6"/>
    </w:p>
    <w:tbl>
      <w:tblPr>
        <w:tblStyle w:val="17"/>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318"/>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9"/>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条款号</w:t>
            </w:r>
          </w:p>
        </w:tc>
        <w:tc>
          <w:tcPr>
            <w:tcW w:w="2318" w:type="dxa"/>
            <w:vAlign w:val="center"/>
          </w:tcPr>
          <w:p>
            <w:pPr>
              <w:pStyle w:val="9"/>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条款名称</w:t>
            </w:r>
          </w:p>
        </w:tc>
        <w:tc>
          <w:tcPr>
            <w:tcW w:w="6112" w:type="dxa"/>
            <w:vAlign w:val="center"/>
          </w:tcPr>
          <w:p>
            <w:pPr>
              <w:pStyle w:val="9"/>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1.1.2</w:t>
            </w:r>
          </w:p>
        </w:tc>
        <w:tc>
          <w:tcPr>
            <w:tcW w:w="2318"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采购人</w:t>
            </w:r>
          </w:p>
        </w:tc>
        <w:tc>
          <w:tcPr>
            <w:tcW w:w="6112" w:type="dxa"/>
            <w:vAlign w:val="center"/>
          </w:tcPr>
          <w:p>
            <w:pPr>
              <w:pStyle w:val="9"/>
              <w:spacing w:line="360" w:lineRule="exact"/>
              <w:rPr>
                <w:rFonts w:hint="eastAsia" w:asciiTheme="minorEastAsia" w:hAnsiTheme="minorEastAsia" w:eastAsiaTheme="minorEastAsia" w:cstheme="minorEastAsia"/>
                <w:color w:val="auto"/>
                <w:lang w:eastAsia="zh-CN"/>
              </w:rPr>
            </w:pPr>
            <w:r>
              <w:rPr>
                <w:rFonts w:asciiTheme="minorEastAsia" w:hAnsiTheme="minorEastAsia" w:eastAsiaTheme="minorEastAsia" w:cstheme="minorEastAsia"/>
              </w:rPr>
              <w:t>名称：</w:t>
            </w:r>
            <w:r>
              <w:rPr>
                <w:rFonts w:hint="eastAsia" w:asciiTheme="minorEastAsia" w:hAnsiTheme="minorEastAsia" w:eastAsiaTheme="minorEastAsia" w:cstheme="minorEastAsia"/>
                <w:color w:val="auto"/>
                <w:lang w:eastAsia="zh-CN"/>
              </w:rPr>
              <w:t>博爱县农业农村局</w:t>
            </w:r>
          </w:p>
          <w:p>
            <w:pPr>
              <w:pStyle w:val="9"/>
              <w:spacing w:line="360" w:lineRule="exact"/>
              <w:rPr>
                <w:rFonts w:hint="eastAsia" w:asciiTheme="minorEastAsia" w:hAnsiTheme="minorEastAsia" w:eastAsiaTheme="minorEastAsia" w:cstheme="minorEastAsia"/>
                <w:color w:val="auto"/>
                <w:lang w:eastAsia="zh-CN"/>
              </w:rPr>
            </w:pPr>
            <w:r>
              <w:rPr>
                <w:rFonts w:asciiTheme="minorEastAsia" w:hAnsiTheme="minorEastAsia" w:eastAsiaTheme="minorEastAsia" w:cstheme="minorEastAsia"/>
                <w:color w:val="auto"/>
              </w:rPr>
              <w:t>联系</w:t>
            </w:r>
            <w:r>
              <w:rPr>
                <w:rFonts w:asciiTheme="minorEastAsia" w:hAnsiTheme="minorEastAsia" w:eastAsiaTheme="minorEastAsia" w:cstheme="minorEastAsia"/>
                <w:color w:val="auto"/>
                <w:szCs w:val="24"/>
              </w:rPr>
              <w:t>人：</w:t>
            </w:r>
            <w:r>
              <w:rPr>
                <w:rFonts w:hint="eastAsia" w:hAnsi="宋体" w:cs="宋体" w:eastAsiaTheme="minorEastAsia"/>
                <w:bCs/>
                <w:color w:val="auto"/>
                <w:lang w:eastAsia="zh-CN"/>
              </w:rPr>
              <w:t>张先生</w:t>
            </w:r>
          </w:p>
          <w:p>
            <w:pPr>
              <w:pStyle w:val="9"/>
              <w:spacing w:line="360" w:lineRule="exact"/>
              <w:rPr>
                <w:rFonts w:hint="default" w:asciiTheme="minorEastAsia" w:hAnsiTheme="minorEastAsia" w:eastAsiaTheme="minorEastAsia" w:cstheme="minorEastAsia"/>
                <w:lang w:val="en-US" w:eastAsia="zh-CN"/>
              </w:rPr>
            </w:pPr>
            <w:r>
              <w:rPr>
                <w:rFonts w:asciiTheme="minorEastAsia" w:hAnsiTheme="minorEastAsia" w:eastAsiaTheme="minorEastAsia" w:cstheme="minorEastAsia"/>
                <w:color w:val="auto"/>
              </w:rPr>
              <w:t>电话：</w:t>
            </w:r>
            <w:r>
              <w:rPr>
                <w:rFonts w:hint="eastAsia" w:hAnsi="宋体" w:cs="宋体" w:eastAsiaTheme="minorEastAsia"/>
                <w:bCs/>
                <w:color w:val="auto"/>
                <w:lang w:val="en-US" w:eastAsia="zh-CN"/>
              </w:rPr>
              <w:t>13503470129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1.1.3</w:t>
            </w:r>
          </w:p>
        </w:tc>
        <w:tc>
          <w:tcPr>
            <w:tcW w:w="2318"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采购代理机构</w:t>
            </w:r>
          </w:p>
        </w:tc>
        <w:tc>
          <w:tcPr>
            <w:tcW w:w="6112" w:type="dxa"/>
            <w:vAlign w:val="center"/>
          </w:tcPr>
          <w:p>
            <w:pPr>
              <w:pStyle w:val="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 xml:space="preserve">采购代理机构：博爱县城市建设项目管理有限公司  </w:t>
            </w:r>
          </w:p>
          <w:p>
            <w:pPr>
              <w:pStyle w:val="9"/>
              <w:spacing w:line="360" w:lineRule="exact"/>
              <w:rPr>
                <w:rFonts w:hint="default" w:asciiTheme="minorEastAsia" w:hAnsiTheme="minorEastAsia" w:eastAsiaTheme="minorEastAsia" w:cstheme="minorEastAsia"/>
                <w:bCs/>
                <w:iCs/>
              </w:rPr>
            </w:pPr>
            <w:r>
              <w:rPr>
                <w:rFonts w:asciiTheme="minorEastAsia" w:hAnsiTheme="minorEastAsia" w:eastAsiaTheme="minorEastAsia" w:cstheme="minorEastAsia"/>
              </w:rPr>
              <w:t>联</w:t>
            </w:r>
            <w:r>
              <w:rPr>
                <w:rFonts w:asciiTheme="minorEastAsia" w:hAnsiTheme="minorEastAsia" w:eastAsiaTheme="minorEastAsia" w:cstheme="minorEastAsia"/>
                <w:bCs/>
                <w:iCs/>
              </w:rPr>
              <w:t xml:space="preserve">系人：张先生      </w:t>
            </w:r>
          </w:p>
          <w:p>
            <w:pPr>
              <w:pStyle w:val="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bCs/>
                <w:iCs/>
              </w:rPr>
              <w:t>电话：0391-8690958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1.1.4</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6112" w:type="dxa"/>
            <w:vAlign w:val="center"/>
          </w:tcPr>
          <w:p>
            <w:pPr>
              <w:adjustRightInd w:val="0"/>
              <w:snapToGrid w:val="0"/>
              <w:spacing w:line="46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Cs/>
                <w:iCs/>
                <w:szCs w:val="21"/>
                <w:lang w:eastAsia="zh-CN"/>
              </w:rPr>
              <w:t>博爱县牛肉食品工程技术研发中心采购项目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1.1.5</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iCs/>
                <w:szCs w:val="21"/>
              </w:rPr>
              <w:t>项目地点</w:t>
            </w:r>
          </w:p>
        </w:tc>
        <w:tc>
          <w:tcPr>
            <w:tcW w:w="6112" w:type="dxa"/>
            <w:vAlign w:val="center"/>
          </w:tcPr>
          <w:p>
            <w:pPr>
              <w:pStyle w:val="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1.2.1</w:t>
            </w:r>
          </w:p>
        </w:tc>
        <w:tc>
          <w:tcPr>
            <w:tcW w:w="2318"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资金来源</w:t>
            </w:r>
          </w:p>
        </w:tc>
        <w:tc>
          <w:tcPr>
            <w:tcW w:w="6112" w:type="dxa"/>
            <w:vAlign w:val="center"/>
          </w:tcPr>
          <w:p>
            <w:pPr>
              <w:pStyle w:val="9"/>
              <w:spacing w:line="360" w:lineRule="exact"/>
              <w:rPr>
                <w:rFonts w:hint="default" w:asciiTheme="minorEastAsia" w:hAnsiTheme="minorEastAsia" w:eastAsiaTheme="minorEastAsia" w:cstheme="minorEastAsia"/>
              </w:rPr>
            </w:pPr>
            <w:r>
              <w:rPr>
                <w:rFonts w:hint="eastAsia" w:asciiTheme="minorEastAsia" w:hAnsiTheme="minorEastAsia" w:eastAsiaTheme="minorEastAsia" w:cstheme="minorEastAsia"/>
                <w:lang w:eastAsia="zh-CN"/>
              </w:rPr>
              <w:t>上级</w:t>
            </w:r>
            <w:r>
              <w:rPr>
                <w:rFonts w:hint="default" w:asciiTheme="minorEastAsia" w:hAnsiTheme="minorEastAsia" w:eastAsiaTheme="minorEastAsia" w:cstheme="minorEastAsia"/>
              </w:rPr>
              <w:t>财政资金</w:t>
            </w:r>
            <w:r>
              <w:rPr>
                <w:rFonts w:asciiTheme="minorEastAsia" w:hAnsiTheme="minorEastAsia" w:eastAsiaTheme="minorEastAsia" w:cs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1.2.2</w:t>
            </w:r>
          </w:p>
        </w:tc>
        <w:tc>
          <w:tcPr>
            <w:tcW w:w="2318"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资金落实情况</w:t>
            </w:r>
          </w:p>
        </w:tc>
        <w:tc>
          <w:tcPr>
            <w:tcW w:w="6112" w:type="dxa"/>
            <w:vAlign w:val="center"/>
          </w:tcPr>
          <w:p>
            <w:pPr>
              <w:pStyle w:val="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采购内容</w:t>
            </w:r>
          </w:p>
        </w:tc>
        <w:tc>
          <w:tcPr>
            <w:tcW w:w="6112" w:type="dxa"/>
          </w:tcPr>
          <w:p>
            <w:pPr>
              <w:pStyle w:val="9"/>
              <w:spacing w:line="360" w:lineRule="exact"/>
              <w:rPr>
                <w:rFonts w:hint="eastAsia" w:eastAsia="宋体" w:asciiTheme="minorEastAsia" w:hAnsiTheme="minorEastAsia" w:cstheme="minorEastAsia"/>
                <w:lang w:eastAsia="zh-CN"/>
              </w:rPr>
            </w:pPr>
            <w:r>
              <w:rPr>
                <w:rFonts w:hint="eastAsia" w:asciiTheme="minorEastAsia" w:hAnsiTheme="minorEastAsia" w:eastAsiaTheme="minorEastAsia" w:cstheme="minorEastAsia"/>
              </w:rPr>
              <w:t>采购超纯水机、全自动凯氏定氮仪、索氏抽提仪、高压灭菌器、近红外肉类快速分析仪等科研设备</w:t>
            </w:r>
            <w:r>
              <w:rPr>
                <w:rFonts w:hint="eastAsia" w:asciiTheme="minorEastAsia" w:hAnsiTheme="minorEastAsia" w:eastAsiaTheme="minorEastAsia" w:cs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1.3.2</w:t>
            </w:r>
          </w:p>
        </w:tc>
        <w:tc>
          <w:tcPr>
            <w:tcW w:w="2318" w:type="dxa"/>
            <w:vAlign w:val="center"/>
          </w:tcPr>
          <w:p>
            <w:pPr>
              <w:pStyle w:val="9"/>
              <w:spacing w:line="360" w:lineRule="exact"/>
              <w:jc w:val="center"/>
              <w:rPr>
                <w:rFonts w:hint="default" w:hAnsi="宋体" w:cs="宋体"/>
                <w:kern w:val="0"/>
              </w:rPr>
            </w:pPr>
            <w:r>
              <w:rPr>
                <w:rFonts w:hAnsi="宋体" w:cs="宋体"/>
                <w:kern w:val="0"/>
              </w:rPr>
              <w:t>供货及安装期</w:t>
            </w:r>
          </w:p>
        </w:tc>
        <w:tc>
          <w:tcPr>
            <w:tcW w:w="6112" w:type="dxa"/>
            <w:vAlign w:val="center"/>
          </w:tcPr>
          <w:p>
            <w:pPr>
              <w:adjustRightInd w:val="0"/>
              <w:snapToGrid w:val="0"/>
              <w:spacing w:line="560" w:lineRule="exact"/>
              <w:rPr>
                <w:rFonts w:ascii="宋体" w:hAnsi="宋体" w:cs="宋体"/>
                <w:kern w:val="0"/>
                <w:szCs w:val="21"/>
              </w:rPr>
            </w:pPr>
            <w:r>
              <w:rPr>
                <w:rFonts w:hint="eastAsia" w:ascii="宋体" w:hAnsi="宋体" w:cs="宋体"/>
                <w:kern w:val="0"/>
                <w:szCs w:val="21"/>
                <w:lang w:val="en-US" w:eastAsia="zh-CN"/>
              </w:rPr>
              <w:t>40日历天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1.3.3</w:t>
            </w:r>
          </w:p>
        </w:tc>
        <w:tc>
          <w:tcPr>
            <w:tcW w:w="2318" w:type="dxa"/>
            <w:vAlign w:val="center"/>
          </w:tcPr>
          <w:p>
            <w:pPr>
              <w:pStyle w:val="9"/>
              <w:spacing w:line="360" w:lineRule="exact"/>
              <w:jc w:val="center"/>
              <w:rPr>
                <w:rFonts w:hint="default" w:hAnsi="宋体" w:cs="宋体"/>
                <w:kern w:val="0"/>
              </w:rPr>
            </w:pPr>
            <w:r>
              <w:rPr>
                <w:rFonts w:hint="default" w:hAnsi="宋体" w:cs="宋体"/>
                <w:kern w:val="0"/>
              </w:rPr>
              <w:t>质量标准</w:t>
            </w:r>
          </w:p>
        </w:tc>
        <w:tc>
          <w:tcPr>
            <w:tcW w:w="6112" w:type="dxa"/>
            <w:vAlign w:val="center"/>
          </w:tcPr>
          <w:p>
            <w:pPr>
              <w:spacing w:line="400" w:lineRule="exact"/>
              <w:rPr>
                <w:rFonts w:ascii="宋体" w:hAnsi="宋体" w:cs="宋体"/>
                <w:kern w:val="0"/>
                <w:szCs w:val="21"/>
              </w:rPr>
            </w:pPr>
            <w:r>
              <w:rPr>
                <w:rFonts w:hint="eastAsia" w:ascii="宋体" w:hAnsi="宋体" w:cs="宋体"/>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1.3.4</w:t>
            </w:r>
          </w:p>
        </w:tc>
        <w:tc>
          <w:tcPr>
            <w:tcW w:w="2318" w:type="dxa"/>
            <w:vAlign w:val="center"/>
          </w:tcPr>
          <w:p>
            <w:pPr>
              <w:pStyle w:val="9"/>
              <w:spacing w:line="360" w:lineRule="exact"/>
              <w:jc w:val="center"/>
              <w:rPr>
                <w:rFonts w:hint="default" w:hAnsi="宋体" w:cs="宋体"/>
                <w:kern w:val="0"/>
              </w:rPr>
            </w:pPr>
            <w:r>
              <w:rPr>
                <w:rFonts w:hAnsi="宋体" w:cs="宋体"/>
                <w:kern w:val="0"/>
              </w:rPr>
              <w:t>质保期</w:t>
            </w:r>
          </w:p>
        </w:tc>
        <w:tc>
          <w:tcPr>
            <w:tcW w:w="6112" w:type="dxa"/>
            <w:vAlign w:val="center"/>
          </w:tcPr>
          <w:p>
            <w:pPr>
              <w:spacing w:line="400" w:lineRule="exact"/>
              <w:rPr>
                <w:rFonts w:ascii="宋体" w:hAnsi="宋体" w:cs="宋体"/>
                <w:kern w:val="0"/>
                <w:szCs w:val="21"/>
              </w:rPr>
            </w:pPr>
            <w:r>
              <w:rPr>
                <w:rFonts w:hint="eastAsia" w:ascii="宋体" w:hAnsi="宋体" w:cs="宋体"/>
                <w:kern w:val="0"/>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1.4.1</w:t>
            </w:r>
          </w:p>
        </w:tc>
        <w:tc>
          <w:tcPr>
            <w:tcW w:w="2318"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供应商资质条件</w:t>
            </w:r>
          </w:p>
        </w:tc>
        <w:tc>
          <w:tcPr>
            <w:tcW w:w="6112" w:type="dxa"/>
            <w:vAlign w:val="center"/>
          </w:tcPr>
          <w:p>
            <w:pPr>
              <w:pStyle w:val="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1、符合《中华人民共和国政府采购法》第二十二条之规定；</w:t>
            </w:r>
          </w:p>
          <w:p>
            <w:pPr>
              <w:pStyle w:val="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2、落实政府采购政策需满足的资格要求：促进中小企业和监狱企业发展扶持政策、政府强制采购节能产品、节能产品及环境标志产品优先采购。</w:t>
            </w:r>
          </w:p>
          <w:p>
            <w:pPr>
              <w:pStyle w:val="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3、本项目的特定资格要求：</w:t>
            </w:r>
          </w:p>
          <w:p>
            <w:pPr>
              <w:pStyle w:val="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3.1供应商须具有有效的营业执照，并具有实施完成本项目的经营实力和完善的售后服务体系；</w:t>
            </w:r>
          </w:p>
          <w:p>
            <w:pPr>
              <w:pStyle w:val="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pStyle w:val="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3.3本项目不接受联合体投标；</w:t>
            </w:r>
          </w:p>
          <w:p>
            <w:pPr>
              <w:pStyle w:val="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3.4资格审查方式：资格后审。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1.4.2</w:t>
            </w:r>
          </w:p>
        </w:tc>
        <w:tc>
          <w:tcPr>
            <w:tcW w:w="2318"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是否接受联合体</w:t>
            </w:r>
          </w:p>
        </w:tc>
        <w:tc>
          <w:tcPr>
            <w:tcW w:w="6112" w:type="dxa"/>
            <w:vAlign w:val="center"/>
          </w:tcPr>
          <w:p>
            <w:pPr>
              <w:pStyle w:val="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1.10.1</w:t>
            </w:r>
          </w:p>
        </w:tc>
        <w:tc>
          <w:tcPr>
            <w:tcW w:w="2318"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投标预备会</w:t>
            </w:r>
          </w:p>
        </w:tc>
        <w:tc>
          <w:tcPr>
            <w:tcW w:w="6112" w:type="dxa"/>
            <w:vAlign w:val="center"/>
          </w:tcPr>
          <w:p>
            <w:pPr>
              <w:pStyle w:val="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1.10.2</w:t>
            </w:r>
          </w:p>
        </w:tc>
        <w:tc>
          <w:tcPr>
            <w:tcW w:w="2318"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供应商提出问题的</w:t>
            </w:r>
          </w:p>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截止时间</w:t>
            </w:r>
          </w:p>
        </w:tc>
        <w:tc>
          <w:tcPr>
            <w:tcW w:w="6112" w:type="dxa"/>
            <w:vAlign w:val="center"/>
          </w:tcPr>
          <w:p>
            <w:pPr>
              <w:pStyle w:val="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1.10.3</w:t>
            </w:r>
          </w:p>
        </w:tc>
        <w:tc>
          <w:tcPr>
            <w:tcW w:w="2318"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采购人说明澄清的时间</w:t>
            </w:r>
          </w:p>
        </w:tc>
        <w:tc>
          <w:tcPr>
            <w:tcW w:w="6112" w:type="dxa"/>
            <w:vAlign w:val="center"/>
          </w:tcPr>
          <w:p>
            <w:pPr>
              <w:pStyle w:val="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1.11</w:t>
            </w:r>
          </w:p>
        </w:tc>
        <w:tc>
          <w:tcPr>
            <w:tcW w:w="2318"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分包</w:t>
            </w:r>
          </w:p>
        </w:tc>
        <w:tc>
          <w:tcPr>
            <w:tcW w:w="6112" w:type="dxa"/>
            <w:vAlign w:val="center"/>
          </w:tcPr>
          <w:p>
            <w:pPr>
              <w:pStyle w:val="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65"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1.12</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w:t>
            </w:r>
          </w:p>
        </w:tc>
        <w:tc>
          <w:tcPr>
            <w:tcW w:w="6112" w:type="dxa"/>
            <w:vAlign w:val="center"/>
          </w:tcPr>
          <w:p>
            <w:pPr>
              <w:spacing w:line="360" w:lineRule="exac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不允许</w:t>
            </w:r>
            <w:r>
              <w:rPr>
                <w:rFonts w:hint="eastAsia" w:asciiTheme="minorEastAsia" w:hAnsiTheme="minorEastAsia" w:eastAsiaTheme="minorEastAsia" w:cstheme="minorEastAsia"/>
                <w:szCs w:val="21"/>
                <w:lang w:eastAsia="zh-CN"/>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2.2.1</w:t>
            </w:r>
          </w:p>
        </w:tc>
        <w:tc>
          <w:tcPr>
            <w:tcW w:w="2318"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供应商要求澄清招标文件的截止时间</w:t>
            </w:r>
          </w:p>
        </w:tc>
        <w:tc>
          <w:tcPr>
            <w:tcW w:w="6112" w:type="dxa"/>
            <w:vAlign w:val="center"/>
          </w:tcPr>
          <w:p>
            <w:pPr>
              <w:pStyle w:val="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2.2.2</w:t>
            </w:r>
          </w:p>
        </w:tc>
        <w:tc>
          <w:tcPr>
            <w:tcW w:w="2318" w:type="dxa"/>
            <w:vAlign w:val="center"/>
          </w:tcPr>
          <w:p>
            <w:pPr>
              <w:pStyle w:val="9"/>
              <w:spacing w:line="360" w:lineRule="exact"/>
              <w:jc w:val="center"/>
              <w:rPr>
                <w:rFonts w:hint="default" w:asciiTheme="minorEastAsia" w:hAnsiTheme="minorEastAsia" w:eastAsiaTheme="minorEastAsia" w:cstheme="minorEastAsia"/>
                <w:b/>
                <w:bCs/>
                <w:color w:val="auto"/>
              </w:rPr>
            </w:pPr>
            <w:r>
              <w:rPr>
                <w:rFonts w:asciiTheme="minorEastAsia" w:hAnsiTheme="minorEastAsia" w:eastAsiaTheme="minorEastAsia" w:cstheme="minorEastAsia"/>
                <w:color w:val="auto"/>
              </w:rPr>
              <w:t>投标截止时间</w:t>
            </w:r>
          </w:p>
        </w:tc>
        <w:tc>
          <w:tcPr>
            <w:tcW w:w="6112" w:type="dxa"/>
            <w:vAlign w:val="center"/>
          </w:tcPr>
          <w:p>
            <w:pPr>
              <w:spacing w:line="360" w:lineRule="exact"/>
              <w:jc w:val="left"/>
              <w:rPr>
                <w:rFonts w:asciiTheme="minorEastAsia" w:hAnsiTheme="minorEastAsia" w:eastAsiaTheme="minorEastAsia" w:cstheme="minorEastAsia"/>
                <w:b/>
                <w:bCs/>
                <w:color w:val="auto"/>
              </w:rPr>
            </w:pPr>
            <w:r>
              <w:rPr>
                <w:rFonts w:hint="eastAsia" w:ascii="宋体" w:hAnsi="宋体" w:cs="宋体"/>
                <w:b/>
                <w:bCs/>
                <w:color w:val="auto"/>
                <w:kern w:val="0"/>
                <w:sz w:val="21"/>
                <w:szCs w:val="21"/>
              </w:rPr>
              <w:t>202</w:t>
            </w:r>
            <w:r>
              <w:rPr>
                <w:rFonts w:hint="eastAsia" w:ascii="宋体" w:hAnsi="宋体" w:cs="宋体"/>
                <w:b/>
                <w:bCs/>
                <w:color w:val="auto"/>
                <w:kern w:val="0"/>
                <w:sz w:val="21"/>
                <w:szCs w:val="21"/>
                <w:lang w:val="en-US" w:eastAsia="zh-CN"/>
              </w:rPr>
              <w:t>2</w:t>
            </w:r>
            <w:r>
              <w:rPr>
                <w:rFonts w:hint="eastAsia" w:ascii="宋体" w:hAnsi="宋体" w:cs="宋体"/>
                <w:b/>
                <w:bCs/>
                <w:color w:val="auto"/>
                <w:kern w:val="0"/>
                <w:sz w:val="21"/>
                <w:szCs w:val="21"/>
              </w:rPr>
              <w:t>年</w:t>
            </w:r>
            <w:r>
              <w:rPr>
                <w:rFonts w:hint="eastAsia" w:ascii="宋体" w:hAnsi="宋体" w:cs="宋体"/>
                <w:b/>
                <w:bCs/>
                <w:color w:val="auto"/>
                <w:kern w:val="0"/>
                <w:sz w:val="21"/>
                <w:szCs w:val="21"/>
                <w:lang w:val="en-US" w:eastAsia="zh-CN"/>
              </w:rPr>
              <w:t>1</w:t>
            </w:r>
            <w:r>
              <w:rPr>
                <w:rFonts w:hint="eastAsia" w:ascii="宋体" w:hAnsi="宋体" w:cs="宋体"/>
                <w:b/>
                <w:bCs/>
                <w:color w:val="auto"/>
                <w:kern w:val="0"/>
                <w:sz w:val="21"/>
                <w:szCs w:val="21"/>
              </w:rPr>
              <w:t>月</w:t>
            </w:r>
            <w:r>
              <w:rPr>
                <w:rFonts w:hint="eastAsia" w:ascii="宋体" w:hAnsi="宋体" w:cs="宋体"/>
                <w:b/>
                <w:bCs/>
                <w:color w:val="auto"/>
                <w:kern w:val="0"/>
                <w:sz w:val="21"/>
                <w:szCs w:val="21"/>
                <w:lang w:val="en-US" w:eastAsia="zh-CN"/>
              </w:rPr>
              <w:t>20</w:t>
            </w:r>
            <w:r>
              <w:rPr>
                <w:rFonts w:hint="eastAsia" w:ascii="宋体" w:hAnsi="宋体" w:cs="宋体"/>
                <w:b/>
                <w:bCs/>
                <w:color w:val="auto"/>
                <w:kern w:val="0"/>
                <w:sz w:val="21"/>
                <w:szCs w:val="21"/>
              </w:rPr>
              <w:t>日</w:t>
            </w:r>
            <w:r>
              <w:rPr>
                <w:rFonts w:hint="eastAsia" w:ascii="宋体" w:hAnsi="宋体" w:cs="宋体"/>
                <w:b/>
                <w:bCs/>
                <w:color w:val="auto"/>
                <w:kern w:val="0"/>
                <w:sz w:val="21"/>
                <w:szCs w:val="21"/>
                <w:lang w:val="en-US" w:eastAsia="zh-CN"/>
              </w:rPr>
              <w:t>9</w:t>
            </w:r>
            <w:r>
              <w:rPr>
                <w:rFonts w:hint="eastAsia" w:ascii="宋体" w:hAnsi="宋体" w:cs="宋体"/>
                <w:b/>
                <w:bCs/>
                <w:color w:val="auto"/>
                <w:kern w:val="0"/>
                <w:sz w:val="21"/>
                <w:szCs w:val="21"/>
              </w:rPr>
              <w:t>点</w:t>
            </w:r>
            <w:r>
              <w:rPr>
                <w:rFonts w:hint="eastAsia" w:ascii="宋体" w:hAnsi="宋体" w:cs="宋体"/>
                <w:b/>
                <w:bCs/>
                <w:color w:val="auto"/>
                <w:kern w:val="0"/>
                <w:sz w:val="21"/>
                <w:szCs w:val="21"/>
                <w:lang w:val="en-US" w:eastAsia="zh-CN"/>
              </w:rPr>
              <w:t>00</w:t>
            </w:r>
            <w:r>
              <w:rPr>
                <w:rFonts w:hint="eastAsia" w:ascii="宋体" w:hAnsi="宋体" w:cs="宋体"/>
                <w:b/>
                <w:bCs/>
                <w:color w:val="auto"/>
                <w:kern w:val="0"/>
                <w:sz w:val="21"/>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2.2.3</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供应商确认收到招标文件澄清的时间</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招标文件澄清文件发出后4小时内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2.3.2</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供应商确认收到招标文件修改的时间</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招标文件修改文件发出后4小时内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构成投标文件的</w:t>
            </w:r>
          </w:p>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其他材料</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3.3.1</w:t>
            </w:r>
          </w:p>
        </w:tc>
        <w:tc>
          <w:tcPr>
            <w:tcW w:w="2318"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投标有效期</w:t>
            </w:r>
          </w:p>
        </w:tc>
        <w:tc>
          <w:tcPr>
            <w:tcW w:w="6112" w:type="dxa"/>
            <w:vAlign w:val="center"/>
          </w:tcPr>
          <w:p>
            <w:pPr>
              <w:pStyle w:val="9"/>
              <w:spacing w:line="360" w:lineRule="exact"/>
              <w:rPr>
                <w:rFonts w:hint="default" w:asciiTheme="minorEastAsia" w:hAnsiTheme="minorEastAsia" w:eastAsiaTheme="minorEastAsia" w:cstheme="minorEastAsia"/>
                <w:color w:val="FF0000"/>
              </w:rPr>
            </w:pPr>
            <w:r>
              <w:rPr>
                <w:rFonts w:asciiTheme="minorEastAsia" w:hAnsiTheme="minorEastAsia" w:eastAsiaTheme="minorEastAsia" w:cstheme="minorEastAsia"/>
                <w:color w:val="000000" w:themeColor="text1"/>
                <w14:textFill>
                  <w14:solidFill>
                    <w14:schemeClr w14:val="tx1"/>
                  </w14:solidFill>
                </w14:textFill>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3.6</w:t>
            </w:r>
          </w:p>
        </w:tc>
        <w:tc>
          <w:tcPr>
            <w:tcW w:w="2318"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是否允许递交备选</w:t>
            </w:r>
          </w:p>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投标方案</w:t>
            </w:r>
          </w:p>
        </w:tc>
        <w:tc>
          <w:tcPr>
            <w:tcW w:w="6112" w:type="dxa"/>
            <w:vAlign w:val="center"/>
          </w:tcPr>
          <w:p>
            <w:pPr>
              <w:pStyle w:val="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3.7.3</w:t>
            </w:r>
          </w:p>
        </w:tc>
        <w:tc>
          <w:tcPr>
            <w:tcW w:w="2318" w:type="dxa"/>
            <w:shd w:val="clear" w:color="auto" w:fill="auto"/>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签字盖章要求</w:t>
            </w:r>
          </w:p>
        </w:tc>
        <w:tc>
          <w:tcPr>
            <w:tcW w:w="6112" w:type="dxa"/>
            <w:shd w:val="clear" w:color="auto" w:fill="auto"/>
            <w:vAlign w:val="center"/>
          </w:tcPr>
          <w:p>
            <w:pPr>
              <w:spacing w:line="360" w:lineRule="exact"/>
              <w:jc w:val="left"/>
              <w:rPr>
                <w:rFonts w:ascii="宋体" w:hAnsi="宋体" w:cs="宋体"/>
                <w:b/>
                <w:bCs/>
                <w:szCs w:val="21"/>
              </w:rPr>
            </w:pPr>
            <w:r>
              <w:rPr>
                <w:rFonts w:hint="eastAsia" w:ascii="宋体" w:hAnsi="宋体" w:cs="宋体"/>
                <w:b/>
                <w:bCs/>
                <w:szCs w:val="21"/>
              </w:rPr>
              <w:t>（1）所有要求投标人加盖公章的地方都须加盖投标人单位的 CA 印章。</w:t>
            </w:r>
          </w:p>
          <w:p>
            <w:pPr>
              <w:pStyle w:val="9"/>
              <w:spacing w:line="360" w:lineRule="exact"/>
              <w:rPr>
                <w:rFonts w:hint="default" w:asciiTheme="minorEastAsia" w:hAnsiTheme="minorEastAsia" w:eastAsiaTheme="minorEastAsia" w:cstheme="minorEastAsia"/>
              </w:rPr>
            </w:pPr>
            <w:r>
              <w:rPr>
                <w:rFonts w:hAnsi="宋体" w:cs="宋体"/>
                <w:b/>
                <w:bCs/>
              </w:rPr>
              <w:t>（2）所有要求法定代表人或其委托代理人签字的地方都须加盖法定代表人CA 印章或其委托代理人签字。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3.7.4</w:t>
            </w:r>
          </w:p>
        </w:tc>
        <w:tc>
          <w:tcPr>
            <w:tcW w:w="2318"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投标文件份数</w:t>
            </w:r>
          </w:p>
        </w:tc>
        <w:tc>
          <w:tcPr>
            <w:tcW w:w="6112" w:type="dxa"/>
            <w:vAlign w:val="center"/>
          </w:tcPr>
          <w:p>
            <w:pPr>
              <w:pStyle w:val="9"/>
              <w:spacing w:line="360" w:lineRule="exact"/>
              <w:rPr>
                <w:rFonts w:hint="default" w:asciiTheme="minorEastAsia" w:hAnsiTheme="minorEastAsia" w:cstheme="minorEastAsia"/>
              </w:rPr>
            </w:pPr>
            <w:r>
              <w:rPr>
                <w:b/>
                <w:bCs/>
              </w:rPr>
              <w:t>加密的电子投标文件壹份（.jztf 格式在会员系统指定位置上传）；自备非加密的电子投标文件一份，如有紧急情况，在不见面开标按要求上传。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4.2.2</w:t>
            </w:r>
          </w:p>
        </w:tc>
        <w:tc>
          <w:tcPr>
            <w:tcW w:w="2318"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递交投标文件方式和</w:t>
            </w:r>
          </w:p>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地点</w:t>
            </w:r>
          </w:p>
        </w:tc>
        <w:tc>
          <w:tcPr>
            <w:tcW w:w="6112" w:type="dxa"/>
            <w:vAlign w:val="center"/>
          </w:tcPr>
          <w:p>
            <w:pPr>
              <w:pStyle w:val="9"/>
              <w:spacing w:line="400" w:lineRule="exact"/>
              <w:rPr>
                <w:rFonts w:hint="default" w:hAnsi="宋体"/>
              </w:rPr>
            </w:pPr>
            <w:r>
              <w:rPr>
                <w:rFonts w:hAnsi="宋体"/>
              </w:rPr>
              <w:t xml:space="preserve">本项目采用“远程不见面”开标方式，远程开标大厅网址为http://122.112.246.33/BidOpening/bidopeninghallaction/hall/login。投标人不需到开标现场参加开标会议，不需提交原件资料等。 </w:t>
            </w:r>
          </w:p>
          <w:p>
            <w:pPr>
              <w:pStyle w:val="9"/>
              <w:spacing w:line="400" w:lineRule="exact"/>
              <w:rPr>
                <w:rFonts w:hint="default" w:hAnsi="宋体"/>
              </w:rPr>
            </w:pPr>
            <w:r>
              <w:rPr>
                <w:rFonts w:hAnsi="宋体"/>
              </w:rPr>
              <w:t>（1）电子投标文件的递交</w:t>
            </w:r>
          </w:p>
          <w:p>
            <w:pPr>
              <w:pStyle w:val="9"/>
              <w:spacing w:line="400" w:lineRule="exact"/>
              <w:rPr>
                <w:rFonts w:hint="default" w:hAnsi="宋体"/>
              </w:rPr>
            </w:pPr>
            <w:r>
              <w:rPr>
                <w:rFonts w:hAnsi="宋体"/>
              </w:rPr>
              <w:t>a、各投标人应在投标截止时间前上传加密的电子投标文件</w:t>
            </w:r>
          </w:p>
          <w:p>
            <w:pPr>
              <w:pStyle w:val="9"/>
              <w:spacing w:line="400" w:lineRule="exact"/>
              <w:rPr>
                <w:rFonts w:hint="default" w:hAnsi="宋体"/>
              </w:rPr>
            </w:pPr>
            <w:r>
              <w:rPr>
                <w:rFonts w:hAnsi="宋体"/>
              </w:rPr>
              <w:t>（.jztf 格式）到会员系统的指定位置。上传时必须得到电脑“上传成功”的确认回复。请投标人在上传时认真检查上传投标文件是否完整、正确。</w:t>
            </w:r>
          </w:p>
          <w:p>
            <w:pPr>
              <w:pStyle w:val="9"/>
              <w:spacing w:line="400" w:lineRule="exact"/>
              <w:rPr>
                <w:rFonts w:hint="default" w:hAnsi="宋体"/>
              </w:rPr>
            </w:pPr>
            <w:r>
              <w:rPr>
                <w:rFonts w:hAnsi="宋体"/>
              </w:rPr>
              <w:t>b、如系统故故障需上传非加密文件时，投标人应按照招标人指示将非加密文件递交给招标人。</w:t>
            </w:r>
          </w:p>
          <w:p>
            <w:pPr>
              <w:pStyle w:val="9"/>
              <w:spacing w:line="360" w:lineRule="exact"/>
              <w:rPr>
                <w:rFonts w:hint="default"/>
                <w:color w:val="0000FF"/>
              </w:rPr>
            </w:pPr>
            <w:r>
              <w:rPr>
                <w:rFonts w:hAnsi="宋体"/>
              </w:rPr>
              <w:t>C、投标人因交易中心投标系统无法上传电子投标文件时， 请在工作时间与博爱县公共资源交易中心联系，联系电话：0391-8301661。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4.2.3</w:t>
            </w:r>
          </w:p>
        </w:tc>
        <w:tc>
          <w:tcPr>
            <w:tcW w:w="2318"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是否退还投标文件</w:t>
            </w:r>
          </w:p>
        </w:tc>
        <w:tc>
          <w:tcPr>
            <w:tcW w:w="6112" w:type="dxa"/>
            <w:vAlign w:val="center"/>
          </w:tcPr>
          <w:p>
            <w:pPr>
              <w:pStyle w:val="9"/>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5.1</w:t>
            </w:r>
          </w:p>
        </w:tc>
        <w:tc>
          <w:tcPr>
            <w:tcW w:w="2318"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开标时间和地点</w:t>
            </w:r>
          </w:p>
        </w:tc>
        <w:tc>
          <w:tcPr>
            <w:tcW w:w="6112" w:type="dxa"/>
            <w:vAlign w:val="center"/>
          </w:tcPr>
          <w:p>
            <w:pPr>
              <w:adjustRightInd w:val="0"/>
              <w:snapToGrid w:val="0"/>
              <w:spacing w:line="400" w:lineRule="exact"/>
              <w:rPr>
                <w:rFonts w:ascii="宋体" w:hAnsi="宋体"/>
                <w:szCs w:val="21"/>
              </w:rPr>
            </w:pPr>
            <w:r>
              <w:rPr>
                <w:rFonts w:hint="eastAsia" w:ascii="宋体" w:hAnsi="宋体"/>
                <w:szCs w:val="21"/>
              </w:rPr>
              <w:t>开标时间：同投标截止时间。投标人应当在投标截止时间前，登录远程开标大厅，凭制作投标文件所用的企业 CA 密匙在线签到、解密文件等，解密时间为投标截止时后30分钟内。</w:t>
            </w:r>
          </w:p>
          <w:p>
            <w:pPr>
              <w:spacing w:line="360" w:lineRule="exact"/>
              <w:ind w:left="700" w:hanging="700"/>
              <w:jc w:val="left"/>
              <w:rPr>
                <w:rFonts w:asciiTheme="minorEastAsia" w:hAnsiTheme="minorEastAsia" w:eastAsiaTheme="minorEastAsia" w:cstheme="minorEastAsia"/>
              </w:rPr>
            </w:pPr>
            <w:r>
              <w:rPr>
                <w:rFonts w:hint="eastAsia" w:ascii="宋体" w:hAnsi="宋体"/>
                <w:szCs w:val="21"/>
              </w:rPr>
              <w:t>现场开标地点：博爱县公共资源交易中心二楼第一开标室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评标委员会的组建</w:t>
            </w:r>
          </w:p>
        </w:tc>
        <w:tc>
          <w:tcPr>
            <w:tcW w:w="6112" w:type="dxa"/>
            <w:vAlign w:val="center"/>
          </w:tcPr>
          <w:p>
            <w:pPr>
              <w:spacing w:line="360" w:lineRule="exact"/>
              <w:ind w:left="700" w:hanging="7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评标委员会构成：由采购人代表1名和政府采购专家库中随机抽</w:t>
            </w:r>
          </w:p>
          <w:p>
            <w:pPr>
              <w:spacing w:line="360" w:lineRule="exact"/>
              <w:ind w:left="700" w:hanging="7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取的评审专家4名共5人组成。</w:t>
            </w:r>
          </w:p>
          <w:p>
            <w:pPr>
              <w:spacing w:line="360" w:lineRule="exact"/>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是否授权评标委员会确定中标人</w:t>
            </w:r>
          </w:p>
        </w:tc>
        <w:tc>
          <w:tcPr>
            <w:tcW w:w="6112" w:type="dxa"/>
            <w:vAlign w:val="center"/>
          </w:tcPr>
          <w:p>
            <w:pPr>
              <w:spacing w:line="38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否，由评标委员会从认定的合理报价中，按得分由高到低的顺序，依次推荐1～3名中标候选人。</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7.3.1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履约保证金</w:t>
            </w:r>
          </w:p>
        </w:tc>
        <w:tc>
          <w:tcPr>
            <w:tcW w:w="6112" w:type="dxa"/>
            <w:vAlign w:val="center"/>
          </w:tcPr>
          <w:p>
            <w:pPr>
              <w:spacing w:line="380" w:lineRule="exac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9"/>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7.3.2</w:t>
            </w:r>
          </w:p>
        </w:tc>
        <w:tc>
          <w:tcPr>
            <w:tcW w:w="2318" w:type="dxa"/>
            <w:shd w:val="clear" w:color="auto" w:fill="auto"/>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投标保证金</w:t>
            </w:r>
          </w:p>
        </w:tc>
        <w:tc>
          <w:tcPr>
            <w:tcW w:w="6112" w:type="dxa"/>
            <w:shd w:val="clear" w:color="auto" w:fill="auto"/>
            <w:vAlign w:val="center"/>
          </w:tcPr>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10</w:t>
            </w:r>
          </w:p>
        </w:tc>
        <w:tc>
          <w:tcPr>
            <w:tcW w:w="8430" w:type="dxa"/>
            <w:gridSpan w:val="2"/>
            <w:vAlign w:val="bottom"/>
          </w:tcPr>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预算金额</w:t>
            </w:r>
          </w:p>
        </w:tc>
        <w:tc>
          <w:tcPr>
            <w:tcW w:w="6112" w:type="dxa"/>
            <w:vAlign w:val="bottom"/>
          </w:tcPr>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1、本项目预算金额为：</w:t>
            </w:r>
            <w:r>
              <w:rPr>
                <w:rFonts w:hint="eastAsia" w:asciiTheme="minorEastAsia" w:hAnsiTheme="minorEastAsia" w:eastAsiaTheme="minorEastAsia" w:cstheme="minorEastAsia"/>
                <w:szCs w:val="21"/>
                <w:lang w:val="en-US" w:eastAsia="zh-CN"/>
              </w:rPr>
              <w:t>4000000</w:t>
            </w:r>
            <w:r>
              <w:rPr>
                <w:rFonts w:hint="eastAsia" w:asciiTheme="minorEastAsia" w:hAnsiTheme="minorEastAsia" w:eastAsiaTheme="minorEastAsia" w:cstheme="minorEastAsia"/>
                <w:szCs w:val="21"/>
              </w:rPr>
              <w:t>元</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2、控制价是采购人设置的最高限价，供应商的投标报价高于控制价的视为无效报价，其投标予以拒绝；</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3、当中标人的投标报价高于控制价的95%时，该中标人的中标价按控制价的95%执行。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10.2</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小型或微型企业（含监狱企业）</w:t>
            </w:r>
          </w:p>
        </w:tc>
        <w:tc>
          <w:tcPr>
            <w:tcW w:w="6112" w:type="dxa"/>
            <w:vAlign w:val="center"/>
          </w:tcPr>
          <w:p>
            <w:pPr>
              <w:autoSpaceDE w:val="0"/>
              <w:autoSpaceDN w:val="0"/>
              <w:adjustRightInd w:val="0"/>
              <w:spacing w:line="5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1、对小型或微型企业投标的扶持：(如有）</w:t>
            </w:r>
          </w:p>
          <w:p>
            <w:pPr>
              <w:autoSpaceDE w:val="0"/>
              <w:autoSpaceDN w:val="0"/>
              <w:adjustRightInd w:val="0"/>
              <w:spacing w:line="5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1.1投标供应商为小型或微型企业时，报价给予C1的价格扣除（C1的取值为6%），即：评标价＝投标报价（最后报价）×(1－C1）；</w:t>
            </w:r>
          </w:p>
          <w:p>
            <w:pPr>
              <w:autoSpaceDE w:val="0"/>
              <w:autoSpaceDN w:val="0"/>
              <w:adjustRightInd w:val="0"/>
              <w:spacing w:line="5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auto"/>
                <w:kern w:val="0"/>
                <w:szCs w:val="21"/>
              </w:rPr>
              <w:t>小微企业应当列明本项目中所投的“小型和微型企业产品的清单”并提供《中小企业声明函》（见格式）。</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1.2按照</w:t>
            </w:r>
            <w:r>
              <w:rPr>
                <w:rFonts w:hint="eastAsia" w:ascii="宋体" w:hAnsi="宋体" w:cs="宋体"/>
                <w:color w:val="000000" w:themeColor="text1"/>
                <w:kern w:val="0"/>
                <w:sz w:val="24"/>
                <w:szCs w:val="22"/>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政府采购促进中小企业发展管理办法》有关规定，中小企业的标准为：</w:t>
            </w:r>
          </w:p>
          <w:p>
            <w:pPr>
              <w:autoSpaceDE w:val="0"/>
              <w:autoSpaceDN w:val="0"/>
              <w:adjustRightInd w:val="0"/>
              <w:spacing w:line="5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1.2.1提供本企业制造的货物、承担的工程或者服务，或者提供其他中小企业制造的货物，不包括提供或使用大型企业注册商标的货物；</w:t>
            </w:r>
          </w:p>
          <w:p>
            <w:pPr>
              <w:autoSpaceDE w:val="0"/>
              <w:autoSpaceDN w:val="0"/>
              <w:adjustRightInd w:val="0"/>
              <w:spacing w:line="5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1.2.2本规定所称中小企业划分标准，是指国务院有关部门根据企业从业人员、营业收入、资产总额等指标制定的中小企业划型标准（工信部联企业[2011]300号）；</w:t>
            </w:r>
          </w:p>
          <w:p>
            <w:pPr>
              <w:autoSpaceDE w:val="0"/>
              <w:autoSpaceDN w:val="0"/>
              <w:adjustRightInd w:val="0"/>
              <w:spacing w:line="5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1.2.3小型、微型企业提供有中型企业制造的货物的，视同为中型企业；小型、微型、中型企业提供有大型企业制造的货物的，视同为大型企业。</w:t>
            </w:r>
          </w:p>
          <w:p>
            <w:pPr>
              <w:spacing w:line="440" w:lineRule="exact"/>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2、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6%的扣除。</w:t>
            </w:r>
          </w:p>
          <w:p>
            <w:pPr>
              <w:spacing w:line="440" w:lineRule="exact"/>
              <w:ind w:firstLine="420" w:firstLineChars="200"/>
              <w:rPr>
                <w:rFonts w:asciiTheme="minorEastAsia" w:hAnsiTheme="minorEastAsia" w:eastAsiaTheme="minorEastAsia" w:cstheme="minorEastAsia"/>
                <w:szCs w:val="21"/>
              </w:rPr>
            </w:pPr>
            <w:r>
              <w:rPr>
                <w:rFonts w:hint="eastAsia" w:ascii="宋体" w:hAnsi="宋体" w:cs="宋体"/>
                <w:bCs/>
                <w:color w:val="000000" w:themeColor="text1"/>
                <w14:textFill>
                  <w14:solidFill>
                    <w14:schemeClr w14:val="tx1"/>
                  </w14:solidFill>
                </w14:textFill>
              </w:rPr>
              <w:t>同一投标人，小微企业、监狱、残疾人福利性企业同一产品价格扣除优惠只享受一次，不得重复享受。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10.3</w:t>
            </w:r>
          </w:p>
        </w:tc>
        <w:tc>
          <w:tcPr>
            <w:tcW w:w="2318" w:type="dxa"/>
            <w:vAlign w:val="center"/>
          </w:tcPr>
          <w:p>
            <w:pPr>
              <w:spacing w:line="360" w:lineRule="exact"/>
              <w:jc w:val="center"/>
              <w:rPr>
                <w:rFonts w:asciiTheme="minorEastAsia" w:hAnsiTheme="minorEastAsia" w:eastAsiaTheme="minorEastAsia" w:cstheme="minorEastAsia"/>
                <w:b/>
                <w:bCs/>
                <w:color w:val="FF0000"/>
                <w:szCs w:val="21"/>
              </w:rPr>
            </w:pPr>
            <w:r>
              <w:rPr>
                <w:rFonts w:hint="eastAsia" w:asciiTheme="minorEastAsia" w:hAnsiTheme="minorEastAsia" w:eastAsiaTheme="minorEastAsia" w:cstheme="minorEastAsia"/>
                <w:color w:val="121212"/>
                <w:szCs w:val="21"/>
              </w:rPr>
              <w:t>付款方式</w:t>
            </w:r>
          </w:p>
        </w:tc>
        <w:tc>
          <w:tcPr>
            <w:tcW w:w="6112" w:type="dxa"/>
            <w:vAlign w:val="center"/>
          </w:tcPr>
          <w:p>
            <w:pPr>
              <w:pStyle w:val="22"/>
              <w:snapToGrid w:val="0"/>
              <w:spacing w:line="560" w:lineRule="exact"/>
              <w:rPr>
                <w:rFonts w:hint="default" w:asciiTheme="minorEastAsia" w:hAnsiTheme="minorEastAsia" w:cstheme="minorEastAsia"/>
                <w:b/>
                <w:bCs/>
                <w:color w:val="FF0000"/>
                <w:szCs w:val="21"/>
              </w:rPr>
            </w:pPr>
            <w:r>
              <w:rPr>
                <w:rFonts w:hint="eastAsia" w:hAnsi="宋体" w:cs="宋体"/>
                <w:bCs/>
                <w:color w:val="000000" w:themeColor="text1"/>
                <w:kern w:val="2"/>
                <w:sz w:val="21"/>
                <w14:textFill>
                  <w14:solidFill>
                    <w14:schemeClr w14:val="tx1"/>
                  </w14:solidFill>
                </w14:textFill>
              </w:rPr>
              <w:t>验收合格后，支付总价款的97%，剩余3%作为质保金，一年后无任何质量问题一次性无息支付。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10.5</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招标代理服务费</w:t>
            </w:r>
          </w:p>
        </w:tc>
        <w:tc>
          <w:tcPr>
            <w:tcW w:w="6112" w:type="dxa"/>
            <w:vAlign w:val="center"/>
          </w:tcPr>
          <w:p>
            <w:pPr>
              <w:spacing w:line="440" w:lineRule="exact"/>
              <w:rPr>
                <w:rFonts w:hint="eastAsia" w:ascii="宋体" w:hAnsi="宋体" w:eastAsia="宋体" w:cs="宋体"/>
                <w:bCs/>
                <w:color w:val="000000" w:themeColor="text1"/>
                <w:kern w:val="2"/>
                <w:sz w:val="21"/>
                <w:szCs w:val="24"/>
                <w:lang w:val="en-US" w:eastAsia="zh-CN" w:bidi="ar-SA"/>
                <w14:textFill>
                  <w14:solidFill>
                    <w14:schemeClr w14:val="tx1"/>
                  </w14:solidFill>
                </w14:textFill>
              </w:rPr>
            </w:pPr>
            <w:r>
              <w:rPr>
                <w:rFonts w:hint="eastAsia" w:ascii="宋体" w:hAnsi="宋体" w:eastAsia="宋体" w:cs="宋体"/>
                <w:bCs/>
                <w:color w:val="000000" w:themeColor="text1"/>
                <w:kern w:val="2"/>
                <w:sz w:val="21"/>
                <w:szCs w:val="24"/>
                <w:lang w:val="en-US" w:eastAsia="zh-CN" w:bidi="ar-SA"/>
                <w14:textFill>
                  <w14:solidFill>
                    <w14:schemeClr w14:val="tx1"/>
                  </w14:solidFill>
                </w14:textFill>
              </w:rPr>
              <w:t>1、招标代理服务费依据国家发展改革委发改价格[2015]299号文件的规定收取，由中标人支付。招标代理费由招标代理机构通知中标企业结清后，领取工程中标通知书。</w:t>
            </w:r>
          </w:p>
          <w:p>
            <w:pPr>
              <w:pStyle w:val="23"/>
            </w:pPr>
            <w:r>
              <w:rPr>
                <w:rFonts w:hint="eastAsia" w:ascii="宋体" w:hAnsi="宋体" w:eastAsia="宋体" w:cs="宋体"/>
                <w:bCs/>
                <w:color w:val="000000" w:themeColor="text1"/>
                <w:kern w:val="2"/>
                <w:sz w:val="21"/>
                <w:szCs w:val="24"/>
                <w:lang w:val="en-US" w:eastAsia="zh-CN" w:bidi="ar-SA"/>
                <w14:textFill>
                  <w14:solidFill>
                    <w14:schemeClr w14:val="tx1"/>
                  </w14:solidFill>
                </w14:textFill>
              </w:rPr>
              <w:t>2、中标人在领取中标通知书时，将投标文件纸质版打印装订（投标文件正本壹份和副本肆份，每册应采用左侧粘贴方式，不得采用活页装订）递交采购人。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10.8</w:t>
            </w:r>
          </w:p>
        </w:tc>
        <w:tc>
          <w:tcPr>
            <w:tcW w:w="231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认定为不响应招标文件的其它条件</w:t>
            </w:r>
          </w:p>
        </w:tc>
        <w:tc>
          <w:tcPr>
            <w:tcW w:w="6112" w:type="dxa"/>
            <w:vAlign w:val="center"/>
          </w:tcPr>
          <w:p>
            <w:pPr>
              <w:pStyle w:val="16"/>
              <w:ind w:left="0" w:leftChars="0" w:firstLine="0" w:firstLineChars="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1、未按招标文件明示的规定签字盖章的；</w:t>
            </w:r>
          </w:p>
          <w:p>
            <w:pPr>
              <w:pStyle w:val="16"/>
              <w:ind w:left="0" w:leftChars="0" w:firstLine="0" w:firstLineChars="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2、投标文件的关键内容（投标报价、供货及安装期、质量等）未填写或填写字迹模糊、达不到采购要求的；</w:t>
            </w:r>
          </w:p>
          <w:p>
            <w:pPr>
              <w:pStyle w:val="16"/>
              <w:ind w:left="0" w:leftChars="0" w:firstLine="0" w:firstLineChars="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3、投标报价超出招标控制价的；</w:t>
            </w:r>
          </w:p>
          <w:p>
            <w:pPr>
              <w:pStyle w:val="16"/>
              <w:ind w:left="0" w:leftChars="0" w:firstLine="0" w:firstLineChars="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4、供应商递交两份或多份内容不同的投标文件，或在一份投标文件中对同一招标项目有两个或多个报价，且未声明哪一个有效的；</w:t>
            </w:r>
          </w:p>
          <w:p>
            <w:pPr>
              <w:pStyle w:val="16"/>
              <w:ind w:left="0" w:leftChars="0" w:firstLine="0" w:firstLineChars="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5、相关资格证明文件不合格的；</w:t>
            </w:r>
          </w:p>
          <w:p>
            <w:pPr>
              <w:pStyle w:val="16"/>
              <w:ind w:left="0" w:leftChars="0" w:firstLine="0" w:firstLineChars="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6、未按要求提供相关证件的；</w:t>
            </w:r>
          </w:p>
          <w:p>
            <w:pPr>
              <w:pStyle w:val="16"/>
              <w:ind w:left="0" w:leftChars="0" w:firstLine="0" w:firstLineChars="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7、未按要求在报价明细表中标明品牌、型号及技术参数的。</w:t>
            </w:r>
          </w:p>
          <w:p>
            <w:pPr>
              <w:pStyle w:val="16"/>
              <w:ind w:left="0" w:leftChars="0" w:firstLine="0" w:firstLineChars="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8、附有采购人不能接受的条件的；</w:t>
            </w:r>
          </w:p>
          <w:p>
            <w:pPr>
              <w:pStyle w:val="16"/>
              <w:ind w:left="0" w:leftChars="0" w:firstLine="0" w:firstLineChars="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9、评标过程中，如有投标人存在“投标文件制作机器码一致”，则视其投标无效，并按照相关规定进行处理。</w:t>
            </w:r>
          </w:p>
          <w:p>
            <w:pPr>
              <w:pStyle w:val="16"/>
              <w:ind w:left="0" w:leftChars="0" w:firstLine="0" w:firstLineChars="0"/>
              <w:rPr>
                <w:b/>
                <w:bCs/>
              </w:rPr>
            </w:pPr>
            <w:r>
              <w:rPr>
                <w:rFonts w:hint="eastAsia" w:asciiTheme="minorEastAsia" w:hAnsiTheme="minorEastAsia" w:eastAsiaTheme="minorEastAsia" w:cstheme="minorEastAsia"/>
                <w:b/>
                <w:bCs/>
                <w:szCs w:val="21"/>
              </w:rPr>
              <w:t>10、投标文件有明显不符合招标文件其它要求和有关法律法规的。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10.9</w:t>
            </w:r>
          </w:p>
        </w:tc>
        <w:tc>
          <w:tcPr>
            <w:tcW w:w="8430" w:type="dxa"/>
            <w:gridSpan w:val="2"/>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本招标文件解释权归采购人</w:t>
            </w:r>
          </w:p>
        </w:tc>
      </w:tr>
    </w:tbl>
    <w:p>
      <w:pPr>
        <w:pStyle w:val="14"/>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7" w:name="_Toc426369479"/>
      <w:bookmarkStart w:id="8" w:name="_Toc9048"/>
      <w:bookmarkStart w:id="9" w:name="_Toc23576"/>
      <w:bookmarkStart w:id="10" w:name="_Toc403122491"/>
      <w:bookmarkStart w:id="11" w:name="_Toc426369491"/>
      <w:bookmarkStart w:id="12" w:name="_Toc403122503"/>
      <w:bookmarkStart w:id="13" w:name="_Toc26894"/>
      <w:r>
        <w:rPr>
          <w:rFonts w:hint="eastAsia" w:asciiTheme="minorEastAsia" w:hAnsiTheme="minorEastAsia" w:eastAsiaTheme="minorEastAsia" w:cstheme="minorEastAsia"/>
          <w:sz w:val="24"/>
          <w:szCs w:val="24"/>
        </w:rPr>
        <w:t>1. 总则</w:t>
      </w:r>
      <w:bookmarkEnd w:id="7"/>
      <w:bookmarkEnd w:id="8"/>
      <w:bookmarkEnd w:id="9"/>
      <w:bookmarkEnd w:id="10"/>
    </w:p>
    <w:p>
      <w:pPr>
        <w:spacing w:line="500" w:lineRule="exact"/>
        <w:ind w:firstLine="482" w:firstLineChars="200"/>
        <w:rPr>
          <w:rFonts w:asciiTheme="minorEastAsia" w:hAnsiTheme="minorEastAsia" w:eastAsiaTheme="minorEastAsia" w:cstheme="minorEastAsia"/>
          <w:b/>
          <w:bCs/>
          <w:sz w:val="24"/>
        </w:rPr>
      </w:pPr>
      <w:bookmarkStart w:id="14" w:name="_Toc403122492"/>
      <w:bookmarkStart w:id="15" w:name="_Toc279599771"/>
      <w:bookmarkStart w:id="16" w:name="_Toc274249575"/>
      <w:bookmarkStart w:id="17" w:name="_Toc426369480"/>
      <w:r>
        <w:rPr>
          <w:rFonts w:hint="eastAsia" w:asciiTheme="minorEastAsia" w:hAnsiTheme="minorEastAsia" w:eastAsiaTheme="minorEastAsia" w:cstheme="minorEastAsia"/>
          <w:b/>
          <w:bCs/>
          <w:sz w:val="24"/>
        </w:rPr>
        <w:t>1.1 项目概况</w:t>
      </w:r>
      <w:bookmarkEnd w:id="14"/>
      <w:bookmarkEnd w:id="15"/>
      <w:bookmarkEnd w:id="16"/>
      <w:bookmarkEnd w:id="17"/>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 根据</w:t>
      </w:r>
      <w:r>
        <w:rPr>
          <w:rFonts w:hint="eastAsia" w:asciiTheme="minorEastAsia" w:hAnsiTheme="minorEastAsia" w:eastAsiaTheme="minorEastAsia" w:cstheme="minorEastAsia"/>
          <w:bCs/>
          <w:szCs w:val="21"/>
        </w:rPr>
        <w:t>《中华人民共和国政府采购法》</w:t>
      </w:r>
      <w:r>
        <w:rPr>
          <w:rFonts w:hint="eastAsia" w:asciiTheme="minorEastAsia" w:hAnsiTheme="minorEastAsia" w:eastAsiaTheme="minorEastAsia" w:cstheme="minorEastAsia"/>
          <w:szCs w:val="21"/>
        </w:rPr>
        <w:t xml:space="preserve">等有关法律、法规和规章的规定，本招标项目已具备招标条件，现对本招标项目进行公开招标。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1.1.2  本招标项目采购人：见供应商须知前附表。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1.1.3  本招标项目采购代理机构：见供应商须知前附表。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1.1.4  本招标项目名称：见供应商须知前附表。 </w:t>
      </w:r>
    </w:p>
    <w:p>
      <w:pPr>
        <w:spacing w:line="500" w:lineRule="exact"/>
        <w:ind w:firstLine="482" w:firstLineChars="200"/>
        <w:rPr>
          <w:rFonts w:asciiTheme="minorEastAsia" w:hAnsiTheme="minorEastAsia" w:eastAsiaTheme="minorEastAsia" w:cstheme="minorEastAsia"/>
          <w:b/>
          <w:bCs/>
          <w:sz w:val="24"/>
        </w:rPr>
      </w:pPr>
      <w:bookmarkStart w:id="18" w:name="_Toc426369481"/>
      <w:bookmarkStart w:id="19" w:name="_Toc279599772"/>
      <w:bookmarkStart w:id="20" w:name="_Toc403122493"/>
      <w:bookmarkStart w:id="21" w:name="_Toc274249576"/>
      <w:r>
        <w:rPr>
          <w:rFonts w:hint="eastAsia" w:asciiTheme="minorEastAsia" w:hAnsiTheme="minorEastAsia" w:eastAsiaTheme="minorEastAsia" w:cstheme="minorEastAsia"/>
          <w:b/>
          <w:bCs/>
          <w:sz w:val="24"/>
        </w:rPr>
        <w:t>1.2 资金来源和落实情况</w:t>
      </w:r>
      <w:bookmarkEnd w:id="18"/>
      <w:bookmarkEnd w:id="19"/>
      <w:bookmarkEnd w:id="20"/>
      <w:bookmarkEnd w:id="21"/>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1.2.1  本招标项目的资金来源：见供应商须知前附表。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1.2.2  本招标项目的资金落实情况：见供应商须知前附表。 </w:t>
      </w:r>
    </w:p>
    <w:p>
      <w:pPr>
        <w:spacing w:line="500" w:lineRule="exact"/>
        <w:ind w:firstLine="482" w:firstLineChars="200"/>
        <w:rPr>
          <w:rFonts w:asciiTheme="minorEastAsia" w:hAnsiTheme="minorEastAsia" w:eastAsiaTheme="minorEastAsia" w:cstheme="minorEastAsia"/>
          <w:b/>
          <w:bCs/>
          <w:sz w:val="24"/>
        </w:rPr>
      </w:pPr>
      <w:bookmarkStart w:id="22" w:name="_Toc403122494"/>
      <w:bookmarkStart w:id="23" w:name="_Toc426369482"/>
      <w:bookmarkStart w:id="24" w:name="_Toc274249577"/>
      <w:bookmarkStart w:id="25" w:name="_Toc279599773"/>
      <w:r>
        <w:rPr>
          <w:rFonts w:hint="eastAsia" w:asciiTheme="minorEastAsia" w:hAnsiTheme="minorEastAsia" w:eastAsiaTheme="minorEastAsia" w:cstheme="minorEastAsia"/>
          <w:b/>
          <w:bCs/>
          <w:sz w:val="24"/>
        </w:rPr>
        <w:t>1.3 采购内容、项目完成期和质量要求</w:t>
      </w:r>
      <w:bookmarkEnd w:id="22"/>
      <w:bookmarkEnd w:id="23"/>
      <w:bookmarkEnd w:id="24"/>
      <w:bookmarkEnd w:id="2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1.3.1  本次招标采购内容：见供应商须知前附表。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1.3.2  本次招标的项目完成期：见供应商须知前附表。 </w:t>
      </w:r>
    </w:p>
    <w:p>
      <w:pPr>
        <w:tabs>
          <w:tab w:val="right" w:pos="904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1.3.3  本次招标的质量要求：见供应商须知前附表。 </w:t>
      </w:r>
    </w:p>
    <w:p>
      <w:pPr>
        <w:tabs>
          <w:tab w:val="right" w:pos="904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1.3.4  本次招标的质保期要求：见供应商须知前附表。 </w:t>
      </w:r>
      <w:r>
        <w:rPr>
          <w:rFonts w:hint="eastAsia" w:asciiTheme="minorEastAsia" w:hAnsiTheme="minorEastAsia" w:eastAsiaTheme="minorEastAsia" w:cstheme="minorEastAsia"/>
          <w:szCs w:val="21"/>
        </w:rPr>
        <w:tab/>
      </w:r>
    </w:p>
    <w:p>
      <w:pPr>
        <w:spacing w:line="500" w:lineRule="exact"/>
        <w:ind w:firstLine="482" w:firstLineChars="200"/>
        <w:rPr>
          <w:rFonts w:asciiTheme="minorEastAsia" w:hAnsiTheme="minorEastAsia" w:eastAsiaTheme="minorEastAsia" w:cstheme="minorEastAsia"/>
          <w:b/>
          <w:bCs/>
          <w:sz w:val="24"/>
        </w:rPr>
      </w:pPr>
      <w:bookmarkStart w:id="26" w:name="_Toc274249578"/>
      <w:bookmarkStart w:id="27" w:name="_Toc403122495"/>
      <w:bookmarkStart w:id="28" w:name="_Toc279599774"/>
      <w:bookmarkStart w:id="29" w:name="_Toc426369483"/>
      <w:r>
        <w:rPr>
          <w:rFonts w:hint="eastAsia" w:asciiTheme="minorEastAsia" w:hAnsiTheme="minorEastAsia" w:eastAsiaTheme="minorEastAsia" w:cstheme="minorEastAsia"/>
          <w:b/>
          <w:bCs/>
          <w:sz w:val="24"/>
        </w:rPr>
        <w:t>1.4 供应商资格要求</w:t>
      </w:r>
      <w:bookmarkEnd w:id="26"/>
      <w:bookmarkEnd w:id="27"/>
      <w:bookmarkEnd w:id="28"/>
      <w:bookmarkEnd w:id="29"/>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1.4.1 供应商应具备承担本招标项目的资质条件。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（1）供应商资质条件：见供应商须知前附表； </w:t>
      </w:r>
    </w:p>
    <w:p>
      <w:pPr>
        <w:spacing w:line="440" w:lineRule="exact"/>
        <w:ind w:firstLine="420" w:firstLineChars="200"/>
        <w:rPr>
          <w:rFonts w:asciiTheme="minorEastAsia" w:hAnsiTheme="minorEastAsia" w:eastAsiaTheme="minorEastAsia" w:cstheme="minorEastAsia"/>
          <w:szCs w:val="21"/>
        </w:rPr>
      </w:pPr>
      <w:bookmarkStart w:id="30" w:name="_Toc403122496"/>
      <w:bookmarkStart w:id="31" w:name="_Toc274249579"/>
      <w:bookmarkStart w:id="32" w:name="_Toc279599775"/>
      <w:r>
        <w:rPr>
          <w:rFonts w:hint="eastAsia" w:asciiTheme="minorEastAsia" w:hAnsiTheme="minorEastAsia" w:eastAsiaTheme="minorEastAsia" w:cstheme="minorEastAsia"/>
          <w:szCs w:val="21"/>
        </w:rPr>
        <w:t>1.4.2 本次招标不接受联合体投标。</w:t>
      </w:r>
    </w:p>
    <w:p>
      <w:pPr>
        <w:spacing w:line="500" w:lineRule="exact"/>
        <w:ind w:firstLine="482" w:firstLineChars="200"/>
        <w:rPr>
          <w:rFonts w:asciiTheme="minorEastAsia" w:hAnsiTheme="minorEastAsia" w:eastAsiaTheme="minorEastAsia" w:cstheme="minorEastAsia"/>
          <w:b/>
          <w:bCs/>
          <w:sz w:val="24"/>
        </w:rPr>
      </w:pPr>
      <w:bookmarkStart w:id="33" w:name="_Toc426369484"/>
      <w:r>
        <w:rPr>
          <w:rFonts w:hint="eastAsia" w:asciiTheme="minorEastAsia" w:hAnsiTheme="minorEastAsia" w:eastAsiaTheme="minorEastAsia" w:cstheme="minorEastAsia"/>
          <w:b/>
          <w:bCs/>
          <w:sz w:val="24"/>
        </w:rPr>
        <w:t>1.5 费用承担</w:t>
      </w:r>
      <w:bookmarkEnd w:id="30"/>
      <w:bookmarkEnd w:id="31"/>
      <w:bookmarkEnd w:id="32"/>
      <w:bookmarkEnd w:id="33"/>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供应商准备和参加投标活动发生的费用自理。 </w:t>
      </w:r>
    </w:p>
    <w:p>
      <w:pPr>
        <w:spacing w:line="500" w:lineRule="exact"/>
        <w:ind w:firstLine="482" w:firstLineChars="200"/>
        <w:rPr>
          <w:rFonts w:asciiTheme="minorEastAsia" w:hAnsiTheme="minorEastAsia" w:eastAsiaTheme="minorEastAsia" w:cstheme="minorEastAsia"/>
          <w:b/>
          <w:bCs/>
          <w:sz w:val="24"/>
        </w:rPr>
      </w:pPr>
      <w:bookmarkStart w:id="34" w:name="_Toc426369485"/>
      <w:bookmarkStart w:id="35" w:name="_Toc403122497"/>
      <w:r>
        <w:rPr>
          <w:rFonts w:hint="eastAsia" w:asciiTheme="minorEastAsia" w:hAnsiTheme="minorEastAsia" w:eastAsiaTheme="minorEastAsia" w:cstheme="minorEastAsia"/>
          <w:b/>
          <w:bCs/>
          <w:sz w:val="24"/>
        </w:rPr>
        <w:t>1.6 保密</w:t>
      </w:r>
      <w:bookmarkEnd w:id="34"/>
      <w:bookmarkEnd w:id="3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参与招标投标活动的各方应对招标文件和投标文件中的商业和技术等秘密保密，违者应对由此造成的后果承担法律责任。</w:t>
      </w:r>
    </w:p>
    <w:p>
      <w:pPr>
        <w:spacing w:line="500" w:lineRule="exact"/>
        <w:ind w:firstLine="482" w:firstLineChars="200"/>
        <w:rPr>
          <w:rFonts w:asciiTheme="minorEastAsia" w:hAnsiTheme="minorEastAsia" w:eastAsiaTheme="minorEastAsia" w:cstheme="minorEastAsia"/>
          <w:b/>
          <w:bCs/>
          <w:sz w:val="24"/>
        </w:rPr>
      </w:pPr>
      <w:bookmarkStart w:id="36" w:name="_Toc274249581"/>
      <w:bookmarkStart w:id="37" w:name="_Toc426369486"/>
      <w:bookmarkStart w:id="38" w:name="_Toc403122498"/>
      <w:bookmarkStart w:id="39" w:name="_Toc279599777"/>
      <w:r>
        <w:rPr>
          <w:rFonts w:hint="eastAsia" w:asciiTheme="minorEastAsia" w:hAnsiTheme="minorEastAsia" w:eastAsiaTheme="minorEastAsia" w:cstheme="minorEastAsia"/>
          <w:b/>
          <w:bCs/>
          <w:sz w:val="24"/>
        </w:rPr>
        <w:t>1.7 语言文字</w:t>
      </w:r>
      <w:bookmarkEnd w:id="36"/>
      <w:bookmarkEnd w:id="37"/>
      <w:bookmarkEnd w:id="38"/>
      <w:bookmarkEnd w:id="39"/>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除专用术语外，与招标投标有关的语言均使用中文。必要时专用术语应附有中文注释。 </w:t>
      </w:r>
    </w:p>
    <w:p>
      <w:pPr>
        <w:spacing w:line="500" w:lineRule="exact"/>
        <w:ind w:firstLine="482" w:firstLineChars="200"/>
        <w:rPr>
          <w:rFonts w:asciiTheme="minorEastAsia" w:hAnsiTheme="minorEastAsia" w:eastAsiaTheme="minorEastAsia" w:cstheme="minorEastAsia"/>
          <w:b/>
          <w:bCs/>
          <w:sz w:val="24"/>
        </w:rPr>
      </w:pPr>
      <w:bookmarkStart w:id="40" w:name="_Toc426369487"/>
      <w:bookmarkStart w:id="41" w:name="_Toc403122499"/>
      <w:r>
        <w:rPr>
          <w:rFonts w:hint="eastAsia" w:asciiTheme="minorEastAsia" w:hAnsiTheme="minorEastAsia" w:eastAsiaTheme="minorEastAsia" w:cstheme="minorEastAsia"/>
          <w:b/>
          <w:bCs/>
          <w:sz w:val="24"/>
        </w:rPr>
        <w:t>1.8 计量单位</w:t>
      </w:r>
      <w:bookmarkEnd w:id="40"/>
      <w:bookmarkEnd w:id="41"/>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所有计量均采用中华人民共和国法定计量单位。</w:t>
      </w:r>
    </w:p>
    <w:p>
      <w:pPr>
        <w:spacing w:line="500" w:lineRule="exact"/>
        <w:ind w:firstLine="482" w:firstLineChars="200"/>
        <w:rPr>
          <w:rFonts w:asciiTheme="minorEastAsia" w:hAnsiTheme="minorEastAsia" w:eastAsiaTheme="minorEastAsia" w:cstheme="minorEastAsia"/>
          <w:b/>
          <w:bCs/>
          <w:sz w:val="24"/>
        </w:rPr>
      </w:pPr>
      <w:bookmarkStart w:id="42" w:name="_Toc274249583"/>
      <w:bookmarkStart w:id="43" w:name="_Toc426369488"/>
      <w:bookmarkStart w:id="44" w:name="_Toc279599779"/>
      <w:bookmarkStart w:id="45" w:name="_Toc403122500"/>
      <w:r>
        <w:rPr>
          <w:rFonts w:hint="eastAsia" w:asciiTheme="minorEastAsia" w:hAnsiTheme="minorEastAsia" w:eastAsiaTheme="minorEastAsia" w:cstheme="minorEastAsia"/>
          <w:b/>
          <w:bCs/>
          <w:sz w:val="24"/>
        </w:rPr>
        <w:t>1.9 踏勘现场</w:t>
      </w:r>
      <w:bookmarkEnd w:id="42"/>
      <w:bookmarkEnd w:id="43"/>
      <w:bookmarkEnd w:id="44"/>
      <w:bookmarkEnd w:id="4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1.9.1  由于项目特殊性，本次招标需供应商自行勘查。 </w:t>
      </w:r>
    </w:p>
    <w:p>
      <w:pPr>
        <w:spacing w:line="500" w:lineRule="exact"/>
        <w:ind w:firstLine="482" w:firstLineChars="200"/>
        <w:rPr>
          <w:rFonts w:asciiTheme="minorEastAsia" w:hAnsiTheme="minorEastAsia" w:eastAsiaTheme="minorEastAsia" w:cstheme="minorEastAsia"/>
          <w:b/>
          <w:bCs/>
          <w:sz w:val="24"/>
        </w:rPr>
      </w:pPr>
      <w:bookmarkStart w:id="46" w:name="_Toc279599780"/>
      <w:bookmarkStart w:id="47" w:name="_Toc274249584"/>
      <w:bookmarkStart w:id="48" w:name="_Toc426369489"/>
      <w:bookmarkStart w:id="49" w:name="_Toc403122501"/>
      <w:r>
        <w:rPr>
          <w:rFonts w:hint="eastAsia" w:asciiTheme="minorEastAsia" w:hAnsiTheme="minorEastAsia" w:eastAsiaTheme="minorEastAsia" w:cstheme="minorEastAsia"/>
          <w:b/>
          <w:bCs/>
          <w:sz w:val="24"/>
        </w:rPr>
        <w:t>1.10 投标预备会</w:t>
      </w:r>
      <w:bookmarkEnd w:id="46"/>
      <w:bookmarkEnd w:id="47"/>
      <w:bookmarkEnd w:id="48"/>
      <w:bookmarkEnd w:id="49"/>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1.10.1 本次招标不召开投标预备会。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1.10.2 供应商应在供应商须知前附表规定的时间前，以书面形式将提出的问题送达招标代理人。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1.10.3 采购人在供应商须知前附表规定的时间内，将对供应商所提问题的澄清，以书面方式通知所有已领取招标文件的供应商。该澄清内容为招标文件的组成部分。 </w:t>
      </w:r>
    </w:p>
    <w:p>
      <w:pPr>
        <w:spacing w:line="500" w:lineRule="exact"/>
        <w:ind w:firstLine="482" w:firstLineChars="200"/>
        <w:rPr>
          <w:rFonts w:asciiTheme="minorEastAsia" w:hAnsiTheme="minorEastAsia" w:eastAsiaTheme="minorEastAsia" w:cstheme="minorEastAsia"/>
          <w:b/>
          <w:bCs/>
          <w:sz w:val="24"/>
        </w:rPr>
      </w:pPr>
      <w:bookmarkStart w:id="50" w:name="_Toc274249585"/>
      <w:bookmarkStart w:id="51" w:name="_Toc403122502"/>
      <w:bookmarkStart w:id="52" w:name="_Toc279599781"/>
      <w:bookmarkStart w:id="53" w:name="_Toc426369490"/>
      <w:r>
        <w:rPr>
          <w:rFonts w:hint="eastAsia" w:asciiTheme="minorEastAsia" w:hAnsiTheme="minorEastAsia" w:eastAsiaTheme="minorEastAsia" w:cstheme="minorEastAsia"/>
          <w:b/>
          <w:bCs/>
          <w:sz w:val="24"/>
        </w:rPr>
        <w:t>1.11 分包</w:t>
      </w:r>
      <w:bookmarkEnd w:id="50"/>
      <w:bookmarkEnd w:id="51"/>
      <w:bookmarkEnd w:id="52"/>
      <w:bookmarkEnd w:id="53"/>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本次招标项目不允许分包。 </w:t>
      </w:r>
    </w:p>
    <w:p>
      <w:pPr>
        <w:pStyle w:val="14"/>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54" w:name="_Toc28663"/>
      <w:r>
        <w:rPr>
          <w:rFonts w:hint="eastAsia" w:asciiTheme="minorEastAsia" w:hAnsiTheme="minorEastAsia" w:eastAsiaTheme="minorEastAsia" w:cstheme="minorEastAsia"/>
          <w:sz w:val="24"/>
          <w:szCs w:val="24"/>
        </w:rPr>
        <w:t>2. 招标文件</w:t>
      </w:r>
      <w:bookmarkEnd w:id="11"/>
      <w:bookmarkEnd w:id="12"/>
      <w:bookmarkEnd w:id="13"/>
      <w:bookmarkEnd w:id="54"/>
    </w:p>
    <w:p>
      <w:pPr>
        <w:spacing w:line="500" w:lineRule="exact"/>
        <w:ind w:firstLine="482" w:firstLineChars="200"/>
        <w:rPr>
          <w:rFonts w:asciiTheme="minorEastAsia" w:hAnsiTheme="minorEastAsia" w:eastAsiaTheme="minorEastAsia" w:cstheme="minorEastAsia"/>
          <w:b/>
          <w:bCs/>
          <w:sz w:val="24"/>
        </w:rPr>
      </w:pPr>
      <w:bookmarkStart w:id="55" w:name="_Toc426369492"/>
      <w:bookmarkStart w:id="56" w:name="_Toc279599783"/>
      <w:bookmarkStart w:id="57" w:name="_Toc403122504"/>
      <w:bookmarkStart w:id="58" w:name="_Toc274249587"/>
      <w:r>
        <w:rPr>
          <w:rFonts w:hint="eastAsia" w:asciiTheme="minorEastAsia" w:hAnsiTheme="minorEastAsia" w:eastAsiaTheme="minorEastAsia" w:cstheme="minorEastAsia"/>
          <w:b/>
          <w:bCs/>
          <w:sz w:val="24"/>
        </w:rPr>
        <w:t>2.1 招标文件的组成</w:t>
      </w:r>
      <w:bookmarkEnd w:id="55"/>
      <w:bookmarkEnd w:id="56"/>
      <w:bookmarkEnd w:id="57"/>
      <w:bookmarkEnd w:id="58"/>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本招标文件包括： </w:t>
      </w:r>
    </w:p>
    <w:p>
      <w:pPr>
        <w:numPr>
          <w:ilvl w:val="0"/>
          <w:numId w:val="3"/>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招标公告；</w:t>
      </w:r>
    </w:p>
    <w:p>
      <w:pPr>
        <w:numPr>
          <w:ilvl w:val="0"/>
          <w:numId w:val="3"/>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供应商须知； </w:t>
      </w:r>
    </w:p>
    <w:p>
      <w:pPr>
        <w:numPr>
          <w:ilvl w:val="0"/>
          <w:numId w:val="3"/>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评标办法（综合评分法）； </w:t>
      </w:r>
    </w:p>
    <w:p>
      <w:pPr>
        <w:numPr>
          <w:ilvl w:val="0"/>
          <w:numId w:val="3"/>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合同条款及格式； </w:t>
      </w:r>
    </w:p>
    <w:p>
      <w:pPr>
        <w:numPr>
          <w:ilvl w:val="0"/>
          <w:numId w:val="3"/>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采购需求及参数； </w:t>
      </w:r>
    </w:p>
    <w:p>
      <w:pPr>
        <w:numPr>
          <w:ilvl w:val="0"/>
          <w:numId w:val="3"/>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投标文件格式；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根据本章第 1.10 款、第 2.2 款和第2.3款对招标文件所作的澄清、修改，构成招标文件的组成部分。 </w:t>
      </w:r>
    </w:p>
    <w:p>
      <w:pPr>
        <w:spacing w:line="500" w:lineRule="exact"/>
        <w:ind w:firstLine="482" w:firstLineChars="200"/>
        <w:rPr>
          <w:rFonts w:asciiTheme="minorEastAsia" w:hAnsiTheme="minorEastAsia" w:eastAsiaTheme="minorEastAsia" w:cstheme="minorEastAsia"/>
          <w:b/>
          <w:bCs/>
          <w:sz w:val="24"/>
        </w:rPr>
      </w:pPr>
      <w:bookmarkStart w:id="59" w:name="_Toc426369493"/>
      <w:bookmarkStart w:id="60" w:name="_Toc403122505"/>
      <w:bookmarkStart w:id="61" w:name="_Toc274249588"/>
      <w:bookmarkStart w:id="62" w:name="_Toc279599784"/>
      <w:r>
        <w:rPr>
          <w:rFonts w:hint="eastAsia" w:asciiTheme="minorEastAsia" w:hAnsiTheme="minorEastAsia" w:eastAsiaTheme="minorEastAsia" w:cstheme="minorEastAsia"/>
          <w:b/>
          <w:bCs/>
          <w:sz w:val="24"/>
        </w:rPr>
        <w:t>2.2 招标文件的澄清</w:t>
      </w:r>
      <w:bookmarkEnd w:id="59"/>
      <w:bookmarkEnd w:id="60"/>
      <w:bookmarkEnd w:id="61"/>
      <w:bookmarkEnd w:id="62"/>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2.2.1 供应商应仔细阅读和检查招标文件的全部内容。如发现缺页或附件不全，应及时向采购人提出，以便补齐。如有疑问，应在供应商须知前附表规定的时间前以书面形式（包括信函、电报、传真等可以有形地表现所载内容的形式，下同），要求采购人对招标文件予以澄清。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2.2.3 供应商在收到澄清后，应在供应商须知前附表规定的时间内以书面形式通知采购人，确认已收到该澄清。 </w:t>
      </w:r>
    </w:p>
    <w:p>
      <w:pPr>
        <w:spacing w:line="500" w:lineRule="exact"/>
        <w:ind w:firstLine="482" w:firstLineChars="200"/>
        <w:rPr>
          <w:rFonts w:asciiTheme="minorEastAsia" w:hAnsiTheme="minorEastAsia" w:eastAsiaTheme="minorEastAsia" w:cstheme="minorEastAsia"/>
          <w:b/>
          <w:bCs/>
          <w:sz w:val="24"/>
        </w:rPr>
      </w:pPr>
      <w:bookmarkStart w:id="63" w:name="_Toc274249589"/>
      <w:bookmarkStart w:id="64" w:name="_Toc403122506"/>
      <w:bookmarkStart w:id="65" w:name="_Toc426369494"/>
      <w:bookmarkStart w:id="66" w:name="_Toc279599785"/>
      <w:r>
        <w:rPr>
          <w:rFonts w:hint="eastAsia" w:asciiTheme="minorEastAsia" w:hAnsiTheme="minorEastAsia" w:eastAsiaTheme="minorEastAsia" w:cstheme="minorEastAsia"/>
          <w:b/>
          <w:bCs/>
          <w:sz w:val="24"/>
        </w:rPr>
        <w:t>2.3 招标文件的修改</w:t>
      </w:r>
      <w:bookmarkEnd w:id="63"/>
      <w:bookmarkEnd w:id="64"/>
      <w:bookmarkEnd w:id="65"/>
      <w:bookmarkEnd w:id="66"/>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2.3.1  在投标截止时间 15天前，采购人可以书面形式修改招标文件，并通知所有已购买招标文件的供应商。如果修改招标文件的时间距投标截止时间不足 15 天，相应延长投标截止时间。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2.3.2  供应商收到修改内容后，应在供应商须知前附表规定的时间内以书面形式通知采购人，确认已收到该修改。 </w:t>
      </w:r>
      <w:bookmarkStart w:id="67" w:name="_Toc23265"/>
      <w:bookmarkStart w:id="68" w:name="_Toc426369495"/>
      <w:bookmarkStart w:id="69" w:name="_Toc403122507"/>
    </w:p>
    <w:p>
      <w:pPr>
        <w:pStyle w:val="14"/>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70" w:name="_Toc13865"/>
      <w:r>
        <w:rPr>
          <w:rFonts w:hint="eastAsia" w:asciiTheme="minorEastAsia" w:hAnsiTheme="minorEastAsia" w:eastAsiaTheme="minorEastAsia" w:cstheme="minorEastAsia"/>
          <w:sz w:val="24"/>
          <w:szCs w:val="24"/>
        </w:rPr>
        <w:t>3. 投标文件</w:t>
      </w:r>
      <w:bookmarkEnd w:id="67"/>
      <w:bookmarkEnd w:id="68"/>
      <w:bookmarkEnd w:id="69"/>
      <w:bookmarkEnd w:id="70"/>
    </w:p>
    <w:p>
      <w:pPr>
        <w:spacing w:line="500" w:lineRule="exact"/>
        <w:ind w:firstLine="482" w:firstLineChars="200"/>
        <w:rPr>
          <w:rFonts w:asciiTheme="minorEastAsia" w:hAnsiTheme="minorEastAsia" w:eastAsiaTheme="minorEastAsia" w:cstheme="minorEastAsia"/>
          <w:b/>
          <w:bCs/>
          <w:sz w:val="24"/>
        </w:rPr>
      </w:pPr>
      <w:bookmarkStart w:id="71" w:name="_Toc403122508"/>
      <w:bookmarkStart w:id="72" w:name="_Toc279599787"/>
      <w:bookmarkStart w:id="73" w:name="_Toc274249591"/>
      <w:bookmarkStart w:id="74" w:name="_Toc426369496"/>
      <w:r>
        <w:rPr>
          <w:rFonts w:hint="eastAsia" w:asciiTheme="minorEastAsia" w:hAnsiTheme="minorEastAsia" w:eastAsiaTheme="minorEastAsia" w:cstheme="minorEastAsia"/>
          <w:b/>
          <w:bCs/>
          <w:sz w:val="24"/>
        </w:rPr>
        <w:t>3.1 投标文件的组成</w:t>
      </w:r>
      <w:bookmarkEnd w:id="71"/>
      <w:bookmarkEnd w:id="72"/>
      <w:bookmarkEnd w:id="73"/>
      <w:bookmarkEnd w:id="74"/>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3.1.1 投标文件应包括下列内容： </w:t>
      </w:r>
    </w:p>
    <w:p>
      <w:pPr>
        <w:spacing w:line="440" w:lineRule="exact"/>
        <w:ind w:firstLine="420" w:firstLineChars="200"/>
        <w:rPr>
          <w:rFonts w:ascii="宋体" w:hAnsi="宋体" w:cs="宋体"/>
          <w:szCs w:val="21"/>
        </w:rPr>
      </w:pPr>
      <w:bookmarkStart w:id="75" w:name="_Toc279599788"/>
      <w:bookmarkStart w:id="76" w:name="_Toc426369497"/>
      <w:bookmarkStart w:id="77" w:name="_Toc274249592"/>
      <w:bookmarkStart w:id="78" w:name="_Toc403122509"/>
      <w:r>
        <w:rPr>
          <w:rFonts w:hint="eastAsia" w:ascii="宋体" w:hAnsi="宋体" w:cs="宋体"/>
          <w:szCs w:val="21"/>
        </w:rPr>
        <w:t>一、投标函及开标一览表</w:t>
      </w:r>
    </w:p>
    <w:p>
      <w:pPr>
        <w:spacing w:line="440" w:lineRule="exact"/>
        <w:ind w:firstLine="420" w:firstLineChars="200"/>
        <w:rPr>
          <w:rFonts w:ascii="宋体" w:hAnsi="宋体" w:cs="宋体"/>
          <w:szCs w:val="21"/>
        </w:rPr>
      </w:pPr>
      <w:r>
        <w:rPr>
          <w:rFonts w:hint="eastAsia" w:ascii="宋体" w:hAnsi="宋体" w:cs="宋体"/>
          <w:szCs w:val="21"/>
        </w:rPr>
        <w:t>（一）投标函</w:t>
      </w:r>
    </w:p>
    <w:p>
      <w:pPr>
        <w:spacing w:line="440" w:lineRule="exact"/>
        <w:ind w:firstLine="420" w:firstLineChars="200"/>
        <w:rPr>
          <w:rFonts w:ascii="宋体" w:hAnsi="宋体" w:cs="宋体"/>
          <w:szCs w:val="21"/>
        </w:rPr>
      </w:pPr>
      <w:r>
        <w:rPr>
          <w:rFonts w:hint="eastAsia" w:ascii="宋体" w:hAnsi="宋体" w:cs="宋体"/>
          <w:szCs w:val="21"/>
        </w:rPr>
        <w:t>（二）开标一览表</w:t>
      </w:r>
    </w:p>
    <w:p>
      <w:pPr>
        <w:spacing w:line="440" w:lineRule="exact"/>
        <w:ind w:firstLine="420" w:firstLineChars="200"/>
        <w:rPr>
          <w:rFonts w:ascii="宋体" w:hAnsi="宋体" w:cs="宋体"/>
          <w:szCs w:val="21"/>
        </w:rPr>
      </w:pPr>
      <w:r>
        <w:rPr>
          <w:rFonts w:hint="eastAsia" w:ascii="宋体" w:hAnsi="宋体" w:cs="宋体"/>
          <w:szCs w:val="21"/>
        </w:rPr>
        <w:t>（三）报价明细表</w:t>
      </w:r>
    </w:p>
    <w:p>
      <w:pPr>
        <w:spacing w:line="440" w:lineRule="exact"/>
        <w:ind w:firstLine="420" w:firstLineChars="200"/>
        <w:rPr>
          <w:rFonts w:ascii="宋体" w:hAnsi="宋体" w:cs="宋体"/>
          <w:szCs w:val="21"/>
        </w:rPr>
      </w:pPr>
      <w:r>
        <w:rPr>
          <w:rFonts w:hint="eastAsia" w:ascii="宋体" w:hAnsi="宋体" w:cs="宋体"/>
          <w:szCs w:val="21"/>
        </w:rPr>
        <w:t>二、法定代表人身份证明书</w:t>
      </w:r>
    </w:p>
    <w:p>
      <w:pPr>
        <w:spacing w:line="440" w:lineRule="exact"/>
        <w:ind w:firstLine="420" w:firstLineChars="200"/>
        <w:rPr>
          <w:rFonts w:ascii="宋体" w:hAnsi="宋体" w:cs="宋体"/>
          <w:szCs w:val="21"/>
        </w:rPr>
      </w:pPr>
      <w:r>
        <w:rPr>
          <w:rFonts w:hint="eastAsia" w:ascii="宋体" w:hAnsi="宋体" w:cs="宋体"/>
          <w:szCs w:val="21"/>
        </w:rPr>
        <w:t>三、授权委托书</w:t>
      </w:r>
    </w:p>
    <w:p>
      <w:pPr>
        <w:spacing w:line="440" w:lineRule="exact"/>
        <w:ind w:firstLine="420" w:firstLineChars="200"/>
        <w:rPr>
          <w:rFonts w:ascii="宋体" w:hAnsi="宋体" w:cs="宋体"/>
          <w:szCs w:val="21"/>
        </w:rPr>
      </w:pPr>
      <w:r>
        <w:rPr>
          <w:rFonts w:hint="eastAsia" w:ascii="宋体" w:hAnsi="宋体" w:cs="宋体"/>
          <w:szCs w:val="21"/>
        </w:rPr>
        <w:t>四、 投标承诺函</w:t>
      </w:r>
    </w:p>
    <w:p>
      <w:pPr>
        <w:spacing w:line="440" w:lineRule="exact"/>
        <w:ind w:firstLine="420" w:firstLineChars="200"/>
        <w:rPr>
          <w:rFonts w:ascii="宋体" w:hAnsi="宋体" w:cs="宋体"/>
          <w:szCs w:val="21"/>
        </w:rPr>
      </w:pPr>
      <w:r>
        <w:rPr>
          <w:rFonts w:hint="eastAsia" w:ascii="宋体" w:hAnsi="宋体" w:cs="宋体"/>
          <w:szCs w:val="21"/>
        </w:rPr>
        <w:t>五、项目供货及安装保证措施、售后服务方案及应急方案等</w:t>
      </w:r>
    </w:p>
    <w:p>
      <w:pPr>
        <w:spacing w:line="440" w:lineRule="exact"/>
        <w:ind w:firstLine="420" w:firstLineChars="200"/>
        <w:rPr>
          <w:rFonts w:ascii="宋体" w:hAnsi="宋体" w:cs="宋体"/>
          <w:szCs w:val="21"/>
        </w:rPr>
      </w:pPr>
      <w:r>
        <w:rPr>
          <w:rFonts w:hint="eastAsia" w:ascii="宋体" w:hAnsi="宋体" w:cs="宋体"/>
          <w:szCs w:val="21"/>
        </w:rPr>
        <w:t>六、资格证明文件；</w:t>
      </w:r>
    </w:p>
    <w:p>
      <w:pPr>
        <w:pStyle w:val="15"/>
        <w:spacing w:line="440" w:lineRule="exact"/>
        <w:ind w:firstLineChars="200"/>
        <w:rPr>
          <w:rFonts w:hint="default" w:ascii="宋体" w:hAnsi="宋体" w:eastAsia="宋体" w:cs="宋体"/>
          <w:sz w:val="21"/>
          <w:szCs w:val="21"/>
        </w:rPr>
      </w:pPr>
      <w:r>
        <w:rPr>
          <w:rFonts w:ascii="宋体" w:hAnsi="宋体" w:eastAsia="宋体" w:cs="宋体"/>
          <w:sz w:val="21"/>
          <w:szCs w:val="21"/>
        </w:rPr>
        <w:t>七、供应商服务承诺和优惠承诺</w:t>
      </w:r>
    </w:p>
    <w:p>
      <w:pPr>
        <w:spacing w:line="440" w:lineRule="exact"/>
        <w:ind w:firstLine="420" w:firstLineChars="200"/>
        <w:rPr>
          <w:rFonts w:ascii="宋体" w:hAnsi="宋体" w:cs="宋体"/>
          <w:szCs w:val="21"/>
        </w:rPr>
      </w:pPr>
      <w:r>
        <w:rPr>
          <w:rFonts w:hint="eastAsia" w:ascii="宋体" w:hAnsi="宋体" w:cs="宋体"/>
          <w:szCs w:val="21"/>
        </w:rPr>
        <w:t>八、供应商所投产品属于当期政府采购清单规定的节能环保产品的证明材料；</w:t>
      </w:r>
    </w:p>
    <w:p>
      <w:pPr>
        <w:spacing w:line="440" w:lineRule="exact"/>
        <w:ind w:firstLine="420" w:firstLineChars="200"/>
        <w:rPr>
          <w:rFonts w:ascii="宋体" w:hAnsi="宋体" w:cs="宋体"/>
          <w:szCs w:val="21"/>
        </w:rPr>
      </w:pPr>
      <w:r>
        <w:rPr>
          <w:rFonts w:hint="eastAsia" w:ascii="宋体" w:hAnsi="宋体" w:cs="宋体"/>
          <w:szCs w:val="21"/>
        </w:rPr>
        <w:t>九、中小企业声明函（如为中小企业）；</w:t>
      </w:r>
    </w:p>
    <w:p>
      <w:pPr>
        <w:spacing w:line="440" w:lineRule="exact"/>
        <w:ind w:firstLine="420" w:firstLineChars="200"/>
        <w:rPr>
          <w:rFonts w:ascii="宋体" w:hAnsi="宋体" w:cs="宋体"/>
          <w:szCs w:val="21"/>
        </w:rPr>
      </w:pPr>
      <w:r>
        <w:rPr>
          <w:rFonts w:hint="eastAsia" w:ascii="宋体" w:hAnsi="宋体" w:cs="宋体"/>
          <w:szCs w:val="21"/>
        </w:rPr>
        <w:t>十、残疾人福利性单位声明函（如有）；</w:t>
      </w:r>
    </w:p>
    <w:p>
      <w:pPr>
        <w:spacing w:line="440" w:lineRule="exact"/>
        <w:ind w:firstLine="420" w:firstLineChars="200"/>
        <w:rPr>
          <w:rFonts w:ascii="宋体" w:hAnsi="宋体" w:cs="宋体"/>
          <w:szCs w:val="21"/>
        </w:rPr>
      </w:pPr>
      <w:r>
        <w:rPr>
          <w:rFonts w:hint="eastAsia" w:ascii="宋体" w:hAnsi="宋体" w:cs="宋体"/>
          <w:szCs w:val="21"/>
        </w:rPr>
        <w:t>十一、招标文件要求的或投标人认为需要加以说明的其他内容。</w:t>
      </w:r>
    </w:p>
    <w:p>
      <w:pPr>
        <w:spacing w:line="50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投标报价</w:t>
      </w:r>
      <w:bookmarkEnd w:id="75"/>
      <w:bookmarkEnd w:id="76"/>
      <w:bookmarkEnd w:id="77"/>
      <w:bookmarkEnd w:id="78"/>
    </w:p>
    <w:p>
      <w:pPr>
        <w:spacing w:line="420" w:lineRule="exact"/>
        <w:ind w:firstLine="420" w:firstLineChars="200"/>
        <w:rPr>
          <w:rFonts w:hint="eastAsia" w:asciiTheme="minorEastAsia" w:hAnsiTheme="minorEastAsia" w:eastAsiaTheme="minorEastAsia" w:cstheme="minorEastAsia"/>
          <w:color w:val="C00000"/>
          <w:szCs w:val="21"/>
          <w:lang w:val="en-US" w:eastAsia="zh-CN"/>
        </w:rPr>
      </w:pPr>
      <w:r>
        <w:rPr>
          <w:rFonts w:hint="eastAsia" w:asciiTheme="minorEastAsia" w:hAnsiTheme="minorEastAsia" w:eastAsiaTheme="minorEastAsia" w:cstheme="minorEastAsia"/>
          <w:szCs w:val="21"/>
        </w:rPr>
        <w:t>3.2.1投标报价包括：供应商的投标报价应包括货物本身的费用、包装费、运输费、装卸费、运输过程保险费、安装费、质量保证费、相关的伴随服务费、货物本身已支付或将支付的各种税费以及其它交付使用前的所有费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投标价不是唯一的或不是固定不变的响应文件将被作为非响应性投标而予以拒绝。</w:t>
      </w:r>
      <w:r>
        <w:rPr>
          <w:rFonts w:hint="eastAsia" w:asciiTheme="minorEastAsia" w:hAnsiTheme="minorEastAsia" w:eastAsiaTheme="minorEastAsia" w:cstheme="minorEastAsia"/>
          <w:szCs w:val="21"/>
          <w:lang w:val="en-US" w:eastAsia="zh-CN"/>
        </w:rPr>
        <w:t xml:space="preserve"> </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3.2.2投标报价在中标后不得修改。</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3.2.3供应商只能提出一个不变价格</w:t>
      </w:r>
      <w:bookmarkStart w:id="285" w:name="_GoBack"/>
      <w:bookmarkEnd w:id="285"/>
      <w:r>
        <w:rPr>
          <w:rFonts w:hint="eastAsia" w:asciiTheme="minorEastAsia" w:hAnsiTheme="minorEastAsia" w:eastAsiaTheme="minorEastAsia" w:cstheme="minorEastAsia"/>
          <w:szCs w:val="21"/>
        </w:rPr>
        <w:t>，采购人不接受任何选择价。</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3.2.4供应商必须对招标范围内的所有货物投标，不允许只对其中一种或几种货物投标。</w:t>
      </w:r>
    </w:p>
    <w:p>
      <w:pPr>
        <w:spacing w:line="42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rPr>
        <w:t>3.2.</w:t>
      </w:r>
      <w:r>
        <w:rPr>
          <w:rFonts w:hint="eastAsia" w:asciiTheme="minorEastAsia" w:hAnsiTheme="minorEastAsia" w:eastAsiaTheme="minorEastAsia" w:cstheme="minorEastAsia"/>
          <w:szCs w:val="21"/>
          <w:highlight w:val="none"/>
        </w:rPr>
        <w:t>5全部报价均应以人民币为计量币种，并以人民币进行结算。</w:t>
      </w:r>
    </w:p>
    <w:p>
      <w:pPr>
        <w:spacing w:line="42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3.2.6投标报价原则是各供应商依据自身实力、管理水平，结合企业所在地区的人工工资标准，在确保项目质量，确保项目成本的基础上，自主报价、自负盈亏。</w:t>
      </w:r>
    </w:p>
    <w:p>
      <w:pPr>
        <w:widowControl/>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highlight w:val="none"/>
        </w:rPr>
        <w:t>3.2.7若投标函中的内容与投标一览表内容不一致时，以投标一览表内容为准。若投标一览表中的大写金额和小写金额不一致的，以大写金额为准；总价金额与单价金额不一致的，以</w:t>
      </w:r>
      <w:r>
        <w:rPr>
          <w:rFonts w:hint="eastAsia" w:asciiTheme="minorEastAsia" w:hAnsiTheme="minorEastAsia" w:eastAsiaTheme="minorEastAsia" w:cstheme="minorEastAsia"/>
          <w:szCs w:val="21"/>
        </w:rPr>
        <w:t>单价金额为准，但单价金额小数点有明显错误的除外；对不同文字文本投标文件的解释发生异议的，以中文文本为准。</w:t>
      </w:r>
    </w:p>
    <w:p>
      <w:pPr>
        <w:spacing w:line="500" w:lineRule="exact"/>
        <w:ind w:firstLine="482" w:firstLineChars="200"/>
        <w:rPr>
          <w:rFonts w:asciiTheme="minorEastAsia" w:hAnsiTheme="minorEastAsia" w:eastAsiaTheme="minorEastAsia" w:cstheme="minorEastAsia"/>
          <w:b/>
          <w:bCs/>
          <w:sz w:val="24"/>
        </w:rPr>
      </w:pPr>
      <w:bookmarkStart w:id="79" w:name="_Toc274249593"/>
      <w:bookmarkStart w:id="80" w:name="_Toc279599789"/>
      <w:bookmarkStart w:id="81" w:name="_Toc426369498"/>
      <w:bookmarkStart w:id="82" w:name="_Toc403122510"/>
      <w:r>
        <w:rPr>
          <w:rFonts w:hint="eastAsia" w:asciiTheme="minorEastAsia" w:hAnsiTheme="minorEastAsia" w:eastAsiaTheme="minorEastAsia" w:cstheme="minorEastAsia"/>
          <w:b/>
          <w:bCs/>
          <w:sz w:val="24"/>
        </w:rPr>
        <w:t>3.3 投标有效期</w:t>
      </w:r>
      <w:bookmarkEnd w:id="79"/>
      <w:bookmarkEnd w:id="80"/>
      <w:bookmarkEnd w:id="81"/>
      <w:bookmarkEnd w:id="82"/>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3.3.1在供应商须知前附表规定的投标有效期内，供应商不得要求撤销或修改其投标文件。 </w:t>
      </w:r>
    </w:p>
    <w:p>
      <w:pPr>
        <w:spacing w:line="500" w:lineRule="exact"/>
        <w:ind w:firstLine="482" w:firstLineChars="200"/>
        <w:rPr>
          <w:rFonts w:asciiTheme="minorEastAsia" w:hAnsiTheme="minorEastAsia" w:eastAsiaTheme="minorEastAsia" w:cstheme="minorEastAsia"/>
          <w:b/>
          <w:bCs/>
          <w:sz w:val="24"/>
        </w:rPr>
      </w:pPr>
      <w:bookmarkStart w:id="83" w:name="_Toc426369501"/>
      <w:bookmarkStart w:id="84" w:name="_Toc274249595"/>
      <w:bookmarkStart w:id="85" w:name="_Toc279599791"/>
      <w:bookmarkStart w:id="86" w:name="_Toc403122512"/>
      <w:r>
        <w:rPr>
          <w:rFonts w:hint="eastAsia" w:asciiTheme="minorEastAsia" w:hAnsiTheme="minorEastAsia" w:eastAsiaTheme="minorEastAsia" w:cstheme="minorEastAsia"/>
          <w:b/>
          <w:bCs/>
          <w:sz w:val="24"/>
        </w:rPr>
        <w:t>3.5 资格审查资料</w:t>
      </w:r>
      <w:bookmarkEnd w:id="83"/>
      <w:bookmarkEnd w:id="84"/>
      <w:bookmarkEnd w:id="85"/>
      <w:bookmarkEnd w:id="86"/>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3.5.1</w:t>
      </w:r>
      <w:r>
        <w:rPr>
          <w:rFonts w:hint="eastAsia" w:ascii="宋体" w:hAnsi="宋体" w:cs="宋体"/>
          <w:kern w:val="0"/>
          <w:szCs w:val="21"/>
        </w:rPr>
        <w:t>依据“投标人须知前附表”中的要求提交相应的资格证明文件，作为投标文件的一部分，以证明其有资格进行投标和有能力履行合同</w:t>
      </w:r>
      <w:r>
        <w:rPr>
          <w:rFonts w:hint="eastAsia" w:asciiTheme="minorEastAsia" w:hAnsiTheme="minorEastAsia" w:eastAsiaTheme="minorEastAsia" w:cstheme="minorEastAsia"/>
          <w:szCs w:val="21"/>
        </w:rPr>
        <w:t xml:space="preserve">。 </w:t>
      </w:r>
    </w:p>
    <w:p>
      <w:pPr>
        <w:spacing w:line="420" w:lineRule="exact"/>
        <w:ind w:firstLine="420" w:firstLineChars="200"/>
        <w:rPr>
          <w:rFonts w:asciiTheme="minorEastAsia" w:hAnsiTheme="minorEastAsia" w:eastAsiaTheme="minorEastAsia" w:cstheme="minorEastAsia"/>
          <w:szCs w:val="21"/>
        </w:rPr>
      </w:pPr>
      <w:r>
        <w:rPr>
          <w:rFonts w:hint="eastAsia" w:ascii="宋体" w:hAnsi="宋体" w:cs="宋体"/>
          <w:szCs w:val="21"/>
        </w:rPr>
        <w:t>3.5.2招标文件规定的供应商资格条件。</w:t>
      </w:r>
    </w:p>
    <w:p>
      <w:pPr>
        <w:spacing w:line="500" w:lineRule="exact"/>
        <w:ind w:firstLine="482" w:firstLineChars="200"/>
        <w:rPr>
          <w:rFonts w:asciiTheme="minorEastAsia" w:hAnsiTheme="minorEastAsia" w:eastAsiaTheme="minorEastAsia" w:cstheme="minorEastAsia"/>
          <w:b/>
          <w:bCs/>
          <w:sz w:val="24"/>
        </w:rPr>
      </w:pPr>
      <w:bookmarkStart w:id="87" w:name="_Toc426369502"/>
      <w:bookmarkStart w:id="88" w:name="_Toc403122513"/>
      <w:bookmarkStart w:id="89" w:name="_Toc279599792"/>
      <w:bookmarkStart w:id="90" w:name="_Toc274249596"/>
      <w:r>
        <w:rPr>
          <w:rFonts w:hint="eastAsia" w:asciiTheme="minorEastAsia" w:hAnsiTheme="minorEastAsia" w:eastAsiaTheme="minorEastAsia" w:cstheme="minorEastAsia"/>
          <w:b/>
          <w:bCs/>
          <w:sz w:val="24"/>
        </w:rPr>
        <w:t>3.6 备选投标方案</w:t>
      </w:r>
      <w:bookmarkEnd w:id="87"/>
      <w:bookmarkEnd w:id="88"/>
      <w:bookmarkEnd w:id="89"/>
      <w:bookmarkEnd w:id="90"/>
    </w:p>
    <w:p>
      <w:pPr>
        <w:tabs>
          <w:tab w:val="left" w:pos="3570"/>
        </w:tabs>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供应商不得递交备选投标方案。 </w:t>
      </w:r>
    </w:p>
    <w:p>
      <w:pPr>
        <w:spacing w:line="500" w:lineRule="exact"/>
        <w:ind w:firstLine="482" w:firstLineChars="200"/>
        <w:rPr>
          <w:rFonts w:asciiTheme="minorEastAsia" w:hAnsiTheme="minorEastAsia" w:eastAsiaTheme="minorEastAsia" w:cstheme="minorEastAsia"/>
          <w:b/>
          <w:bCs/>
          <w:sz w:val="24"/>
        </w:rPr>
      </w:pPr>
      <w:bookmarkStart w:id="91" w:name="_Toc279599793"/>
      <w:bookmarkStart w:id="92" w:name="_Toc426369503"/>
      <w:bookmarkStart w:id="93" w:name="_Toc274249597"/>
      <w:bookmarkStart w:id="94" w:name="_Toc403122514"/>
      <w:r>
        <w:rPr>
          <w:rFonts w:hint="eastAsia" w:asciiTheme="minorEastAsia" w:hAnsiTheme="minorEastAsia" w:eastAsiaTheme="minorEastAsia" w:cstheme="minorEastAsia"/>
          <w:b/>
          <w:bCs/>
          <w:sz w:val="24"/>
        </w:rPr>
        <w:t>3.7 投标文件的编制</w:t>
      </w:r>
      <w:bookmarkEnd w:id="91"/>
      <w:bookmarkEnd w:id="92"/>
      <w:bookmarkEnd w:id="93"/>
      <w:bookmarkEnd w:id="94"/>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3.7.1 投标文件应按招标文件中要求</w:t>
      </w:r>
      <w:r>
        <w:rPr>
          <w:rFonts w:hint="eastAsia" w:ascii="宋体" w:hAnsi="宋体" w:cs="宋体"/>
          <w:kern w:val="0"/>
          <w:szCs w:val="21"/>
        </w:rPr>
        <w:t>使用焦作市公共资源交易系统投标文件制作专用工具软件编制</w:t>
      </w:r>
      <w:r>
        <w:rPr>
          <w:rFonts w:hint="eastAsia" w:asciiTheme="minorEastAsia" w:hAnsiTheme="minorEastAsia" w:eastAsiaTheme="minorEastAsia" w:cstheme="minorEastAsia"/>
          <w:szCs w:val="21"/>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3.7.2  投标文件应当对招标文件有关项目完成期、投标有效期、质量要求、采购要求及服务内容、等实质性内容作出响应。</w:t>
      </w:r>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3.7.3 </w:t>
      </w:r>
      <w:r>
        <w:rPr>
          <w:rFonts w:hint="eastAsia" w:ascii="宋体" w:hAnsi="宋体" w:cs="宋体"/>
          <w:kern w:val="0"/>
          <w:szCs w:val="21"/>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投标人自行承担。</w:t>
      </w:r>
    </w:p>
    <w:p>
      <w:pPr>
        <w:pStyle w:val="14"/>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95" w:name="_Toc30100"/>
      <w:bookmarkStart w:id="96" w:name="_Toc426369504"/>
      <w:bookmarkStart w:id="97" w:name="_Toc26998"/>
      <w:bookmarkStart w:id="98" w:name="_Toc403122515"/>
      <w:r>
        <w:rPr>
          <w:rFonts w:hint="eastAsia" w:asciiTheme="minorEastAsia" w:hAnsiTheme="minorEastAsia" w:eastAsiaTheme="minorEastAsia" w:cstheme="minorEastAsia"/>
          <w:sz w:val="24"/>
          <w:szCs w:val="24"/>
        </w:rPr>
        <w:t>4. 投标</w:t>
      </w:r>
      <w:bookmarkEnd w:id="95"/>
      <w:bookmarkEnd w:id="96"/>
      <w:bookmarkEnd w:id="97"/>
      <w:bookmarkEnd w:id="98"/>
    </w:p>
    <w:p>
      <w:pPr>
        <w:spacing w:line="500" w:lineRule="exact"/>
        <w:ind w:firstLine="482" w:firstLineChars="200"/>
        <w:rPr>
          <w:rFonts w:asciiTheme="minorEastAsia" w:hAnsiTheme="minorEastAsia" w:eastAsiaTheme="minorEastAsia" w:cstheme="minorEastAsia"/>
          <w:b/>
          <w:bCs/>
          <w:sz w:val="24"/>
        </w:rPr>
      </w:pPr>
      <w:bookmarkStart w:id="99" w:name="_Toc279599795"/>
      <w:bookmarkStart w:id="100" w:name="_Toc274249599"/>
      <w:bookmarkStart w:id="101" w:name="_Toc403122516"/>
      <w:bookmarkStart w:id="102" w:name="_Toc426369505"/>
      <w:r>
        <w:rPr>
          <w:rFonts w:hint="eastAsia" w:asciiTheme="minorEastAsia" w:hAnsiTheme="minorEastAsia" w:eastAsiaTheme="minorEastAsia" w:cstheme="minorEastAsia"/>
          <w:b/>
          <w:bCs/>
          <w:sz w:val="24"/>
        </w:rPr>
        <w:t>4.1 投标文件的密封和标记</w:t>
      </w:r>
      <w:bookmarkEnd w:id="99"/>
      <w:bookmarkEnd w:id="100"/>
      <w:bookmarkEnd w:id="101"/>
      <w:bookmarkEnd w:id="102"/>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rPr>
      </w:pPr>
      <w:r>
        <w:rPr>
          <w:rFonts w:hint="eastAsia" w:ascii="宋体" w:hAnsi="宋体" w:cs="宋体"/>
          <w:kern w:val="0"/>
          <w:szCs w:val="21"/>
        </w:rPr>
        <w:t>4.1.1.本项目采用</w:t>
      </w:r>
      <w:r>
        <w:rPr>
          <w:rFonts w:hint="eastAsia" w:ascii="宋体" w:hAnsi="宋体" w:cs="宋体"/>
          <w:kern w:val="0"/>
          <w:szCs w:val="21"/>
          <w:lang w:val="zh-CN"/>
        </w:rPr>
        <w:t>网上上传的电子投标文件</w:t>
      </w:r>
      <w:r>
        <w:rPr>
          <w:rFonts w:hint="eastAsia" w:ascii="宋体" w:hAnsi="宋体" w:cs="宋体"/>
          <w:kern w:val="0"/>
          <w:szCs w:val="21"/>
        </w:rPr>
        <w:t>,</w:t>
      </w:r>
      <w:r>
        <w:rPr>
          <w:rFonts w:hint="eastAsia" w:ascii="宋体" w:hAnsi="宋体" w:cs="宋体"/>
          <w:kern w:val="0"/>
          <w:szCs w:val="21"/>
          <w:lang w:val="zh-CN"/>
        </w:rPr>
        <w:t>应使用数字证书认证并加密。</w:t>
      </w:r>
    </w:p>
    <w:p>
      <w:pPr>
        <w:spacing w:line="500" w:lineRule="exact"/>
        <w:ind w:firstLine="482" w:firstLineChars="200"/>
        <w:rPr>
          <w:rFonts w:asciiTheme="minorEastAsia" w:hAnsiTheme="minorEastAsia" w:eastAsiaTheme="minorEastAsia" w:cstheme="minorEastAsia"/>
          <w:b/>
          <w:bCs/>
          <w:sz w:val="24"/>
        </w:rPr>
      </w:pPr>
      <w:bookmarkStart w:id="103" w:name="_Toc426369506"/>
      <w:bookmarkStart w:id="104" w:name="_Toc279599796"/>
      <w:bookmarkStart w:id="105" w:name="_Toc403122517"/>
      <w:bookmarkStart w:id="106" w:name="_Toc274249600"/>
      <w:r>
        <w:rPr>
          <w:rFonts w:hint="eastAsia" w:asciiTheme="minorEastAsia" w:hAnsiTheme="minorEastAsia" w:eastAsiaTheme="minorEastAsia" w:cstheme="minorEastAsia"/>
          <w:b/>
          <w:bCs/>
          <w:sz w:val="24"/>
        </w:rPr>
        <w:t>4.2 投标文件的递交</w:t>
      </w:r>
      <w:bookmarkEnd w:id="103"/>
      <w:bookmarkEnd w:id="104"/>
      <w:bookmarkEnd w:id="105"/>
      <w:bookmarkEnd w:id="106"/>
    </w:p>
    <w:p>
      <w:pPr>
        <w:autoSpaceDE w:val="0"/>
        <w:autoSpaceDN w:val="0"/>
        <w:adjustRightInd w:val="0"/>
        <w:spacing w:line="440" w:lineRule="exact"/>
        <w:ind w:firstLine="420" w:firstLineChars="200"/>
        <w:jc w:val="left"/>
        <w:rPr>
          <w:rFonts w:ascii="宋体" w:hAnsi="宋体" w:cs="宋体"/>
          <w:kern w:val="0"/>
          <w:szCs w:val="21"/>
          <w:lang w:val="zh-CN"/>
        </w:rPr>
      </w:pPr>
      <w:r>
        <w:rPr>
          <w:rFonts w:hint="eastAsia" w:ascii="宋体" w:hAnsi="宋体" w:cs="宋体"/>
          <w:kern w:val="0"/>
          <w:szCs w:val="21"/>
        </w:rPr>
        <w:t>4.2.1</w:t>
      </w:r>
      <w:r>
        <w:rPr>
          <w:rFonts w:hint="eastAsia" w:ascii="宋体" w:hAnsi="宋体" w:cs="宋体"/>
          <w:kern w:val="0"/>
          <w:szCs w:val="21"/>
          <w:lang w:val="zh-CN"/>
        </w:rPr>
        <w:t>所有投标文件必须在本招标文件中规定的投标截止时间之前</w:t>
      </w:r>
      <w:r>
        <w:rPr>
          <w:rFonts w:hint="eastAsia" w:ascii="宋体" w:hAnsi="宋体" w:cs="宋体"/>
          <w:kern w:val="0"/>
          <w:szCs w:val="21"/>
        </w:rPr>
        <w:t>提前上传，并在开标截止时间前登录不见面开标大厅，按要求</w:t>
      </w:r>
      <w:r>
        <w:rPr>
          <w:rFonts w:hint="eastAsia" w:ascii="宋体" w:hAnsi="宋体"/>
          <w:szCs w:val="21"/>
        </w:rPr>
        <w:t>在线签到、解密文件等，解密时间为投标截止时后30分钟内，</w:t>
      </w:r>
      <w:r>
        <w:rPr>
          <w:rFonts w:hint="eastAsia" w:ascii="宋体" w:hAnsi="宋体" w:cs="宋体"/>
          <w:kern w:val="0"/>
          <w:szCs w:val="21"/>
        </w:rPr>
        <w:t>不能按时上传、签到、解密者视为自动放弃投标。</w:t>
      </w:r>
    </w:p>
    <w:p>
      <w:pPr>
        <w:autoSpaceDE w:val="0"/>
        <w:autoSpaceDN w:val="0"/>
        <w:adjustRightInd w:val="0"/>
        <w:spacing w:line="440" w:lineRule="exact"/>
        <w:ind w:firstLine="420" w:firstLineChars="200"/>
        <w:jc w:val="left"/>
        <w:rPr>
          <w:rFonts w:ascii="宋体" w:hAnsi="宋体" w:cs="宋体"/>
          <w:kern w:val="0"/>
          <w:szCs w:val="21"/>
          <w:lang w:val="zh-CN"/>
        </w:rPr>
      </w:pPr>
      <w:r>
        <w:rPr>
          <w:rFonts w:hint="eastAsia" w:ascii="宋体" w:hAnsi="宋体" w:cs="宋体"/>
          <w:kern w:val="0"/>
          <w:szCs w:val="21"/>
        </w:rPr>
        <w:t>4.2.</w:t>
      </w:r>
      <w:r>
        <w:rPr>
          <w:rFonts w:hint="eastAsia" w:ascii="宋体" w:hAnsi="宋体" w:cs="宋体"/>
          <w:kern w:val="0"/>
          <w:szCs w:val="21"/>
          <w:lang w:val="zh-CN"/>
        </w:rPr>
        <w:t>2.采购人拒绝接收在投标文件递交截止时间后上传的投标文件。</w:t>
      </w:r>
      <w:bookmarkStart w:id="107" w:name="_Hlt26954754"/>
      <w:bookmarkEnd w:id="107"/>
      <w:bookmarkStart w:id="108" w:name="_Hlt26954862"/>
      <w:bookmarkEnd w:id="108"/>
    </w:p>
    <w:p>
      <w:pPr>
        <w:spacing w:line="400" w:lineRule="exact"/>
        <w:ind w:firstLine="420" w:firstLineChars="200"/>
        <w:rPr>
          <w:rFonts w:asciiTheme="minorEastAsia" w:hAnsiTheme="minorEastAsia" w:eastAsiaTheme="minorEastAsia" w:cstheme="minorEastAsia"/>
          <w:szCs w:val="21"/>
        </w:rPr>
      </w:pPr>
    </w:p>
    <w:p>
      <w:pPr>
        <w:spacing w:line="500" w:lineRule="exact"/>
        <w:ind w:firstLine="482" w:firstLineChars="200"/>
        <w:rPr>
          <w:rFonts w:asciiTheme="minorEastAsia" w:hAnsiTheme="minorEastAsia" w:eastAsiaTheme="minorEastAsia" w:cstheme="minorEastAsia"/>
          <w:b/>
          <w:bCs/>
          <w:sz w:val="24"/>
          <w:highlight w:val="yellow"/>
        </w:rPr>
      </w:pPr>
      <w:bookmarkStart w:id="109" w:name="_Toc403122518"/>
      <w:bookmarkStart w:id="110" w:name="_Toc274249601"/>
      <w:bookmarkStart w:id="111" w:name="_Toc279599797"/>
      <w:bookmarkStart w:id="112" w:name="_Toc426369507"/>
      <w:r>
        <w:rPr>
          <w:rFonts w:hint="eastAsia" w:asciiTheme="minorEastAsia" w:hAnsiTheme="minorEastAsia" w:eastAsiaTheme="minorEastAsia" w:cstheme="minorEastAsia"/>
          <w:b/>
          <w:bCs/>
          <w:sz w:val="24"/>
        </w:rPr>
        <w:t>4.3 投标文件的修改与撤回</w:t>
      </w:r>
      <w:bookmarkEnd w:id="109"/>
      <w:bookmarkEnd w:id="110"/>
      <w:bookmarkEnd w:id="111"/>
      <w:bookmarkEnd w:id="112"/>
    </w:p>
    <w:p>
      <w:pPr>
        <w:spacing w:line="400" w:lineRule="exact"/>
        <w:ind w:firstLine="420" w:firstLineChars="200"/>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rPr>
        <w:t xml:space="preserve">4.3.1  在本章第 2.2.2 项规定的投标截止时间前，供应商可以修改或撤回已递交的投标文件。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4.3.2  供应商修改或撤回已递交投标文件的书面通知应按照本章第 3.7.3 项的要求签字盖章。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4.3.3  修改的内容为投标文件的组成部分。修改的投标文件应按照本章第 3 条、第 4 条规定进行编制、密封、标记和递交，并标明“修改”字样。 </w:t>
      </w:r>
    </w:p>
    <w:p>
      <w:pPr>
        <w:pStyle w:val="14"/>
        <w:spacing w:before="120" w:after="120" w:line="500" w:lineRule="exact"/>
        <w:ind w:right="-1029" w:rightChars="-490" w:firstLine="482" w:firstLineChars="200"/>
        <w:jc w:val="left"/>
        <w:rPr>
          <w:rFonts w:asciiTheme="minorEastAsia" w:hAnsiTheme="minorEastAsia" w:eastAsiaTheme="minorEastAsia" w:cstheme="minorEastAsia"/>
          <w:sz w:val="24"/>
          <w:szCs w:val="24"/>
        </w:rPr>
      </w:pPr>
      <w:bookmarkStart w:id="113" w:name="_Toc18170"/>
      <w:bookmarkStart w:id="114" w:name="_Toc426369508"/>
      <w:bookmarkStart w:id="115" w:name="_Toc403122519"/>
      <w:bookmarkStart w:id="116" w:name="_Toc32449"/>
      <w:r>
        <w:rPr>
          <w:rFonts w:hint="eastAsia" w:asciiTheme="minorEastAsia" w:hAnsiTheme="minorEastAsia" w:eastAsiaTheme="minorEastAsia" w:cstheme="minorEastAsia"/>
          <w:sz w:val="24"/>
          <w:szCs w:val="24"/>
        </w:rPr>
        <w:t>5. 开标</w:t>
      </w:r>
      <w:bookmarkEnd w:id="113"/>
      <w:bookmarkEnd w:id="114"/>
      <w:bookmarkEnd w:id="115"/>
      <w:bookmarkEnd w:id="116"/>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 .1采购人在规定的投标截止时间（开标时间）和投标人须知前附表规定的地点公开开标。本项目采用“远程不见面”的开标方式,载明远程开标大厅网址（http://122.112.246.33/BidOpening/bidopeninghallaction/hall/login ）。投标人无需到现场参加开标会议，无需到达现场提交原件资料。投标人应当投标截止前，登录远程开标大厅，在线准时参加开标活动并进行文件解密、答疑澄清等。在规定时间内投标文件未解密的投标人，视为放弃投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所有投标文件必须在本招标文件中规定的投标截止时间之前提前上传投标文件，并在开标截止时间前登录不见面开标大厅进行签到，按要求解密投标文件，不能按时上传、签到、解密者视为自动放弃投标。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5.1.2投标人不足3家的，不得开标。  </w:t>
      </w:r>
    </w:p>
    <w:p>
      <w:pPr>
        <w:spacing w:line="500" w:lineRule="exact"/>
        <w:ind w:firstLine="482" w:firstLineChars="200"/>
        <w:rPr>
          <w:rFonts w:asciiTheme="minorEastAsia" w:hAnsiTheme="minorEastAsia" w:eastAsiaTheme="minorEastAsia" w:cstheme="minorEastAsia"/>
          <w:b/>
          <w:bCs/>
          <w:sz w:val="24"/>
        </w:rPr>
      </w:pPr>
      <w:bookmarkStart w:id="117" w:name="_Toc279599799"/>
      <w:bookmarkStart w:id="118" w:name="_Toc403122520"/>
      <w:bookmarkStart w:id="119" w:name="_Toc426369509"/>
      <w:bookmarkStart w:id="120" w:name="_Toc274249603"/>
      <w:r>
        <w:rPr>
          <w:rFonts w:hint="eastAsia" w:asciiTheme="minorEastAsia" w:hAnsiTheme="minorEastAsia" w:eastAsiaTheme="minorEastAsia" w:cstheme="minorEastAsia"/>
          <w:b/>
          <w:bCs/>
          <w:sz w:val="24"/>
        </w:rPr>
        <w:t>5.2 开标时间和地点</w:t>
      </w:r>
      <w:bookmarkEnd w:id="117"/>
      <w:bookmarkEnd w:id="118"/>
      <w:bookmarkEnd w:id="119"/>
      <w:bookmarkEnd w:id="120"/>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采购人在本章第 2.2.2 项规定的投标截止时间（开标时间）和供应商须知前附表规定的地点公开开标。</w:t>
      </w:r>
    </w:p>
    <w:p>
      <w:pPr>
        <w:spacing w:line="500" w:lineRule="exact"/>
        <w:ind w:firstLine="482" w:firstLineChars="200"/>
        <w:rPr>
          <w:rFonts w:asciiTheme="minorEastAsia" w:hAnsiTheme="minorEastAsia" w:eastAsiaTheme="minorEastAsia" w:cstheme="minorEastAsia"/>
          <w:b/>
          <w:bCs/>
          <w:sz w:val="24"/>
        </w:rPr>
      </w:pPr>
      <w:bookmarkStart w:id="121" w:name="_Toc403122521"/>
      <w:bookmarkStart w:id="122" w:name="_Toc274249604"/>
      <w:bookmarkStart w:id="123" w:name="_Toc279599800"/>
      <w:bookmarkStart w:id="124" w:name="_Toc426369510"/>
      <w:r>
        <w:rPr>
          <w:rFonts w:hint="eastAsia" w:asciiTheme="minorEastAsia" w:hAnsiTheme="minorEastAsia" w:eastAsiaTheme="minorEastAsia" w:cstheme="minorEastAsia"/>
          <w:b/>
          <w:bCs/>
          <w:sz w:val="24"/>
        </w:rPr>
        <w:t>5.3开标程序</w:t>
      </w:r>
      <w:bookmarkEnd w:id="121"/>
      <w:bookmarkEnd w:id="122"/>
      <w:bookmarkEnd w:id="123"/>
      <w:bookmarkEnd w:id="124"/>
    </w:p>
    <w:p>
      <w:pPr>
        <w:spacing w:line="400" w:lineRule="exact"/>
        <w:ind w:firstLine="420" w:firstLineChars="200"/>
        <w:rPr>
          <w:rFonts w:asciiTheme="minorEastAsia" w:hAnsiTheme="minorEastAsia" w:eastAsiaTheme="minorEastAsia" w:cstheme="minorEastAsia"/>
          <w:szCs w:val="21"/>
          <w:lang w:val="zh-CN"/>
        </w:rPr>
      </w:pPr>
      <w:bookmarkStart w:id="125" w:name="_Toc426369511"/>
      <w:r>
        <w:rPr>
          <w:rFonts w:hint="eastAsia" w:asciiTheme="minorEastAsia" w:hAnsiTheme="minorEastAsia" w:eastAsiaTheme="minorEastAsia" w:cstheme="minorEastAsia"/>
          <w:szCs w:val="21"/>
        </w:rPr>
        <w:t>5.3</w:t>
      </w:r>
      <w:r>
        <w:rPr>
          <w:rFonts w:hint="eastAsia" w:asciiTheme="minorEastAsia" w:hAnsiTheme="minorEastAsia" w:eastAsiaTheme="minorEastAsia" w:cstheme="minorEastAsia"/>
          <w:szCs w:val="21"/>
          <w:lang w:val="zh-CN"/>
        </w:rPr>
        <w:t>.1本</w:t>
      </w: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主持人按下列程序进行开标：</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(l）宣布投标截止时间已到，不再接收投标文件；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（2）宣布开标纪律；</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(3）宣布开标人、唱标人、记录人、监标人等有关人员姓名；</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(4）电子投标文件解密；</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（5）宣布投标文件开标顺序，电子唱标并记录在案；</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（6）投标人代表、招标人、监标人等有关人员在开标记录上签字确认；</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(7）开标结束。</w:t>
      </w:r>
    </w:p>
    <w:p>
      <w:pPr>
        <w:spacing w:line="500" w:lineRule="exact"/>
        <w:ind w:firstLine="482" w:firstLineChars="200"/>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rPr>
        <w:t>5.3</w:t>
      </w:r>
      <w:r>
        <w:rPr>
          <w:rFonts w:hint="eastAsia" w:asciiTheme="minorEastAsia" w:hAnsiTheme="minorEastAsia" w:eastAsiaTheme="minorEastAsia" w:cstheme="minorEastAsia"/>
          <w:b/>
          <w:bCs/>
          <w:sz w:val="24"/>
          <w:lang w:val="zh-CN"/>
        </w:rPr>
        <w:t>.2开标时出现下列情况的，采购人将拒绝其投标文件。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（1）经检查数字证书无效的投标文件；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（2）投标人未按投标人须知前附表规定的时间内解密投标文件的；</w:t>
      </w:r>
    </w:p>
    <w:p>
      <w:pPr>
        <w:spacing w:line="400" w:lineRule="exact"/>
        <w:ind w:firstLine="420" w:firstLineChars="200"/>
        <w:rPr>
          <w:rFonts w:asciiTheme="minorEastAsia" w:hAnsiTheme="minorEastAsia" w:eastAsiaTheme="minorEastAsia" w:cstheme="minorEastAsia"/>
          <w:szCs w:val="21"/>
          <w:lang w:val="zh-CN"/>
        </w:rPr>
      </w:pPr>
    </w:p>
    <w:p>
      <w:pPr>
        <w:spacing w:line="40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5.4开标异议</w:t>
      </w:r>
      <w:bookmarkEnd w:id="125"/>
    </w:p>
    <w:p>
      <w:pPr>
        <w:spacing w:line="400" w:lineRule="exact"/>
        <w:ind w:firstLine="420" w:firstLineChars="200"/>
        <w:rPr>
          <w:rFonts w:asciiTheme="minorEastAsia" w:hAnsiTheme="minorEastAsia" w:eastAsiaTheme="minorEastAsia" w:cstheme="minorEastAsia"/>
          <w:szCs w:val="21"/>
        </w:rPr>
      </w:pPr>
      <w:bookmarkStart w:id="126" w:name="_Toc12881"/>
      <w:bookmarkStart w:id="127" w:name="_Toc426369512"/>
      <w:bookmarkStart w:id="128" w:name="_Toc21662"/>
      <w:bookmarkStart w:id="129" w:name="_Toc403122522"/>
      <w:r>
        <w:rPr>
          <w:rFonts w:hint="eastAsia" w:asciiTheme="minorEastAsia" w:hAnsiTheme="minorEastAsia" w:eastAsiaTheme="minorEastAsia" w:cstheme="minorEastAsia"/>
          <w:szCs w:val="21"/>
        </w:rPr>
        <w:t>投标人对开标有异议的，应当在开标现场提出，采购人当场作出答复，并制作记录。</w:t>
      </w:r>
    </w:p>
    <w:p>
      <w:pPr>
        <w:spacing w:line="40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w:t>
      </w:r>
      <w:bookmarkStart w:id="130" w:name="_Toc9927"/>
      <w:bookmarkStart w:id="131" w:name="_Toc13445"/>
      <w:r>
        <w:rPr>
          <w:rFonts w:hint="eastAsia" w:asciiTheme="minorEastAsia" w:hAnsiTheme="minorEastAsia" w:eastAsiaTheme="minorEastAsia" w:cstheme="minorEastAsia"/>
          <w:b/>
          <w:bCs/>
          <w:szCs w:val="21"/>
        </w:rPr>
        <w:t>5.资格审查工作</w:t>
      </w:r>
      <w:bookmarkEnd w:id="130"/>
      <w:bookmarkEnd w:id="131"/>
    </w:p>
    <w:p>
      <w:pPr>
        <w:spacing w:line="400" w:lineRule="exact"/>
        <w:ind w:firstLine="420" w:firstLineChars="200"/>
        <w:rPr>
          <w:rFonts w:asciiTheme="minorEastAsia" w:hAnsiTheme="minorEastAsia" w:eastAsiaTheme="minorEastAsia" w:cstheme="minorEastAsia"/>
          <w:szCs w:val="21"/>
        </w:rPr>
      </w:pPr>
      <w:bookmarkStart w:id="132" w:name="_Toc18806"/>
      <w:bookmarkStart w:id="133" w:name="_Toc22488"/>
      <w:bookmarkStart w:id="134" w:name="_Toc25275"/>
      <w:bookmarkStart w:id="135" w:name="_Toc18803"/>
      <w:bookmarkStart w:id="136" w:name="_Toc25448"/>
      <w:bookmarkStart w:id="137" w:name="_Toc18888"/>
      <w:bookmarkStart w:id="138" w:name="_Toc15919"/>
      <w:r>
        <w:rPr>
          <w:rFonts w:hint="eastAsia" w:asciiTheme="minorEastAsia" w:hAnsiTheme="minorEastAsia" w:eastAsiaTheme="minorEastAsia" w:cstheme="minorEastAsia"/>
          <w:szCs w:val="21"/>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32"/>
      <w:bookmarkEnd w:id="133"/>
      <w:bookmarkEnd w:id="134"/>
      <w:bookmarkEnd w:id="135"/>
      <w:bookmarkEnd w:id="136"/>
      <w:bookmarkEnd w:id="137"/>
      <w:bookmarkEnd w:id="138"/>
    </w:p>
    <w:p>
      <w:pPr>
        <w:pStyle w:val="14"/>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评标</w:t>
      </w:r>
      <w:bookmarkEnd w:id="126"/>
      <w:bookmarkEnd w:id="127"/>
      <w:bookmarkEnd w:id="128"/>
      <w:bookmarkEnd w:id="129"/>
    </w:p>
    <w:p>
      <w:pPr>
        <w:spacing w:line="500" w:lineRule="exact"/>
        <w:ind w:firstLine="482" w:firstLineChars="200"/>
        <w:rPr>
          <w:rFonts w:asciiTheme="minorEastAsia" w:hAnsiTheme="minorEastAsia" w:eastAsiaTheme="minorEastAsia" w:cstheme="minorEastAsia"/>
          <w:b/>
          <w:bCs/>
          <w:sz w:val="24"/>
        </w:rPr>
      </w:pPr>
      <w:bookmarkStart w:id="139" w:name="_Toc403122523"/>
      <w:bookmarkStart w:id="140" w:name="_Toc426369513"/>
      <w:bookmarkStart w:id="141" w:name="_Toc279599802"/>
      <w:bookmarkStart w:id="142" w:name="_Toc274249606"/>
      <w:r>
        <w:rPr>
          <w:rFonts w:hint="eastAsia" w:asciiTheme="minorEastAsia" w:hAnsiTheme="minorEastAsia" w:eastAsiaTheme="minorEastAsia" w:cstheme="minorEastAsia"/>
          <w:b/>
          <w:bCs/>
          <w:sz w:val="24"/>
        </w:rPr>
        <w:t>6.1 评标委员会</w:t>
      </w:r>
      <w:bookmarkEnd w:id="139"/>
      <w:bookmarkEnd w:id="140"/>
      <w:bookmarkEnd w:id="141"/>
      <w:bookmarkEnd w:id="142"/>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6.1.1  评标由采购人依法组建的评标委员会负责。评标委员会由采购人代表和评审专家组成。评标委员会成员人数以及评审专家的确定方式见供应商须知前附表。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6.1.2  评标委员会成员有下列情形之一的，应当回避：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（1）采购人或供应商的主要负责人的近亲属；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（2）项目主管部门或者行政监督部门的人员；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（3）与供应商有经济利益关系，可能影响对投标公正评审的；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（4）曾因在招标、评标以及其他与招标投标有关活动中从事违法行为而受过行政处罚或刑事处罚的。 </w:t>
      </w:r>
    </w:p>
    <w:p>
      <w:pPr>
        <w:spacing w:line="500" w:lineRule="exact"/>
        <w:ind w:firstLine="482" w:firstLineChars="200"/>
        <w:rPr>
          <w:rFonts w:asciiTheme="minorEastAsia" w:hAnsiTheme="minorEastAsia" w:eastAsiaTheme="minorEastAsia" w:cstheme="minorEastAsia"/>
          <w:b/>
          <w:bCs/>
          <w:sz w:val="24"/>
        </w:rPr>
      </w:pPr>
      <w:bookmarkStart w:id="143" w:name="_Toc274249607"/>
      <w:bookmarkStart w:id="144" w:name="_Toc426369514"/>
      <w:bookmarkStart w:id="145" w:name="_Toc279599803"/>
      <w:bookmarkStart w:id="146" w:name="_Toc403122524"/>
      <w:r>
        <w:rPr>
          <w:rFonts w:hint="eastAsia" w:asciiTheme="minorEastAsia" w:hAnsiTheme="minorEastAsia" w:eastAsiaTheme="minorEastAsia" w:cstheme="minorEastAsia"/>
          <w:b/>
          <w:bCs/>
          <w:sz w:val="24"/>
        </w:rPr>
        <w:t>6.2 评标原则</w:t>
      </w:r>
      <w:bookmarkEnd w:id="143"/>
      <w:bookmarkEnd w:id="144"/>
      <w:bookmarkEnd w:id="145"/>
      <w:bookmarkEnd w:id="146"/>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评标活动遵循公平、公正、科学和择优的原则。 </w:t>
      </w:r>
    </w:p>
    <w:p>
      <w:pPr>
        <w:spacing w:line="500" w:lineRule="exact"/>
        <w:ind w:firstLine="482" w:firstLineChars="200"/>
        <w:rPr>
          <w:rFonts w:asciiTheme="minorEastAsia" w:hAnsiTheme="minorEastAsia" w:eastAsiaTheme="minorEastAsia" w:cstheme="minorEastAsia"/>
          <w:b/>
          <w:bCs/>
          <w:sz w:val="24"/>
        </w:rPr>
      </w:pPr>
      <w:bookmarkStart w:id="147" w:name="_Toc279599804"/>
      <w:bookmarkStart w:id="148" w:name="_Toc426369515"/>
      <w:bookmarkStart w:id="149" w:name="_Toc274249608"/>
      <w:bookmarkStart w:id="150" w:name="_Toc403122525"/>
      <w:r>
        <w:rPr>
          <w:rFonts w:hint="eastAsia" w:asciiTheme="minorEastAsia" w:hAnsiTheme="minorEastAsia" w:eastAsiaTheme="minorEastAsia" w:cstheme="minorEastAsia"/>
          <w:b/>
          <w:bCs/>
          <w:sz w:val="24"/>
        </w:rPr>
        <w:t>6.3 评标</w:t>
      </w:r>
      <w:bookmarkEnd w:id="147"/>
      <w:bookmarkEnd w:id="148"/>
      <w:bookmarkEnd w:id="149"/>
      <w:bookmarkEnd w:id="150"/>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6.3.1评标委员会应当按照招标文件中规定的评标方法和标准，对符合性审查合格的投标文件进行商务和技术评估，综合比较与评价。招标文件没有规定的评标方法、评审因素和标准，不作为评标依据。</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6.3.2评标时，评标委员会各成员应当独立对每个投标人的投标文件进行评价，并汇总每个投标人的得分。</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评标完成后，评标委员会应当向采购人提交书面评标报告和中标候选人名单。评标委员会推荐中标候选人的人数见投标人须知前附表。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6.3.3 评标委员会负责具体评标事务，并独立履行下列职责：</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（1）审查、评价投标文件是否符合招标文件的实质性要求；</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（2）要求投标人对投标文件有关事项作出澄清或者说明；</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（3）对投标文件进行比较和评价；</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（4）确定中标候选人名单；</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（5）向采购人、采购代理机构或者有关部门报告评标中发现的违法行为。</w:t>
      </w:r>
    </w:p>
    <w:p>
      <w:pPr>
        <w:autoSpaceDE w:val="0"/>
        <w:autoSpaceDN w:val="0"/>
        <w:adjustRightInd w:val="0"/>
        <w:spacing w:line="360" w:lineRule="auto"/>
        <w:ind w:left="237" w:right="-20"/>
        <w:jc w:val="left"/>
        <w:rPr>
          <w:rFonts w:ascii="宋体" w:hAnsi="宋体" w:cs="宋体"/>
          <w:b/>
          <w:bCs/>
          <w:spacing w:val="1"/>
          <w:kern w:val="0"/>
          <w:szCs w:val="21"/>
        </w:rPr>
      </w:pPr>
      <w:r>
        <w:rPr>
          <w:rFonts w:hint="eastAsia" w:ascii="宋体" w:hAnsi="宋体" w:cs="宋体"/>
          <w:b/>
          <w:bCs/>
          <w:spacing w:val="1"/>
          <w:kern w:val="0"/>
          <w:szCs w:val="21"/>
        </w:rPr>
        <w:t>6.4  废标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招标采购中，出现下列情形之一的，应予废标：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（1）符合专业条件的投标人或者对招标文件作实质响应的投标人不足三家的；</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（2）出现影响采购公正的违法、违规行为的；</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（3）投标人的报价均超过了采购预算，采购人不能支付的；</w:t>
      </w:r>
    </w:p>
    <w:p>
      <w:pPr>
        <w:spacing w:line="400" w:lineRule="exact"/>
        <w:ind w:firstLine="420" w:firstLineChars="200"/>
      </w:pPr>
      <w:r>
        <w:rPr>
          <w:rFonts w:hint="eastAsia" w:asciiTheme="minorEastAsia" w:hAnsiTheme="minorEastAsia" w:eastAsiaTheme="minorEastAsia" w:cstheme="minorEastAsia"/>
          <w:szCs w:val="21"/>
        </w:rPr>
        <w:t>（4）因重大变故，采购任务取消的。废标后，采购人应当将废标理由通知所有投标人。</w:t>
      </w:r>
    </w:p>
    <w:p>
      <w:pPr>
        <w:pStyle w:val="14"/>
        <w:spacing w:before="120" w:after="120" w:line="500" w:lineRule="exact"/>
        <w:ind w:right="-1029" w:rightChars="-490" w:firstLine="482" w:firstLineChars="200"/>
        <w:jc w:val="both"/>
      </w:pPr>
      <w:bookmarkStart w:id="151" w:name="_Toc426369516"/>
      <w:bookmarkStart w:id="152" w:name="_Toc403122526"/>
      <w:bookmarkStart w:id="153" w:name="_Toc26569"/>
      <w:bookmarkStart w:id="154" w:name="_Toc17811"/>
      <w:r>
        <w:rPr>
          <w:rFonts w:hint="eastAsia" w:asciiTheme="minorEastAsia" w:hAnsiTheme="minorEastAsia" w:eastAsiaTheme="minorEastAsia" w:cstheme="minorEastAsia"/>
          <w:sz w:val="24"/>
          <w:szCs w:val="24"/>
        </w:rPr>
        <w:t>7. 合同授予</w:t>
      </w:r>
      <w:bookmarkEnd w:id="151"/>
      <w:bookmarkEnd w:id="152"/>
      <w:bookmarkEnd w:id="153"/>
      <w:bookmarkEnd w:id="154"/>
    </w:p>
    <w:p>
      <w:pPr>
        <w:spacing w:line="500" w:lineRule="exact"/>
        <w:ind w:firstLine="482" w:firstLineChars="200"/>
        <w:rPr>
          <w:rFonts w:asciiTheme="minorEastAsia" w:hAnsiTheme="minorEastAsia" w:eastAsiaTheme="minorEastAsia" w:cstheme="minorEastAsia"/>
          <w:b/>
          <w:bCs/>
          <w:sz w:val="24"/>
        </w:rPr>
      </w:pPr>
      <w:bookmarkStart w:id="155" w:name="_Toc274249610"/>
      <w:bookmarkStart w:id="156" w:name="_Toc426369517"/>
      <w:bookmarkStart w:id="157" w:name="_Toc279599806"/>
      <w:bookmarkStart w:id="158" w:name="_Toc403122527"/>
      <w:r>
        <w:rPr>
          <w:rFonts w:hint="eastAsia" w:asciiTheme="minorEastAsia" w:hAnsiTheme="minorEastAsia" w:eastAsiaTheme="minorEastAsia" w:cstheme="minorEastAsia"/>
          <w:b/>
          <w:bCs/>
          <w:sz w:val="24"/>
        </w:rPr>
        <w:t>7.1 定标方式</w:t>
      </w:r>
      <w:bookmarkEnd w:id="155"/>
      <w:bookmarkEnd w:id="156"/>
      <w:bookmarkEnd w:id="157"/>
      <w:bookmarkEnd w:id="158"/>
    </w:p>
    <w:p>
      <w:pPr>
        <w:spacing w:line="400" w:lineRule="exact"/>
        <w:ind w:firstLine="420" w:firstLineChars="200"/>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rPr>
        <w:t>7.1.1采购人依据评标委员会推荐的中标候选人确定中标人，评标委员会推荐中标人候选人的人数见供应商须知前附表。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7.1.2 中标或者成交投标人拒绝与采购人签订合同的，采购人可以按照评审报告推荐的中标或者成交候选人名单排序，确定下一候选人为中标或者成交投标人，也可以重新开展政府采购活动。</w:t>
      </w:r>
    </w:p>
    <w:p>
      <w:pPr>
        <w:spacing w:line="500" w:lineRule="exact"/>
        <w:ind w:firstLine="482" w:firstLineChars="200"/>
        <w:rPr>
          <w:rFonts w:asciiTheme="minorEastAsia" w:hAnsiTheme="minorEastAsia" w:eastAsiaTheme="minorEastAsia" w:cstheme="minorEastAsia"/>
          <w:b/>
          <w:bCs/>
          <w:sz w:val="24"/>
        </w:rPr>
      </w:pPr>
      <w:bookmarkStart w:id="159" w:name="_Toc274249611"/>
      <w:bookmarkStart w:id="160" w:name="_Toc426369518"/>
      <w:bookmarkStart w:id="161" w:name="_Toc279599807"/>
      <w:bookmarkStart w:id="162" w:name="_Toc403122528"/>
      <w:r>
        <w:rPr>
          <w:rFonts w:hint="eastAsia" w:asciiTheme="minorEastAsia" w:hAnsiTheme="minorEastAsia" w:eastAsiaTheme="minorEastAsia" w:cstheme="minorEastAsia"/>
          <w:b/>
          <w:bCs/>
          <w:sz w:val="24"/>
        </w:rPr>
        <w:t>7.2 中标通知</w:t>
      </w:r>
      <w:bookmarkEnd w:id="159"/>
      <w:bookmarkEnd w:id="160"/>
      <w:bookmarkEnd w:id="161"/>
      <w:bookmarkEnd w:id="162"/>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7.2.1 在本章第3.3款规定的投标有效期内，采购人以书面形式向中标人发出中标通知书，同时将中标结果通知未中标的投标人。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7.2.2中标人在领取中标通知书后应及时到相关部门办理中标后的备案手续。</w:t>
      </w:r>
    </w:p>
    <w:p>
      <w:pPr>
        <w:spacing w:line="500" w:lineRule="exact"/>
        <w:ind w:firstLine="482" w:firstLineChars="200"/>
        <w:rPr>
          <w:rFonts w:asciiTheme="minorEastAsia" w:hAnsiTheme="minorEastAsia" w:eastAsiaTheme="minorEastAsia" w:cstheme="minorEastAsia"/>
          <w:b/>
          <w:bCs/>
          <w:color w:val="auto"/>
          <w:sz w:val="24"/>
        </w:rPr>
      </w:pPr>
      <w:bookmarkStart w:id="163" w:name="_Toc279599808"/>
      <w:bookmarkStart w:id="164" w:name="_Toc274249612"/>
      <w:bookmarkStart w:id="165" w:name="_Toc311550376"/>
      <w:bookmarkStart w:id="166" w:name="_Toc426369519"/>
      <w:bookmarkStart w:id="167" w:name="_Toc403122529"/>
      <w:r>
        <w:rPr>
          <w:rFonts w:hint="eastAsia" w:asciiTheme="minorEastAsia" w:hAnsiTheme="minorEastAsia" w:eastAsiaTheme="minorEastAsia" w:cstheme="minorEastAsia"/>
          <w:b/>
          <w:bCs/>
          <w:color w:val="auto"/>
          <w:sz w:val="24"/>
        </w:rPr>
        <w:t>7.3履约</w:t>
      </w:r>
      <w:bookmarkEnd w:id="163"/>
      <w:bookmarkEnd w:id="164"/>
      <w:bookmarkEnd w:id="165"/>
      <w:r>
        <w:rPr>
          <w:rFonts w:hint="eastAsia" w:asciiTheme="minorEastAsia" w:hAnsiTheme="minorEastAsia" w:eastAsiaTheme="minorEastAsia" w:cstheme="minorEastAsia"/>
          <w:b/>
          <w:bCs/>
          <w:color w:val="auto"/>
          <w:sz w:val="24"/>
        </w:rPr>
        <w:t>保证金</w:t>
      </w:r>
      <w:bookmarkEnd w:id="166"/>
      <w:bookmarkEnd w:id="167"/>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7.3.1</w:t>
      </w:r>
      <w:r>
        <w:rPr>
          <w:rFonts w:hint="eastAsia" w:asciiTheme="minorEastAsia" w:hAnsiTheme="minorEastAsia" w:eastAsiaTheme="minorEastAsia" w:cstheme="minorEastAsia"/>
          <w:szCs w:val="21"/>
        </w:rPr>
        <w:t>履约保证金</w:t>
      </w:r>
      <w:r>
        <w:rPr>
          <w:rFonts w:hint="eastAsia" w:asciiTheme="minorEastAsia" w:hAnsiTheme="minorEastAsia" w:eastAsiaTheme="minorEastAsia" w:cstheme="minorEastAsia"/>
          <w:szCs w:val="21"/>
          <w:lang w:eastAsia="zh-CN"/>
        </w:rPr>
        <w:t>：无</w:t>
      </w:r>
    </w:p>
    <w:p>
      <w:pPr>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7.3.2</w:t>
      </w:r>
      <w:r>
        <w:rPr>
          <w:rFonts w:hint="eastAsia" w:asciiTheme="minorEastAsia" w:hAnsiTheme="minorEastAsia" w:eastAsiaTheme="minorEastAsia" w:cstheme="minorEastAsia"/>
          <w:szCs w:val="21"/>
        </w:rPr>
        <w:t>投标保证金</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无</w:t>
      </w:r>
    </w:p>
    <w:p>
      <w:pPr>
        <w:spacing w:line="500" w:lineRule="exact"/>
        <w:ind w:firstLine="482" w:firstLineChars="200"/>
        <w:rPr>
          <w:rFonts w:asciiTheme="minorEastAsia" w:hAnsiTheme="minorEastAsia" w:eastAsiaTheme="minorEastAsia" w:cstheme="minorEastAsia"/>
          <w:b/>
          <w:bCs/>
          <w:color w:val="auto"/>
          <w:sz w:val="24"/>
        </w:rPr>
      </w:pPr>
      <w:bookmarkStart w:id="168" w:name="_Toc426369520"/>
      <w:bookmarkStart w:id="169" w:name="_Toc279599809"/>
      <w:bookmarkStart w:id="170" w:name="_Toc274249613"/>
      <w:bookmarkStart w:id="171" w:name="_Toc403122530"/>
      <w:r>
        <w:rPr>
          <w:rFonts w:hint="eastAsia" w:asciiTheme="minorEastAsia" w:hAnsiTheme="minorEastAsia" w:eastAsiaTheme="minorEastAsia" w:cstheme="minorEastAsia"/>
          <w:b/>
          <w:bCs/>
          <w:color w:val="auto"/>
          <w:sz w:val="24"/>
        </w:rPr>
        <w:t>7.4 签订合同</w:t>
      </w:r>
      <w:bookmarkEnd w:id="168"/>
      <w:bookmarkEnd w:id="169"/>
      <w:bookmarkEnd w:id="170"/>
      <w:bookmarkEnd w:id="171"/>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7.4.1  中标人的投标报价为中标价，中标价即为合同价（当中标人的投标报价高于控制价的95%时，该中标人的中标价按控制价的95%执行）。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7.4.2  发出中标通知书后，采购人无正当理由拒签合同的，给中标人造成损失的，还应当赔偿损失。</w:t>
      </w:r>
    </w:p>
    <w:p>
      <w:pPr>
        <w:pStyle w:val="14"/>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72" w:name="_Toc30009"/>
      <w:bookmarkStart w:id="173" w:name="_Toc10541"/>
      <w:bookmarkStart w:id="174" w:name="_Toc403122531"/>
      <w:bookmarkStart w:id="175" w:name="_Toc426369521"/>
      <w:r>
        <w:rPr>
          <w:rFonts w:hint="eastAsia" w:asciiTheme="minorEastAsia" w:hAnsiTheme="minorEastAsia" w:eastAsiaTheme="minorEastAsia" w:cstheme="minorEastAsia"/>
          <w:sz w:val="24"/>
          <w:szCs w:val="24"/>
        </w:rPr>
        <w:t>8. 重新招标</w:t>
      </w:r>
      <w:bookmarkEnd w:id="172"/>
      <w:bookmarkEnd w:id="173"/>
      <w:bookmarkEnd w:id="174"/>
      <w:bookmarkEnd w:id="175"/>
    </w:p>
    <w:p>
      <w:pPr>
        <w:spacing w:line="500" w:lineRule="exact"/>
        <w:ind w:firstLine="482" w:firstLineChars="200"/>
        <w:rPr>
          <w:rFonts w:asciiTheme="minorEastAsia" w:hAnsiTheme="minorEastAsia" w:eastAsiaTheme="minorEastAsia" w:cstheme="minorEastAsia"/>
          <w:b/>
          <w:bCs/>
          <w:sz w:val="24"/>
        </w:rPr>
      </w:pPr>
      <w:bookmarkStart w:id="176" w:name="_Toc279599811"/>
      <w:bookmarkStart w:id="177" w:name="_Toc426369522"/>
      <w:bookmarkStart w:id="178" w:name="_Toc403122532"/>
      <w:bookmarkStart w:id="179" w:name="_Toc274249615"/>
      <w:r>
        <w:rPr>
          <w:rFonts w:hint="eastAsia" w:asciiTheme="minorEastAsia" w:hAnsiTheme="minorEastAsia" w:eastAsiaTheme="minorEastAsia" w:cstheme="minorEastAsia"/>
          <w:b/>
          <w:bCs/>
          <w:sz w:val="24"/>
        </w:rPr>
        <w:t>8.1 重新招标</w:t>
      </w:r>
      <w:bookmarkEnd w:id="176"/>
      <w:bookmarkEnd w:id="177"/>
      <w:bookmarkEnd w:id="178"/>
      <w:bookmarkEnd w:id="179"/>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有下列情形之一的，采购人将重新招标：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（1）投标截止时间止，供应商少于3个的；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（2）经评标委员会评审后否决所有投标的。 </w:t>
      </w:r>
    </w:p>
    <w:p>
      <w:pPr>
        <w:pStyle w:val="14"/>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80" w:name="_Toc3760"/>
      <w:bookmarkStart w:id="181" w:name="_Toc426369523"/>
      <w:bookmarkStart w:id="182" w:name="_Toc403122533"/>
      <w:bookmarkStart w:id="183" w:name="_Toc10372"/>
      <w:r>
        <w:rPr>
          <w:rFonts w:hint="eastAsia" w:asciiTheme="minorEastAsia" w:hAnsiTheme="minorEastAsia" w:eastAsiaTheme="minorEastAsia" w:cstheme="minorEastAsia"/>
          <w:sz w:val="24"/>
          <w:szCs w:val="24"/>
        </w:rPr>
        <w:t>9. 纪律和监督</w:t>
      </w:r>
      <w:bookmarkEnd w:id="180"/>
      <w:bookmarkEnd w:id="181"/>
      <w:bookmarkEnd w:id="182"/>
      <w:bookmarkEnd w:id="183"/>
    </w:p>
    <w:p>
      <w:pPr>
        <w:spacing w:line="500" w:lineRule="exact"/>
        <w:ind w:firstLine="482" w:firstLineChars="200"/>
        <w:rPr>
          <w:rFonts w:asciiTheme="minorEastAsia" w:hAnsiTheme="minorEastAsia" w:eastAsiaTheme="minorEastAsia" w:cstheme="minorEastAsia"/>
          <w:b/>
          <w:bCs/>
          <w:sz w:val="24"/>
        </w:rPr>
      </w:pPr>
      <w:bookmarkStart w:id="184" w:name="_Toc403122534"/>
      <w:bookmarkStart w:id="185" w:name="_Toc426369524"/>
      <w:bookmarkStart w:id="186" w:name="_Toc279599814"/>
      <w:bookmarkStart w:id="187" w:name="_Toc274249618"/>
      <w:r>
        <w:rPr>
          <w:rFonts w:hint="eastAsia" w:asciiTheme="minorEastAsia" w:hAnsiTheme="minorEastAsia" w:eastAsiaTheme="minorEastAsia" w:cstheme="minorEastAsia"/>
          <w:b/>
          <w:bCs/>
          <w:sz w:val="24"/>
        </w:rPr>
        <w:t>9.1 对采购人的纪律要求</w:t>
      </w:r>
      <w:bookmarkEnd w:id="184"/>
      <w:bookmarkEnd w:id="185"/>
      <w:bookmarkEnd w:id="186"/>
      <w:bookmarkEnd w:id="187"/>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采购人不得泄漏招标投标活动中应当保密的情况和资料，不得与供应商串通损害国家利益、社会公共利益或者他人合法权益。 </w:t>
      </w:r>
    </w:p>
    <w:p>
      <w:pPr>
        <w:spacing w:line="500" w:lineRule="exact"/>
        <w:ind w:firstLine="482" w:firstLineChars="200"/>
        <w:rPr>
          <w:rFonts w:asciiTheme="minorEastAsia" w:hAnsiTheme="minorEastAsia" w:eastAsiaTheme="minorEastAsia" w:cstheme="minorEastAsia"/>
          <w:b/>
          <w:bCs/>
          <w:sz w:val="24"/>
        </w:rPr>
      </w:pPr>
      <w:bookmarkStart w:id="188" w:name="_Toc274249619"/>
      <w:bookmarkStart w:id="189" w:name="_Toc279599815"/>
      <w:bookmarkStart w:id="190" w:name="_Toc426369525"/>
      <w:bookmarkStart w:id="191" w:name="_Toc403122535"/>
      <w:r>
        <w:rPr>
          <w:rFonts w:hint="eastAsia" w:asciiTheme="minorEastAsia" w:hAnsiTheme="minorEastAsia" w:eastAsiaTheme="minorEastAsia" w:cstheme="minorEastAsia"/>
          <w:b/>
          <w:bCs/>
          <w:sz w:val="24"/>
        </w:rPr>
        <w:t>9.2 对投标人的纪律要求</w:t>
      </w:r>
      <w:bookmarkEnd w:id="188"/>
      <w:bookmarkEnd w:id="189"/>
      <w:bookmarkEnd w:id="190"/>
      <w:bookmarkEnd w:id="191"/>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500" w:lineRule="exact"/>
        <w:ind w:firstLine="482" w:firstLineChars="200"/>
        <w:rPr>
          <w:rFonts w:asciiTheme="minorEastAsia" w:hAnsiTheme="minorEastAsia" w:eastAsiaTheme="minorEastAsia" w:cstheme="minorEastAsia"/>
          <w:b/>
          <w:bCs/>
          <w:sz w:val="24"/>
        </w:rPr>
      </w:pPr>
      <w:bookmarkStart w:id="192" w:name="_Toc274249620"/>
      <w:bookmarkStart w:id="193" w:name="_Toc279599816"/>
      <w:bookmarkStart w:id="194" w:name="_Toc426369526"/>
      <w:bookmarkStart w:id="195" w:name="_Toc403122536"/>
      <w:r>
        <w:rPr>
          <w:rFonts w:hint="eastAsia" w:asciiTheme="minorEastAsia" w:hAnsiTheme="minorEastAsia" w:eastAsiaTheme="minorEastAsia" w:cstheme="minorEastAsia"/>
          <w:b/>
          <w:bCs/>
          <w:sz w:val="24"/>
        </w:rPr>
        <w:t>9.3 对评标委员会成员的纪律要求</w:t>
      </w:r>
      <w:bookmarkEnd w:id="192"/>
      <w:bookmarkEnd w:id="193"/>
      <w:bookmarkEnd w:id="194"/>
      <w:bookmarkEnd w:id="195"/>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500" w:lineRule="exact"/>
        <w:ind w:firstLine="482" w:firstLineChars="200"/>
        <w:rPr>
          <w:rFonts w:asciiTheme="minorEastAsia" w:hAnsiTheme="minorEastAsia" w:eastAsiaTheme="minorEastAsia" w:cstheme="minorEastAsia"/>
          <w:b/>
          <w:bCs/>
          <w:sz w:val="24"/>
        </w:rPr>
      </w:pPr>
      <w:bookmarkStart w:id="196" w:name="_Toc426369527"/>
      <w:bookmarkStart w:id="197" w:name="_Toc403122537"/>
      <w:bookmarkStart w:id="198" w:name="_Toc279599817"/>
      <w:bookmarkStart w:id="199" w:name="_Toc274249621"/>
      <w:r>
        <w:rPr>
          <w:rFonts w:hint="eastAsia" w:asciiTheme="minorEastAsia" w:hAnsiTheme="minorEastAsia" w:eastAsiaTheme="minorEastAsia" w:cstheme="minorEastAsia"/>
          <w:b/>
          <w:bCs/>
          <w:sz w:val="24"/>
        </w:rPr>
        <w:t>9.4 对与评标活动有关的工作人员的纪律要求</w:t>
      </w:r>
      <w:bookmarkEnd w:id="196"/>
      <w:bookmarkEnd w:id="197"/>
      <w:bookmarkEnd w:id="198"/>
      <w:bookmarkEnd w:id="199"/>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500" w:lineRule="exact"/>
        <w:ind w:firstLine="482" w:firstLineChars="200"/>
        <w:rPr>
          <w:rFonts w:asciiTheme="minorEastAsia" w:hAnsiTheme="minorEastAsia" w:eastAsiaTheme="minorEastAsia" w:cstheme="minorEastAsia"/>
          <w:b/>
          <w:bCs/>
          <w:sz w:val="24"/>
        </w:rPr>
      </w:pPr>
      <w:bookmarkStart w:id="200" w:name="_Toc274249622"/>
      <w:bookmarkStart w:id="201" w:name="_Toc426369528"/>
      <w:bookmarkStart w:id="202" w:name="_Toc279599818"/>
      <w:bookmarkStart w:id="203" w:name="_Toc403122538"/>
      <w:r>
        <w:rPr>
          <w:rFonts w:hint="eastAsia" w:asciiTheme="minorEastAsia" w:hAnsiTheme="minorEastAsia" w:eastAsiaTheme="minorEastAsia" w:cstheme="minorEastAsia"/>
          <w:b/>
          <w:bCs/>
          <w:sz w:val="24"/>
        </w:rPr>
        <w:t>9.5 投诉</w:t>
      </w:r>
      <w:bookmarkEnd w:id="200"/>
      <w:bookmarkEnd w:id="201"/>
      <w:bookmarkEnd w:id="202"/>
      <w:bookmarkEnd w:id="203"/>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供应商和其他利害关系人认为本次招标活动违反法律、法规和规章规定的，有权向有关行政监督部门投诉。 </w:t>
      </w:r>
    </w:p>
    <w:p>
      <w:pPr>
        <w:pStyle w:val="14"/>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204" w:name="_Toc403122539"/>
      <w:bookmarkStart w:id="205" w:name="_Toc426369529"/>
      <w:bookmarkStart w:id="206" w:name="_Toc10880"/>
      <w:bookmarkStart w:id="207" w:name="_Toc13281"/>
      <w:r>
        <w:rPr>
          <w:rFonts w:hint="eastAsia" w:asciiTheme="minorEastAsia" w:hAnsiTheme="minorEastAsia" w:eastAsiaTheme="minorEastAsia" w:cstheme="minorEastAsia"/>
          <w:sz w:val="24"/>
          <w:szCs w:val="24"/>
        </w:rPr>
        <w:t>10. 需要补充的其他内容</w:t>
      </w:r>
      <w:bookmarkEnd w:id="204"/>
      <w:bookmarkEnd w:id="205"/>
      <w:bookmarkEnd w:id="206"/>
      <w:bookmarkEnd w:id="207"/>
    </w:p>
    <w:p>
      <w:pPr>
        <w:autoSpaceDE w:val="0"/>
        <w:autoSpaceDN w:val="0"/>
        <w:adjustRightInd w:val="0"/>
        <w:spacing w:line="440" w:lineRule="exact"/>
        <w:ind w:firstLine="482" w:firstLineChars="200"/>
        <w:rPr>
          <w:rFonts w:ascii="宋体" w:hAnsi="宋体" w:cs="宋体"/>
          <w:kern w:val="0"/>
          <w:sz w:val="24"/>
        </w:rPr>
      </w:pPr>
      <w:r>
        <w:rPr>
          <w:rFonts w:hint="eastAsia" w:ascii="宋体" w:hAnsi="宋体" w:cs="宋体"/>
          <w:b/>
          <w:kern w:val="0"/>
          <w:sz w:val="24"/>
        </w:rPr>
        <w:t>10.1 费用承担</w:t>
      </w:r>
    </w:p>
    <w:p>
      <w:pPr>
        <w:autoSpaceDE w:val="0"/>
        <w:autoSpaceDN w:val="0"/>
        <w:adjustRightInd w:val="0"/>
        <w:spacing w:line="440" w:lineRule="exact"/>
        <w:ind w:left="17" w:leftChars="8" w:firstLine="420" w:firstLineChars="200"/>
        <w:jc w:val="left"/>
        <w:rPr>
          <w:rFonts w:ascii="宋体" w:hAnsi="宋体" w:cs="宋体"/>
          <w:szCs w:val="21"/>
        </w:rPr>
      </w:pPr>
      <w:r>
        <w:rPr>
          <w:rFonts w:hint="eastAsia" w:ascii="宋体" w:hAnsi="宋体" w:cs="宋体"/>
          <w:szCs w:val="21"/>
        </w:rPr>
        <w:t>（1）无论投标结果如何，投标人应自行承担所有参与投标的全部费用，采购人和采购代理机构在任何情况下均无义务和责任承担上述费用。</w:t>
      </w:r>
    </w:p>
    <w:p>
      <w:pPr>
        <w:autoSpaceDE w:val="0"/>
        <w:autoSpaceDN w:val="0"/>
        <w:adjustRightInd w:val="0"/>
        <w:spacing w:line="440" w:lineRule="exact"/>
        <w:ind w:firstLine="420"/>
        <w:jc w:val="left"/>
        <w:rPr>
          <w:rFonts w:ascii="宋体" w:hAnsi="宋体" w:cs="宋体"/>
          <w:szCs w:val="21"/>
        </w:rPr>
      </w:pPr>
      <w:r>
        <w:rPr>
          <w:rFonts w:hint="eastAsia" w:ascii="宋体" w:hAnsi="宋体" w:cs="宋体"/>
          <w:szCs w:val="21"/>
        </w:rPr>
        <w:t>（2）招标代理服务费由中标人支付。</w:t>
      </w:r>
    </w:p>
    <w:p>
      <w:pPr>
        <w:autoSpaceDE w:val="0"/>
        <w:autoSpaceDN w:val="0"/>
        <w:adjustRightInd w:val="0"/>
        <w:spacing w:line="500" w:lineRule="exact"/>
        <w:ind w:firstLine="420"/>
        <w:jc w:val="left"/>
        <w:rPr>
          <w:rFonts w:ascii="宋体" w:hAnsi="宋体" w:cs="宋体"/>
          <w:szCs w:val="21"/>
        </w:rPr>
      </w:pPr>
      <w:r>
        <w:rPr>
          <w:rFonts w:hint="eastAsia" w:ascii="宋体" w:hAnsi="宋体" w:cs="宋体"/>
          <w:szCs w:val="21"/>
        </w:rPr>
        <w:t>（3）供应商与采购人签订合同后，将合同报采购代理机构备案。</w:t>
      </w:r>
    </w:p>
    <w:p>
      <w:pPr>
        <w:pStyle w:val="23"/>
        <w:ind w:firstLine="482" w:firstLineChars="200"/>
      </w:pPr>
      <w:r>
        <w:rPr>
          <w:rFonts w:hint="eastAsia" w:ascii="宋体" w:hAnsi="宋体" w:cs="宋体"/>
          <w:b/>
          <w:sz w:val="24"/>
        </w:rPr>
        <w:t>10.2</w:t>
      </w:r>
      <w:r>
        <w:rPr>
          <w:rFonts w:hint="eastAsia" w:ascii="宋体" w:hAnsi="宋体" w:cs="宋体"/>
          <w:b/>
          <w:szCs w:val="21"/>
        </w:rPr>
        <w:t>本招标文件未尽事宜，按《中华人民共和国政府采购法》等法律法规的有关规定执行。</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14"/>
        <w:numPr>
          <w:ilvl w:val="0"/>
          <w:numId w:val="4"/>
        </w:numPr>
        <w:spacing w:line="600" w:lineRule="exact"/>
        <w:ind w:right="-63" w:rightChars="-30"/>
        <w:rPr>
          <w:rFonts w:asciiTheme="minorEastAsia" w:hAnsiTheme="minorEastAsia" w:eastAsiaTheme="minorEastAsia" w:cstheme="minorEastAsia"/>
          <w:sz w:val="36"/>
          <w:szCs w:val="36"/>
        </w:rPr>
      </w:pPr>
      <w:bookmarkStart w:id="208" w:name="_Toc28433"/>
      <w:bookmarkStart w:id="209" w:name="_Toc403122540"/>
      <w:bookmarkStart w:id="210" w:name="_Toc426369530"/>
      <w:bookmarkStart w:id="211" w:name="_Toc1253"/>
      <w:r>
        <w:rPr>
          <w:rFonts w:hint="eastAsia" w:asciiTheme="minorEastAsia" w:hAnsiTheme="minorEastAsia" w:eastAsiaTheme="minorEastAsia" w:cstheme="minorEastAsia"/>
          <w:sz w:val="36"/>
          <w:szCs w:val="36"/>
        </w:rPr>
        <w:t>评标办法</w:t>
      </w:r>
      <w:bookmarkEnd w:id="208"/>
      <w:bookmarkEnd w:id="209"/>
      <w:bookmarkEnd w:id="210"/>
      <w:r>
        <w:rPr>
          <w:rFonts w:hint="eastAsia" w:asciiTheme="minorEastAsia" w:hAnsiTheme="minorEastAsia" w:eastAsiaTheme="minorEastAsia" w:cstheme="minorEastAsia"/>
          <w:sz w:val="36"/>
          <w:szCs w:val="36"/>
        </w:rPr>
        <w:t>（综合评分法）</w:t>
      </w:r>
      <w:bookmarkEnd w:id="211"/>
    </w:p>
    <w:p>
      <w:pPr>
        <w:pStyle w:val="24"/>
        <w:spacing w:line="540" w:lineRule="exact"/>
        <w:jc w:val="center"/>
        <w:outlineLvl w:val="2"/>
        <w:rPr>
          <w:rFonts w:asciiTheme="minorEastAsia" w:hAnsiTheme="minorEastAsia" w:eastAsiaTheme="minorEastAsia" w:cstheme="minorEastAsia"/>
          <w:b/>
          <w:bCs/>
          <w:sz w:val="28"/>
          <w:szCs w:val="28"/>
        </w:rPr>
      </w:pPr>
      <w:bookmarkStart w:id="212" w:name="_Toc30933"/>
      <w:bookmarkStart w:id="213" w:name="_Toc21885"/>
      <w:bookmarkStart w:id="214" w:name="_Toc29947"/>
      <w:bookmarkStart w:id="215" w:name="_Toc17859"/>
      <w:bookmarkStart w:id="216" w:name="_Toc16529"/>
      <w:bookmarkStart w:id="217" w:name="_Toc2761070"/>
      <w:r>
        <w:rPr>
          <w:rFonts w:hint="eastAsia" w:asciiTheme="minorEastAsia" w:hAnsiTheme="minorEastAsia" w:eastAsiaTheme="minorEastAsia" w:cstheme="minorEastAsia"/>
          <w:b/>
          <w:bCs/>
          <w:sz w:val="28"/>
          <w:szCs w:val="28"/>
        </w:rPr>
        <w:t>（一）评分办法前附表</w:t>
      </w:r>
      <w:bookmarkEnd w:id="212"/>
      <w:bookmarkEnd w:id="213"/>
      <w:bookmarkEnd w:id="214"/>
      <w:bookmarkEnd w:id="215"/>
    </w:p>
    <w:tbl>
      <w:tblPr>
        <w:tblStyle w:val="17"/>
        <w:tblpPr w:leftFromText="180" w:rightFromText="180" w:vertAnchor="text" w:horzAnchor="page" w:tblpX="1155" w:tblpY="363"/>
        <w:tblOverlap w:val="never"/>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95"/>
        <w:gridCol w:w="2084"/>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trPr>
        <w:tc>
          <w:tcPr>
            <w:tcW w:w="1095" w:type="dxa"/>
            <w:noWrap w:val="0"/>
            <w:vAlign w:val="center"/>
          </w:tcPr>
          <w:p>
            <w:pPr>
              <w:spacing w:line="440" w:lineRule="exact"/>
              <w:jc w:val="center"/>
              <w:rPr>
                <w:rFonts w:hint="eastAsia" w:ascii="宋体" w:hAnsi="宋体" w:cs="宋体"/>
                <w:b/>
                <w:color w:val="000000"/>
                <w:szCs w:val="21"/>
              </w:rPr>
            </w:pPr>
            <w:bookmarkStart w:id="218" w:name="_Toc471"/>
            <w:bookmarkStart w:id="219" w:name="_Toc28874"/>
            <w:bookmarkStart w:id="220" w:name="_Toc26394"/>
            <w:bookmarkStart w:id="221" w:name="_Toc13389"/>
            <w:r>
              <w:rPr>
                <w:rFonts w:hint="eastAsia" w:ascii="宋体" w:hAnsi="宋体" w:cs="宋体"/>
                <w:b/>
                <w:bCs/>
                <w:color w:val="000000"/>
                <w:kern w:val="0"/>
                <w:szCs w:val="21"/>
              </w:rPr>
              <w:t>审查主体</w:t>
            </w:r>
          </w:p>
        </w:tc>
        <w:tc>
          <w:tcPr>
            <w:tcW w:w="3179" w:type="dxa"/>
            <w:gridSpan w:val="2"/>
            <w:noWrap w:val="0"/>
            <w:vAlign w:val="center"/>
          </w:tcPr>
          <w:p>
            <w:pPr>
              <w:spacing w:line="440" w:lineRule="exact"/>
              <w:jc w:val="center"/>
              <w:rPr>
                <w:rFonts w:hint="eastAsia" w:ascii="宋体" w:hAnsi="宋体" w:cs="宋体"/>
                <w:b/>
                <w:color w:val="000000"/>
                <w:szCs w:val="21"/>
              </w:rPr>
            </w:pPr>
            <w:r>
              <w:rPr>
                <w:rFonts w:hint="eastAsia" w:ascii="宋体" w:hAnsi="宋体" w:cs="宋体"/>
                <w:b/>
                <w:color w:val="000000"/>
                <w:szCs w:val="21"/>
              </w:rPr>
              <w:t>评审因素</w:t>
            </w:r>
          </w:p>
        </w:tc>
        <w:tc>
          <w:tcPr>
            <w:tcW w:w="5602" w:type="dxa"/>
            <w:noWrap w:val="0"/>
            <w:vAlign w:val="center"/>
          </w:tcPr>
          <w:p>
            <w:pPr>
              <w:tabs>
                <w:tab w:val="left" w:pos="417"/>
                <w:tab w:val="center" w:pos="2999"/>
              </w:tabs>
              <w:spacing w:line="440" w:lineRule="exact"/>
              <w:jc w:val="left"/>
              <w:rPr>
                <w:rFonts w:hint="eastAsia" w:ascii="宋体" w:hAnsi="宋体" w:cs="宋体"/>
                <w:b/>
                <w:color w:val="000000"/>
                <w:szCs w:val="21"/>
              </w:rPr>
            </w:pPr>
            <w:r>
              <w:rPr>
                <w:rFonts w:hint="eastAsia" w:ascii="宋体" w:hAnsi="宋体" w:cs="宋体"/>
                <w:b/>
                <w:color w:val="000000"/>
                <w:szCs w:val="21"/>
              </w:rPr>
              <w:tab/>
            </w:r>
            <w:r>
              <w:rPr>
                <w:rFonts w:hint="eastAsia" w:ascii="宋体" w:hAnsi="宋体" w:cs="宋体"/>
                <w:b/>
                <w:color w:val="000000"/>
                <w:szCs w:val="21"/>
              </w:rPr>
              <w:tab/>
            </w:r>
            <w:r>
              <w:rPr>
                <w:rFonts w:hint="eastAsia" w:ascii="宋体" w:hAnsi="宋体" w:cs="宋体"/>
                <w:b/>
                <w:color w:val="00000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095" w:type="dxa"/>
            <w:vMerge w:val="restart"/>
            <w:noWrap w:val="0"/>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资格审查小组</w:t>
            </w:r>
          </w:p>
        </w:tc>
        <w:tc>
          <w:tcPr>
            <w:tcW w:w="1095" w:type="dxa"/>
            <w:vMerge w:val="restart"/>
            <w:noWrap w:val="0"/>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一、资格评审标准</w:t>
            </w:r>
          </w:p>
        </w:tc>
        <w:tc>
          <w:tcPr>
            <w:tcW w:w="2084"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营业执照、税务登记证、组织机构代码证</w:t>
            </w:r>
          </w:p>
        </w:tc>
        <w:tc>
          <w:tcPr>
            <w:tcW w:w="5602" w:type="dxa"/>
            <w:noWrap w:val="0"/>
            <w:vAlign w:val="center"/>
          </w:tcPr>
          <w:p>
            <w:pPr>
              <w:spacing w:line="320" w:lineRule="exact"/>
              <w:rPr>
                <w:rFonts w:hint="eastAsia" w:ascii="宋体" w:hAnsi="宋体" w:cs="宋体"/>
                <w:color w:val="000000"/>
                <w:szCs w:val="21"/>
              </w:rPr>
            </w:pPr>
            <w:r>
              <w:rPr>
                <w:rFonts w:hint="eastAsia" w:ascii="宋体" w:hAnsi="宋体" w:cs="宋体"/>
                <w:color w:val="000000"/>
                <w:szCs w:val="21"/>
              </w:rPr>
              <w:t>具备有效的营业执照（副本）、税务登记证（副本）、组织机构代码证（副本）（或三证合一的营业执照）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trPr>
        <w:tc>
          <w:tcPr>
            <w:tcW w:w="1095" w:type="dxa"/>
            <w:vMerge w:val="continue"/>
            <w:noWrap w:val="0"/>
            <w:vAlign w:val="center"/>
          </w:tcPr>
          <w:p>
            <w:pPr>
              <w:spacing w:line="440" w:lineRule="exact"/>
              <w:jc w:val="center"/>
              <w:rPr>
                <w:rFonts w:hint="eastAsia" w:ascii="宋体" w:hAnsi="宋体" w:cs="宋体"/>
                <w:color w:val="000000"/>
                <w:szCs w:val="21"/>
              </w:rPr>
            </w:pPr>
          </w:p>
        </w:tc>
        <w:tc>
          <w:tcPr>
            <w:tcW w:w="1095" w:type="dxa"/>
            <w:vMerge w:val="continue"/>
            <w:noWrap w:val="0"/>
            <w:vAlign w:val="center"/>
          </w:tcPr>
          <w:p>
            <w:pPr>
              <w:spacing w:line="440" w:lineRule="exact"/>
              <w:jc w:val="center"/>
              <w:rPr>
                <w:rFonts w:hint="eastAsia" w:ascii="宋体" w:hAnsi="宋体" w:cs="宋体"/>
                <w:color w:val="000000"/>
                <w:szCs w:val="21"/>
              </w:rPr>
            </w:pPr>
          </w:p>
        </w:tc>
        <w:tc>
          <w:tcPr>
            <w:tcW w:w="2084" w:type="dxa"/>
            <w:noWrap w:val="0"/>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法定代表人证明或法人授权委托书</w:t>
            </w:r>
          </w:p>
        </w:tc>
        <w:tc>
          <w:tcPr>
            <w:tcW w:w="5602" w:type="dxa"/>
            <w:noWrap w:val="0"/>
            <w:vAlign w:val="center"/>
          </w:tcPr>
          <w:p>
            <w:pPr>
              <w:spacing w:line="360" w:lineRule="exact"/>
              <w:rPr>
                <w:rFonts w:hint="eastAsia" w:ascii="宋体" w:hAnsi="宋体" w:cs="宋体"/>
                <w:color w:val="000000"/>
                <w:szCs w:val="21"/>
              </w:rPr>
            </w:pPr>
            <w:r>
              <w:rPr>
                <w:rFonts w:hint="eastAsia" w:ascii="宋体" w:hAnsi="宋体" w:cs="宋体"/>
                <w:color w:val="000000"/>
                <w:szCs w:val="21"/>
              </w:rPr>
              <w:t>法定代表人（负责人）证明或法人授权委托书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noWrap w:val="0"/>
            <w:vAlign w:val="center"/>
          </w:tcPr>
          <w:p>
            <w:pPr>
              <w:spacing w:line="440" w:lineRule="exact"/>
              <w:jc w:val="center"/>
              <w:rPr>
                <w:rFonts w:hint="eastAsia" w:ascii="宋体" w:hAnsi="宋体" w:cs="宋体"/>
                <w:color w:val="000000"/>
                <w:szCs w:val="21"/>
              </w:rPr>
            </w:pPr>
          </w:p>
        </w:tc>
        <w:tc>
          <w:tcPr>
            <w:tcW w:w="1095" w:type="dxa"/>
            <w:vMerge w:val="continue"/>
            <w:noWrap w:val="0"/>
            <w:vAlign w:val="center"/>
          </w:tcPr>
          <w:p>
            <w:pPr>
              <w:spacing w:line="440" w:lineRule="exact"/>
              <w:jc w:val="center"/>
              <w:rPr>
                <w:rFonts w:hint="eastAsia" w:ascii="宋体" w:hAnsi="宋体" w:cs="宋体"/>
                <w:color w:val="000000"/>
                <w:szCs w:val="21"/>
              </w:rPr>
            </w:pPr>
          </w:p>
        </w:tc>
        <w:tc>
          <w:tcPr>
            <w:tcW w:w="2084" w:type="dxa"/>
            <w:noWrap w:val="0"/>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信誉要求</w:t>
            </w:r>
          </w:p>
        </w:tc>
        <w:tc>
          <w:tcPr>
            <w:tcW w:w="5602" w:type="dxa"/>
            <w:noWrap w:val="0"/>
            <w:vAlign w:val="center"/>
          </w:tcPr>
          <w:p>
            <w:pPr>
              <w:spacing w:line="360" w:lineRule="exact"/>
              <w:rPr>
                <w:rFonts w:hint="eastAsia" w:ascii="宋体" w:hAnsi="宋体" w:cs="宋体"/>
                <w:color w:val="000000"/>
                <w:szCs w:val="21"/>
              </w:rPr>
            </w:pPr>
            <w:r>
              <w:rPr>
                <w:rFonts w:hint="eastAsia" w:ascii="宋体" w:hAnsi="宋体" w:cs="宋体"/>
                <w:color w:val="00000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bottom w:val="single" w:color="auto" w:sz="4" w:space="0"/>
            </w:tcBorders>
            <w:noWrap w:val="0"/>
            <w:vAlign w:val="center"/>
          </w:tcPr>
          <w:p>
            <w:pPr>
              <w:spacing w:line="440" w:lineRule="exact"/>
              <w:jc w:val="center"/>
              <w:rPr>
                <w:rFonts w:hint="eastAsia" w:ascii="宋体" w:hAnsi="宋体" w:cs="宋体"/>
                <w:color w:val="000000"/>
                <w:szCs w:val="21"/>
              </w:rPr>
            </w:pPr>
          </w:p>
        </w:tc>
        <w:tc>
          <w:tcPr>
            <w:tcW w:w="1095" w:type="dxa"/>
            <w:vMerge w:val="continue"/>
            <w:tcBorders>
              <w:bottom w:val="single" w:color="auto" w:sz="4" w:space="0"/>
            </w:tcBorders>
            <w:noWrap w:val="0"/>
            <w:vAlign w:val="center"/>
          </w:tcPr>
          <w:p>
            <w:pPr>
              <w:spacing w:line="440" w:lineRule="exact"/>
              <w:jc w:val="center"/>
              <w:rPr>
                <w:rFonts w:hint="eastAsia" w:ascii="宋体" w:hAnsi="宋体" w:cs="宋体"/>
                <w:color w:val="000000"/>
                <w:szCs w:val="21"/>
              </w:rPr>
            </w:pPr>
          </w:p>
        </w:tc>
        <w:tc>
          <w:tcPr>
            <w:tcW w:w="2084" w:type="dxa"/>
            <w:tcBorders>
              <w:bottom w:val="single" w:color="auto" w:sz="4" w:space="0"/>
            </w:tcBorders>
            <w:noWrap w:val="0"/>
            <w:vAlign w:val="center"/>
          </w:tcPr>
          <w:p>
            <w:pPr>
              <w:spacing w:line="360" w:lineRule="exact"/>
              <w:jc w:val="center"/>
              <w:rPr>
                <w:rFonts w:ascii="宋体" w:hAnsi="宋体" w:cs="宋体"/>
                <w:color w:val="000000"/>
                <w:szCs w:val="21"/>
              </w:rPr>
            </w:pPr>
            <w:r>
              <w:rPr>
                <w:rFonts w:hint="eastAsia" w:ascii="宋体" w:hAnsi="宋体" w:cs="宋体"/>
                <w:color w:val="000000"/>
                <w:szCs w:val="21"/>
              </w:rPr>
              <w:t>其他要求</w:t>
            </w:r>
          </w:p>
        </w:tc>
        <w:tc>
          <w:tcPr>
            <w:tcW w:w="5602" w:type="dxa"/>
            <w:tcBorders>
              <w:bottom w:val="single" w:color="auto" w:sz="4" w:space="0"/>
            </w:tcBorders>
            <w:noWrap w:val="0"/>
            <w:vAlign w:val="center"/>
          </w:tcPr>
          <w:p>
            <w:pPr>
              <w:spacing w:line="360" w:lineRule="exact"/>
              <w:rPr>
                <w:rFonts w:hint="eastAsia" w:ascii="宋体" w:hAnsi="宋体" w:cs="宋体"/>
                <w:color w:val="000000"/>
                <w:szCs w:val="21"/>
              </w:rPr>
            </w:pPr>
            <w:r>
              <w:rPr>
                <w:rFonts w:hint="eastAsia" w:ascii="宋体" w:hAnsi="宋体" w:cs="宋体"/>
                <w:color w:val="000000"/>
                <w:szCs w:val="21"/>
              </w:rPr>
              <w:t>符合第二章“供应商须知”第1.4.1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000000"/>
                <w:szCs w:val="21"/>
              </w:rPr>
            </w:pPr>
            <w:r>
              <w:rPr>
                <w:rFonts w:hint="eastAsia" w:ascii="宋体" w:hAnsi="宋体" w:cs="宋体"/>
                <w:color w:val="000000"/>
                <w:szCs w:val="21"/>
              </w:rPr>
              <w:t>评标委员会</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000000"/>
                <w:szCs w:val="21"/>
              </w:rPr>
            </w:pPr>
            <w:r>
              <w:rPr>
                <w:rFonts w:hint="eastAsia" w:ascii="宋体" w:hAnsi="宋体" w:cs="宋体"/>
                <w:color w:val="000000"/>
                <w:szCs w:val="21"/>
              </w:rPr>
              <w:t>二、形式评审标准</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000000"/>
                <w:szCs w:val="21"/>
              </w:rPr>
            </w:pPr>
            <w:r>
              <w:rPr>
                <w:rFonts w:hint="eastAsia" w:ascii="宋体" w:hAnsi="宋体" w:cs="宋体"/>
                <w:color w:val="000000"/>
                <w:szCs w:val="21"/>
              </w:rPr>
              <w:t>供应商名称</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000000"/>
                <w:szCs w:val="21"/>
              </w:rPr>
            </w:pPr>
            <w:r>
              <w:rPr>
                <w:rFonts w:hint="eastAsia" w:ascii="宋体" w:hAnsi="宋体" w:cs="宋体"/>
                <w:color w:val="000000"/>
                <w:szCs w:val="21"/>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000000"/>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000000"/>
                <w:szCs w:val="21"/>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000000"/>
                <w:szCs w:val="21"/>
              </w:rPr>
            </w:pPr>
            <w:r>
              <w:rPr>
                <w:rFonts w:hint="eastAsia" w:ascii="宋体" w:hAnsi="宋体" w:cs="宋体"/>
                <w:color w:val="000000"/>
                <w:szCs w:val="21"/>
              </w:rPr>
              <w:t>投标函签字盖章</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000000"/>
                <w:szCs w:val="21"/>
              </w:rPr>
            </w:pPr>
            <w:r>
              <w:rPr>
                <w:rFonts w:hint="eastAsia" w:ascii="宋体" w:hAnsi="宋体" w:cs="宋体"/>
                <w:color w:val="000000"/>
                <w:szCs w:val="21"/>
              </w:rPr>
              <w:t>加盖单位公章并有法定代表人或其委托代理人签字或盖章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000000"/>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000000"/>
                <w:szCs w:val="21"/>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投标文件格式</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000000"/>
                <w:szCs w:val="21"/>
              </w:rPr>
            </w:pPr>
            <w:r>
              <w:rPr>
                <w:rFonts w:hint="eastAsia" w:ascii="宋体" w:hAnsi="宋体" w:cs="宋体"/>
                <w:color w:val="000000"/>
                <w:szCs w:val="21"/>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000000"/>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000000"/>
                <w:szCs w:val="21"/>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000000"/>
                <w:szCs w:val="21"/>
              </w:rPr>
            </w:pPr>
            <w:r>
              <w:rPr>
                <w:rFonts w:hint="eastAsia" w:ascii="宋体" w:hAnsi="宋体" w:cs="宋体"/>
                <w:color w:val="000000"/>
                <w:szCs w:val="21"/>
              </w:rPr>
              <w:t>报价唯一</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000000"/>
                <w:szCs w:val="21"/>
              </w:rPr>
            </w:pPr>
            <w:r>
              <w:rPr>
                <w:rFonts w:hint="eastAsia" w:ascii="宋体" w:hAnsi="宋体" w:cs="宋体"/>
                <w:color w:val="000000"/>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000000"/>
                <w:szCs w:val="21"/>
              </w:rPr>
            </w:pP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000000"/>
                <w:szCs w:val="21"/>
              </w:rPr>
            </w:pPr>
            <w:r>
              <w:rPr>
                <w:rFonts w:hint="eastAsia" w:ascii="宋体" w:hAnsi="宋体" w:cs="宋体"/>
                <w:color w:val="000000"/>
                <w:szCs w:val="21"/>
              </w:rPr>
              <w:t>三、响应性评审标准</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000000"/>
                <w:szCs w:val="21"/>
              </w:rPr>
            </w:pPr>
            <w:r>
              <w:rPr>
                <w:rFonts w:hint="eastAsia" w:ascii="宋体" w:hAnsi="宋体" w:cs="宋体"/>
                <w:color w:val="000000"/>
                <w:szCs w:val="21"/>
              </w:rPr>
              <w:t>采购内容</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000000"/>
                <w:szCs w:val="21"/>
              </w:rPr>
            </w:pPr>
            <w:r>
              <w:rPr>
                <w:rFonts w:hint="eastAsia" w:ascii="宋体" w:hAnsi="宋体" w:cs="宋体"/>
                <w:color w:val="000000"/>
                <w:szCs w:val="21"/>
              </w:rPr>
              <w:t>符合第二章“供应商须知”第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000000"/>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000000"/>
                <w:szCs w:val="21"/>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000000"/>
                <w:szCs w:val="21"/>
              </w:rPr>
            </w:pPr>
            <w:r>
              <w:rPr>
                <w:rFonts w:hint="eastAsia" w:ascii="宋体" w:hAnsi="宋体" w:cs="宋体"/>
                <w:bCs/>
                <w:iCs/>
                <w:color w:val="000000"/>
                <w:szCs w:val="21"/>
              </w:rPr>
              <w:t>供货安装期</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000000"/>
                <w:szCs w:val="21"/>
              </w:rPr>
            </w:pPr>
            <w:r>
              <w:rPr>
                <w:rFonts w:hint="eastAsia" w:ascii="宋体" w:hAnsi="宋体" w:cs="宋体"/>
                <w:color w:val="000000"/>
                <w:szCs w:val="21"/>
              </w:rPr>
              <w:t>符合第二章“供应商须知”第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000000"/>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000000"/>
                <w:szCs w:val="21"/>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000000"/>
                <w:szCs w:val="21"/>
              </w:rPr>
            </w:pPr>
            <w:r>
              <w:rPr>
                <w:rFonts w:hint="eastAsia" w:ascii="宋体" w:hAnsi="宋体" w:cs="宋体"/>
                <w:color w:val="000000"/>
                <w:szCs w:val="21"/>
              </w:rPr>
              <w:t>质  量</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000000"/>
                <w:szCs w:val="21"/>
              </w:rPr>
            </w:pPr>
            <w:r>
              <w:rPr>
                <w:rFonts w:hint="eastAsia" w:ascii="宋体" w:hAnsi="宋体" w:cs="宋体"/>
                <w:color w:val="000000"/>
                <w:szCs w:val="21"/>
              </w:rPr>
              <w:t>符合第二章“供应商须知”第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000000"/>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000000"/>
                <w:szCs w:val="21"/>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000000"/>
                <w:szCs w:val="21"/>
              </w:rPr>
            </w:pPr>
            <w:r>
              <w:rPr>
                <w:rFonts w:hint="eastAsia" w:ascii="宋体" w:hAnsi="宋体" w:cs="宋体"/>
                <w:color w:val="000000"/>
                <w:szCs w:val="21"/>
              </w:rPr>
              <w:t>质保期</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000000"/>
                <w:szCs w:val="21"/>
              </w:rPr>
            </w:pPr>
            <w:r>
              <w:rPr>
                <w:rFonts w:hint="eastAsia" w:ascii="宋体" w:hAnsi="宋体" w:cs="宋体"/>
                <w:color w:val="000000"/>
                <w:szCs w:val="21"/>
              </w:rPr>
              <w:t>符合第二章“供应商须知”第 1.3.4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000000"/>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000000"/>
                <w:szCs w:val="21"/>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商务报价</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000000"/>
                <w:szCs w:val="21"/>
              </w:rPr>
            </w:pPr>
            <w:r>
              <w:rPr>
                <w:rFonts w:hint="eastAsia" w:ascii="宋体" w:hAnsi="宋体" w:cs="宋体"/>
                <w:color w:val="000000"/>
                <w:szCs w:val="21"/>
              </w:rPr>
              <w:t>只能有一个有效报价，且不能超过招标控制价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000000"/>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000000"/>
                <w:szCs w:val="21"/>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000000"/>
                <w:szCs w:val="21"/>
              </w:rPr>
            </w:pPr>
            <w:r>
              <w:rPr>
                <w:rFonts w:hint="eastAsia" w:ascii="宋体" w:hAnsi="宋体" w:cs="宋体"/>
                <w:color w:val="000000"/>
                <w:szCs w:val="21"/>
              </w:rPr>
              <w:t>投标有效期</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000000"/>
                <w:szCs w:val="21"/>
              </w:rPr>
            </w:pPr>
            <w:r>
              <w:rPr>
                <w:rFonts w:hint="eastAsia" w:ascii="宋体" w:hAnsi="宋体" w:cs="宋体"/>
                <w:color w:val="000000"/>
                <w:szCs w:val="21"/>
              </w:rPr>
              <w:t>符合第二章“供应商须知”第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000000"/>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000000"/>
                <w:szCs w:val="21"/>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000000"/>
                <w:szCs w:val="21"/>
              </w:rPr>
            </w:pPr>
            <w:r>
              <w:rPr>
                <w:rFonts w:hint="eastAsia" w:ascii="宋体" w:hAnsi="宋体" w:cs="宋体"/>
                <w:color w:val="000000"/>
                <w:szCs w:val="21"/>
              </w:rPr>
              <w:t>权利义务</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000000"/>
                <w:szCs w:val="21"/>
              </w:rPr>
            </w:pPr>
            <w:r>
              <w:rPr>
                <w:rFonts w:hint="eastAsia" w:ascii="宋体" w:hAnsi="宋体" w:cs="宋体"/>
                <w:color w:val="000000"/>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000000"/>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000000"/>
                <w:szCs w:val="21"/>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000000"/>
                <w:szCs w:val="21"/>
              </w:rPr>
            </w:pPr>
            <w:r>
              <w:rPr>
                <w:rFonts w:hint="eastAsia" w:ascii="宋体" w:hAnsi="宋体" w:cs="宋体"/>
                <w:color w:val="000000"/>
                <w:szCs w:val="21"/>
              </w:rPr>
              <w:t>技术标准和要求</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000000"/>
                <w:szCs w:val="21"/>
              </w:rPr>
            </w:pPr>
            <w:r>
              <w:rPr>
                <w:rFonts w:hint="eastAsia" w:ascii="宋体" w:hAnsi="宋体" w:cs="宋体"/>
                <w:color w:val="000000"/>
                <w:szCs w:val="21"/>
              </w:rPr>
              <w:t>符合第五章“采购需求及参数”规定，若不符合第五章技术标准和要求规定，将不再进行评审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000000"/>
                <w:szCs w:val="21"/>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cs="宋体"/>
                <w:color w:val="000000"/>
                <w:szCs w:val="21"/>
              </w:rPr>
            </w:pPr>
          </w:p>
        </w:tc>
        <w:tc>
          <w:tcPr>
            <w:tcW w:w="20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投标文件的其他响应</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000000"/>
                <w:szCs w:val="21"/>
              </w:rPr>
            </w:pPr>
            <w:r>
              <w:rPr>
                <w:rFonts w:hint="eastAsia" w:ascii="宋体" w:hAnsi="宋体" w:cs="宋体"/>
                <w:color w:val="000000"/>
                <w:szCs w:val="21"/>
              </w:rPr>
              <w:t>符合法律、法规和招标文件中规定的其他实质性要求的</w:t>
            </w:r>
          </w:p>
        </w:tc>
      </w:tr>
    </w:tbl>
    <w:p>
      <w:pPr>
        <w:pStyle w:val="24"/>
        <w:spacing w:line="540" w:lineRule="exact"/>
        <w:outlineLvl w:val="2"/>
        <w:rPr>
          <w:rFonts w:asciiTheme="minorEastAsia" w:hAnsiTheme="minorEastAsia" w:eastAsiaTheme="minorEastAsia" w:cstheme="minorEastAsia"/>
          <w:b/>
          <w:bCs/>
          <w:sz w:val="28"/>
          <w:szCs w:val="28"/>
        </w:rPr>
      </w:pPr>
    </w:p>
    <w:bookmarkEnd w:id="216"/>
    <w:bookmarkEnd w:id="218"/>
    <w:bookmarkEnd w:id="219"/>
    <w:bookmarkEnd w:id="220"/>
    <w:bookmarkEnd w:id="221"/>
    <w:p>
      <w:pPr>
        <w:pStyle w:val="16"/>
        <w:ind w:firstLine="0" w:firstLineChars="0"/>
        <w:rPr>
          <w:rFonts w:asciiTheme="minorEastAsia" w:hAnsiTheme="minorEastAsia" w:eastAsiaTheme="minorEastAsia" w:cstheme="minorEastAsia"/>
          <w:b/>
          <w:bCs/>
          <w:sz w:val="28"/>
          <w:szCs w:val="28"/>
        </w:rPr>
      </w:pPr>
      <w:bookmarkStart w:id="222" w:name="_Toc426369531"/>
      <w:bookmarkStart w:id="223" w:name="_Toc31084"/>
      <w:bookmarkStart w:id="224" w:name="_Toc403122541"/>
    </w:p>
    <w:p>
      <w:pPr>
        <w:spacing w:line="360" w:lineRule="auto"/>
        <w:ind w:firstLine="562" w:firstLineChars="20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评标办法</w:t>
      </w:r>
    </w:p>
    <w:tbl>
      <w:tblPr>
        <w:tblStyle w:val="17"/>
        <w:tblpPr w:leftFromText="180" w:rightFromText="180" w:vertAnchor="text" w:horzAnchor="page" w:tblpX="1517" w:tblpY="111"/>
        <w:tblOverlap w:val="never"/>
        <w:tblW w:w="0" w:type="auto"/>
        <w:tblInd w:w="-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63"/>
        <w:gridCol w:w="496"/>
        <w:gridCol w:w="777"/>
        <w:gridCol w:w="994"/>
        <w:gridCol w:w="616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3" w:hRule="atLeast"/>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pStyle w:val="32"/>
              <w:pageBreakBefore w:val="0"/>
              <w:kinsoku/>
              <w:wordWrap/>
              <w:overflowPunct/>
              <w:topLinePunct w:val="0"/>
              <w:bidi w:val="0"/>
              <w:spacing w:line="56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序号</w:t>
            </w:r>
          </w:p>
        </w:tc>
        <w:tc>
          <w:tcPr>
            <w:tcW w:w="496" w:type="dxa"/>
            <w:tcBorders>
              <w:top w:val="single" w:color="000000" w:sz="4" w:space="0"/>
              <w:left w:val="single" w:color="000000" w:sz="4" w:space="0"/>
              <w:bottom w:val="single" w:color="000000" w:sz="4" w:space="0"/>
              <w:right w:val="single" w:color="auto" w:sz="4" w:space="0"/>
            </w:tcBorders>
            <w:noWrap w:val="0"/>
            <w:vAlign w:val="center"/>
          </w:tcPr>
          <w:p>
            <w:pPr>
              <w:pStyle w:val="32"/>
              <w:pageBreakBefore w:val="0"/>
              <w:kinsoku/>
              <w:wordWrap/>
              <w:overflowPunct/>
              <w:topLinePunct w:val="0"/>
              <w:bidi w:val="0"/>
              <w:spacing w:line="56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内容</w:t>
            </w:r>
          </w:p>
        </w:tc>
        <w:tc>
          <w:tcPr>
            <w:tcW w:w="777" w:type="dxa"/>
            <w:tcBorders>
              <w:top w:val="single" w:color="000000" w:sz="4" w:space="0"/>
              <w:left w:val="single" w:color="000000" w:sz="4" w:space="0"/>
              <w:bottom w:val="single" w:color="000000" w:sz="4" w:space="0"/>
              <w:right w:val="single" w:color="auto" w:sz="4" w:space="0"/>
            </w:tcBorders>
            <w:noWrap w:val="0"/>
            <w:vAlign w:val="center"/>
          </w:tcPr>
          <w:p>
            <w:pPr>
              <w:pStyle w:val="32"/>
              <w:pageBreakBefore w:val="0"/>
              <w:kinsoku/>
              <w:wordWrap/>
              <w:overflowPunct/>
              <w:topLinePunct w:val="0"/>
              <w:bidi w:val="0"/>
              <w:spacing w:line="56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评标因素</w:t>
            </w:r>
          </w:p>
        </w:tc>
        <w:tc>
          <w:tcPr>
            <w:tcW w:w="994" w:type="dxa"/>
            <w:tcBorders>
              <w:top w:val="single" w:color="000000" w:sz="4" w:space="0"/>
              <w:left w:val="single" w:color="auto" w:sz="4" w:space="0"/>
              <w:bottom w:val="single" w:color="000000" w:sz="4" w:space="0"/>
              <w:right w:val="single" w:color="000000" w:sz="4" w:space="0"/>
            </w:tcBorders>
            <w:noWrap w:val="0"/>
            <w:vAlign w:val="center"/>
          </w:tcPr>
          <w:p>
            <w:pPr>
              <w:pStyle w:val="32"/>
              <w:pageBreakBefore w:val="0"/>
              <w:kinsoku/>
              <w:wordWrap/>
              <w:overflowPunct/>
              <w:topLinePunct w:val="0"/>
              <w:bidi w:val="0"/>
              <w:spacing w:line="56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分值</w:t>
            </w:r>
          </w:p>
        </w:tc>
        <w:tc>
          <w:tcPr>
            <w:tcW w:w="6168" w:type="dxa"/>
            <w:tcBorders>
              <w:top w:val="single" w:color="000000" w:sz="4" w:space="0"/>
              <w:left w:val="single" w:color="000000" w:sz="4" w:space="0"/>
              <w:bottom w:val="single" w:color="000000" w:sz="4" w:space="0"/>
              <w:right w:val="single" w:color="000000" w:sz="4" w:space="0"/>
            </w:tcBorders>
            <w:noWrap w:val="0"/>
            <w:vAlign w:val="center"/>
          </w:tcPr>
          <w:p>
            <w:pPr>
              <w:pStyle w:val="32"/>
              <w:pageBreakBefore w:val="0"/>
              <w:kinsoku/>
              <w:wordWrap/>
              <w:overflowPunct/>
              <w:topLinePunct w:val="0"/>
              <w:bidi w:val="0"/>
              <w:spacing w:line="56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评分标准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5" w:hRule="atLeast"/>
        </w:trPr>
        <w:tc>
          <w:tcPr>
            <w:tcW w:w="963" w:type="dxa"/>
            <w:tcBorders>
              <w:top w:val="single" w:color="000000" w:sz="4" w:space="0"/>
              <w:left w:val="single" w:color="000000" w:sz="4" w:space="0"/>
              <w:bottom w:val="single" w:color="000000" w:sz="4" w:space="0"/>
              <w:right w:val="single" w:color="auto" w:sz="4" w:space="0"/>
            </w:tcBorders>
            <w:noWrap w:val="0"/>
            <w:vAlign w:val="center"/>
          </w:tcPr>
          <w:p>
            <w:pPr>
              <w:pageBreakBefore w:val="0"/>
              <w:kinsoku/>
              <w:wordWrap/>
              <w:overflowPunct/>
              <w:topLinePunct w:val="0"/>
              <w:bidi w:val="0"/>
              <w:spacing w:line="560" w:lineRule="exact"/>
              <w:jc w:val="center"/>
              <w:rPr>
                <w:rFonts w:hint="eastAsia" w:ascii="宋体" w:hAnsi="宋体" w:cs="宋体"/>
                <w:color w:val="000000" w:themeColor="text1"/>
                <w:spacing w:val="-3"/>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496" w:type="dxa"/>
            <w:tcBorders>
              <w:top w:val="single" w:color="000000" w:sz="4" w:space="0"/>
              <w:left w:val="single" w:color="auto" w:sz="4" w:space="0"/>
              <w:bottom w:val="single" w:color="000000" w:sz="4" w:space="0"/>
              <w:right w:val="single" w:color="auto" w:sz="4" w:space="0"/>
            </w:tcBorders>
            <w:noWrap w:val="0"/>
            <w:vAlign w:val="center"/>
          </w:tcPr>
          <w:p>
            <w:pPr>
              <w:pageBreakBefore w:val="0"/>
              <w:kinsoku/>
              <w:wordWrap/>
              <w:overflowPunct/>
              <w:topLinePunct w:val="0"/>
              <w:bidi w:val="0"/>
              <w:spacing w:line="560" w:lineRule="exact"/>
              <w:jc w:val="center"/>
              <w:rPr>
                <w:rFonts w:hint="eastAsia" w:ascii="宋体" w:hAnsi="宋体" w:cs="宋体"/>
                <w:color w:val="000000" w:themeColor="text1"/>
                <w:spacing w:val="-3"/>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报价部分（45分）</w:t>
            </w:r>
          </w:p>
        </w:tc>
        <w:tc>
          <w:tcPr>
            <w:tcW w:w="777" w:type="dxa"/>
            <w:tcBorders>
              <w:top w:val="single" w:color="000000" w:sz="4" w:space="0"/>
              <w:left w:val="single" w:color="auto" w:sz="4" w:space="0"/>
              <w:bottom w:val="single" w:color="000000" w:sz="4" w:space="0"/>
              <w:right w:val="single" w:color="auto" w:sz="4" w:space="0"/>
            </w:tcBorders>
            <w:noWrap w:val="0"/>
            <w:vAlign w:val="center"/>
          </w:tcPr>
          <w:p>
            <w:pPr>
              <w:pageBreakBefore w:val="0"/>
              <w:kinsoku/>
              <w:wordWrap/>
              <w:overflowPunct/>
              <w:topLinePunct w:val="0"/>
              <w:bidi w:val="0"/>
              <w:spacing w:line="5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w:t>
            </w:r>
          </w:p>
        </w:tc>
        <w:tc>
          <w:tcPr>
            <w:tcW w:w="994" w:type="dxa"/>
            <w:tcBorders>
              <w:top w:val="single" w:color="000000" w:sz="4" w:space="0"/>
              <w:left w:val="single" w:color="auto"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45分</w:t>
            </w:r>
          </w:p>
        </w:tc>
        <w:tc>
          <w:tcPr>
            <w:tcW w:w="616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投标报价分采用低价优先法计算，即满足招标文件要求且投标报价</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最低的为评审基准价，其价格分为满分（即45分）。其他投标人</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的价格分统一按照下列公式计算：</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报价得分=(评标基准价／投标报价)×价格权值（45分）。</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注：以上计算过程中按四舍五入保留两位小数。</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1.评标委员会认为投标人的报价明显低于其他通过符合性审查投标</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人的报价，有可能影响产品质量或者不能诚信履约的，应当要求其在评标现场合理的时间内提供书面说明，必要时提交相关证明材料；投标人不能证明其报价合理性的，评标委员会应当将其作为无效投标处理。</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2对小型或微型企业投标的扶持：（如有）</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2.1投标供应商为小型或微型企业时，报价给予C1的价格扣除（C1的取值为6%），即：评标价＝投标报价（最后报价）×(1－C1）；</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小微企业应当列明本项目中所投的“小型和微型企业产品的清单”并提供《中小企业声明函》（见格式）。</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2.2按照《政府采购促进中小企业发展管理办法》有关规定，中小企业的标准为：</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2.2.1提供本企业制造的货物、承担的工程或者服务，或者提供其他中小企业制造的货物，不包括提供或使用大型企业注册商标的货物；</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2.2.2本规定所称中小企业划分标准，是指国务院有关部门根据企业从业人员、营业收入、资产总额等指标制定的中小企业划型标准（工信部联企业[2011]300号）；</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2.2.3小型、微型企业提供有中型企业制造的货物的，视同为中型企业；小型、微型、中型企业提供有大型企业制造的货物的，视同为大型企业。</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6%的扣除。</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同一投标人，小微企业、监狱、残疾人福利性企业同一产品价格扣除优惠只享受一次，不得重复享受。</w:t>
            </w:r>
          </w:p>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4、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0" w:hRule="atLeast"/>
        </w:trPr>
        <w:tc>
          <w:tcPr>
            <w:tcW w:w="963" w:type="dxa"/>
            <w:tcBorders>
              <w:top w:val="single" w:color="000000" w:sz="4" w:space="0"/>
              <w:left w:val="single" w:color="000000" w:sz="4" w:space="0"/>
              <w:right w:val="single" w:color="auto" w:sz="4" w:space="0"/>
            </w:tcBorders>
            <w:noWrap w:val="0"/>
            <w:vAlign w:val="center"/>
          </w:tcPr>
          <w:p>
            <w:pPr>
              <w:pageBreakBefore w:val="0"/>
              <w:kinsoku/>
              <w:wordWrap/>
              <w:overflowPunct/>
              <w:topLinePunct w:val="0"/>
              <w:bidi w:val="0"/>
              <w:spacing w:line="5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496" w:type="dxa"/>
            <w:tcBorders>
              <w:top w:val="single" w:color="000000" w:sz="4" w:space="0"/>
              <w:left w:val="single" w:color="auto" w:sz="4" w:space="0"/>
              <w:right w:val="single" w:color="auto" w:sz="4" w:space="0"/>
            </w:tcBorders>
            <w:noWrap w:val="0"/>
            <w:vAlign w:val="center"/>
          </w:tcPr>
          <w:p>
            <w:pPr>
              <w:pageBreakBefore w:val="0"/>
              <w:kinsoku/>
              <w:wordWrap/>
              <w:overflowPunct/>
              <w:topLinePunct w:val="0"/>
              <w:bidi w:val="0"/>
              <w:spacing w:line="560" w:lineRule="exac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技术部分（30分）</w:t>
            </w:r>
          </w:p>
        </w:tc>
        <w:tc>
          <w:tcPr>
            <w:tcW w:w="777" w:type="dxa"/>
            <w:tcBorders>
              <w:top w:val="single" w:color="000000" w:sz="4" w:space="0"/>
              <w:left w:val="single" w:color="auto" w:sz="4" w:space="0"/>
              <w:right w:val="single" w:color="auto" w:sz="4" w:space="0"/>
            </w:tcBorders>
            <w:noWrap w:val="0"/>
            <w:vAlign w:val="center"/>
          </w:tcPr>
          <w:p>
            <w:pPr>
              <w:pageBreakBefore w:val="0"/>
              <w:kinsoku/>
              <w:wordWrap/>
              <w:overflowPunct/>
              <w:topLinePunct w:val="0"/>
              <w:bidi w:val="0"/>
              <w:spacing w:line="560" w:lineRule="exact"/>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技术</w:t>
            </w:r>
          </w:p>
          <w:p>
            <w:pPr>
              <w:pageBreakBefore w:val="0"/>
              <w:kinsoku/>
              <w:wordWrap/>
              <w:overflowPunct/>
              <w:topLinePunct w:val="0"/>
              <w:bidi w:val="0"/>
              <w:spacing w:line="560" w:lineRule="exact"/>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参数</w:t>
            </w:r>
          </w:p>
          <w:p>
            <w:pPr>
              <w:pageBreakBefore w:val="0"/>
              <w:kinsoku/>
              <w:wordWrap/>
              <w:overflowPunct/>
              <w:topLinePunct w:val="0"/>
              <w:bidi w:val="0"/>
              <w:spacing w:line="560" w:lineRule="exact"/>
              <w:jc w:val="center"/>
              <w:rPr>
                <w:rFonts w:hint="eastAsia" w:ascii="Times New Roman" w:hAnsi="Times New Roman" w:eastAsia="宋体" w:cs="Times New Roman"/>
                <w:color w:val="000000" w:themeColor="text1"/>
                <w14:textFill>
                  <w14:solidFill>
                    <w14:schemeClr w14:val="tx1"/>
                  </w14:solidFill>
                </w14:textFill>
              </w:rPr>
            </w:pPr>
          </w:p>
        </w:tc>
        <w:tc>
          <w:tcPr>
            <w:tcW w:w="994" w:type="dxa"/>
            <w:tcBorders>
              <w:top w:val="single" w:color="000000" w:sz="4" w:space="0"/>
              <w:left w:val="single" w:color="auto"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30分</w:t>
            </w:r>
          </w:p>
        </w:tc>
        <w:tc>
          <w:tcPr>
            <w:tcW w:w="6168" w:type="dxa"/>
            <w:tcBorders>
              <w:top w:val="single" w:color="000000" w:sz="4" w:space="0"/>
              <w:left w:val="single" w:color="000000" w:sz="4" w:space="0"/>
              <w:right w:val="single" w:color="000000" w:sz="4" w:space="0"/>
            </w:tcBorders>
            <w:noWrap w:val="0"/>
            <w:vAlign w:val="center"/>
          </w:tcPr>
          <w:p>
            <w:pPr>
              <w:pageBreakBefore w:val="0"/>
              <w:kinsoku/>
              <w:wordWrap/>
              <w:overflowPunct/>
              <w:topLinePunct w:val="0"/>
              <w:bidi w:val="0"/>
              <w:spacing w:line="560" w:lineRule="exac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投标技术参数完全满足招标文件技术参数要求或优于招标文件中技术参数要求的，得满分30分。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21" w:hRule="atLeast"/>
        </w:trPr>
        <w:tc>
          <w:tcPr>
            <w:tcW w:w="963" w:type="dxa"/>
            <w:vMerge w:val="restart"/>
            <w:tcBorders>
              <w:top w:val="single" w:color="000000" w:sz="4" w:space="0"/>
              <w:left w:val="single" w:color="000000" w:sz="4" w:space="0"/>
              <w:right w:val="single" w:color="auto" w:sz="4" w:space="0"/>
            </w:tcBorders>
            <w:noWrap w:val="0"/>
            <w:vAlign w:val="center"/>
          </w:tcPr>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496" w:type="dxa"/>
            <w:vMerge w:val="restart"/>
            <w:tcBorders>
              <w:top w:val="single" w:color="000000" w:sz="4" w:space="0"/>
              <w:left w:val="single" w:color="auto" w:sz="4" w:space="0"/>
              <w:right w:val="single" w:color="auto" w:sz="4" w:space="0"/>
            </w:tcBorders>
            <w:noWrap w:val="0"/>
            <w:vAlign w:val="center"/>
          </w:tcPr>
          <w:p>
            <w:pPr>
              <w:pageBreakBefore w:val="0"/>
              <w:kinsoku/>
              <w:wordWrap/>
              <w:overflowPunct/>
              <w:topLinePunct w:val="0"/>
              <w:bidi w:val="0"/>
              <w:spacing w:line="560" w:lineRule="exac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商务部分（25分）</w:t>
            </w:r>
          </w:p>
        </w:tc>
        <w:tc>
          <w:tcPr>
            <w:tcW w:w="777" w:type="dxa"/>
            <w:tcBorders>
              <w:top w:val="single" w:color="000000" w:sz="4" w:space="0"/>
              <w:left w:val="single" w:color="auto" w:sz="4" w:space="0"/>
              <w:right w:val="single" w:color="auto" w:sz="4" w:space="0"/>
            </w:tcBorders>
            <w:noWrap w:val="0"/>
            <w:vAlign w:val="center"/>
          </w:tcPr>
          <w:p>
            <w:pPr>
              <w:pageBreakBefore w:val="0"/>
              <w:kinsoku/>
              <w:wordWrap/>
              <w:overflowPunct/>
              <w:topLinePunct w:val="0"/>
              <w:bidi w:val="0"/>
              <w:spacing w:line="560" w:lineRule="exact"/>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业绩</w:t>
            </w:r>
          </w:p>
          <w:p>
            <w:pPr>
              <w:pageBreakBefore w:val="0"/>
              <w:kinsoku/>
              <w:wordWrap/>
              <w:overflowPunct/>
              <w:topLinePunct w:val="0"/>
              <w:bidi w:val="0"/>
              <w:spacing w:line="560" w:lineRule="exact"/>
              <w:jc w:val="center"/>
              <w:rPr>
                <w:rFonts w:hint="eastAsia" w:ascii="Times New Roman" w:hAnsi="Times New Roman" w:eastAsia="宋体" w:cs="Times New Roman"/>
                <w:color w:val="000000" w:themeColor="text1"/>
                <w14:textFill>
                  <w14:solidFill>
                    <w14:schemeClr w14:val="tx1"/>
                  </w14:solidFill>
                </w14:textFill>
              </w:rPr>
            </w:pPr>
          </w:p>
        </w:tc>
        <w:tc>
          <w:tcPr>
            <w:tcW w:w="994" w:type="dxa"/>
            <w:tcBorders>
              <w:top w:val="single" w:color="000000" w:sz="4" w:space="0"/>
              <w:left w:val="single" w:color="auto" w:sz="4" w:space="0"/>
              <w:bottom w:val="single" w:color="auto"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8分</w:t>
            </w:r>
          </w:p>
        </w:tc>
        <w:tc>
          <w:tcPr>
            <w:tcW w:w="6168" w:type="dxa"/>
            <w:tcBorders>
              <w:top w:val="single" w:color="000000"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bidi w:val="0"/>
              <w:spacing w:line="560" w:lineRule="exac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投标人2018年1月1日以来具有类似业绩的，每有一项得2分，最多得8分。（提供合同原件或中标通知书原件及网站截图）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39" w:hRule="atLeast"/>
        </w:trPr>
        <w:tc>
          <w:tcPr>
            <w:tcW w:w="963" w:type="dxa"/>
            <w:vMerge w:val="continue"/>
            <w:tcBorders>
              <w:left w:val="single" w:color="000000" w:sz="4" w:space="0"/>
              <w:right w:val="single" w:color="auto" w:sz="4" w:space="0"/>
            </w:tcBorders>
            <w:noWrap w:val="0"/>
            <w:vAlign w:val="center"/>
          </w:tcPr>
          <w:p>
            <w:pPr>
              <w:pageBreakBefore w:val="0"/>
              <w:kinsoku/>
              <w:wordWrap/>
              <w:overflowPunct/>
              <w:topLinePunct w:val="0"/>
              <w:bidi w:val="0"/>
              <w:spacing w:line="560" w:lineRule="exact"/>
              <w:rPr>
                <w:rFonts w:hint="eastAsia"/>
                <w:color w:val="000000" w:themeColor="text1"/>
                <w14:textFill>
                  <w14:solidFill>
                    <w14:schemeClr w14:val="tx1"/>
                  </w14:solidFill>
                </w14:textFill>
              </w:rPr>
            </w:pPr>
          </w:p>
        </w:tc>
        <w:tc>
          <w:tcPr>
            <w:tcW w:w="496" w:type="dxa"/>
            <w:vMerge w:val="continue"/>
            <w:tcBorders>
              <w:left w:val="single" w:color="auto" w:sz="4" w:space="0"/>
              <w:right w:val="single" w:color="auto" w:sz="4" w:space="0"/>
            </w:tcBorders>
            <w:noWrap w:val="0"/>
            <w:vAlign w:val="center"/>
          </w:tcPr>
          <w:p>
            <w:pPr>
              <w:pageBreakBefore w:val="0"/>
              <w:kinsoku/>
              <w:wordWrap/>
              <w:overflowPunct/>
              <w:topLinePunct w:val="0"/>
              <w:bidi w:val="0"/>
              <w:spacing w:line="560" w:lineRule="exact"/>
              <w:rPr>
                <w:rFonts w:hint="eastAsia" w:ascii="Times New Roman" w:hAnsi="Times New Roman" w:eastAsia="宋体" w:cs="Times New Roman"/>
                <w:color w:val="000000" w:themeColor="text1"/>
                <w14:textFill>
                  <w14:solidFill>
                    <w14:schemeClr w14:val="tx1"/>
                  </w14:solidFill>
                </w14:textFill>
              </w:rPr>
            </w:pPr>
          </w:p>
        </w:tc>
        <w:tc>
          <w:tcPr>
            <w:tcW w:w="777" w:type="dxa"/>
            <w:tcBorders>
              <w:left w:val="single" w:color="auto" w:sz="4" w:space="0"/>
              <w:right w:val="single" w:color="auto" w:sz="4" w:space="0"/>
            </w:tcBorders>
            <w:noWrap w:val="0"/>
            <w:vAlign w:val="center"/>
          </w:tcPr>
          <w:p>
            <w:pPr>
              <w:pageBreakBefore w:val="0"/>
              <w:kinsoku/>
              <w:wordWrap/>
              <w:overflowPunct/>
              <w:topLinePunct w:val="0"/>
              <w:bidi w:val="0"/>
              <w:spacing w:line="560" w:lineRule="exact"/>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信用等级</w:t>
            </w:r>
          </w:p>
          <w:p>
            <w:pPr>
              <w:pageBreakBefore w:val="0"/>
              <w:kinsoku/>
              <w:wordWrap/>
              <w:overflowPunct/>
              <w:topLinePunct w:val="0"/>
              <w:bidi w:val="0"/>
              <w:spacing w:line="560" w:lineRule="exact"/>
              <w:jc w:val="center"/>
              <w:rPr>
                <w:rFonts w:hint="eastAsia" w:ascii="Times New Roman" w:hAnsi="Times New Roman" w:eastAsia="宋体" w:cs="Times New Roman"/>
                <w:color w:val="000000" w:themeColor="text1"/>
                <w14:textFill>
                  <w14:solidFill>
                    <w14:schemeClr w14:val="tx1"/>
                  </w14:solidFill>
                </w14:textFill>
              </w:rPr>
            </w:pPr>
          </w:p>
        </w:tc>
        <w:tc>
          <w:tcPr>
            <w:tcW w:w="994" w:type="dxa"/>
            <w:tcBorders>
              <w:top w:val="single" w:color="auto" w:sz="4" w:space="0"/>
              <w:left w:val="single" w:color="auto" w:sz="4" w:space="0"/>
              <w:bottom w:val="single" w:color="auto"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2分</w:t>
            </w:r>
          </w:p>
        </w:tc>
        <w:tc>
          <w:tcPr>
            <w:tcW w:w="6168"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bidi w:val="0"/>
              <w:spacing w:line="560" w:lineRule="exac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投标</w:t>
            </w:r>
            <w:r>
              <w:rPr>
                <w:rFonts w:hint="eastAsia" w:ascii="Times New Roman" w:hAnsi="Times New Roman" w:eastAsia="宋体" w:cs="Times New Roman"/>
                <w:color w:val="000000" w:themeColor="text1"/>
                <w:highlight w:val="none"/>
                <w14:textFill>
                  <w14:solidFill>
                    <w14:schemeClr w14:val="tx1"/>
                  </w14:solidFill>
                </w14:textFill>
              </w:rPr>
              <w:t>人信用等级为 AAA 级得 2分</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 xml:space="preserve"> 信用等级为AA级得1分。提供</w:t>
            </w:r>
            <w:r>
              <w:rPr>
                <w:rFonts w:hint="eastAsia" w:ascii="Times New Roman" w:hAnsi="Times New Roman" w:eastAsia="宋体" w:cs="Times New Roman"/>
                <w:color w:val="000000" w:themeColor="text1"/>
                <w:highlight w:val="none"/>
                <w:lang w:eastAsia="zh-CN"/>
                <w14:textFill>
                  <w14:solidFill>
                    <w14:schemeClr w14:val="tx1"/>
                  </w14:solidFill>
                </w14:textFill>
              </w:rPr>
              <w:t>信用</w:t>
            </w:r>
            <w:r>
              <w:rPr>
                <w:rFonts w:hint="eastAsia" w:ascii="Times New Roman" w:hAnsi="Times New Roman" w:eastAsia="宋体" w:cs="Times New Roman"/>
                <w:color w:val="000000" w:themeColor="text1"/>
                <w:highlight w:val="none"/>
                <w14:textFill>
                  <w14:solidFill>
                    <w14:schemeClr w14:val="tx1"/>
                  </w14:solidFill>
                </w14:textFill>
              </w:rPr>
              <w:t>等级证书，</w:t>
            </w:r>
            <w:r>
              <w:rPr>
                <w:rFonts w:hint="eastAsia" w:ascii="Times New Roman" w:hAnsi="Times New Roman" w:eastAsia="宋体" w:cs="Times New Roman"/>
                <w:color w:val="000000" w:themeColor="text1"/>
                <w:highlight w:val="none"/>
                <w:lang w:eastAsia="zh-CN"/>
                <w14:textFill>
                  <w14:solidFill>
                    <w14:schemeClr w14:val="tx1"/>
                  </w14:solidFill>
                </w14:textFill>
              </w:rPr>
              <w:t>不提</w:t>
            </w:r>
            <w:r>
              <w:rPr>
                <w:rFonts w:hint="eastAsia" w:ascii="Times New Roman" w:hAnsi="Times New Roman" w:eastAsia="宋体" w:cs="Times New Roman"/>
                <w:color w:val="000000" w:themeColor="text1"/>
                <w:lang w:eastAsia="zh-CN"/>
                <w14:textFill>
                  <w14:solidFill>
                    <w14:schemeClr w14:val="tx1"/>
                  </w14:solidFill>
                </w14:textFill>
              </w:rPr>
              <w:t>供不得分</w:t>
            </w:r>
            <w:r>
              <w:rPr>
                <w:rFonts w:hint="eastAsia" w:ascii="Times New Roman" w:hAnsi="Times New Roman" w:eastAsia="宋体" w:cs="Times New Roman"/>
                <w:color w:val="000000" w:themeColor="text1"/>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3" w:hRule="atLeast"/>
        </w:trPr>
        <w:tc>
          <w:tcPr>
            <w:tcW w:w="963" w:type="dxa"/>
            <w:vMerge w:val="continue"/>
            <w:tcBorders>
              <w:left w:val="single" w:color="000000" w:sz="4" w:space="0"/>
              <w:right w:val="single" w:color="auto" w:sz="4" w:space="0"/>
            </w:tcBorders>
            <w:noWrap w:val="0"/>
            <w:vAlign w:val="center"/>
          </w:tcPr>
          <w:p>
            <w:pPr>
              <w:pageBreakBefore w:val="0"/>
              <w:kinsoku/>
              <w:wordWrap/>
              <w:overflowPunct/>
              <w:topLinePunct w:val="0"/>
              <w:bidi w:val="0"/>
              <w:spacing w:line="560" w:lineRule="exact"/>
              <w:rPr>
                <w:rFonts w:hint="eastAsia"/>
                <w:color w:val="000000" w:themeColor="text1"/>
                <w14:textFill>
                  <w14:solidFill>
                    <w14:schemeClr w14:val="tx1"/>
                  </w14:solidFill>
                </w14:textFill>
              </w:rPr>
            </w:pPr>
          </w:p>
        </w:tc>
        <w:tc>
          <w:tcPr>
            <w:tcW w:w="496" w:type="dxa"/>
            <w:vMerge w:val="continue"/>
            <w:tcBorders>
              <w:left w:val="single" w:color="auto" w:sz="4" w:space="0"/>
              <w:right w:val="single" w:color="auto" w:sz="4" w:space="0"/>
            </w:tcBorders>
            <w:noWrap w:val="0"/>
            <w:vAlign w:val="center"/>
          </w:tcPr>
          <w:p>
            <w:pPr>
              <w:pageBreakBefore w:val="0"/>
              <w:kinsoku/>
              <w:wordWrap/>
              <w:overflowPunct/>
              <w:topLinePunct w:val="0"/>
              <w:bidi w:val="0"/>
              <w:spacing w:line="560" w:lineRule="exact"/>
              <w:rPr>
                <w:rFonts w:hint="eastAsia" w:ascii="Times New Roman" w:hAnsi="Times New Roman" w:eastAsia="宋体" w:cs="Times New Roman"/>
                <w:color w:val="000000" w:themeColor="text1"/>
                <w14:textFill>
                  <w14:solidFill>
                    <w14:schemeClr w14:val="tx1"/>
                  </w14:solidFill>
                </w14:textFill>
              </w:rPr>
            </w:pPr>
          </w:p>
        </w:tc>
        <w:tc>
          <w:tcPr>
            <w:tcW w:w="777" w:type="dxa"/>
            <w:tcBorders>
              <w:left w:val="single" w:color="auto" w:sz="4" w:space="0"/>
              <w:right w:val="single" w:color="auto" w:sz="4" w:space="0"/>
            </w:tcBorders>
            <w:noWrap w:val="0"/>
            <w:vAlign w:val="center"/>
          </w:tcPr>
          <w:p>
            <w:pPr>
              <w:pageBreakBefore w:val="0"/>
              <w:kinsoku/>
              <w:wordWrap/>
              <w:overflowPunct/>
              <w:topLinePunct w:val="0"/>
              <w:bidi w:val="0"/>
              <w:spacing w:line="560" w:lineRule="exact"/>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认证证书</w:t>
            </w:r>
          </w:p>
        </w:tc>
        <w:tc>
          <w:tcPr>
            <w:tcW w:w="994" w:type="dxa"/>
            <w:tcBorders>
              <w:top w:val="single" w:color="auto" w:sz="4" w:space="0"/>
              <w:left w:val="single" w:color="auto" w:sz="4" w:space="0"/>
              <w:bottom w:val="single" w:color="auto"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3分</w:t>
            </w:r>
          </w:p>
        </w:tc>
        <w:tc>
          <w:tcPr>
            <w:tcW w:w="6168"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bidi w:val="0"/>
              <w:spacing w:line="560" w:lineRule="exac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制造厂商具有ISO9001 质量管理体系认证、职业健康安全管理体系认证、环境管理体系认证（提供证书复印件并加盖公章），每提供一项得1分，最高得3分，不提供不得分。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3" w:hRule="atLeast"/>
        </w:trPr>
        <w:tc>
          <w:tcPr>
            <w:tcW w:w="963" w:type="dxa"/>
            <w:vMerge w:val="continue"/>
            <w:tcBorders>
              <w:left w:val="single" w:color="000000" w:sz="4" w:space="0"/>
              <w:right w:val="single" w:color="auto" w:sz="4" w:space="0"/>
            </w:tcBorders>
            <w:noWrap w:val="0"/>
            <w:vAlign w:val="center"/>
          </w:tcPr>
          <w:p>
            <w:pPr>
              <w:pageBreakBefore w:val="0"/>
              <w:kinsoku/>
              <w:wordWrap/>
              <w:overflowPunct/>
              <w:topLinePunct w:val="0"/>
              <w:bidi w:val="0"/>
              <w:spacing w:line="560" w:lineRule="exact"/>
              <w:rPr>
                <w:rFonts w:hint="eastAsia"/>
                <w:color w:val="000000" w:themeColor="text1"/>
                <w14:textFill>
                  <w14:solidFill>
                    <w14:schemeClr w14:val="tx1"/>
                  </w14:solidFill>
                </w14:textFill>
              </w:rPr>
            </w:pPr>
          </w:p>
        </w:tc>
        <w:tc>
          <w:tcPr>
            <w:tcW w:w="496" w:type="dxa"/>
            <w:vMerge w:val="continue"/>
            <w:tcBorders>
              <w:left w:val="single" w:color="auto" w:sz="4" w:space="0"/>
              <w:right w:val="single" w:color="auto" w:sz="4" w:space="0"/>
            </w:tcBorders>
            <w:noWrap w:val="0"/>
            <w:vAlign w:val="center"/>
          </w:tcPr>
          <w:p>
            <w:pPr>
              <w:pageBreakBefore w:val="0"/>
              <w:kinsoku/>
              <w:wordWrap/>
              <w:overflowPunct/>
              <w:topLinePunct w:val="0"/>
              <w:bidi w:val="0"/>
              <w:spacing w:line="560" w:lineRule="exact"/>
              <w:rPr>
                <w:rFonts w:hint="eastAsia" w:ascii="Times New Roman" w:hAnsi="Times New Roman" w:eastAsia="宋体" w:cs="Times New Roman"/>
                <w:color w:val="000000" w:themeColor="text1"/>
                <w14:textFill>
                  <w14:solidFill>
                    <w14:schemeClr w14:val="tx1"/>
                  </w14:solidFill>
                </w14:textFill>
              </w:rPr>
            </w:pPr>
          </w:p>
        </w:tc>
        <w:tc>
          <w:tcPr>
            <w:tcW w:w="777" w:type="dxa"/>
            <w:tcBorders>
              <w:left w:val="single" w:color="auto" w:sz="4" w:space="0"/>
              <w:right w:val="single" w:color="auto" w:sz="4" w:space="0"/>
            </w:tcBorders>
            <w:noWrap w:val="0"/>
            <w:vAlign w:val="center"/>
          </w:tcPr>
          <w:p>
            <w:pPr>
              <w:pageBreakBefore w:val="0"/>
              <w:kinsoku/>
              <w:wordWrap/>
              <w:overflowPunct/>
              <w:topLinePunct w:val="0"/>
              <w:bidi w:val="0"/>
              <w:spacing w:line="560" w:lineRule="exact"/>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安装调试及售后服务</w:t>
            </w:r>
          </w:p>
          <w:p>
            <w:pPr>
              <w:pageBreakBefore w:val="0"/>
              <w:kinsoku/>
              <w:wordWrap/>
              <w:overflowPunct/>
              <w:topLinePunct w:val="0"/>
              <w:bidi w:val="0"/>
              <w:spacing w:line="560" w:lineRule="exact"/>
              <w:jc w:val="center"/>
              <w:rPr>
                <w:rFonts w:hint="eastAsia" w:ascii="Times New Roman" w:hAnsi="Times New Roman" w:eastAsia="宋体" w:cs="Times New Roman"/>
                <w:color w:val="000000" w:themeColor="text1"/>
                <w14:textFill>
                  <w14:solidFill>
                    <w14:schemeClr w14:val="tx1"/>
                  </w14:solidFill>
                </w14:textFill>
              </w:rPr>
            </w:pPr>
          </w:p>
        </w:tc>
        <w:tc>
          <w:tcPr>
            <w:tcW w:w="994" w:type="dxa"/>
            <w:tcBorders>
              <w:top w:val="single" w:color="auto" w:sz="4" w:space="0"/>
              <w:left w:val="single" w:color="auto" w:sz="4" w:space="0"/>
              <w:bottom w:val="single" w:color="auto"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12分</w:t>
            </w:r>
          </w:p>
        </w:tc>
        <w:tc>
          <w:tcPr>
            <w:tcW w:w="6168"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bidi w:val="0"/>
              <w:spacing w:line="560" w:lineRule="exac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1、投标人针对本项目提供详细的安装工作计划及所需设备，售后服务保障计划的科学性合理性等方面进行打分；优者得3分，良好者的2分，一般者得1分，不提供不得分。</w:t>
            </w:r>
          </w:p>
          <w:p>
            <w:pPr>
              <w:pageBreakBefore w:val="0"/>
              <w:kinsoku/>
              <w:wordWrap/>
              <w:overflowPunct/>
              <w:topLinePunct w:val="0"/>
              <w:bidi w:val="0"/>
              <w:spacing w:line="560" w:lineRule="exac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2、提出完整的运行方案、资源配置、安全、质量保证、维护方案、维护标准，优者得3分，良好者的2分，一般者得1分，不提供不得分。</w:t>
            </w:r>
          </w:p>
          <w:p>
            <w:pPr>
              <w:pageBreakBefore w:val="0"/>
              <w:kinsoku/>
              <w:wordWrap/>
              <w:overflowPunct/>
              <w:topLinePunct w:val="0"/>
              <w:bidi w:val="0"/>
              <w:spacing w:line="560" w:lineRule="exac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质保期中标人收到采购人维修请求，承诺保证技术人员2小时内到达现场，12小时内排除故障，若仍不能排除故障24小时内提供备机情况等解决质量问题的服务承诺，优者得3分，良好者得2分，一般者得1分，不提供不得分。</w:t>
            </w:r>
          </w:p>
          <w:p>
            <w:pPr>
              <w:pageBreakBefore w:val="0"/>
              <w:kinsoku/>
              <w:wordWrap/>
              <w:overflowPunct/>
              <w:topLinePunct w:val="0"/>
              <w:bidi w:val="0"/>
              <w:spacing w:line="560" w:lineRule="exact"/>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w:t>
            </w:r>
            <w:r>
              <w:rPr>
                <w:rFonts w:hint="eastAsia" w:ascii="Times New Roman" w:hAnsi="Times New Roman" w:eastAsia="宋体" w:cs="Times New Roman"/>
                <w:color w:val="000000" w:themeColor="text1"/>
                <w:lang w:eastAsia="zh-CN"/>
                <w14:textFill>
                  <w14:solidFill>
                    <w14:schemeClr w14:val="tx1"/>
                  </w14:solidFill>
                </w14:textFill>
              </w:rPr>
              <w:t>技术支持和售后服务</w:t>
            </w:r>
            <w:r>
              <w:rPr>
                <w:rFonts w:hint="eastAsia" w:ascii="Times New Roman" w:hAnsi="Times New Roman" w:eastAsia="宋体" w:cs="Times New Roman"/>
                <w:color w:val="000000" w:themeColor="text1"/>
                <w14:textFill>
                  <w14:solidFill>
                    <w14:schemeClr w14:val="tx1"/>
                  </w14:solidFill>
                </w14:textFill>
              </w:rPr>
              <w:t>，根据投标人描述的完整性、</w:t>
            </w:r>
            <w:r>
              <w:rPr>
                <w:rFonts w:hint="eastAsia" w:ascii="Times New Roman" w:hAnsi="Times New Roman" w:eastAsia="宋体" w:cs="Times New Roman"/>
                <w:color w:val="000000" w:themeColor="text1"/>
                <w:highlight w:val="none"/>
                <w14:textFill>
                  <w14:solidFill>
                    <w14:schemeClr w14:val="tx1"/>
                  </w14:solidFill>
                </w14:textFill>
              </w:rPr>
              <w:t>合理性等方面进行打分；优者得3分，良好者的2分，一般者得1分，不提供不得分。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6" w:hRule="atLeast"/>
        </w:trPr>
        <w:tc>
          <w:tcPr>
            <w:tcW w:w="9398" w:type="dxa"/>
            <w:gridSpan w:val="5"/>
            <w:tcBorders>
              <w:left w:val="single" w:color="000000" w:sz="4" w:space="0"/>
              <w:right w:val="single" w:color="000000" w:sz="4" w:space="0"/>
            </w:tcBorders>
            <w:noWrap w:val="0"/>
            <w:vAlign w:val="center"/>
          </w:tcPr>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color w:val="000000" w:themeColor="text1"/>
                <w14:textFill>
                  <w14:solidFill>
                    <w14:schemeClr w14:val="tx1"/>
                  </w14:solidFill>
                </w14:textFill>
              </w:rPr>
              <w:t>投标人综合得分=投标报价得分+技术部分得分+商务部分得分。</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color w:val="000000" w:themeColor="text1"/>
                <w14:textFill>
                  <w14:solidFill>
                    <w14:schemeClr w14:val="tx1"/>
                  </w14:solidFill>
                </w14:textFill>
              </w:rPr>
              <w:t>投标人最终得分:</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1.评标委员会完成评审后，取全部得分算术平均值，作为该投标人的最终得分。</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color w:val="000000" w:themeColor="text1"/>
                <w14:textFill>
                  <w14:solidFill>
                    <w14:schemeClr w14:val="tx1"/>
                  </w14:solidFill>
                </w14:textFill>
              </w:rPr>
              <w:t>2.本办法计算过程中分值按四舍五入保留二位小数。</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color w:val="000000" w:themeColor="text1"/>
                <w14:textFill>
                  <w14:solidFill>
                    <w14:schemeClr w14:val="tx1"/>
                  </w14:solidFill>
                </w14:textFill>
              </w:rPr>
              <w:t>3.评标委员会对通过以上评审的投标人，按最终得分从高到低排序，确定1至3名中标候选人。当投标人最终得分相等时，按照报价得分从低到高进行排序，排序第-的为中标人，最终得分相等，报价得分也相等按技术指标优劣排列确定中标人。</w:t>
            </w:r>
          </w:p>
        </w:tc>
      </w:tr>
    </w:tbl>
    <w:p>
      <w:pPr>
        <w:pStyle w:val="2"/>
      </w:pPr>
    </w:p>
    <w:p>
      <w:pPr>
        <w:numPr>
          <w:ilvl w:val="0"/>
          <w:numId w:val="5"/>
        </w:numPr>
        <w:tabs>
          <w:tab w:val="left" w:pos="170"/>
          <w:tab w:val="left" w:pos="303"/>
          <w:tab w:val="left" w:pos="420"/>
        </w:tabs>
        <w:adjustRightInd w:val="0"/>
        <w:snapToGrid w:val="0"/>
        <w:spacing w:line="560" w:lineRule="exact"/>
        <w:ind w:left="0" w:firstLine="0"/>
        <w:outlineLvl w:val="1"/>
        <w:rPr>
          <w:rFonts w:ascii="宋体" w:hAnsi="宋体" w:cs="仿宋_GB2312"/>
          <w:b/>
          <w:sz w:val="28"/>
          <w:szCs w:val="28"/>
        </w:rPr>
      </w:pPr>
      <w:bookmarkStart w:id="225" w:name="_Toc21064"/>
      <w:bookmarkStart w:id="226" w:name="_Toc466017207"/>
      <w:bookmarkStart w:id="227" w:name="_Toc454147538"/>
      <w:bookmarkStart w:id="228" w:name="_Toc465502579"/>
      <w:bookmarkStart w:id="229" w:name="_Toc19403"/>
      <w:r>
        <w:rPr>
          <w:rFonts w:hint="eastAsia" w:ascii="宋体" w:hAnsi="宋体" w:cs="仿宋_GB2312"/>
          <w:b/>
          <w:sz w:val="28"/>
          <w:szCs w:val="28"/>
        </w:rPr>
        <w:t xml:space="preserve"> 评标准则和评标方法</w:t>
      </w:r>
      <w:bookmarkEnd w:id="225"/>
      <w:bookmarkEnd w:id="226"/>
      <w:bookmarkEnd w:id="227"/>
      <w:bookmarkEnd w:id="228"/>
      <w:bookmarkEnd w:id="229"/>
    </w:p>
    <w:p>
      <w:pPr>
        <w:adjustRightInd w:val="0"/>
        <w:snapToGrid w:val="0"/>
        <w:spacing w:line="560" w:lineRule="exact"/>
        <w:rPr>
          <w:szCs w:val="21"/>
        </w:rPr>
      </w:pPr>
      <w:r>
        <w:rPr>
          <w:rFonts w:hint="eastAsia"/>
          <w:szCs w:val="21"/>
        </w:rPr>
        <w:t>1.1 评标过程将遵循“公平、公正、科学、择优”的原则进行。</w:t>
      </w:r>
    </w:p>
    <w:p>
      <w:pPr>
        <w:adjustRightInd w:val="0"/>
        <w:snapToGrid w:val="0"/>
        <w:spacing w:line="560" w:lineRule="exact"/>
        <w:rPr>
          <w:szCs w:val="21"/>
        </w:rPr>
      </w:pPr>
      <w:r>
        <w:rPr>
          <w:rFonts w:hint="eastAsia"/>
          <w:szCs w:val="21"/>
        </w:rPr>
        <w:t>1.2 评标将严格按照招标文件的要求和条件进行。</w:t>
      </w:r>
    </w:p>
    <w:p>
      <w:pPr>
        <w:adjustRightInd w:val="0"/>
        <w:snapToGrid w:val="0"/>
        <w:spacing w:line="560" w:lineRule="exact"/>
        <w:rPr>
          <w:szCs w:val="21"/>
        </w:rPr>
      </w:pPr>
      <w:r>
        <w:rPr>
          <w:rFonts w:hint="eastAsia"/>
          <w:szCs w:val="21"/>
        </w:rPr>
        <w:t>1.3 本次评标采用综合评分法。</w:t>
      </w:r>
    </w:p>
    <w:p>
      <w:pPr>
        <w:numPr>
          <w:ilvl w:val="0"/>
          <w:numId w:val="5"/>
        </w:numPr>
        <w:tabs>
          <w:tab w:val="left" w:pos="170"/>
          <w:tab w:val="left" w:pos="303"/>
          <w:tab w:val="left" w:pos="420"/>
        </w:tabs>
        <w:adjustRightInd w:val="0"/>
        <w:snapToGrid w:val="0"/>
        <w:spacing w:line="560" w:lineRule="exact"/>
        <w:ind w:left="0" w:firstLine="0"/>
        <w:outlineLvl w:val="1"/>
        <w:rPr>
          <w:rFonts w:ascii="宋体" w:hAnsi="宋体" w:cs="仿宋_GB2312"/>
          <w:b/>
          <w:sz w:val="28"/>
          <w:szCs w:val="28"/>
        </w:rPr>
      </w:pPr>
      <w:bookmarkStart w:id="230" w:name="_Toc13195"/>
      <w:bookmarkStart w:id="231" w:name="_Toc15449"/>
      <w:bookmarkStart w:id="232" w:name="_Toc465502580"/>
      <w:bookmarkStart w:id="233" w:name="_Toc466017208"/>
      <w:bookmarkStart w:id="234" w:name="_Toc454147539"/>
      <w:r>
        <w:rPr>
          <w:rFonts w:hint="eastAsia" w:ascii="宋体" w:hAnsi="宋体" w:cs="仿宋_GB2312"/>
          <w:b/>
          <w:sz w:val="28"/>
          <w:szCs w:val="28"/>
        </w:rPr>
        <w:t>评审标准</w:t>
      </w:r>
      <w:bookmarkEnd w:id="230"/>
      <w:bookmarkEnd w:id="231"/>
      <w:bookmarkEnd w:id="232"/>
      <w:bookmarkEnd w:id="233"/>
      <w:bookmarkEnd w:id="234"/>
    </w:p>
    <w:p>
      <w:pPr>
        <w:adjustRightInd w:val="0"/>
        <w:snapToGrid w:val="0"/>
        <w:spacing w:line="560" w:lineRule="exact"/>
        <w:rPr>
          <w:szCs w:val="21"/>
        </w:rPr>
      </w:pPr>
      <w:r>
        <w:rPr>
          <w:rFonts w:hint="eastAsia"/>
          <w:szCs w:val="21"/>
        </w:rPr>
        <w:t>2.1 资格评审标准：详见《评分办法前附表》中资格评审标准。</w:t>
      </w:r>
    </w:p>
    <w:p>
      <w:pPr>
        <w:adjustRightInd w:val="0"/>
        <w:snapToGrid w:val="0"/>
        <w:spacing w:line="560" w:lineRule="exact"/>
        <w:rPr>
          <w:szCs w:val="21"/>
        </w:rPr>
      </w:pPr>
      <w:r>
        <w:rPr>
          <w:rFonts w:hint="eastAsia"/>
          <w:szCs w:val="21"/>
        </w:rPr>
        <w:t>2.2 评分标准：详见《评分办法前附表》报价部分、技术部分、商务部分评审因素。</w:t>
      </w:r>
    </w:p>
    <w:p>
      <w:pPr>
        <w:numPr>
          <w:ilvl w:val="0"/>
          <w:numId w:val="5"/>
        </w:numPr>
        <w:tabs>
          <w:tab w:val="left" w:pos="170"/>
          <w:tab w:val="left" w:pos="303"/>
          <w:tab w:val="left" w:pos="420"/>
        </w:tabs>
        <w:adjustRightInd w:val="0"/>
        <w:snapToGrid w:val="0"/>
        <w:spacing w:line="560" w:lineRule="exact"/>
        <w:ind w:left="0" w:firstLine="0"/>
        <w:outlineLvl w:val="1"/>
        <w:rPr>
          <w:rFonts w:ascii="宋体" w:hAnsi="宋体" w:cs="仿宋_GB2312"/>
          <w:b/>
          <w:sz w:val="28"/>
          <w:szCs w:val="28"/>
        </w:rPr>
      </w:pPr>
      <w:bookmarkStart w:id="235" w:name="_Toc11065"/>
      <w:r>
        <w:rPr>
          <w:rFonts w:hint="eastAsia" w:ascii="宋体" w:hAnsi="宋体" w:cs="仿宋_GB2312"/>
          <w:b/>
          <w:sz w:val="28"/>
          <w:szCs w:val="28"/>
        </w:rPr>
        <w:t>评标程序</w:t>
      </w:r>
      <w:bookmarkEnd w:id="235"/>
    </w:p>
    <w:p>
      <w:pPr>
        <w:adjustRightInd w:val="0"/>
        <w:snapToGrid w:val="0"/>
        <w:spacing w:line="560" w:lineRule="exact"/>
        <w:rPr>
          <w:b/>
          <w:bCs/>
          <w:sz w:val="24"/>
        </w:rPr>
      </w:pPr>
      <w:r>
        <w:rPr>
          <w:rFonts w:hint="eastAsia"/>
          <w:b/>
          <w:bCs/>
          <w:sz w:val="24"/>
        </w:rPr>
        <w:t>3.1初步评审</w:t>
      </w:r>
    </w:p>
    <w:p>
      <w:pPr>
        <w:adjustRightInd w:val="0"/>
        <w:snapToGrid w:val="0"/>
        <w:spacing w:line="560" w:lineRule="exact"/>
        <w:rPr>
          <w:lang w:val="zh-CN"/>
        </w:rPr>
      </w:pPr>
      <w:r>
        <w:rPr>
          <w:rFonts w:hint="eastAsia" w:ascii="Times New Roman" w:hAnsi="Times New Roman"/>
          <w:szCs w:val="21"/>
        </w:rPr>
        <w:t xml:space="preserve">3.11 </w:t>
      </w:r>
      <w:r>
        <w:rPr>
          <w:rFonts w:hint="eastAsia" w:ascii="Times New Roman" w:hAnsi="Times New Roman"/>
          <w:szCs w:val="21"/>
          <w:lang w:val="zh-CN"/>
        </w:rPr>
        <w:t>采购人或代理机构可以要求投标人提交第二章“投标人须知”规定的有关证明和证件以便核验。采购人或代理机构依据本章第2.1款规定的标准对投标文件进行资格评审。有一项</w:t>
      </w:r>
      <w:r>
        <w:rPr>
          <w:rFonts w:hint="eastAsia"/>
          <w:lang w:val="zh-CN"/>
        </w:rPr>
        <w:t>不符合资格评审标准的，作无效投标处理。</w:t>
      </w:r>
    </w:p>
    <w:p>
      <w:pPr>
        <w:adjustRightInd w:val="0"/>
        <w:snapToGrid w:val="0"/>
        <w:spacing w:line="560" w:lineRule="exact"/>
        <w:rPr>
          <w:lang w:val="zh-CN"/>
        </w:rPr>
      </w:pPr>
      <w:r>
        <w:rPr>
          <w:rFonts w:hint="eastAsia"/>
        </w:rPr>
        <w:t xml:space="preserve">3.12 </w:t>
      </w:r>
      <w:r>
        <w:rPr>
          <w:rFonts w:hint="eastAsia"/>
          <w:lang w:val="zh-CN"/>
        </w:rPr>
        <w:t>投标文件属下列情况之一的，应当在资格性、符合性检查时按照无效投标处理：</w:t>
      </w:r>
    </w:p>
    <w:p>
      <w:pPr>
        <w:numPr>
          <w:ilvl w:val="0"/>
          <w:numId w:val="6"/>
        </w:numPr>
        <w:autoSpaceDE w:val="0"/>
        <w:autoSpaceDN w:val="0"/>
        <w:adjustRightInd w:val="0"/>
        <w:snapToGrid w:val="0"/>
        <w:spacing w:line="560" w:lineRule="exact"/>
        <w:jc w:val="left"/>
        <w:rPr>
          <w:rFonts w:ascii="宋体" w:hAnsi="宋体" w:cs="宋体"/>
        </w:rPr>
      </w:pPr>
      <w:r>
        <w:rPr>
          <w:rFonts w:hint="eastAsia" w:ascii="宋体" w:hAnsi="宋体" w:cs="宋体"/>
        </w:rPr>
        <w:t>未按照招标文件规定要求密封、签署、盖章的；</w:t>
      </w:r>
    </w:p>
    <w:p>
      <w:pPr>
        <w:numPr>
          <w:ilvl w:val="0"/>
          <w:numId w:val="6"/>
        </w:numPr>
        <w:autoSpaceDE w:val="0"/>
        <w:autoSpaceDN w:val="0"/>
        <w:adjustRightInd w:val="0"/>
        <w:snapToGrid w:val="0"/>
        <w:spacing w:line="560" w:lineRule="exact"/>
        <w:jc w:val="left"/>
        <w:rPr>
          <w:rFonts w:ascii="宋体" w:hAnsi="宋体" w:cs="宋体"/>
        </w:rPr>
      </w:pPr>
      <w:r>
        <w:rPr>
          <w:rFonts w:hint="eastAsia" w:ascii="宋体" w:hAnsi="宋体" w:cs="宋体"/>
        </w:rPr>
        <w:t>不具备招标文件中规定资格要求的；</w:t>
      </w:r>
    </w:p>
    <w:p>
      <w:pPr>
        <w:numPr>
          <w:ilvl w:val="0"/>
          <w:numId w:val="6"/>
        </w:numPr>
        <w:autoSpaceDE w:val="0"/>
        <w:autoSpaceDN w:val="0"/>
        <w:adjustRightInd w:val="0"/>
        <w:snapToGrid w:val="0"/>
        <w:spacing w:line="560" w:lineRule="exact"/>
        <w:jc w:val="left"/>
        <w:rPr>
          <w:rFonts w:ascii="宋体" w:hAnsi="宋体" w:cs="宋体"/>
        </w:rPr>
      </w:pPr>
      <w:r>
        <w:rPr>
          <w:rFonts w:hint="eastAsia" w:ascii="宋体" w:hAnsi="宋体" w:cs="宋体"/>
        </w:rPr>
        <w:t>不符合法律、法规和招标文件中规定的其他实质性要求的。</w:t>
      </w:r>
    </w:p>
    <w:p>
      <w:pPr>
        <w:adjustRightInd w:val="0"/>
        <w:snapToGrid w:val="0"/>
        <w:spacing w:line="560" w:lineRule="exact"/>
        <w:rPr>
          <w:lang w:val="zh-CN"/>
        </w:rPr>
      </w:pPr>
      <w:r>
        <w:rPr>
          <w:rFonts w:hint="eastAsia"/>
        </w:rPr>
        <w:t xml:space="preserve">3.13 </w:t>
      </w:r>
      <w:r>
        <w:rPr>
          <w:rFonts w:hint="eastAsia"/>
          <w:lang w:val="zh-CN"/>
        </w:rPr>
        <w:t>投标报价有算数错误的，评标委员会按以下原则对投标报价进行修正，修正的价格经投标人书面确认后具有约束力。投标人不接受修正价格的，其投标作无效投标处理。</w:t>
      </w:r>
    </w:p>
    <w:p>
      <w:pPr>
        <w:numPr>
          <w:ilvl w:val="0"/>
          <w:numId w:val="7"/>
        </w:numPr>
        <w:autoSpaceDE w:val="0"/>
        <w:autoSpaceDN w:val="0"/>
        <w:adjustRightInd w:val="0"/>
        <w:snapToGrid w:val="0"/>
        <w:spacing w:line="560" w:lineRule="exact"/>
        <w:jc w:val="left"/>
        <w:rPr>
          <w:rFonts w:ascii="宋体" w:hAnsi="宋体" w:cs="宋体"/>
        </w:rPr>
      </w:pPr>
      <w:r>
        <w:rPr>
          <w:rFonts w:hint="eastAsia" w:ascii="宋体" w:hAnsi="宋体" w:cs="宋体"/>
        </w:rPr>
        <w:t>投标文件中的大写金额与小写金额不一致的，以大写金额为准；</w:t>
      </w:r>
    </w:p>
    <w:p>
      <w:pPr>
        <w:numPr>
          <w:ilvl w:val="0"/>
          <w:numId w:val="7"/>
        </w:numPr>
        <w:autoSpaceDE w:val="0"/>
        <w:autoSpaceDN w:val="0"/>
        <w:adjustRightInd w:val="0"/>
        <w:snapToGrid w:val="0"/>
        <w:spacing w:line="560" w:lineRule="exact"/>
        <w:jc w:val="left"/>
        <w:rPr>
          <w:rFonts w:ascii="宋体" w:hAnsi="宋体" w:cs="宋体"/>
        </w:rPr>
      </w:pPr>
      <w:r>
        <w:rPr>
          <w:rFonts w:hint="eastAsia" w:ascii="宋体" w:hAnsi="宋体" w:cs="宋体"/>
        </w:rPr>
        <w:t>投标文件中开标一览表内容与投标文件中明细表内容不一致的，以开标一览表为准。</w:t>
      </w:r>
    </w:p>
    <w:p>
      <w:pPr>
        <w:adjustRightInd w:val="0"/>
        <w:snapToGrid w:val="0"/>
        <w:spacing w:line="560" w:lineRule="exact"/>
        <w:rPr>
          <w:b/>
          <w:bCs/>
          <w:sz w:val="24"/>
        </w:rPr>
      </w:pPr>
      <w:r>
        <w:rPr>
          <w:rFonts w:hint="eastAsia"/>
          <w:b/>
          <w:bCs/>
          <w:sz w:val="24"/>
        </w:rPr>
        <w:t>3.2 详细评审</w:t>
      </w:r>
    </w:p>
    <w:p>
      <w:pPr>
        <w:adjustRightInd w:val="0"/>
        <w:snapToGrid w:val="0"/>
        <w:spacing w:line="560" w:lineRule="exact"/>
        <w:rPr>
          <w:lang w:val="zh-CN"/>
        </w:rPr>
      </w:pPr>
      <w:r>
        <w:rPr>
          <w:rFonts w:hint="eastAsia"/>
        </w:rPr>
        <w:t xml:space="preserve">3.2.1 </w:t>
      </w:r>
      <w:r>
        <w:rPr>
          <w:rFonts w:hint="eastAsia"/>
          <w:lang w:val="zh-CN"/>
        </w:rPr>
        <w:t>评标委员会按本章第2.2款的评分标准进行打分，并计算出综合评审得分。</w:t>
      </w:r>
    </w:p>
    <w:p>
      <w:pPr>
        <w:adjustRightInd w:val="0"/>
        <w:snapToGrid w:val="0"/>
        <w:spacing w:line="560" w:lineRule="exact"/>
        <w:rPr>
          <w:lang w:val="zh-CN"/>
        </w:rPr>
      </w:pPr>
      <w:r>
        <w:rPr>
          <w:rFonts w:hint="eastAsia"/>
        </w:rPr>
        <w:t xml:space="preserve">3.2.2 </w:t>
      </w:r>
      <w:r>
        <w:rPr>
          <w:rFonts w:hint="eastAsia"/>
          <w:lang w:val="zh-CN"/>
        </w:rPr>
        <w:t>评标委员会发现投标人的投标总报价</w:t>
      </w:r>
      <w:r>
        <w:rPr>
          <w:rFonts w:hint="eastAsia"/>
        </w:rPr>
        <w:t>高</w:t>
      </w:r>
      <w:r>
        <w:rPr>
          <w:rFonts w:hint="eastAsia"/>
          <w:lang w:val="zh-CN"/>
        </w:rPr>
        <w:t>于</w:t>
      </w:r>
      <w:r>
        <w:rPr>
          <w:rFonts w:hint="eastAsia"/>
        </w:rPr>
        <w:t>招标文件规定的控制价</w:t>
      </w:r>
      <w:r>
        <w:rPr>
          <w:rFonts w:hint="eastAsia"/>
          <w:lang w:val="zh-CN"/>
        </w:rPr>
        <w:t>，评标委员会应按无效投标处理。</w:t>
      </w:r>
    </w:p>
    <w:p>
      <w:pPr>
        <w:adjustRightInd w:val="0"/>
        <w:snapToGrid w:val="0"/>
        <w:spacing w:line="560" w:lineRule="exact"/>
        <w:rPr>
          <w:b/>
          <w:bCs/>
          <w:sz w:val="24"/>
        </w:rPr>
      </w:pPr>
      <w:r>
        <w:rPr>
          <w:rFonts w:hint="eastAsia"/>
          <w:b/>
          <w:bCs/>
          <w:sz w:val="24"/>
        </w:rPr>
        <w:t>3.3 投标文件的澄清和补正</w:t>
      </w:r>
    </w:p>
    <w:p>
      <w:pPr>
        <w:adjustRightInd w:val="0"/>
        <w:snapToGrid w:val="0"/>
        <w:spacing w:line="560" w:lineRule="exact"/>
        <w:rPr>
          <w:lang w:val="zh-CN"/>
        </w:rPr>
      </w:pPr>
      <w:r>
        <w:rPr>
          <w:rFonts w:hint="eastAsia"/>
        </w:rPr>
        <w:t xml:space="preserve">3.3.1 </w:t>
      </w:r>
      <w:r>
        <w:rPr>
          <w:rFonts w:hint="eastAsia"/>
          <w:lang w:val="zh-CN"/>
        </w:rPr>
        <w:t>在评标过程中，评标委员会可以书面形式要求投标人对所提交投标文件中不明确的内容进行书面澄清或说明，或者对细微偏差进行补正。</w:t>
      </w:r>
    </w:p>
    <w:p>
      <w:pPr>
        <w:adjustRightInd w:val="0"/>
        <w:snapToGrid w:val="0"/>
        <w:spacing w:line="560" w:lineRule="exact"/>
        <w:rPr>
          <w:lang w:val="zh-CN"/>
        </w:rPr>
      </w:pPr>
      <w:r>
        <w:rPr>
          <w:rFonts w:hint="eastAsia"/>
        </w:rPr>
        <w:t xml:space="preserve">3.3.2 </w:t>
      </w:r>
      <w:r>
        <w:rPr>
          <w:rFonts w:hint="eastAsia"/>
          <w:lang w:val="zh-CN"/>
        </w:rPr>
        <w:t>澄清、说明和补正不得改变投标文件的实质性内容（算术性错误修正的除外）。投标人的书面澄清、说明和补正属于投标文件的组成部分。</w:t>
      </w:r>
    </w:p>
    <w:p>
      <w:pPr>
        <w:adjustRightInd w:val="0"/>
        <w:snapToGrid w:val="0"/>
        <w:spacing w:line="560" w:lineRule="exact"/>
        <w:rPr>
          <w:b/>
          <w:bCs/>
          <w:sz w:val="24"/>
        </w:rPr>
      </w:pPr>
      <w:r>
        <w:rPr>
          <w:rFonts w:hint="eastAsia"/>
          <w:b/>
          <w:bCs/>
          <w:sz w:val="24"/>
        </w:rPr>
        <w:t>3.4 评标结果</w:t>
      </w:r>
    </w:p>
    <w:p>
      <w:pPr>
        <w:adjustRightInd w:val="0"/>
        <w:snapToGrid w:val="0"/>
        <w:spacing w:line="560" w:lineRule="exact"/>
        <w:rPr>
          <w:rFonts w:hint="default" w:eastAsia="宋体"/>
          <w:lang w:val="en-US" w:eastAsia="zh-CN"/>
        </w:rPr>
      </w:pPr>
      <w:r>
        <w:rPr>
          <w:rFonts w:hint="eastAsia"/>
        </w:rPr>
        <w:t xml:space="preserve">3.4.1 </w:t>
      </w:r>
      <w:r>
        <w:rPr>
          <w:rFonts w:hint="eastAsia"/>
          <w:lang w:val="zh-CN"/>
        </w:rPr>
        <w:t>投标人得分=投标报价得分+</w:t>
      </w:r>
      <w:r>
        <w:rPr>
          <w:rFonts w:hint="eastAsia"/>
          <w:lang w:val="en-US" w:eastAsia="zh-CN"/>
        </w:rPr>
        <w:t>技术部分</w:t>
      </w:r>
      <w:r>
        <w:rPr>
          <w:rFonts w:hint="eastAsia"/>
        </w:rPr>
        <w:t>得分</w:t>
      </w:r>
      <w:r>
        <w:rPr>
          <w:rFonts w:hint="eastAsia"/>
          <w:lang w:val="zh-CN"/>
        </w:rPr>
        <w:t>+</w:t>
      </w:r>
      <w:r>
        <w:rPr>
          <w:rFonts w:hint="eastAsia"/>
          <w:lang w:val="en-US" w:eastAsia="zh-CN"/>
        </w:rPr>
        <w:t>商务部分</w:t>
      </w:r>
      <w:r>
        <w:rPr>
          <w:rFonts w:hint="eastAsia"/>
        </w:rPr>
        <w:t>得分</w:t>
      </w:r>
      <w:r>
        <w:rPr>
          <w:rFonts w:hint="eastAsia"/>
          <w:lang w:val="en-US" w:eastAsia="zh-CN"/>
        </w:rPr>
        <w:t>+售后部分得分</w:t>
      </w:r>
    </w:p>
    <w:p>
      <w:pPr>
        <w:adjustRightInd w:val="0"/>
        <w:snapToGrid w:val="0"/>
        <w:spacing w:line="560" w:lineRule="exact"/>
        <w:rPr>
          <w:lang w:val="zh-CN"/>
        </w:rPr>
      </w:pPr>
      <w:r>
        <w:rPr>
          <w:rFonts w:hint="eastAsia"/>
          <w:lang w:val="en-US" w:eastAsia="zh-CN"/>
        </w:rPr>
        <w:t>+</w:t>
      </w:r>
      <w:r>
        <w:rPr>
          <w:rFonts w:hint="eastAsia"/>
        </w:rPr>
        <w:t>3.4.2</w:t>
      </w:r>
      <w:r>
        <w:rPr>
          <w:rFonts w:hint="eastAsia"/>
          <w:lang w:val="zh-CN"/>
        </w:rPr>
        <w:t>投标人最终得分为评标委员会完成评审后所有评分的算术平均值，作为该投标人最终得分。</w:t>
      </w:r>
    </w:p>
    <w:p>
      <w:pPr>
        <w:adjustRightInd w:val="0"/>
        <w:snapToGrid w:val="0"/>
        <w:spacing w:line="560" w:lineRule="exact"/>
        <w:rPr>
          <w:lang w:val="zh-CN"/>
        </w:rPr>
      </w:pPr>
      <w:r>
        <w:rPr>
          <w:rFonts w:hint="eastAsia"/>
        </w:rPr>
        <w:t xml:space="preserve">3.4.3 </w:t>
      </w:r>
      <w:r>
        <w:rPr>
          <w:rFonts w:hint="eastAsia"/>
          <w:lang w:val="zh-CN"/>
        </w:rPr>
        <w:t>投标人最终得分相同的，投标报价</w:t>
      </w:r>
      <w:r>
        <w:rPr>
          <w:rFonts w:hint="eastAsia"/>
        </w:rPr>
        <w:t>低</w:t>
      </w:r>
      <w:r>
        <w:rPr>
          <w:rFonts w:hint="eastAsia"/>
          <w:lang w:val="zh-CN"/>
        </w:rPr>
        <w:t>的优先，</w:t>
      </w:r>
      <w:r>
        <w:rPr>
          <w:rFonts w:hint="eastAsia"/>
        </w:rPr>
        <w:t>投标报价也相同的以技术得分高的优先，技术得分也相同的由采购人自行确定</w:t>
      </w:r>
      <w:r>
        <w:rPr>
          <w:rFonts w:hint="eastAsia"/>
          <w:lang w:val="zh-CN"/>
        </w:rPr>
        <w:t>。</w:t>
      </w:r>
    </w:p>
    <w:p>
      <w:pPr>
        <w:adjustRightInd w:val="0"/>
        <w:snapToGrid w:val="0"/>
        <w:spacing w:line="560" w:lineRule="exact"/>
        <w:rPr>
          <w:lang w:val="zh-CN"/>
        </w:rPr>
      </w:pPr>
      <w:r>
        <w:rPr>
          <w:rFonts w:hint="eastAsia"/>
        </w:rPr>
        <w:t xml:space="preserve">3.4.4 </w:t>
      </w:r>
      <w:r>
        <w:rPr>
          <w:rFonts w:hint="eastAsia"/>
          <w:lang w:val="zh-CN"/>
        </w:rPr>
        <w:t>计分过程中按四舍五入的法则，最终结果取至小数点后两位。</w:t>
      </w:r>
    </w:p>
    <w:p>
      <w:pPr>
        <w:adjustRightInd w:val="0"/>
        <w:snapToGrid w:val="0"/>
        <w:spacing w:line="560" w:lineRule="exact"/>
        <w:rPr>
          <w:lang w:val="zh-CN"/>
        </w:rPr>
      </w:pPr>
      <w:r>
        <w:rPr>
          <w:rFonts w:hint="eastAsia"/>
        </w:rPr>
        <w:t xml:space="preserve">3.4.5 </w:t>
      </w:r>
      <w:r>
        <w:rPr>
          <w:rFonts w:hint="eastAsia"/>
          <w:lang w:val="zh-CN"/>
        </w:rPr>
        <w:t>评标委员会按照得分由高到低的顺序推荐</w:t>
      </w:r>
      <w:r>
        <w:rPr>
          <w:rFonts w:hint="eastAsia"/>
        </w:rPr>
        <w:t>1-3名</w:t>
      </w:r>
      <w:r>
        <w:rPr>
          <w:rFonts w:hint="eastAsia"/>
          <w:lang w:val="zh-CN"/>
        </w:rPr>
        <w:t>中标候选人。</w:t>
      </w:r>
    </w:p>
    <w:p>
      <w:pPr>
        <w:adjustRightInd w:val="0"/>
        <w:snapToGrid w:val="0"/>
        <w:spacing w:line="560" w:lineRule="exact"/>
        <w:rPr>
          <w:lang w:val="zh-CN"/>
        </w:rPr>
      </w:pPr>
      <w:r>
        <w:rPr>
          <w:rFonts w:hint="eastAsia"/>
        </w:rPr>
        <w:t xml:space="preserve">3.4.6 </w:t>
      </w:r>
      <w:r>
        <w:rPr>
          <w:rFonts w:hint="eastAsia"/>
          <w:lang w:val="zh-CN"/>
        </w:rPr>
        <w:t>评标委员会完成评标后，应当向采购人提交书面评标报告。</w:t>
      </w:r>
    </w:p>
    <w:p>
      <w:pPr>
        <w:adjustRightInd w:val="0"/>
        <w:snapToGrid w:val="0"/>
        <w:spacing w:line="560" w:lineRule="exact"/>
        <w:rPr>
          <w:b/>
          <w:bCs/>
          <w:sz w:val="24"/>
          <w:lang w:val="zh-CN"/>
        </w:rPr>
      </w:pPr>
      <w:r>
        <w:rPr>
          <w:rFonts w:hint="eastAsia"/>
          <w:b/>
          <w:bCs/>
          <w:sz w:val="24"/>
        </w:rPr>
        <w:t xml:space="preserve">3.5 </w:t>
      </w:r>
      <w:r>
        <w:rPr>
          <w:rFonts w:hint="eastAsia"/>
          <w:b/>
          <w:bCs/>
          <w:sz w:val="24"/>
          <w:lang w:val="zh-CN"/>
        </w:rPr>
        <w:t>顺延中标人或重新招标</w:t>
      </w:r>
    </w:p>
    <w:p>
      <w:pPr>
        <w:adjustRightInd w:val="0"/>
        <w:snapToGrid w:val="0"/>
        <w:spacing w:line="560" w:lineRule="exact"/>
        <w:rPr>
          <w:lang w:val="zh-CN"/>
        </w:rPr>
      </w:pPr>
      <w:r>
        <w:rPr>
          <w:rFonts w:hint="eastAsia"/>
          <w:lang w:val="zh-CN"/>
        </w:rPr>
        <w:t>中标人因不可抗力不能履行政府采购合同的，采购人可以与排位在中标人之后第一位的中标候选人签订政府采购合同，或者重新采购。</w:t>
      </w:r>
    </w:p>
    <w:p>
      <w:pPr>
        <w:adjustRightInd w:val="0"/>
        <w:snapToGrid w:val="0"/>
        <w:spacing w:line="560" w:lineRule="exact"/>
        <w:rPr>
          <w:b/>
          <w:bCs/>
          <w:sz w:val="24"/>
        </w:rPr>
      </w:pPr>
      <w:bookmarkStart w:id="236" w:name="_Toc11630"/>
      <w:bookmarkStart w:id="237" w:name="_Toc16293"/>
      <w:bookmarkStart w:id="238" w:name="_Toc28863"/>
      <w:bookmarkStart w:id="239" w:name="_Toc54"/>
      <w:bookmarkStart w:id="240" w:name="_Toc7468"/>
      <w:bookmarkStart w:id="241" w:name="_Toc19590"/>
      <w:bookmarkStart w:id="242" w:name="_Toc17922"/>
      <w:r>
        <w:rPr>
          <w:rFonts w:hint="eastAsia"/>
          <w:b/>
          <w:bCs/>
          <w:sz w:val="24"/>
        </w:rPr>
        <w:t>3.6 保密及其他注意事项</w:t>
      </w:r>
      <w:bookmarkEnd w:id="236"/>
      <w:bookmarkEnd w:id="237"/>
      <w:bookmarkEnd w:id="238"/>
      <w:bookmarkEnd w:id="239"/>
      <w:bookmarkEnd w:id="240"/>
      <w:bookmarkEnd w:id="241"/>
      <w:bookmarkEnd w:id="242"/>
    </w:p>
    <w:p>
      <w:pPr>
        <w:adjustRightInd w:val="0"/>
        <w:snapToGrid w:val="0"/>
        <w:spacing w:line="560" w:lineRule="exact"/>
        <w:rPr>
          <w:lang w:val="zh-CN"/>
        </w:rPr>
      </w:pPr>
      <w:r>
        <w:rPr>
          <w:rFonts w:hint="eastAsia"/>
        </w:rPr>
        <w:t xml:space="preserve">3.6.1 </w:t>
      </w:r>
      <w:r>
        <w:rPr>
          <w:rFonts w:hint="eastAsia"/>
          <w:lang w:val="zh-CN"/>
        </w:rPr>
        <w:t>在评标期间，投标企业不得向评标委员会成员询问评标情况，不得进行旨在影响中标结果的活动。</w:t>
      </w:r>
    </w:p>
    <w:p>
      <w:pPr>
        <w:adjustRightInd w:val="0"/>
        <w:snapToGrid w:val="0"/>
        <w:spacing w:line="560" w:lineRule="exact"/>
        <w:rPr>
          <w:lang w:val="zh-CN"/>
        </w:rPr>
      </w:pPr>
      <w:r>
        <w:rPr>
          <w:rFonts w:hint="eastAsia"/>
        </w:rPr>
        <w:t xml:space="preserve">3.6.2 </w:t>
      </w:r>
      <w:r>
        <w:rPr>
          <w:rFonts w:hint="eastAsia"/>
          <w:lang w:val="zh-CN"/>
        </w:rPr>
        <w:t>在评标结束后，凡与评标情况有接触的任何人不得也不应将评标情况扩散出评标委员会成员之外。</w:t>
      </w:r>
    </w:p>
    <w:p>
      <w:pPr>
        <w:adjustRightInd w:val="0"/>
        <w:snapToGrid w:val="0"/>
        <w:spacing w:line="560" w:lineRule="exact"/>
        <w:rPr>
          <w:rFonts w:ascii="方正小标宋简体" w:hAnsi="方正小标宋简体" w:eastAsia="方正小标宋简体" w:cs="方正小标宋简体"/>
          <w:sz w:val="44"/>
          <w:szCs w:val="44"/>
        </w:rPr>
      </w:pPr>
      <w:r>
        <w:rPr>
          <w:rFonts w:hint="eastAsia"/>
        </w:rPr>
        <w:t>3.6.3</w:t>
      </w:r>
      <w:r>
        <w:rPr>
          <w:rFonts w:hint="eastAsia"/>
          <w:lang w:val="zh-CN"/>
        </w:rPr>
        <w:t>招标代理机构不向落标方解释落标原因，不退还投标文件。</w:t>
      </w:r>
    </w:p>
    <w:p>
      <w:pPr>
        <w:tabs>
          <w:tab w:val="left" w:pos="720"/>
        </w:tabs>
        <w:spacing w:line="440" w:lineRule="exact"/>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bCs/>
          <w:kern w:val="0"/>
          <w:szCs w:val="21"/>
        </w:rPr>
        <w:br w:type="page"/>
      </w:r>
    </w:p>
    <w:p>
      <w:pPr>
        <w:pStyle w:val="14"/>
        <w:spacing w:line="600" w:lineRule="exact"/>
        <w:ind w:right="-63" w:rightChars="-30"/>
        <w:rPr>
          <w:rFonts w:asciiTheme="minorEastAsia" w:hAnsiTheme="minorEastAsia" w:eastAsiaTheme="minorEastAsia" w:cstheme="minorEastAsia"/>
          <w:sz w:val="36"/>
          <w:szCs w:val="36"/>
        </w:rPr>
      </w:pPr>
      <w:bookmarkStart w:id="243" w:name="_Toc955"/>
      <w:r>
        <w:rPr>
          <w:rFonts w:hint="eastAsia" w:asciiTheme="minorEastAsia" w:hAnsiTheme="minorEastAsia" w:eastAsiaTheme="minorEastAsia" w:cstheme="minorEastAsia"/>
          <w:sz w:val="36"/>
          <w:szCs w:val="36"/>
        </w:rPr>
        <w:t>第四章  合同条款及格式</w:t>
      </w:r>
      <w:bookmarkEnd w:id="222"/>
      <w:bookmarkEnd w:id="223"/>
      <w:bookmarkEnd w:id="224"/>
      <w:bookmarkEnd w:id="243"/>
    </w:p>
    <w:p>
      <w:pPr>
        <w:spacing w:line="440" w:lineRule="exact"/>
        <w:ind w:firstLine="482"/>
        <w:rPr>
          <w:rFonts w:asciiTheme="minorEastAsia" w:hAnsiTheme="minorEastAsia" w:eastAsiaTheme="minorEastAsia" w:cstheme="minorEastAsia"/>
          <w:szCs w:val="21"/>
        </w:rPr>
      </w:pPr>
      <w:bookmarkStart w:id="244" w:name="_Toc12807"/>
      <w:r>
        <w:rPr>
          <w:rFonts w:hint="eastAsia" w:asciiTheme="minorEastAsia" w:hAnsiTheme="minorEastAsia" w:eastAsiaTheme="minorEastAsia" w:cstheme="minorEastAsia"/>
          <w:szCs w:val="21"/>
        </w:rPr>
        <w:t xml:space="preserve">合同名称：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合同编号：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               （以下简称 “发包人” ） 与“承包人” ）于   年  月  日商定并签署。</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一、概述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定义： 合同文本中以下的用词及词语除根据上下文另有</w:t>
      </w:r>
      <w:r>
        <w:rPr>
          <w:rFonts w:hint="eastAsia" w:asciiTheme="minorEastAsia" w:hAnsiTheme="minorEastAsia" w:eastAsiaTheme="minorEastAsia" w:cstheme="minorEastAsia"/>
          <w:kern w:val="0"/>
          <w:szCs w:val="21"/>
        </w:rPr>
        <w:t xml:space="preserve">要求外， 应具有本条所赋予的含义：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(1)合同：指本合同条款、合同协议书以及其它明确列入或合同协议书中的文件；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(2)发包人：</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(3)承包人：具有承包主体资格并被发包人接受的当事人。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(4)投标书：指承包人为项目向发包人提供的，为项目而作的有报价的投标文件。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(5)项目名称：</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(6)合同价款： 指根据合同条款， 用以支付承包人为完成本项目有关工作应付的总金额。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(7)不可抗力：不能预见、无法避免又不能克服的客观强制力量。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二、项目名称及技术要求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（1）项目名称：</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（2）技术要求： </w:t>
      </w:r>
    </w:p>
    <w:p>
      <w:pPr>
        <w:spacing w:line="440" w:lineRule="exact"/>
        <w:ind w:firstLine="482"/>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 xml:space="preserve">三、双方责任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3.1 发包人责任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(1)发包人向承包人提供开展本项目所需的有关基础资料，并对提供的时间、进度和资料的可靠性负责，时间为合同签订后 5天内。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(2)发包人应按合同规定向承包人支付合同价款；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(3)发包人负责协调本项目工作过程中与有关部门的配合问题；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3.2 承包人责任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(1)按照国家及行业现行的标准、规程、规范、技术条例进行工作；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(2)承包人应按照合同的规定和投标书中有关服务质量方面的承诺进行合同任务的 组织和具体实施，保证服务的质量；</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(4)承包人应依据合同，接受发包人的建议、检查、确认、同意、批准或类似行为， 并不因此变更或免除承包人的责任；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(5)承包人未经发包人同意不得向第三方转让， 或用于本合同以外的任何项目。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四、合同工期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供货及安装期：</w:t>
      </w:r>
      <w:r>
        <w:rPr>
          <w:rFonts w:hint="eastAsia" w:asciiTheme="minorEastAsia" w:hAnsiTheme="minorEastAsia" w:eastAsiaTheme="minorEastAsia" w:cstheme="minorEastAsia"/>
          <w:kern w:val="1"/>
          <w:szCs w:val="21"/>
        </w:rPr>
        <w:t xml:space="preserve">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五、合同价款与支付方式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5.1 合同价款： 本项目合同价款为人民币大写： （￥       元）。 </w:t>
      </w:r>
    </w:p>
    <w:p>
      <w:pPr>
        <w:pStyle w:val="22"/>
        <w:snapToGrid w:val="0"/>
        <w:spacing w:line="560" w:lineRule="exact"/>
        <w:ind w:firstLine="420" w:firstLineChars="200"/>
        <w:rPr>
          <w:rFonts w:hint="default" w:asciiTheme="minorEastAsia" w:hAnsiTheme="minorEastAsia" w:eastAsiaTheme="minorEastAsia" w:cstheme="minorEastAsia"/>
          <w:color w:val="auto"/>
          <w:kern w:val="2"/>
          <w:sz w:val="21"/>
          <w:szCs w:val="21"/>
        </w:rPr>
      </w:pPr>
      <w:r>
        <w:rPr>
          <w:rFonts w:asciiTheme="minorEastAsia" w:hAnsiTheme="minorEastAsia" w:eastAsiaTheme="minorEastAsia" w:cstheme="minorEastAsia"/>
          <w:color w:val="auto"/>
          <w:kern w:val="2"/>
          <w:sz w:val="21"/>
          <w:szCs w:val="21"/>
        </w:rPr>
        <w:t>5.2 付款方式：</w:t>
      </w:r>
      <w:r>
        <w:rPr>
          <w:rFonts w:hint="eastAsia" w:asciiTheme="minorEastAsia" w:hAnsiTheme="minorEastAsia" w:eastAsiaTheme="minorEastAsia" w:cstheme="minorEastAsia"/>
          <w:color w:val="auto"/>
          <w:kern w:val="2"/>
          <w:sz w:val="21"/>
          <w:szCs w:val="21"/>
        </w:rPr>
        <w:t xml:space="preserve">验收合格后，支付总价款的97%，剩余3%作为质保金，一年后无任何质量问题一次性无息支付。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6.1 发包人或承包人违反合同规定造成损失的应承担违约责任；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6.2 因承包人提供的成果造成发包人损失的，由承包人继续完善成果，并按损失的大小减收服务费； </w:t>
      </w:r>
    </w:p>
    <w:p>
      <w:pPr>
        <w:spacing w:line="440" w:lineRule="exact"/>
        <w:ind w:firstLine="482"/>
        <w:rPr>
          <w:rFonts w:asciiTheme="minorEastAsia" w:hAnsiTheme="minorEastAsia" w:eastAsiaTheme="minorEastAsia" w:cstheme="minorEastAsia"/>
          <w:color w:val="C00000"/>
          <w:szCs w:val="21"/>
        </w:rPr>
      </w:pPr>
      <w:r>
        <w:rPr>
          <w:rFonts w:hint="eastAsia" w:asciiTheme="minorEastAsia" w:hAnsiTheme="minorEastAsia" w:eastAsiaTheme="minorEastAsia" w:cstheme="minorEastAsia"/>
          <w:szCs w:val="21"/>
        </w:rPr>
        <w:t xml:space="preserve">6.3 如由于承包人错误造成重大损失，承包人除负责采取补救措施外，应免收损失部分的服务费，并根据损失程度向发包人偿付赔偿金，赔偿金最多与免收的服务费金额相等。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6.4 发包人违约变更合同内容，未按期提交资料或提交资料错误及对所提资料作较 大修改，以致造成承包人返工或增加工作量时，双方除需另行协商签订补充合同、重新 明确有关条款外，发包人应按承包人所耗工作量向承包人支付返工费或追加工作量的补偿。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6.5 在合同履行期间，非承包人原因，发包人要求终止或解除合同，承包人不退还发包人已付的合同价款；承包人已开始服务工作的，发包人应根据承包人已进行的实际 工作量，支付价款。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6.6合同生效后，非发包人原因承包人要求终止或解除合同，应双倍返还已付合同价款。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七、争议与索赔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7.1 争议：发包人、承包人双方因合同发生争议时，双方应通过友好协商解决，协商不能达成协议，要求调解、仲裁、或诉讼的，可采用以下程序解决：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首先双方向上级管部门请求调解，调解达不成协议的，</w:t>
      </w:r>
      <w:bookmarkStart w:id="245" w:name="page"/>
      <w:bookmarkEnd w:id="245"/>
      <w:r>
        <w:rPr>
          <w:rFonts w:hint="eastAsia" w:asciiTheme="minorEastAsia" w:hAnsiTheme="minorEastAsia" w:eastAsiaTheme="minorEastAsia" w:cstheme="minorEastAsia"/>
          <w:szCs w:val="21"/>
        </w:rPr>
        <w:t xml:space="preserve">双方向有管辖权的仲 裁机关申请仲裁或直接向人民法院起诉。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仲裁费用或一切诉讼费用由败诉方承担。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仲裁及诉讼期间，发包人、承包人应继续履行合同规定的各自义务。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 索赔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7.2.1 承包人可按以下规定向发包人索赔： </w:t>
      </w:r>
    </w:p>
    <w:p>
      <w:pPr>
        <w:spacing w:line="440" w:lineRule="exact"/>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（1）有正当索赔理由，且有索赔事件发生时的有关证据；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（2）索赔事件发生后 20 天内，向发包人发出要求索赔的通知；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（3）发包人在接到索赔通知后 10 天内给予响应，或要求承包人进一步补充索赔理 由和证据，发包人在 10 天内未予答复，应视为该项索赔已经认可。</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 xml:space="preserve">    7.2.2 发包人可按以下规定向承包人索赔：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（1）有正当索赔理由，且有索赔事件发生时的有关证据；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（2）索赔事件发生后 20 天内，向承包人发出要求索赔的通知；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（3）承包人在接到索赔通知后 10 天内给予响应，或要求发包人进一步补充索赔理 由或证据，承包人在 10 天内未予答复，应视为该项索赔已经认可。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八、设备、人员事故的责任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承包人应为其执行本合同所投入的设备及雇佣的全部人员承担事故责任。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九、其它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9.1 下列文件应作为本合同的组成部分：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① 本合同及补充合同（如有）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② 投标书（发包人接受的部分）；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③ 双方认为必要的其它文件。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9.2 由于不可抗力因素致使合同无法履行时，双方应及时协商解决；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9.3 本合同未尽事宜，双方可签订补充协议作为附件，补充协议与合同具有同等法律效力；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9.4 合同有效期：本合同经双方代表签字盖章后生效。</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9.5 合同份数：合同正本 2 份，双方各执 1 份；副本 4 份，双方各执 2 份。 </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发包人：(盖公章)  承包人：(盖公章)</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法定代表人(或授权代表)：(签名)                      法定代表人(或授权代表)：(签字)</w:t>
      </w:r>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                                         地址：</w:t>
      </w:r>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邮编：                                         邮编：</w:t>
      </w:r>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传真：                                         传真：</w:t>
      </w:r>
    </w:p>
    <w:p>
      <w:pPr>
        <w:spacing w:line="440" w:lineRule="exact"/>
        <w:ind w:left="479" w:leftChars="22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开户行：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开户行：          ：</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账号：                                         账号：</w:t>
      </w:r>
    </w:p>
    <w:p>
      <w:pPr>
        <w:pStyle w:val="6"/>
        <w:numPr>
          <w:ilvl w:val="0"/>
          <w:numId w:val="0"/>
        </w:numPr>
        <w:ind w:leftChars="0"/>
        <w:jc w:val="both"/>
        <w:outlineLvl w:val="0"/>
        <w:rPr>
          <w:rFonts w:hint="eastAsia"/>
          <w:b/>
          <w:bCs/>
          <w:sz w:val="32"/>
          <w:szCs w:val="32"/>
        </w:rPr>
      </w:pPr>
    </w:p>
    <w:p>
      <w:pPr>
        <w:pStyle w:val="6"/>
        <w:numPr>
          <w:ilvl w:val="0"/>
          <w:numId w:val="0"/>
        </w:numPr>
        <w:ind w:leftChars="0"/>
        <w:jc w:val="center"/>
        <w:outlineLvl w:val="0"/>
        <w:rPr>
          <w:rFonts w:hint="eastAsia"/>
          <w:b/>
          <w:bCs/>
          <w:sz w:val="32"/>
          <w:szCs w:val="32"/>
        </w:rPr>
      </w:pPr>
      <w:r>
        <w:rPr>
          <w:rFonts w:hint="eastAsia"/>
          <w:b/>
          <w:bCs/>
          <w:sz w:val="32"/>
          <w:szCs w:val="32"/>
          <w:lang w:eastAsia="zh-CN"/>
        </w:rPr>
        <w:t>第五章</w:t>
      </w:r>
      <w:r>
        <w:rPr>
          <w:rFonts w:hint="eastAsia"/>
          <w:b/>
          <w:bCs/>
          <w:sz w:val="32"/>
          <w:szCs w:val="32"/>
          <w:lang w:val="en-US" w:eastAsia="zh-CN"/>
        </w:rPr>
        <w:t xml:space="preserve"> </w:t>
      </w:r>
      <w:r>
        <w:rPr>
          <w:rFonts w:hint="eastAsia"/>
          <w:b/>
          <w:bCs/>
          <w:sz w:val="32"/>
          <w:szCs w:val="32"/>
        </w:rPr>
        <w:t>采购内容及需求</w:t>
      </w:r>
    </w:p>
    <w:p>
      <w:pPr>
        <w:pStyle w:val="6"/>
        <w:numPr>
          <w:ilvl w:val="0"/>
          <w:numId w:val="8"/>
        </w:numPr>
        <w:ind w:firstLine="240" w:firstLineChars="100"/>
        <w:jc w:val="left"/>
        <w:rPr>
          <w:rFonts w:ascii="宋体" w:hAnsi="宋体" w:cs="宋体"/>
          <w:kern w:val="0"/>
          <w:sz w:val="24"/>
        </w:rPr>
      </w:pPr>
      <w:r>
        <w:rPr>
          <w:rFonts w:hint="eastAsia" w:ascii="宋体" w:hAnsi="宋体" w:cs="宋体"/>
          <w:kern w:val="0"/>
          <w:sz w:val="24"/>
        </w:rPr>
        <w:t>采购内容：</w:t>
      </w:r>
      <w:r>
        <w:rPr>
          <w:rFonts w:hint="eastAsia" w:ascii="宋体" w:hAnsi="宋体" w:cs="宋体"/>
          <w:kern w:val="0"/>
          <w:sz w:val="24"/>
          <w:lang w:eastAsia="zh-CN"/>
        </w:rPr>
        <w:t>采购</w:t>
      </w:r>
      <w:r>
        <w:rPr>
          <w:rFonts w:hint="eastAsia" w:ascii="宋体" w:hAnsi="宋体" w:cs="宋体"/>
          <w:kern w:val="0"/>
          <w:sz w:val="24"/>
          <w:lang w:val="en-US" w:eastAsia="zh-CN"/>
        </w:rPr>
        <w:t>超纯水机、全自动凯氏定氮仪、索氏抽提仪、高压灭菌器、近红外肉类快速分析仪等科研设备</w:t>
      </w:r>
      <w:r>
        <w:rPr>
          <w:rFonts w:hint="eastAsia" w:ascii="宋体" w:hAnsi="宋体" w:cs="宋体"/>
          <w:kern w:val="0"/>
          <w:sz w:val="24"/>
        </w:rPr>
        <w:t>。</w:t>
      </w:r>
    </w:p>
    <w:p>
      <w:pPr>
        <w:widowControl/>
        <w:numPr>
          <w:ilvl w:val="0"/>
          <w:numId w:val="8"/>
        </w:numPr>
        <w:spacing w:line="360" w:lineRule="exact"/>
        <w:ind w:firstLine="240" w:firstLineChars="100"/>
        <w:jc w:val="left"/>
        <w:textAlignment w:val="baseline"/>
        <w:rPr>
          <w:rFonts w:ascii="宋体" w:hAnsi="宋体" w:cs="宋体"/>
          <w:kern w:val="0"/>
          <w:sz w:val="24"/>
          <w:szCs w:val="16"/>
        </w:rPr>
      </w:pPr>
      <w:r>
        <w:rPr>
          <w:rFonts w:hint="eastAsia" w:ascii="宋体" w:hAnsi="宋体" w:cs="宋体"/>
          <w:kern w:val="0"/>
          <w:sz w:val="24"/>
          <w:szCs w:val="16"/>
        </w:rPr>
        <w:t>技术参数及要求：</w:t>
      </w:r>
    </w:p>
    <w:tbl>
      <w:tblPr>
        <w:tblStyle w:val="17"/>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810"/>
        <w:gridCol w:w="2256"/>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065" w:type="dxa"/>
            <w:vMerge w:val="restart"/>
            <w:noWrap w:val="0"/>
            <w:vAlign w:val="center"/>
          </w:tcPr>
          <w:p>
            <w:pPr>
              <w:jc w:val="center"/>
              <w:rPr>
                <w:rFonts w:ascii="仿宋_GB2312" w:hAnsi="微软雅黑" w:eastAsia="仿宋_GB2312"/>
                <w:b/>
                <w:color w:val="000000"/>
                <w:spacing w:val="8"/>
                <w:sz w:val="24"/>
                <w:szCs w:val="24"/>
              </w:rPr>
            </w:pPr>
            <w:r>
              <w:rPr>
                <w:rFonts w:hint="eastAsia" w:ascii="仿宋_GB2312" w:hAnsi="微软雅黑" w:eastAsia="仿宋_GB2312"/>
                <w:b/>
                <w:color w:val="000000"/>
                <w:spacing w:val="8"/>
                <w:sz w:val="24"/>
                <w:szCs w:val="24"/>
              </w:rPr>
              <w:t>序号</w:t>
            </w:r>
          </w:p>
        </w:tc>
        <w:tc>
          <w:tcPr>
            <w:tcW w:w="3810" w:type="dxa"/>
            <w:vMerge w:val="restart"/>
            <w:noWrap w:val="0"/>
            <w:vAlign w:val="center"/>
          </w:tcPr>
          <w:p>
            <w:pPr>
              <w:jc w:val="center"/>
              <w:rPr>
                <w:rFonts w:ascii="仿宋_GB2312" w:hAnsi="微软雅黑" w:eastAsia="仿宋_GB2312"/>
                <w:b/>
                <w:color w:val="000000"/>
                <w:spacing w:val="8"/>
                <w:sz w:val="24"/>
                <w:szCs w:val="24"/>
              </w:rPr>
            </w:pPr>
            <w:r>
              <w:rPr>
                <w:rFonts w:hint="eastAsia" w:ascii="仿宋_GB2312" w:hAnsi="微软雅黑" w:eastAsia="仿宋_GB2312"/>
                <w:b/>
                <w:color w:val="000000"/>
                <w:spacing w:val="8"/>
                <w:sz w:val="24"/>
                <w:szCs w:val="24"/>
                <w:highlight w:val="none"/>
                <w:lang w:eastAsia="zh-CN"/>
              </w:rPr>
              <w:t>采购</w:t>
            </w:r>
            <w:r>
              <w:rPr>
                <w:rFonts w:hint="eastAsia" w:ascii="仿宋_GB2312" w:hAnsi="微软雅黑" w:eastAsia="仿宋_GB2312"/>
                <w:b/>
                <w:color w:val="000000"/>
                <w:spacing w:val="8"/>
                <w:sz w:val="24"/>
                <w:szCs w:val="24"/>
                <w:highlight w:val="none"/>
              </w:rPr>
              <w:t>内容</w:t>
            </w:r>
          </w:p>
        </w:tc>
        <w:tc>
          <w:tcPr>
            <w:tcW w:w="2256" w:type="dxa"/>
            <w:vMerge w:val="restart"/>
            <w:noWrap w:val="0"/>
            <w:vAlign w:val="center"/>
          </w:tcPr>
          <w:p>
            <w:pPr>
              <w:jc w:val="center"/>
              <w:rPr>
                <w:rFonts w:ascii="仿宋_GB2312" w:hAnsi="微软雅黑" w:eastAsia="仿宋_GB2312"/>
                <w:b/>
                <w:color w:val="000000"/>
                <w:spacing w:val="8"/>
                <w:sz w:val="24"/>
                <w:szCs w:val="24"/>
              </w:rPr>
            </w:pPr>
            <w:r>
              <w:rPr>
                <w:rFonts w:hint="eastAsia" w:ascii="仿宋_GB2312" w:hAnsi="微软雅黑" w:eastAsia="仿宋_GB2312"/>
                <w:b/>
                <w:color w:val="000000"/>
                <w:spacing w:val="8"/>
                <w:sz w:val="24"/>
                <w:szCs w:val="24"/>
              </w:rPr>
              <w:t>数量</w:t>
            </w:r>
          </w:p>
        </w:tc>
        <w:tc>
          <w:tcPr>
            <w:tcW w:w="1846" w:type="dxa"/>
            <w:vMerge w:val="restart"/>
            <w:noWrap w:val="0"/>
            <w:vAlign w:val="center"/>
          </w:tcPr>
          <w:p>
            <w:pPr>
              <w:jc w:val="center"/>
              <w:rPr>
                <w:rFonts w:ascii="仿宋_GB2312" w:hAnsi="微软雅黑" w:eastAsia="仿宋_GB2312"/>
                <w:b/>
                <w:color w:val="000000"/>
                <w:spacing w:val="8"/>
                <w:sz w:val="24"/>
                <w:szCs w:val="24"/>
              </w:rPr>
            </w:pPr>
            <w:r>
              <w:rPr>
                <w:rFonts w:hint="eastAsia" w:ascii="仿宋_GB2312" w:hAnsi="微软雅黑" w:eastAsia="仿宋_GB2312"/>
                <w:b/>
                <w:color w:val="000000"/>
                <w:spacing w:val="8"/>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5" w:type="dxa"/>
            <w:vMerge w:val="continue"/>
            <w:noWrap w:val="0"/>
            <w:vAlign w:val="center"/>
          </w:tcPr>
          <w:p>
            <w:pPr>
              <w:jc w:val="center"/>
              <w:rPr>
                <w:rFonts w:ascii="仿宋_GB2312" w:hAnsi="微软雅黑" w:eastAsia="仿宋_GB2312"/>
                <w:b/>
                <w:color w:val="000000"/>
                <w:spacing w:val="8"/>
                <w:sz w:val="24"/>
                <w:szCs w:val="24"/>
              </w:rPr>
            </w:pPr>
          </w:p>
        </w:tc>
        <w:tc>
          <w:tcPr>
            <w:tcW w:w="3810" w:type="dxa"/>
            <w:vMerge w:val="continue"/>
            <w:noWrap w:val="0"/>
            <w:vAlign w:val="center"/>
          </w:tcPr>
          <w:p>
            <w:pPr>
              <w:jc w:val="center"/>
              <w:rPr>
                <w:rFonts w:ascii="仿宋_GB2312" w:hAnsi="微软雅黑" w:eastAsia="仿宋_GB2312"/>
                <w:b/>
                <w:color w:val="000000"/>
                <w:spacing w:val="8"/>
                <w:sz w:val="24"/>
                <w:szCs w:val="24"/>
              </w:rPr>
            </w:pPr>
          </w:p>
        </w:tc>
        <w:tc>
          <w:tcPr>
            <w:tcW w:w="2256" w:type="dxa"/>
            <w:vMerge w:val="continue"/>
            <w:noWrap w:val="0"/>
            <w:vAlign w:val="center"/>
          </w:tcPr>
          <w:p>
            <w:pPr>
              <w:jc w:val="center"/>
              <w:rPr>
                <w:rFonts w:ascii="仿宋_GB2312" w:hAnsi="微软雅黑" w:eastAsia="仿宋_GB2312"/>
                <w:b/>
                <w:color w:val="000000"/>
                <w:spacing w:val="8"/>
                <w:sz w:val="24"/>
                <w:szCs w:val="24"/>
              </w:rPr>
            </w:pPr>
          </w:p>
        </w:tc>
        <w:tc>
          <w:tcPr>
            <w:tcW w:w="1846" w:type="dxa"/>
            <w:vMerge w:val="continue"/>
            <w:noWrap w:val="0"/>
            <w:vAlign w:val="center"/>
          </w:tcPr>
          <w:p>
            <w:pPr>
              <w:jc w:val="center"/>
              <w:rPr>
                <w:rFonts w:ascii="仿宋_GB2312" w:hAnsi="微软雅黑" w:eastAsia="仿宋_GB2312"/>
                <w:b/>
                <w:color w:val="000000"/>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5" w:type="dxa"/>
            <w:noWrap w:val="0"/>
            <w:vAlign w:val="center"/>
          </w:tcPr>
          <w:p>
            <w:pPr>
              <w:jc w:val="center"/>
              <w:rPr>
                <w:rFonts w:ascii="仿宋" w:hAnsi="仿宋" w:eastAsia="仿宋"/>
                <w:bCs/>
                <w:color w:val="000000"/>
                <w:spacing w:val="8"/>
                <w:sz w:val="24"/>
                <w:szCs w:val="24"/>
              </w:rPr>
            </w:pPr>
            <w:r>
              <w:rPr>
                <w:rFonts w:hint="eastAsia" w:ascii="仿宋" w:hAnsi="仿宋" w:eastAsia="仿宋"/>
                <w:bCs/>
                <w:color w:val="000000"/>
                <w:spacing w:val="8"/>
                <w:sz w:val="24"/>
                <w:szCs w:val="24"/>
              </w:rPr>
              <w:t>1</w:t>
            </w:r>
          </w:p>
        </w:tc>
        <w:tc>
          <w:tcPr>
            <w:tcW w:w="3810" w:type="dxa"/>
            <w:noWrap w:val="0"/>
            <w:vAlign w:val="center"/>
          </w:tcPr>
          <w:p>
            <w:pPr>
              <w:jc w:val="center"/>
              <w:rPr>
                <w:rFonts w:ascii="仿宋" w:hAnsi="仿宋" w:eastAsia="仿宋"/>
                <w:bCs/>
                <w:color w:val="000000"/>
                <w:spacing w:val="8"/>
                <w:sz w:val="24"/>
                <w:szCs w:val="24"/>
              </w:rPr>
            </w:pPr>
            <w:r>
              <w:rPr>
                <w:rFonts w:hint="eastAsia" w:ascii="仿宋" w:hAnsi="仿宋" w:eastAsia="仿宋"/>
                <w:color w:val="000000"/>
                <w:sz w:val="24"/>
                <w:szCs w:val="24"/>
              </w:rPr>
              <w:t>超纯水机</w:t>
            </w:r>
          </w:p>
        </w:tc>
        <w:tc>
          <w:tcPr>
            <w:tcW w:w="2256" w:type="dxa"/>
            <w:noWrap w:val="0"/>
            <w:vAlign w:val="center"/>
          </w:tcPr>
          <w:p>
            <w:pPr>
              <w:jc w:val="center"/>
              <w:rPr>
                <w:rFonts w:ascii="仿宋" w:hAnsi="仿宋" w:eastAsia="仿宋" w:cs="仿宋"/>
                <w:bCs/>
                <w:color w:val="000000"/>
                <w:spacing w:val="8"/>
                <w:sz w:val="24"/>
                <w:szCs w:val="24"/>
              </w:rPr>
            </w:pPr>
            <w:r>
              <w:rPr>
                <w:rFonts w:hint="eastAsia" w:ascii="仿宋" w:hAnsi="仿宋" w:eastAsia="仿宋" w:cs="仿宋"/>
                <w:bCs/>
                <w:color w:val="000000"/>
                <w:spacing w:val="8"/>
                <w:sz w:val="24"/>
                <w:szCs w:val="24"/>
              </w:rPr>
              <w:t>1</w:t>
            </w:r>
          </w:p>
        </w:tc>
        <w:tc>
          <w:tcPr>
            <w:tcW w:w="1846" w:type="dxa"/>
            <w:noWrap w:val="0"/>
            <w:vAlign w:val="center"/>
          </w:tcPr>
          <w:p>
            <w:pPr>
              <w:jc w:val="center"/>
              <w:rPr>
                <w:rFonts w:ascii="仿宋" w:hAnsi="仿宋" w:eastAsia="仿宋" w:cs="仿宋"/>
                <w:bCs/>
                <w:color w:val="000000"/>
                <w:spacing w:val="8"/>
                <w:sz w:val="24"/>
                <w:szCs w:val="24"/>
              </w:rPr>
            </w:pPr>
            <w:r>
              <w:rPr>
                <w:rFonts w:hint="eastAsia" w:ascii="仿宋" w:hAnsi="仿宋" w:eastAsia="仿宋" w:cs="仿宋"/>
                <w:bCs/>
                <w:color w:val="000000"/>
                <w:spacing w:val="8"/>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5" w:type="dxa"/>
            <w:noWrap w:val="0"/>
            <w:vAlign w:val="center"/>
          </w:tcPr>
          <w:p>
            <w:pPr>
              <w:jc w:val="center"/>
              <w:rPr>
                <w:rFonts w:ascii="仿宋" w:hAnsi="仿宋" w:eastAsia="仿宋"/>
                <w:bCs/>
                <w:color w:val="000000"/>
                <w:spacing w:val="8"/>
                <w:sz w:val="24"/>
                <w:szCs w:val="24"/>
              </w:rPr>
            </w:pPr>
            <w:r>
              <w:rPr>
                <w:rFonts w:hint="eastAsia" w:ascii="仿宋" w:hAnsi="仿宋" w:eastAsia="仿宋"/>
                <w:bCs/>
                <w:color w:val="000000"/>
                <w:spacing w:val="8"/>
                <w:sz w:val="24"/>
                <w:szCs w:val="24"/>
              </w:rPr>
              <w:t>2</w:t>
            </w:r>
          </w:p>
        </w:tc>
        <w:tc>
          <w:tcPr>
            <w:tcW w:w="3810" w:type="dxa"/>
            <w:noWrap w:val="0"/>
            <w:vAlign w:val="center"/>
          </w:tcPr>
          <w:p>
            <w:pPr>
              <w:jc w:val="center"/>
              <w:rPr>
                <w:rFonts w:ascii="仿宋" w:hAnsi="仿宋" w:eastAsia="仿宋"/>
                <w:bCs/>
                <w:color w:val="000000"/>
                <w:spacing w:val="8"/>
                <w:sz w:val="24"/>
                <w:szCs w:val="24"/>
              </w:rPr>
            </w:pPr>
            <w:r>
              <w:rPr>
                <w:rFonts w:hint="eastAsia" w:ascii="仿宋" w:hAnsi="仿宋" w:eastAsia="仿宋"/>
                <w:color w:val="000000"/>
                <w:sz w:val="24"/>
                <w:szCs w:val="24"/>
              </w:rPr>
              <w:t>全自动凯氏定氮仪</w:t>
            </w:r>
          </w:p>
        </w:tc>
        <w:tc>
          <w:tcPr>
            <w:tcW w:w="2256" w:type="dxa"/>
            <w:noWrap w:val="0"/>
            <w:vAlign w:val="center"/>
          </w:tcPr>
          <w:p>
            <w:pPr>
              <w:jc w:val="center"/>
              <w:rPr>
                <w:rFonts w:ascii="仿宋" w:hAnsi="仿宋" w:eastAsia="仿宋" w:cs="仿宋"/>
                <w:bCs/>
                <w:color w:val="000000"/>
                <w:spacing w:val="8"/>
                <w:sz w:val="24"/>
                <w:szCs w:val="24"/>
              </w:rPr>
            </w:pPr>
            <w:r>
              <w:rPr>
                <w:rFonts w:hint="eastAsia" w:ascii="仿宋" w:hAnsi="仿宋" w:eastAsia="仿宋" w:cs="仿宋"/>
                <w:bCs/>
                <w:color w:val="000000"/>
                <w:spacing w:val="8"/>
                <w:sz w:val="24"/>
                <w:szCs w:val="24"/>
              </w:rPr>
              <w:t>1</w:t>
            </w:r>
          </w:p>
        </w:tc>
        <w:tc>
          <w:tcPr>
            <w:tcW w:w="1846" w:type="dxa"/>
            <w:noWrap w:val="0"/>
            <w:vAlign w:val="center"/>
          </w:tcPr>
          <w:p>
            <w:pPr>
              <w:jc w:val="center"/>
              <w:rPr>
                <w:rFonts w:ascii="仿宋" w:hAnsi="仿宋" w:eastAsia="仿宋" w:cs="仿宋"/>
                <w:bCs/>
                <w:color w:val="000000"/>
                <w:spacing w:val="8"/>
                <w:sz w:val="24"/>
                <w:szCs w:val="24"/>
              </w:rPr>
            </w:pPr>
            <w:r>
              <w:rPr>
                <w:rFonts w:hint="eastAsia" w:ascii="仿宋" w:hAnsi="仿宋" w:eastAsia="仿宋" w:cs="仿宋"/>
                <w:bCs/>
                <w:color w:val="000000"/>
                <w:spacing w:val="8"/>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5" w:type="dxa"/>
            <w:noWrap w:val="0"/>
            <w:vAlign w:val="top"/>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3</w:t>
            </w:r>
          </w:p>
        </w:tc>
        <w:tc>
          <w:tcPr>
            <w:tcW w:w="3810" w:type="dxa"/>
            <w:noWrap w:val="0"/>
            <w:vAlign w:val="center"/>
          </w:tcPr>
          <w:p>
            <w:pPr>
              <w:widowControl/>
              <w:jc w:val="center"/>
              <w:textAlignment w:val="center"/>
              <w:rPr>
                <w:rFonts w:ascii="仿宋" w:hAnsi="仿宋" w:eastAsia="仿宋" w:cs="仿宋"/>
                <w:color w:val="000000"/>
                <w:spacing w:val="8"/>
                <w:sz w:val="24"/>
                <w:szCs w:val="24"/>
              </w:rPr>
            </w:pPr>
            <w:r>
              <w:rPr>
                <w:rFonts w:hint="eastAsia" w:ascii="仿宋" w:hAnsi="仿宋" w:eastAsia="仿宋"/>
                <w:color w:val="000000"/>
                <w:sz w:val="24"/>
                <w:szCs w:val="24"/>
              </w:rPr>
              <w:t>索氏抽提仪</w:t>
            </w:r>
          </w:p>
        </w:tc>
        <w:tc>
          <w:tcPr>
            <w:tcW w:w="2256" w:type="dxa"/>
            <w:noWrap w:val="0"/>
            <w:vAlign w:val="center"/>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1</w:t>
            </w:r>
          </w:p>
        </w:tc>
        <w:tc>
          <w:tcPr>
            <w:tcW w:w="1846" w:type="dxa"/>
            <w:noWrap w:val="0"/>
            <w:vAlign w:val="center"/>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5" w:type="dxa"/>
            <w:noWrap w:val="0"/>
            <w:vAlign w:val="top"/>
          </w:tcPr>
          <w:p>
            <w:pPr>
              <w:jc w:val="center"/>
              <w:rPr>
                <w:rFonts w:ascii="仿宋" w:hAnsi="仿宋" w:eastAsia="仿宋" w:cs="仿宋"/>
                <w:color w:val="000000"/>
                <w:spacing w:val="8"/>
                <w:sz w:val="24"/>
                <w:szCs w:val="24"/>
              </w:rPr>
            </w:pPr>
            <w:r>
              <w:rPr>
                <w:rFonts w:ascii="仿宋" w:hAnsi="仿宋" w:eastAsia="仿宋" w:cs="仿宋"/>
                <w:bCs/>
                <w:color w:val="000000"/>
                <w:spacing w:val="8"/>
                <w:sz w:val="24"/>
                <w:szCs w:val="24"/>
              </w:rPr>
              <w:t>4</w:t>
            </w:r>
          </w:p>
        </w:tc>
        <w:tc>
          <w:tcPr>
            <w:tcW w:w="3810" w:type="dxa"/>
            <w:noWrap w:val="0"/>
            <w:vAlign w:val="center"/>
          </w:tcPr>
          <w:p>
            <w:pPr>
              <w:widowControl/>
              <w:jc w:val="center"/>
              <w:textAlignment w:val="center"/>
              <w:rPr>
                <w:rFonts w:ascii="仿宋" w:hAnsi="仿宋" w:eastAsia="仿宋" w:cs="仿宋"/>
                <w:color w:val="000000"/>
                <w:spacing w:val="8"/>
                <w:sz w:val="24"/>
                <w:szCs w:val="24"/>
              </w:rPr>
            </w:pPr>
            <w:r>
              <w:rPr>
                <w:rFonts w:hint="eastAsia" w:ascii="仿宋" w:hAnsi="仿宋" w:eastAsia="仿宋" w:cs="仿宋"/>
                <w:color w:val="000000"/>
                <w:kern w:val="0"/>
                <w:sz w:val="24"/>
                <w:szCs w:val="24"/>
                <w:lang w:bidi="ar"/>
              </w:rPr>
              <w:t>高压灭菌器</w:t>
            </w:r>
          </w:p>
        </w:tc>
        <w:tc>
          <w:tcPr>
            <w:tcW w:w="2256" w:type="dxa"/>
            <w:noWrap w:val="0"/>
            <w:vAlign w:val="top"/>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1</w:t>
            </w:r>
          </w:p>
        </w:tc>
        <w:tc>
          <w:tcPr>
            <w:tcW w:w="1846" w:type="dxa"/>
            <w:noWrap w:val="0"/>
            <w:vAlign w:val="top"/>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5" w:type="dxa"/>
            <w:noWrap w:val="0"/>
            <w:vAlign w:val="top"/>
          </w:tcPr>
          <w:p>
            <w:pPr>
              <w:jc w:val="center"/>
              <w:rPr>
                <w:rFonts w:ascii="仿宋" w:hAnsi="仿宋" w:eastAsia="仿宋" w:cs="仿宋"/>
                <w:bCs/>
                <w:color w:val="000000"/>
                <w:spacing w:val="8"/>
                <w:sz w:val="24"/>
                <w:szCs w:val="24"/>
              </w:rPr>
            </w:pPr>
            <w:r>
              <w:rPr>
                <w:rFonts w:ascii="仿宋" w:hAnsi="仿宋" w:eastAsia="仿宋" w:cs="仿宋"/>
                <w:bCs/>
                <w:color w:val="000000"/>
                <w:spacing w:val="8"/>
                <w:sz w:val="24"/>
                <w:szCs w:val="24"/>
              </w:rPr>
              <w:t>5</w:t>
            </w:r>
          </w:p>
        </w:tc>
        <w:tc>
          <w:tcPr>
            <w:tcW w:w="3810" w:type="dxa"/>
            <w:noWrap w:val="0"/>
            <w:vAlign w:val="center"/>
          </w:tcPr>
          <w:p>
            <w:pPr>
              <w:widowControl/>
              <w:jc w:val="center"/>
              <w:textAlignment w:val="center"/>
              <w:rPr>
                <w:rFonts w:ascii="仿宋" w:hAnsi="仿宋" w:eastAsia="仿宋" w:cs="仿宋"/>
                <w:color w:val="000000"/>
                <w:spacing w:val="8"/>
                <w:sz w:val="24"/>
                <w:szCs w:val="24"/>
              </w:rPr>
            </w:pPr>
            <w:r>
              <w:rPr>
                <w:rFonts w:hint="eastAsia" w:ascii="仿宋" w:hAnsi="仿宋" w:eastAsia="仿宋" w:cs="仿宋"/>
                <w:color w:val="000000"/>
                <w:kern w:val="0"/>
                <w:sz w:val="24"/>
                <w:szCs w:val="24"/>
                <w:lang w:bidi="ar"/>
              </w:rPr>
              <w:t>万能蒸烤箱</w:t>
            </w:r>
          </w:p>
        </w:tc>
        <w:tc>
          <w:tcPr>
            <w:tcW w:w="2256" w:type="dxa"/>
            <w:noWrap w:val="0"/>
            <w:vAlign w:val="top"/>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1</w:t>
            </w:r>
          </w:p>
        </w:tc>
        <w:tc>
          <w:tcPr>
            <w:tcW w:w="1846" w:type="dxa"/>
            <w:noWrap w:val="0"/>
            <w:vAlign w:val="top"/>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5" w:type="dxa"/>
            <w:noWrap w:val="0"/>
            <w:vAlign w:val="top"/>
          </w:tcPr>
          <w:p>
            <w:pPr>
              <w:jc w:val="center"/>
              <w:rPr>
                <w:rFonts w:ascii="仿宋" w:hAnsi="仿宋" w:eastAsia="仿宋" w:cs="仿宋"/>
                <w:bCs/>
                <w:color w:val="000000"/>
                <w:spacing w:val="8"/>
                <w:sz w:val="24"/>
                <w:szCs w:val="24"/>
              </w:rPr>
            </w:pPr>
            <w:r>
              <w:rPr>
                <w:rFonts w:ascii="仿宋" w:hAnsi="仿宋" w:eastAsia="仿宋" w:cs="仿宋"/>
                <w:bCs/>
                <w:color w:val="000000"/>
                <w:spacing w:val="8"/>
                <w:sz w:val="24"/>
                <w:szCs w:val="24"/>
              </w:rPr>
              <w:t>6</w:t>
            </w:r>
          </w:p>
        </w:tc>
        <w:tc>
          <w:tcPr>
            <w:tcW w:w="3810" w:type="dxa"/>
            <w:noWrap w:val="0"/>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液相色谱</w:t>
            </w:r>
          </w:p>
        </w:tc>
        <w:tc>
          <w:tcPr>
            <w:tcW w:w="2256" w:type="dxa"/>
            <w:noWrap w:val="0"/>
            <w:vAlign w:val="top"/>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1</w:t>
            </w:r>
          </w:p>
        </w:tc>
        <w:tc>
          <w:tcPr>
            <w:tcW w:w="1846" w:type="dxa"/>
            <w:noWrap w:val="0"/>
            <w:vAlign w:val="top"/>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5" w:type="dxa"/>
            <w:noWrap w:val="0"/>
            <w:vAlign w:val="top"/>
          </w:tcPr>
          <w:p>
            <w:pPr>
              <w:jc w:val="center"/>
              <w:rPr>
                <w:rFonts w:ascii="仿宋" w:hAnsi="仿宋" w:eastAsia="仿宋" w:cs="仿宋"/>
                <w:bCs/>
                <w:color w:val="000000"/>
                <w:spacing w:val="8"/>
                <w:sz w:val="24"/>
                <w:szCs w:val="24"/>
              </w:rPr>
            </w:pPr>
            <w:r>
              <w:rPr>
                <w:rFonts w:ascii="仿宋" w:hAnsi="仿宋" w:eastAsia="仿宋" w:cs="仿宋"/>
                <w:bCs/>
                <w:color w:val="000000"/>
                <w:spacing w:val="8"/>
                <w:sz w:val="24"/>
                <w:szCs w:val="24"/>
              </w:rPr>
              <w:t>7</w:t>
            </w:r>
          </w:p>
        </w:tc>
        <w:tc>
          <w:tcPr>
            <w:tcW w:w="3810" w:type="dxa"/>
            <w:noWrap w:val="0"/>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净水器</w:t>
            </w:r>
          </w:p>
        </w:tc>
        <w:tc>
          <w:tcPr>
            <w:tcW w:w="2256" w:type="dxa"/>
            <w:noWrap w:val="0"/>
            <w:vAlign w:val="top"/>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1</w:t>
            </w:r>
          </w:p>
        </w:tc>
        <w:tc>
          <w:tcPr>
            <w:tcW w:w="1846" w:type="dxa"/>
            <w:noWrap w:val="0"/>
            <w:vAlign w:val="top"/>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5" w:type="dxa"/>
            <w:noWrap w:val="0"/>
            <w:vAlign w:val="top"/>
          </w:tcPr>
          <w:p>
            <w:pPr>
              <w:jc w:val="center"/>
              <w:rPr>
                <w:rFonts w:ascii="仿宋" w:hAnsi="仿宋" w:eastAsia="仿宋" w:cs="仿宋"/>
                <w:bCs/>
                <w:color w:val="000000"/>
                <w:spacing w:val="8"/>
                <w:sz w:val="24"/>
                <w:szCs w:val="24"/>
              </w:rPr>
            </w:pPr>
            <w:r>
              <w:rPr>
                <w:rFonts w:ascii="仿宋" w:hAnsi="仿宋" w:eastAsia="仿宋" w:cs="仿宋"/>
                <w:bCs/>
                <w:color w:val="000000"/>
                <w:spacing w:val="8"/>
                <w:sz w:val="24"/>
                <w:szCs w:val="24"/>
              </w:rPr>
              <w:t>8</w:t>
            </w:r>
          </w:p>
        </w:tc>
        <w:tc>
          <w:tcPr>
            <w:tcW w:w="3810" w:type="dxa"/>
            <w:noWrap w:val="0"/>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制冰机</w:t>
            </w:r>
          </w:p>
        </w:tc>
        <w:tc>
          <w:tcPr>
            <w:tcW w:w="2256" w:type="dxa"/>
            <w:noWrap w:val="0"/>
            <w:vAlign w:val="top"/>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2</w:t>
            </w:r>
          </w:p>
        </w:tc>
        <w:tc>
          <w:tcPr>
            <w:tcW w:w="1846" w:type="dxa"/>
            <w:noWrap w:val="0"/>
            <w:vAlign w:val="top"/>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5" w:type="dxa"/>
            <w:noWrap w:val="0"/>
            <w:vAlign w:val="top"/>
          </w:tcPr>
          <w:p>
            <w:pPr>
              <w:jc w:val="center"/>
              <w:rPr>
                <w:rFonts w:ascii="仿宋" w:hAnsi="仿宋" w:eastAsia="仿宋" w:cs="仿宋"/>
                <w:bCs/>
                <w:color w:val="000000"/>
                <w:spacing w:val="8"/>
                <w:sz w:val="24"/>
                <w:szCs w:val="24"/>
              </w:rPr>
            </w:pPr>
            <w:r>
              <w:rPr>
                <w:rFonts w:ascii="仿宋" w:hAnsi="仿宋" w:eastAsia="仿宋" w:cs="仿宋"/>
                <w:bCs/>
                <w:color w:val="000000"/>
                <w:spacing w:val="8"/>
                <w:sz w:val="24"/>
                <w:szCs w:val="24"/>
              </w:rPr>
              <w:t>9</w:t>
            </w:r>
          </w:p>
        </w:tc>
        <w:tc>
          <w:tcPr>
            <w:tcW w:w="3810" w:type="dxa"/>
            <w:noWrap w:val="0"/>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气相色谱</w:t>
            </w:r>
          </w:p>
        </w:tc>
        <w:tc>
          <w:tcPr>
            <w:tcW w:w="2256" w:type="dxa"/>
            <w:noWrap w:val="0"/>
            <w:vAlign w:val="top"/>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1</w:t>
            </w:r>
          </w:p>
        </w:tc>
        <w:tc>
          <w:tcPr>
            <w:tcW w:w="1846" w:type="dxa"/>
            <w:noWrap w:val="0"/>
            <w:vAlign w:val="top"/>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65" w:type="dxa"/>
            <w:noWrap w:val="0"/>
            <w:vAlign w:val="top"/>
          </w:tcPr>
          <w:p>
            <w:pPr>
              <w:jc w:val="center"/>
              <w:rPr>
                <w:rFonts w:ascii="仿宋" w:hAnsi="仿宋" w:eastAsia="仿宋" w:cs="仿宋"/>
                <w:bCs/>
                <w:color w:val="000000"/>
                <w:spacing w:val="8"/>
                <w:sz w:val="24"/>
                <w:szCs w:val="24"/>
              </w:rPr>
            </w:pPr>
            <w:r>
              <w:rPr>
                <w:rFonts w:hint="eastAsia" w:ascii="仿宋" w:hAnsi="仿宋" w:eastAsia="仿宋" w:cs="仿宋"/>
                <w:bCs/>
                <w:color w:val="000000"/>
                <w:spacing w:val="8"/>
                <w:sz w:val="24"/>
                <w:szCs w:val="24"/>
              </w:rPr>
              <w:t>1</w:t>
            </w:r>
            <w:r>
              <w:rPr>
                <w:rFonts w:ascii="仿宋" w:hAnsi="仿宋" w:eastAsia="仿宋" w:cs="仿宋"/>
                <w:bCs/>
                <w:color w:val="000000"/>
                <w:spacing w:val="8"/>
                <w:sz w:val="24"/>
                <w:szCs w:val="24"/>
              </w:rPr>
              <w:t>0</w:t>
            </w:r>
          </w:p>
        </w:tc>
        <w:tc>
          <w:tcPr>
            <w:tcW w:w="3810" w:type="dxa"/>
            <w:noWrap w:val="0"/>
            <w:vAlign w:val="bottom"/>
          </w:tcPr>
          <w:p>
            <w:pPr>
              <w:widowControl/>
              <w:jc w:val="left"/>
              <w:textAlignment w:val="bottom"/>
              <w:rPr>
                <w:rFonts w:ascii="仿宋" w:hAnsi="仿宋" w:eastAsia="仿宋" w:cs="等线"/>
                <w:color w:val="000000"/>
                <w:sz w:val="24"/>
                <w:szCs w:val="24"/>
              </w:rPr>
            </w:pPr>
            <w:r>
              <w:rPr>
                <w:rFonts w:hint="eastAsia" w:ascii="仿宋" w:hAnsi="仿宋" w:eastAsia="仿宋" w:cs="等线"/>
                <w:color w:val="000000"/>
                <w:kern w:val="0"/>
                <w:sz w:val="24"/>
                <w:szCs w:val="24"/>
                <w:lang w:bidi="ar"/>
              </w:rPr>
              <w:t>原子吸收分光光度计（火焰石墨烯一体机）</w:t>
            </w:r>
          </w:p>
        </w:tc>
        <w:tc>
          <w:tcPr>
            <w:tcW w:w="2256" w:type="dxa"/>
            <w:noWrap w:val="0"/>
            <w:vAlign w:val="top"/>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1</w:t>
            </w:r>
          </w:p>
        </w:tc>
        <w:tc>
          <w:tcPr>
            <w:tcW w:w="1846" w:type="dxa"/>
            <w:noWrap w:val="0"/>
            <w:vAlign w:val="top"/>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5" w:type="dxa"/>
            <w:noWrap w:val="0"/>
            <w:vAlign w:val="top"/>
          </w:tcPr>
          <w:p>
            <w:pPr>
              <w:jc w:val="center"/>
              <w:rPr>
                <w:rFonts w:ascii="仿宋" w:hAnsi="仿宋" w:eastAsia="仿宋" w:cs="仿宋"/>
                <w:bCs/>
                <w:color w:val="000000"/>
                <w:spacing w:val="8"/>
                <w:sz w:val="24"/>
                <w:szCs w:val="24"/>
              </w:rPr>
            </w:pPr>
            <w:r>
              <w:rPr>
                <w:rFonts w:hint="eastAsia" w:ascii="仿宋" w:hAnsi="仿宋" w:eastAsia="仿宋" w:cs="仿宋"/>
                <w:bCs/>
                <w:color w:val="000000"/>
                <w:spacing w:val="8"/>
                <w:sz w:val="24"/>
                <w:szCs w:val="24"/>
              </w:rPr>
              <w:t>1</w:t>
            </w:r>
            <w:r>
              <w:rPr>
                <w:rFonts w:ascii="仿宋" w:hAnsi="仿宋" w:eastAsia="仿宋" w:cs="仿宋"/>
                <w:bCs/>
                <w:color w:val="000000"/>
                <w:spacing w:val="8"/>
                <w:sz w:val="24"/>
                <w:szCs w:val="24"/>
              </w:rPr>
              <w:t>1</w:t>
            </w:r>
          </w:p>
        </w:tc>
        <w:tc>
          <w:tcPr>
            <w:tcW w:w="3810" w:type="dxa"/>
            <w:noWrap w:val="0"/>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近红外肉类快速分析仪</w:t>
            </w:r>
          </w:p>
        </w:tc>
        <w:tc>
          <w:tcPr>
            <w:tcW w:w="2256" w:type="dxa"/>
            <w:noWrap w:val="0"/>
            <w:vAlign w:val="top"/>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1</w:t>
            </w:r>
          </w:p>
        </w:tc>
        <w:tc>
          <w:tcPr>
            <w:tcW w:w="1846" w:type="dxa"/>
            <w:noWrap w:val="0"/>
            <w:vAlign w:val="top"/>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5" w:type="dxa"/>
            <w:noWrap w:val="0"/>
            <w:vAlign w:val="top"/>
          </w:tcPr>
          <w:p>
            <w:pPr>
              <w:jc w:val="center"/>
              <w:rPr>
                <w:rFonts w:ascii="仿宋" w:hAnsi="仿宋" w:eastAsia="仿宋" w:cs="仿宋"/>
                <w:bCs/>
                <w:color w:val="000000"/>
                <w:spacing w:val="8"/>
                <w:sz w:val="24"/>
                <w:szCs w:val="24"/>
              </w:rPr>
            </w:pPr>
            <w:r>
              <w:rPr>
                <w:rFonts w:hint="eastAsia" w:ascii="仿宋" w:hAnsi="仿宋" w:eastAsia="仿宋" w:cs="仿宋"/>
                <w:bCs/>
                <w:color w:val="000000"/>
                <w:spacing w:val="8"/>
                <w:sz w:val="24"/>
                <w:szCs w:val="24"/>
              </w:rPr>
              <w:t>1</w:t>
            </w:r>
            <w:r>
              <w:rPr>
                <w:rFonts w:ascii="仿宋" w:hAnsi="仿宋" w:eastAsia="仿宋" w:cs="仿宋"/>
                <w:bCs/>
                <w:color w:val="000000"/>
                <w:spacing w:val="8"/>
                <w:sz w:val="24"/>
                <w:szCs w:val="24"/>
              </w:rPr>
              <w:t>2</w:t>
            </w:r>
          </w:p>
        </w:tc>
        <w:tc>
          <w:tcPr>
            <w:tcW w:w="3810" w:type="dxa"/>
            <w:noWrap w:val="0"/>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电子秤</w:t>
            </w:r>
          </w:p>
        </w:tc>
        <w:tc>
          <w:tcPr>
            <w:tcW w:w="2256" w:type="dxa"/>
            <w:noWrap w:val="0"/>
            <w:vAlign w:val="top"/>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1</w:t>
            </w:r>
          </w:p>
        </w:tc>
        <w:tc>
          <w:tcPr>
            <w:tcW w:w="1846" w:type="dxa"/>
            <w:noWrap w:val="0"/>
            <w:vAlign w:val="top"/>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5" w:type="dxa"/>
            <w:noWrap w:val="0"/>
            <w:vAlign w:val="top"/>
          </w:tcPr>
          <w:p>
            <w:pPr>
              <w:jc w:val="center"/>
              <w:rPr>
                <w:rFonts w:ascii="仿宋" w:hAnsi="仿宋" w:eastAsia="仿宋" w:cs="仿宋"/>
                <w:bCs/>
                <w:color w:val="000000"/>
                <w:spacing w:val="8"/>
                <w:sz w:val="24"/>
                <w:szCs w:val="24"/>
              </w:rPr>
            </w:pPr>
            <w:r>
              <w:rPr>
                <w:rFonts w:ascii="仿宋" w:hAnsi="仿宋" w:eastAsia="仿宋" w:cs="仿宋"/>
                <w:bCs/>
                <w:color w:val="000000"/>
                <w:spacing w:val="8"/>
                <w:sz w:val="24"/>
                <w:szCs w:val="24"/>
              </w:rPr>
              <w:t>13</w:t>
            </w:r>
          </w:p>
        </w:tc>
        <w:tc>
          <w:tcPr>
            <w:tcW w:w="3810" w:type="dxa"/>
            <w:noWrap w:val="0"/>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olor w:val="000000"/>
                <w:sz w:val="24"/>
                <w:szCs w:val="24"/>
              </w:rPr>
              <w:t>高压灭菌器</w:t>
            </w:r>
          </w:p>
        </w:tc>
        <w:tc>
          <w:tcPr>
            <w:tcW w:w="2256" w:type="dxa"/>
            <w:noWrap w:val="0"/>
            <w:vAlign w:val="top"/>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1</w:t>
            </w:r>
          </w:p>
        </w:tc>
        <w:tc>
          <w:tcPr>
            <w:tcW w:w="1846" w:type="dxa"/>
            <w:noWrap w:val="0"/>
            <w:vAlign w:val="top"/>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5" w:type="dxa"/>
            <w:noWrap w:val="0"/>
            <w:vAlign w:val="top"/>
          </w:tcPr>
          <w:p>
            <w:pPr>
              <w:jc w:val="center"/>
              <w:rPr>
                <w:rFonts w:ascii="仿宋" w:hAnsi="仿宋" w:eastAsia="仿宋" w:cs="仿宋"/>
                <w:bCs/>
                <w:color w:val="000000"/>
                <w:spacing w:val="8"/>
                <w:sz w:val="24"/>
                <w:szCs w:val="24"/>
              </w:rPr>
            </w:pPr>
            <w:r>
              <w:rPr>
                <w:rFonts w:hint="eastAsia" w:ascii="仿宋" w:hAnsi="仿宋" w:eastAsia="仿宋" w:cs="仿宋"/>
                <w:bCs/>
                <w:color w:val="000000"/>
                <w:spacing w:val="8"/>
                <w:sz w:val="24"/>
                <w:szCs w:val="24"/>
              </w:rPr>
              <w:t>1</w:t>
            </w:r>
            <w:r>
              <w:rPr>
                <w:rFonts w:ascii="仿宋" w:hAnsi="仿宋" w:eastAsia="仿宋" w:cs="仿宋"/>
                <w:bCs/>
                <w:color w:val="000000"/>
                <w:spacing w:val="8"/>
                <w:sz w:val="24"/>
                <w:szCs w:val="24"/>
              </w:rPr>
              <w:t>4</w:t>
            </w:r>
          </w:p>
        </w:tc>
        <w:tc>
          <w:tcPr>
            <w:tcW w:w="3810" w:type="dxa"/>
            <w:noWrap w:val="0"/>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冰柜</w:t>
            </w:r>
          </w:p>
        </w:tc>
        <w:tc>
          <w:tcPr>
            <w:tcW w:w="2256" w:type="dxa"/>
            <w:noWrap w:val="0"/>
            <w:vAlign w:val="top"/>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1</w:t>
            </w:r>
          </w:p>
        </w:tc>
        <w:tc>
          <w:tcPr>
            <w:tcW w:w="1846" w:type="dxa"/>
            <w:noWrap w:val="0"/>
            <w:vAlign w:val="top"/>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5" w:type="dxa"/>
            <w:noWrap w:val="0"/>
            <w:vAlign w:val="top"/>
          </w:tcPr>
          <w:p>
            <w:pPr>
              <w:jc w:val="center"/>
              <w:rPr>
                <w:rFonts w:ascii="仿宋" w:hAnsi="仿宋" w:eastAsia="仿宋" w:cs="仿宋"/>
                <w:bCs/>
                <w:color w:val="000000"/>
                <w:spacing w:val="8"/>
                <w:sz w:val="24"/>
                <w:szCs w:val="24"/>
              </w:rPr>
            </w:pPr>
            <w:r>
              <w:rPr>
                <w:rFonts w:hint="eastAsia" w:ascii="仿宋" w:hAnsi="仿宋" w:eastAsia="仿宋" w:cs="仿宋"/>
                <w:bCs/>
                <w:color w:val="000000"/>
                <w:spacing w:val="8"/>
                <w:sz w:val="24"/>
                <w:szCs w:val="24"/>
              </w:rPr>
              <w:t>1</w:t>
            </w:r>
            <w:r>
              <w:rPr>
                <w:rFonts w:ascii="仿宋" w:hAnsi="仿宋" w:eastAsia="仿宋" w:cs="仿宋"/>
                <w:bCs/>
                <w:color w:val="000000"/>
                <w:spacing w:val="8"/>
                <w:sz w:val="24"/>
                <w:szCs w:val="24"/>
              </w:rPr>
              <w:t>5</w:t>
            </w:r>
          </w:p>
        </w:tc>
        <w:tc>
          <w:tcPr>
            <w:tcW w:w="3810" w:type="dxa"/>
            <w:noWrap w:val="0"/>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电扒炉</w:t>
            </w:r>
          </w:p>
        </w:tc>
        <w:tc>
          <w:tcPr>
            <w:tcW w:w="2256" w:type="dxa"/>
            <w:noWrap w:val="0"/>
            <w:vAlign w:val="top"/>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1</w:t>
            </w:r>
          </w:p>
        </w:tc>
        <w:tc>
          <w:tcPr>
            <w:tcW w:w="1846" w:type="dxa"/>
            <w:noWrap w:val="0"/>
            <w:vAlign w:val="top"/>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5" w:type="dxa"/>
            <w:noWrap w:val="0"/>
            <w:vAlign w:val="top"/>
          </w:tcPr>
          <w:p>
            <w:pPr>
              <w:jc w:val="center"/>
              <w:rPr>
                <w:rFonts w:ascii="仿宋" w:hAnsi="仿宋" w:eastAsia="仿宋" w:cs="仿宋"/>
                <w:bCs/>
                <w:color w:val="000000"/>
                <w:spacing w:val="8"/>
                <w:sz w:val="24"/>
                <w:szCs w:val="24"/>
              </w:rPr>
            </w:pPr>
            <w:r>
              <w:rPr>
                <w:rFonts w:hint="eastAsia" w:ascii="仿宋" w:hAnsi="仿宋" w:eastAsia="仿宋" w:cs="仿宋"/>
                <w:bCs/>
                <w:color w:val="000000"/>
                <w:spacing w:val="8"/>
                <w:sz w:val="24"/>
                <w:szCs w:val="24"/>
              </w:rPr>
              <w:t>1</w:t>
            </w:r>
            <w:r>
              <w:rPr>
                <w:rFonts w:ascii="仿宋" w:hAnsi="仿宋" w:eastAsia="仿宋" w:cs="仿宋"/>
                <w:bCs/>
                <w:color w:val="000000"/>
                <w:spacing w:val="8"/>
                <w:sz w:val="24"/>
                <w:szCs w:val="24"/>
              </w:rPr>
              <w:t>6</w:t>
            </w:r>
          </w:p>
        </w:tc>
        <w:tc>
          <w:tcPr>
            <w:tcW w:w="3810" w:type="dxa"/>
            <w:noWrap w:val="0"/>
            <w:vAlign w:val="center"/>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生物洁净安全柜</w:t>
            </w:r>
          </w:p>
        </w:tc>
        <w:tc>
          <w:tcPr>
            <w:tcW w:w="2256" w:type="dxa"/>
            <w:noWrap w:val="0"/>
            <w:vAlign w:val="top"/>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1</w:t>
            </w:r>
          </w:p>
        </w:tc>
        <w:tc>
          <w:tcPr>
            <w:tcW w:w="1846" w:type="dxa"/>
            <w:noWrap w:val="0"/>
            <w:vAlign w:val="top"/>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65" w:type="dxa"/>
            <w:noWrap w:val="0"/>
            <w:vAlign w:val="top"/>
          </w:tcPr>
          <w:p>
            <w:pPr>
              <w:jc w:val="center"/>
              <w:rPr>
                <w:rFonts w:ascii="仿宋" w:hAnsi="仿宋" w:eastAsia="仿宋" w:cs="仿宋"/>
                <w:bCs/>
                <w:color w:val="000000"/>
                <w:spacing w:val="8"/>
                <w:sz w:val="24"/>
                <w:szCs w:val="24"/>
              </w:rPr>
            </w:pPr>
            <w:r>
              <w:rPr>
                <w:rFonts w:ascii="仿宋" w:hAnsi="仿宋" w:eastAsia="仿宋" w:cs="仿宋"/>
                <w:bCs/>
                <w:color w:val="000000"/>
                <w:spacing w:val="8"/>
                <w:sz w:val="24"/>
                <w:szCs w:val="24"/>
              </w:rPr>
              <w:t>17</w:t>
            </w:r>
          </w:p>
        </w:tc>
        <w:tc>
          <w:tcPr>
            <w:tcW w:w="3810" w:type="dxa"/>
            <w:noWrap w:val="0"/>
            <w:vAlign w:val="center"/>
          </w:tcPr>
          <w:p>
            <w:pPr>
              <w:jc w:val="center"/>
              <w:rPr>
                <w:rFonts w:hint="eastAsia" w:ascii="仿宋" w:hAnsi="仿宋" w:eastAsia="仿宋" w:cs="仿宋"/>
                <w:color w:val="000000"/>
                <w:spacing w:val="8"/>
                <w:sz w:val="24"/>
                <w:szCs w:val="24"/>
              </w:rPr>
            </w:pPr>
            <w:r>
              <w:rPr>
                <w:rFonts w:hint="eastAsia" w:ascii="仿宋" w:hAnsi="仿宋" w:eastAsia="仿宋" w:cs="仿宋"/>
                <w:color w:val="000000"/>
                <w:spacing w:val="8"/>
                <w:sz w:val="24"/>
                <w:szCs w:val="24"/>
              </w:rPr>
              <w:t>电热恒温培养箱</w:t>
            </w:r>
          </w:p>
        </w:tc>
        <w:tc>
          <w:tcPr>
            <w:tcW w:w="2256" w:type="dxa"/>
            <w:noWrap w:val="0"/>
            <w:vAlign w:val="top"/>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2</w:t>
            </w:r>
          </w:p>
        </w:tc>
        <w:tc>
          <w:tcPr>
            <w:tcW w:w="1846" w:type="dxa"/>
            <w:noWrap w:val="0"/>
            <w:vAlign w:val="top"/>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5" w:type="dxa"/>
            <w:noWrap w:val="0"/>
            <w:vAlign w:val="top"/>
          </w:tcPr>
          <w:p>
            <w:pPr>
              <w:jc w:val="center"/>
              <w:rPr>
                <w:rFonts w:ascii="仿宋" w:hAnsi="仿宋" w:eastAsia="仿宋" w:cs="仿宋"/>
                <w:bCs/>
                <w:color w:val="000000"/>
                <w:spacing w:val="8"/>
                <w:sz w:val="24"/>
                <w:szCs w:val="24"/>
              </w:rPr>
            </w:pPr>
            <w:r>
              <w:rPr>
                <w:rFonts w:ascii="仿宋" w:hAnsi="仿宋" w:eastAsia="仿宋" w:cs="仿宋"/>
                <w:bCs/>
                <w:color w:val="000000"/>
                <w:spacing w:val="8"/>
                <w:sz w:val="24"/>
                <w:szCs w:val="24"/>
              </w:rPr>
              <w:t>18</w:t>
            </w:r>
          </w:p>
        </w:tc>
        <w:tc>
          <w:tcPr>
            <w:tcW w:w="3810" w:type="dxa"/>
            <w:noWrap w:val="0"/>
            <w:vAlign w:val="center"/>
          </w:tcPr>
          <w:p>
            <w:pPr>
              <w:jc w:val="center"/>
              <w:rPr>
                <w:rFonts w:hint="eastAsia" w:ascii="仿宋" w:hAnsi="仿宋" w:eastAsia="仿宋" w:cs="仿宋"/>
                <w:color w:val="000000"/>
                <w:spacing w:val="8"/>
                <w:sz w:val="24"/>
                <w:szCs w:val="24"/>
              </w:rPr>
            </w:pPr>
            <w:r>
              <w:rPr>
                <w:rFonts w:hint="eastAsia" w:ascii="仿宋" w:hAnsi="仿宋" w:eastAsia="仿宋" w:cs="仿宋"/>
                <w:color w:val="000000"/>
                <w:spacing w:val="8"/>
                <w:sz w:val="24"/>
                <w:szCs w:val="24"/>
              </w:rPr>
              <w:t>立式压力蒸汽灭菌器</w:t>
            </w:r>
          </w:p>
        </w:tc>
        <w:tc>
          <w:tcPr>
            <w:tcW w:w="2256" w:type="dxa"/>
            <w:noWrap w:val="0"/>
            <w:vAlign w:val="top"/>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2</w:t>
            </w:r>
          </w:p>
        </w:tc>
        <w:tc>
          <w:tcPr>
            <w:tcW w:w="1846" w:type="dxa"/>
            <w:noWrap w:val="0"/>
            <w:vAlign w:val="top"/>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65" w:type="dxa"/>
            <w:noWrap w:val="0"/>
            <w:vAlign w:val="top"/>
          </w:tcPr>
          <w:p>
            <w:pPr>
              <w:jc w:val="center"/>
              <w:rPr>
                <w:rFonts w:ascii="仿宋" w:hAnsi="仿宋" w:eastAsia="仿宋" w:cs="仿宋"/>
                <w:bCs/>
                <w:color w:val="000000"/>
                <w:spacing w:val="8"/>
                <w:sz w:val="24"/>
                <w:szCs w:val="24"/>
              </w:rPr>
            </w:pPr>
            <w:r>
              <w:rPr>
                <w:rFonts w:ascii="仿宋" w:hAnsi="仿宋" w:eastAsia="仿宋" w:cs="仿宋"/>
                <w:bCs/>
                <w:color w:val="000000"/>
                <w:spacing w:val="8"/>
                <w:sz w:val="24"/>
                <w:szCs w:val="24"/>
              </w:rPr>
              <w:t>19</w:t>
            </w:r>
          </w:p>
        </w:tc>
        <w:tc>
          <w:tcPr>
            <w:tcW w:w="3810" w:type="dxa"/>
            <w:noWrap w:val="0"/>
            <w:vAlign w:val="center"/>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电子天平(万分之一)</w:t>
            </w:r>
          </w:p>
        </w:tc>
        <w:tc>
          <w:tcPr>
            <w:tcW w:w="2256" w:type="dxa"/>
            <w:noWrap w:val="0"/>
            <w:vAlign w:val="top"/>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1</w:t>
            </w:r>
          </w:p>
        </w:tc>
        <w:tc>
          <w:tcPr>
            <w:tcW w:w="1846" w:type="dxa"/>
            <w:noWrap w:val="0"/>
            <w:vAlign w:val="top"/>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65" w:type="dxa"/>
            <w:noWrap w:val="0"/>
            <w:vAlign w:val="top"/>
          </w:tcPr>
          <w:p>
            <w:pPr>
              <w:jc w:val="center"/>
              <w:rPr>
                <w:rFonts w:ascii="仿宋" w:hAnsi="仿宋" w:eastAsia="仿宋" w:cs="仿宋"/>
                <w:bCs/>
                <w:color w:val="000000"/>
                <w:spacing w:val="8"/>
                <w:sz w:val="24"/>
                <w:szCs w:val="24"/>
              </w:rPr>
            </w:pPr>
            <w:r>
              <w:rPr>
                <w:rFonts w:ascii="仿宋" w:hAnsi="仿宋" w:eastAsia="仿宋" w:cs="仿宋"/>
                <w:bCs/>
                <w:color w:val="000000"/>
                <w:spacing w:val="8"/>
                <w:sz w:val="24"/>
                <w:szCs w:val="24"/>
              </w:rPr>
              <w:t>20</w:t>
            </w:r>
          </w:p>
        </w:tc>
        <w:tc>
          <w:tcPr>
            <w:tcW w:w="3810" w:type="dxa"/>
            <w:noWrap w:val="0"/>
            <w:vAlign w:val="center"/>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近红外多功能产品分析仪</w:t>
            </w:r>
          </w:p>
        </w:tc>
        <w:tc>
          <w:tcPr>
            <w:tcW w:w="2256" w:type="dxa"/>
            <w:noWrap w:val="0"/>
            <w:vAlign w:val="top"/>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1</w:t>
            </w:r>
          </w:p>
        </w:tc>
        <w:tc>
          <w:tcPr>
            <w:tcW w:w="1846" w:type="dxa"/>
            <w:noWrap w:val="0"/>
            <w:vAlign w:val="top"/>
          </w:tcPr>
          <w:p>
            <w:pPr>
              <w:jc w:val="center"/>
              <w:rPr>
                <w:rFonts w:ascii="仿宋" w:hAnsi="仿宋" w:eastAsia="仿宋" w:cs="仿宋"/>
                <w:color w:val="000000"/>
                <w:spacing w:val="8"/>
                <w:sz w:val="24"/>
                <w:szCs w:val="24"/>
              </w:rPr>
            </w:pPr>
            <w:r>
              <w:rPr>
                <w:rFonts w:hint="eastAsia" w:ascii="仿宋" w:hAnsi="仿宋" w:eastAsia="仿宋" w:cs="仿宋"/>
                <w:color w:val="000000"/>
                <w:spacing w:val="8"/>
                <w:sz w:val="24"/>
                <w:szCs w:val="24"/>
              </w:rPr>
              <w:t>台</w:t>
            </w:r>
          </w:p>
        </w:tc>
      </w:tr>
    </w:tbl>
    <w:p>
      <w:pPr>
        <w:pStyle w:val="6"/>
        <w:numPr>
          <w:ilvl w:val="0"/>
          <w:numId w:val="0"/>
        </w:numPr>
        <w:ind w:leftChars="0"/>
        <w:jc w:val="both"/>
        <w:rPr>
          <w:rFonts w:hint="eastAsia"/>
          <w:b/>
          <w:bCs/>
          <w:sz w:val="32"/>
          <w:szCs w:val="32"/>
        </w:rPr>
      </w:pPr>
    </w:p>
    <w:bookmarkEnd w:id="244"/>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039"/>
        <w:gridCol w:w="7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pPr>
              <w:pageBreakBefore w:val="0"/>
              <w:kinsoku/>
              <w:wordWrap/>
              <w:overflowPunct/>
              <w:topLinePunct w:val="0"/>
              <w:bidi w:val="0"/>
              <w:spacing w:line="560" w:lineRule="exact"/>
              <w:jc w:val="center"/>
              <w:rPr>
                <w:rFonts w:hint="eastAsia" w:ascii="宋体" w:hAnsi="宋体" w:cs="宋体"/>
                <w:color w:val="000000" w:themeColor="text1"/>
                <w:szCs w:val="21"/>
                <w14:textFill>
                  <w14:solidFill>
                    <w14:schemeClr w14:val="tx1"/>
                  </w14:solidFill>
                </w14:textFill>
              </w:rPr>
            </w:pPr>
            <w:bookmarkStart w:id="246" w:name="_Toc7906"/>
            <w:bookmarkStart w:id="247" w:name="_Toc426369533"/>
            <w:bookmarkStart w:id="248" w:name="_Toc26235"/>
            <w:bookmarkStart w:id="249" w:name="_Toc403122572"/>
            <w:r>
              <w:rPr>
                <w:rFonts w:hint="eastAsia" w:ascii="宋体" w:hAnsi="宋体" w:cs="宋体"/>
                <w:color w:val="000000" w:themeColor="text1"/>
                <w:szCs w:val="21"/>
                <w14:textFill>
                  <w14:solidFill>
                    <w14:schemeClr w14:val="tx1"/>
                  </w14:solidFill>
                </w14:textFill>
              </w:rPr>
              <w:t>序号</w:t>
            </w:r>
          </w:p>
        </w:tc>
        <w:tc>
          <w:tcPr>
            <w:tcW w:w="1039" w:type="dxa"/>
            <w:noWrap w:val="0"/>
            <w:vAlign w:val="top"/>
          </w:tcPr>
          <w:p>
            <w:pPr>
              <w:pageBreakBefore w:val="0"/>
              <w:kinsoku/>
              <w:wordWrap/>
              <w:overflowPunct/>
              <w:topLinePunct w:val="0"/>
              <w:bidi w:val="0"/>
              <w:spacing w:line="5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w:t>
            </w:r>
          </w:p>
          <w:p>
            <w:pPr>
              <w:pageBreakBefore w:val="0"/>
              <w:kinsoku/>
              <w:wordWrap/>
              <w:overflowPunct/>
              <w:topLinePunct w:val="0"/>
              <w:bidi w:val="0"/>
              <w:spacing w:line="5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w:t>
            </w:r>
          </w:p>
        </w:tc>
        <w:tc>
          <w:tcPr>
            <w:tcW w:w="7359" w:type="dxa"/>
            <w:noWrap w:val="0"/>
            <w:vAlign w:val="top"/>
          </w:tcPr>
          <w:p>
            <w:pPr>
              <w:pageBreakBefore w:val="0"/>
              <w:kinsoku/>
              <w:wordWrap/>
              <w:overflowPunct/>
              <w:topLinePunct w:val="0"/>
              <w:bidi w:val="0"/>
              <w:spacing w:line="5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5" w:type="dxa"/>
            <w:noWrap w:val="0"/>
            <w:vAlign w:val="top"/>
          </w:tcPr>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039" w:type="dxa"/>
            <w:noWrap w:val="0"/>
            <w:vAlign w:val="center"/>
          </w:tcPr>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超纯水机 </w:t>
            </w:r>
          </w:p>
        </w:tc>
        <w:tc>
          <w:tcPr>
            <w:tcW w:w="7359" w:type="dxa"/>
            <w:noWrap w:val="0"/>
            <w:vAlign w:val="top"/>
          </w:tcPr>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（1）技术参数：</w:t>
            </w:r>
          </w:p>
          <w:p>
            <w:pPr>
              <w:pageBreakBefore w:val="0"/>
              <w:widowControl/>
              <w:kinsoku/>
              <w:wordWrap/>
              <w:overflowPunct/>
              <w:topLinePunct w:val="0"/>
              <w:bidi w:val="0"/>
              <w:spacing w:line="560" w:lineRule="exact"/>
              <w:jc w:val="left"/>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r>
              <w:rPr>
                <w:rFonts w:hint="eastAsia" w:ascii="宋体" w:hAnsi="宋体" w:cs="宋体"/>
                <w:color w:val="000000" w:themeColor="text1"/>
                <w:kern w:val="0"/>
                <w:szCs w:val="21"/>
                <w:lang w:val="en-US"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源水条件：城市自来水或地下深井水，TDS值≤1000ppm</w:t>
            </w:r>
            <w:r>
              <w:rPr>
                <w:rFonts w:hint="eastAsia" w:ascii="宋体" w:hAnsi="宋体" w:cs="宋体"/>
                <w:color w:val="000000" w:themeColor="text1"/>
                <w:kern w:val="0"/>
                <w:szCs w:val="21"/>
                <w:lang w:eastAsia="zh-CN" w:bidi="ar"/>
                <w14:textFill>
                  <w14:solidFill>
                    <w14:schemeClr w14:val="tx1"/>
                  </w14:solidFill>
                </w14:textFill>
              </w:rPr>
              <w:t>。</w:t>
            </w:r>
          </w:p>
          <w:p>
            <w:pPr>
              <w:pageBreakBefore w:val="0"/>
              <w:widowControl/>
              <w:kinsoku/>
              <w:wordWrap/>
              <w:overflowPunct/>
              <w:topLinePunct w:val="0"/>
              <w:bidi w:val="0"/>
              <w:spacing w:line="560" w:lineRule="exact"/>
              <w:jc w:val="left"/>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val="en-US"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制水量: 10 升/小时（水温 25℃时）；RO 水取水流量速 1.5-2.0L/Min（水箱储水时）；UP 水流速：1.0-1.5L/Min</w:t>
            </w:r>
            <w:r>
              <w:rPr>
                <w:rFonts w:hint="eastAsia" w:ascii="宋体" w:hAnsi="宋体" w:cs="宋体"/>
                <w:color w:val="000000" w:themeColor="text1"/>
                <w:kern w:val="0"/>
                <w:szCs w:val="21"/>
                <w:lang w:eastAsia="zh-CN" w:bidi="ar"/>
                <w14:textFill>
                  <w14:solidFill>
                    <w14:schemeClr w14:val="tx1"/>
                  </w14:solidFill>
                </w14:textFill>
              </w:rPr>
              <w:t>。</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val="en-US"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成品水质:</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第一出水(RO 纯水)： 在线监测</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电导率: ≤5µs/cm（满足 GB6682-2008 实验室三级用水标准）25℃</w:t>
            </w:r>
          </w:p>
          <w:p>
            <w:pPr>
              <w:pageBreakBefore w:val="0"/>
              <w:widowControl/>
              <w:kinsoku/>
              <w:wordWrap/>
              <w:overflowPunct/>
              <w:topLinePunct w:val="0"/>
              <w:bidi w:val="0"/>
              <w:spacing w:line="560" w:lineRule="exact"/>
              <w:jc w:val="left"/>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可氧化物质含量（以O计）/(mg/l)&lt;0.4， 蒸发残渣（105℃±2℃）含量/(mg/l)《2.0（GB6682-2008）国家三级用水标准</w:t>
            </w:r>
            <w:r>
              <w:rPr>
                <w:rFonts w:hint="eastAsia" w:ascii="宋体" w:hAnsi="宋体" w:cs="宋体"/>
                <w:color w:val="000000" w:themeColor="text1"/>
                <w:kern w:val="0"/>
                <w:szCs w:val="21"/>
                <w:lang w:eastAsia="zh-CN" w:bidi="ar"/>
                <w14:textFill>
                  <w14:solidFill>
                    <w14:schemeClr w14:val="tx1"/>
                  </w14:solidFill>
                </w14:textFill>
              </w:rPr>
              <w:t>。</w:t>
            </w:r>
          </w:p>
          <w:p>
            <w:pPr>
              <w:pageBreakBefore w:val="0"/>
              <w:widowControl/>
              <w:kinsoku/>
              <w:wordWrap/>
              <w:overflowPunct/>
              <w:topLinePunct w:val="0"/>
              <w:bidi w:val="0"/>
              <w:spacing w:line="560" w:lineRule="exact"/>
              <w:jc w:val="left"/>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第二出水(UP 超纯水)：电阻率:18.2MΩ.cm（满足 GB6682-2008 实验室一级用水标准）(在线监测)微颗粒物：＜1 个/Ml；重金属离子：≤0.1PPb；微生物：＜1CFU/m</w:t>
            </w:r>
            <w:r>
              <w:rPr>
                <w:rFonts w:hint="eastAsia" w:ascii="宋体" w:hAnsi="宋体" w:cs="宋体"/>
                <w:color w:val="000000" w:themeColor="text1"/>
                <w:kern w:val="0"/>
                <w:szCs w:val="21"/>
                <w:lang w:bidi="ar"/>
                <w14:textFill>
                  <w14:solidFill>
                    <w14:schemeClr w14:val="tx1"/>
                  </w14:solidFill>
                </w14:textFill>
              </w:rPr>
              <w:tab/>
            </w:r>
            <w:r>
              <w:rPr>
                <w:rFonts w:hint="eastAsia" w:ascii="宋体" w:hAnsi="宋体" w:cs="宋体"/>
                <w:color w:val="000000" w:themeColor="text1"/>
                <w:kern w:val="0"/>
                <w:szCs w:val="21"/>
                <w:lang w:bidi="ar"/>
                <w14:textFill>
                  <w14:solidFill>
                    <w14:schemeClr w14:val="tx1"/>
                  </w14:solidFill>
                </w14:textFill>
              </w:rPr>
              <w:t>TOC《10ppb热源（内毒素）&lt;0.001Eu/ml（配备超滤）； 吸光度（254nm,1cm 光程）≤0.001 可溶性硅 （以SiO2 计）（mg/L）≤0.01离子含量：Cu≤0.005ppb Fe&lt;0.005 Zn≤0.02ppb Ni≤0.005ppb Na《0.01ppb K《0.02ppb Pb《0.1ppb Cl《0.02ppb 硝酸盐&lt;0.02ppb、硫酸盐&lt;0.02ppb、磷酸盐&lt; 0.02ppb NH3 NU4+</w:t>
            </w:r>
            <w:r>
              <w:rPr>
                <w:rFonts w:hint="eastAsia" w:ascii="宋体" w:hAnsi="宋体" w:cs="宋体"/>
                <w:color w:val="000000" w:themeColor="text1"/>
                <w:kern w:val="0"/>
                <w:szCs w:val="21"/>
                <w:lang w:eastAsia="zh-CN" w:bidi="ar"/>
                <w14:textFill>
                  <w14:solidFill>
                    <w14:schemeClr w14:val="tx1"/>
                  </w14:solidFill>
                </w14:textFill>
              </w:rPr>
              <w:t>。</w:t>
            </w:r>
          </w:p>
          <w:p>
            <w:pPr>
              <w:pageBreakBefore w:val="0"/>
              <w:widowControl/>
              <w:kinsoku/>
              <w:wordWrap/>
              <w:overflowPunct/>
              <w:topLinePunct w:val="0"/>
              <w:bidi w:val="0"/>
              <w:spacing w:line="560" w:lineRule="exact"/>
              <w:jc w:val="left"/>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功</w:t>
            </w:r>
            <w:r>
              <w:rPr>
                <w:rFonts w:hint="eastAsia" w:ascii="宋体" w:hAnsi="宋体" w:cs="宋体"/>
                <w:color w:val="000000" w:themeColor="text1"/>
                <w:kern w:val="0"/>
                <w:szCs w:val="21"/>
                <w:lang w:bidi="ar"/>
                <w14:textFill>
                  <w14:solidFill>
                    <w14:schemeClr w14:val="tx1"/>
                  </w14:solidFill>
                </w14:textFill>
              </w:rPr>
              <w:tab/>
            </w:r>
            <w:r>
              <w:rPr>
                <w:rFonts w:hint="eastAsia" w:ascii="宋体" w:hAnsi="宋体" w:cs="宋体"/>
                <w:color w:val="000000" w:themeColor="text1"/>
                <w:kern w:val="0"/>
                <w:szCs w:val="21"/>
                <w:lang w:bidi="ar"/>
                <w14:textFill>
                  <w14:solidFill>
                    <w14:schemeClr w14:val="tx1"/>
                  </w14:solidFill>
                </w14:textFill>
              </w:rPr>
              <w:t>率：150W</w:t>
            </w:r>
            <w:r>
              <w:rPr>
                <w:rFonts w:hint="eastAsia" w:ascii="宋体" w:hAnsi="宋体" w:cs="宋体"/>
                <w:color w:val="000000" w:themeColor="text1"/>
                <w:kern w:val="0"/>
                <w:szCs w:val="21"/>
                <w:lang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5" w:type="dxa"/>
            <w:noWrap w:val="0"/>
            <w:vAlign w:val="top"/>
          </w:tcPr>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039" w:type="dxa"/>
            <w:noWrap w:val="0"/>
            <w:vAlign w:val="center"/>
          </w:tcPr>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全自动凯氏定氮仪</w:t>
            </w:r>
          </w:p>
        </w:tc>
        <w:tc>
          <w:tcPr>
            <w:tcW w:w="7359" w:type="dxa"/>
            <w:noWrap w:val="0"/>
            <w:vAlign w:val="top"/>
          </w:tcPr>
          <w:p>
            <w:pPr>
              <w:pageBreakBefore w:val="0"/>
              <w:widowControl/>
              <w:kinsoku/>
              <w:wordWrap/>
              <w:overflowPunct/>
              <w:topLinePunct w:val="0"/>
              <w:bidi w:val="0"/>
              <w:spacing w:line="560" w:lineRule="exact"/>
              <w:jc w:val="left"/>
              <w:textAlignment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 技术指标：</w:t>
            </w:r>
            <w:r>
              <w:rPr>
                <w:rFonts w:hint="eastAsia"/>
                <w:color w:val="000000" w:themeColor="text1"/>
                <w14:textFill>
                  <w14:solidFill>
                    <w14:schemeClr w14:val="tx1"/>
                  </w14:solidFill>
                </w14:textFill>
              </w:rPr>
              <w:cr/>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.1采用国际及中国国家标准的凯氏定氮方法：浓硫酸消化、碱性环境蒸汽蒸馏、硼酸吸收、指示剂滴定终点颜色判定法。</w:t>
            </w:r>
            <w:r>
              <w:rPr>
                <w:rFonts w:hint="eastAsia"/>
                <w:color w:val="000000" w:themeColor="text1"/>
                <w14:textFill>
                  <w14:solidFill>
                    <w14:schemeClr w14:val="tx1"/>
                  </w14:solidFill>
                </w14:textFill>
              </w:rPr>
              <w:cr/>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.2检测范围：0.1-200mg 氮；回收率≥99.5%（1-200mgN）；重现性RSD≤1%。</w:t>
            </w:r>
            <w:r>
              <w:rPr>
                <w:rFonts w:hint="eastAsia"/>
                <w:color w:val="000000" w:themeColor="text1"/>
                <w14:textFill>
                  <w14:solidFill>
                    <w14:schemeClr w14:val="tx1"/>
                  </w14:solidFill>
                </w14:textFill>
              </w:rPr>
              <w:cr/>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.3 定氮仪主机内置操作系统，液晶彩色触摸屏操作。带全自动分析控制系统，包括：样品稀释、碱液添加、吸收液添加、蒸馏、滴定、计算、报告以及消化管自动排空、滴定缸自动清洗等全自动功能。</w:t>
            </w:r>
            <w:r>
              <w:rPr>
                <w:rFonts w:hint="eastAsia"/>
                <w:color w:val="000000" w:themeColor="text1"/>
                <w14:textFill>
                  <w14:solidFill>
                    <w14:schemeClr w14:val="tx1"/>
                  </w14:solidFill>
                </w14:textFill>
              </w:rPr>
              <w:cr/>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.4 SAfE技术：通过改变试剂的添加顺序，即在消化液中加入稀释水后立即通入蒸汽，通过蒸汽的搅拌作用使消化液中的浓硫酸被充分稀释，降低随后浓碱加入时的反应强度，改善蒸馏效果。</w:t>
            </w:r>
            <w:r>
              <w:rPr>
                <w:rFonts w:hint="eastAsia"/>
                <w:color w:val="000000" w:themeColor="text1"/>
                <w14:textFill>
                  <w14:solidFill>
                    <w14:schemeClr w14:val="tx1"/>
                  </w14:solidFill>
                </w14:textFill>
              </w:rPr>
              <w:cr/>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.5 双蒸馏模式：蒸汽平衡添加蒸馏模式（蒸馏时的顺序：加水稀释、通入蒸汽和加碱液，处理消化后结成盐饼的样品非常温和安全有效）和延时蒸馏模式（加水、加碱液、通入蒸汽）。</w:t>
            </w:r>
            <w:r>
              <w:rPr>
                <w:rFonts w:hint="eastAsia"/>
                <w:color w:val="000000" w:themeColor="text1"/>
                <w14:textFill>
                  <w14:solidFill>
                    <w14:schemeClr w14:val="tx1"/>
                  </w14:solidFill>
                </w14:textFill>
              </w:rPr>
              <w:cr/>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.6 蒸馏馏出液温度监控系统，位于冷凝器下方，直接测定溜出液温度，监控是否有意外操作导致氨损失，保证分析结果准确可靠。</w:t>
            </w:r>
            <w:r>
              <w:rPr>
                <w:rFonts w:hint="eastAsia"/>
                <w:color w:val="000000" w:themeColor="text1"/>
                <w14:textFill>
                  <w14:solidFill>
                    <w14:schemeClr w14:val="tx1"/>
                  </w14:solidFill>
                </w14:textFill>
              </w:rPr>
              <w:cr/>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.7边蒸馏边滴定的功能和自动判断终点技术，确保得到准确可靠的分析结果，并缩短分析时间，降低成本。</w:t>
            </w:r>
            <w:r>
              <w:rPr>
                <w:rFonts w:hint="eastAsia"/>
                <w:color w:val="000000" w:themeColor="text1"/>
                <w14:textFill>
                  <w14:solidFill>
                    <w14:schemeClr w14:val="tx1"/>
                  </w14:solidFill>
                </w14:textFill>
              </w:rPr>
              <w:cr/>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.8 智能安全监控系统：包括自动旋转式安全门（如果安全门没有关闭或一旦安全门被意外打开，仪器会停止所有操作）、试管在位（如果没有试管放在蒸馏台上，仪器不会执行任何操作）和试管更换传感器（没有更换试管就开始下一次分析时会有报警，且在确认以前不能开始任何操作）、蒸汽发生器液位/过压传感器等一系列的安全保护措施，确保操作者安全。</w:t>
            </w:r>
            <w:r>
              <w:rPr>
                <w:rFonts w:hint="eastAsia"/>
                <w:color w:val="000000" w:themeColor="text1"/>
                <w14:textFill>
                  <w14:solidFill>
                    <w14:schemeClr w14:val="tx1"/>
                  </w14:solidFill>
                </w14:textFill>
              </w:rPr>
              <w:cr/>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.9正压的滴定剂传送系统，避免在滴定器内产生气泡。</w:t>
            </w:r>
            <w:r>
              <w:rPr>
                <w:rFonts w:hint="eastAsia"/>
                <w:color w:val="000000" w:themeColor="text1"/>
                <w14:textFill>
                  <w14:solidFill>
                    <w14:schemeClr w14:val="tx1"/>
                  </w14:solidFill>
                </w14:textFill>
              </w:rPr>
              <w:cr/>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.10 滴定器可以在分析过程中再充满，即使称样量多也可完成滴定分析。</w:t>
            </w:r>
            <w:r>
              <w:rPr>
                <w:rFonts w:hint="eastAsia"/>
                <w:color w:val="000000" w:themeColor="text1"/>
                <w14:textFill>
                  <w14:solidFill>
                    <w14:schemeClr w14:val="tx1"/>
                  </w14:solidFill>
                </w14:textFill>
              </w:rPr>
              <w:cr/>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.11 可选贰拾/60位进样器，实现无人值守的全自动操作，满足不同分析需求。</w:t>
            </w:r>
            <w:r>
              <w:rPr>
                <w:rFonts w:hint="eastAsia"/>
                <w:color w:val="000000" w:themeColor="text1"/>
                <w14:textFill>
                  <w14:solidFill>
                    <w14:schemeClr w14:val="tx1"/>
                  </w14:solidFill>
                </w14:textFill>
              </w:rPr>
              <w:cr/>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12可单机工作，也可以选择和专用的计算机软件联机使用。软件可无限制设置应用程序和储存数据。通过天平/打印机/LIMS连接可实现样品注册、性能测试程序和分析过程中各项事宜的完整记录，满足实验室良好操作规范（GLP）的要求。</w:t>
            </w:r>
            <w:r>
              <w:rPr>
                <w:rFonts w:hint="eastAsia"/>
                <w:color w:val="000000" w:themeColor="text1"/>
                <w14:textFill>
                  <w14:solidFill>
                    <w14:schemeClr w14:val="tx1"/>
                  </w14:solidFill>
                </w14:textFill>
              </w:rPr>
              <w:cr/>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.13 消化炉：20位铝模块式整体加热，保证加热消化的均匀性，同时适用于250ml/400ml消化管。可对消化参数-温度和时间进行设定，带有超温保护装置。</w:t>
            </w:r>
          </w:p>
          <w:p>
            <w:pPr>
              <w:pageBreakBefore w:val="0"/>
              <w:widowControl/>
              <w:kinsoku/>
              <w:wordWrap/>
              <w:overflowPunct/>
              <w:topLinePunct w:val="0"/>
              <w:bidi w:val="0"/>
              <w:spacing w:line="560" w:lineRule="exact"/>
              <w:jc w:val="left"/>
              <w:textAlignment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.14 外壳是化学染色的可回收材料，耐腐蚀，易清理，使用寿命长。</w:t>
            </w:r>
          </w:p>
          <w:p>
            <w:pPr>
              <w:pageBreakBefore w:val="0"/>
              <w:widowControl/>
              <w:kinsoku/>
              <w:wordWrap/>
              <w:overflowPunct/>
              <w:topLinePunct w:val="0"/>
              <w:bidi w:val="0"/>
              <w:spacing w:line="560" w:lineRule="exact"/>
              <w:jc w:val="left"/>
              <w:textAlignment w:val="cente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 基本配置：</w:t>
            </w:r>
            <w:r>
              <w:rPr>
                <w:rFonts w:hint="eastAsia"/>
                <w:color w:val="000000" w:themeColor="text1"/>
                <w14:textFill>
                  <w14:solidFill>
                    <w14:schemeClr w14:val="tx1"/>
                  </w14:solidFill>
                </w14:textFill>
              </w:rPr>
              <w:cr/>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.1 定氮仪系统：包括主机一台、250ml消化管20只、带有液位传感器的碱桶/水桶/接收液桶/废液桶各一个、一个通用消化管接头、一个消化管夹，催化剂1000片，消化管架1个。</w:t>
            </w:r>
          </w:p>
          <w:p>
            <w:pPr>
              <w:pageBreakBefore w:val="0"/>
              <w:numPr>
                <w:ilvl w:val="0"/>
                <w:numId w:val="0"/>
              </w:numPr>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技术资料：仪器操作手册；维护手册；质量认证书；针对不同样品的应用报告；凯氏消化手册。</w:t>
            </w:r>
          </w:p>
          <w:p>
            <w:pPr>
              <w:pageBreakBefore w:val="0"/>
              <w:numPr>
                <w:ilvl w:val="0"/>
                <w:numId w:val="0"/>
              </w:numPr>
              <w:kinsoku/>
              <w:wordWrap/>
              <w:overflowPunct/>
              <w:topLinePunct w:val="0"/>
              <w:bidi w:val="0"/>
              <w:spacing w:line="560" w:lineRule="exact"/>
              <w:ind w:leftChars="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*经销商投标时须提供厂家针对该项目的授权委托书。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039" w:type="dxa"/>
            <w:noWrap w:val="0"/>
            <w:vAlign w:val="center"/>
          </w:tcPr>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索氏抽提仪</w:t>
            </w:r>
          </w:p>
        </w:tc>
        <w:tc>
          <w:tcPr>
            <w:tcW w:w="7359" w:type="dxa"/>
            <w:noWrap w:val="0"/>
            <w:vAlign w:val="top"/>
          </w:tcPr>
          <w:p>
            <w:pPr>
              <w:pStyle w:val="22"/>
              <w:pageBreakBefore w:val="0"/>
              <w:kinsoku/>
              <w:wordWrap/>
              <w:overflowPunct/>
              <w:topLinePunct w:val="0"/>
              <w:bidi w:val="0"/>
              <w:spacing w:line="560" w:lineRule="exact"/>
              <w:jc w:val="both"/>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1</w:t>
            </w:r>
            <w:r>
              <w:rPr>
                <w:rFonts w:hint="eastAsia" w:hAnsi="宋体"/>
                <w:color w:val="000000" w:themeColor="text1"/>
                <w:sz w:val="21"/>
                <w:szCs w:val="21"/>
                <w14:textFill>
                  <w14:solidFill>
                    <w14:schemeClr w14:val="tx1"/>
                  </w14:solidFill>
                </w14:textFill>
              </w:rPr>
              <w:t>、技术指标：</w:t>
            </w:r>
          </w:p>
          <w:p>
            <w:pPr>
              <w:pStyle w:val="22"/>
              <w:pageBreakBefore w:val="0"/>
              <w:kinsoku/>
              <w:wordWrap/>
              <w:overflowPunct/>
              <w:topLinePunct w:val="0"/>
              <w:bidi w:val="0"/>
              <w:spacing w:line="560" w:lineRule="exact"/>
              <w:jc w:val="both"/>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1</w:t>
            </w:r>
            <w:r>
              <w:rPr>
                <w:rFonts w:hint="eastAsia" w:hAnsi="宋体"/>
                <w:color w:val="000000" w:themeColor="text1"/>
                <w:sz w:val="21"/>
                <w:szCs w:val="21"/>
                <w14:textFill>
                  <w14:solidFill>
                    <w14:schemeClr w14:val="tx1"/>
                  </w14:solidFill>
                </w14:textFill>
              </w:rPr>
              <w:t xml:space="preserve">.1根据标准索氏浸提法原理用溶剂萃取样品中的各种可萃取成分，程序控制完成样品浸提的全过程（包括热浸提、淋洗、溶剂回收和预干燥等步骤）；索氏浸提仪的溶剂浸提过程必须可编程控制工作，必需配备全套操作附件。符合 AOAC、EPA 等公认的索氏浸提法标准； </w:t>
            </w:r>
          </w:p>
          <w:p>
            <w:pPr>
              <w:pStyle w:val="22"/>
              <w:pageBreakBefore w:val="0"/>
              <w:kinsoku/>
              <w:wordWrap/>
              <w:overflowPunct/>
              <w:topLinePunct w:val="0"/>
              <w:bidi w:val="0"/>
              <w:spacing w:line="560" w:lineRule="exact"/>
              <w:jc w:val="both"/>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1</w:t>
            </w:r>
            <w:r>
              <w:rPr>
                <w:rFonts w:hint="eastAsia" w:hAnsi="宋体"/>
                <w:color w:val="000000" w:themeColor="text1"/>
                <w:sz w:val="21"/>
                <w:szCs w:val="21"/>
                <w14:textFill>
                  <w14:solidFill>
                    <w14:schemeClr w14:val="tx1"/>
                  </w14:solidFill>
                </w14:textFill>
              </w:rPr>
              <w:t>.2最大样品量：</w:t>
            </w:r>
            <w:r>
              <w:rPr>
                <w:rFonts w:hint="eastAsia" w:hAnsi="宋体"/>
                <w:color w:val="000000" w:themeColor="text1"/>
                <w:sz w:val="21"/>
                <w:szCs w:val="21"/>
                <w14:textFill>
                  <w14:solidFill>
                    <w14:schemeClr w14:val="tx1"/>
                  </w14:solidFill>
                </w14:textFill>
              </w:rPr>
              <w:sym w:font="Symbol" w:char="F0B3"/>
            </w:r>
            <w:r>
              <w:rPr>
                <w:rFonts w:hint="eastAsia" w:hAnsi="宋体"/>
                <w:color w:val="000000" w:themeColor="text1"/>
                <w:sz w:val="21"/>
                <w:szCs w:val="21"/>
                <w14:textFill>
                  <w14:solidFill>
                    <w14:schemeClr w14:val="tx1"/>
                  </w14:solidFill>
                </w14:textFill>
              </w:rPr>
              <w:t>60ml ；</w:t>
            </w:r>
          </w:p>
          <w:p>
            <w:pPr>
              <w:pStyle w:val="22"/>
              <w:pageBreakBefore w:val="0"/>
              <w:kinsoku/>
              <w:wordWrap/>
              <w:overflowPunct/>
              <w:topLinePunct w:val="0"/>
              <w:bidi w:val="0"/>
              <w:spacing w:line="560" w:lineRule="exact"/>
              <w:jc w:val="both"/>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1</w:t>
            </w:r>
            <w:r>
              <w:rPr>
                <w:rFonts w:hint="eastAsia" w:hAnsi="宋体"/>
                <w:color w:val="000000" w:themeColor="text1"/>
                <w:sz w:val="21"/>
                <w:szCs w:val="21"/>
                <w14:textFill>
                  <w14:solidFill>
                    <w14:schemeClr w14:val="tx1"/>
                  </w14:solidFill>
                </w14:textFill>
              </w:rPr>
              <w:t>.3批处理：可批量操作同时处理6个样品；</w:t>
            </w:r>
          </w:p>
          <w:p>
            <w:pPr>
              <w:pStyle w:val="22"/>
              <w:pageBreakBefore w:val="0"/>
              <w:kinsoku/>
              <w:wordWrap/>
              <w:overflowPunct/>
              <w:topLinePunct w:val="0"/>
              <w:bidi w:val="0"/>
              <w:spacing w:line="560" w:lineRule="exact"/>
              <w:jc w:val="both"/>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1</w:t>
            </w:r>
            <w:r>
              <w:rPr>
                <w:rFonts w:hint="eastAsia" w:hAnsi="宋体"/>
                <w:color w:val="000000" w:themeColor="text1"/>
                <w:sz w:val="21"/>
                <w:szCs w:val="21"/>
                <w14:textFill>
                  <w14:solidFill>
                    <w14:schemeClr w14:val="tx1"/>
                  </w14:solidFill>
                </w14:textFill>
              </w:rPr>
              <w:t>.4处理范围:0 - 100%；</w:t>
            </w:r>
          </w:p>
          <w:p>
            <w:pPr>
              <w:pStyle w:val="22"/>
              <w:pageBreakBefore w:val="0"/>
              <w:kinsoku/>
              <w:wordWrap/>
              <w:overflowPunct/>
              <w:topLinePunct w:val="0"/>
              <w:bidi w:val="0"/>
              <w:spacing w:line="560" w:lineRule="exact"/>
              <w:jc w:val="both"/>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1</w:t>
            </w:r>
            <w:r>
              <w:rPr>
                <w:rFonts w:hint="eastAsia" w:hAnsi="宋体"/>
                <w:color w:val="000000" w:themeColor="text1"/>
                <w:sz w:val="21"/>
                <w:szCs w:val="21"/>
                <w14:textFill>
                  <w14:solidFill>
                    <w14:schemeClr w14:val="tx1"/>
                  </w14:solidFill>
                </w14:textFill>
              </w:rPr>
              <w:t>.5浸提精度: 相对误差</w:t>
            </w:r>
            <w:r>
              <w:rPr>
                <w:rFonts w:hint="eastAsia" w:hAnsi="宋体"/>
                <w:color w:val="000000" w:themeColor="text1"/>
                <w:sz w:val="21"/>
                <w:szCs w:val="21"/>
                <w14:textFill>
                  <w14:solidFill>
                    <w14:schemeClr w14:val="tx1"/>
                  </w14:solidFill>
                </w14:textFill>
              </w:rPr>
              <w:sym w:font="Symbol" w:char="F0B1"/>
            </w:r>
            <w:r>
              <w:rPr>
                <w:rFonts w:hint="eastAsia" w:hAnsi="宋体"/>
                <w:color w:val="000000" w:themeColor="text1"/>
                <w:sz w:val="21"/>
                <w:szCs w:val="21"/>
                <w14:textFill>
                  <w14:solidFill>
                    <w14:schemeClr w14:val="tx1"/>
                  </w14:solidFill>
                </w14:textFill>
              </w:rPr>
              <w:t xml:space="preserve"> 1％以内；</w:t>
            </w:r>
          </w:p>
          <w:p>
            <w:pPr>
              <w:pStyle w:val="22"/>
              <w:pageBreakBefore w:val="0"/>
              <w:kinsoku/>
              <w:wordWrap/>
              <w:overflowPunct/>
              <w:topLinePunct w:val="0"/>
              <w:bidi w:val="0"/>
              <w:spacing w:line="560" w:lineRule="exact"/>
              <w:jc w:val="both"/>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1</w:t>
            </w:r>
            <w:r>
              <w:rPr>
                <w:rFonts w:hint="eastAsia" w:hAnsi="宋体"/>
                <w:color w:val="000000" w:themeColor="text1"/>
                <w:sz w:val="21"/>
                <w:szCs w:val="21"/>
                <w14:textFill>
                  <w14:solidFill>
                    <w14:schemeClr w14:val="tx1"/>
                  </w14:solidFill>
                </w14:textFill>
              </w:rPr>
              <w:t>.6快速加热：热板从室温升至285℃只需7-9 min；</w:t>
            </w:r>
          </w:p>
          <w:p>
            <w:pPr>
              <w:pStyle w:val="22"/>
              <w:pageBreakBefore w:val="0"/>
              <w:kinsoku/>
              <w:wordWrap/>
              <w:overflowPunct/>
              <w:topLinePunct w:val="0"/>
              <w:bidi w:val="0"/>
              <w:spacing w:line="560" w:lineRule="exact"/>
              <w:jc w:val="both"/>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1</w:t>
            </w:r>
            <w:r>
              <w:rPr>
                <w:rFonts w:hint="eastAsia" w:hAnsi="宋体"/>
                <w:color w:val="000000" w:themeColor="text1"/>
                <w:sz w:val="21"/>
                <w:szCs w:val="21"/>
                <w14:textFill>
                  <w14:solidFill>
                    <w14:schemeClr w14:val="tx1"/>
                  </w14:solidFill>
                </w14:textFill>
              </w:rPr>
              <w:t>.7处理能力：36个样品以上／每天；</w:t>
            </w:r>
          </w:p>
          <w:p>
            <w:pPr>
              <w:pStyle w:val="22"/>
              <w:pageBreakBefore w:val="0"/>
              <w:kinsoku/>
              <w:wordWrap/>
              <w:overflowPunct/>
              <w:topLinePunct w:val="0"/>
              <w:bidi w:val="0"/>
              <w:spacing w:line="560" w:lineRule="exact"/>
              <w:jc w:val="both"/>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1</w:t>
            </w:r>
            <w:r>
              <w:rPr>
                <w:rFonts w:hint="eastAsia" w:hAnsi="宋体"/>
                <w:color w:val="000000" w:themeColor="text1"/>
                <w:sz w:val="21"/>
                <w:szCs w:val="21"/>
                <w14:textFill>
                  <w14:solidFill>
                    <w14:schemeClr w14:val="tx1"/>
                  </w14:solidFill>
                </w14:textFill>
              </w:rPr>
              <w:t xml:space="preserve">.8试剂回收率: </w:t>
            </w:r>
            <w:r>
              <w:rPr>
                <w:rFonts w:hint="eastAsia" w:hAnsi="宋体"/>
                <w:color w:val="000000" w:themeColor="text1"/>
                <w:sz w:val="21"/>
                <w:szCs w:val="21"/>
                <w14:textFill>
                  <w14:solidFill>
                    <w14:schemeClr w14:val="tx1"/>
                  </w14:solidFill>
                </w14:textFill>
              </w:rPr>
              <w:sym w:font="Symbol" w:char="F0B3"/>
            </w:r>
            <w:r>
              <w:rPr>
                <w:rFonts w:hint="eastAsia" w:hAnsi="宋体"/>
                <w:color w:val="000000" w:themeColor="text1"/>
                <w:sz w:val="21"/>
                <w:szCs w:val="21"/>
                <w14:textFill>
                  <w14:solidFill>
                    <w14:schemeClr w14:val="tx1"/>
                  </w14:solidFill>
                </w14:textFill>
              </w:rPr>
              <w:t xml:space="preserve"> 70%；</w:t>
            </w:r>
          </w:p>
          <w:p>
            <w:pPr>
              <w:pStyle w:val="22"/>
              <w:pageBreakBefore w:val="0"/>
              <w:kinsoku/>
              <w:wordWrap/>
              <w:overflowPunct/>
              <w:topLinePunct w:val="0"/>
              <w:bidi w:val="0"/>
              <w:spacing w:line="560" w:lineRule="exact"/>
              <w:jc w:val="both"/>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1</w:t>
            </w:r>
            <w:r>
              <w:rPr>
                <w:rFonts w:hint="eastAsia" w:hAnsi="宋体"/>
                <w:color w:val="000000" w:themeColor="text1"/>
                <w:sz w:val="21"/>
                <w:szCs w:val="21"/>
                <w14:textFill>
                  <w14:solidFill>
                    <w14:schemeClr w14:val="tx1"/>
                  </w14:solidFill>
                </w14:textFill>
              </w:rPr>
              <w:t>.9超温报警功能：三级过温保护（145℃，210℃和330℃），对不同的溶剂采用不同的温度保护，保证操作安全；</w:t>
            </w:r>
          </w:p>
          <w:p>
            <w:pPr>
              <w:pStyle w:val="22"/>
              <w:pageBreakBefore w:val="0"/>
              <w:kinsoku/>
              <w:wordWrap/>
              <w:overflowPunct/>
              <w:topLinePunct w:val="0"/>
              <w:bidi w:val="0"/>
              <w:spacing w:line="560" w:lineRule="exact"/>
              <w:jc w:val="both"/>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1</w:t>
            </w:r>
            <w:r>
              <w:rPr>
                <w:rFonts w:hint="eastAsia" w:hAnsi="宋体"/>
                <w:color w:val="000000" w:themeColor="text1"/>
                <w:sz w:val="21"/>
                <w:szCs w:val="21"/>
                <w14:textFill>
                  <w14:solidFill>
                    <w14:schemeClr w14:val="tx1"/>
                  </w14:solidFill>
                </w14:textFill>
              </w:rPr>
              <w:t>.10浸提单元带有有机溶剂密封添加系统；溶剂添加及溶剂回收过程均在密闭状态下进行，避免操作者暴露于溶剂环境中；</w:t>
            </w:r>
          </w:p>
          <w:p>
            <w:pPr>
              <w:pStyle w:val="22"/>
              <w:pageBreakBefore w:val="0"/>
              <w:kinsoku/>
              <w:wordWrap/>
              <w:overflowPunct/>
              <w:topLinePunct w:val="0"/>
              <w:bidi w:val="0"/>
              <w:spacing w:line="560" w:lineRule="exact"/>
              <w:jc w:val="both"/>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1</w:t>
            </w:r>
            <w:r>
              <w:rPr>
                <w:rFonts w:hint="eastAsia" w:hAnsi="宋体"/>
                <w:color w:val="000000" w:themeColor="text1"/>
                <w:sz w:val="21"/>
                <w:szCs w:val="21"/>
                <w14:textFill>
                  <w14:solidFill>
                    <w14:schemeClr w14:val="tx1"/>
                  </w14:solidFill>
                </w14:textFill>
              </w:rPr>
              <w:t>.1</w:t>
            </w:r>
            <w:r>
              <w:rPr>
                <w:rFonts w:hint="eastAsia" w:hAnsi="宋体"/>
                <w:color w:val="000000" w:themeColor="text1"/>
                <w:sz w:val="21"/>
                <w:szCs w:val="21"/>
                <w:lang w:val="en-US" w:eastAsia="zh-CN"/>
                <w14:textFill>
                  <w14:solidFill>
                    <w14:schemeClr w14:val="tx1"/>
                  </w14:solidFill>
                </w14:textFill>
              </w:rPr>
              <w:t>1</w:t>
            </w:r>
            <w:r>
              <w:rPr>
                <w:rFonts w:hint="eastAsia" w:hAnsi="宋体"/>
                <w:color w:val="000000" w:themeColor="text1"/>
                <w:sz w:val="21"/>
                <w:szCs w:val="21"/>
                <w14:textFill>
                  <w14:solidFill>
                    <w14:schemeClr w14:val="tx1"/>
                  </w14:solidFill>
                </w14:textFill>
              </w:rPr>
              <w:t>．控制单元可以自由编制应用程序，能够设定浸提温度和编制快速溶剂浸提的4个步骤（热浸提、淋洗、溶剂回收、预干燥）的时间；</w:t>
            </w:r>
          </w:p>
          <w:p>
            <w:pPr>
              <w:pStyle w:val="22"/>
              <w:pageBreakBefore w:val="0"/>
              <w:kinsoku/>
              <w:wordWrap/>
              <w:overflowPunct/>
              <w:topLinePunct w:val="0"/>
              <w:bidi w:val="0"/>
              <w:spacing w:line="560" w:lineRule="exact"/>
              <w:jc w:val="both"/>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1</w:t>
            </w:r>
            <w:r>
              <w:rPr>
                <w:rFonts w:hint="eastAsia" w:hAnsi="宋体"/>
                <w:color w:val="000000" w:themeColor="text1"/>
                <w:sz w:val="21"/>
                <w:szCs w:val="21"/>
                <w14:textFill>
                  <w14:solidFill>
                    <w14:schemeClr w14:val="tx1"/>
                  </w14:solidFill>
                </w14:textFill>
              </w:rPr>
              <w:t>.1</w:t>
            </w:r>
            <w:r>
              <w:rPr>
                <w:rFonts w:hint="eastAsia" w:hAnsi="宋体"/>
                <w:color w:val="000000" w:themeColor="text1"/>
                <w:sz w:val="21"/>
                <w:szCs w:val="21"/>
                <w:lang w:val="en-US" w:eastAsia="zh-CN"/>
                <w14:textFill>
                  <w14:solidFill>
                    <w14:schemeClr w14:val="tx1"/>
                  </w14:solidFill>
                </w14:textFill>
              </w:rPr>
              <w:t>2</w:t>
            </w:r>
            <w:r>
              <w:rPr>
                <w:rFonts w:hint="eastAsia" w:hAnsi="宋体"/>
                <w:color w:val="000000" w:themeColor="text1"/>
                <w:sz w:val="21"/>
                <w:szCs w:val="21"/>
                <w14:textFill>
                  <w14:solidFill>
                    <w14:schemeClr w14:val="tx1"/>
                  </w14:solidFill>
                </w14:textFill>
              </w:rPr>
              <w:t>控制单元具有独立限温控制系统，专用钥匙锁控防止自动控制程序被意外更改；</w:t>
            </w:r>
          </w:p>
          <w:p>
            <w:pPr>
              <w:pStyle w:val="22"/>
              <w:pageBreakBefore w:val="0"/>
              <w:kinsoku/>
              <w:wordWrap/>
              <w:overflowPunct/>
              <w:topLinePunct w:val="0"/>
              <w:bidi w:val="0"/>
              <w:spacing w:line="560" w:lineRule="exact"/>
              <w:jc w:val="both"/>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1</w:t>
            </w:r>
            <w:r>
              <w:rPr>
                <w:rFonts w:hint="eastAsia" w:hAnsi="宋体"/>
                <w:color w:val="000000" w:themeColor="text1"/>
                <w:sz w:val="21"/>
                <w:szCs w:val="21"/>
                <w14:textFill>
                  <w14:solidFill>
                    <w14:schemeClr w14:val="tx1"/>
                  </w14:solidFill>
                </w14:textFill>
              </w:rPr>
              <w:t>.1</w:t>
            </w:r>
            <w:r>
              <w:rPr>
                <w:rFonts w:hint="eastAsia" w:hAnsi="宋体"/>
                <w:color w:val="000000" w:themeColor="text1"/>
                <w:sz w:val="21"/>
                <w:szCs w:val="21"/>
                <w:lang w:val="en-US" w:eastAsia="zh-CN"/>
                <w14:textFill>
                  <w14:solidFill>
                    <w14:schemeClr w14:val="tx1"/>
                  </w14:solidFill>
                </w14:textFill>
              </w:rPr>
              <w:t>3</w:t>
            </w:r>
            <w:r>
              <w:rPr>
                <w:rFonts w:hint="eastAsia" w:hAnsi="宋体"/>
                <w:color w:val="000000" w:themeColor="text1"/>
                <w:sz w:val="21"/>
                <w:szCs w:val="21"/>
                <w14:textFill>
                  <w14:solidFill>
                    <w14:schemeClr w14:val="tx1"/>
                  </w14:solidFill>
                </w14:textFill>
              </w:rPr>
              <w:t>为保证充分的浸提效果，样品在浸泡于沸腾溶剂阶段后，会被提起并高于溶剂液面进行单独淋洗，蒸发的溶剂冷凝回流到滤纸筒中淋洗样品，提高浸提效率并有效地减少溶剂的使用量和消耗量；</w:t>
            </w:r>
          </w:p>
          <w:p>
            <w:pPr>
              <w:pStyle w:val="22"/>
              <w:pageBreakBefore w:val="0"/>
              <w:kinsoku/>
              <w:wordWrap/>
              <w:overflowPunct/>
              <w:topLinePunct w:val="0"/>
              <w:bidi w:val="0"/>
              <w:spacing w:line="560" w:lineRule="exact"/>
              <w:jc w:val="both"/>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2</w:t>
            </w:r>
            <w:r>
              <w:rPr>
                <w:rFonts w:hint="eastAsia" w:hAnsi="宋体"/>
                <w:color w:val="000000" w:themeColor="text1"/>
                <w:sz w:val="21"/>
                <w:szCs w:val="21"/>
                <w14:textFill>
                  <w14:solidFill>
                    <w14:schemeClr w14:val="tx1"/>
                  </w14:solidFill>
                </w14:textFill>
              </w:rPr>
              <w:t>. 基本配置：</w:t>
            </w:r>
          </w:p>
          <w:p>
            <w:pPr>
              <w:pStyle w:val="22"/>
              <w:pageBreakBefore w:val="0"/>
              <w:kinsoku/>
              <w:wordWrap/>
              <w:overflowPunct/>
              <w:topLinePunct w:val="0"/>
              <w:bidi w:val="0"/>
              <w:spacing w:line="560" w:lineRule="exact"/>
              <w:jc w:val="both"/>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2</w:t>
            </w:r>
            <w:r>
              <w:rPr>
                <w:rFonts w:hint="eastAsia" w:hAnsi="宋体"/>
                <w:color w:val="000000" w:themeColor="text1"/>
                <w:sz w:val="21"/>
                <w:szCs w:val="21"/>
                <w14:textFill>
                  <w14:solidFill>
                    <w14:schemeClr w14:val="tx1"/>
                  </w14:solidFill>
                </w14:textFill>
              </w:rPr>
              <w:t>.1 索氏浸提主机 1套：</w:t>
            </w:r>
          </w:p>
          <w:p>
            <w:pPr>
              <w:pStyle w:val="22"/>
              <w:pageBreakBefore w:val="0"/>
              <w:kinsoku/>
              <w:wordWrap/>
              <w:overflowPunct/>
              <w:topLinePunct w:val="0"/>
              <w:bidi w:val="0"/>
              <w:spacing w:line="560" w:lineRule="exact"/>
              <w:jc w:val="both"/>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2</w:t>
            </w:r>
            <w:r>
              <w:rPr>
                <w:rFonts w:hint="eastAsia" w:hAnsi="宋体"/>
                <w:color w:val="000000" w:themeColor="text1"/>
                <w:sz w:val="21"/>
                <w:szCs w:val="21"/>
                <w14:textFill>
                  <w14:solidFill>
                    <w14:schemeClr w14:val="tx1"/>
                  </w14:solidFill>
                </w14:textFill>
              </w:rPr>
              <w:t>.2 浸提主机随机附件包括：</w:t>
            </w:r>
          </w:p>
          <w:p>
            <w:pPr>
              <w:pStyle w:val="22"/>
              <w:pageBreakBefore w:val="0"/>
              <w:kinsoku/>
              <w:wordWrap/>
              <w:overflowPunct/>
              <w:topLinePunct w:val="0"/>
              <w:bidi w:val="0"/>
              <w:spacing w:line="560" w:lineRule="exact"/>
              <w:jc w:val="both"/>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 xml:space="preserve">   玻璃制浸提杯1套、玻璃制浸提杯批量操作托架1套（6个/套）、、浸提杯专用操作工具和滤筒专用操作工具各1把；</w:t>
            </w:r>
          </w:p>
          <w:p>
            <w:pPr>
              <w:pStyle w:val="22"/>
              <w:pageBreakBefore w:val="0"/>
              <w:kinsoku/>
              <w:wordWrap/>
              <w:overflowPunct/>
              <w:topLinePunct w:val="0"/>
              <w:bidi w:val="0"/>
              <w:spacing w:line="560" w:lineRule="exact"/>
              <w:jc w:val="both"/>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3</w:t>
            </w:r>
            <w:r>
              <w:rPr>
                <w:rFonts w:hint="eastAsia" w:hAnsi="宋体"/>
                <w:color w:val="000000" w:themeColor="text1"/>
                <w:sz w:val="21"/>
                <w:szCs w:val="21"/>
                <w14:textFill>
                  <w14:solidFill>
                    <w14:schemeClr w14:val="tx1"/>
                  </w14:solidFill>
                </w14:textFill>
              </w:rPr>
              <w:t>.技术资料（供货时提供）：</w:t>
            </w:r>
          </w:p>
          <w:p>
            <w:pPr>
              <w:pStyle w:val="22"/>
              <w:pageBreakBefore w:val="0"/>
              <w:kinsoku/>
              <w:wordWrap/>
              <w:overflowPunct/>
              <w:topLinePunct w:val="0"/>
              <w:bidi w:val="0"/>
              <w:spacing w:line="560" w:lineRule="exact"/>
              <w:jc w:val="both"/>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3</w:t>
            </w:r>
            <w:r>
              <w:rPr>
                <w:rFonts w:hint="eastAsia" w:hAnsi="宋体"/>
                <w:color w:val="000000" w:themeColor="text1"/>
                <w:sz w:val="21"/>
                <w:szCs w:val="21"/>
                <w14:textFill>
                  <w14:solidFill>
                    <w14:schemeClr w14:val="tx1"/>
                  </w14:solidFill>
                </w14:textFill>
              </w:rPr>
              <w:t>.1 仪器操作手册；</w:t>
            </w:r>
          </w:p>
          <w:p>
            <w:pPr>
              <w:pStyle w:val="22"/>
              <w:pageBreakBefore w:val="0"/>
              <w:kinsoku/>
              <w:wordWrap/>
              <w:overflowPunct/>
              <w:topLinePunct w:val="0"/>
              <w:bidi w:val="0"/>
              <w:spacing w:line="560" w:lineRule="exact"/>
              <w:jc w:val="both"/>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3</w:t>
            </w:r>
            <w:r>
              <w:rPr>
                <w:rFonts w:hint="eastAsia" w:hAnsi="宋体"/>
                <w:color w:val="000000" w:themeColor="text1"/>
                <w:sz w:val="21"/>
                <w:szCs w:val="21"/>
                <w14:textFill>
                  <w14:solidFill>
                    <w14:schemeClr w14:val="tx1"/>
                  </w14:solidFill>
                </w14:textFill>
              </w:rPr>
              <w:t>.2 维护手册；</w:t>
            </w:r>
          </w:p>
          <w:p>
            <w:pPr>
              <w:pStyle w:val="22"/>
              <w:pageBreakBefore w:val="0"/>
              <w:kinsoku/>
              <w:wordWrap/>
              <w:overflowPunct/>
              <w:topLinePunct w:val="0"/>
              <w:bidi w:val="0"/>
              <w:spacing w:line="560" w:lineRule="exact"/>
              <w:jc w:val="both"/>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3</w:t>
            </w:r>
            <w:r>
              <w:rPr>
                <w:rFonts w:hint="eastAsia" w:hAnsi="宋体"/>
                <w:color w:val="000000" w:themeColor="text1"/>
                <w:sz w:val="21"/>
                <w:szCs w:val="21"/>
                <w14:textFill>
                  <w14:solidFill>
                    <w14:schemeClr w14:val="tx1"/>
                  </w14:solidFill>
                </w14:textFill>
              </w:rPr>
              <w:t>.3 质量认证书.；</w:t>
            </w:r>
          </w:p>
          <w:p>
            <w:pPr>
              <w:pStyle w:val="22"/>
              <w:pageBreakBefore w:val="0"/>
              <w:kinsoku/>
              <w:wordWrap/>
              <w:overflowPunct/>
              <w:topLinePunct w:val="0"/>
              <w:bidi w:val="0"/>
              <w:spacing w:line="560" w:lineRule="exact"/>
              <w:jc w:val="both"/>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3</w:t>
            </w:r>
            <w:r>
              <w:rPr>
                <w:rFonts w:hint="eastAsia" w:hAnsi="宋体"/>
                <w:color w:val="000000" w:themeColor="text1"/>
                <w:sz w:val="21"/>
                <w:szCs w:val="21"/>
                <w14:textFill>
                  <w14:solidFill>
                    <w14:schemeClr w14:val="tx1"/>
                  </w14:solidFill>
                </w14:textFill>
              </w:rPr>
              <w:t>.4 针对不同样品的应用报告；</w:t>
            </w:r>
          </w:p>
          <w:p>
            <w:pPr>
              <w:pStyle w:val="22"/>
              <w:pageBreakBefore w:val="0"/>
              <w:kinsoku/>
              <w:wordWrap/>
              <w:overflowPunct/>
              <w:topLinePunct w:val="0"/>
              <w:bidi w:val="0"/>
              <w:spacing w:line="560" w:lineRule="exact"/>
              <w:jc w:val="both"/>
              <w:rPr>
                <w:rFonts w:hint="eastAsia" w:hAnsi="宋体"/>
                <w:color w:val="000000" w:themeColor="text1"/>
                <w:sz w:val="2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经销商投标时须提供厂家针对该项目的授权</w:t>
            </w: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委托书</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039" w:type="dxa"/>
            <w:noWrap w:val="0"/>
            <w:vAlign w:val="center"/>
          </w:tcPr>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高压灭菌器</w:t>
            </w:r>
          </w:p>
        </w:tc>
        <w:tc>
          <w:tcPr>
            <w:tcW w:w="7359" w:type="dxa"/>
            <w:noWrap w:val="0"/>
            <w:vAlign w:val="top"/>
          </w:tcPr>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一.性能指标</w:t>
            </w:r>
          </w:p>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.容量:60升,立式结构,底部带脚轮 ，腔体直径40CM 可放入直径38CM,高度40CM的灭菌提篮。</w:t>
            </w:r>
          </w:p>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.开关盖方式：触拨式开关，针式连锁锁盖，垂直向上打开腔门（上掀式开盖）下压式关盖。</w:t>
            </w:r>
          </w:p>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.时间范围:灭菌时间:1-6000分钟,融化时间:1-6000分钟,保温时间:1-8700分钟，定时器预置范围：0-6天延迟。</w:t>
            </w:r>
          </w:p>
          <w:p>
            <w:pPr>
              <w:pageBreakBefore w:val="0"/>
              <w:kinsoku/>
              <w:wordWrap/>
              <w:overflowPunct/>
              <w:topLinePunct w:val="0"/>
              <w:bidi w:val="0"/>
              <w:spacing w:line="56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 温度和压力: 最高工作温度138℃，设计压力0.35Mpa,安全阀起跳压力0.31Mpa</w:t>
            </w:r>
            <w:r>
              <w:rPr>
                <w:rFonts w:hint="eastAsia" w:ascii="宋体" w:hAnsi="宋体" w:cs="宋体"/>
                <w:color w:val="000000" w:themeColor="text1"/>
                <w:szCs w:val="21"/>
                <w:lang w:eastAsia="zh-CN"/>
                <w14:textFill>
                  <w14:solidFill>
                    <w14:schemeClr w14:val="tx1"/>
                  </w14:solidFill>
                </w14:textFill>
              </w:rPr>
              <w:t>。</w:t>
            </w:r>
          </w:p>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.双水位传感器和铜质干烧保护器:配备高水位和低水位两个水位传感器,杜绝水位误判, 配备铜质温度感应式干烧保护器，铜质材料适用于更复杂的工作环境。</w:t>
            </w:r>
          </w:p>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.记忆存储系统:可记忆存储灭菌程序。</w:t>
            </w:r>
          </w:p>
          <w:p>
            <w:pPr>
              <w:pageBreakBefore w:val="0"/>
              <w:kinsoku/>
              <w:wordWrap/>
              <w:overflowPunct/>
              <w:topLinePunct w:val="0"/>
              <w:bidi w:val="0"/>
              <w:spacing w:line="56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 六级（0-5级）排汽方式：灭菌结束完成后，排气阀可按设定的六级排汽速度自动脉冲内排式排汽</w:t>
            </w:r>
            <w:r>
              <w:rPr>
                <w:rFonts w:hint="eastAsia" w:ascii="宋体" w:hAnsi="宋体" w:cs="宋体"/>
                <w:color w:val="000000" w:themeColor="text1"/>
                <w:szCs w:val="21"/>
                <w:lang w:eastAsia="zh-CN"/>
                <w14:textFill>
                  <w14:solidFill>
                    <w14:schemeClr w14:val="tx1"/>
                  </w14:solidFill>
                </w14:textFill>
              </w:rPr>
              <w:t>。</w:t>
            </w:r>
          </w:p>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.集汽瓶：内排式、内置双蒸汽集汽瓶，前置集汽瓶</w:t>
            </w:r>
            <w:r>
              <w:rPr>
                <w:rFonts w:hint="eastAsia" w:ascii="宋体" w:hAnsi="宋体" w:cs="宋体"/>
                <w:strike w:val="0"/>
                <w:dstrike w:val="0"/>
                <w:color w:val="000000" w:themeColor="text1"/>
                <w:szCs w:val="21"/>
                <w14:textFill>
                  <w14:solidFill>
                    <w14:schemeClr w14:val="tx1"/>
                  </w14:solidFill>
                </w14:textFill>
              </w:rPr>
              <w:t>。</w:t>
            </w:r>
          </w:p>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.标配冷却风扇，灭菌结束可快速降低腔体温度</w:t>
            </w:r>
          </w:p>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.冷却锁打开温度:根据灭菌物的热惯性,可设置灭菌物的开盖温度,温度没达到设定温度,腔盖无法打开。</w:t>
            </w:r>
          </w:p>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.具有如下五种以上工作模式：液体，液体带保温，固体，废弃物，自定义，等灭菌模式。</w:t>
            </w:r>
          </w:p>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14.仪器的操作：压力表前置，废水壶前置，打印机口前置，腔体深度合理。 </w:t>
            </w:r>
          </w:p>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.安全装置：</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八柱均分，闭盖检查系统：电动式双内锁：冷却锁OPEN温度：缺水保护   过压双重保护： 自动故障检测系统、后台安全测试程序， 温度监控 漏电、过流与短路保护。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039" w:type="dxa"/>
            <w:noWrap w:val="0"/>
            <w:vAlign w:val="center"/>
          </w:tcPr>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万能蒸烤箱</w:t>
            </w:r>
          </w:p>
        </w:tc>
        <w:tc>
          <w:tcPr>
            <w:tcW w:w="7359" w:type="dxa"/>
            <w:noWrap w:val="0"/>
            <w:vAlign w:val="top"/>
          </w:tcPr>
          <w:p>
            <w:pPr>
              <w:pageBreakBefore w:val="0"/>
              <w:kinsoku/>
              <w:wordWrap/>
              <w:overflowPunct/>
              <w:topLinePunct w:val="0"/>
              <w:bidi w:val="0"/>
              <w:spacing w:line="560" w:lineRule="exact"/>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一</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技术参数要求：</w:t>
            </w:r>
          </w:p>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三段式菜单编程：9</w:t>
            </w:r>
          </w:p>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每天烹饪膳食份数：50-150份</w:t>
            </w:r>
          </w:p>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空气开关额定电流：25A</w:t>
            </w:r>
          </w:p>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发热管功率：9KW</w:t>
            </w:r>
          </w:p>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总功率：9.4KW</w:t>
            </w:r>
          </w:p>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总电流：14A</w:t>
            </w:r>
          </w:p>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间距：70MM</w:t>
            </w:r>
          </w:p>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容量：6*1/1盘</w:t>
            </w:r>
          </w:p>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加热方式：电加热</w:t>
            </w:r>
          </w:p>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电源要求：380V/50HZ/3PH</w:t>
            </w:r>
          </w:p>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进水管径：3/4”</w:t>
            </w:r>
          </w:p>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排水管径：DN50MM</w:t>
            </w:r>
          </w:p>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13.</w:t>
            </w:r>
            <w:r>
              <w:rPr>
                <w:rFonts w:hint="eastAsia" w:ascii="宋体" w:hAnsi="宋体" w:cs="宋体"/>
                <w:color w:val="000000" w:themeColor="text1"/>
                <w:szCs w:val="21"/>
                <w14:textFill>
                  <w14:solidFill>
                    <w14:schemeClr w14:val="tx1"/>
                  </w14:solidFill>
                </w14:textFill>
              </w:rPr>
              <w:t>进水压力：0.2-0.5MPA</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r>
              <w:rPr>
                <w:rFonts w:hint="eastAsia" w:ascii="宋体" w:hAnsi="宋体" w:cs="宋体"/>
                <w:color w:val="000000" w:themeColor="text1"/>
                <w:szCs w:val="21"/>
                <w14:textFill>
                  <w14:solidFill>
                    <w14:schemeClr w14:val="tx1"/>
                  </w14:solidFill>
                </w14:textFill>
              </w:rPr>
              <w:t>工作温度：30℃-290℃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5" w:type="dxa"/>
            <w:noWrap w:val="0"/>
            <w:vAlign w:val="top"/>
          </w:tcPr>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1039" w:type="dxa"/>
            <w:noWrap w:val="0"/>
            <w:vAlign w:val="center"/>
          </w:tcPr>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液相色谱仪</w:t>
            </w:r>
          </w:p>
        </w:tc>
        <w:tc>
          <w:tcPr>
            <w:tcW w:w="7359" w:type="dxa"/>
            <w:noWrap w:val="0"/>
            <w:vAlign w:val="top"/>
          </w:tcPr>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工作条件</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1.1电源电压： 220 V±10%</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1.2温度：18℃～28℃</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1.3湿度：40%～70%</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仪器性能</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2.1系统控制：</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2.1.1仪器面板：每个单独模块均具有键盘，可脱机独立设定参数</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2.1.2工作站：全中文原厂工作站软件</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2.2 输液泵</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2.2.1脱气单元：共5路：4路流动相+1路清洗液 </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2.2.2泵类型：串联双柱塞</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2.2.3泵腔体积：10uL，减小压力脉动且减小延迟体积</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2.2.4脉动：&lt; 0.15MPa（1.0mL/min，10MPa，水）</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2.2.5流速范围：0.0001～10 mL/min</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2.2.6流速重现性：&lt;0.065%RSD 或 &lt;0.02minSD，其中较大值</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2.2.7梯度：四元</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2.2.8梯度范围：0～100%（0.1% 步进）</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2.2.9梯度程序：20步</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2.2.10梯度准确度：±0.55%（0.1～2mL/min，1～20MPa，指定条件）</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2.2.11梯度重现性：±0.13%（1mL/min，10MPa，指定条件）</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2.2.12最大耐压：40MPa</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2.2.13物理双泵头：便于维护</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2.3 自动进样器</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2.3.1进样方式：样品环进样</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2.3.2最大耐压：35MPa</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2.3.3进样准确度：±1.5%（50uL，N=6）</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2.3.4进样体积：0.1～100uL</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2.3.5进样精度：RSD &lt;0.25% （10.0uL进样时）</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2.3.6进样周期：最小10sec（5uL）</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2.3.7样品数量： 100位以上（1.5mL）</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2.3.8进样线性：&gt;0.9995（1～100uL，指定条件）</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2.4 柱温箱</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2.4.1控温方式: 半导体模块加热方式</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2.4.2可安装单元：手动进样器*1，梯度混合器*1</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2.4.3控温范围：室温+5～85℃</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2.5 紫外检测器</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2.5.1波长范围：190～700nm</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2.5.2噪音：±2.8×10-6AU（250nm，响应 2sec，空池）</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2.5.3漂移：100×10-6AU/h（250nm）</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2.5.4双波长检测：支持</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2.6</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荧光检测器</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2.6.1波长范围：200~600nm </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2.6.2光源：氙灯</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2.6.3光谱带宽：20nm</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2.6.</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灵敏度：水拉曼峰S/N 8000 以上（暗背景）</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2.6.</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独立控制面板 ：可脱离工作站独立操作</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2.7色谱工作站</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2.7.1工作站基于windows系统，数据传输基于主流的网络协议，确保数据真实可靠，符合cGMP标准。</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2.7.</w:t>
            </w:r>
            <w:r>
              <w:rPr>
                <w:rFonts w:hint="eastAsia"/>
                <w:color w:val="000000" w:themeColor="text1"/>
                <w:highlight w:val="none"/>
                <w14:textFill>
                  <w14:solidFill>
                    <w14:schemeClr w14:val="tx1"/>
                  </w14:solidFill>
                </w14:textFill>
              </w:rPr>
              <w:t>2可以使用同一厂家工作站控制所</w:t>
            </w:r>
            <w:r>
              <w:rPr>
                <w:rFonts w:hint="eastAsia"/>
                <w:color w:val="000000" w:themeColor="text1"/>
                <w14:textFill>
                  <w14:solidFill>
                    <w14:schemeClr w14:val="tx1"/>
                  </w14:solidFill>
                </w14:textFill>
              </w:rPr>
              <w:t>有可扩展部件（包括输液泵、检测器等），进行数据采集和分析处理。</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2.7.3商用电脑：WIN 10专业版系统，≥8G内存，≥1T硬盘，独立显卡，≥21寸显示器。</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技术支持和售后服务</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3.1供应商免费提供操作手册1套。 </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3.2自仪器安装调试验收合格之日起免费保修1年。 </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3.3自仪器安装调试验收合格之日起10年内，供应商要及时为用户提供仪器维修服务，不能以产品下线、无配件为借口拒绝维修仪器，如不能及时进行仪器维修，应为用户更换新款仪器。 </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3.4用户现场免费安装，调试，培训。 </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3.6</w:t>
            </w:r>
            <w:r>
              <w:rPr>
                <w:rFonts w:hint="eastAsia"/>
                <w:color w:val="000000" w:themeColor="text1"/>
                <w:highlight w:val="none"/>
                <w14:textFill>
                  <w14:solidFill>
                    <w14:schemeClr w14:val="tx1"/>
                  </w14:solidFill>
                </w14:textFill>
              </w:rPr>
              <w:t>供应商</w:t>
            </w:r>
            <w:r>
              <w:rPr>
                <w:rFonts w:hint="eastAsia"/>
                <w:color w:val="000000" w:themeColor="text1"/>
                <w:highlight w:val="none"/>
                <w:lang w:val="en-US" w:eastAsia="zh-CN"/>
                <w14:textFill>
                  <w14:solidFill>
                    <w14:schemeClr w14:val="tx1"/>
                  </w14:solidFill>
                </w14:textFill>
              </w:rPr>
              <w:t>应</w:t>
            </w:r>
            <w:r>
              <w:rPr>
                <w:rFonts w:hint="eastAsia"/>
                <w:color w:val="000000" w:themeColor="text1"/>
                <w14:textFill>
                  <w14:solidFill>
                    <w14:schemeClr w14:val="tx1"/>
                  </w14:solidFill>
                </w14:textFill>
              </w:rPr>
              <w:t>为用户免费提供不少于2人次培训（每人次不低于4个工作日）。</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三、配置清单：</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输液泵*1台</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5路脱气机*1台</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混合器*1套</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自动进样器*1套</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柱温箱*1套</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紫外检测器*1套</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荧光检测器*1套</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安装附件包*1套</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工具包*1套</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1.5mL进样小瓶*200套</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原厂中文版操作软件*1套</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C18, 5um, 4.6x250mm色谱柱*1根</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电脑*1套</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打印机*1套</w:t>
            </w:r>
          </w:p>
          <w:p>
            <w:pPr>
              <w:pStyle w:val="15"/>
              <w:pageBreakBefore w:val="0"/>
              <w:kinsoku/>
              <w:wordWrap/>
              <w:overflowPunct/>
              <w:topLinePunct w:val="0"/>
              <w:bidi w:val="0"/>
              <w:spacing w:line="560" w:lineRule="exact"/>
              <w:ind w:left="0" w:leftChars="0" w:firstLine="0" w:firstLineChars="0"/>
              <w:rPr>
                <w:rFonts w:hint="eastAsia"/>
                <w:color w:val="000000" w:themeColor="text1"/>
                <w14:textFill>
                  <w14:solidFill>
                    <w14:schemeClr w14:val="tx1"/>
                  </w14:solidFill>
                </w14:textFill>
              </w:rPr>
            </w:pP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*经销商投标时须提供厂家针对该项目的授权</w:t>
            </w:r>
            <w:r>
              <w:rPr>
                <w:rFonts w:hint="eastAsia" w:ascii="Times New Roman" w:eastAsia="宋体" w:cs="Times New Roman"/>
                <w:color w:val="000000" w:themeColor="text1"/>
                <w:kern w:val="2"/>
                <w:sz w:val="21"/>
                <w:szCs w:val="22"/>
                <w:lang w:val="en-US" w:eastAsia="zh-CN" w:bidi="ar-SA"/>
                <w14:textFill>
                  <w14:solidFill>
                    <w14:schemeClr w14:val="tx1"/>
                  </w14:solidFill>
                </w14:textFill>
              </w:rPr>
              <w:t>委托书</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1039" w:type="dxa"/>
            <w:noWrap w:val="0"/>
            <w:vAlign w:val="center"/>
          </w:tcPr>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净水器</w:t>
            </w:r>
          </w:p>
        </w:tc>
        <w:tc>
          <w:tcPr>
            <w:tcW w:w="7359" w:type="dxa"/>
            <w:noWrap w:val="0"/>
            <w:vAlign w:val="top"/>
          </w:tcPr>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规格参数：</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额定电压：AC220V 50HZ</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额定功率：28.8W</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适用水温：5—45℃</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适用水压：0.1—0.7MPa</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原水限值：≤1000PPM</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日产水量：≥75加仑（约283升）</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7.</w:t>
            </w:r>
            <w:r>
              <w:rPr>
                <w:rFonts w:hint="eastAsia" w:ascii="宋体" w:hAnsi="宋体" w:cs="宋体"/>
                <w:color w:val="000000" w:themeColor="text1"/>
                <w:kern w:val="0"/>
                <w:szCs w:val="21"/>
                <w:lang w:bidi="ar"/>
                <w14:textFill>
                  <w14:solidFill>
                    <w14:schemeClr w14:val="tx1"/>
                  </w14:solidFill>
                </w14:textFill>
              </w:rPr>
              <w:t>脱盐率 ：≥96％</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8.</w:t>
            </w:r>
            <w:r>
              <w:rPr>
                <w:rFonts w:hint="eastAsia" w:ascii="宋体" w:hAnsi="宋体" w:cs="宋体"/>
                <w:color w:val="000000" w:themeColor="text1"/>
                <w:kern w:val="0"/>
                <w:szCs w:val="21"/>
                <w:lang w:bidi="ar"/>
                <w14:textFill>
                  <w14:solidFill>
                    <w14:schemeClr w14:val="tx1"/>
                  </w14:solidFill>
                </w14:textFill>
              </w:rPr>
              <w:t>适用水质：市政自来水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1039" w:type="dxa"/>
            <w:noWrap w:val="0"/>
            <w:vAlign w:val="center"/>
          </w:tcPr>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制冰机 </w:t>
            </w:r>
          </w:p>
        </w:tc>
        <w:tc>
          <w:tcPr>
            <w:tcW w:w="7359" w:type="dxa"/>
            <w:noWrap w:val="0"/>
            <w:vAlign w:val="center"/>
          </w:tcPr>
          <w:p>
            <w:pPr>
              <w:pageBreakBefore w:val="0"/>
              <w:kinsoku/>
              <w:wordWrap/>
              <w:overflowPunct/>
              <w:topLinePunct w:val="0"/>
              <w:bidi w:val="0"/>
              <w:spacing w:line="560" w:lineRule="exac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1、制冰量：≥200kg/24h；</w:t>
            </w:r>
          </w:p>
          <w:p>
            <w:pPr>
              <w:pageBreakBefore w:val="0"/>
              <w:kinsoku/>
              <w:wordWrap/>
              <w:overflowPunct/>
              <w:topLinePunct w:val="0"/>
              <w:bidi w:val="0"/>
              <w:spacing w:line="560" w:lineRule="exac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2、储冰量：≥55kg；</w:t>
            </w:r>
          </w:p>
          <w:p>
            <w:pPr>
              <w:pageBreakBefore w:val="0"/>
              <w:kinsoku/>
              <w:wordWrap/>
              <w:overflowPunct/>
              <w:topLinePunct w:val="0"/>
              <w:bidi w:val="0"/>
              <w:spacing w:line="560" w:lineRule="exac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3、冷凝方式：风冷；</w:t>
            </w:r>
          </w:p>
          <w:p>
            <w:pPr>
              <w:pageBreakBefore w:val="0"/>
              <w:kinsoku/>
              <w:wordWrap/>
              <w:overflowPunct/>
              <w:topLinePunct w:val="0"/>
              <w:bidi w:val="0"/>
              <w:spacing w:line="560" w:lineRule="exact"/>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4   耗水量：≥8.3L/H</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5、压缩机、制冷剂：无氟 R134a；</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6、箱体外壳：304／2B不锈钢；</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7、输入功率</w:t>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 xml:space="preserve"> 805W；</w:t>
            </w:r>
          </w:p>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8、冰型：不规则的细小颗粒状的雪花碎冰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1039" w:type="dxa"/>
            <w:noWrap w:val="0"/>
            <w:vAlign w:val="center"/>
          </w:tcPr>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气相色谱仪</w:t>
            </w:r>
          </w:p>
        </w:tc>
        <w:tc>
          <w:tcPr>
            <w:tcW w:w="7359" w:type="dxa"/>
            <w:noWrap w:val="0"/>
            <w:vAlign w:val="top"/>
          </w:tcPr>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1 基本要求</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1.1 温度要求： 5℃—35℃</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1.2 湿度要求； 25%—80%</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2气相色谱主机</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2.1保留时间重复性＜0.01%</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2.2峰面积重复性＜1.0%</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2.3可以安装两个进样口</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2.4可以同时安装三个检测器</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2.5支持六个外部阀控制</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2.6最大AFC通道≥17路</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2.7提供8路独立的DC加热单元，其中3路为辅助加热单元</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2.8色谱具备智能维护跟踪与提醒，可以提示进样垫、衬管等更换时间</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2.9色谱具备数字化泄露检测</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2.10色谱前后通道可实现同步或异步独立控制、操作</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3柱温箱</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3.1温度范围：室温+5℃~450℃</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3.2最大升温速率≥200℃/min</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3.3柱箱冷却降温（室温 21℃），从 450℃至50℃＜5.5min（配置增强降温装置时＜3.6min）（提供技术评价报告证明文件）</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3.4最大升温阶数≥31阶（提供技术评价报告）</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3.5温度控制精度≤0.01℃</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3.6安全防护：提供双路温控/监测保护机制，确保色谱使用安全性</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4进样口</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4.1纵向压扣式毛细进样口（提供省级</w:t>
            </w:r>
            <w:r>
              <w:rPr>
                <w:rFonts w:hint="eastAsia"/>
                <w:color w:val="000000" w:themeColor="text1"/>
                <w:lang w:val="en-US" w:eastAsia="zh-CN"/>
                <w14:textFill>
                  <w14:solidFill>
                    <w14:schemeClr w14:val="tx1"/>
                  </w14:solidFill>
                </w14:textFill>
              </w:rPr>
              <w:t>及以上</w:t>
            </w:r>
            <w:r>
              <w:rPr>
                <w:color w:val="000000" w:themeColor="text1"/>
                <w14:textFill>
                  <w14:solidFill>
                    <w14:schemeClr w14:val="tx1"/>
                  </w14:solidFill>
                </w14:textFill>
              </w:rPr>
              <w:t>技术评价报告证明文件和实物证明图片）；</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4.2具备独立的隔垫吹扫捕集阱</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4.3载气控制模式：压力、流量、线速度、程序压力、程序流量、程序线速度</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4.4程序压力/流量/线速度：最大 8阶</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4.5AFC压力控制精度：0.001psi</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4.6AFC压力控制范围：0-80psi</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4.7分流比≥9999:1</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4.8以N2为载气时，流量范围：0-450mL/min</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4.9可选载气类型：N2、H2、He、Ar</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4.10密封性：≤5.0kPa/30min的H2泄露（H2输入压力300kPa）</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5检测器</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5.1氢火焰检测器（FID）</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5.1.1宽量程数字化输出，提升线性范围</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5.1.2最高使用温度≥450℃；</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5.1.3最低检测限：≤1.5pg C/s（正十六烷）（提供省级</w:t>
            </w:r>
            <w:r>
              <w:rPr>
                <w:rFonts w:hint="eastAsia"/>
                <w:color w:val="000000" w:themeColor="text1"/>
                <w:lang w:val="en-US" w:eastAsia="zh-CN"/>
                <w14:textFill>
                  <w14:solidFill>
                    <w14:schemeClr w14:val="tx1"/>
                  </w14:solidFill>
                </w14:textFill>
              </w:rPr>
              <w:t>及以上</w:t>
            </w:r>
            <w:r>
              <w:rPr>
                <w:color w:val="000000" w:themeColor="text1"/>
                <w14:textFill>
                  <w14:solidFill>
                    <w14:schemeClr w14:val="tx1"/>
                  </w14:solidFill>
                </w14:textFill>
              </w:rPr>
              <w:t>技术评价报告证明文件）；</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5.1.4动态线性范围：＞107；</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5.1.5具备灭火检测和自动再点火功能；</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5.1.6 H2流路长期灭火关闭防护，更安全</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5.2电子捕获检测器（ECD）</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5.2.1最高使用温度：400℃；</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5.2.2最低检测限：＜5*10-15 g/s（γ-666）（提供省级</w:t>
            </w:r>
            <w:r>
              <w:rPr>
                <w:rFonts w:hint="eastAsia"/>
                <w:color w:val="000000" w:themeColor="text1"/>
                <w:lang w:val="en-US" w:eastAsia="zh-CN"/>
                <w14:textFill>
                  <w14:solidFill>
                    <w14:schemeClr w14:val="tx1"/>
                  </w14:solidFill>
                </w14:textFill>
              </w:rPr>
              <w:t>及以上</w:t>
            </w:r>
            <w:r>
              <w:rPr>
                <w:color w:val="000000" w:themeColor="text1"/>
                <w14:textFill>
                  <w14:solidFill>
                    <w14:schemeClr w14:val="tx1"/>
                  </w14:solidFill>
                </w14:textFill>
              </w:rPr>
              <w:t>技术评价报告证明文件）；</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5.2.3动态线性范围：＞104；</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5.2.4安全防护：长期断气电流防护功能；</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5.3，火焰光度检测器（FPD）,</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5.3.1 最高使用温度：400℃</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5.3.2 最低检测限：P≤8.0×10-14 g/s（甲基对硫磷）</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S≤8.0×10-12 g/s（甲基对硫磷）</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5.3.3 动态线性范围：P≥103；S≥102</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5.3.4 具备灭火检测和自动再点火功能</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5.3.5 安全防护：H2流路长期灭火关闭防护</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6 配套设备</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6.1自动进样器</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支持单塔、双塔和大盘位自动进样器</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自动进样器位数：150位</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支持前后通道同步或异步进样模式</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残留/交叉污染＜1/100000</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可选配搅拌/加热/条码扫描/全盘冷却或加热功能；</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色谱软件可以反控自动进样器、软件可以根据样品自动调用不同的分析方法</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与气相色谱仪为同一品牌，仅一根电缆连接，可自行在10s内变换前后进样口位置，快速为前后进样口进样，无需定位校准，可实现双塔双柱功能，为了提高进样精度和稳定性，进样针为固定取样，不采用摆臂式取样</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6.2气源</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氢气发生器流量：300ml/min三级净化过滤、两级稳压；输出气体纯度：≥99.999﹪</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空气发生器流量：3L/min两级净化过滤、两级稳压；输出气体纯度：≥99.99﹪</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氮气 99.999%高纯氮气+氮气瓶40L+减压阀</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7色谱工作站软件</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7.1以“通道”为中心管理完整分析工作流；多通道一键切换，独立管理；</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7.2支持同时对4 台GC的实时控制；</w:t>
            </w:r>
          </w:p>
          <w:p>
            <w:pPr>
              <w:pageBreakBefore w:val="0"/>
              <w:kinsoku/>
              <w:wordWrap/>
              <w:overflowPunct/>
              <w:topLinePunct w:val="0"/>
              <w:bidi w:val="0"/>
              <w:spacing w:line="560" w:lineRule="exact"/>
              <w:rPr>
                <w:color w:val="000000" w:themeColor="text1"/>
                <w:highlight w:val="none"/>
                <w14:textFill>
                  <w14:solidFill>
                    <w14:schemeClr w14:val="tx1"/>
                  </w14:solidFill>
                </w14:textFill>
              </w:rPr>
            </w:pPr>
            <w:r>
              <w:rPr>
                <w:color w:val="000000" w:themeColor="text1"/>
                <w14:textFill>
                  <w14:solidFill>
                    <w14:schemeClr w14:val="tx1"/>
                  </w14:solidFill>
                </w14:textFill>
              </w:rPr>
              <w:t>7</w:t>
            </w:r>
            <w:r>
              <w:rPr>
                <w:color w:val="000000" w:themeColor="text1"/>
                <w:highlight w:val="none"/>
                <w14:textFill>
                  <w14:solidFill>
                    <w14:schemeClr w14:val="tx1"/>
                  </w14:solidFill>
                </w14:textFill>
              </w:rPr>
              <w:t>.3模块式可定制化报告，支持批量谱图处理和数据分析；</w:t>
            </w:r>
          </w:p>
          <w:p>
            <w:pPr>
              <w:pageBreakBefore w:val="0"/>
              <w:kinsoku/>
              <w:wordWrap/>
              <w:overflowPunct/>
              <w:topLinePunct w:val="0"/>
              <w:bidi w:val="0"/>
              <w:spacing w:line="56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7.4符合GMP“计算机系统”合规性要求；</w:t>
            </w:r>
          </w:p>
          <w:p>
            <w:pPr>
              <w:pageBreakBefore w:val="0"/>
              <w:kinsoku/>
              <w:wordWrap/>
              <w:overflowPunct/>
              <w:topLinePunct w:val="0"/>
              <w:bidi w:val="0"/>
              <w:spacing w:line="560" w:lineRule="exact"/>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r>
              <w:rPr>
                <w:color w:val="000000" w:themeColor="text1"/>
                <w:highlight w:val="none"/>
                <w14:textFill>
                  <w14:solidFill>
                    <w14:schemeClr w14:val="tx1"/>
                  </w14:solidFill>
                </w14:textFill>
              </w:rPr>
              <w:t>.配置要求</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气相色谱仪主机*1台</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卡扣式分流/不分流进样口*1套</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150位以上自动进样器*1套</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氢火焰检测器*1套</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火焰光度检测器*1套</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电子捕获检测器*1套</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-5   30m</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0.25mm</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0.25um*1根</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-1701  30m</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0.25mm</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0.25μm*1根</w:t>
            </w:r>
          </w:p>
          <w:p>
            <w:pPr>
              <w:pageBreakBefore w:val="0"/>
              <w:kinsoku/>
              <w:wordWrap/>
              <w:overflowPunct/>
              <w:topLinePunct w:val="0"/>
              <w:bidi w:val="0"/>
              <w:spacing w:line="5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安装</w:t>
            </w:r>
            <w:r>
              <w:rPr>
                <w:color w:val="000000" w:themeColor="text1"/>
                <w14:textFill>
                  <w14:solidFill>
                    <w14:schemeClr w14:val="tx1"/>
                  </w14:solidFill>
                </w14:textFill>
              </w:rPr>
              <w:t>工具包*1套</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1.5mL进样小瓶*200套</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原厂中文版操作软件*1套</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安装必备管路附件*1套</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进样隔垫*50个</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O型圈*5个</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10μL进样针*2个</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惰性化分流衬管*3支</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毛细管柱切割器*1个</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石墨压环*3个</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电脑*1套</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打印机*1套</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脱氧捕集阱*1套</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气体净化器*1套</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氢气发生器*1套</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color w:val="000000" w:themeColor="text1"/>
                <w14:textFill>
                  <w14:solidFill>
                    <w14:schemeClr w14:val="tx1"/>
                  </w14:solidFill>
                </w14:textFill>
              </w:rPr>
              <w:t>空气发生器*1套</w:t>
            </w:r>
          </w:p>
          <w:p>
            <w:pPr>
              <w:pageBreakBefore w:val="0"/>
              <w:kinsoku/>
              <w:wordWrap/>
              <w:overflowPunct/>
              <w:topLinePunct w:val="0"/>
              <w:bidi w:val="0"/>
              <w:spacing w:line="560" w:lineRule="exact"/>
              <w:rPr>
                <w:color w:val="000000" w:themeColor="text1"/>
                <w14:textFill>
                  <w14:solidFill>
                    <w14:schemeClr w14:val="tx1"/>
                  </w14:solidFill>
                </w14:textFill>
              </w:rPr>
            </w:pPr>
            <w:r>
              <w:rPr>
                <w:color w:val="000000" w:themeColor="text1"/>
                <w14:textFill>
                  <w14:solidFill>
                    <w14:schemeClr w14:val="tx1"/>
                  </w14:solidFill>
                </w14:textFill>
              </w:rPr>
              <w:t>高纯氮气*1瓶</w:t>
            </w:r>
          </w:p>
          <w:p>
            <w:pPr>
              <w:pStyle w:val="15"/>
              <w:pageBreakBefore w:val="0"/>
              <w:kinsoku/>
              <w:wordWrap/>
              <w:overflowPunct/>
              <w:topLinePunct w:val="0"/>
              <w:bidi w:val="0"/>
              <w:spacing w:line="560" w:lineRule="exact"/>
              <w:ind w:left="0" w:leftChars="0" w:firstLine="0" w:firstLineChars="0"/>
              <w:rPr>
                <w:color w:val="000000" w:themeColor="text1"/>
                <w14:textFill>
                  <w14:solidFill>
                    <w14:schemeClr w14:val="tx1"/>
                  </w14:solidFill>
                </w14:textFill>
              </w:rPr>
            </w:pP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*经销商投标时须提供厂家针对该项目的授权</w:t>
            </w:r>
            <w:r>
              <w:rPr>
                <w:rFonts w:hint="eastAsia" w:ascii="Times New Roman" w:eastAsia="宋体" w:cs="Times New Roman"/>
                <w:color w:val="000000" w:themeColor="text1"/>
                <w:kern w:val="2"/>
                <w:sz w:val="21"/>
                <w:szCs w:val="22"/>
                <w:lang w:val="en-US" w:eastAsia="zh-CN" w:bidi="ar-SA"/>
                <w14:textFill>
                  <w14:solidFill>
                    <w14:schemeClr w14:val="tx1"/>
                  </w14:solidFill>
                </w14:textFill>
              </w:rPr>
              <w:t>委托书</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1039" w:type="dxa"/>
            <w:noWrap w:val="0"/>
            <w:vAlign w:val="bottom"/>
          </w:tcPr>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原子吸收分光光度计</w:t>
            </w:r>
          </w:p>
        </w:tc>
        <w:tc>
          <w:tcPr>
            <w:tcW w:w="7359" w:type="dxa"/>
            <w:noWrap w:val="0"/>
            <w:vAlign w:val="top"/>
          </w:tcPr>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1.工作条件</w:t>
            </w:r>
          </w:p>
          <w:p>
            <w:pPr>
              <w:pStyle w:val="33"/>
              <w:pageBreakBefore w:val="0"/>
              <w:kinsoku/>
              <w:wordWrap/>
              <w:overflowPunct/>
              <w:topLinePunct w:val="0"/>
              <w:bidi w:val="0"/>
              <w:spacing w:line="560" w:lineRule="exact"/>
              <w:ind w:left="0"/>
              <w:jc w:val="both"/>
              <w:rPr>
                <w:rFonts w:ascii="宋体" w:hAnsi="宋体" w:cs="宋体"/>
                <w:color w:val="000000" w:themeColor="text1"/>
                <w:sz w:val="21"/>
                <w:szCs w:val="21"/>
                <w:lang w:eastAsia="zh-CN" w:bidi="ar"/>
                <w14:textFill>
                  <w14:solidFill>
                    <w14:schemeClr w14:val="tx1"/>
                  </w14:solidFill>
                </w14:textFill>
              </w:rPr>
            </w:pPr>
            <w:r>
              <w:rPr>
                <w:rFonts w:ascii="宋体" w:hAnsi="宋体" w:cs="宋体"/>
                <w:color w:val="000000" w:themeColor="text1"/>
                <w:sz w:val="21"/>
                <w:szCs w:val="21"/>
                <w:lang w:eastAsia="zh-CN" w:bidi="ar"/>
                <w14:textFill>
                  <w14:solidFill>
                    <w14:schemeClr w14:val="tx1"/>
                  </w14:solidFill>
                </w14:textFill>
              </w:rPr>
              <w:t>1.1电源电压： 220 V±10%</w:t>
            </w:r>
          </w:p>
          <w:p>
            <w:pPr>
              <w:pStyle w:val="33"/>
              <w:pageBreakBefore w:val="0"/>
              <w:kinsoku/>
              <w:wordWrap/>
              <w:overflowPunct/>
              <w:topLinePunct w:val="0"/>
              <w:bidi w:val="0"/>
              <w:spacing w:line="560" w:lineRule="exact"/>
              <w:ind w:left="0"/>
              <w:jc w:val="both"/>
              <w:rPr>
                <w:rFonts w:ascii="宋体" w:hAnsi="宋体" w:cs="宋体"/>
                <w:color w:val="000000" w:themeColor="text1"/>
                <w:sz w:val="21"/>
                <w:szCs w:val="21"/>
                <w:lang w:eastAsia="zh-CN" w:bidi="ar"/>
                <w14:textFill>
                  <w14:solidFill>
                    <w14:schemeClr w14:val="tx1"/>
                  </w14:solidFill>
                </w14:textFill>
              </w:rPr>
            </w:pPr>
            <w:r>
              <w:rPr>
                <w:rFonts w:ascii="宋体" w:hAnsi="宋体" w:cs="宋体"/>
                <w:color w:val="000000" w:themeColor="text1"/>
                <w:sz w:val="21"/>
                <w:szCs w:val="21"/>
                <w:lang w:eastAsia="zh-CN" w:bidi="ar"/>
                <w14:textFill>
                  <w14:solidFill>
                    <w14:schemeClr w14:val="tx1"/>
                  </w14:solidFill>
                </w14:textFill>
              </w:rPr>
              <w:t>1.2温度：18℃～28℃</w:t>
            </w:r>
          </w:p>
          <w:p>
            <w:pPr>
              <w:pStyle w:val="33"/>
              <w:pageBreakBefore w:val="0"/>
              <w:kinsoku/>
              <w:wordWrap/>
              <w:overflowPunct/>
              <w:topLinePunct w:val="0"/>
              <w:bidi w:val="0"/>
              <w:spacing w:line="560" w:lineRule="exact"/>
              <w:ind w:left="0"/>
              <w:jc w:val="both"/>
              <w:rPr>
                <w:rFonts w:ascii="宋体" w:hAnsi="宋体" w:cs="宋体"/>
                <w:color w:val="000000" w:themeColor="text1"/>
                <w:sz w:val="21"/>
                <w:szCs w:val="21"/>
                <w:lang w:eastAsia="zh-CN" w:bidi="ar"/>
                <w14:textFill>
                  <w14:solidFill>
                    <w14:schemeClr w14:val="tx1"/>
                  </w14:solidFill>
                </w14:textFill>
              </w:rPr>
            </w:pPr>
            <w:r>
              <w:rPr>
                <w:rFonts w:ascii="宋体" w:hAnsi="宋体" w:cs="宋体"/>
                <w:color w:val="000000" w:themeColor="text1"/>
                <w:sz w:val="21"/>
                <w:szCs w:val="21"/>
                <w:lang w:eastAsia="zh-CN" w:bidi="ar"/>
                <w14:textFill>
                  <w14:solidFill>
                    <w14:schemeClr w14:val="tx1"/>
                  </w14:solidFill>
                </w14:textFill>
              </w:rPr>
              <w:t>1.3湿度：40%～70%</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2.仪器性能</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2.1 测光系统：</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2.1.1 光学系统：火焰：光学双光束；石墨炉：电子双光束；光学双光束/电子双光束自动切换，三维全反射聚焦光学系统（无透镜聚焦）</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2.1.2 原子化器切换：火焰/石墨炉一体机，自动切换</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2.1.3 测定波长范围：185～900 nm</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2.1.4 分光系统：象差校正型切尼尔-特纳装置</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2.1.5 谱带宽：0.2,0.7,1.3，2.0nm(4档自动切换）</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2.1.8 光栅刻线数：1800 lines/mm</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2.1.9 检测器：高灵敏度光电倍增管</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2.1.10 基线稳定性：≤0.004Abs/30min</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2.1.11 背景校正方式：快速氘灯法（BGC-D2）和快速自吸收法(BGC-SR)。火焰分析和石墨炉分析均能够对185～900 nm全波段进行背景校正。</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2.1.12 波长准确度：≤±0.3nm</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2.1.13 波长重现性：≤0.1nm</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2.2 灯：</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2.2.1 灯座数量：8 灯座</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2.2.2 点灯方式：Emission, Non-BGC, BGC-SR, BGC-D2，D2  </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2.2.3 点灯时间管理：可选择时间、电流×时间两种方式：灯电流：0～40 mA</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2.3 火焰分析：</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2.3.1 燃烧头型式：空冷预混合型</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2.3.2 燃烧头：纯鈦制品，10cm缝长</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2.3.3 喷雾器：Pt-Ir 毛细管，特氟隆喷嘴，陶瓷制撞击球，可使用氢氟酸 </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2.3.4 雾化室：经特殊处理的聚丙烯材料制，耐腐蚀，雾化效率高</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2.3.5 位置调节：前后上下位置自动调节，自动搜索最优燃烧器高度</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2.3.6 气体控制：燃气流量自动设定（0.1L/min步长）,最佳气体流量自动检索。助燃气流量可手动调节。</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2.3.7 安全措施：气体泄露自动检查；Air-C2H2 火焰优先点火；C2H2流量监视器（光传感器）；Air/N2O自动切换；防止易燃气体泄漏和燃烧器误使用装置；压力监视器防止异常压力时的回火；瞬时停电自动检测安全熄火；排水槽水位监视器防止回火。</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2.3.8 灵敏度值：2μg/mL Cu的吸光度≥0.32Abs</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2.3.9 重现性：Cu相对标准偏差不大于1%</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2.3.9 检出限：Cu不大于0.004μg/mL</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2.4 石墨炉分析：</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2.4.1 加热控制方式：灰化阶段开始光控方式，数字式PID技术防止过热。</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2.4.1.1 干燥：数字式电流控制(具有自动温度校正功能)  </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2.4.1.2 灰化：光学温度控制方法</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2.4.1.3 原子化：光学温度控制方法</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2.4.2 加热温度范围：室温～3,000℃</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2.4.3 升温速率：最大升温速度≥3,000℃ /秒</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2.4.4 加热条件设定：</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2.4.4.1 级数：最多20等级    </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2.4.4.2 加热方式：RAMP/STEP</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2.4.4.3 内气体种类：2种，系统自动切换    </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2.4.4.4 灵敏度方式设定：具备高灵敏度方式设定</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2.4.4.5 炉内浓缩：最多20次    </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2.4.4.6 内气流量：0～1.50L/min, 0.01L/min 可调</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2.4.4.7 升温程序最优化：具备升温程序自动最优化功能</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2.4.5 安全措施：冷却水流量监视器；气体压力监视器；防止电流过载装置（遮断器和光传感器的双重确认）；石墨炉区域冷却确认</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2.4.6 灵敏度值：检出限： Pb 不大于1.0pg (即，检出限不大于0.05ng/mL,  进样量20 μL）</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2.5 自动进样器：</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2.5.1 火焰和石墨炉通用规格：一台自动进样器主机即可用于火焰分析也可用于石墨炉分析</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2.5.1.1 功能：原点检测功能；自动清洗功能；自诊断功能；随机编排</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2.5.1.2 最大样品个数：试剂用8个  样品60个(都可以随机编排)</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2.5.1.3 样品容器：样品容器16mL(火焰专用试管)或 2mL(石墨炉专用样品小瓶)；试剂容器：40mL或20mL；溶剂容器：2000mL</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2.5.1.4 喷管清洗：溶剂排出方式（石墨炉测定时） 溶剂吸引方式（火焰测定时）</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2.5.2 石墨炉专用规格：</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2.5.2.1 采样功能：稀释功能、试剂添加功能</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2.5.2.2 注射器：250 μL</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2.5.2.3 进样量：2～90 μL</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2.5.2.4 重现性：1% R.S.D(20μL时) </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2.5.2.5 交叉污染：清洗口0.00001以下，混合口0.00001以下</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2.5.2.6 混合口清洗：溶剂排出方式，样品共洗方式两种清洗方式</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2.5.2.7 混合功能：使用混合口，可混合最大容量为600μL</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2.5.2.8 添加试剂数：最多4液体,可设定样品、试剂的进样顺序（非混合时）</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2.6 数据处理：</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2.6.1 浓度变换方式：工作曲线法(可选择1次、2次、3次式）； 标准加入法及简易标准加入法（1次式）</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2.6.2 重复测定：最多20次。平均值、偏差(SD)、变异系数(RSD)表示。通过指定SD值、RSD值消除异常值</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2.6.3 灵敏度漂移校正：根据灵敏度监视自动校正工作曲线</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2.6.4 表数据处理功能：通过输入采样量、稀释因子、定容量、系数进行最终浓度计算</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2.6.5 多任务功能：测试进行中能够使用文字编辑等软件</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三、配置清单：</w:t>
            </w:r>
          </w:p>
          <w:p>
            <w:pPr>
              <w:pStyle w:val="33"/>
              <w:pageBreakBefore w:val="0"/>
              <w:kinsoku/>
              <w:wordWrap/>
              <w:overflowPunct/>
              <w:topLinePunct w:val="0"/>
              <w:bidi w:val="0"/>
              <w:spacing w:line="560" w:lineRule="exact"/>
              <w:ind w:left="0"/>
              <w:jc w:val="both"/>
              <w:rPr>
                <w:rFonts w:ascii="宋体" w:hAnsi="宋体" w:cs="宋体"/>
                <w:color w:val="000000" w:themeColor="text1"/>
                <w:sz w:val="21"/>
                <w:szCs w:val="21"/>
                <w:lang w:eastAsia="zh-CN" w:bidi="ar"/>
                <w14:textFill>
                  <w14:solidFill>
                    <w14:schemeClr w14:val="tx1"/>
                  </w14:solidFill>
                </w14:textFill>
              </w:rPr>
            </w:pPr>
            <w:r>
              <w:rPr>
                <w:rFonts w:ascii="宋体" w:hAnsi="宋体" w:cs="宋体"/>
                <w:color w:val="000000" w:themeColor="text1"/>
                <w:sz w:val="21"/>
                <w:szCs w:val="21"/>
                <w:lang w:eastAsia="zh-CN" w:bidi="ar"/>
                <w14:textFill>
                  <w14:solidFill>
                    <w14:schemeClr w14:val="tx1"/>
                  </w14:solidFill>
                </w14:textFill>
              </w:rPr>
              <w:t>1.原子吸收分光光度计主机*台</w:t>
            </w:r>
          </w:p>
          <w:p>
            <w:pPr>
              <w:pStyle w:val="33"/>
              <w:pageBreakBefore w:val="0"/>
              <w:kinsoku/>
              <w:wordWrap/>
              <w:overflowPunct/>
              <w:topLinePunct w:val="0"/>
              <w:bidi w:val="0"/>
              <w:spacing w:line="560" w:lineRule="exact"/>
              <w:ind w:left="0"/>
              <w:jc w:val="both"/>
              <w:rPr>
                <w:rFonts w:ascii="宋体" w:hAnsi="宋体" w:cs="宋体"/>
                <w:color w:val="000000" w:themeColor="text1"/>
                <w:sz w:val="21"/>
                <w:szCs w:val="21"/>
                <w:lang w:eastAsia="zh-CN" w:bidi="ar"/>
                <w14:textFill>
                  <w14:solidFill>
                    <w14:schemeClr w14:val="tx1"/>
                  </w14:solidFill>
                </w14:textFill>
              </w:rPr>
            </w:pPr>
            <w:r>
              <w:rPr>
                <w:rFonts w:ascii="宋体" w:hAnsi="宋体" w:cs="宋体"/>
                <w:color w:val="000000" w:themeColor="text1"/>
                <w:sz w:val="21"/>
                <w:szCs w:val="21"/>
                <w:lang w:eastAsia="zh-CN" w:bidi="ar"/>
                <w14:textFill>
                  <w14:solidFill>
                    <w14:schemeClr w14:val="tx1"/>
                  </w14:solidFill>
                </w14:textFill>
              </w:rPr>
              <w:t>2.火焰原子化器*1套</w:t>
            </w:r>
          </w:p>
          <w:p>
            <w:pPr>
              <w:pStyle w:val="33"/>
              <w:pageBreakBefore w:val="0"/>
              <w:kinsoku/>
              <w:wordWrap/>
              <w:overflowPunct/>
              <w:topLinePunct w:val="0"/>
              <w:bidi w:val="0"/>
              <w:spacing w:line="560" w:lineRule="exact"/>
              <w:ind w:left="0"/>
              <w:jc w:val="both"/>
              <w:rPr>
                <w:rFonts w:ascii="宋体" w:hAnsi="宋体" w:cs="宋体"/>
                <w:color w:val="000000" w:themeColor="text1"/>
                <w:sz w:val="21"/>
                <w:szCs w:val="21"/>
                <w:lang w:eastAsia="zh-CN" w:bidi="ar"/>
                <w14:textFill>
                  <w14:solidFill>
                    <w14:schemeClr w14:val="tx1"/>
                  </w14:solidFill>
                </w14:textFill>
              </w:rPr>
            </w:pPr>
            <w:r>
              <w:rPr>
                <w:rFonts w:ascii="宋体" w:hAnsi="宋体" w:cs="宋体"/>
                <w:color w:val="000000" w:themeColor="text1"/>
                <w:sz w:val="21"/>
                <w:szCs w:val="21"/>
                <w:lang w:eastAsia="zh-CN" w:bidi="ar"/>
                <w14:textFill>
                  <w14:solidFill>
                    <w14:schemeClr w14:val="tx1"/>
                  </w14:solidFill>
                </w14:textFill>
              </w:rPr>
              <w:t>3.石墨炉原子化器*1套</w:t>
            </w:r>
          </w:p>
          <w:p>
            <w:pPr>
              <w:pStyle w:val="33"/>
              <w:pageBreakBefore w:val="0"/>
              <w:kinsoku/>
              <w:wordWrap/>
              <w:overflowPunct/>
              <w:topLinePunct w:val="0"/>
              <w:bidi w:val="0"/>
              <w:spacing w:line="560" w:lineRule="exact"/>
              <w:ind w:left="0"/>
              <w:jc w:val="both"/>
              <w:rPr>
                <w:rFonts w:ascii="宋体" w:hAnsi="宋体" w:cs="宋体"/>
                <w:color w:val="000000" w:themeColor="text1"/>
                <w:sz w:val="21"/>
                <w:szCs w:val="21"/>
                <w:lang w:eastAsia="zh-CN" w:bidi="ar"/>
                <w14:textFill>
                  <w14:solidFill>
                    <w14:schemeClr w14:val="tx1"/>
                  </w14:solidFill>
                </w14:textFill>
              </w:rPr>
            </w:pPr>
            <w:r>
              <w:rPr>
                <w:rFonts w:ascii="宋体" w:hAnsi="宋体" w:cs="宋体"/>
                <w:color w:val="000000" w:themeColor="text1"/>
                <w:sz w:val="21"/>
                <w:szCs w:val="21"/>
                <w:lang w:eastAsia="zh-CN" w:bidi="ar"/>
                <w14:textFill>
                  <w14:solidFill>
                    <w14:schemeClr w14:val="tx1"/>
                  </w14:solidFill>
                </w14:textFill>
              </w:rPr>
              <w:t>4.自动进样器*1套</w:t>
            </w:r>
          </w:p>
          <w:p>
            <w:pPr>
              <w:pStyle w:val="33"/>
              <w:pageBreakBefore w:val="0"/>
              <w:kinsoku/>
              <w:wordWrap/>
              <w:overflowPunct/>
              <w:topLinePunct w:val="0"/>
              <w:bidi w:val="0"/>
              <w:spacing w:line="560" w:lineRule="exact"/>
              <w:ind w:left="0"/>
              <w:jc w:val="both"/>
              <w:rPr>
                <w:rFonts w:ascii="宋体" w:hAnsi="宋体" w:cs="宋体"/>
                <w:color w:val="000000" w:themeColor="text1"/>
                <w:sz w:val="21"/>
                <w:szCs w:val="21"/>
                <w:lang w:eastAsia="zh-CN" w:bidi="ar"/>
                <w14:textFill>
                  <w14:solidFill>
                    <w14:schemeClr w14:val="tx1"/>
                  </w14:solidFill>
                </w14:textFill>
              </w:rPr>
            </w:pPr>
            <w:r>
              <w:rPr>
                <w:rFonts w:ascii="宋体" w:hAnsi="宋体" w:cs="宋体"/>
                <w:color w:val="000000" w:themeColor="text1"/>
                <w:sz w:val="21"/>
                <w:szCs w:val="21"/>
                <w:lang w:eastAsia="zh-CN" w:bidi="ar"/>
                <w14:textFill>
                  <w14:solidFill>
                    <w14:schemeClr w14:val="tx1"/>
                  </w14:solidFill>
                </w14:textFill>
              </w:rPr>
              <w:t>5.元素灯*5个</w:t>
            </w:r>
          </w:p>
          <w:p>
            <w:pPr>
              <w:pStyle w:val="33"/>
              <w:pageBreakBefore w:val="0"/>
              <w:kinsoku/>
              <w:wordWrap/>
              <w:overflowPunct/>
              <w:topLinePunct w:val="0"/>
              <w:bidi w:val="0"/>
              <w:spacing w:line="560" w:lineRule="exact"/>
              <w:ind w:left="0"/>
              <w:jc w:val="both"/>
              <w:rPr>
                <w:rFonts w:ascii="宋体" w:hAnsi="宋体" w:cs="宋体"/>
                <w:color w:val="000000" w:themeColor="text1"/>
                <w:sz w:val="21"/>
                <w:szCs w:val="21"/>
                <w:lang w:eastAsia="zh-CN" w:bidi="ar"/>
                <w14:textFill>
                  <w14:solidFill>
                    <w14:schemeClr w14:val="tx1"/>
                  </w14:solidFill>
                </w14:textFill>
              </w:rPr>
            </w:pPr>
            <w:r>
              <w:rPr>
                <w:rFonts w:ascii="宋体" w:hAnsi="宋体" w:cs="宋体"/>
                <w:color w:val="000000" w:themeColor="text1"/>
                <w:sz w:val="21"/>
                <w:szCs w:val="21"/>
                <w:lang w:eastAsia="zh-CN" w:bidi="ar"/>
                <w14:textFill>
                  <w14:solidFill>
                    <w14:schemeClr w14:val="tx1"/>
                  </w14:solidFill>
                </w14:textFill>
              </w:rPr>
              <w:t>6.热解石墨管*10个</w:t>
            </w:r>
          </w:p>
          <w:p>
            <w:pPr>
              <w:pStyle w:val="33"/>
              <w:pageBreakBefore w:val="0"/>
              <w:kinsoku/>
              <w:wordWrap/>
              <w:overflowPunct/>
              <w:topLinePunct w:val="0"/>
              <w:bidi w:val="0"/>
              <w:spacing w:line="560" w:lineRule="exact"/>
              <w:ind w:left="0"/>
              <w:jc w:val="both"/>
              <w:rPr>
                <w:rFonts w:ascii="宋体" w:hAnsi="宋体" w:cs="宋体"/>
                <w:color w:val="000000" w:themeColor="text1"/>
                <w:sz w:val="21"/>
                <w:szCs w:val="21"/>
                <w:lang w:eastAsia="zh-CN" w:bidi="ar"/>
                <w14:textFill>
                  <w14:solidFill>
                    <w14:schemeClr w14:val="tx1"/>
                  </w14:solidFill>
                </w14:textFill>
              </w:rPr>
            </w:pPr>
            <w:r>
              <w:rPr>
                <w:rFonts w:ascii="宋体" w:hAnsi="宋体" w:cs="宋体"/>
                <w:color w:val="000000" w:themeColor="text1"/>
                <w:sz w:val="21"/>
                <w:szCs w:val="21"/>
                <w:lang w:eastAsia="zh-CN" w:bidi="ar"/>
                <w14:textFill>
                  <w14:solidFill>
                    <w14:schemeClr w14:val="tx1"/>
                  </w14:solidFill>
                </w14:textFill>
              </w:rPr>
              <w:t>7.进样针*1个</w:t>
            </w:r>
          </w:p>
          <w:p>
            <w:pPr>
              <w:pStyle w:val="33"/>
              <w:pageBreakBefore w:val="0"/>
              <w:kinsoku/>
              <w:wordWrap/>
              <w:overflowPunct/>
              <w:topLinePunct w:val="0"/>
              <w:bidi w:val="0"/>
              <w:spacing w:line="560" w:lineRule="exact"/>
              <w:ind w:left="0"/>
              <w:jc w:val="both"/>
              <w:rPr>
                <w:rFonts w:ascii="宋体" w:hAnsi="宋体" w:cs="宋体"/>
                <w:color w:val="000000" w:themeColor="text1"/>
                <w:sz w:val="21"/>
                <w:szCs w:val="21"/>
                <w:lang w:eastAsia="zh-CN" w:bidi="ar"/>
                <w14:textFill>
                  <w14:solidFill>
                    <w14:schemeClr w14:val="tx1"/>
                  </w14:solidFill>
                </w14:textFill>
              </w:rPr>
            </w:pPr>
            <w:r>
              <w:rPr>
                <w:rFonts w:ascii="宋体" w:hAnsi="宋体" w:cs="宋体"/>
                <w:color w:val="000000" w:themeColor="text1"/>
                <w:sz w:val="21"/>
                <w:szCs w:val="21"/>
                <w:lang w:eastAsia="zh-CN" w:bidi="ar"/>
                <w14:textFill>
                  <w14:solidFill>
                    <w14:schemeClr w14:val="tx1"/>
                  </w14:solidFill>
                </w14:textFill>
              </w:rPr>
              <w:t>8.2mL样品瓶*50个</w:t>
            </w:r>
          </w:p>
          <w:p>
            <w:pPr>
              <w:pStyle w:val="33"/>
              <w:pageBreakBefore w:val="0"/>
              <w:kinsoku/>
              <w:wordWrap/>
              <w:overflowPunct/>
              <w:topLinePunct w:val="0"/>
              <w:bidi w:val="0"/>
              <w:spacing w:line="560" w:lineRule="exact"/>
              <w:ind w:left="0"/>
              <w:jc w:val="both"/>
              <w:rPr>
                <w:rFonts w:ascii="宋体" w:hAnsi="宋体" w:cs="宋体"/>
                <w:color w:val="000000" w:themeColor="text1"/>
                <w:sz w:val="21"/>
                <w:szCs w:val="21"/>
                <w:lang w:eastAsia="zh-CN" w:bidi="ar"/>
                <w14:textFill>
                  <w14:solidFill>
                    <w14:schemeClr w14:val="tx1"/>
                  </w14:solidFill>
                </w14:textFill>
              </w:rPr>
            </w:pPr>
            <w:r>
              <w:rPr>
                <w:rFonts w:ascii="宋体" w:hAnsi="宋体" w:cs="宋体"/>
                <w:color w:val="000000" w:themeColor="text1"/>
                <w:sz w:val="21"/>
                <w:szCs w:val="21"/>
                <w:lang w:eastAsia="zh-CN" w:bidi="ar"/>
                <w14:textFill>
                  <w14:solidFill>
                    <w14:schemeClr w14:val="tx1"/>
                  </w14:solidFill>
                </w14:textFill>
              </w:rPr>
              <w:t>9.原厂中文版操作软件*1套</w:t>
            </w:r>
          </w:p>
          <w:p>
            <w:pPr>
              <w:pStyle w:val="33"/>
              <w:pageBreakBefore w:val="0"/>
              <w:kinsoku/>
              <w:wordWrap/>
              <w:overflowPunct/>
              <w:topLinePunct w:val="0"/>
              <w:bidi w:val="0"/>
              <w:spacing w:line="560" w:lineRule="exact"/>
              <w:ind w:left="0"/>
              <w:jc w:val="both"/>
              <w:rPr>
                <w:rFonts w:ascii="宋体" w:hAnsi="宋体" w:cs="宋体"/>
                <w:color w:val="000000" w:themeColor="text1"/>
                <w:sz w:val="21"/>
                <w:szCs w:val="21"/>
                <w:lang w:eastAsia="zh-CN" w:bidi="ar"/>
                <w14:textFill>
                  <w14:solidFill>
                    <w14:schemeClr w14:val="tx1"/>
                  </w14:solidFill>
                </w14:textFill>
              </w:rPr>
            </w:pPr>
            <w:r>
              <w:rPr>
                <w:rFonts w:ascii="宋体" w:hAnsi="宋体" w:cs="宋体"/>
                <w:color w:val="000000" w:themeColor="text1"/>
                <w:sz w:val="21"/>
                <w:szCs w:val="21"/>
                <w:lang w:eastAsia="zh-CN" w:bidi="ar"/>
                <w14:textFill>
                  <w14:solidFill>
                    <w14:schemeClr w14:val="tx1"/>
                  </w14:solidFill>
                </w14:textFill>
              </w:rPr>
              <w:t>10.电脑*1套</w:t>
            </w:r>
          </w:p>
          <w:p>
            <w:pPr>
              <w:pStyle w:val="33"/>
              <w:pageBreakBefore w:val="0"/>
              <w:kinsoku/>
              <w:wordWrap/>
              <w:overflowPunct/>
              <w:topLinePunct w:val="0"/>
              <w:bidi w:val="0"/>
              <w:spacing w:line="560" w:lineRule="exact"/>
              <w:ind w:left="0"/>
              <w:jc w:val="both"/>
              <w:rPr>
                <w:rFonts w:ascii="宋体" w:hAnsi="宋体" w:cs="宋体"/>
                <w:color w:val="000000" w:themeColor="text1"/>
                <w:sz w:val="21"/>
                <w:szCs w:val="21"/>
                <w:lang w:eastAsia="zh-CN" w:bidi="ar"/>
                <w14:textFill>
                  <w14:solidFill>
                    <w14:schemeClr w14:val="tx1"/>
                  </w14:solidFill>
                </w14:textFill>
              </w:rPr>
            </w:pPr>
            <w:r>
              <w:rPr>
                <w:rFonts w:ascii="宋体" w:hAnsi="宋体" w:cs="宋体"/>
                <w:color w:val="000000" w:themeColor="text1"/>
                <w:sz w:val="21"/>
                <w:szCs w:val="21"/>
                <w:lang w:eastAsia="zh-CN" w:bidi="ar"/>
                <w14:textFill>
                  <w14:solidFill>
                    <w14:schemeClr w14:val="tx1"/>
                  </w14:solidFill>
                </w14:textFill>
              </w:rPr>
              <w:t>11.打印机*1套</w:t>
            </w:r>
          </w:p>
          <w:p>
            <w:pPr>
              <w:pStyle w:val="33"/>
              <w:pageBreakBefore w:val="0"/>
              <w:kinsoku/>
              <w:wordWrap/>
              <w:overflowPunct/>
              <w:topLinePunct w:val="0"/>
              <w:bidi w:val="0"/>
              <w:spacing w:line="560" w:lineRule="exact"/>
              <w:ind w:left="0"/>
              <w:jc w:val="both"/>
              <w:rPr>
                <w:rFonts w:ascii="宋体" w:hAnsi="宋体" w:cs="宋体"/>
                <w:color w:val="000000" w:themeColor="text1"/>
                <w:sz w:val="21"/>
                <w:szCs w:val="21"/>
                <w:lang w:eastAsia="zh-CN" w:bidi="ar"/>
                <w14:textFill>
                  <w14:solidFill>
                    <w14:schemeClr w14:val="tx1"/>
                  </w14:solidFill>
                </w14:textFill>
              </w:rPr>
            </w:pPr>
            <w:r>
              <w:rPr>
                <w:rFonts w:ascii="宋体" w:hAnsi="宋体" w:cs="宋体"/>
                <w:color w:val="000000" w:themeColor="text1"/>
                <w:sz w:val="21"/>
                <w:szCs w:val="21"/>
                <w:lang w:eastAsia="zh-CN" w:bidi="ar"/>
                <w14:textFill>
                  <w14:solidFill>
                    <w14:schemeClr w14:val="tx1"/>
                  </w14:solidFill>
                </w14:textFill>
              </w:rPr>
              <w:t>12.高纯氩气*1瓶</w:t>
            </w:r>
          </w:p>
          <w:p>
            <w:pPr>
              <w:pStyle w:val="33"/>
              <w:pageBreakBefore w:val="0"/>
              <w:kinsoku/>
              <w:wordWrap/>
              <w:overflowPunct/>
              <w:topLinePunct w:val="0"/>
              <w:bidi w:val="0"/>
              <w:spacing w:line="560" w:lineRule="exact"/>
              <w:ind w:left="0"/>
              <w:jc w:val="both"/>
              <w:rPr>
                <w:rFonts w:ascii="宋体" w:hAnsi="宋体" w:cs="宋体"/>
                <w:color w:val="000000" w:themeColor="text1"/>
                <w:sz w:val="21"/>
                <w:szCs w:val="21"/>
                <w:lang w:eastAsia="zh-CN" w:bidi="ar"/>
                <w14:textFill>
                  <w14:solidFill>
                    <w14:schemeClr w14:val="tx1"/>
                  </w14:solidFill>
                </w14:textFill>
              </w:rPr>
            </w:pPr>
            <w:r>
              <w:rPr>
                <w:rFonts w:ascii="宋体" w:hAnsi="宋体" w:cs="宋体"/>
                <w:color w:val="000000" w:themeColor="text1"/>
                <w:sz w:val="21"/>
                <w:szCs w:val="21"/>
                <w:lang w:eastAsia="zh-CN" w:bidi="ar"/>
                <w14:textFill>
                  <w14:solidFill>
                    <w14:schemeClr w14:val="tx1"/>
                  </w14:solidFill>
                </w14:textFill>
              </w:rPr>
              <w:t>13.高纯乙炔*1瓶</w:t>
            </w:r>
          </w:p>
          <w:p>
            <w:pPr>
              <w:pStyle w:val="33"/>
              <w:pageBreakBefore w:val="0"/>
              <w:kinsoku/>
              <w:wordWrap/>
              <w:overflowPunct/>
              <w:topLinePunct w:val="0"/>
              <w:bidi w:val="0"/>
              <w:spacing w:line="560" w:lineRule="exact"/>
              <w:ind w:left="0"/>
              <w:jc w:val="both"/>
              <w:rPr>
                <w:rFonts w:ascii="宋体" w:hAnsi="宋体" w:cs="宋体"/>
                <w:color w:val="000000" w:themeColor="text1"/>
                <w:sz w:val="21"/>
                <w:szCs w:val="21"/>
                <w:lang w:eastAsia="zh-CN" w:bidi="ar"/>
                <w14:textFill>
                  <w14:solidFill>
                    <w14:schemeClr w14:val="tx1"/>
                  </w14:solidFill>
                </w14:textFill>
              </w:rPr>
            </w:pPr>
            <w:r>
              <w:rPr>
                <w:rFonts w:ascii="宋体" w:hAnsi="宋体" w:cs="宋体"/>
                <w:color w:val="000000" w:themeColor="text1"/>
                <w:sz w:val="21"/>
                <w:szCs w:val="21"/>
                <w:lang w:eastAsia="zh-CN" w:bidi="ar"/>
                <w14:textFill>
                  <w14:solidFill>
                    <w14:schemeClr w14:val="tx1"/>
                  </w14:solidFill>
                </w14:textFill>
              </w:rPr>
              <w:t>14.冷却循环水*1套</w:t>
            </w:r>
          </w:p>
          <w:p>
            <w:pPr>
              <w:pStyle w:val="33"/>
              <w:pageBreakBefore w:val="0"/>
              <w:kinsoku/>
              <w:wordWrap/>
              <w:overflowPunct/>
              <w:topLinePunct w:val="0"/>
              <w:bidi w:val="0"/>
              <w:spacing w:line="560" w:lineRule="exact"/>
              <w:ind w:left="0"/>
              <w:jc w:val="both"/>
              <w:rPr>
                <w:rFonts w:ascii="宋体" w:hAnsi="宋体" w:cs="宋体"/>
                <w:color w:val="000000" w:themeColor="text1"/>
                <w:sz w:val="21"/>
                <w:szCs w:val="21"/>
                <w:lang w:eastAsia="zh-CN" w:bidi="ar"/>
                <w14:textFill>
                  <w14:solidFill>
                    <w14:schemeClr w14:val="tx1"/>
                  </w14:solidFill>
                </w14:textFill>
              </w:rPr>
            </w:pPr>
            <w:r>
              <w:rPr>
                <w:rFonts w:ascii="宋体" w:hAnsi="宋体" w:cs="宋体"/>
                <w:color w:val="000000" w:themeColor="text1"/>
                <w:sz w:val="21"/>
                <w:szCs w:val="21"/>
                <w:lang w:eastAsia="zh-CN" w:bidi="ar"/>
                <w14:textFill>
                  <w14:solidFill>
                    <w14:schemeClr w14:val="tx1"/>
                  </w14:solidFill>
                </w14:textFill>
              </w:rPr>
              <w:t>15.空气压缩机*1套</w:t>
            </w:r>
          </w:p>
          <w:p>
            <w:pPr>
              <w:pStyle w:val="33"/>
              <w:pageBreakBefore w:val="0"/>
              <w:kinsoku/>
              <w:wordWrap/>
              <w:overflowPunct/>
              <w:topLinePunct w:val="0"/>
              <w:bidi w:val="0"/>
              <w:spacing w:line="560" w:lineRule="exact"/>
              <w:ind w:left="0"/>
              <w:jc w:val="both"/>
              <w:rPr>
                <w:rFonts w:ascii="宋体" w:hAnsi="宋体" w:cs="宋体"/>
                <w:color w:val="000000" w:themeColor="text1"/>
                <w:sz w:val="21"/>
                <w:szCs w:val="21"/>
                <w:lang w:eastAsia="zh-CN"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经销商投标时须提供厂家针对该项目的授权</w:t>
            </w: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委托书</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1039" w:type="dxa"/>
            <w:noWrap w:val="0"/>
            <w:vAlign w:val="center"/>
          </w:tcPr>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近红外肉类快速分析仪</w:t>
            </w:r>
          </w:p>
        </w:tc>
        <w:tc>
          <w:tcPr>
            <w:tcW w:w="7359" w:type="dxa"/>
            <w:noWrap w:val="0"/>
            <w:vAlign w:val="top"/>
          </w:tcPr>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1.货物名称：肉类成分快速分析仪</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2.主要用途：用于检测生肉及各类肉制品中的成分含量</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 技术指标：</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val="en-US" w:eastAsia="zh-CN"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 xml:space="preserve"> 检测速度：  每个样品15到25秒 （取决于样品杯类型）</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val="en-US" w:eastAsia="zh-CN"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 xml:space="preserve"> 电  源：    100-240VAC</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功  率：    110VA</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单色器：    全光谱光栅扫描</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波长：      850-1100nm （可扩展到400-1100nm同时测定样品颜色信息） </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扫描数据点：100</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检测器：    硅检测器</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计算机接口：内置触屏计算机或者外置电脑USB接口</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val="en-US" w:eastAsia="zh-CN"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 xml:space="preserve"> 检测过程无需任何化学试剂，安全无污染，且样品基本无需预处理。</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val="en-US" w:eastAsia="zh-CN"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 xml:space="preserve"> 提供多种“即装即用”（ready to use）的ANN人工神经网肉类定标曲线，定标样品数目上万份,且定标曲线的预测性能需获得AOAC的认可，可测定肉制品（包括各种畜禽原料肉、半成品和成品）中的脂肪，蛋白，水分，胶原蛋白等指标，各指标的测定范围信息如下：                             </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脂肪      0.1-86.1%                           </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         蛋白质    3.1-48.8%                </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         水份      9.7-81.5%                </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         胶原蛋白  0.1-6.6%                 </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同时还可测定选装的PLS的最小贰乘法定标模型，来测定肉及肉制品中的盐分，灰分，水活度和饱和脂肪等指标。</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val="en-US" w:eastAsia="zh-CN"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 xml:space="preserve"> 可提供定标开发软件，具有后期开发新指标和新应用的能力。</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val="en-US" w:eastAsia="zh-CN"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 xml:space="preserve"> 在定量分析应用中</w:t>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 xml:space="preserve">具有马氏距离量化应用功能，具有针对光谱扫描数据完成定标样品集的自动筛选功能，具有超范围样品的报警功能，具有参与定标模型升级样品的自动甄别功能。 </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val="en-US" w:eastAsia="zh-CN" w:bidi="ar"/>
                <w14:textFill>
                  <w14:solidFill>
                    <w14:schemeClr w14:val="tx1"/>
                  </w14:solidFill>
                </w14:textFill>
              </w:rPr>
              <w:t>7</w:t>
            </w:r>
            <w:r>
              <w:rPr>
                <w:rFonts w:hint="eastAsia" w:ascii="宋体" w:hAnsi="宋体" w:cs="宋体"/>
                <w:color w:val="000000" w:themeColor="text1"/>
                <w:kern w:val="0"/>
                <w:szCs w:val="21"/>
                <w:lang w:bidi="ar"/>
                <w14:textFill>
                  <w14:solidFill>
                    <w14:schemeClr w14:val="tx1"/>
                  </w14:solidFill>
                </w14:textFill>
              </w:rPr>
              <w:t xml:space="preserve"> 网络功能：可共享数据库和定标模型， 仪器具有联网和网络分析功能，具有远程诊断，远程定标升级，远程数据传递功能。</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4.仪器操作：</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检测过程由计算机操作，操作系统为WINDOWS 平台，可方便的输出测定数据和资料并可利用OFFICE办公软件（如EXCEL）对测定数据进行数据统计和处理。</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5.技术资料：</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5.1 质量认证书.</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5.2 针对不同检测指标（脂肪、蛋白、水份）的应用报告</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5.3</w:t>
            </w:r>
            <w:r>
              <w:rPr>
                <w:rFonts w:hint="eastAsia" w:ascii="宋体" w:hAnsi="宋体" w:cs="宋体"/>
                <w:color w:val="000000" w:themeColor="text1"/>
                <w:kern w:val="0"/>
                <w:szCs w:val="21"/>
                <w:highlight w:val="none"/>
                <w:lang w:bidi="ar"/>
                <w14:textFill>
                  <w14:solidFill>
                    <w14:schemeClr w14:val="tx1"/>
                  </w14:solidFill>
                </w14:textFill>
              </w:rPr>
              <w:t xml:space="preserve"> </w:t>
            </w:r>
            <w:r>
              <w:rPr>
                <w:rFonts w:hint="eastAsia" w:ascii="宋体" w:hAnsi="宋体" w:cs="宋体"/>
                <w:color w:val="000000" w:themeColor="text1"/>
                <w:kern w:val="0"/>
                <w:szCs w:val="21"/>
                <w:highlight w:val="none"/>
                <w:lang w:val="en-US" w:eastAsia="zh-CN" w:bidi="ar"/>
                <w14:textFill>
                  <w14:solidFill>
                    <w14:schemeClr w14:val="tx1"/>
                  </w14:solidFill>
                </w14:textFill>
              </w:rPr>
              <w:t>供应商</w:t>
            </w:r>
            <w:r>
              <w:rPr>
                <w:rFonts w:hint="eastAsia" w:ascii="宋体" w:hAnsi="宋体" w:cs="宋体"/>
                <w:color w:val="000000" w:themeColor="text1"/>
                <w:kern w:val="0"/>
                <w:szCs w:val="21"/>
                <w:lang w:bidi="ar"/>
                <w14:textFill>
                  <w14:solidFill>
                    <w14:schemeClr w14:val="tx1"/>
                  </w14:solidFill>
                </w14:textFill>
              </w:rPr>
              <w:t>必须能够提供设备的安装、使用和维护说明书。</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经销商投标时须提供厂家针对该项目的授权</w:t>
            </w: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委托书</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1039" w:type="dxa"/>
            <w:noWrap w:val="0"/>
            <w:vAlign w:val="center"/>
          </w:tcPr>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highlight w:val="yellow"/>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电子秤</w:t>
            </w:r>
          </w:p>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p>
        </w:tc>
        <w:tc>
          <w:tcPr>
            <w:tcW w:w="7359" w:type="dxa"/>
            <w:noWrap w:val="0"/>
            <w:vAlign w:val="top"/>
          </w:tcPr>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最大称量;500g</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读数精度/可读性;0.01g</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重复性误差（≤）±0.01g</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线性误差(≤);±0.02g</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操作温度范围;13~25℃</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6.</w:t>
            </w:r>
            <w:r>
              <w:rPr>
                <w:rFonts w:hint="eastAsia" w:ascii="宋体" w:hAnsi="宋体" w:cs="宋体"/>
                <w:color w:val="000000" w:themeColor="text1"/>
                <w:kern w:val="0"/>
                <w:szCs w:val="21"/>
                <w:lang w:bidi="ar"/>
                <w14:textFill>
                  <w14:solidFill>
                    <w14:schemeClr w14:val="tx1"/>
                  </w14:solidFill>
                </w14:textFill>
              </w:rPr>
              <w:t>操作湿度范围;20%~80% RH</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7.</w:t>
            </w:r>
            <w:r>
              <w:rPr>
                <w:rFonts w:hint="eastAsia" w:ascii="宋体" w:hAnsi="宋体" w:cs="宋体"/>
                <w:color w:val="000000" w:themeColor="text1"/>
                <w:kern w:val="0"/>
                <w:szCs w:val="21"/>
                <w:lang w:bidi="ar"/>
                <w14:textFill>
                  <w14:solidFill>
                    <w14:schemeClr w14:val="tx1"/>
                  </w14:solidFill>
                </w14:textFill>
              </w:rPr>
              <w:t>响应时间(平均值);≤3 秒</w:t>
            </w:r>
          </w:p>
          <w:p>
            <w:pPr>
              <w:pageBreakBefore w:val="0"/>
              <w:kinsoku/>
              <w:wordWrap/>
              <w:overflowPunct/>
              <w:topLinePunct w:val="0"/>
              <w:bidi w:val="0"/>
              <w:spacing w:line="560" w:lineRule="exact"/>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8.</w:t>
            </w:r>
            <w:r>
              <w:rPr>
                <w:rFonts w:hint="eastAsia" w:ascii="宋体" w:hAnsi="宋体" w:cs="宋体"/>
                <w:color w:val="000000" w:themeColor="text1"/>
                <w:kern w:val="0"/>
                <w:szCs w:val="21"/>
                <w:lang w:bidi="ar"/>
                <w14:textFill>
                  <w14:solidFill>
                    <w14:schemeClr w14:val="tx1"/>
                  </w14:solidFill>
                </w14:textFill>
              </w:rPr>
              <w:t>精准等级;Ⅱ级</w:t>
            </w:r>
            <w:r>
              <w:rPr>
                <w:rFonts w:hint="eastAsia" w:ascii="宋体" w:hAnsi="宋体" w:cs="宋体"/>
                <w:color w:val="000000" w:themeColor="text1"/>
                <w:kern w:val="0"/>
                <w:szCs w:val="21"/>
                <w:lang w:eastAsia="zh-CN" w:bidi="ar"/>
                <w14:textFill>
                  <w14:solidFill>
                    <w14:schemeClr w14:val="tx1"/>
                  </w14:solidFill>
                </w14:textFill>
              </w:rPr>
              <w:t>（加范围）</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9.</w:t>
            </w:r>
            <w:r>
              <w:rPr>
                <w:rFonts w:hint="eastAsia" w:ascii="宋体" w:hAnsi="宋体" w:cs="宋体"/>
                <w:color w:val="000000" w:themeColor="text1"/>
                <w:kern w:val="0"/>
                <w:szCs w:val="21"/>
                <w:lang w:bidi="ar"/>
                <w14:textFill>
                  <w14:solidFill>
                    <w14:schemeClr w14:val="tx1"/>
                  </w14:solidFill>
                </w14:textFill>
              </w:rPr>
              <w:t>秤盘尺寸;φ128mm</w:t>
            </w:r>
          </w:p>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10.</w:t>
            </w:r>
            <w:r>
              <w:rPr>
                <w:rFonts w:hint="eastAsia" w:ascii="宋体" w:hAnsi="宋体" w:cs="宋体"/>
                <w:color w:val="000000" w:themeColor="text1"/>
                <w:kern w:val="0"/>
                <w:szCs w:val="21"/>
                <w:lang w:bidi="ar"/>
                <w14:textFill>
                  <w14:solidFill>
                    <w14:schemeClr w14:val="tx1"/>
                  </w14:solidFill>
                </w14:textFill>
              </w:rPr>
              <w:t>直流适配器;输入：220V AC/50HZ；输出：12V DC/2A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1039" w:type="dxa"/>
            <w:noWrap w:val="0"/>
            <w:vAlign w:val="center"/>
          </w:tcPr>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高压灭菌器</w:t>
            </w:r>
          </w:p>
        </w:tc>
        <w:tc>
          <w:tcPr>
            <w:tcW w:w="7359" w:type="dxa"/>
            <w:noWrap w:val="0"/>
            <w:vAlign w:val="top"/>
          </w:tcPr>
          <w:p>
            <w:pPr>
              <w:pageBreakBefore w:val="0"/>
              <w:widowControl/>
              <w:kinsoku/>
              <w:wordWrap/>
              <w:overflowPunct/>
              <w:topLinePunct w:val="0"/>
              <w:bidi w:val="0"/>
              <w:spacing w:line="560" w:lineRule="exact"/>
              <w:jc w:val="left"/>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 底部带脚轮，腔体直径≥32CM,高度≥71CM</w:t>
            </w:r>
            <w:r>
              <w:rPr>
                <w:rFonts w:hint="eastAsia"/>
                <w:color w:val="000000" w:themeColor="text1"/>
                <w:lang w:eastAsia="zh-CN"/>
                <w14:textFill>
                  <w14:solidFill>
                    <w14:schemeClr w14:val="tx1"/>
                  </w14:solidFill>
                </w14:textFill>
              </w:rPr>
              <w:t>。</w:t>
            </w:r>
          </w:p>
          <w:p>
            <w:pPr>
              <w:pageBreakBefore w:val="0"/>
              <w:widowControl/>
              <w:kinsoku/>
              <w:wordWrap/>
              <w:overflowPunct/>
              <w:topLinePunct w:val="0"/>
              <w:bidi w:val="0"/>
              <w:spacing w:line="560" w:lineRule="exact"/>
              <w:jc w:val="left"/>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.灭菌腔材料:SUS304不锈钢</w:t>
            </w:r>
            <w:r>
              <w:rPr>
                <w:rFonts w:hint="eastAsia"/>
                <w:color w:val="000000" w:themeColor="text1"/>
                <w:lang w:eastAsia="zh-CN"/>
                <w14:textFill>
                  <w14:solidFill>
                    <w14:schemeClr w14:val="tx1"/>
                  </w14:solidFill>
                </w14:textFill>
              </w:rPr>
              <w:t>。</w:t>
            </w:r>
          </w:p>
          <w:p>
            <w:pPr>
              <w:pageBreakBefore w:val="0"/>
              <w:widowControl/>
              <w:kinsoku/>
              <w:wordWrap/>
              <w:overflowPunct/>
              <w:topLinePunct w:val="0"/>
              <w:bidi w:val="0"/>
              <w:spacing w:line="560" w:lineRule="exact"/>
              <w:jc w:val="left"/>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.开关盖方式：一键解锁（点击开盖键），上掀开盖，轻压腔盖，感应锁盖（自动锁紧腔盖。</w:t>
            </w:r>
          </w:p>
          <w:p>
            <w:pPr>
              <w:pageBreakBefore w:val="0"/>
              <w:widowControl/>
              <w:kinsoku/>
              <w:wordWrap/>
              <w:overflowPunct/>
              <w:topLinePunct w:val="0"/>
              <w:bidi w:val="0"/>
              <w:spacing w:line="560" w:lineRule="exact"/>
              <w:jc w:val="left"/>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.时间范围:灭菌时间:1-6000分钟,融化时间:1-6000分钟,保温时间:1-9999分钟，定时器预置范围：0-15天延迟</w:t>
            </w:r>
            <w:r>
              <w:rPr>
                <w:rFonts w:hint="eastAsia"/>
                <w:color w:val="000000" w:themeColor="text1"/>
                <w:lang w:eastAsia="zh-CN"/>
                <w14:textFill>
                  <w14:solidFill>
                    <w14:schemeClr w14:val="tx1"/>
                  </w14:solidFill>
                </w14:textFill>
              </w:rPr>
              <w:t>。</w:t>
            </w:r>
          </w:p>
          <w:p>
            <w:pPr>
              <w:pageBreakBefore w:val="0"/>
              <w:widowControl/>
              <w:kinsoku/>
              <w:wordWrap/>
              <w:overflowPunct/>
              <w:topLinePunct w:val="0"/>
              <w:bidi w:val="0"/>
              <w:spacing w:line="560" w:lineRule="exact"/>
              <w:jc w:val="left"/>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..温度和压力:灭菌温度105℃-138℃ 最高工作温度≥138℃  设计压力0.35Mpa,安全阀起跳压力≥0.31Mpa ，适用于全国不同海拔地区</w:t>
            </w:r>
            <w:r>
              <w:rPr>
                <w:rFonts w:hint="eastAsia"/>
                <w:color w:val="000000" w:themeColor="text1"/>
                <w:lang w:eastAsia="zh-CN"/>
                <w14:textFill>
                  <w14:solidFill>
                    <w14:schemeClr w14:val="tx1"/>
                  </w14:solidFill>
                </w14:textFill>
              </w:rPr>
              <w:t>。</w:t>
            </w:r>
          </w:p>
          <w:p>
            <w:pPr>
              <w:pageBreakBefore w:val="0"/>
              <w:widowControl/>
              <w:kinsoku/>
              <w:wordWrap/>
              <w:overflowPunct/>
              <w:topLinePunct w:val="0"/>
              <w:bidi w:val="0"/>
              <w:spacing w:line="560" w:lineRule="exact"/>
              <w:jc w:val="left"/>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.液晶显示：5寸液晶显示屏，各种灭菌状态一目了然8.记忆存储系统:可记忆存储灭菌程序</w:t>
            </w:r>
            <w:r>
              <w:rPr>
                <w:rFonts w:hint="eastAsia"/>
                <w:color w:val="000000" w:themeColor="text1"/>
                <w:lang w:eastAsia="zh-CN"/>
                <w14:textFill>
                  <w14:solidFill>
                    <w14:schemeClr w14:val="tx1"/>
                  </w14:solidFill>
                </w14:textFill>
              </w:rPr>
              <w:t>。</w:t>
            </w:r>
          </w:p>
          <w:p>
            <w:pPr>
              <w:pageBreakBefore w:val="0"/>
              <w:widowControl/>
              <w:kinsoku/>
              <w:wordWrap/>
              <w:overflowPunct/>
              <w:topLinePunct w:val="0"/>
              <w:bidi w:val="0"/>
              <w:spacing w:line="560" w:lineRule="exact"/>
              <w:jc w:val="left"/>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.六级排汽方式：灭菌结束完成后，排气阀可按设定的六级排汽速度排汽，同时在排气过程中排汽速度可随时进行手动调整，缩短整个灭菌进程时间，提高工作效率，优于传统的全排、不排、微排等排气方式</w:t>
            </w:r>
            <w:r>
              <w:rPr>
                <w:rFonts w:hint="eastAsia"/>
                <w:color w:val="000000" w:themeColor="text1"/>
                <w:lang w:eastAsia="zh-CN"/>
                <w14:textFill>
                  <w14:solidFill>
                    <w14:schemeClr w14:val="tx1"/>
                  </w14:solidFill>
                </w14:textFill>
              </w:rPr>
              <w:t>。</w:t>
            </w:r>
          </w:p>
          <w:p>
            <w:pPr>
              <w:pageBreakBefore w:val="0"/>
              <w:widowControl/>
              <w:kinsoku/>
              <w:wordWrap/>
              <w:overflowPunct/>
              <w:topLinePunct w:val="0"/>
              <w:bidi w:val="0"/>
              <w:spacing w:line="560" w:lineRule="exact"/>
              <w:jc w:val="left"/>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.USB存储功能：可插入U盘存储数据，方便查询</w:t>
            </w:r>
            <w:r>
              <w:rPr>
                <w:rFonts w:hint="eastAsia"/>
                <w:color w:val="000000" w:themeColor="text1"/>
                <w:lang w:eastAsia="zh-CN"/>
                <w14:textFill>
                  <w14:solidFill>
                    <w14:schemeClr w14:val="tx1"/>
                  </w14:solidFill>
                </w14:textFill>
              </w:rPr>
              <w:t>。</w:t>
            </w:r>
          </w:p>
          <w:p>
            <w:pPr>
              <w:pageBreakBefore w:val="0"/>
              <w:widowControl/>
              <w:kinsoku/>
              <w:wordWrap/>
              <w:overflowPunct/>
              <w:topLinePunct w:val="0"/>
              <w:bidi w:val="0"/>
              <w:spacing w:line="560" w:lineRule="exact"/>
              <w:jc w:val="left"/>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.集汽瓶：内置双蒸汽内排式集汽瓶，不会影响周围环境，前置集汽瓶，方便使用</w:t>
            </w:r>
            <w:r>
              <w:rPr>
                <w:rFonts w:hint="eastAsia"/>
                <w:color w:val="000000" w:themeColor="text1"/>
                <w:lang w:eastAsia="zh-CN"/>
                <w14:textFill>
                  <w14:solidFill>
                    <w14:schemeClr w14:val="tx1"/>
                  </w14:solidFill>
                </w14:textFill>
              </w:rPr>
              <w:t>。</w:t>
            </w:r>
          </w:p>
          <w:p>
            <w:pPr>
              <w:pageBreakBefore w:val="0"/>
              <w:widowControl/>
              <w:kinsoku/>
              <w:wordWrap/>
              <w:overflowPunct/>
              <w:topLinePunct w:val="0"/>
              <w:bidi w:val="0"/>
              <w:spacing w:line="560" w:lineRule="exact"/>
              <w:jc w:val="lef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.权限管理和数据存储功能：具有五级密码权限控制，每级均有独立密码，控制系统存储器可存储500次以上灭菌进程记录，并可查询方便追溯管理</w:t>
            </w:r>
            <w:r>
              <w:rPr>
                <w:rFonts w:hint="eastAsia"/>
                <w:color w:val="000000" w:themeColor="text1"/>
                <w:lang w:eastAsia="zh-CN"/>
                <w14:textFill>
                  <w14:solidFill>
                    <w14:schemeClr w14:val="tx1"/>
                  </w14:solidFill>
                </w14:textFill>
              </w:rPr>
              <w:t>。</w:t>
            </w:r>
          </w:p>
          <w:p>
            <w:pPr>
              <w:pageBreakBefore w:val="0"/>
              <w:widowControl/>
              <w:kinsoku/>
              <w:wordWrap/>
              <w:overflowPunct/>
              <w:topLinePunct w:val="0"/>
              <w:bidi w:val="0"/>
              <w:spacing w:line="560" w:lineRule="exact"/>
              <w:jc w:val="lef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.标配冷却风扇，灭菌结束可快速降低腔体温度</w:t>
            </w:r>
            <w:r>
              <w:rPr>
                <w:rFonts w:hint="eastAsia"/>
                <w:color w:val="000000" w:themeColor="text1"/>
                <w:lang w:eastAsia="zh-CN"/>
                <w14:textFill>
                  <w14:solidFill>
                    <w14:schemeClr w14:val="tx1"/>
                  </w14:solidFill>
                </w14:textFill>
              </w:rPr>
              <w:t>。</w:t>
            </w:r>
          </w:p>
          <w:p>
            <w:pPr>
              <w:pageBreakBefore w:val="0"/>
              <w:widowControl/>
              <w:kinsoku/>
              <w:wordWrap/>
              <w:overflowPunct/>
              <w:topLinePunct w:val="0"/>
              <w:bidi w:val="0"/>
              <w:spacing w:line="560" w:lineRule="exact"/>
              <w:jc w:val="lef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.采用“Inspiration II”级新型智能化微电脑系统，实现了灭菌过程的全自动控制</w:t>
            </w:r>
            <w:r>
              <w:rPr>
                <w:rFonts w:hint="eastAsia"/>
                <w:color w:val="000000" w:themeColor="text1"/>
                <w:lang w:eastAsia="zh-CN"/>
                <w14:textFill>
                  <w14:solidFill>
                    <w14:schemeClr w14:val="tx1"/>
                  </w14:solidFill>
                </w14:textFill>
              </w:rPr>
              <w:t>。</w:t>
            </w:r>
          </w:p>
          <w:p>
            <w:pPr>
              <w:pageBreakBefore w:val="0"/>
              <w:widowControl/>
              <w:kinsoku/>
              <w:wordWrap/>
              <w:overflowPunct/>
              <w:topLinePunct w:val="0"/>
              <w:bidi w:val="0"/>
              <w:spacing w:line="560" w:lineRule="exact"/>
              <w:jc w:val="lef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.具有六种灭菌模式，包含液体，液体保温，琼脂溶解保温，固体,废弃物等灭菌，以及针对特殊物质灭菌器的自定义灭菌模式</w:t>
            </w:r>
            <w:r>
              <w:rPr>
                <w:rFonts w:hint="eastAsia"/>
                <w:color w:val="000000" w:themeColor="text1"/>
                <w:lang w:eastAsia="zh-CN"/>
                <w14:textFill>
                  <w14:solidFill>
                    <w14:schemeClr w14:val="tx1"/>
                  </w14:solidFill>
                </w14:textFill>
              </w:rPr>
              <w:t>。</w:t>
            </w:r>
          </w:p>
          <w:p>
            <w:pPr>
              <w:pageBreakBefore w:val="0"/>
              <w:widowControl/>
              <w:tabs>
                <w:tab w:val="left" w:pos="596"/>
              </w:tabs>
              <w:kinsoku/>
              <w:wordWrap/>
              <w:overflowPunct/>
              <w:topLinePunct w:val="0"/>
              <w:bidi w:val="0"/>
              <w:spacing w:line="560" w:lineRule="exact"/>
              <w:jc w:val="lef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.附件:不锈钢提篮3个,产品说明书一本，水位观测板1个</w:t>
            </w:r>
            <w:r>
              <w:rPr>
                <w:rFonts w:hint="eastAsia"/>
                <w:color w:val="000000" w:themeColor="text1"/>
                <w:lang w:eastAsia="zh-CN"/>
                <w14:textFill>
                  <w14:solidFill>
                    <w14:schemeClr w14:val="tx1"/>
                  </w14:solidFill>
                </w14:textFill>
              </w:rPr>
              <w:t>。</w:t>
            </w:r>
          </w:p>
          <w:p>
            <w:pPr>
              <w:pageBreakBefore w:val="0"/>
              <w:widowControl/>
              <w:kinsoku/>
              <w:wordWrap/>
              <w:overflowPunct/>
              <w:topLinePunct w:val="0"/>
              <w:bidi w:val="0"/>
              <w:spacing w:line="560" w:lineRule="exact"/>
              <w:jc w:val="left"/>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.安全装置：均分柱式锁盖装置，闭盖检查系统：电动式双内锁：冷却锁OPEN温度：缺水保护、过压双重保护： 自动故障检测系统、后台安全测试程序， 温度监控 漏电、过流与短路保护</w:t>
            </w:r>
            <w:r>
              <w:rPr>
                <w:rFonts w:hint="eastAsia"/>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1039" w:type="dxa"/>
            <w:noWrap w:val="0"/>
            <w:vAlign w:val="center"/>
          </w:tcPr>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冰柜</w:t>
            </w:r>
          </w:p>
        </w:tc>
        <w:tc>
          <w:tcPr>
            <w:tcW w:w="7359" w:type="dxa"/>
            <w:noWrap w:val="0"/>
            <w:vAlign w:val="top"/>
          </w:tcPr>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冷冻温度范围﹣18~0度</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冷藏温度范围0-10度</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日耗电量3.5度</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功率310W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625" w:type="dxa"/>
            <w:noWrap w:val="0"/>
            <w:vAlign w:val="top"/>
          </w:tcPr>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c>
          <w:tcPr>
            <w:tcW w:w="1039" w:type="dxa"/>
            <w:noWrap w:val="0"/>
            <w:vAlign w:val="center"/>
          </w:tcPr>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电扒炉</w:t>
            </w:r>
          </w:p>
        </w:tc>
        <w:tc>
          <w:tcPr>
            <w:tcW w:w="7359" w:type="dxa"/>
            <w:noWrap w:val="0"/>
            <w:vAlign w:val="top"/>
          </w:tcPr>
          <w:p>
            <w:pPr>
              <w:pageBreakBefore w:val="0"/>
              <w:widowControl/>
              <w:numPr>
                <w:ilvl w:val="0"/>
                <w:numId w:val="0"/>
              </w:numPr>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材</w:t>
            </w:r>
            <w:r>
              <w:rPr>
                <w:rFonts w:hint="eastAsia" w:ascii="宋体" w:hAnsi="宋体" w:cs="宋体"/>
                <w:color w:val="000000" w:themeColor="text1"/>
                <w:kern w:val="0"/>
                <w:szCs w:val="21"/>
                <w:lang w:eastAsia="zh-CN" w:bidi="ar"/>
                <w14:textFill>
                  <w14:solidFill>
                    <w14:schemeClr w14:val="tx1"/>
                  </w14:solidFill>
                </w14:textFill>
              </w:rPr>
              <w:t>质</w:t>
            </w:r>
            <w:r>
              <w:rPr>
                <w:rFonts w:hint="eastAsia" w:ascii="宋体" w:hAnsi="宋体" w:cs="宋体"/>
                <w:color w:val="000000" w:themeColor="text1"/>
                <w:kern w:val="0"/>
                <w:szCs w:val="21"/>
                <w:lang w:bidi="ar"/>
                <w14:textFill>
                  <w14:solidFill>
                    <w14:schemeClr w14:val="tx1"/>
                  </w14:solidFill>
                </w14:textFill>
              </w:rPr>
              <w:t>：201#不锈钢板</w:t>
            </w:r>
          </w:p>
          <w:p>
            <w:pPr>
              <w:pageBreakBefore w:val="0"/>
              <w:widowControl/>
              <w:numPr>
                <w:ilvl w:val="0"/>
                <w:numId w:val="0"/>
              </w:numPr>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面板1.5mm</w:t>
            </w:r>
          </w:p>
          <w:p>
            <w:pPr>
              <w:pageBreakBefore w:val="0"/>
              <w:widowControl/>
              <w:numPr>
                <w:ilvl w:val="0"/>
                <w:numId w:val="0"/>
              </w:numPr>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侧板、背板1.0mm</w:t>
            </w:r>
          </w:p>
          <w:p>
            <w:pPr>
              <w:pageBreakBefore w:val="0"/>
              <w:widowControl/>
              <w:numPr>
                <w:ilvl w:val="0"/>
                <w:numId w:val="0"/>
              </w:numPr>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4.</w:t>
            </w:r>
            <w:r>
              <w:rPr>
                <w:rFonts w:hint="eastAsia" w:ascii="宋体" w:hAnsi="宋体" w:cs="宋体"/>
                <w:color w:val="000000" w:themeColor="text1"/>
                <w:kern w:val="0"/>
                <w:szCs w:val="21"/>
                <w:lang w:bidi="ar"/>
                <w14:textFill>
                  <w14:solidFill>
                    <w14:schemeClr w14:val="tx1"/>
                  </w14:solidFill>
                </w14:textFill>
              </w:rPr>
              <w:t>加热的钢板尺寸60*60*2 45号钢</w:t>
            </w:r>
          </w:p>
          <w:p>
            <w:pPr>
              <w:pageBreakBefore w:val="0"/>
              <w:widowControl/>
              <w:kinsoku/>
              <w:wordWrap/>
              <w:overflowPunct/>
              <w:topLinePunct w:val="0"/>
              <w:bidi w:val="0"/>
              <w:spacing w:line="560" w:lineRule="exact"/>
              <w:jc w:val="left"/>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5.</w:t>
            </w:r>
            <w:r>
              <w:rPr>
                <w:rFonts w:hint="eastAsia" w:ascii="宋体" w:hAnsi="宋体" w:cs="宋体"/>
                <w:color w:val="000000" w:themeColor="text1"/>
                <w:kern w:val="0"/>
                <w:szCs w:val="21"/>
                <w:lang w:bidi="ar"/>
                <w14:textFill>
                  <w14:solidFill>
                    <w14:schemeClr w14:val="tx1"/>
                  </w14:solidFill>
                </w14:textFill>
              </w:rPr>
              <w:t>额定电源：380V-50Hz三相四线；功率8KW, 有定时定温带预约功能</w:t>
            </w:r>
            <w:r>
              <w:rPr>
                <w:rFonts w:hint="eastAsia" w:ascii="宋体" w:hAnsi="宋体" w:cs="宋体"/>
                <w:color w:val="000000" w:themeColor="text1"/>
                <w:kern w:val="0"/>
                <w:szCs w:val="21"/>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w:t>
            </w:r>
          </w:p>
        </w:tc>
        <w:tc>
          <w:tcPr>
            <w:tcW w:w="1039" w:type="dxa"/>
            <w:noWrap w:val="0"/>
            <w:vAlign w:val="center"/>
          </w:tcPr>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仿宋" w:hAnsi="仿宋" w:eastAsia="仿宋" w:cs="仿宋"/>
                <w:color w:val="000000"/>
                <w:spacing w:val="8"/>
                <w:sz w:val="24"/>
                <w:szCs w:val="24"/>
              </w:rPr>
              <w:t>生物洁净安全柜</w:t>
            </w:r>
          </w:p>
        </w:tc>
        <w:tc>
          <w:tcPr>
            <w:tcW w:w="7359" w:type="dxa"/>
            <w:noWrap w:val="0"/>
            <w:vAlign w:val="top"/>
          </w:tcPr>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1、洁净等级：ISO 5级，</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2、平均风速：≥0.3m/s（三档可调）</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3、噪声：≤62Db(A)</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4、照度：≥300Lx</w:t>
            </w:r>
          </w:p>
          <w:p>
            <w:pPr>
              <w:pageBreakBefore w:val="0"/>
              <w:kinsoku/>
              <w:wordWrap/>
              <w:overflowPunct/>
              <w:topLinePunct w:val="0"/>
              <w:bidi w:val="0"/>
              <w:spacing w:line="560" w:lineRule="exact"/>
              <w:rPr>
                <w:rFonts w:hint="eastAsia" w:ascii="宋体" w:hAnsi="宋体" w:cs="宋体"/>
                <w:color w:val="000000" w:themeColor="text1"/>
                <w:kern w:val="0"/>
                <w:szCs w:val="21"/>
                <w:highlight w:val="red"/>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5、输出功率：500W</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6、LED荧光灯/紫外灯规格及数量：7W×2/8W×2</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7、可任意设置紫外灯预约开启时间和关闭时间，照明和杀菌系统安全互锁</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8</w:t>
            </w:r>
            <w:r>
              <w:rPr>
                <w:rFonts w:hint="eastAsia" w:ascii="宋体" w:hAnsi="宋体" w:cs="宋体"/>
                <w:color w:val="000000" w:themeColor="text1"/>
                <w:kern w:val="0"/>
                <w:szCs w:val="21"/>
                <w:highlight w:val="none"/>
                <w:lang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具有杀菌灯关闭后，风机自动启动无人干预自动停机时间</w:t>
            </w:r>
          </w:p>
          <w:p>
            <w:pPr>
              <w:pageBreakBefore w:val="0"/>
              <w:kinsoku/>
              <w:wordWrap/>
              <w:overflowPunct/>
              <w:topLinePunct w:val="0"/>
              <w:bidi w:val="0"/>
              <w:spacing w:line="560" w:lineRule="exact"/>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9</w:t>
            </w:r>
            <w:r>
              <w:rPr>
                <w:rFonts w:hint="eastAsia" w:ascii="宋体" w:hAnsi="宋体" w:cs="宋体"/>
                <w:color w:val="000000" w:themeColor="text1"/>
                <w:kern w:val="0"/>
                <w:szCs w:val="21"/>
                <w:lang w:bidi="ar"/>
                <w14:textFill>
                  <w14:solidFill>
                    <w14:schemeClr w14:val="tx1"/>
                  </w14:solidFill>
                </w14:textFill>
              </w:rPr>
              <w:t>、可实时查看高效过滤器、风机、紫外灯累计运行时间</w:t>
            </w:r>
            <w:r>
              <w:rPr>
                <w:rFonts w:hint="eastAsia" w:ascii="宋体" w:hAnsi="宋体" w:cs="宋体"/>
                <w:color w:val="000000" w:themeColor="text1"/>
                <w:kern w:val="0"/>
                <w:szCs w:val="21"/>
                <w:lang w:eastAsia="zh-CN" w:bidi="ar"/>
                <w14:textFill>
                  <w14:solidFill>
                    <w14:schemeClr w14:val="tx1"/>
                  </w14:solidFill>
                </w14:textFill>
              </w:rPr>
              <w:t>。</w:t>
            </w:r>
          </w:p>
          <w:p>
            <w:pPr>
              <w:pageBreakBefore w:val="0"/>
              <w:kinsoku/>
              <w:wordWrap/>
              <w:overflowPunct/>
              <w:topLinePunct w:val="0"/>
              <w:bidi w:val="0"/>
              <w:spacing w:line="560" w:lineRule="exact"/>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10</w:t>
            </w:r>
            <w:r>
              <w:rPr>
                <w:rFonts w:hint="eastAsia" w:ascii="宋体" w:hAnsi="宋体" w:cs="宋体"/>
                <w:color w:val="000000" w:themeColor="text1"/>
                <w:kern w:val="0"/>
                <w:szCs w:val="21"/>
                <w:lang w:bidi="ar"/>
                <w14:textFill>
                  <w14:solidFill>
                    <w14:schemeClr w14:val="tx1"/>
                  </w14:solidFill>
                </w14:textFill>
              </w:rPr>
              <w:t>、适用人数：双人单面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w:t>
            </w:r>
          </w:p>
        </w:tc>
        <w:tc>
          <w:tcPr>
            <w:tcW w:w="1039" w:type="dxa"/>
            <w:noWrap w:val="0"/>
            <w:vAlign w:val="center"/>
          </w:tcPr>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pacing w:val="8"/>
                <w:szCs w:val="21"/>
                <w14:textFill>
                  <w14:solidFill>
                    <w14:schemeClr w14:val="tx1"/>
                  </w14:solidFill>
                </w14:textFill>
              </w:rPr>
              <w:t>电热恒温培养箱</w:t>
            </w:r>
          </w:p>
        </w:tc>
        <w:tc>
          <w:tcPr>
            <w:tcW w:w="7359" w:type="dxa"/>
            <w:noWrap w:val="0"/>
            <w:vAlign w:val="top"/>
          </w:tcPr>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r>
              <w:rPr>
                <w:rFonts w:hint="eastAsia" w:ascii="宋体" w:hAnsi="宋体" w:cs="宋体"/>
                <w:color w:val="000000" w:themeColor="text1"/>
                <w:kern w:val="0"/>
                <w:szCs w:val="21"/>
                <w:lang w:val="en-US"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 xml:space="preserve"> 控温范围：室温+5~60℃</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r>
              <w:rPr>
                <w:rFonts w:hint="eastAsia" w:ascii="宋体" w:hAnsi="宋体" w:cs="宋体"/>
                <w:color w:val="000000" w:themeColor="text1"/>
                <w:kern w:val="0"/>
                <w:szCs w:val="21"/>
                <w:lang w:val="en-US"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 xml:space="preserve"> 温度波动: ±0.5℃</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val="en-US"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 xml:space="preserve"> 温度均匀性: ±1℃</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w:t>
            </w:r>
            <w:r>
              <w:rPr>
                <w:rFonts w:hint="eastAsia" w:ascii="宋体" w:hAnsi="宋体" w:cs="宋体"/>
                <w:color w:val="000000" w:themeColor="text1"/>
                <w:kern w:val="0"/>
                <w:szCs w:val="21"/>
                <w:lang w:val="en-US"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 xml:space="preserve"> 容积：≥80L</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w:t>
            </w:r>
            <w:r>
              <w:rPr>
                <w:rFonts w:hint="eastAsia" w:ascii="宋体" w:hAnsi="宋体" w:cs="宋体"/>
                <w:color w:val="000000" w:themeColor="text1"/>
                <w:kern w:val="0"/>
                <w:szCs w:val="21"/>
                <w:lang w:val="en-US"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控制器：LED 数码管显示，微电脑PID 控温，控温精确</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w:t>
            </w:r>
            <w:r>
              <w:rPr>
                <w:rFonts w:hint="eastAsia" w:ascii="宋体" w:hAnsi="宋体" w:cs="宋体"/>
                <w:color w:val="000000" w:themeColor="text1"/>
                <w:kern w:val="0"/>
                <w:szCs w:val="21"/>
                <w:lang w:val="en-US"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定时功能：1 ～ 9999min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25" w:type="dxa"/>
            <w:noWrap w:val="0"/>
            <w:vAlign w:val="top"/>
          </w:tcPr>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w:t>
            </w:r>
          </w:p>
        </w:tc>
        <w:tc>
          <w:tcPr>
            <w:tcW w:w="1039" w:type="dxa"/>
            <w:noWrap w:val="0"/>
            <w:vAlign w:val="center"/>
          </w:tcPr>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pacing w:val="8"/>
                <w:szCs w:val="21"/>
                <w14:textFill>
                  <w14:solidFill>
                    <w14:schemeClr w14:val="tx1"/>
                  </w14:solidFill>
                </w14:textFill>
              </w:rPr>
              <w:t>立式压力蒸汽灭菌器</w:t>
            </w:r>
          </w:p>
        </w:tc>
        <w:tc>
          <w:tcPr>
            <w:tcW w:w="7359" w:type="dxa"/>
            <w:noWrap w:val="0"/>
            <w:vAlign w:val="top"/>
          </w:tcPr>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一.基本参数 </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1.容量:有效容积≥75L,内部容积≥80 L，底部带角轮，易移动</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2.灭菌腔材料:SUS304不锈钢,腔体设计使用年限10年</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3．功率：4600W </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4.温度范围:灭菌温度:105-135℃, </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5.设计压力：0.3MPA：</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.压力表显示范围:-0.1-0.5MPa,</w:t>
            </w:r>
          </w:p>
          <w:p>
            <w:pPr>
              <w:pageBreakBefore w:val="0"/>
              <w:kinsoku/>
              <w:wordWrap/>
              <w:overflowPunct/>
              <w:topLinePunct w:val="0"/>
              <w:bidi w:val="0"/>
              <w:spacing w:line="560" w:lineRule="exact"/>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配置：主机1台，不锈钢提篮2个，说明书/水位板1个，排水管2条，排气管1条</w:t>
            </w:r>
            <w:r>
              <w:rPr>
                <w:rFonts w:hint="eastAsia"/>
                <w:color w:val="000000" w:themeColor="text1"/>
                <w:lang w:eastAsia="zh-CN"/>
                <w14:textFill>
                  <w14:solidFill>
                    <w14:schemeClr w14:val="tx1"/>
                  </w14:solidFill>
                </w14:textFill>
              </w:rPr>
              <w:t>。</w:t>
            </w:r>
          </w:p>
          <w:p>
            <w:pPr>
              <w:pStyle w:val="2"/>
              <w:rPr>
                <w:rFonts w:hint="eastAsia"/>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25" w:type="dxa"/>
            <w:noWrap w:val="0"/>
            <w:vAlign w:val="top"/>
          </w:tcPr>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w:t>
            </w:r>
          </w:p>
        </w:tc>
        <w:tc>
          <w:tcPr>
            <w:tcW w:w="1039" w:type="dxa"/>
            <w:noWrap w:val="0"/>
            <w:vAlign w:val="center"/>
          </w:tcPr>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pacing w:val="8"/>
                <w:szCs w:val="21"/>
                <w14:textFill>
                  <w14:solidFill>
                    <w14:schemeClr w14:val="tx1"/>
                  </w14:solidFill>
                </w14:textFill>
              </w:rPr>
              <w:t>电子天平</w:t>
            </w:r>
          </w:p>
        </w:tc>
        <w:tc>
          <w:tcPr>
            <w:tcW w:w="7359" w:type="dxa"/>
            <w:noWrap w:val="0"/>
            <w:vAlign w:val="top"/>
          </w:tcPr>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高精度的温度传感器</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抗渗漏、抗静电、抗腐蚀材质</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称量范围（g）：220</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可读性(mg)</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：0.1</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重复性(≤mg)</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：±0.1</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线性(≤mg)：±0.2</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秤盘尺寸( mm）：Ф90</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湿度范围RH）：10%-70%相对（非冷凝）</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温度范围（℃）：+10 to-+30</w:t>
            </w:r>
          </w:p>
          <w:p>
            <w:pPr>
              <w:pageBreakBefore w:val="0"/>
              <w:kinsoku/>
              <w:wordWrap/>
              <w:overflowPunct/>
              <w:topLinePunct w:val="0"/>
              <w:bidi w:val="0"/>
              <w:spacing w:line="560" w:lineRule="exact"/>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开机预热时间（s）：30-60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c>
          <w:tcPr>
            <w:tcW w:w="1039" w:type="dxa"/>
            <w:noWrap w:val="0"/>
            <w:vAlign w:val="center"/>
          </w:tcPr>
          <w:p>
            <w:pPr>
              <w:pageBreakBefore w:val="0"/>
              <w:kinsoku/>
              <w:wordWrap/>
              <w:overflowPunct/>
              <w:topLinePunct w:val="0"/>
              <w:bidi w:val="0"/>
              <w:spacing w:line="5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pacing w:val="8"/>
                <w:szCs w:val="21"/>
                <w14:textFill>
                  <w14:solidFill>
                    <w14:schemeClr w14:val="tx1"/>
                  </w14:solidFill>
                </w14:textFill>
              </w:rPr>
              <w:t>近红外多功能产品分析仪</w:t>
            </w:r>
          </w:p>
        </w:tc>
        <w:tc>
          <w:tcPr>
            <w:tcW w:w="7359" w:type="dxa"/>
            <w:noWrap w:val="0"/>
            <w:vAlign w:val="top"/>
          </w:tcPr>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1.货物名称：近红外分析仪</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2.主要用途：用于饲料及牧草中Protein蛋白，NDF中洗纤维，ADF酸洗纤维，ADL酸洗木质素，Ash灰分，   DM干物质，IVDMD 体外消化率等含量分析。</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3.工作条件：</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3.1  环境温度: 5 – 40°C</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val="en-US" w:eastAsia="zh-CN" w:bidi="ar"/>
                <w14:textFill>
                  <w14:solidFill>
                    <w14:schemeClr w14:val="tx1"/>
                  </w14:solidFill>
                </w14:textFill>
              </w:rPr>
              <w:t>2</w:t>
            </w:r>
            <w:r>
              <w:rPr>
                <w:rFonts w:hint="eastAsia" w:ascii="宋体" w:hAnsi="宋体" w:cs="宋体"/>
                <w:color w:val="000000" w:themeColor="text1"/>
                <w:kern w:val="0"/>
                <w:szCs w:val="21"/>
                <w:lang w:bidi="ar"/>
                <w14:textFill>
                  <w14:solidFill>
                    <w14:schemeClr w14:val="tx1"/>
                  </w14:solidFill>
                </w14:textFill>
              </w:rPr>
              <w:t xml:space="preserve">  相对湿度: ＜93％RH</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w:t>
            </w:r>
            <w:r>
              <w:rPr>
                <w:rFonts w:hint="eastAsia" w:ascii="宋体" w:hAnsi="宋体" w:cs="宋体"/>
                <w:color w:val="000000" w:themeColor="text1"/>
                <w:kern w:val="0"/>
                <w:szCs w:val="21"/>
                <w:lang w:val="en-US" w:eastAsia="zh-CN" w:bidi="ar"/>
                <w14:textFill>
                  <w14:solidFill>
                    <w14:schemeClr w14:val="tx1"/>
                  </w14:solidFill>
                </w14:textFill>
              </w:rPr>
              <w:t>3</w:t>
            </w:r>
            <w:r>
              <w:rPr>
                <w:rFonts w:hint="eastAsia" w:ascii="宋体" w:hAnsi="宋体" w:cs="宋体"/>
                <w:color w:val="000000" w:themeColor="text1"/>
                <w:kern w:val="0"/>
                <w:szCs w:val="21"/>
                <w:lang w:bidi="ar"/>
                <w14:textFill>
                  <w14:solidFill>
                    <w14:schemeClr w14:val="tx1"/>
                  </w14:solidFill>
                </w14:textFill>
              </w:rPr>
              <w:t xml:space="preserve">  电源： 100-240VAC；50-60Hz</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 技术指标：</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4.1 近红外漫反射和透反射，直接测定未经任何处理的原始颗粒、粉末和液体、膏状样品的有关组份。</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4.2 波长范围：扫描波长范围900-2500nm。</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4.3 扫描方式：光源采用上投光密闭式下无接触照射方式。</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4.4 波长准确度：＜0.06nm</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4.5波长精确度：&lt;0.006nm （全光谱范围内）</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4.6 吸光度范围:最大到2AU</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4.7 防护级别:IP65(防水,防尘)</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4.8</w:t>
            </w:r>
            <w:r>
              <w:rPr>
                <w:rFonts w:hint="eastAsia" w:ascii="宋体" w:hAnsi="宋体" w:cs="宋体"/>
                <w:color w:val="000000" w:themeColor="text1"/>
                <w:kern w:val="0"/>
                <w:szCs w:val="21"/>
                <w:lang w:bidi="ar"/>
                <w14:textFill>
                  <w14:solidFill>
                    <w14:schemeClr w14:val="tx1"/>
                  </w14:solidFill>
                </w14:textFill>
              </w:rPr>
              <w:t xml:space="preserve">高灵敏度的双检测器：(900－1100nm) 硅，（1100nm－2500nm）硫化铅 </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4.9系统噪音（RMS方法） ＜20 uA（900-2500nm）； </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4.10光斑设定：大光斑装置，光斑直径20mm</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4.11光源不能直接照射到样品上，必须通过特殊的玻璃介质。要符合ISO 12099-2010 (需提供证明文件)</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bookmarkStart w:id="250" w:name="OLE_LINK2"/>
            <w:bookmarkStart w:id="251" w:name="OLE_LINK1"/>
            <w:r>
              <w:rPr>
                <w:rFonts w:hint="eastAsia" w:ascii="宋体" w:hAnsi="宋体" w:cs="宋体"/>
                <w:color w:val="000000" w:themeColor="text1"/>
                <w:kern w:val="0"/>
                <w:szCs w:val="21"/>
                <w:lang w:val="da-DK" w:bidi="ar"/>
                <w14:textFill>
                  <w14:solidFill>
                    <w14:schemeClr w14:val="tx1"/>
                  </w14:solidFill>
                </w14:textFill>
              </w:rPr>
              <w:t>4.12</w:t>
            </w:r>
            <w:bookmarkEnd w:id="250"/>
            <w:bookmarkEnd w:id="251"/>
            <w:r>
              <w:rPr>
                <w:rFonts w:hint="eastAsia" w:ascii="宋体" w:hAnsi="宋体" w:cs="宋体"/>
                <w:color w:val="000000" w:themeColor="text1"/>
                <w:kern w:val="0"/>
                <w:szCs w:val="21"/>
                <w:lang w:bidi="ar"/>
                <w14:textFill>
                  <w14:solidFill>
                    <w14:schemeClr w14:val="tx1"/>
                  </w14:solidFill>
                </w14:textFill>
              </w:rPr>
              <w:t>样品杯使用了RFID（射频读码）技术，特定的样品杯 ID 与每次的分析结果一起保存，以便于数据追溯。样品杯的类型可以与特殊的应用关联，如果在应用中选择错了样品杯会出现警告。</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4.13 扫描及数据管理软件：具有样品扫描、光谱和结果的自动保存和输出功能。扫描软件须提供近红外仪器诊断程序，并具有对诊断结果的保存、打印和追溯功能，诊断结果须符合标书规定的指标要求并提供相应诊断结果书。可以很方便的在多种条件下进行筛选和高级搜索数据，包括均值数据和原始数据，可以查询过去数年内的数据。</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4.14定标开发软件（选配）：具有光谱剔除，合并，平均功能；具有光谱去散射处理，归一化、求导和平滑处理技术。</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4.15 各种农产品和食品的定标模型及数据库：具有国家官方检测机构提供的数据库，样品容量不少于1000份。</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   饲料类：</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  饲料原料：可测定豆粕、膨化大豆粉、发酵豆粕、大豆浓缩蛋白、菜籽饼粕、花生饼粕、棉籽粕、棕榈粕、芝麻籽粕、葵花籽饼粕、大麦、高粱、啤酒糟、酒糟粕DDGS、碎米、米糠、米糠粕、大米蛋白粉、小麦、面粉、次粉、麦麸、玉米、膨化玉米、蒸汽压片玉米、玉米蛋白粉、玉米胚芽饼、玉米胚芽粕、喷浆玉米皮、玉米淀粉、玉米糖渣、甜菜粕、鱼粉、鱼头粉、虾粉、肉粉、肉骨粉、水解羽毛粉、血浆蛋白粉、蛋粉等饲料原料中的脂肪、蛋白、水分、灰分、纤维等指标，其中豆粕、菜籽粕、花生粕、DDGS、麦麸、米糠、米糠粕、棉籽粕、肉粉、肉骨粉、鱼粉、玉米蛋白粉、小麦、玉米可选配氨基酸测定模型。</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成品饲料：可测定各种畜禽、反刍动物的浓缩料、配合料、特种水产料、鱼料、宠物食品等饲料产品中的脂肪、蛋白、水分、纤维、灰分、钙、磷、盐等指标。</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 油料类： </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可测定大豆、菜籽、花生、芝麻中的水分、蛋白、油分和脂肪酸组成等指标。</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 粮食类: </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    小麦：水分、蛋白、沉降值、湿面筋、湿面筋指数、稳定时间和吸水率、拉伸值</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    大米：水分、蛋白、直链淀粉</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    玉米：水分、蛋白、油分、淀粉</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 xml:space="preserve">  各种产品所能测定的具体参数请参考定标报告。</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 基本配置：</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5.1 主机：扫描范围为900 – 2500nm，波长准确度达到0.06nm，波长的重现性达到0.006nm，在2500nm处杂散光不大于0.08%，在1100nm处杂散光不大于0.01%。</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5.2 Windows版随主机配置的操作软件，符合“技术指标”要求，可以按技术要求设置主机所有常数和完成常规分析，并可对定标模型进行斜率和截距调整，能对主机性能进行诊断和标准化。</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5.3 附件：大样品杯一个,小样品杯一个</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5.4 备用检测灯5个</w:t>
            </w:r>
          </w:p>
          <w:p>
            <w:pPr>
              <w:pageBreakBefore w:val="0"/>
              <w:widowControl/>
              <w:kinsoku/>
              <w:wordWrap/>
              <w:overflowPunct/>
              <w:topLinePunct w:val="0"/>
              <w:bidi w:val="0"/>
              <w:spacing w:line="560" w:lineRule="exact"/>
              <w:jc w:val="left"/>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6.计算机</w:t>
            </w:r>
            <w:r>
              <w:rPr>
                <w:rFonts w:hint="eastAsia" w:ascii="宋体" w:hAnsi="宋体" w:cs="宋体"/>
                <w:color w:val="000000" w:themeColor="text1"/>
                <w:kern w:val="0"/>
                <w:szCs w:val="21"/>
                <w:lang w:val="en-US" w:eastAsia="zh-CN" w:bidi="ar"/>
                <w14:textFill>
                  <w14:solidFill>
                    <w14:schemeClr w14:val="tx1"/>
                  </w14:solidFill>
                </w14:textFill>
              </w:rPr>
              <w:t>1台</w:t>
            </w:r>
            <w:r>
              <w:rPr>
                <w:rFonts w:hint="eastAsia" w:ascii="宋体" w:hAnsi="宋体" w:cs="宋体"/>
                <w:color w:val="000000" w:themeColor="text1"/>
                <w:kern w:val="0"/>
                <w:szCs w:val="21"/>
                <w:lang w:bidi="ar"/>
                <w14:textFill>
                  <w14:solidFill>
                    <w14:schemeClr w14:val="tx1"/>
                  </w14:solidFill>
                </w14:textFill>
              </w:rPr>
              <w:t>及打印</w:t>
            </w:r>
            <w:r>
              <w:rPr>
                <w:rFonts w:hint="eastAsia" w:ascii="宋体" w:hAnsi="宋体" w:cs="宋体"/>
                <w:color w:val="000000" w:themeColor="text1"/>
                <w:kern w:val="0"/>
                <w:szCs w:val="21"/>
                <w:lang w:eastAsia="zh-CN" w:bidi="ar"/>
                <w14:textFill>
                  <w14:solidFill>
                    <w14:schemeClr w14:val="tx1"/>
                  </w14:solidFill>
                </w14:textFill>
              </w:rPr>
              <w:t>机</w:t>
            </w:r>
            <w:r>
              <w:rPr>
                <w:rFonts w:hint="eastAsia" w:ascii="宋体" w:hAnsi="宋体" w:cs="宋体"/>
                <w:color w:val="000000" w:themeColor="text1"/>
                <w:kern w:val="0"/>
                <w:szCs w:val="21"/>
                <w:lang w:val="en-US" w:eastAsia="zh-CN" w:bidi="ar"/>
                <w14:textFill>
                  <w14:solidFill>
                    <w14:schemeClr w14:val="tx1"/>
                  </w14:solidFill>
                </w14:textFill>
              </w:rPr>
              <w:t>1台，配套使用</w:t>
            </w:r>
          </w:p>
          <w:p>
            <w:pPr>
              <w:pageBreakBefore w:val="0"/>
              <w:widowControl/>
              <w:kinsoku/>
              <w:wordWrap/>
              <w:overflowPunct/>
              <w:topLinePunct w:val="0"/>
              <w:bidi w:val="0"/>
              <w:spacing w:line="560" w:lineRule="exact"/>
              <w:jc w:val="left"/>
              <w:textAlignment w:val="center"/>
              <w:rPr>
                <w:rFonts w:hint="eastAsia" w:ascii="宋体" w:hAnsi="宋体" w:cs="宋体"/>
                <w:color w:val="000000" w:themeColor="text1"/>
                <w:szCs w:val="21"/>
                <w14:textFill>
                  <w14:solidFill>
                    <w14:schemeClr w14:val="tx1"/>
                  </w14:solidFill>
                </w14:textFill>
              </w:rPr>
            </w:pP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经销商投标时须提供厂家针对该项目的授权</w:t>
            </w:r>
            <w:r>
              <w:rPr>
                <w:rFonts w:hint="eastAsia" w:ascii="Times New Roman" w:hAnsi="Times New Roman" w:cs="Times New Roman"/>
                <w:color w:val="000000" w:themeColor="text1"/>
                <w:kern w:val="2"/>
                <w:sz w:val="21"/>
                <w:szCs w:val="22"/>
                <w:lang w:val="en-US" w:eastAsia="zh-CN" w:bidi="ar-SA"/>
                <w14:textFill>
                  <w14:solidFill>
                    <w14:schemeClr w14:val="tx1"/>
                  </w14:solidFill>
                </w14:textFill>
              </w:rPr>
              <w:t>委托书</w:t>
            </w:r>
            <w:r>
              <w:rPr>
                <w:rFonts w:hint="eastAsia" w:ascii="Times New Roman" w:hAnsi="Times New Roman" w:eastAsia="宋体" w:cs="Times New Roman"/>
                <w:color w:val="000000" w:themeColor="text1"/>
                <w:kern w:val="2"/>
                <w:sz w:val="21"/>
                <w:szCs w:val="22"/>
                <w:lang w:val="en-US" w:eastAsia="zh-CN" w:bidi="ar-SA"/>
                <w14:textFill>
                  <w14:solidFill>
                    <w14:schemeClr w14:val="tx1"/>
                  </w14:solidFill>
                </w14:textFill>
              </w:rPr>
              <w:t>。</w:t>
            </w:r>
          </w:p>
        </w:tc>
      </w:tr>
    </w:tbl>
    <w:p>
      <w:pPr>
        <w:widowControl/>
        <w:spacing w:line="560" w:lineRule="exact"/>
        <w:ind w:firstLine="422" w:firstLineChars="200"/>
        <w:jc w:val="left"/>
        <w:rPr>
          <w:rFonts w:ascii="宋体" w:hAnsi="宋体" w:cs="宋体"/>
          <w:b/>
          <w:bCs/>
          <w:kern w:val="0"/>
          <w:szCs w:val="21"/>
        </w:rPr>
      </w:pPr>
      <w:r>
        <w:rPr>
          <w:rFonts w:hint="eastAsia" w:ascii="宋体" w:hAnsi="宋体" w:cs="宋体"/>
          <w:b/>
          <w:bCs/>
          <w:kern w:val="0"/>
          <w:szCs w:val="21"/>
        </w:rPr>
        <w:t>注：1、投标人提供的货物必须是原装全新、高于或等于招标文件规定技术参数的产品；</w:t>
      </w:r>
    </w:p>
    <w:p>
      <w:pPr>
        <w:widowControl/>
        <w:spacing w:line="560" w:lineRule="exact"/>
        <w:ind w:firstLine="422" w:firstLineChars="200"/>
        <w:jc w:val="left"/>
        <w:rPr>
          <w:rFonts w:ascii="宋体" w:hAnsi="宋体" w:cs="宋体"/>
          <w:b/>
          <w:bCs/>
          <w:kern w:val="0"/>
          <w:szCs w:val="21"/>
        </w:rPr>
        <w:sectPr>
          <w:footerReference r:id="rId10" w:type="first"/>
          <w:footerReference r:id="rId9" w:type="default"/>
          <w:pgSz w:w="11906" w:h="16838"/>
          <w:pgMar w:top="2098" w:right="1474" w:bottom="1985" w:left="1588" w:header="851" w:footer="992" w:gutter="0"/>
          <w:pgNumType w:fmt="numberInDash"/>
          <w:cols w:space="720" w:num="1"/>
          <w:docGrid w:type="lines" w:linePitch="318" w:charSpace="0"/>
        </w:sectPr>
      </w:pPr>
      <w:r>
        <w:rPr>
          <w:rFonts w:hint="eastAsia" w:ascii="宋体" w:hAnsi="宋体" w:cs="宋体"/>
          <w:b/>
          <w:bCs/>
          <w:kern w:val="0"/>
          <w:szCs w:val="21"/>
        </w:rPr>
        <w:t>2、属于节能产品政府采购清单规定必须强制采购的, 必须采购当期节能产品政府采购清单内设备或产品；在价格、技术、服务等指标同等条件下，优先采购节能、环保产品。（开标时需提供投标人所投产品属于政府采购清单规定的节能环保产品的证明材料）。</w:t>
      </w:r>
    </w:p>
    <w:p>
      <w:pPr>
        <w:pStyle w:val="14"/>
        <w:spacing w:line="600" w:lineRule="exact"/>
        <w:ind w:right="-63" w:rightChars="-30"/>
        <w:rPr>
          <w:rFonts w:asciiTheme="minorEastAsia" w:hAnsiTheme="minorEastAsia" w:eastAsiaTheme="minorEastAsia" w:cstheme="minorEastAsia"/>
          <w:sz w:val="36"/>
          <w:szCs w:val="36"/>
        </w:rPr>
      </w:pPr>
    </w:p>
    <w:p>
      <w:pPr>
        <w:pStyle w:val="14"/>
        <w:spacing w:line="600" w:lineRule="exact"/>
        <w:ind w:right="-63" w:rightChars="-30"/>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第六章  投标文件格式</w:t>
      </w:r>
      <w:bookmarkEnd w:id="246"/>
      <w:bookmarkEnd w:id="247"/>
      <w:bookmarkEnd w:id="248"/>
      <w:bookmarkEnd w:id="249"/>
    </w:p>
    <w:p>
      <w:pPr>
        <w:rPr>
          <w:rFonts w:asciiTheme="minorEastAsia" w:hAnsiTheme="minorEastAsia" w:eastAsiaTheme="minorEastAsia" w:cstheme="minorEastAsia"/>
        </w:rPr>
      </w:pPr>
      <w:bookmarkStart w:id="252" w:name="_Toc402961301"/>
      <w:bookmarkStart w:id="253" w:name="_Toc403122573"/>
      <w:bookmarkStart w:id="254" w:name="_Toc27452"/>
      <w:bookmarkStart w:id="255" w:name="_Toc18905"/>
    </w:p>
    <w:p>
      <w:pPr>
        <w:rPr>
          <w:rFonts w:asciiTheme="minorEastAsia" w:hAnsiTheme="minorEastAsia" w:eastAsiaTheme="minorEastAsia" w:cstheme="minorEastAsia"/>
        </w:rPr>
      </w:pPr>
      <w:r>
        <w:rPr>
          <w:rFonts w:hint="eastAsia" w:asciiTheme="minorEastAsia" w:hAnsiTheme="minorEastAsia" w:eastAsiaTheme="minorEastAsia" w:cstheme="minorEastAsia"/>
          <w:b/>
          <w:bCs/>
          <w:sz w:val="28"/>
          <w:szCs w:val="28"/>
        </w:rPr>
        <w:t xml:space="preserve">                 </w:t>
      </w:r>
      <w:bookmarkEnd w:id="252"/>
      <w:bookmarkEnd w:id="253"/>
      <w:bookmarkEnd w:id="254"/>
      <w:bookmarkEnd w:id="255"/>
      <w:r>
        <w:rPr>
          <w:rFonts w:hint="eastAsia" w:asciiTheme="minorEastAsia" w:hAnsiTheme="minorEastAsia" w:eastAsiaTheme="minorEastAsia" w:cstheme="minorEastAsia"/>
          <w:b/>
          <w:sz w:val="36"/>
          <w:szCs w:val="36"/>
        </w:rPr>
        <w:t xml:space="preserve">（项目名称）                   </w:t>
      </w:r>
      <w:r>
        <w:rPr>
          <w:rFonts w:hint="eastAsia" w:asciiTheme="minorEastAsia" w:hAnsiTheme="minorEastAsia" w:eastAsiaTheme="minorEastAsia" w:cstheme="minorEastAsia"/>
          <w:b/>
          <w:bCs/>
          <w:sz w:val="28"/>
          <w:szCs w:val="28"/>
        </w:rPr>
        <w:t>正本/副本</w:t>
      </w:r>
    </w:p>
    <w:p>
      <w:pPr>
        <w:spacing w:line="360" w:lineRule="auto"/>
        <w:jc w:val="center"/>
        <w:rPr>
          <w:rFonts w:asciiTheme="minorEastAsia" w:hAnsiTheme="minorEastAsia" w:eastAsiaTheme="minorEastAsia" w:cstheme="minorEastAsia"/>
          <w:b/>
          <w:sz w:val="32"/>
          <w:szCs w:val="32"/>
        </w:rPr>
      </w:pPr>
    </w:p>
    <w:p>
      <w:pPr>
        <w:pStyle w:val="16"/>
      </w:pPr>
    </w:p>
    <w:p>
      <w:pPr>
        <w:pStyle w:val="16"/>
      </w:pPr>
    </w:p>
    <w:p>
      <w:pPr>
        <w:pStyle w:val="16"/>
      </w:pPr>
    </w:p>
    <w:p>
      <w:pPr>
        <w:spacing w:line="360" w:lineRule="auto"/>
        <w:jc w:val="center"/>
        <w:rPr>
          <w:rFonts w:asciiTheme="minorEastAsia" w:hAnsiTheme="minorEastAsia" w:eastAsiaTheme="minorEastAsia" w:cstheme="minorEastAsia"/>
          <w:b/>
          <w:spacing w:val="24"/>
          <w:kern w:val="10"/>
          <w:sz w:val="52"/>
          <w:szCs w:val="52"/>
        </w:rPr>
      </w:pPr>
      <w:r>
        <w:rPr>
          <w:rFonts w:hint="eastAsia" w:asciiTheme="minorEastAsia" w:hAnsiTheme="minorEastAsia" w:eastAsiaTheme="minorEastAsia" w:cstheme="minorEastAsia"/>
          <w:b/>
          <w:spacing w:val="24"/>
          <w:kern w:val="10"/>
          <w:sz w:val="52"/>
          <w:szCs w:val="52"/>
        </w:rPr>
        <w:t>投  标  文  件</w:t>
      </w: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（封面）</w:t>
      </w: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b/>
          <w:sz w:val="24"/>
        </w:rPr>
      </w:pPr>
    </w:p>
    <w:p>
      <w:pPr>
        <w:pStyle w:val="9"/>
        <w:spacing w:line="600" w:lineRule="exact"/>
        <w:ind w:left="1050" w:leftChars="500" w:firstLine="1152" w:firstLineChars="450"/>
        <w:rPr>
          <w:rFonts w:hint="default" w:asciiTheme="minorEastAsia" w:hAnsiTheme="minorEastAsia" w:eastAsiaTheme="minorEastAsia" w:cstheme="minorEastAsia"/>
          <w:sz w:val="24"/>
        </w:rPr>
      </w:pPr>
      <w:r>
        <w:rPr>
          <w:rFonts w:asciiTheme="minorEastAsia" w:hAnsiTheme="minorEastAsia" w:eastAsiaTheme="minorEastAsia" w:cstheme="minorEastAsia"/>
          <w:spacing w:val="8"/>
          <w:sz w:val="24"/>
        </w:rPr>
        <w:t>供  应  商：</w:t>
      </w:r>
      <w:r>
        <w:rPr>
          <w:rFonts w:asciiTheme="minorEastAsia" w:hAnsiTheme="minorEastAsia" w:eastAsiaTheme="minorEastAsia" w:cstheme="minorEastAsia"/>
          <w:sz w:val="24"/>
        </w:rPr>
        <w:t>（单位公章）</w:t>
      </w:r>
    </w:p>
    <w:p>
      <w:pPr>
        <w:pStyle w:val="9"/>
        <w:spacing w:line="600" w:lineRule="exact"/>
        <w:ind w:left="1050" w:leftChars="500" w:firstLine="1200" w:firstLineChars="5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法定代表人或</w:t>
      </w:r>
      <w:r>
        <w:rPr>
          <w:rFonts w:asciiTheme="minorEastAsia" w:hAnsiTheme="minorEastAsia" w:eastAsiaTheme="minorEastAsia" w:cstheme="minorEastAsia"/>
          <w:spacing w:val="12"/>
          <w:sz w:val="24"/>
        </w:rPr>
        <w:t>委托代理人：</w:t>
      </w:r>
      <w:r>
        <w:rPr>
          <w:rFonts w:asciiTheme="minorEastAsia" w:hAnsiTheme="minorEastAsia" w:eastAsiaTheme="minorEastAsia" w:cstheme="minorEastAsia"/>
          <w:sz w:val="24"/>
        </w:rPr>
        <w:t xml:space="preserve">（签字或盖章）  </w:t>
      </w:r>
    </w:p>
    <w:p>
      <w:pPr>
        <w:pStyle w:val="9"/>
        <w:spacing w:line="600" w:lineRule="exact"/>
        <w:ind w:left="1050" w:leftChars="500" w:firstLine="1200" w:firstLineChars="500"/>
        <w:rPr>
          <w:rFonts w:hint="default" w:asciiTheme="minorEastAsia" w:hAnsiTheme="minorEastAsia" w:eastAsiaTheme="minorEastAsia" w:cstheme="minorEastAsia"/>
          <w:b/>
          <w:bCs/>
          <w:sz w:val="28"/>
          <w:szCs w:val="28"/>
        </w:rPr>
      </w:pPr>
      <w:r>
        <w:rPr>
          <w:rFonts w:asciiTheme="minorEastAsia" w:hAnsiTheme="minorEastAsia" w:eastAsiaTheme="minorEastAsia" w:cstheme="minorEastAsia"/>
          <w:sz w:val="24"/>
        </w:rPr>
        <w:t>日       期：       年    月    日</w:t>
      </w:r>
    </w:p>
    <w:p>
      <w:pPr>
        <w:ind w:firstLine="540" w:firstLineChars="192"/>
        <w:jc w:val="center"/>
        <w:rPr>
          <w:rFonts w:asciiTheme="minorEastAsia" w:hAnsiTheme="minorEastAsia" w:eastAsiaTheme="minorEastAsia" w:cstheme="minorEastAsia"/>
          <w:b/>
          <w:bCs/>
          <w:sz w:val="28"/>
          <w:szCs w:val="28"/>
        </w:rPr>
      </w:pPr>
    </w:p>
    <w:p>
      <w:pPr>
        <w:ind w:firstLine="848" w:firstLineChars="192"/>
        <w:jc w:val="center"/>
        <w:rPr>
          <w:rFonts w:asciiTheme="minorEastAsia" w:hAnsiTheme="minorEastAsia" w:eastAsiaTheme="minorEastAsia" w:cstheme="minorEastAsia"/>
          <w:b/>
          <w:bCs/>
          <w:sz w:val="44"/>
          <w:szCs w:val="44"/>
        </w:rPr>
      </w:pPr>
    </w:p>
    <w:p>
      <w:pPr>
        <w:ind w:firstLine="848" w:firstLineChars="192"/>
        <w:jc w:val="center"/>
        <w:rPr>
          <w:rFonts w:asciiTheme="minorEastAsia" w:hAnsiTheme="minorEastAsia" w:eastAsiaTheme="minorEastAsia" w:cstheme="minorEastAsia"/>
          <w:b/>
          <w:bCs/>
          <w:sz w:val="44"/>
          <w:szCs w:val="44"/>
        </w:rPr>
      </w:pPr>
    </w:p>
    <w:p>
      <w:pPr>
        <w:ind w:firstLine="848" w:firstLineChars="192"/>
        <w:jc w:val="center"/>
        <w:rPr>
          <w:rFonts w:asciiTheme="minorEastAsia" w:hAnsiTheme="minorEastAsia" w:eastAsiaTheme="minorEastAsia" w:cstheme="minorEastAsia"/>
          <w:b/>
          <w:bCs/>
          <w:sz w:val="44"/>
          <w:szCs w:val="44"/>
        </w:rPr>
      </w:pP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44"/>
          <w:szCs w:val="44"/>
        </w:rPr>
        <w:t>目    录</w:t>
      </w:r>
    </w:p>
    <w:p>
      <w:pPr>
        <w:spacing w:line="500" w:lineRule="exact"/>
        <w:jc w:val="center"/>
        <w:outlineLvl w:val="1"/>
        <w:rPr>
          <w:rFonts w:asciiTheme="minorEastAsia" w:hAnsiTheme="minorEastAsia" w:eastAsiaTheme="minorEastAsia" w:cstheme="minorEastAsia"/>
          <w:b/>
          <w:bCs/>
          <w:sz w:val="28"/>
          <w:szCs w:val="28"/>
        </w:rPr>
      </w:pPr>
      <w:bookmarkStart w:id="256" w:name="_Toc31547"/>
      <w:r>
        <w:rPr>
          <w:rFonts w:asciiTheme="minorEastAsia" w:hAnsiTheme="minorEastAsia" w:eastAsiaTheme="minorEastAsia" w:cstheme="minorEastAsia"/>
          <w:szCs w:val="21"/>
        </w:rPr>
        <w:t>（自拟）</w:t>
      </w:r>
      <w:r>
        <w:rPr>
          <w:rFonts w:hint="eastAsia" w:asciiTheme="minorEastAsia" w:hAnsiTheme="minorEastAsia" w:eastAsiaTheme="minorEastAsia" w:cstheme="minorEastAsia"/>
          <w:szCs w:val="21"/>
        </w:rPr>
        <w:br w:type="page"/>
      </w:r>
      <w:bookmarkStart w:id="257" w:name="_Toc1921"/>
      <w:r>
        <w:rPr>
          <w:rFonts w:hint="eastAsia" w:asciiTheme="minorEastAsia" w:hAnsiTheme="minorEastAsia" w:eastAsiaTheme="minorEastAsia" w:cstheme="minorEastAsia"/>
          <w:b/>
          <w:bCs/>
          <w:sz w:val="30"/>
          <w:szCs w:val="30"/>
        </w:rPr>
        <w:t>一、投标函</w:t>
      </w:r>
      <w:bookmarkEnd w:id="256"/>
      <w:r>
        <w:rPr>
          <w:rFonts w:hint="eastAsia" w:asciiTheme="minorEastAsia" w:hAnsiTheme="minorEastAsia" w:eastAsiaTheme="minorEastAsia" w:cstheme="minorEastAsia"/>
          <w:b/>
          <w:bCs/>
          <w:sz w:val="30"/>
          <w:szCs w:val="30"/>
        </w:rPr>
        <w:t>及开标一览表</w:t>
      </w:r>
      <w:bookmarkEnd w:id="257"/>
    </w:p>
    <w:p>
      <w:pPr>
        <w:jc w:val="center"/>
        <w:outlineLvl w:val="2"/>
        <w:rPr>
          <w:rFonts w:asciiTheme="minorEastAsia" w:hAnsiTheme="minorEastAsia" w:eastAsiaTheme="minorEastAsia" w:cstheme="minorEastAsia"/>
          <w:b/>
          <w:bCs/>
          <w:sz w:val="28"/>
        </w:rPr>
      </w:pPr>
      <w:bookmarkStart w:id="258" w:name="_Toc27218"/>
      <w:bookmarkStart w:id="259" w:name="_Toc12044"/>
      <w:bookmarkStart w:id="260" w:name="_Toc600"/>
      <w:r>
        <w:rPr>
          <w:rFonts w:hint="eastAsia" w:asciiTheme="minorEastAsia" w:hAnsiTheme="minorEastAsia" w:eastAsiaTheme="minorEastAsia" w:cstheme="minorEastAsia"/>
          <w:b/>
          <w:sz w:val="28"/>
          <w:szCs w:val="28"/>
        </w:rPr>
        <w:t>（一）投标函</w:t>
      </w:r>
      <w:bookmarkEnd w:id="258"/>
      <w:bookmarkEnd w:id="259"/>
      <w:bookmarkEnd w:id="260"/>
    </w:p>
    <w:p>
      <w:pPr>
        <w:spacing w:line="440" w:lineRule="exact"/>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 xml:space="preserve">（采购人名称）： </w:t>
      </w:r>
    </w:p>
    <w:p>
      <w:pPr>
        <w:numPr>
          <w:ilvl w:val="0"/>
          <w:numId w:val="9"/>
        </w:numPr>
        <w:tabs>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我方已仔细研究了（项目名称）招标文件的全部内容，对本项目愿意以人民币（大写）元（￥</w:t>
      </w:r>
      <w:r>
        <w:rPr>
          <w:rFonts w:hint="eastAsia" w:asciiTheme="minorEastAsia" w:hAnsiTheme="minorEastAsia" w:eastAsiaTheme="minorEastAsia" w:cstheme="minorEastAsia"/>
          <w:szCs w:val="21"/>
          <w:u w:val="single"/>
        </w:rPr>
        <w:t xml:space="preserve">          元</w:t>
      </w:r>
      <w:r>
        <w:rPr>
          <w:rFonts w:hint="eastAsia" w:asciiTheme="minorEastAsia" w:hAnsiTheme="minorEastAsia" w:eastAsiaTheme="minorEastAsia" w:cstheme="minorEastAsia"/>
          <w:szCs w:val="21"/>
        </w:rPr>
        <w:t>）的投标报价，</w:t>
      </w:r>
      <w:r>
        <w:rPr>
          <w:rFonts w:hint="eastAsia" w:asciiTheme="minorEastAsia" w:hAnsiTheme="minorEastAsia" w:eastAsiaTheme="minorEastAsia" w:cstheme="minorEastAsia"/>
        </w:rPr>
        <w:t>供货及安装期</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，按合同约定实施和完成本项目。 </w:t>
      </w:r>
    </w:p>
    <w:p>
      <w:pPr>
        <w:numPr>
          <w:ilvl w:val="0"/>
          <w:numId w:val="9"/>
        </w:numPr>
        <w:tabs>
          <w:tab w:val="left" w:pos="840"/>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我方承诺我公司完全满足《中华人民共和国政府采购法》第二十二条之各项规定，如果我们的投标文件被接受，我们将履行招标文件中规定的各项要求，按期、按质、按量完成中标项目。</w:t>
      </w:r>
    </w:p>
    <w:p>
      <w:pPr>
        <w:numPr>
          <w:ilvl w:val="0"/>
          <w:numId w:val="9"/>
        </w:numPr>
        <w:tabs>
          <w:tab w:val="left" w:pos="840"/>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我方承诺在投标有效期内不修改、撤销投标文件。</w:t>
      </w:r>
    </w:p>
    <w:p>
      <w:pPr>
        <w:numPr>
          <w:ilvl w:val="0"/>
          <w:numId w:val="9"/>
        </w:numPr>
        <w:tabs>
          <w:tab w:val="left" w:pos="840"/>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如我方中标： </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（1）我方承诺在收到中标通知书后，在中标通知书规定的期限内与你方签订合同。</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（2）随同本投标函递交的投标函附录属于合同文件的组成部分。 </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（3）我方承诺按照招标文件规定向你方递交履约保证金。 </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（4）我们将根据招标文件的规定，严格按照《合同法》履行自己的责任和义务,并保证于投标报价表中规定的时间交货使用，否则我们的履约保证金将被贵方没收。</w:t>
      </w:r>
    </w:p>
    <w:p>
      <w:pPr>
        <w:numPr>
          <w:ilvl w:val="0"/>
          <w:numId w:val="9"/>
        </w:numPr>
        <w:tabs>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我方在此声明，所递交的投标文件及有关资料内容完整、真实和准确。 </w:t>
      </w:r>
    </w:p>
    <w:p>
      <w:pPr>
        <w:spacing w:line="440" w:lineRule="exact"/>
        <w:ind w:left="105"/>
        <w:rPr>
          <w:rFonts w:asciiTheme="minorEastAsia" w:hAnsiTheme="minorEastAsia" w:eastAsiaTheme="minorEastAsia" w:cstheme="minorEastAsia"/>
          <w:szCs w:val="21"/>
        </w:rPr>
      </w:pPr>
    </w:p>
    <w:p>
      <w:pPr>
        <w:spacing w:line="440" w:lineRule="exact"/>
        <w:ind w:left="105"/>
        <w:rPr>
          <w:rFonts w:asciiTheme="minorEastAsia" w:hAnsiTheme="minorEastAsia" w:eastAsiaTheme="minorEastAsia" w:cstheme="minorEastAsia"/>
          <w:szCs w:val="21"/>
        </w:rPr>
      </w:pP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  标  人：（盖企业公章）</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法定代表人或其委托代理人：（</w:t>
      </w:r>
      <w:r>
        <w:rPr>
          <w:rFonts w:hint="eastAsia" w:asciiTheme="minorEastAsia" w:hAnsiTheme="minorEastAsia" w:eastAsiaTheme="minorEastAsia" w:cstheme="minorEastAsia"/>
          <w:kern w:val="0"/>
          <w:szCs w:val="21"/>
        </w:rPr>
        <w:t>签字或盖章）</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网址：</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传真：</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邮政编码：</w:t>
      </w:r>
    </w:p>
    <w:p>
      <w:pPr>
        <w:spacing w:line="440" w:lineRule="exact"/>
        <w:ind w:left="2625" w:leftChars="1250"/>
        <w:rPr>
          <w:rFonts w:asciiTheme="minorEastAsia" w:hAnsiTheme="minorEastAsia" w:eastAsiaTheme="minorEastAsia" w:cstheme="minorEastAsia"/>
          <w:sz w:val="24"/>
        </w:rPr>
      </w:pPr>
      <w:r>
        <w:rPr>
          <w:rFonts w:hint="eastAsia" w:asciiTheme="minorEastAsia" w:hAnsiTheme="minorEastAsia" w:eastAsiaTheme="minorEastAsia" w:cstheme="minorEastAsia"/>
          <w:szCs w:val="21"/>
        </w:rPr>
        <w:t>年月日</w:t>
      </w:r>
    </w:p>
    <w:p>
      <w:pPr>
        <w:spacing w:line="400" w:lineRule="exact"/>
        <w:ind w:left="2625" w:leftChars="1250"/>
        <w:rPr>
          <w:rFonts w:asciiTheme="minorEastAsia" w:hAnsiTheme="minorEastAsia" w:eastAsiaTheme="minorEastAsia" w:cstheme="minorEastAsia"/>
          <w:sz w:val="24"/>
        </w:rPr>
      </w:pPr>
    </w:p>
    <w:p>
      <w:pPr>
        <w:spacing w:line="400" w:lineRule="exact"/>
        <w:ind w:left="2625" w:leftChars="1250"/>
        <w:rPr>
          <w:rFonts w:asciiTheme="minorEastAsia" w:hAnsiTheme="minorEastAsia" w:eastAsiaTheme="minorEastAsia" w:cstheme="minorEastAsia"/>
          <w:sz w:val="24"/>
        </w:rPr>
      </w:pPr>
    </w:p>
    <w:p>
      <w:pPr>
        <w:spacing w:line="500" w:lineRule="exact"/>
        <w:jc w:val="center"/>
        <w:outlineLvl w:val="2"/>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bookmarkStart w:id="261" w:name="_Toc14778"/>
      <w:bookmarkStart w:id="262" w:name="_Toc208"/>
      <w:bookmarkStart w:id="263" w:name="_Toc9543"/>
      <w:r>
        <w:rPr>
          <w:rFonts w:hint="eastAsia" w:asciiTheme="minorEastAsia" w:hAnsiTheme="minorEastAsia" w:eastAsiaTheme="minorEastAsia" w:cstheme="minorEastAsia"/>
          <w:b/>
          <w:bCs/>
          <w:sz w:val="28"/>
          <w:szCs w:val="28"/>
        </w:rPr>
        <w:t>（二） 开标一览表</w:t>
      </w:r>
      <w:bookmarkEnd w:id="261"/>
      <w:bookmarkEnd w:id="262"/>
      <w:bookmarkEnd w:id="263"/>
    </w:p>
    <w:p>
      <w:pPr>
        <w:jc w:val="center"/>
        <w:rPr>
          <w:rFonts w:asciiTheme="minorEastAsia" w:hAnsiTheme="minorEastAsia" w:eastAsiaTheme="minorEastAsia" w:cstheme="minorEastAsia"/>
          <w:b/>
          <w:bCs/>
          <w:sz w:val="28"/>
        </w:rPr>
      </w:pPr>
    </w:p>
    <w:tbl>
      <w:tblPr>
        <w:tblStyle w:val="17"/>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5898" w:type="dxa"/>
            <w:vAlign w:val="center"/>
          </w:tcPr>
          <w:p>
            <w:pPr>
              <w:pStyle w:val="7"/>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p>
        </w:tc>
        <w:tc>
          <w:tcPr>
            <w:tcW w:w="5898" w:type="dxa"/>
            <w:vAlign w:val="center"/>
          </w:tcPr>
          <w:p>
            <w:pPr>
              <w:pStyle w:val="7"/>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投标总报价</w:t>
            </w:r>
          </w:p>
        </w:tc>
        <w:tc>
          <w:tcPr>
            <w:tcW w:w="5898" w:type="dxa"/>
            <w:vAlign w:val="center"/>
          </w:tcPr>
          <w:p>
            <w:pPr>
              <w:pStyle w:val="7"/>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（大写）                                </w:t>
            </w:r>
          </w:p>
          <w:p>
            <w:pPr>
              <w:pStyle w:val="7"/>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质量标准</w:t>
            </w:r>
          </w:p>
        </w:tc>
        <w:tc>
          <w:tcPr>
            <w:tcW w:w="5898" w:type="dxa"/>
            <w:vAlign w:val="center"/>
          </w:tcPr>
          <w:p>
            <w:pPr>
              <w:pStyle w:val="7"/>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iCs/>
                <w:sz w:val="24"/>
              </w:rPr>
              <w:t>供货及安装期</w:t>
            </w:r>
          </w:p>
        </w:tc>
        <w:tc>
          <w:tcPr>
            <w:tcW w:w="5898" w:type="dxa"/>
            <w:vAlign w:val="center"/>
          </w:tcPr>
          <w:p>
            <w:pPr>
              <w:pStyle w:val="7"/>
              <w:spacing w:line="400" w:lineRule="exact"/>
              <w:ind w:firstLine="480"/>
              <w:rPr>
                <w:rFonts w:asciiTheme="minorEastAsia" w:hAnsiTheme="minorEastAsia" w:eastAsiaTheme="minorEastAsia" w:cstheme="minorEastAsia"/>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sz w:val="24"/>
              </w:rPr>
            </w:pPr>
            <w:r>
              <w:rPr>
                <w:rFonts w:hint="eastAsia" w:asciiTheme="minorEastAsia" w:hAnsiTheme="minorEastAsia" w:eastAsiaTheme="minorEastAsia" w:cstheme="minorEastAsia"/>
                <w:bCs/>
                <w:iCs/>
                <w:sz w:val="24"/>
              </w:rPr>
              <w:t>投标有效期</w:t>
            </w:r>
          </w:p>
        </w:tc>
        <w:tc>
          <w:tcPr>
            <w:tcW w:w="5898" w:type="dxa"/>
            <w:vAlign w:val="center"/>
          </w:tcPr>
          <w:p>
            <w:pPr>
              <w:pStyle w:val="7"/>
              <w:spacing w:line="400" w:lineRule="exact"/>
              <w:ind w:firstLine="480"/>
              <w:rPr>
                <w:rFonts w:asciiTheme="minorEastAsia" w:hAnsiTheme="minorEastAsia" w:eastAsiaTheme="minorEastAsia" w:cstheme="minorEastAsia"/>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pPr>
              <w:pStyle w:val="7"/>
              <w:spacing w:line="400" w:lineRule="exact"/>
              <w:ind w:firstLine="480"/>
              <w:rPr>
                <w:rFonts w:asciiTheme="minorEastAsia" w:hAnsiTheme="minorEastAsia" w:eastAsiaTheme="minorEastAsia" w:cstheme="minorEastAsia"/>
                <w:bCs/>
                <w:iCs/>
                <w:sz w:val="24"/>
              </w:rPr>
            </w:pPr>
            <w:r>
              <w:rPr>
                <w:rFonts w:hint="eastAsia" w:asciiTheme="minorEastAsia" w:hAnsiTheme="minorEastAsia" w:eastAsiaTheme="minorEastAsia" w:cstheme="minorEastAsia"/>
                <w:sz w:val="24"/>
                <w:szCs w:val="20"/>
              </w:rPr>
              <w:t>备注：</w:t>
            </w:r>
          </w:p>
        </w:tc>
        <w:tc>
          <w:tcPr>
            <w:tcW w:w="5898" w:type="dxa"/>
            <w:vAlign w:val="center"/>
          </w:tcPr>
          <w:p>
            <w:pPr>
              <w:pStyle w:val="7"/>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08" w:type="dxa"/>
            <w:gridSpan w:val="2"/>
            <w:vAlign w:val="center"/>
          </w:tcPr>
          <w:p>
            <w:pPr>
              <w:pStyle w:val="7"/>
              <w:spacing w:line="400" w:lineRule="exact"/>
              <w:ind w:firstLine="480"/>
              <w:rPr>
                <w:rFonts w:asciiTheme="minorEastAsia" w:hAnsiTheme="minorEastAsia" w:eastAsiaTheme="minorEastAsia" w:cstheme="minorEastAsia"/>
                <w:sz w:val="24"/>
                <w:szCs w:val="20"/>
              </w:rPr>
            </w:pPr>
          </w:p>
        </w:tc>
      </w:tr>
    </w:tbl>
    <w:p>
      <w:pPr>
        <w:spacing w:line="360" w:lineRule="exact"/>
        <w:jc w:val="right"/>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供应商：（单位公章）</w:t>
      </w:r>
    </w:p>
    <w:p>
      <w:pPr>
        <w:ind w:left="1050" w:leftChars="500"/>
        <w:jc w:val="center"/>
        <w:rPr>
          <w:rFonts w:asciiTheme="minorEastAsia" w:hAnsiTheme="minorEastAsia" w:eastAsiaTheme="minorEastAsia" w:cstheme="minorEastAsia"/>
          <w:sz w:val="24"/>
        </w:rPr>
      </w:pP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法定代表人</w:t>
      </w:r>
      <w:r>
        <w:rPr>
          <w:rFonts w:hint="eastAsia" w:asciiTheme="minorEastAsia" w:hAnsiTheme="minorEastAsia" w:eastAsiaTheme="minorEastAsia" w:cstheme="minorEastAsia"/>
          <w:sz w:val="24"/>
          <w:szCs w:val="20"/>
        </w:rPr>
        <w:t>或其委托代理人</w:t>
      </w:r>
      <w:r>
        <w:rPr>
          <w:rFonts w:hint="eastAsia" w:asciiTheme="minorEastAsia" w:hAnsiTheme="minorEastAsia" w:eastAsiaTheme="minorEastAsia" w:cstheme="minorEastAsia"/>
          <w:sz w:val="24"/>
        </w:rPr>
        <w:t>：（签字或盖章）</w:t>
      </w:r>
    </w:p>
    <w:p>
      <w:pPr>
        <w:ind w:left="1050" w:leftChars="500"/>
        <w:jc w:val="center"/>
        <w:rPr>
          <w:rFonts w:asciiTheme="minorEastAsia" w:hAnsiTheme="minorEastAsia" w:eastAsiaTheme="minorEastAsia" w:cstheme="minorEastAsia"/>
          <w:sz w:val="24"/>
        </w:rPr>
      </w:pP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  期：     年   月   日</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2"/>
        <w:rPr>
          <w:rFonts w:asciiTheme="minorEastAsia" w:hAnsiTheme="minorEastAsia" w:eastAsiaTheme="minorEastAsia" w:cstheme="minorEastAsia"/>
          <w:sz w:val="24"/>
        </w:rPr>
      </w:pPr>
    </w:p>
    <w:p>
      <w:pPr>
        <w:pStyle w:val="14"/>
        <w:spacing w:before="120" w:after="120" w:line="500" w:lineRule="exact"/>
        <w:ind w:right="29" w:rightChars="14"/>
        <w:outlineLvl w:val="1"/>
        <w:rPr>
          <w:rFonts w:asciiTheme="minorEastAsia" w:hAnsiTheme="minorEastAsia" w:eastAsiaTheme="minorEastAsia" w:cstheme="minorEastAsia"/>
          <w:sz w:val="24"/>
        </w:rPr>
      </w:pPr>
    </w:p>
    <w:p>
      <w:pPr>
        <w:pStyle w:val="14"/>
        <w:spacing w:before="120" w:after="120" w:line="500" w:lineRule="exact"/>
        <w:ind w:right="29" w:rightChars="14"/>
        <w:outlineLvl w:val="1"/>
        <w:rPr>
          <w:rFonts w:asciiTheme="minorEastAsia" w:hAnsiTheme="minorEastAsia" w:eastAsiaTheme="minorEastAsia" w:cstheme="minorEastAsia"/>
          <w:sz w:val="24"/>
        </w:rPr>
        <w:sectPr>
          <w:footerReference r:id="rId11" w:type="default"/>
          <w:pgSz w:w="11907" w:h="16840"/>
          <w:pgMar w:top="1276" w:right="1116" w:bottom="1417" w:left="911" w:header="850" w:footer="998" w:gutter="0"/>
          <w:pgNumType w:fmt="numberInDash"/>
          <w:cols w:space="720" w:num="1"/>
          <w:docGrid w:type="lines" w:linePitch="380" w:charSpace="0"/>
        </w:sectPr>
      </w:pPr>
    </w:p>
    <w:p>
      <w:pPr>
        <w:spacing w:line="440" w:lineRule="exact"/>
        <w:ind w:firstLine="441" w:firstLineChars="147"/>
        <w:jc w:val="center"/>
        <w:rPr>
          <w:rFonts w:ascii="宋体" w:hAnsi="宋体" w:cs="宋体"/>
          <w:b w:val="0"/>
          <w:bCs/>
          <w:color w:val="auto"/>
          <w:sz w:val="30"/>
          <w:szCs w:val="30"/>
        </w:rPr>
      </w:pPr>
      <w:r>
        <w:rPr>
          <w:rFonts w:hint="eastAsia" w:ascii="宋体" w:hAnsi="宋体" w:cs="宋体"/>
          <w:b w:val="0"/>
          <w:bCs/>
          <w:color w:val="auto"/>
          <w:sz w:val="30"/>
          <w:szCs w:val="30"/>
        </w:rPr>
        <w:t>（三）报价明细表</w:t>
      </w:r>
    </w:p>
    <w:p>
      <w:pPr>
        <w:spacing w:line="440" w:lineRule="exact"/>
        <w:ind w:firstLine="308" w:firstLineChars="147"/>
        <w:rPr>
          <w:rFonts w:ascii="宋体" w:hAnsi="宋体" w:cs="宋体"/>
          <w:b w:val="0"/>
          <w:bCs/>
          <w:color w:val="auto"/>
          <w:szCs w:val="21"/>
        </w:rPr>
      </w:pPr>
    </w:p>
    <w:tbl>
      <w:tblPr>
        <w:tblStyle w:val="17"/>
        <w:tblW w:w="9917"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851"/>
        <w:gridCol w:w="849"/>
        <w:gridCol w:w="3057"/>
        <w:gridCol w:w="572"/>
        <w:gridCol w:w="572"/>
        <w:gridCol w:w="925"/>
        <w:gridCol w:w="1059"/>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1307" w:type="dxa"/>
            <w:vMerge w:val="restart"/>
            <w:tcBorders>
              <w:top w:val="single" w:color="auto" w:sz="4" w:space="0"/>
              <w:left w:val="single" w:color="auto" w:sz="4" w:space="0"/>
              <w:right w:val="single" w:color="auto" w:sz="4" w:space="0"/>
            </w:tcBorders>
            <w:noWrap w:val="0"/>
            <w:vAlign w:val="center"/>
          </w:tcPr>
          <w:p>
            <w:pPr>
              <w:pStyle w:val="13"/>
              <w:keepNext w:val="0"/>
              <w:keepLines w:val="0"/>
              <w:widowControl w:val="0"/>
              <w:suppressLineNumbers w:val="0"/>
              <w:adjustRightInd w:val="0"/>
              <w:spacing w:before="0" w:beforeAutospacing="0" w:after="0" w:afterAutospacing="0" w:line="480" w:lineRule="exact"/>
              <w:ind w:left="0" w:right="0"/>
              <w:jc w:val="center"/>
              <w:rPr>
                <w:rFonts w:hint="default"/>
                <w:b w:val="0"/>
                <w:bCs/>
                <w:color w:val="auto"/>
              </w:rPr>
            </w:pPr>
            <w:r>
              <w:rPr>
                <w:rFonts w:hint="eastAsia"/>
                <w:b w:val="0"/>
                <w:bCs/>
                <w:color w:val="auto"/>
              </w:rPr>
              <w:t>名称</w:t>
            </w:r>
          </w:p>
        </w:tc>
        <w:tc>
          <w:tcPr>
            <w:tcW w:w="4757" w:type="dxa"/>
            <w:gridSpan w:val="3"/>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widowControl w:val="0"/>
              <w:suppressLineNumbers w:val="0"/>
              <w:adjustRightInd w:val="0"/>
              <w:spacing w:before="0" w:beforeAutospacing="0" w:after="0" w:afterAutospacing="0" w:line="480" w:lineRule="exact"/>
              <w:ind w:left="0" w:right="0"/>
              <w:jc w:val="center"/>
              <w:rPr>
                <w:rFonts w:hint="eastAsia" w:eastAsia="宋体"/>
                <w:b w:val="0"/>
                <w:bCs/>
                <w:color w:val="auto"/>
                <w:lang w:val="en-US" w:eastAsia="zh-CN"/>
              </w:rPr>
            </w:pPr>
            <w:r>
              <w:rPr>
                <w:rFonts w:hint="eastAsia"/>
                <w:b w:val="0"/>
                <w:bCs/>
                <w:color w:val="auto"/>
                <w:lang w:val="en-US" w:eastAsia="zh-CN"/>
              </w:rPr>
              <w:t>所投设备</w:t>
            </w:r>
          </w:p>
        </w:tc>
        <w:tc>
          <w:tcPr>
            <w:tcW w:w="572" w:type="dxa"/>
            <w:vMerge w:val="restart"/>
            <w:tcBorders>
              <w:top w:val="single" w:color="auto" w:sz="4" w:space="0"/>
              <w:left w:val="single" w:color="auto" w:sz="4" w:space="0"/>
              <w:right w:val="single" w:color="auto" w:sz="4" w:space="0"/>
            </w:tcBorders>
            <w:noWrap w:val="0"/>
            <w:vAlign w:val="center"/>
          </w:tcPr>
          <w:p>
            <w:pPr>
              <w:pStyle w:val="13"/>
              <w:keepNext w:val="0"/>
              <w:keepLines w:val="0"/>
              <w:widowControl w:val="0"/>
              <w:suppressLineNumbers w:val="0"/>
              <w:adjustRightInd w:val="0"/>
              <w:spacing w:before="0" w:beforeAutospacing="0" w:after="0" w:afterAutospacing="0" w:line="480" w:lineRule="exact"/>
              <w:ind w:left="0" w:right="0"/>
              <w:jc w:val="center"/>
              <w:rPr>
                <w:rFonts w:hint="default"/>
                <w:b w:val="0"/>
                <w:bCs/>
                <w:color w:val="auto"/>
              </w:rPr>
            </w:pPr>
            <w:r>
              <w:rPr>
                <w:rFonts w:hint="eastAsia"/>
                <w:b w:val="0"/>
                <w:bCs/>
                <w:color w:val="auto"/>
              </w:rPr>
              <w:t>单位</w:t>
            </w:r>
          </w:p>
        </w:tc>
        <w:tc>
          <w:tcPr>
            <w:tcW w:w="572" w:type="dxa"/>
            <w:vMerge w:val="restart"/>
            <w:tcBorders>
              <w:top w:val="single" w:color="auto" w:sz="4" w:space="0"/>
              <w:left w:val="single" w:color="auto" w:sz="4" w:space="0"/>
              <w:right w:val="single" w:color="auto" w:sz="4" w:space="0"/>
            </w:tcBorders>
            <w:noWrap w:val="0"/>
            <w:vAlign w:val="center"/>
          </w:tcPr>
          <w:p>
            <w:pPr>
              <w:pStyle w:val="13"/>
              <w:keepNext w:val="0"/>
              <w:keepLines w:val="0"/>
              <w:widowControl w:val="0"/>
              <w:suppressLineNumbers w:val="0"/>
              <w:adjustRightInd w:val="0"/>
              <w:spacing w:before="0" w:beforeAutospacing="0" w:after="0" w:afterAutospacing="0" w:line="480" w:lineRule="exact"/>
              <w:ind w:left="0" w:right="0"/>
              <w:jc w:val="center"/>
              <w:rPr>
                <w:rFonts w:hint="default"/>
                <w:b w:val="0"/>
                <w:bCs/>
                <w:color w:val="auto"/>
              </w:rPr>
            </w:pPr>
            <w:r>
              <w:rPr>
                <w:rFonts w:hint="eastAsia"/>
                <w:b w:val="0"/>
                <w:bCs/>
                <w:color w:val="auto"/>
              </w:rPr>
              <w:t>数量</w:t>
            </w:r>
          </w:p>
        </w:tc>
        <w:tc>
          <w:tcPr>
            <w:tcW w:w="925" w:type="dxa"/>
            <w:vMerge w:val="restart"/>
            <w:tcBorders>
              <w:top w:val="single" w:color="auto" w:sz="4" w:space="0"/>
              <w:left w:val="single" w:color="auto" w:sz="4" w:space="0"/>
              <w:right w:val="single" w:color="auto" w:sz="4" w:space="0"/>
            </w:tcBorders>
            <w:noWrap w:val="0"/>
            <w:vAlign w:val="center"/>
          </w:tcPr>
          <w:p>
            <w:pPr>
              <w:pStyle w:val="13"/>
              <w:keepNext w:val="0"/>
              <w:keepLines w:val="0"/>
              <w:widowControl w:val="0"/>
              <w:suppressLineNumbers w:val="0"/>
              <w:adjustRightInd w:val="0"/>
              <w:spacing w:before="0" w:beforeAutospacing="0" w:after="0" w:afterAutospacing="0" w:line="480" w:lineRule="exact"/>
              <w:ind w:left="0" w:right="0" w:firstLine="235" w:firstLineChars="98"/>
              <w:jc w:val="center"/>
              <w:rPr>
                <w:rFonts w:hint="default"/>
                <w:b w:val="0"/>
                <w:bCs/>
                <w:color w:val="auto"/>
              </w:rPr>
            </w:pPr>
          </w:p>
          <w:p>
            <w:pPr>
              <w:pStyle w:val="13"/>
              <w:keepNext w:val="0"/>
              <w:keepLines w:val="0"/>
              <w:widowControl w:val="0"/>
              <w:suppressLineNumbers w:val="0"/>
              <w:adjustRightInd w:val="0"/>
              <w:spacing w:before="0" w:beforeAutospacing="0" w:after="0" w:afterAutospacing="0" w:line="480" w:lineRule="exact"/>
              <w:ind w:left="0" w:right="0"/>
              <w:jc w:val="center"/>
              <w:rPr>
                <w:rFonts w:hint="default"/>
                <w:b w:val="0"/>
                <w:bCs/>
                <w:color w:val="auto"/>
              </w:rPr>
            </w:pPr>
            <w:r>
              <w:rPr>
                <w:rFonts w:hint="eastAsia"/>
                <w:b w:val="0"/>
                <w:bCs/>
                <w:color w:val="auto"/>
              </w:rPr>
              <w:t>单价（元）</w:t>
            </w:r>
          </w:p>
          <w:p>
            <w:pPr>
              <w:pStyle w:val="13"/>
              <w:keepNext w:val="0"/>
              <w:keepLines w:val="0"/>
              <w:widowControl w:val="0"/>
              <w:suppressLineNumbers w:val="0"/>
              <w:adjustRightInd w:val="0"/>
              <w:spacing w:before="0" w:beforeAutospacing="0" w:after="0" w:afterAutospacing="0" w:line="480" w:lineRule="exact"/>
              <w:ind w:left="0" w:right="0" w:firstLine="235" w:firstLineChars="98"/>
              <w:jc w:val="center"/>
              <w:rPr>
                <w:rFonts w:hint="default"/>
                <w:b w:val="0"/>
                <w:bCs/>
                <w:color w:val="auto"/>
              </w:rPr>
            </w:pPr>
          </w:p>
        </w:tc>
        <w:tc>
          <w:tcPr>
            <w:tcW w:w="1059" w:type="dxa"/>
            <w:vMerge w:val="restart"/>
            <w:tcBorders>
              <w:top w:val="single" w:color="auto" w:sz="4" w:space="0"/>
              <w:left w:val="single" w:color="auto" w:sz="4" w:space="0"/>
              <w:right w:val="single" w:color="auto" w:sz="4" w:space="0"/>
            </w:tcBorders>
            <w:noWrap w:val="0"/>
            <w:vAlign w:val="center"/>
          </w:tcPr>
          <w:p>
            <w:pPr>
              <w:pStyle w:val="13"/>
              <w:keepNext w:val="0"/>
              <w:keepLines w:val="0"/>
              <w:widowControl w:val="0"/>
              <w:suppressLineNumbers w:val="0"/>
              <w:adjustRightInd w:val="0"/>
              <w:spacing w:before="0" w:beforeAutospacing="0" w:after="0" w:afterAutospacing="0" w:line="480" w:lineRule="exact"/>
              <w:ind w:left="0" w:right="0"/>
              <w:jc w:val="center"/>
              <w:rPr>
                <w:rFonts w:hint="default"/>
                <w:b w:val="0"/>
                <w:bCs/>
                <w:color w:val="auto"/>
              </w:rPr>
            </w:pPr>
            <w:r>
              <w:rPr>
                <w:rFonts w:hint="eastAsia"/>
                <w:b w:val="0"/>
                <w:bCs/>
                <w:color w:val="auto"/>
              </w:rPr>
              <w:t>合价（元）</w:t>
            </w:r>
          </w:p>
        </w:tc>
        <w:tc>
          <w:tcPr>
            <w:tcW w:w="725" w:type="dxa"/>
            <w:vMerge w:val="restart"/>
            <w:tcBorders>
              <w:top w:val="single" w:color="auto" w:sz="4" w:space="0"/>
              <w:left w:val="single" w:color="auto" w:sz="4" w:space="0"/>
              <w:right w:val="single" w:color="auto" w:sz="4" w:space="0"/>
            </w:tcBorders>
            <w:noWrap w:val="0"/>
            <w:vAlign w:val="top"/>
          </w:tcPr>
          <w:p>
            <w:pPr>
              <w:pStyle w:val="13"/>
              <w:keepNext w:val="0"/>
              <w:keepLines w:val="0"/>
              <w:widowControl w:val="0"/>
              <w:suppressLineNumbers w:val="0"/>
              <w:adjustRightInd w:val="0"/>
              <w:spacing w:before="0" w:beforeAutospacing="0" w:after="0" w:afterAutospacing="0" w:line="480" w:lineRule="exact"/>
              <w:ind w:left="105" w:leftChars="50" w:right="0" w:firstLine="115" w:firstLineChars="48"/>
              <w:jc w:val="center"/>
              <w:rPr>
                <w:rFonts w:hint="default"/>
                <w:b w:val="0"/>
                <w:bCs/>
                <w:color w:val="auto"/>
              </w:rPr>
            </w:pPr>
          </w:p>
          <w:p>
            <w:pPr>
              <w:pStyle w:val="13"/>
              <w:keepNext w:val="0"/>
              <w:keepLines w:val="0"/>
              <w:widowControl w:val="0"/>
              <w:suppressLineNumbers w:val="0"/>
              <w:adjustRightInd w:val="0"/>
              <w:spacing w:before="0" w:beforeAutospacing="0" w:after="0" w:afterAutospacing="0" w:line="480" w:lineRule="exact"/>
              <w:ind w:left="105" w:leftChars="50" w:right="0" w:firstLine="115" w:firstLineChars="48"/>
              <w:jc w:val="center"/>
              <w:rPr>
                <w:rFonts w:hint="default"/>
                <w:b w:val="0"/>
                <w:bCs/>
                <w:color w:val="auto"/>
              </w:rPr>
            </w:pPr>
            <w:r>
              <w:rPr>
                <w:rFonts w:hint="eastAsia"/>
                <w:b w:val="0"/>
                <w:bCs/>
                <w:color w:val="auto"/>
              </w:rPr>
              <w:t>备注</w:t>
            </w:r>
            <w:r>
              <w:rPr>
                <w:rFonts w:hint="eastAsia"/>
                <w:b w:val="0"/>
                <w:bCs/>
                <w:color w:val="auto"/>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1307" w:type="dxa"/>
            <w:vMerge w:val="continue"/>
            <w:tcBorders>
              <w:left w:val="single" w:color="auto" w:sz="4" w:space="0"/>
              <w:bottom w:val="single" w:color="auto" w:sz="4" w:space="0"/>
              <w:right w:val="single" w:color="auto" w:sz="4" w:space="0"/>
            </w:tcBorders>
            <w:noWrap w:val="0"/>
            <w:vAlign w:val="center"/>
          </w:tcPr>
          <w:p>
            <w:pPr>
              <w:pStyle w:val="13"/>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r>
              <w:rPr>
                <w:rFonts w:hint="eastAsia"/>
                <w:b w:val="0"/>
                <w:bCs/>
                <w:color w:val="auto"/>
              </w:rPr>
              <w:t>品牌</w:t>
            </w:r>
          </w:p>
        </w:tc>
        <w:tc>
          <w:tcPr>
            <w:tcW w:w="849"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r>
              <w:rPr>
                <w:rFonts w:hint="eastAsia"/>
                <w:b w:val="0"/>
                <w:bCs/>
                <w:color w:val="auto"/>
              </w:rPr>
              <w:t>型号</w:t>
            </w:r>
          </w:p>
        </w:tc>
        <w:tc>
          <w:tcPr>
            <w:tcW w:w="3057"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r>
              <w:rPr>
                <w:rFonts w:hint="eastAsia"/>
                <w:b w:val="0"/>
                <w:bCs/>
                <w:color w:val="auto"/>
              </w:rPr>
              <w:t>技术参数</w:t>
            </w:r>
          </w:p>
        </w:tc>
        <w:tc>
          <w:tcPr>
            <w:tcW w:w="572" w:type="dxa"/>
            <w:vMerge w:val="continue"/>
            <w:tcBorders>
              <w:left w:val="single" w:color="auto" w:sz="4" w:space="0"/>
              <w:bottom w:val="single" w:color="auto" w:sz="4" w:space="0"/>
              <w:right w:val="single" w:color="auto" w:sz="4" w:space="0"/>
            </w:tcBorders>
            <w:noWrap w:val="0"/>
            <w:vAlign w:val="center"/>
          </w:tcPr>
          <w:p>
            <w:pPr>
              <w:pStyle w:val="13"/>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p>
        </w:tc>
        <w:tc>
          <w:tcPr>
            <w:tcW w:w="572" w:type="dxa"/>
            <w:vMerge w:val="continue"/>
            <w:tcBorders>
              <w:left w:val="single" w:color="auto" w:sz="4" w:space="0"/>
              <w:bottom w:val="single" w:color="auto" w:sz="4" w:space="0"/>
              <w:right w:val="single" w:color="auto" w:sz="4" w:space="0"/>
            </w:tcBorders>
            <w:noWrap w:val="0"/>
            <w:vAlign w:val="center"/>
          </w:tcPr>
          <w:p>
            <w:pPr>
              <w:pStyle w:val="13"/>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p>
        </w:tc>
        <w:tc>
          <w:tcPr>
            <w:tcW w:w="925" w:type="dxa"/>
            <w:vMerge w:val="continue"/>
            <w:tcBorders>
              <w:left w:val="single" w:color="auto" w:sz="4" w:space="0"/>
              <w:bottom w:val="single" w:color="auto" w:sz="4" w:space="0"/>
              <w:right w:val="single" w:color="auto" w:sz="4" w:space="0"/>
            </w:tcBorders>
            <w:noWrap w:val="0"/>
            <w:vAlign w:val="center"/>
          </w:tcPr>
          <w:p>
            <w:pPr>
              <w:pStyle w:val="13"/>
              <w:keepNext w:val="0"/>
              <w:keepLines w:val="0"/>
              <w:widowControl w:val="0"/>
              <w:suppressLineNumbers w:val="0"/>
              <w:adjustRightInd w:val="0"/>
              <w:spacing w:before="0" w:beforeAutospacing="0" w:after="0" w:afterAutospacing="0" w:line="480" w:lineRule="exact"/>
              <w:ind w:left="0" w:right="0" w:firstLine="235" w:firstLineChars="98"/>
              <w:jc w:val="center"/>
              <w:rPr>
                <w:rFonts w:hint="default"/>
                <w:b w:val="0"/>
                <w:bCs/>
                <w:color w:val="auto"/>
              </w:rPr>
            </w:pPr>
          </w:p>
        </w:tc>
        <w:tc>
          <w:tcPr>
            <w:tcW w:w="1059" w:type="dxa"/>
            <w:vMerge w:val="continue"/>
            <w:tcBorders>
              <w:left w:val="single" w:color="auto" w:sz="4" w:space="0"/>
              <w:bottom w:val="single" w:color="auto" w:sz="4" w:space="0"/>
              <w:right w:val="single" w:color="auto" w:sz="4" w:space="0"/>
            </w:tcBorders>
            <w:noWrap w:val="0"/>
            <w:vAlign w:val="center"/>
          </w:tcPr>
          <w:p>
            <w:pPr>
              <w:pStyle w:val="13"/>
              <w:keepNext w:val="0"/>
              <w:keepLines w:val="0"/>
              <w:widowControl w:val="0"/>
              <w:suppressLineNumbers w:val="0"/>
              <w:adjustRightInd w:val="0"/>
              <w:spacing w:before="0" w:beforeAutospacing="0" w:after="0" w:afterAutospacing="0" w:line="480" w:lineRule="exact"/>
              <w:ind w:left="0" w:right="0"/>
              <w:jc w:val="center"/>
              <w:rPr>
                <w:rFonts w:hint="eastAsia"/>
                <w:b w:val="0"/>
                <w:bCs/>
                <w:color w:val="auto"/>
              </w:rPr>
            </w:pPr>
          </w:p>
        </w:tc>
        <w:tc>
          <w:tcPr>
            <w:tcW w:w="725" w:type="dxa"/>
            <w:vMerge w:val="continue"/>
            <w:tcBorders>
              <w:left w:val="single" w:color="auto" w:sz="4" w:space="0"/>
              <w:bottom w:val="single" w:color="auto" w:sz="4" w:space="0"/>
              <w:right w:val="single" w:color="auto" w:sz="4" w:space="0"/>
            </w:tcBorders>
            <w:noWrap w:val="0"/>
            <w:vAlign w:val="top"/>
          </w:tcPr>
          <w:p>
            <w:pPr>
              <w:pStyle w:val="13"/>
              <w:keepNext w:val="0"/>
              <w:keepLines w:val="0"/>
              <w:widowControl w:val="0"/>
              <w:suppressLineNumbers w:val="0"/>
              <w:adjustRightInd w:val="0"/>
              <w:spacing w:before="0" w:beforeAutospacing="0" w:after="0" w:afterAutospacing="0" w:line="480" w:lineRule="exact"/>
              <w:ind w:left="105" w:leftChars="50" w:right="0" w:firstLine="115" w:firstLineChars="48"/>
              <w:jc w:val="center"/>
              <w:rPr>
                <w:rFonts w:hint="eastAsia"/>
                <w:b w:val="0"/>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130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305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57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57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2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05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305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57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57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2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05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305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57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57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2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05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305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57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57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2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05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305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57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57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2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05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130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305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57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57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92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105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c>
          <w:tcPr>
            <w:tcW w:w="72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jc w:val="center"/>
              <w:rPr>
                <w:rFonts w:hint="default" w:ascii="宋体" w:hAnsi="宋体" w:cs="宋体"/>
                <w:b w:val="0"/>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130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rPr>
                <w:rFonts w:hint="default" w:ascii="宋体" w:hAnsi="宋体" w:cs="宋体"/>
                <w:b w:val="0"/>
                <w:bCs/>
                <w:color w:val="auto"/>
                <w:sz w:val="24"/>
              </w:rPr>
            </w:pPr>
            <w:r>
              <w:rPr>
                <w:rFonts w:hint="eastAsia" w:ascii="宋体" w:hAnsi="宋体" w:cs="宋体"/>
                <w:b w:val="0"/>
                <w:bCs/>
                <w:color w:val="auto"/>
                <w:sz w:val="24"/>
              </w:rPr>
              <w:t>合计（元）</w:t>
            </w:r>
          </w:p>
        </w:tc>
        <w:tc>
          <w:tcPr>
            <w:tcW w:w="8610"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rPr>
                <w:rFonts w:hint="default" w:ascii="宋体" w:hAnsi="宋体" w:cs="宋体"/>
                <w:b w:val="0"/>
                <w:bCs/>
                <w:color w:val="auto"/>
                <w:sz w:val="24"/>
              </w:rPr>
            </w:pPr>
            <w:r>
              <w:rPr>
                <w:rFonts w:hint="eastAsia" w:ascii="宋体" w:hAnsi="宋体" w:cs="宋体"/>
                <w:b w:val="0"/>
                <w:bCs/>
                <w:color w:val="auto"/>
                <w:sz w:val="24"/>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2" w:hRule="atLeast"/>
        </w:trPr>
        <w:tc>
          <w:tcPr>
            <w:tcW w:w="9917"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exact"/>
              <w:ind w:left="0" w:right="0"/>
              <w:rPr>
                <w:rFonts w:hint="default" w:ascii="宋体" w:hAnsi="宋体" w:eastAsia="宋体" w:cs="宋体"/>
                <w:b w:val="0"/>
                <w:bCs/>
                <w:color w:val="auto"/>
                <w:sz w:val="24"/>
                <w:lang w:val="en-US" w:eastAsia="zh-CN"/>
              </w:rPr>
            </w:pPr>
            <w:r>
              <w:rPr>
                <w:rFonts w:hint="eastAsia" w:ascii="宋体" w:hAnsi="宋体" w:cs="宋体"/>
                <w:b/>
                <w:bCs w:val="0"/>
                <w:color w:val="auto"/>
                <w:sz w:val="24"/>
                <w:lang w:val="en-US" w:eastAsia="zh-CN"/>
              </w:rPr>
              <w:t>重要提示：本表的每一页须加盖企业印章。最后价格汇总页，须加盖企业印章并法人代表</w:t>
            </w:r>
            <w:r>
              <w:rPr>
                <w:rFonts w:hint="eastAsia" w:ascii="宋体" w:hAnsi="宋体" w:eastAsia="宋体" w:cs="宋体"/>
                <w:b/>
                <w:bCs w:val="0"/>
                <w:color w:val="auto"/>
                <w:sz w:val="24"/>
                <w:szCs w:val="20"/>
              </w:rPr>
              <w:t>或其委托代理人</w:t>
            </w:r>
            <w:r>
              <w:rPr>
                <w:rFonts w:hint="eastAsia" w:ascii="宋体" w:hAnsi="宋体" w:eastAsia="宋体" w:cs="宋体"/>
                <w:b/>
                <w:bCs w:val="0"/>
                <w:color w:val="auto"/>
                <w:sz w:val="24"/>
              </w:rPr>
              <w:t>签字或盖章</w:t>
            </w:r>
            <w:r>
              <w:rPr>
                <w:rFonts w:hint="eastAsia" w:ascii="宋体" w:hAnsi="宋体" w:cs="宋体"/>
                <w:b/>
                <w:bCs w:val="0"/>
                <w:color w:val="auto"/>
                <w:sz w:val="24"/>
                <w:lang w:eastAsia="zh-CN"/>
              </w:rPr>
              <w:t>（</w:t>
            </w:r>
            <w:r>
              <w:rPr>
                <w:rFonts w:hint="eastAsia" w:ascii="宋体" w:hAnsi="宋体" w:cs="宋体"/>
                <w:b/>
                <w:bCs w:val="0"/>
                <w:color w:val="auto"/>
                <w:sz w:val="24"/>
                <w:lang w:val="en-US" w:eastAsia="zh-CN"/>
              </w:rPr>
              <w:t>否则按无效投标处理</w:t>
            </w:r>
            <w:r>
              <w:rPr>
                <w:rFonts w:hint="eastAsia" w:ascii="宋体" w:hAnsi="宋体" w:cs="宋体"/>
                <w:b/>
                <w:bCs w:val="0"/>
                <w:color w:val="auto"/>
                <w:sz w:val="24"/>
                <w:lang w:eastAsia="zh-CN"/>
              </w:rPr>
              <w:t>）；</w:t>
            </w:r>
            <w:r>
              <w:rPr>
                <w:rFonts w:hint="eastAsia" w:ascii="宋体" w:hAnsi="宋体" w:cs="宋体"/>
                <w:b/>
                <w:bCs w:val="0"/>
                <w:color w:val="auto"/>
                <w:sz w:val="24"/>
                <w:lang w:val="en-US" w:eastAsia="zh-CN"/>
              </w:rPr>
              <w:t>2、涉及有国家标准的产品，须填写名称、品牌、型号及技术参数、报价等本表内容（若品牌、型号等填写的与实际不符，按照无效标处理）</w:t>
            </w:r>
          </w:p>
        </w:tc>
      </w:tr>
    </w:tbl>
    <w:p>
      <w:pPr>
        <w:spacing w:line="480" w:lineRule="exact"/>
        <w:jc w:val="right"/>
        <w:rPr>
          <w:rFonts w:hint="eastAsia" w:ascii="宋体" w:hAnsi="宋体" w:cs="宋体"/>
          <w:b w:val="0"/>
          <w:bCs/>
          <w:color w:val="auto"/>
          <w:sz w:val="24"/>
          <w:lang w:val="en-US" w:eastAsia="zh-CN"/>
        </w:rPr>
      </w:pPr>
      <w:r>
        <w:rPr>
          <w:rFonts w:hint="eastAsia" w:ascii="宋体" w:hAnsi="宋体" w:cs="宋体"/>
          <w:b w:val="0"/>
          <w:bCs/>
          <w:color w:val="auto"/>
          <w:sz w:val="24"/>
        </w:rPr>
        <w:t xml:space="preserve"> </w:t>
      </w:r>
      <w:r>
        <w:rPr>
          <w:rFonts w:hint="eastAsia" w:ascii="宋体" w:hAnsi="宋体" w:eastAsia="宋体" w:cs="宋体"/>
          <w:b w:val="0"/>
          <w:bCs/>
          <w:color w:val="auto"/>
          <w:sz w:val="24"/>
        </w:rPr>
        <w:t>供应商：（单位公章）</w:t>
      </w:r>
      <w:r>
        <w:rPr>
          <w:rFonts w:hint="eastAsia" w:ascii="宋体" w:hAnsi="宋体" w:cs="宋体"/>
          <w:b w:val="0"/>
          <w:bCs/>
          <w:color w:val="auto"/>
          <w:sz w:val="24"/>
          <w:lang w:val="en-US" w:eastAsia="zh-CN"/>
        </w:rPr>
        <w:t xml:space="preserve">                                   </w:t>
      </w:r>
    </w:p>
    <w:p>
      <w:pPr>
        <w:spacing w:line="480" w:lineRule="exact"/>
        <w:jc w:val="right"/>
        <w:rPr>
          <w:rFonts w:ascii="宋体" w:hAnsi="宋体" w:eastAsia="宋体" w:cs="宋体"/>
          <w:b w:val="0"/>
          <w:bCs/>
          <w:color w:val="auto"/>
          <w:sz w:val="24"/>
        </w:rPr>
      </w:pPr>
      <w:r>
        <w:rPr>
          <w:rFonts w:hint="eastAsia" w:ascii="宋体" w:hAnsi="宋体" w:eastAsia="宋体" w:cs="宋体"/>
          <w:b w:val="0"/>
          <w:bCs/>
          <w:color w:val="auto"/>
          <w:sz w:val="24"/>
        </w:rPr>
        <w:t xml:space="preserve">     法定代表人</w:t>
      </w:r>
      <w:r>
        <w:rPr>
          <w:rFonts w:hint="eastAsia" w:ascii="宋体" w:hAnsi="宋体" w:eastAsia="宋体" w:cs="宋体"/>
          <w:b w:val="0"/>
          <w:bCs/>
          <w:color w:val="auto"/>
          <w:sz w:val="24"/>
          <w:szCs w:val="20"/>
        </w:rPr>
        <w:t>或其委托代理人</w:t>
      </w:r>
      <w:r>
        <w:rPr>
          <w:rFonts w:hint="eastAsia" w:ascii="宋体" w:hAnsi="宋体" w:eastAsia="宋体" w:cs="宋体"/>
          <w:b w:val="0"/>
          <w:bCs/>
          <w:color w:val="auto"/>
          <w:sz w:val="24"/>
        </w:rPr>
        <w:t>：（签字或盖章）</w:t>
      </w:r>
    </w:p>
    <w:p>
      <w:pPr>
        <w:ind w:left="1050" w:leftChars="500"/>
        <w:jc w:val="right"/>
        <w:rPr>
          <w:rFonts w:ascii="宋体" w:hAnsi="宋体" w:eastAsia="宋体" w:cs="宋体"/>
          <w:b w:val="0"/>
          <w:bCs/>
          <w:color w:val="auto"/>
          <w:sz w:val="24"/>
        </w:rPr>
      </w:pPr>
      <w:r>
        <w:rPr>
          <w:rFonts w:hint="eastAsia" w:ascii="宋体" w:hAnsi="宋体" w:eastAsia="宋体" w:cs="宋体"/>
          <w:b w:val="0"/>
          <w:bCs/>
          <w:color w:val="auto"/>
          <w:sz w:val="24"/>
        </w:rPr>
        <w:t xml:space="preserve">                日  期：     年   月   日</w:t>
      </w:r>
    </w:p>
    <w:p>
      <w:pPr>
        <w:autoSpaceDE w:val="0"/>
        <w:autoSpaceDN w:val="0"/>
        <w:adjustRightInd w:val="0"/>
        <w:spacing w:line="440" w:lineRule="exact"/>
        <w:jc w:val="right"/>
        <w:rPr>
          <w:rFonts w:hint="eastAsia" w:ascii="宋体" w:hAnsi="宋体" w:cs="宋体"/>
          <w:b/>
          <w:sz w:val="30"/>
          <w:szCs w:val="30"/>
          <w:lang w:eastAsia="zh-CN"/>
        </w:rPr>
      </w:pPr>
    </w:p>
    <w:p>
      <w:pPr>
        <w:autoSpaceDE w:val="0"/>
        <w:autoSpaceDN w:val="0"/>
        <w:adjustRightInd w:val="0"/>
        <w:spacing w:line="440" w:lineRule="exact"/>
        <w:jc w:val="center"/>
        <w:rPr>
          <w:rFonts w:hint="eastAsia" w:ascii="宋体" w:hAnsi="宋体" w:cs="宋体"/>
          <w:b/>
          <w:sz w:val="30"/>
          <w:szCs w:val="30"/>
          <w:lang w:eastAsia="zh-CN"/>
        </w:rPr>
      </w:pPr>
    </w:p>
    <w:p>
      <w:pPr>
        <w:autoSpaceDE w:val="0"/>
        <w:autoSpaceDN w:val="0"/>
        <w:adjustRightInd w:val="0"/>
        <w:spacing w:line="440" w:lineRule="exact"/>
        <w:jc w:val="center"/>
        <w:rPr>
          <w:rFonts w:hint="eastAsia" w:ascii="宋体" w:hAnsi="宋体" w:cs="宋体"/>
          <w:b/>
          <w:sz w:val="30"/>
          <w:szCs w:val="30"/>
          <w:lang w:eastAsia="zh-CN"/>
        </w:rPr>
      </w:pPr>
    </w:p>
    <w:p>
      <w:pPr>
        <w:autoSpaceDE w:val="0"/>
        <w:autoSpaceDN w:val="0"/>
        <w:adjustRightInd w:val="0"/>
        <w:spacing w:line="440" w:lineRule="exact"/>
        <w:jc w:val="center"/>
        <w:rPr>
          <w:rFonts w:hint="eastAsia" w:ascii="宋体" w:hAnsi="宋体" w:cs="宋体"/>
          <w:b/>
          <w:sz w:val="30"/>
          <w:szCs w:val="30"/>
          <w:lang w:eastAsia="zh-CN"/>
        </w:rPr>
      </w:pPr>
    </w:p>
    <w:p>
      <w:pPr>
        <w:autoSpaceDE w:val="0"/>
        <w:autoSpaceDN w:val="0"/>
        <w:adjustRightInd w:val="0"/>
        <w:spacing w:line="440" w:lineRule="exact"/>
        <w:jc w:val="center"/>
        <w:rPr>
          <w:rFonts w:ascii="宋体" w:hAnsi="宋体" w:cs="宋体"/>
          <w:b/>
          <w:sz w:val="30"/>
          <w:szCs w:val="30"/>
        </w:rPr>
      </w:pPr>
      <w:r>
        <w:rPr>
          <w:rFonts w:hint="eastAsia" w:ascii="宋体" w:hAnsi="宋体" w:cs="宋体"/>
          <w:b/>
          <w:sz w:val="30"/>
          <w:szCs w:val="30"/>
          <w:lang w:eastAsia="zh-CN"/>
        </w:rPr>
        <w:t>（</w:t>
      </w:r>
      <w:r>
        <w:rPr>
          <w:rFonts w:hint="eastAsia" w:ascii="宋体" w:hAnsi="宋体" w:cs="宋体"/>
          <w:b/>
          <w:sz w:val="30"/>
          <w:szCs w:val="30"/>
          <w:lang w:val="en-US" w:eastAsia="zh-CN"/>
        </w:rPr>
        <w:t>四</w:t>
      </w:r>
      <w:r>
        <w:rPr>
          <w:rFonts w:hint="eastAsia" w:ascii="宋体" w:hAnsi="宋体" w:cs="宋体"/>
          <w:b/>
          <w:sz w:val="30"/>
          <w:szCs w:val="30"/>
          <w:lang w:eastAsia="zh-CN"/>
        </w:rPr>
        <w:t>）</w:t>
      </w:r>
      <w:r>
        <w:rPr>
          <w:rFonts w:hint="eastAsia" w:ascii="宋体" w:hAnsi="宋体" w:cs="宋体"/>
          <w:b/>
          <w:sz w:val="30"/>
          <w:szCs w:val="30"/>
        </w:rPr>
        <w:t>技术偏离表</w:t>
      </w:r>
    </w:p>
    <w:p>
      <w:pPr>
        <w:spacing w:line="440" w:lineRule="exact"/>
        <w:rPr>
          <w:rFonts w:ascii="宋体" w:hAnsi="宋体" w:cs="宋体"/>
          <w:sz w:val="32"/>
        </w:rPr>
      </w:pPr>
    </w:p>
    <w:tbl>
      <w:tblPr>
        <w:tblStyle w:val="17"/>
        <w:tblW w:w="100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2005"/>
        <w:gridCol w:w="2137"/>
        <w:gridCol w:w="2270"/>
        <w:gridCol w:w="27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6" w:hRule="atLeast"/>
          <w:jc w:val="center"/>
        </w:trPr>
        <w:tc>
          <w:tcPr>
            <w:tcW w:w="907" w:type="dxa"/>
            <w:tcBorders>
              <w:top w:val="single" w:color="auto" w:sz="12"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141" w:right="0"/>
              <w:jc w:val="center"/>
              <w:rPr>
                <w:rFonts w:hint="default" w:ascii="宋体" w:hAnsi="宋体" w:cs="宋体"/>
                <w:b/>
                <w:sz w:val="24"/>
              </w:rPr>
            </w:pPr>
            <w:r>
              <w:rPr>
                <w:rFonts w:hint="eastAsia" w:ascii="宋体" w:hAnsi="宋体" w:cs="宋体"/>
                <w:b/>
                <w:sz w:val="24"/>
              </w:rPr>
              <w:t>序号</w:t>
            </w:r>
          </w:p>
        </w:tc>
        <w:tc>
          <w:tcPr>
            <w:tcW w:w="2005"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货物名称</w:t>
            </w:r>
          </w:p>
        </w:tc>
        <w:tc>
          <w:tcPr>
            <w:tcW w:w="2137"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招标技术要求</w:t>
            </w:r>
          </w:p>
        </w:tc>
        <w:tc>
          <w:tcPr>
            <w:tcW w:w="2270"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投标货物实际技术规格</w:t>
            </w:r>
          </w:p>
        </w:tc>
        <w:tc>
          <w:tcPr>
            <w:tcW w:w="2718" w:type="dxa"/>
            <w:tcBorders>
              <w:top w:val="single" w:color="auto" w:sz="12" w:space="0"/>
              <w:left w:val="single" w:color="auto" w:sz="6" w:space="0"/>
              <w:bottom w:val="single" w:color="auto" w:sz="6" w:space="0"/>
              <w:right w:val="single" w:color="auto" w:sz="12" w:space="0"/>
            </w:tcBorders>
            <w:noWrap w:val="0"/>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偏离说明</w:t>
            </w:r>
          </w:p>
          <w:p>
            <w:pPr>
              <w:keepNext w:val="0"/>
              <w:keepLines w:val="0"/>
              <w:widowControl/>
              <w:suppressLineNumbers w:val="0"/>
              <w:spacing w:before="0" w:beforeAutospacing="0" w:after="0" w:afterAutospacing="0" w:line="440" w:lineRule="exact"/>
              <w:ind w:left="0" w:right="0"/>
              <w:jc w:val="center"/>
              <w:rPr>
                <w:rFonts w:hint="default" w:ascii="宋体" w:hAnsi="宋体" w:cs="宋体"/>
                <w:b/>
                <w:sz w:val="24"/>
              </w:rPr>
            </w:pPr>
            <w:r>
              <w:rPr>
                <w:rFonts w:hint="eastAsia" w:ascii="宋体" w:hAnsi="宋体" w:cs="宋体"/>
                <w:b/>
                <w:sz w:val="24"/>
              </w:rPr>
              <w:t>(说明偏离情况）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907"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907"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907"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907"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0"/>
            <w:vAlign w:val="center"/>
          </w:tcPr>
          <w:p>
            <w:pPr>
              <w:pStyle w:val="13"/>
              <w:keepNext w:val="0"/>
              <w:keepLines w:val="0"/>
              <w:widowControl w:val="0"/>
              <w:suppressLineNumbers w:val="0"/>
              <w:tabs>
                <w:tab w:val="left" w:pos="420"/>
              </w:tabs>
              <w:spacing w:before="0" w:beforeAutospacing="0" w:after="0" w:afterAutospacing="0" w:line="440" w:lineRule="exact"/>
              <w:ind w:left="0" w:right="0"/>
              <w:jc w:val="both"/>
              <w:rPr>
                <w:rFonts w:hint="default"/>
                <w:bCs/>
              </w:rPr>
            </w:pPr>
          </w:p>
        </w:tc>
        <w:tc>
          <w:tcPr>
            <w:tcW w:w="22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907"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jc w:val="center"/>
        </w:trPr>
        <w:tc>
          <w:tcPr>
            <w:tcW w:w="907"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bCs/>
                <w:sz w:val="18"/>
              </w:rPr>
            </w:pPr>
          </w:p>
        </w:tc>
      </w:tr>
    </w:tbl>
    <w:p>
      <w:pPr>
        <w:ind w:firstLine="640" w:firstLineChars="200"/>
        <w:rPr>
          <w:rFonts w:ascii="宋体" w:hAnsi="宋体"/>
          <w:szCs w:val="21"/>
        </w:rPr>
      </w:pPr>
      <w:r>
        <w:rPr>
          <w:rFonts w:hint="eastAsia" w:ascii="宋体" w:hAnsi="宋体" w:cs="宋体"/>
          <w:sz w:val="32"/>
        </w:rPr>
        <w:t xml:space="preserve"> </w:t>
      </w:r>
      <w:r>
        <w:rPr>
          <w:rFonts w:hint="eastAsia" w:ascii="宋体" w:hAnsi="宋体"/>
          <w:szCs w:val="21"/>
        </w:rPr>
        <w:t>注：投标人须对照招标文件技术规格，将自己所投的所有货物的功能、技术性能、配置等内容按照上表格式与招标文件要求逐条填写，</w:t>
      </w:r>
      <w:r>
        <w:rPr>
          <w:rFonts w:hint="eastAsia" w:ascii="宋体" w:hAnsi="宋体"/>
          <w:b/>
          <w:bCs/>
          <w:szCs w:val="21"/>
        </w:rPr>
        <w:t>供应商必须提供所投设备的具体参数值，并在偏离说明栏中标明技术及配置的实际响应情况</w:t>
      </w:r>
      <w:r>
        <w:rPr>
          <w:rFonts w:hint="eastAsia" w:ascii="宋体" w:hAnsi="宋体"/>
          <w:szCs w:val="21"/>
        </w:rPr>
        <w:t>：</w:t>
      </w:r>
    </w:p>
    <w:p>
      <w:pPr>
        <w:ind w:firstLine="420" w:firstLineChars="200"/>
        <w:rPr>
          <w:rFonts w:ascii="宋体" w:hAnsi="宋体"/>
          <w:szCs w:val="21"/>
        </w:rPr>
      </w:pPr>
      <w:r>
        <w:rPr>
          <w:rFonts w:hint="eastAsia" w:ascii="宋体" w:hAnsi="宋体"/>
          <w:szCs w:val="21"/>
        </w:rPr>
        <w:t>1、偏离说明栏中必须标明技术及配置的响应情况，整项货物及该项货物各部分相应情况须按下列要求填写，任何不真实响应都将按无效投标处理：</w:t>
      </w:r>
    </w:p>
    <w:p>
      <w:pPr>
        <w:numPr>
          <w:ilvl w:val="0"/>
          <w:numId w:val="10"/>
        </w:numPr>
        <w:ind w:firstLine="420" w:firstLineChars="200"/>
        <w:rPr>
          <w:rFonts w:ascii="宋体" w:hAnsi="宋体"/>
          <w:szCs w:val="21"/>
        </w:rPr>
      </w:pPr>
      <w:r>
        <w:rPr>
          <w:rFonts w:hint="eastAsia" w:ascii="宋体" w:hAnsi="宋体"/>
          <w:szCs w:val="21"/>
        </w:rPr>
        <w:t>对应项中的所有技术参数、性能和配置全部符合招标文件要求的才能填写“符合”；</w:t>
      </w:r>
    </w:p>
    <w:p>
      <w:pPr>
        <w:numPr>
          <w:ilvl w:val="0"/>
          <w:numId w:val="10"/>
        </w:numPr>
        <w:ind w:firstLine="420" w:firstLineChars="200"/>
        <w:rPr>
          <w:rFonts w:ascii="宋体" w:hAnsi="宋体"/>
          <w:szCs w:val="21"/>
        </w:rPr>
      </w:pPr>
      <w:r>
        <w:rPr>
          <w:rFonts w:hint="eastAsia" w:ascii="宋体" w:hAnsi="宋体"/>
          <w:szCs w:val="21"/>
        </w:rPr>
        <w:t>对应项中的所有技术参数、性能和配置全部符合招标文件要求并且其中有一个或以上指标优于招标文件要求的，可填写“正偏离”；</w:t>
      </w:r>
    </w:p>
    <w:p>
      <w:pPr>
        <w:spacing w:line="600" w:lineRule="exact"/>
        <w:rPr>
          <w:rFonts w:ascii="宋体" w:hAnsi="宋体" w:eastAsia="宋体" w:cs="宋体"/>
          <w:sz w:val="24"/>
        </w:rPr>
      </w:pPr>
    </w:p>
    <w:p>
      <w:pPr>
        <w:spacing w:line="600" w:lineRule="exact"/>
        <w:rPr>
          <w:rFonts w:ascii="宋体" w:hAnsi="宋体" w:eastAsia="宋体" w:cs="宋体"/>
          <w:sz w:val="24"/>
          <w:u w:val="single"/>
        </w:rPr>
      </w:pPr>
      <w:r>
        <w:rPr>
          <w:rFonts w:hint="eastAsia" w:ascii="宋体" w:hAnsi="宋体" w:eastAsia="宋体" w:cs="宋体"/>
          <w:sz w:val="24"/>
        </w:rPr>
        <w:t>投标单位名称（盖章）：</w:t>
      </w:r>
      <w:r>
        <w:rPr>
          <w:rFonts w:hint="eastAsia" w:ascii="宋体" w:hAnsi="宋体" w:eastAsia="宋体" w:cs="宋体"/>
          <w:sz w:val="24"/>
          <w:u w:val="single"/>
        </w:rPr>
        <w:t xml:space="preserve">                              </w:t>
      </w:r>
    </w:p>
    <w:p>
      <w:pPr>
        <w:spacing w:line="600" w:lineRule="exact"/>
        <w:rPr>
          <w:rFonts w:ascii="宋体" w:hAnsi="宋体" w:eastAsia="宋体" w:cs="宋体"/>
          <w:sz w:val="24"/>
        </w:rPr>
      </w:pPr>
      <w:r>
        <w:rPr>
          <w:rFonts w:hint="eastAsia" w:ascii="宋体" w:hAnsi="宋体" w:eastAsia="宋体" w:cs="宋体"/>
          <w:sz w:val="24"/>
        </w:rPr>
        <w:t>法人代表或授权委托人（签字或盖章）：</w:t>
      </w:r>
      <w:r>
        <w:rPr>
          <w:rFonts w:hint="eastAsia" w:ascii="宋体" w:hAnsi="宋体" w:eastAsia="宋体" w:cs="宋体"/>
          <w:sz w:val="24"/>
          <w:u w:val="single"/>
        </w:rPr>
        <w:t xml:space="preserve">                 </w:t>
      </w:r>
    </w:p>
    <w:p>
      <w:pPr>
        <w:ind w:firstLine="480"/>
        <w:rPr>
          <w:rFonts w:hint="eastAsia" w:ascii="宋体" w:hAnsi="宋体" w:eastAsia="宋体" w:cs="宋体"/>
          <w:sz w:val="24"/>
        </w:rPr>
        <w:sectPr>
          <w:pgSz w:w="11907" w:h="16840"/>
          <w:pgMar w:top="1276" w:right="1117" w:bottom="1417" w:left="913" w:header="850" w:footer="998" w:gutter="0"/>
          <w:pgNumType w:fmt="numberInDash"/>
          <w:cols w:space="0" w:num="1"/>
          <w:rtlGutter w:val="0"/>
          <w:docGrid w:type="lines" w:linePitch="379" w:charSpace="0"/>
        </w:sectPr>
      </w:pPr>
      <w:r>
        <w:rPr>
          <w:rFonts w:hint="eastAsia" w:ascii="宋体" w:hAnsi="宋体" w:eastAsia="宋体" w:cs="宋体"/>
          <w:sz w:val="24"/>
        </w:rPr>
        <w:t xml:space="preserve">                                         年    月    日  </w:t>
      </w:r>
    </w:p>
    <w:p>
      <w:pPr>
        <w:pStyle w:val="16"/>
        <w:ind w:firstLine="480"/>
        <w:rPr>
          <w:rFonts w:ascii="宋体" w:hAnsi="宋体" w:eastAsia="宋体" w:cs="宋体"/>
          <w:color w:val="000000"/>
          <w:sz w:val="24"/>
        </w:rPr>
      </w:pPr>
    </w:p>
    <w:p>
      <w:pPr>
        <w:pStyle w:val="16"/>
        <w:rPr>
          <w:rFonts w:asciiTheme="minorEastAsia" w:hAnsiTheme="minorEastAsia" w:eastAsiaTheme="minorEastAsia" w:cstheme="minorEastAsia"/>
          <w:sz w:val="24"/>
        </w:rPr>
      </w:pPr>
    </w:p>
    <w:p>
      <w:pPr>
        <w:pStyle w:val="16"/>
        <w:rPr>
          <w:rFonts w:asciiTheme="minorEastAsia" w:hAnsiTheme="minorEastAsia" w:eastAsiaTheme="minorEastAsia" w:cstheme="minorEastAsia"/>
          <w:sz w:val="24"/>
        </w:rPr>
      </w:pPr>
    </w:p>
    <w:p>
      <w:pPr>
        <w:pStyle w:val="16"/>
        <w:rPr>
          <w:rFonts w:asciiTheme="minorEastAsia" w:hAnsiTheme="minorEastAsia" w:eastAsiaTheme="minorEastAsia" w:cstheme="minorEastAsia"/>
          <w:sz w:val="24"/>
        </w:rPr>
      </w:pPr>
    </w:p>
    <w:p>
      <w:pPr>
        <w:pStyle w:val="16"/>
        <w:rPr>
          <w:rFonts w:asciiTheme="minorEastAsia" w:hAnsiTheme="minorEastAsia" w:eastAsiaTheme="minorEastAsia" w:cstheme="minorEastAsia"/>
          <w:sz w:val="24"/>
        </w:rPr>
      </w:pPr>
    </w:p>
    <w:p>
      <w:pPr>
        <w:pStyle w:val="14"/>
        <w:spacing w:before="120" w:after="120" w:line="500" w:lineRule="exact"/>
        <w:ind w:right="29" w:rightChars="14"/>
        <w:outlineLvl w:val="1"/>
        <w:rPr>
          <w:rFonts w:asciiTheme="minorEastAsia" w:hAnsiTheme="minorEastAsia" w:eastAsiaTheme="minorEastAsia" w:cstheme="minorEastAsia"/>
          <w:sz w:val="30"/>
          <w:szCs w:val="30"/>
        </w:rPr>
      </w:pPr>
      <w:bookmarkStart w:id="264" w:name="_Toc5614"/>
      <w:bookmarkStart w:id="265" w:name="_Toc2213"/>
      <w:r>
        <w:rPr>
          <w:rFonts w:hint="eastAsia" w:asciiTheme="minorEastAsia" w:hAnsiTheme="minorEastAsia" w:eastAsiaTheme="minorEastAsia" w:cstheme="minorEastAsia"/>
          <w:sz w:val="30"/>
          <w:szCs w:val="30"/>
        </w:rPr>
        <w:t>二、法定代表人身份证明书</w:t>
      </w:r>
      <w:bookmarkEnd w:id="264"/>
      <w:bookmarkEnd w:id="265"/>
    </w:p>
    <w:p>
      <w:pPr>
        <w:spacing w:line="440" w:lineRule="exact"/>
        <w:jc w:val="center"/>
        <w:rPr>
          <w:rFonts w:asciiTheme="minorEastAsia" w:hAnsiTheme="minorEastAsia" w:eastAsiaTheme="minorEastAsia" w:cstheme="minorEastAsia"/>
          <w:sz w:val="24"/>
        </w:rPr>
      </w:pP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供应商名称：________________________________                                               </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单位性质：__________________________________                                 </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地    址：________________________________ </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成立时间：年月日</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姓名：性别：年龄：职务：</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系（供应商单位名称）的法定代表人。</w:t>
      </w:r>
    </w:p>
    <w:p>
      <w:pPr>
        <w:spacing w:line="440" w:lineRule="exact"/>
        <w:ind w:left="718" w:leftChars="342"/>
        <w:rPr>
          <w:rFonts w:asciiTheme="minorEastAsia" w:hAnsiTheme="minorEastAsia" w:eastAsiaTheme="minorEastAsia" w:cstheme="minorEastAsia"/>
          <w:sz w:val="24"/>
        </w:rPr>
      </w:pPr>
    </w:p>
    <w:p>
      <w:pPr>
        <w:spacing w:line="440" w:lineRule="exact"/>
        <w:ind w:left="718" w:leftChars="342"/>
        <w:rPr>
          <w:rFonts w:asciiTheme="minorEastAsia" w:hAnsiTheme="minorEastAsia" w:eastAsiaTheme="minorEastAsia" w:cstheme="minorEastAsia"/>
          <w:sz w:val="24"/>
        </w:rPr>
      </w:pPr>
    </w:p>
    <w:p>
      <w:pPr>
        <w:spacing w:line="44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供应商：（盖单位公章）</w:t>
      </w:r>
    </w:p>
    <w:p>
      <w:pPr>
        <w:spacing w:line="440" w:lineRule="exact"/>
        <w:rPr>
          <w:rFonts w:asciiTheme="minorEastAsia" w:hAnsiTheme="minorEastAsia" w:eastAsiaTheme="minorEastAsia" w:cstheme="minorEastAsia"/>
          <w:sz w:val="24"/>
        </w:rPr>
      </w:pPr>
    </w:p>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pStyle w:val="14"/>
        <w:spacing w:before="120" w:after="120" w:line="500" w:lineRule="exact"/>
        <w:ind w:right="29" w:rightChars="14"/>
        <w:outlineLvl w:val="9"/>
        <w:rPr>
          <w:rFonts w:asciiTheme="minorEastAsia" w:hAnsiTheme="minorEastAsia" w:eastAsiaTheme="minorEastAsia" w:cstheme="minorEastAsia"/>
          <w:sz w:val="30"/>
          <w:szCs w:val="30"/>
        </w:rPr>
      </w:pPr>
      <w:bookmarkStart w:id="266" w:name="_Toc6009"/>
    </w:p>
    <w:p>
      <w:pPr>
        <w:pStyle w:val="14"/>
        <w:spacing w:before="120" w:after="120" w:line="500" w:lineRule="exact"/>
        <w:ind w:right="29" w:rightChars="14"/>
        <w:jc w:val="center"/>
        <w:outlineLvl w:val="1"/>
        <w:rPr>
          <w:rFonts w:hint="eastAsia" w:asciiTheme="minorEastAsia" w:hAnsiTheme="minorEastAsia" w:eastAsiaTheme="minorEastAsia" w:cstheme="minorEastAsia"/>
          <w:sz w:val="30"/>
          <w:szCs w:val="30"/>
        </w:rPr>
      </w:pPr>
      <w:bookmarkStart w:id="267" w:name="_Toc15395"/>
    </w:p>
    <w:p>
      <w:pPr>
        <w:pStyle w:val="14"/>
        <w:spacing w:before="120" w:after="120" w:line="500" w:lineRule="exact"/>
        <w:ind w:right="29" w:rightChars="14"/>
        <w:jc w:val="center"/>
        <w:outlineLvl w:val="1"/>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三、授权委托书</w:t>
      </w:r>
      <w:bookmarkEnd w:id="266"/>
      <w:bookmarkEnd w:id="267"/>
    </w:p>
    <w:p>
      <w:pPr>
        <w:spacing w:line="440" w:lineRule="exact"/>
        <w:ind w:left="-105"/>
        <w:rPr>
          <w:rFonts w:asciiTheme="minorEastAsia" w:hAnsiTheme="minorEastAsia" w:eastAsiaTheme="minorEastAsia" w:cstheme="minorEastAsia"/>
          <w:b/>
          <w:bCs/>
          <w:sz w:val="24"/>
        </w:rPr>
      </w:pPr>
    </w:p>
    <w:p>
      <w:pPr>
        <w:spacing w:line="500" w:lineRule="exact"/>
        <w:ind w:firstLine="720" w:firstLineChars="3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本人（姓名）系（供应商名称）的法定代表人，现委托（姓名）为我方代理人。代理人根据授权，以我方名义签署、澄清、说明、补正、递交、撤回、修改（项目名称）投标文件、签订合同和处理有关事宜，其法律后果由我方承担。 </w:t>
      </w:r>
    </w:p>
    <w:p>
      <w:pPr>
        <w:spacing w:line="500" w:lineRule="exact"/>
        <w:ind w:left="-105"/>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委托期限：。 </w:t>
      </w:r>
    </w:p>
    <w:p>
      <w:pPr>
        <w:spacing w:line="5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代理人无转委托权。 </w:t>
      </w:r>
    </w:p>
    <w:p>
      <w:pPr>
        <w:spacing w:line="5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附：法定代表人和代理人身份证</w:t>
      </w: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Cs/>
          <w:sz w:val="24"/>
        </w:rPr>
      </w:pP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供应商：（盖单位公章）</w:t>
      </w:r>
    </w:p>
    <w:p>
      <w:pPr>
        <w:spacing w:line="440" w:lineRule="exact"/>
        <w:ind w:firstLine="638" w:firstLineChars="266"/>
        <w:rPr>
          <w:rFonts w:asciiTheme="minorEastAsia" w:hAnsiTheme="minorEastAsia" w:eastAsiaTheme="minorEastAsia" w:cstheme="minorEastAsia"/>
          <w:bCs/>
          <w:sz w:val="24"/>
        </w:rPr>
      </w:pP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法定代表人：（签字或盖章） </w:t>
      </w:r>
    </w:p>
    <w:p>
      <w:pPr>
        <w:spacing w:line="440" w:lineRule="exact"/>
        <w:ind w:firstLine="638" w:firstLineChars="266"/>
        <w:rPr>
          <w:rFonts w:asciiTheme="minorEastAsia" w:hAnsiTheme="minorEastAsia" w:eastAsiaTheme="minorEastAsia" w:cstheme="minorEastAsia"/>
          <w:bCs/>
          <w:sz w:val="24"/>
        </w:rPr>
      </w:pP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身份证号码：</w:t>
      </w:r>
    </w:p>
    <w:p>
      <w:pPr>
        <w:spacing w:line="440" w:lineRule="exact"/>
        <w:ind w:firstLine="638" w:firstLineChars="266"/>
        <w:rPr>
          <w:rFonts w:asciiTheme="minorEastAsia" w:hAnsiTheme="minorEastAsia" w:eastAsiaTheme="minorEastAsia" w:cstheme="minorEastAsia"/>
          <w:bCs/>
          <w:sz w:val="24"/>
        </w:rPr>
      </w:pP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委托代理人：（签字或盖章）</w:t>
      </w:r>
    </w:p>
    <w:p>
      <w:pPr>
        <w:spacing w:line="440" w:lineRule="exact"/>
        <w:ind w:firstLine="638" w:firstLineChars="266"/>
        <w:rPr>
          <w:rFonts w:asciiTheme="minorEastAsia" w:hAnsiTheme="minorEastAsia" w:eastAsiaTheme="minorEastAsia" w:cstheme="minorEastAsia"/>
          <w:bCs/>
          <w:sz w:val="24"/>
        </w:rPr>
      </w:pPr>
    </w:p>
    <w:p>
      <w:pPr>
        <w:tabs>
          <w:tab w:val="left" w:pos="6510"/>
        </w:tabs>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身份证号码：</w:t>
      </w:r>
    </w:p>
    <w:p>
      <w:pPr>
        <w:spacing w:line="440" w:lineRule="exact"/>
        <w:ind w:left="357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Cs/>
          <w:sz w:val="24"/>
        </w:rPr>
      </w:pPr>
    </w:p>
    <w:p>
      <w:pPr>
        <w:spacing w:line="440" w:lineRule="exact"/>
        <w:ind w:left="840"/>
        <w:jc w:val="righ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年月日</w:t>
      </w: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
          <w:bCs/>
          <w:sz w:val="24"/>
        </w:rPr>
      </w:pPr>
    </w:p>
    <w:p>
      <w:pPr>
        <w:pStyle w:val="14"/>
        <w:spacing w:before="120" w:after="120" w:line="500" w:lineRule="exact"/>
        <w:ind w:right="29" w:rightChars="14"/>
        <w:outlineLvl w:val="9"/>
        <w:rPr>
          <w:rFonts w:asciiTheme="minorEastAsia" w:hAnsiTheme="minorEastAsia" w:eastAsiaTheme="minorEastAsia" w:cstheme="minorEastAsia"/>
          <w:sz w:val="30"/>
          <w:szCs w:val="30"/>
        </w:rPr>
      </w:pPr>
    </w:p>
    <w:bookmarkEnd w:id="217"/>
    <w:p>
      <w:pPr>
        <w:pageBreakBefore/>
        <w:spacing w:line="600" w:lineRule="exact"/>
        <w:jc w:val="center"/>
        <w:outlineLvl w:val="0"/>
        <w:rPr>
          <w:rFonts w:asciiTheme="minorEastAsia" w:hAnsiTheme="minorEastAsia" w:eastAsiaTheme="minorEastAsia" w:cstheme="minorEastAsia"/>
          <w:b/>
          <w:sz w:val="32"/>
          <w:szCs w:val="32"/>
        </w:rPr>
      </w:pPr>
      <w:bookmarkStart w:id="268" w:name="_Toc19057"/>
      <w:r>
        <w:rPr>
          <w:rFonts w:hint="eastAsia" w:asciiTheme="minorEastAsia" w:hAnsiTheme="minorEastAsia" w:eastAsiaTheme="minorEastAsia" w:cstheme="minorEastAsia"/>
          <w:b/>
          <w:sz w:val="32"/>
          <w:szCs w:val="32"/>
        </w:rPr>
        <w:t>四、投标承诺函</w:t>
      </w:r>
      <w:bookmarkEnd w:id="268"/>
    </w:p>
    <w:p>
      <w:pPr>
        <w:ind w:firstLine="883"/>
        <w:jc w:val="center"/>
        <w:rPr>
          <w:rFonts w:asciiTheme="minorEastAsia" w:hAnsiTheme="minorEastAsia" w:eastAsiaTheme="minorEastAsia" w:cstheme="minorEastAsia"/>
          <w:b/>
          <w:sz w:val="44"/>
          <w:szCs w:val="44"/>
        </w:rPr>
      </w:pP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我单位对</w:t>
      </w:r>
      <w:r>
        <w:rPr>
          <w:rFonts w:hint="eastAsia" w:asciiTheme="minorEastAsia" w:hAnsiTheme="minorEastAsia" w:eastAsiaTheme="minorEastAsia" w:cstheme="minorEastAsia"/>
          <w:sz w:val="24"/>
          <w:u w:val="single"/>
        </w:rPr>
        <w:t xml:space="preserve">                                   项目</w:t>
      </w:r>
      <w:r>
        <w:rPr>
          <w:rFonts w:hint="eastAsia" w:asciiTheme="minorEastAsia" w:hAnsiTheme="minorEastAsia" w:eastAsiaTheme="minorEastAsia" w:cstheme="minorEastAsia"/>
          <w:sz w:val="24"/>
        </w:rPr>
        <w:t>（采购编号：）投标行为做出承诺，保证所提交材料的真实性。</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我单位承诺：</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1、在投标文件递交截止时间后至确定中标人的</w:t>
      </w:r>
      <w:r>
        <w:fldChar w:fldCharType="begin"/>
      </w:r>
      <w:r>
        <w:instrText xml:space="preserve"> HYPERLINK "https://baike.so.com/doc/5394983-5632135.html" \t "https://baike.so.com/doc/_blank" </w:instrText>
      </w:r>
      <w:r>
        <w:fldChar w:fldCharType="separate"/>
      </w:r>
      <w:r>
        <w:rPr>
          <w:rFonts w:hint="eastAsia" w:asciiTheme="minorEastAsia" w:hAnsiTheme="minorEastAsia" w:eastAsiaTheme="minorEastAsia" w:cstheme="minorEastAsia"/>
          <w:sz w:val="24"/>
        </w:rPr>
        <w:t>投标有效期</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内，我单位不得要求退出竞标或者修改投标文件且对递交的投标文件负责，受其约束。</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2、若我单位中标，在接到中标通知书后，除不可抗力因素外，及时按规定与采购人签订合同并认真履约。</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非因不可抗力因素放弃中标的，或排名第一的中标人未按规定期限与采购人签订合同的，应赔偿采购人由此造成的损失，损失费的计算方法为该中标人的投标价与重新确定的中标人中标价的差额，还将取消其1年内在博爱县的投标资格，并给予通报的处罚。</w:t>
      </w:r>
    </w:p>
    <w:p>
      <w:pPr>
        <w:spacing w:line="600" w:lineRule="exact"/>
        <w:ind w:firstLine="48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4、不存在法律法规规定的其他违法违规行为。</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xml:space="preserve">              投标单位名称（盖章）：</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法人代表或授权委托人（签字或盖章）：</w:t>
      </w:r>
    </w:p>
    <w:p>
      <w:pPr>
        <w:ind w:firstLine="480"/>
        <w:rPr>
          <w:rFonts w:asciiTheme="minorEastAsia" w:hAnsiTheme="minorEastAsia" w:eastAsiaTheme="minorEastAsia" w:cstheme="minorEastAsia"/>
        </w:rPr>
      </w:pPr>
      <w:r>
        <w:rPr>
          <w:rFonts w:hint="eastAsia" w:asciiTheme="minorEastAsia" w:hAnsiTheme="minorEastAsia" w:eastAsiaTheme="minorEastAsia" w:cstheme="minorEastAsia"/>
          <w:sz w:val="24"/>
        </w:rPr>
        <w:t xml:space="preserve">                                         年    月    日  </w:t>
      </w:r>
    </w:p>
    <w:p>
      <w:pPr>
        <w:pStyle w:val="1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1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1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1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1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1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bCs/>
          <w:kern w:val="2"/>
          <w:sz w:val="30"/>
          <w:szCs w:val="30"/>
        </w:rPr>
      </w:pPr>
    </w:p>
    <w:p>
      <w:pPr>
        <w:pStyle w:val="1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bCs w:val="0"/>
          <w:sz w:val="30"/>
          <w:szCs w:val="30"/>
        </w:rPr>
      </w:pPr>
      <w:bookmarkStart w:id="269" w:name="_Toc8304"/>
      <w:r>
        <w:rPr>
          <w:rFonts w:hint="eastAsia" w:asciiTheme="minorEastAsia" w:hAnsiTheme="minorEastAsia" w:eastAsiaTheme="minorEastAsia" w:cstheme="minorEastAsia"/>
          <w:b/>
          <w:bCs w:val="0"/>
          <w:kern w:val="2"/>
          <w:sz w:val="30"/>
          <w:szCs w:val="30"/>
        </w:rPr>
        <w:t>五、项目供货及安装保证措施、售后服务方案</w:t>
      </w:r>
      <w:bookmarkEnd w:id="269"/>
      <w:r>
        <w:rPr>
          <w:rFonts w:hint="eastAsia" w:asciiTheme="minorEastAsia" w:hAnsiTheme="minorEastAsia" w:eastAsiaTheme="minorEastAsia" w:cstheme="minorEastAsia"/>
          <w:b/>
          <w:bCs w:val="0"/>
          <w:kern w:val="2"/>
          <w:sz w:val="30"/>
          <w:szCs w:val="30"/>
        </w:rPr>
        <w:t>及应急方案等</w:t>
      </w: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pStyle w:val="1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bookmarkStart w:id="270" w:name="_Toc10043"/>
    </w:p>
    <w:p>
      <w:pPr>
        <w:pStyle w:val="1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pStyle w:val="1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271" w:name="_Toc29492"/>
      <w:bookmarkStart w:id="272" w:name="_Toc20650"/>
      <w:r>
        <w:rPr>
          <w:rFonts w:hint="eastAsia" w:asciiTheme="minorEastAsia" w:hAnsiTheme="minorEastAsia" w:eastAsiaTheme="minorEastAsia" w:cstheme="minorEastAsia"/>
          <w:b/>
          <w:kern w:val="2"/>
          <w:sz w:val="30"/>
          <w:szCs w:val="30"/>
        </w:rPr>
        <w:t>六、资格证明文件</w:t>
      </w:r>
      <w:bookmarkEnd w:id="270"/>
      <w:bookmarkEnd w:id="271"/>
      <w:bookmarkEnd w:id="272"/>
    </w:p>
    <w:p>
      <w:pPr>
        <w:spacing w:line="400" w:lineRule="exact"/>
        <w:jc w:val="left"/>
        <w:rPr>
          <w:rFonts w:asciiTheme="minorEastAsia" w:hAnsiTheme="minorEastAsia" w:eastAsiaTheme="minorEastAsia" w:cstheme="minorEastAsia"/>
          <w:bCs/>
          <w:sz w:val="24"/>
        </w:rPr>
      </w:pPr>
    </w:p>
    <w:p>
      <w:pPr>
        <w:spacing w:line="400" w:lineRule="exact"/>
        <w:jc w:val="left"/>
        <w:rPr>
          <w:sz w:val="24"/>
        </w:rPr>
      </w:pPr>
    </w:p>
    <w:p>
      <w:pPr>
        <w:spacing w:line="400" w:lineRule="exact"/>
        <w:jc w:val="left"/>
        <w:rPr>
          <w:sz w:val="24"/>
        </w:rPr>
      </w:pPr>
      <w:r>
        <w:rPr>
          <w:rFonts w:hint="eastAsia"/>
          <w:sz w:val="24"/>
        </w:rPr>
        <w:t>一、 供应商营业执照副本（三证合一）；</w:t>
      </w:r>
    </w:p>
    <w:p>
      <w:pPr>
        <w:spacing w:line="400" w:lineRule="exact"/>
        <w:jc w:val="left"/>
        <w:rPr>
          <w:sz w:val="24"/>
        </w:rPr>
      </w:pPr>
      <w:r>
        <w:rPr>
          <w:rFonts w:hint="eastAsia"/>
          <w:sz w:val="24"/>
        </w:rPr>
        <w:t>二、符合《中华人民共和国政府采购法》第二十二条规定:</w:t>
      </w:r>
    </w:p>
    <w:p>
      <w:pPr>
        <w:spacing w:line="400" w:lineRule="exact"/>
        <w:ind w:firstLine="480" w:firstLineChars="200"/>
        <w:jc w:val="left"/>
        <w:rPr>
          <w:sz w:val="24"/>
        </w:rPr>
      </w:pPr>
      <w:r>
        <w:rPr>
          <w:rFonts w:hint="eastAsia"/>
          <w:sz w:val="24"/>
        </w:rPr>
        <w:t>2.1.开标日前六个月内任一个月的依法缴纳税收的相关证明、开标日前六个月内任一个月的依法缴纳社会保障资金的相关证明、开标日前六个月内任一个月的资产负债表或损益表或年度财务会计报表或上年度会计事务所出具的审计报告；</w:t>
      </w:r>
    </w:p>
    <w:p>
      <w:pPr>
        <w:spacing w:line="400" w:lineRule="exact"/>
        <w:ind w:firstLine="480" w:firstLineChars="200"/>
        <w:jc w:val="left"/>
        <w:rPr>
          <w:sz w:val="24"/>
        </w:rPr>
      </w:pPr>
      <w:r>
        <w:rPr>
          <w:rFonts w:hint="eastAsia"/>
          <w:sz w:val="24"/>
        </w:rPr>
        <w:t>2.2.参加政府采购活动前三年内无重大违法记录的书面声明；</w:t>
      </w:r>
    </w:p>
    <w:p>
      <w:pPr>
        <w:spacing w:line="400" w:lineRule="exact"/>
        <w:jc w:val="left"/>
        <w:rPr>
          <w:sz w:val="24"/>
        </w:rPr>
      </w:pPr>
      <w:r>
        <w:rPr>
          <w:rFonts w:hint="eastAsia"/>
          <w:sz w:val="24"/>
        </w:rPr>
        <w:t>三、招标文件中要求的其他资格证明材料。</w:t>
      </w:r>
    </w:p>
    <w:p>
      <w:pPr>
        <w:pStyle w:val="16"/>
        <w:ind w:firstLine="482"/>
        <w:rPr>
          <w:b/>
          <w:bCs/>
        </w:rPr>
      </w:pPr>
      <w:r>
        <w:rPr>
          <w:rFonts w:hint="eastAsia"/>
          <w:b/>
          <w:bCs/>
          <w:sz w:val="24"/>
        </w:rPr>
        <w:t>备注：以上资格证明文件须提供原件的扫描件。</w:t>
      </w:r>
    </w:p>
    <w:p>
      <w:pPr>
        <w:pStyle w:val="16"/>
      </w:pPr>
    </w:p>
    <w:p>
      <w:pPr>
        <w:autoSpaceDE w:val="0"/>
        <w:autoSpaceDN w:val="0"/>
        <w:adjustRightInd w:val="0"/>
        <w:spacing w:line="440" w:lineRule="exact"/>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pStyle w:val="15"/>
        <w:ind w:firstLine="281"/>
        <w:rPr>
          <w:rFonts w:hint="default" w:asciiTheme="minorEastAsia" w:hAnsiTheme="minorEastAsia" w:eastAsiaTheme="minorEastAsia" w:cstheme="minorEastAsia"/>
          <w:b/>
          <w:sz w:val="28"/>
        </w:rPr>
      </w:pPr>
    </w:p>
    <w:p>
      <w:pPr>
        <w:pStyle w:val="16"/>
        <w:ind w:firstLine="562"/>
        <w:rPr>
          <w:rFonts w:asciiTheme="minorEastAsia" w:hAnsiTheme="minorEastAsia" w:eastAsiaTheme="minorEastAsia" w:cstheme="minorEastAsia"/>
          <w:b/>
          <w:sz w:val="28"/>
        </w:rPr>
      </w:pPr>
    </w:p>
    <w:p>
      <w:pPr>
        <w:pStyle w:val="16"/>
        <w:ind w:firstLine="562"/>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widowControl/>
        <w:rPr>
          <w:rFonts w:asciiTheme="minorEastAsia" w:hAnsiTheme="minorEastAsia" w:eastAsiaTheme="minorEastAsia" w:cstheme="minorEastAsia"/>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widowControl/>
        <w:rPr>
          <w:rFonts w:asciiTheme="minorEastAsia" w:hAnsiTheme="minorEastAsia" w:eastAsiaTheme="minorEastAsia" w:cstheme="minorEastAsia"/>
        </w:rPr>
      </w:pPr>
    </w:p>
    <w:p>
      <w:pPr>
        <w:rPr>
          <w:rFonts w:asciiTheme="minorEastAsia" w:hAnsiTheme="minorEastAsia" w:eastAsiaTheme="minorEastAsia" w:cstheme="minorEastAsia"/>
        </w:rPr>
      </w:pPr>
    </w:p>
    <w:p>
      <w:pPr>
        <w:autoSpaceDE w:val="0"/>
        <w:autoSpaceDN w:val="0"/>
        <w:adjustRightInd w:val="0"/>
        <w:spacing w:line="440" w:lineRule="exact"/>
        <w:jc w:val="center"/>
        <w:rPr>
          <w:rFonts w:asciiTheme="minorEastAsia" w:hAnsiTheme="minorEastAsia" w:eastAsiaTheme="minorEastAsia" w:cstheme="minorEastAsia"/>
          <w:b/>
          <w:sz w:val="28"/>
        </w:rPr>
      </w:pPr>
    </w:p>
    <w:p>
      <w:pPr>
        <w:pStyle w:val="1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bookmarkStart w:id="273" w:name="_Toc8330"/>
      <w:bookmarkStart w:id="274" w:name="_Toc6465"/>
      <w:bookmarkStart w:id="275" w:name="_Toc31553"/>
    </w:p>
    <w:p>
      <w:pPr>
        <w:pStyle w:val="1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1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1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1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13"/>
        <w:widowControl w:val="0"/>
        <w:numPr>
          <w:ilvl w:val="0"/>
          <w:numId w:val="11"/>
        </w:numPr>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r>
        <w:rPr>
          <w:rFonts w:hint="eastAsia" w:asciiTheme="minorEastAsia" w:hAnsiTheme="minorEastAsia" w:eastAsiaTheme="minorEastAsia" w:cstheme="minorEastAsia"/>
          <w:b/>
          <w:kern w:val="2"/>
          <w:sz w:val="30"/>
          <w:szCs w:val="30"/>
        </w:rPr>
        <w:t>供应商服务承诺和优惠承诺</w:t>
      </w:r>
    </w:p>
    <w:p>
      <w:pPr>
        <w:pStyle w:val="1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3"/>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3"/>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kern w:val="2"/>
          <w:sz w:val="30"/>
          <w:szCs w:val="30"/>
        </w:rPr>
        <w:t>八、供应商所投产品属于当期政府采购清单规定的节能环保产品的</w:t>
      </w:r>
      <w:bookmarkEnd w:id="273"/>
    </w:p>
    <w:p>
      <w:pPr>
        <w:pStyle w:val="1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276" w:name="_Toc28422"/>
      <w:bookmarkStart w:id="277" w:name="_Toc18925"/>
      <w:bookmarkStart w:id="278" w:name="_Toc24210"/>
      <w:r>
        <w:rPr>
          <w:rFonts w:hint="eastAsia" w:asciiTheme="minorEastAsia" w:hAnsiTheme="minorEastAsia" w:eastAsiaTheme="minorEastAsia" w:cstheme="minorEastAsia"/>
          <w:b/>
          <w:kern w:val="2"/>
          <w:sz w:val="30"/>
          <w:szCs w:val="30"/>
        </w:rPr>
        <w:t>证明材料</w:t>
      </w:r>
      <w:bookmarkEnd w:id="274"/>
      <w:bookmarkEnd w:id="276"/>
      <w:bookmarkEnd w:id="277"/>
      <w:bookmarkEnd w:id="278"/>
      <w:r>
        <w:rPr>
          <w:rFonts w:hint="eastAsia" w:asciiTheme="minorEastAsia" w:hAnsiTheme="minorEastAsia" w:eastAsiaTheme="minorEastAsia" w:cstheme="minorEastAsia"/>
          <w:b/>
          <w:kern w:val="2"/>
          <w:sz w:val="30"/>
          <w:szCs w:val="30"/>
        </w:rPr>
        <w:t>（如有）</w:t>
      </w:r>
    </w:p>
    <w:p>
      <w:pPr>
        <w:pStyle w:val="1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3"/>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279" w:name="_Toc10717"/>
      <w:bookmarkStart w:id="280" w:name="_Toc23227"/>
      <w:r>
        <w:rPr>
          <w:rFonts w:hint="eastAsia" w:asciiTheme="minorEastAsia" w:hAnsiTheme="minorEastAsia" w:eastAsiaTheme="minorEastAsia" w:cstheme="minorEastAsia"/>
          <w:b/>
          <w:kern w:val="2"/>
          <w:sz w:val="30"/>
          <w:szCs w:val="30"/>
        </w:rPr>
        <w:t>九、中小企业声明函（如有）</w:t>
      </w:r>
      <w:bookmarkEnd w:id="279"/>
      <w:bookmarkEnd w:id="280"/>
    </w:p>
    <w:p>
      <w:pPr>
        <w:pStyle w:val="13"/>
        <w:shd w:val="clear" w:color="auto" w:fill="FFFFFF"/>
        <w:spacing w:line="315" w:lineRule="atLeast"/>
        <w:ind w:firstLine="420"/>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本公司郑重声明，根据《政府采购促进中小企业发展暂行办法》（财库[2011]181号）的规定，本公司为______（请填写：中型、小型、微型）企业。即，本公司同时满足以下条件：</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本公司对上述声明的真实性负责。如有虚假，将依法承担相应责任。</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　　　　　　　　　　　　　　　企业名称（</w:t>
      </w:r>
      <w:r>
        <w:rPr>
          <w:rFonts w:hint="eastAsia" w:asciiTheme="minorEastAsia" w:hAnsiTheme="minorEastAsia" w:eastAsiaTheme="minorEastAsia" w:cstheme="minorEastAsia"/>
          <w:bCs/>
          <w:sz w:val="24"/>
        </w:rPr>
        <w:t>盖单位公章</w:t>
      </w:r>
      <w:r>
        <w:rPr>
          <w:rFonts w:hint="eastAsia" w:asciiTheme="minorEastAsia" w:hAnsiTheme="minorEastAsia" w:eastAsiaTheme="minorEastAsia" w:cstheme="minorEastAsia"/>
          <w:kern w:val="0"/>
          <w:sz w:val="24"/>
          <w:shd w:val="clear" w:color="auto" w:fill="FFFFFF"/>
        </w:rPr>
        <w:t>）：</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　　　　　　　　　　　　　　　　　　日期：</w:t>
      </w:r>
    </w:p>
    <w:p>
      <w:pPr>
        <w:spacing w:line="600" w:lineRule="exact"/>
        <w:rPr>
          <w:rFonts w:asciiTheme="minorEastAsia" w:hAnsiTheme="minorEastAsia" w:eastAsiaTheme="minorEastAsia" w:cstheme="minorEastAsia"/>
          <w:sz w:val="30"/>
          <w:szCs w:val="30"/>
        </w:rPr>
      </w:pPr>
    </w:p>
    <w:p>
      <w:pPr>
        <w:pStyle w:val="13"/>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r>
        <w:rPr>
          <w:rFonts w:hint="eastAsia" w:asciiTheme="minorEastAsia" w:hAnsiTheme="minorEastAsia" w:eastAsiaTheme="minorEastAsia" w:cstheme="minorEastAsia"/>
          <w:b/>
          <w:kern w:val="2"/>
          <w:sz w:val="30"/>
          <w:szCs w:val="30"/>
        </w:rPr>
        <w:br w:type="page"/>
      </w:r>
      <w:bookmarkStart w:id="281" w:name="_Toc20881"/>
      <w:bookmarkStart w:id="282" w:name="_Toc30170"/>
      <w:bookmarkStart w:id="283" w:name="_Toc14292"/>
      <w:r>
        <w:rPr>
          <w:rFonts w:hint="eastAsia" w:asciiTheme="minorEastAsia" w:hAnsiTheme="minorEastAsia" w:eastAsiaTheme="minorEastAsia" w:cstheme="minorEastAsia"/>
          <w:b/>
          <w:kern w:val="2"/>
          <w:sz w:val="30"/>
          <w:szCs w:val="30"/>
        </w:rPr>
        <w:t>十、残疾人福利性单位声明函（如有）</w:t>
      </w:r>
      <w:bookmarkEnd w:id="281"/>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p>
      <w:pPr>
        <w:spacing w:afterLines="200"/>
        <w:ind w:firstLine="2259" w:firstLineChars="750"/>
        <w:rPr>
          <w:rFonts w:asciiTheme="minorEastAsia" w:hAnsiTheme="minorEastAsia" w:eastAsiaTheme="minorEastAsia" w:cstheme="minorEastAsia"/>
          <w:b/>
          <w:sz w:val="30"/>
          <w:szCs w:val="30"/>
        </w:rPr>
      </w:pPr>
    </w:p>
    <w:bookmarkEnd w:id="275"/>
    <w:bookmarkEnd w:id="282"/>
    <w:bookmarkEnd w:id="283"/>
    <w:p>
      <w:pPr>
        <w:rPr>
          <w:rFonts w:ascii="Times New Roman" w:hAnsi="Times New Roman" w:eastAsia="仿宋"/>
          <w:sz w:val="32"/>
          <w:szCs w:val="32"/>
          <w:shd w:val="clear" w:color="FFFFFF" w:fill="D9D9D9"/>
        </w:rPr>
      </w:pPr>
    </w:p>
    <w:p>
      <w:pPr>
        <w:pStyle w:val="4"/>
        <w:rPr>
          <w:shd w:val="clear" w:color="FFFFFF" w:fill="D9D9D9"/>
        </w:rPr>
      </w:pPr>
    </w:p>
    <w:p>
      <w:pPr>
        <w:pStyle w:val="13"/>
        <w:widowControl w:val="0"/>
        <w:spacing w:before="120" w:beforeAutospacing="0" w:after="120" w:afterAutospacing="0" w:line="500" w:lineRule="exact"/>
        <w:ind w:right="29" w:rightChars="14" w:firstLine="602" w:firstLineChars="200"/>
        <w:jc w:val="both"/>
        <w:outlineLvl w:val="1"/>
        <w:rPr>
          <w:rFonts w:asciiTheme="minorEastAsia" w:hAnsiTheme="minorEastAsia" w:eastAsiaTheme="minorEastAsia" w:cstheme="minorEastAsia"/>
          <w:b/>
          <w:kern w:val="2"/>
          <w:sz w:val="30"/>
          <w:szCs w:val="30"/>
          <w:shd w:val="clear" w:color="FFFFFF" w:fill="D9D9D9"/>
        </w:rPr>
      </w:pPr>
    </w:p>
    <w:p>
      <w:pPr>
        <w:pStyle w:val="13"/>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kern w:val="2"/>
          <w:sz w:val="30"/>
          <w:szCs w:val="30"/>
        </w:rPr>
      </w:pPr>
      <w:bookmarkStart w:id="284" w:name="_Toc16608"/>
      <w:r>
        <w:rPr>
          <w:rFonts w:hint="eastAsia" w:asciiTheme="minorEastAsia" w:hAnsiTheme="minorEastAsia" w:eastAsiaTheme="minorEastAsia" w:cstheme="minorEastAsia"/>
          <w:b/>
          <w:kern w:val="2"/>
          <w:sz w:val="30"/>
          <w:szCs w:val="30"/>
        </w:rPr>
        <w:t>十一、招标文件要求的或供应商认为须提交的其他材料</w:t>
      </w:r>
      <w:bookmarkEnd w:id="284"/>
    </w:p>
    <w:p>
      <w:pPr>
        <w:spacing w:line="360" w:lineRule="auto"/>
        <w:rPr>
          <w:rFonts w:asciiTheme="minorEastAsia" w:hAnsiTheme="minorEastAsia" w:eastAsiaTheme="minorEastAsia" w:cstheme="minorEastAsia"/>
          <w:sz w:val="24"/>
          <w:shd w:val="clear" w:color="FFFFFF" w:fill="D9D9D9"/>
        </w:rPr>
      </w:pP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招标文件规定的其他资料及供应商认为需要提交的其他材料。</w:t>
      </w:r>
    </w:p>
    <w:p>
      <w:pPr>
        <w:spacing w:line="600" w:lineRule="exact"/>
        <w:ind w:firstLine="600" w:firstLineChars="200"/>
        <w:rPr>
          <w:rFonts w:ascii="仿宋" w:hAnsi="仿宋" w:eastAsia="仿宋" w:cs="仿宋"/>
          <w:sz w:val="30"/>
          <w:szCs w:val="30"/>
        </w:rPr>
      </w:pPr>
    </w:p>
    <w:p>
      <w:pPr>
        <w:widowControl/>
        <w:spacing w:line="580" w:lineRule="atLeast"/>
        <w:jc w:val="center"/>
        <w:rPr>
          <w:rFonts w:asciiTheme="minorEastAsia" w:hAnsiTheme="minorEastAsia" w:eastAsiaTheme="minorEastAsia" w:cstheme="minorEastAsia"/>
          <w:b/>
          <w:kern w:val="0"/>
          <w:sz w:val="32"/>
          <w:szCs w:val="32"/>
        </w:rPr>
      </w:pPr>
    </w:p>
    <w:p>
      <w:pPr>
        <w:widowControl/>
        <w:spacing w:line="580" w:lineRule="atLeast"/>
        <w:jc w:val="center"/>
        <w:rPr>
          <w:rFonts w:asciiTheme="minorEastAsia" w:hAnsiTheme="minorEastAsia" w:eastAsiaTheme="minorEastAsia" w:cstheme="minorEastAsia"/>
          <w:b/>
          <w:bCs/>
          <w:kern w:val="0"/>
          <w:sz w:val="32"/>
          <w:szCs w:val="32"/>
        </w:rPr>
      </w:pPr>
    </w:p>
    <w:p>
      <w:pPr>
        <w:widowControl/>
        <w:spacing w:line="580" w:lineRule="atLeast"/>
        <w:jc w:val="center"/>
        <w:rPr>
          <w:rFonts w:asciiTheme="minorEastAsia" w:hAnsiTheme="minorEastAsia" w:eastAsiaTheme="minorEastAsia" w:cstheme="minorEastAsia"/>
          <w:b/>
          <w:bCs/>
          <w:kern w:val="0"/>
          <w:sz w:val="32"/>
          <w:szCs w:val="32"/>
        </w:rPr>
      </w:pPr>
    </w:p>
    <w:p>
      <w:pPr>
        <w:pStyle w:val="31"/>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31"/>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31"/>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31"/>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31"/>
        <w:rPr>
          <w:rFonts w:asciiTheme="minorEastAsia" w:hAnsiTheme="minorEastAsia" w:eastAsiaTheme="minorEastAsia" w:cstheme="minorEastAsia"/>
          <w:b/>
          <w:bCs/>
          <w:kern w:val="0"/>
          <w:sz w:val="32"/>
          <w:szCs w:val="32"/>
        </w:rPr>
      </w:pPr>
    </w:p>
    <w:p>
      <w:pPr>
        <w:spacing w:line="440" w:lineRule="exact"/>
        <w:jc w:val="center"/>
        <w:rPr>
          <w:rFonts w:ascii="宋体" w:hAnsi="宋体" w:cs="宋体"/>
          <w:b/>
          <w:sz w:val="36"/>
          <w:szCs w:val="36"/>
        </w:rPr>
      </w:pPr>
      <w:r>
        <w:rPr>
          <w:rFonts w:hint="eastAsia" w:ascii="宋体" w:hAnsi="宋体" w:cs="宋体"/>
          <w:b/>
          <w:sz w:val="36"/>
          <w:szCs w:val="36"/>
        </w:rPr>
        <w:t>河南省政府采购合同融资政策告知函</w:t>
      </w:r>
    </w:p>
    <w:p>
      <w:pPr>
        <w:spacing w:line="420" w:lineRule="exact"/>
        <w:ind w:firstLine="367" w:firstLineChars="175"/>
        <w:rPr>
          <w:rFonts w:ascii="宋体" w:hAnsi="宋体" w:cs="宋体"/>
          <w:bCs/>
          <w:szCs w:val="21"/>
        </w:rPr>
      </w:pPr>
      <w:r>
        <w:rPr>
          <w:rFonts w:hint="eastAsia" w:ascii="宋体" w:hAnsi="宋体" w:cs="宋体"/>
          <w:bCs/>
          <w:szCs w:val="21"/>
        </w:rPr>
        <w:t>各供应商：</w:t>
      </w:r>
    </w:p>
    <w:p>
      <w:pPr>
        <w:spacing w:line="420" w:lineRule="exact"/>
        <w:ind w:firstLine="367" w:firstLineChars="175"/>
        <w:rPr>
          <w:rFonts w:ascii="宋体" w:hAnsi="宋体" w:cs="宋体"/>
          <w:bCs/>
          <w:szCs w:val="21"/>
        </w:rPr>
      </w:pPr>
      <w:r>
        <w:rPr>
          <w:rFonts w:hint="eastAsia" w:ascii="宋体" w:hAnsi="宋体" w:cs="宋体"/>
          <w:bCs/>
          <w:szCs w:val="21"/>
        </w:rPr>
        <w:t xml:space="preserve">   欢迎贵公司参与河南省政府采购活动！</w:t>
      </w:r>
    </w:p>
    <w:p>
      <w:pPr>
        <w:spacing w:line="420" w:lineRule="exact"/>
        <w:ind w:firstLine="367" w:firstLineChars="175"/>
        <w:rPr>
          <w:rFonts w:ascii="宋体" w:hAnsi="宋体" w:cs="宋体"/>
          <w:bCs/>
          <w:szCs w:val="21"/>
        </w:rPr>
      </w:pPr>
      <w:r>
        <w:rPr>
          <w:rFonts w:hint="eastAsia" w:ascii="宋体" w:hAnsi="宋体" w:cs="宋体"/>
          <w:bCs/>
          <w:szCs w:val="21"/>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67" w:firstLineChars="175"/>
        <w:rPr>
          <w:rFonts w:ascii="宋体" w:hAnsi="宋体" w:cs="宋体"/>
          <w:bCs/>
          <w:szCs w:val="21"/>
        </w:rPr>
      </w:pPr>
      <w:r>
        <w:rPr>
          <w:rFonts w:hint="eastAsia" w:ascii="宋体" w:hAnsi="宋体" w:cs="宋体"/>
          <w:bCs/>
          <w:szCs w:val="21"/>
        </w:rPr>
        <w:t xml:space="preserve"> 贷款渠道和提供贷款的金融机构，可在河南省政府采购网“河南省政府采购合同融资平台”查询联系。</w:t>
      </w:r>
    </w:p>
    <w:p>
      <w:pPr>
        <w:jc w:val="center"/>
        <w:rPr>
          <w:rFonts w:ascii="宋体" w:hAnsi="宋体"/>
          <w:b/>
          <w:sz w:val="32"/>
          <w:szCs w:val="32"/>
        </w:rPr>
      </w:pPr>
      <w:r>
        <w:rPr>
          <w:rFonts w:hint="eastAsia" w:ascii="宋体" w:hAnsi="宋体"/>
          <w:b/>
          <w:sz w:val="32"/>
          <w:szCs w:val="32"/>
        </w:rPr>
        <w:t>焦作市政府采购合同融资合作企业</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3"/>
        <w:gridCol w:w="1353"/>
        <w:gridCol w:w="2064"/>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23"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名称</w:t>
            </w:r>
          </w:p>
        </w:tc>
        <w:tc>
          <w:tcPr>
            <w:tcW w:w="1353"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联系人</w:t>
            </w:r>
          </w:p>
        </w:tc>
        <w:tc>
          <w:tcPr>
            <w:tcW w:w="2064"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联系电话</w:t>
            </w:r>
          </w:p>
        </w:tc>
        <w:tc>
          <w:tcPr>
            <w:tcW w:w="2558"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中国农业银行股份有限公司</w:t>
            </w:r>
          </w:p>
          <w:p>
            <w:pPr>
              <w:widowControl/>
              <w:tabs>
                <w:tab w:val="left" w:pos="0"/>
              </w:tabs>
              <w:spacing w:line="360" w:lineRule="exact"/>
              <w:rPr>
                <w:rFonts w:ascii="宋体" w:hAnsi="宋体" w:cs="宋体"/>
                <w:sz w:val="24"/>
              </w:rPr>
            </w:pPr>
            <w:r>
              <w:rPr>
                <w:rFonts w:hint="eastAsia" w:ascii="宋体" w:hAnsi="宋体" w:cs="宋体"/>
                <w:sz w:val="24"/>
              </w:rPr>
              <w:t>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薛国战</w:t>
            </w:r>
          </w:p>
        </w:tc>
        <w:tc>
          <w:tcPr>
            <w:tcW w:w="2064"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0391-2878039       13839109026</w:t>
            </w:r>
          </w:p>
        </w:tc>
        <w:tc>
          <w:tcPr>
            <w:tcW w:w="2558"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曹阳</w:t>
            </w:r>
          </w:p>
        </w:tc>
        <w:tc>
          <w:tcPr>
            <w:tcW w:w="2064"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0391-8825171  13839118160</w:t>
            </w:r>
          </w:p>
        </w:tc>
        <w:tc>
          <w:tcPr>
            <w:tcW w:w="2558"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中国建设银行股份有限公司焦作分行</w:t>
            </w:r>
          </w:p>
        </w:tc>
        <w:tc>
          <w:tcPr>
            <w:tcW w:w="1353"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李华莹</w:t>
            </w:r>
          </w:p>
        </w:tc>
        <w:tc>
          <w:tcPr>
            <w:tcW w:w="2064"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0391-3918471</w:t>
            </w:r>
          </w:p>
        </w:tc>
        <w:tc>
          <w:tcPr>
            <w:tcW w:w="2558" w:type="dxa"/>
            <w:shd w:val="solid" w:color="FFFFFF"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中国邮政储蓄银行股份有限公司焦作市分行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李天祥</w:t>
            </w:r>
          </w:p>
        </w:tc>
        <w:tc>
          <w:tcPr>
            <w:tcW w:w="2064"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0391-2981968 13523359082</w:t>
            </w:r>
          </w:p>
        </w:tc>
        <w:tc>
          <w:tcPr>
            <w:tcW w:w="2558"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焦作中旅银行股份有限公司</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周建林</w:t>
            </w:r>
          </w:p>
        </w:tc>
        <w:tc>
          <w:tcPr>
            <w:tcW w:w="2064"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0391-2116963 15893053027 </w:t>
            </w:r>
          </w:p>
        </w:tc>
        <w:tc>
          <w:tcPr>
            <w:tcW w:w="2558"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中信银行股份有限公司焦作分行</w:t>
            </w:r>
          </w:p>
        </w:tc>
        <w:tc>
          <w:tcPr>
            <w:tcW w:w="1353"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周江江</w:t>
            </w:r>
          </w:p>
        </w:tc>
        <w:tc>
          <w:tcPr>
            <w:tcW w:w="2064"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17639185001</w:t>
            </w:r>
          </w:p>
        </w:tc>
        <w:tc>
          <w:tcPr>
            <w:tcW w:w="2558" w:type="dxa"/>
            <w:shd w:val="solid" w:color="FFFFFF"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bCs/>
                <w:sz w:val="24"/>
              </w:rPr>
              <w:t>中国光大银行股份有限公司焦作分行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王海宾</w:t>
            </w:r>
          </w:p>
        </w:tc>
        <w:tc>
          <w:tcPr>
            <w:tcW w:w="2064"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0391-8787996 13598534626</w:t>
            </w:r>
          </w:p>
        </w:tc>
        <w:tc>
          <w:tcPr>
            <w:tcW w:w="2558"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中原银行股份有限公司焦作分行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赵伟</w:t>
            </w:r>
          </w:p>
        </w:tc>
        <w:tc>
          <w:tcPr>
            <w:tcW w:w="2064"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0391-8796520 15738533033</w:t>
            </w:r>
          </w:p>
        </w:tc>
        <w:tc>
          <w:tcPr>
            <w:tcW w:w="2558"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广发银行股份有限公司焦作分行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张嘉强</w:t>
            </w:r>
          </w:p>
        </w:tc>
        <w:tc>
          <w:tcPr>
            <w:tcW w:w="2064"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0391-653785 13203910032</w:t>
            </w:r>
          </w:p>
        </w:tc>
        <w:tc>
          <w:tcPr>
            <w:tcW w:w="2558"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焦作市塔南路1736号嘉隆金融中心</w:t>
            </w:r>
          </w:p>
        </w:tc>
      </w:tr>
    </w:tbl>
    <w:p>
      <w:pPr>
        <w:rPr>
          <w:rFonts w:ascii="宋体" w:hAnsi="宋体" w:cs="宋体"/>
          <w:sz w:val="24"/>
          <w:highlight w:val="yellow"/>
        </w:rPr>
      </w:pPr>
      <w:r>
        <w:rPr>
          <w:rFonts w:hint="eastAsia" w:ascii="宋体" w:hAnsi="宋体" w:cs="宋体"/>
          <w:sz w:val="24"/>
        </w:rPr>
        <w:t>备注：融资服务机构名单和人员联系方式会随时变化。具体情况可登录“焦作市政府采购网”政府采购合同融资平台查询。</w:t>
      </w:r>
    </w:p>
    <w:p>
      <w:pPr>
        <w:rPr>
          <w:rFonts w:ascii="宋体" w:hAnsi="宋体" w:cs="宋体"/>
          <w:sz w:val="24"/>
          <w:highlight w:val="yellow"/>
        </w:rPr>
      </w:pPr>
    </w:p>
    <w:p>
      <w:pPr>
        <w:rPr>
          <w:highlight w:val="yellow"/>
        </w:rPr>
      </w:pPr>
    </w:p>
    <w:sectPr>
      <w:pgSz w:w="11907" w:h="16840"/>
      <w:pgMar w:top="1276" w:right="1117" w:bottom="1417" w:left="913" w:header="850" w:footer="998" w:gutter="0"/>
      <w:pgNumType w:fmt="numberInDash"/>
      <w:cols w:space="0" w:num="1"/>
      <w:rtlGutter w:val="0"/>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panose1 w:val="02040602050305030304"/>
    <w:charset w:val="00"/>
    <w:family w:val="roman"/>
    <w:pitch w:val="default"/>
    <w:sig w:usb0="00000287" w:usb1="00000000" w:usb2="00000000" w:usb3="00000000" w:csb0="2000009F" w:csb1="DFD7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2403475</wp:posOffset>
              </wp:positionH>
              <wp:positionV relativeFrom="paragraph">
                <wp:posOffset>-276225</wp:posOffset>
              </wp:positionV>
              <wp:extent cx="1514475" cy="21050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514475" cy="2105025"/>
                      </a:xfrm>
                      <a:prstGeom prst="rect">
                        <a:avLst/>
                      </a:prstGeom>
                      <a:noFill/>
                      <a:ln>
                        <a:noFill/>
                      </a:ln>
                      <a:effectLst/>
                    </wps:spPr>
                    <wps:txbx>
                      <w:txbxContent>
                        <w:p>
                          <w:pPr>
                            <w:snapToGrid w:val="0"/>
                            <w:rPr>
                              <w:sz w:val="18"/>
                            </w:rPr>
                          </w:pPr>
                        </w:p>
                      </w:txbxContent>
                    </wps:txbx>
                    <wps:bodyPr upright="1"/>
                  </wps:wsp>
                </a:graphicData>
              </a:graphic>
            </wp:anchor>
          </w:drawing>
        </mc:Choice>
        <mc:Fallback>
          <w:pict>
            <v:shape id="_x0000_s1026" o:spid="_x0000_s1026" o:spt="202" type="#_x0000_t202" style="position:absolute;left:0pt;margin-left:189.25pt;margin-top:-21.75pt;height:165.75pt;width:119.25pt;mso-position-horizontal-relative:margin;z-index:251659264;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Cetyl5sQEAAF0DAAAOAAAAAAAAAAEAIAAAACcBAABkcnMvZTJvRG9jLnhtbFBLBQYAAAAABgAG&#10;AFkBAABKBQAAAAA=&#10;">
              <v:fill on="f" focussize="0,0"/>
              <v:stroke on="f"/>
              <v:imagedata o:title=""/>
              <o:lock v:ext="edit" aspectratio="f"/>
              <v:textbox>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3360" behindDoc="0" locked="0" layoutInCell="1" allowOverlap="1">
              <wp:simplePos x="0" y="0"/>
              <wp:positionH relativeFrom="margin">
                <wp:posOffset>2551430</wp:posOffset>
              </wp:positionH>
              <wp:positionV relativeFrom="paragraph">
                <wp:posOffset>-180340</wp:posOffset>
              </wp:positionV>
              <wp:extent cx="742950" cy="42354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742950" cy="423545"/>
                      </a:xfrm>
                      <a:prstGeom prst="rect">
                        <a:avLst/>
                      </a:prstGeom>
                      <a:noFill/>
                      <a:ln>
                        <a:noFill/>
                      </a:ln>
                      <a:effectLst/>
                    </wps:spPr>
                    <wps:txbx>
                      <w:txbxContent>
                        <w:p>
                          <w:pPr>
                            <w:pStyle w:val="1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00.9pt;margin-top:-14.2pt;height:33.35pt;width:58.5pt;mso-position-horizontal-relative:margin;z-index:251663360;mso-width-relative:page;mso-height-relative:page;" filled="f" stroked="f" coordsize="21600,21600" o:gfxdata="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RQ+FNoAAAAKAQAADwAAAAAA&#10;AAABACAAAAAiAAAAZHJzL2Rvd25yZXYueG1sUEsBAhQAFAAAAAgAh07iQMqHPUURAgAAEgQAAA4A&#10;AAAAAAAAAQAgAAAAKQEAAGRycy9lMm9Eb2MueG1sUEsFBgAAAAAGAAYAWQEAAKwFAAAAAA==&#10;">
              <v:fill on="f" focussize="0,0"/>
              <v:stroke on="f"/>
              <v:imagedata o:title=""/>
              <o:lock v:ext="edit" aspectratio="f"/>
              <v:textbox inset="0mm,0mm,0mm,0mm">
                <w:txbxContent>
                  <w:p>
                    <w:pPr>
                      <w:pStyle w:val="1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10"/>
                          </w:pPr>
                          <w:r>
                            <w:fldChar w:fldCharType="begin"/>
                          </w:r>
                          <w:r>
                            <w:instrText xml:space="preserve"> PAGE  \* MERGEFORMAT </w:instrText>
                          </w:r>
                          <w:r>
                            <w:fldChar w:fldCharType="separate"/>
                          </w:r>
                          <w:r>
                            <w:t>- 1 -</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DceVkaCAIAABIEAAAOAAAAAAAAAAEAIAAAAB4BAABkcnMv&#10;ZTJvRG9jLnhtbFBLBQYAAAAABgAGAFkBAACY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16"/>
        <w:szCs w:val="22"/>
      </w:rPr>
    </w:pPr>
    <w:r>
      <w:rPr>
        <w:sz w:val="20"/>
        <w:szCs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pPr>
                            <w:pStyle w:val="10"/>
                          </w:pPr>
                          <w:r>
                            <w:fldChar w:fldCharType="begin"/>
                          </w:r>
                          <w:r>
                            <w:instrText xml:space="preserve"> PAGE  \* MERGEFORMAT </w:instrText>
                          </w:r>
                          <w:r>
                            <w:fldChar w:fldCharType="separate"/>
                          </w:r>
                          <w:r>
                            <w:t>- 34 -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pFLs0AAAAAMBAAAPAAAAAAAAAAEAIAAAACIAAABkcnMv&#10;ZG93bnJldi54bWxQSwECFAAUAAAACACHTuJAhb0aWNIBAAClAwAADgAAAAAAAAABACAAAAAfAQAA&#10;ZHJzL2Uyb0RvYy54bWxQSwUGAAAAAAYABgBZAQAAYw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- 34 -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131D5"/>
    <w:multiLevelType w:val="singleLevel"/>
    <w:tmpl w:val="806131D5"/>
    <w:lvl w:ilvl="0" w:tentative="0">
      <w:start w:val="7"/>
      <w:numFmt w:val="chineseCounting"/>
      <w:suff w:val="nothing"/>
      <w:lvlText w:val="%1、"/>
      <w:lvlJc w:val="left"/>
      <w:rPr>
        <w:rFonts w:hint="eastAsia"/>
      </w:rPr>
    </w:lvl>
  </w:abstractNum>
  <w:abstractNum w:abstractNumId="1">
    <w:nsid w:val="991C7613"/>
    <w:multiLevelType w:val="multilevel"/>
    <w:tmpl w:val="991C7613"/>
    <w:lvl w:ilvl="0" w:tentative="0">
      <w:start w:val="1"/>
      <w:numFmt w:val="decimal"/>
      <w:lvlText w:val="%1."/>
      <w:lvlJc w:val="left"/>
      <w:pPr>
        <w:ind w:left="567" w:hanging="567"/>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9B6249D5"/>
    <w:multiLevelType w:val="singleLevel"/>
    <w:tmpl w:val="9B6249D5"/>
    <w:lvl w:ilvl="0" w:tentative="0">
      <w:start w:val="1"/>
      <w:numFmt w:val="chineseCounting"/>
      <w:suff w:val="nothing"/>
      <w:lvlText w:val="%1、"/>
      <w:lvlJc w:val="left"/>
      <w:rPr>
        <w:rFonts w:hint="eastAsia"/>
      </w:rPr>
    </w:lvl>
  </w:abstractNum>
  <w:abstractNum w:abstractNumId="3">
    <w:nsid w:val="D6A8FD69"/>
    <w:multiLevelType w:val="singleLevel"/>
    <w:tmpl w:val="D6A8FD69"/>
    <w:lvl w:ilvl="0" w:tentative="0">
      <w:start w:val="7"/>
      <w:numFmt w:val="chineseCounting"/>
      <w:suff w:val="nothing"/>
      <w:lvlText w:val="%1、"/>
      <w:lvlJc w:val="left"/>
      <w:rPr>
        <w:rFonts w:hint="eastAsia"/>
      </w:rPr>
    </w:lvl>
  </w:abstractNum>
  <w:abstractNum w:abstractNumId="4">
    <w:nsid w:val="E25B3C03"/>
    <w:multiLevelType w:val="singleLevel"/>
    <w:tmpl w:val="E25B3C03"/>
    <w:lvl w:ilvl="0" w:tentative="0">
      <w:start w:val="1"/>
      <w:numFmt w:val="decimal"/>
      <w:suff w:val="nothing"/>
      <w:lvlText w:val="（%1）"/>
      <w:lvlJc w:val="left"/>
    </w:lvl>
  </w:abstractNum>
  <w:abstractNum w:abstractNumId="5">
    <w:nsid w:val="00000001"/>
    <w:multiLevelType w:val="multilevel"/>
    <w:tmpl w:val="00000001"/>
    <w:lvl w:ilvl="0" w:tentative="0">
      <w:start w:val="1"/>
      <w:numFmt w:val="decimal"/>
      <w:lvlText w:val="%1．"/>
      <w:lvlJc w:val="left"/>
      <w:pPr>
        <w:tabs>
          <w:tab w:val="left" w:pos="825"/>
        </w:tabs>
        <w:ind w:left="332" w:hanging="22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C58BAF0"/>
    <w:multiLevelType w:val="singleLevel"/>
    <w:tmpl w:val="1C58BAF0"/>
    <w:lvl w:ilvl="0" w:tentative="0">
      <w:start w:val="1"/>
      <w:numFmt w:val="decimal"/>
      <w:suff w:val="nothing"/>
      <w:lvlText w:val="（%1）"/>
      <w:lvlJc w:val="left"/>
    </w:lvl>
  </w:abstractNum>
  <w:abstractNum w:abstractNumId="8">
    <w:nsid w:val="59CCA2E1"/>
    <w:multiLevelType w:val="singleLevel"/>
    <w:tmpl w:val="59CCA2E1"/>
    <w:lvl w:ilvl="0" w:tentative="0">
      <w:start w:val="1"/>
      <w:numFmt w:val="decimal"/>
      <w:suff w:val="nothing"/>
      <w:lvlText w:val="（%1）"/>
      <w:lvlJc w:val="left"/>
    </w:lvl>
  </w:abstractNum>
  <w:abstractNum w:abstractNumId="9">
    <w:nsid w:val="5A693C2F"/>
    <w:multiLevelType w:val="singleLevel"/>
    <w:tmpl w:val="5A693C2F"/>
    <w:lvl w:ilvl="0" w:tentative="0">
      <w:start w:val="3"/>
      <w:numFmt w:val="chineseCounting"/>
      <w:suff w:val="space"/>
      <w:lvlText w:val="第%1章"/>
      <w:lvlJc w:val="left"/>
    </w:lvl>
  </w:abstractNum>
  <w:abstractNum w:abstractNumId="10">
    <w:nsid w:val="75324FB0"/>
    <w:multiLevelType w:val="singleLevel"/>
    <w:tmpl w:val="75324FB0"/>
    <w:lvl w:ilvl="0" w:tentative="0">
      <w:start w:val="1"/>
      <w:numFmt w:val="chineseCounting"/>
      <w:suff w:val="space"/>
      <w:lvlText w:val="第%1章"/>
      <w:lvlJc w:val="left"/>
      <w:pPr>
        <w:ind w:left="630"/>
      </w:pPr>
      <w:rPr>
        <w:rFonts w:hint="eastAsia"/>
      </w:rPr>
    </w:lvl>
  </w:abstractNum>
  <w:num w:numId="1">
    <w:abstractNumId w:val="10"/>
  </w:num>
  <w:num w:numId="2">
    <w:abstractNumId w:val="0"/>
  </w:num>
  <w:num w:numId="3">
    <w:abstractNumId w:val="6"/>
  </w:num>
  <w:num w:numId="4">
    <w:abstractNumId w:val="9"/>
  </w:num>
  <w:num w:numId="5">
    <w:abstractNumId w:val="1"/>
  </w:num>
  <w:num w:numId="6">
    <w:abstractNumId w:val="7"/>
  </w:num>
  <w:num w:numId="7">
    <w:abstractNumId w:val="4"/>
  </w:num>
  <w:num w:numId="8">
    <w:abstractNumId w:val="2"/>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C74BD"/>
    <w:rsid w:val="01CD0413"/>
    <w:rsid w:val="04351B1E"/>
    <w:rsid w:val="049A5F70"/>
    <w:rsid w:val="08B6562F"/>
    <w:rsid w:val="0C076843"/>
    <w:rsid w:val="0D792EC2"/>
    <w:rsid w:val="0D81592D"/>
    <w:rsid w:val="0EDE6CBA"/>
    <w:rsid w:val="16997753"/>
    <w:rsid w:val="19EF2318"/>
    <w:rsid w:val="1BD529D4"/>
    <w:rsid w:val="1E360353"/>
    <w:rsid w:val="23C21A0E"/>
    <w:rsid w:val="245D7AC3"/>
    <w:rsid w:val="2D4B17C9"/>
    <w:rsid w:val="2E7164C1"/>
    <w:rsid w:val="356103C1"/>
    <w:rsid w:val="3AC405E4"/>
    <w:rsid w:val="3B680882"/>
    <w:rsid w:val="3C875BD5"/>
    <w:rsid w:val="3FD66319"/>
    <w:rsid w:val="407C1AED"/>
    <w:rsid w:val="42181E5B"/>
    <w:rsid w:val="42F65BA4"/>
    <w:rsid w:val="486E372E"/>
    <w:rsid w:val="51B11685"/>
    <w:rsid w:val="522B7DE8"/>
    <w:rsid w:val="5549056E"/>
    <w:rsid w:val="5664557C"/>
    <w:rsid w:val="56BB3C75"/>
    <w:rsid w:val="56DE7067"/>
    <w:rsid w:val="57527C3E"/>
    <w:rsid w:val="5AE6318E"/>
    <w:rsid w:val="5C8E651C"/>
    <w:rsid w:val="5EAE4FD3"/>
    <w:rsid w:val="64CA3CB4"/>
    <w:rsid w:val="65EF7DA6"/>
    <w:rsid w:val="67477DD7"/>
    <w:rsid w:val="67923FAF"/>
    <w:rsid w:val="682E6AFE"/>
    <w:rsid w:val="73BE3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4">
    <w:name w:val="heading 4"/>
    <w:basedOn w:val="1"/>
    <w:next w:val="1"/>
    <w:qFormat/>
    <w:uiPriority w:val="0"/>
    <w:pPr>
      <w:keepNext/>
      <w:keepLines/>
      <w:spacing w:before="280" w:after="290" w:line="376" w:lineRule="auto"/>
      <w:outlineLvl w:val="3"/>
    </w:pPr>
    <w:rPr>
      <w:rFonts w:ascii="Times New Roman" w:hAnsi="Times New Roman"/>
      <w:sz w:val="32"/>
      <w:szCs w:val="2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rPr>
  </w:style>
  <w:style w:type="paragraph" w:styleId="3">
    <w:name w:val="Body Text 2"/>
    <w:basedOn w:val="1"/>
    <w:next w:val="2"/>
    <w:unhideWhenUsed/>
    <w:qFormat/>
    <w:uiPriority w:val="0"/>
    <w:pPr>
      <w:spacing w:after="120" w:line="480" w:lineRule="auto"/>
    </w:pPr>
    <w:rPr>
      <w:rFonts w:ascii="Times New Roman" w:hAnsi="Times New Roman"/>
    </w:rPr>
  </w:style>
  <w:style w:type="paragraph" w:styleId="5">
    <w:name w:val="toa heading"/>
    <w:basedOn w:val="1"/>
    <w:next w:val="1"/>
    <w:unhideWhenUsed/>
    <w:qFormat/>
    <w:uiPriority w:val="99"/>
    <w:pPr>
      <w:spacing w:before="120"/>
    </w:pPr>
    <w:rPr>
      <w:rFonts w:ascii="Arial" w:hAnsi="Arial" w:cs="Arial"/>
      <w:sz w:val="24"/>
    </w:rPr>
  </w:style>
  <w:style w:type="paragraph" w:styleId="6">
    <w:name w:val="Body Text 3"/>
    <w:basedOn w:val="1"/>
    <w:unhideWhenUsed/>
    <w:qFormat/>
    <w:uiPriority w:val="0"/>
    <w:pPr>
      <w:spacing w:after="120"/>
    </w:pPr>
    <w:rPr>
      <w:rFonts w:ascii="Times New Roman" w:hAnsi="Times New Roman"/>
      <w:sz w:val="16"/>
      <w:szCs w:val="16"/>
    </w:rPr>
  </w:style>
  <w:style w:type="paragraph" w:styleId="7">
    <w:name w:val="Body Text Indent"/>
    <w:basedOn w:val="1"/>
    <w:next w:val="8"/>
    <w:qFormat/>
    <w:uiPriority w:val="0"/>
    <w:pPr>
      <w:ind w:firstLine="560" w:firstLineChars="200"/>
    </w:pPr>
    <w:rPr>
      <w:rFonts w:ascii="Times New Roman" w:hAnsi="Times New Roman"/>
    </w:rPr>
  </w:style>
  <w:style w:type="paragraph" w:styleId="8">
    <w:name w:val="envelope return"/>
    <w:basedOn w:val="1"/>
    <w:qFormat/>
    <w:uiPriority w:val="99"/>
    <w:pPr>
      <w:snapToGrid w:val="0"/>
    </w:pPr>
    <w:rPr>
      <w:rFonts w:ascii="Arial" w:hAnsi="Arial" w:cs="Arial"/>
    </w:rPr>
  </w:style>
  <w:style w:type="paragraph" w:styleId="9">
    <w:name w:val="Plain Text"/>
    <w:basedOn w:val="1"/>
    <w:qFormat/>
    <w:uiPriority w:val="0"/>
    <w:rPr>
      <w:rFonts w:hint="eastAsia" w:ascii="宋体" w:hAnsi="Courier New"/>
      <w:szCs w:val="21"/>
    </w:rPr>
  </w:style>
  <w:style w:type="paragraph" w:styleId="10">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12">
    <w:name w:val="toc 1"/>
    <w:basedOn w:val="1"/>
    <w:next w:val="1"/>
    <w:qFormat/>
    <w:uiPriority w:val="0"/>
    <w:rPr>
      <w:rFonts w:ascii="Times New Roman" w:hAnsi="Times New Roman"/>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Title"/>
    <w:basedOn w:val="1"/>
    <w:next w:val="1"/>
    <w:qFormat/>
    <w:uiPriority w:val="0"/>
    <w:pPr>
      <w:spacing w:before="240" w:after="60"/>
      <w:jc w:val="center"/>
      <w:outlineLvl w:val="0"/>
    </w:pPr>
    <w:rPr>
      <w:rFonts w:ascii="Calibri Light" w:hAnsi="Calibri Light" w:eastAsia="Calibri Light"/>
      <w:b/>
      <w:sz w:val="32"/>
      <w:szCs w:val="32"/>
    </w:rPr>
  </w:style>
  <w:style w:type="paragraph" w:styleId="15">
    <w:name w:val="Body Text First Indent"/>
    <w:basedOn w:val="2"/>
    <w:next w:val="16"/>
    <w:unhideWhenUsed/>
    <w:qFormat/>
    <w:uiPriority w:val="0"/>
    <w:pPr>
      <w:ind w:firstLine="420" w:firstLineChars="100"/>
    </w:pPr>
    <w:rPr>
      <w:rFonts w:hint="eastAsia" w:ascii="楷体_GB2312" w:eastAsia="楷体_GB2312"/>
      <w:sz w:val="32"/>
    </w:rPr>
  </w:style>
  <w:style w:type="paragraph" w:styleId="16">
    <w:name w:val="Body Text First Indent 2"/>
    <w:basedOn w:val="7"/>
    <w:next w:val="1"/>
    <w:qFormat/>
    <w:uiPriority w:val="0"/>
    <w:pPr>
      <w:ind w:firstLine="420"/>
    </w:p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
    <w:name w:val="Body Text First Indent1"/>
    <w:basedOn w:val="2"/>
    <w:qFormat/>
    <w:uiPriority w:val="0"/>
    <w:pPr>
      <w:ind w:firstLine="420" w:firstLineChars="100"/>
    </w:pPr>
  </w:style>
  <w:style w:type="paragraph" w:customStyle="1" w:styleId="21">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22">
    <w:name w:val="Default"/>
    <w:basedOn w:val="1"/>
    <w:next w:val="1"/>
    <w:qFormat/>
    <w:uiPriority w:val="0"/>
    <w:pPr>
      <w:autoSpaceDE w:val="0"/>
      <w:autoSpaceDN w:val="0"/>
      <w:adjustRightInd w:val="0"/>
      <w:jc w:val="left"/>
    </w:pPr>
    <w:rPr>
      <w:rFonts w:hint="eastAsia" w:ascii="宋体" w:hAnsi="Calibri"/>
      <w:color w:val="000000"/>
      <w:kern w:val="0"/>
      <w:sz w:val="24"/>
    </w:rPr>
  </w:style>
  <w:style w:type="paragraph" w:customStyle="1" w:styleId="23">
    <w:name w:val="表格文字"/>
    <w:basedOn w:val="1"/>
    <w:next w:val="2"/>
    <w:qFormat/>
    <w:uiPriority w:val="0"/>
    <w:pPr>
      <w:adjustRightInd w:val="0"/>
      <w:spacing w:line="420" w:lineRule="atLeast"/>
      <w:jc w:val="left"/>
      <w:textAlignment w:val="baseline"/>
    </w:pPr>
    <w:rPr>
      <w:kern w:val="0"/>
    </w:rPr>
  </w:style>
  <w:style w:type="paragraph" w:customStyle="1" w:styleId="24">
    <w:name w:val="p0"/>
    <w:basedOn w:val="1"/>
    <w:qFormat/>
    <w:uiPriority w:val="0"/>
    <w:pPr>
      <w:widowControl/>
    </w:pPr>
    <w:rPr>
      <w:rFonts w:ascii="Times New Roman" w:hAnsi="Times New Roman"/>
      <w:kern w:val="0"/>
      <w:szCs w:val="21"/>
    </w:rPr>
  </w:style>
  <w:style w:type="character" w:customStyle="1" w:styleId="25">
    <w:name w:val="NormalCharacter"/>
    <w:qFormat/>
    <w:uiPriority w:val="0"/>
    <w:rPr>
      <w:rFonts w:ascii="Book Antiqua" w:hAnsi="Book Antiqua" w:eastAsia="宋体" w:cs="Times New Roman"/>
      <w:kern w:val="2"/>
      <w:sz w:val="21"/>
      <w:szCs w:val="24"/>
      <w:lang w:val="en-US" w:eastAsia="zh-CN" w:bidi="ar-SA"/>
    </w:rPr>
  </w:style>
  <w:style w:type="paragraph" w:customStyle="1" w:styleId="26">
    <w:name w:val="BodyText1I"/>
    <w:basedOn w:val="27"/>
    <w:next w:val="29"/>
    <w:qFormat/>
    <w:uiPriority w:val="0"/>
    <w:pPr>
      <w:ind w:firstLine="420" w:firstLineChars="100"/>
    </w:pPr>
    <w:rPr>
      <w:rFonts w:ascii="楷体_GB2312"/>
      <w:sz w:val="32"/>
    </w:rPr>
  </w:style>
  <w:style w:type="paragraph" w:customStyle="1" w:styleId="27">
    <w:name w:val="BodyText"/>
    <w:basedOn w:val="1"/>
    <w:next w:val="28"/>
    <w:qFormat/>
    <w:uiPriority w:val="0"/>
    <w:pPr>
      <w:textAlignment w:val="baseline"/>
    </w:pPr>
    <w:rPr>
      <w:rFonts w:ascii="Calibri" w:hAnsi="Calibri" w:eastAsia="楷体_GB2312"/>
      <w:kern w:val="0"/>
      <w:sz w:val="28"/>
    </w:rPr>
  </w:style>
  <w:style w:type="paragraph" w:customStyle="1" w:styleId="28">
    <w:name w:val="BodyText2"/>
    <w:basedOn w:val="1"/>
    <w:next w:val="27"/>
    <w:qFormat/>
    <w:uiPriority w:val="0"/>
    <w:pPr>
      <w:spacing w:after="120" w:line="480" w:lineRule="auto"/>
      <w:textAlignment w:val="baseline"/>
    </w:pPr>
  </w:style>
  <w:style w:type="paragraph" w:customStyle="1" w:styleId="29">
    <w:name w:val="BodyText1I2"/>
    <w:basedOn w:val="30"/>
    <w:qFormat/>
    <w:uiPriority w:val="0"/>
    <w:pPr>
      <w:ind w:firstLine="420" w:firstLineChars="200"/>
    </w:pPr>
  </w:style>
  <w:style w:type="paragraph" w:customStyle="1" w:styleId="30">
    <w:name w:val="BodyTextIndent"/>
    <w:basedOn w:val="1"/>
    <w:qFormat/>
    <w:uiPriority w:val="0"/>
    <w:pPr>
      <w:spacing w:after="120"/>
      <w:ind w:left="420" w:leftChars="200"/>
      <w:textAlignment w:val="baseline"/>
    </w:pPr>
  </w:style>
  <w:style w:type="paragraph" w:customStyle="1" w:styleId="31">
    <w:name w:val="TOAHeading"/>
    <w:basedOn w:val="1"/>
    <w:next w:val="1"/>
    <w:qFormat/>
    <w:uiPriority w:val="0"/>
    <w:pPr>
      <w:spacing w:before="120"/>
      <w:textAlignment w:val="baseline"/>
    </w:pPr>
    <w:rPr>
      <w:rFonts w:ascii="Arial" w:hAnsi="Arial"/>
      <w:sz w:val="24"/>
      <w:szCs w:val="22"/>
    </w:rPr>
  </w:style>
  <w:style w:type="paragraph" w:customStyle="1" w:styleId="32">
    <w:name w:val="Table Paragraph"/>
    <w:basedOn w:val="1"/>
    <w:qFormat/>
    <w:uiPriority w:val="1"/>
    <w:rPr>
      <w:rFonts w:ascii="宋体" w:hAnsi="宋体" w:cs="宋体"/>
      <w:lang w:val="zh-CN" w:bidi="zh-CN"/>
    </w:rPr>
  </w:style>
  <w:style w:type="paragraph" w:styleId="33">
    <w:name w:val="List Paragraph"/>
    <w:basedOn w:val="1"/>
    <w:qFormat/>
    <w:uiPriority w:val="0"/>
    <w:pPr>
      <w:widowControl/>
      <w:ind w:left="720"/>
      <w:jc w:val="left"/>
    </w:pPr>
    <w:rPr>
      <w:rFonts w:hint="eastAsia" w:ascii="Calibri" w:hAnsi="Calibri"/>
      <w:kern w:val="0"/>
      <w:sz w:val="24"/>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2021-10-26T03:00:00Z</dcterms:created>
  <dc:creator>DELL</dc:creator>
  <cp:lastModifiedBy>Trumen</cp:lastModifiedBy>
  <cp:lastPrinted>2021-12-29T10:01:00Z</cp:lastPrinted>
  <dcterms:modified xsi:type="dcterms:W3CDTF">2021-12-30T07:59:54Z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4232ED472E1C4CA09004CBEC284CE638</vt:lpwstr>
  </property>
</Properties>
</file>