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3"/>
        <w:rPr>
          <w:rFonts w:asciiTheme="minorEastAsia" w:hAnsiTheme="minorEastAsia" w:eastAsiaTheme="minorEastAsia" w:cstheme="minorEastAsia"/>
        </w:rPr>
      </w:pPr>
      <w:bookmarkStart w:id="0" w:name="_Toc281574833"/>
    </w:p>
    <w:p>
      <w:pPr>
        <w:pStyle w:val="4"/>
        <w:rPr>
          <w:rFonts w:asciiTheme="minorEastAsia" w:hAnsiTheme="minorEastAsia" w:eastAsiaTheme="minorEastAsia" w:cstheme="minorEastAsia"/>
        </w:rPr>
      </w:pPr>
    </w:p>
    <w:p>
      <w:pPr>
        <w:spacing w:line="560" w:lineRule="exact"/>
        <w:ind w:right="-330" w:rightChars="-157"/>
        <w:jc w:val="center"/>
        <w:rPr>
          <w:rFonts w:hint="eastAsia" w:asciiTheme="majorEastAsia" w:hAnsiTheme="majorEastAsia" w:eastAsiaTheme="majorEastAsia" w:cstheme="majorEastAsia"/>
          <w:b/>
          <w:bCs/>
          <w:sz w:val="44"/>
          <w:szCs w:val="44"/>
          <w:lang w:eastAsia="zh-CN"/>
        </w:rPr>
      </w:pPr>
      <w:r>
        <w:rPr>
          <w:rFonts w:hint="eastAsia" w:asciiTheme="majorEastAsia" w:hAnsiTheme="majorEastAsia" w:eastAsiaTheme="majorEastAsia" w:cstheme="majorEastAsia"/>
          <w:b/>
          <w:bCs/>
          <w:sz w:val="44"/>
          <w:szCs w:val="44"/>
          <w:lang w:eastAsia="zh-CN"/>
        </w:rPr>
        <w:t>博爱县人民医院康复医疗设备技术升级改造</w:t>
      </w:r>
    </w:p>
    <w:p>
      <w:pPr>
        <w:spacing w:line="560" w:lineRule="exact"/>
        <w:ind w:right="-330" w:rightChars="-157"/>
        <w:jc w:val="center"/>
        <w:rPr>
          <w:rFonts w:hint="eastAsia" w:asciiTheme="majorEastAsia" w:hAnsiTheme="majorEastAsia" w:eastAsiaTheme="majorEastAsia" w:cstheme="majorEastAsia"/>
          <w:b/>
          <w:bCs/>
          <w:sz w:val="44"/>
          <w:szCs w:val="44"/>
          <w:lang w:eastAsia="zh-CN"/>
        </w:rPr>
      </w:pPr>
      <w:r>
        <w:rPr>
          <w:rFonts w:hint="eastAsia" w:asciiTheme="majorEastAsia" w:hAnsiTheme="majorEastAsia" w:eastAsiaTheme="majorEastAsia" w:cstheme="majorEastAsia"/>
          <w:b/>
          <w:bCs/>
          <w:sz w:val="44"/>
          <w:szCs w:val="44"/>
          <w:lang w:eastAsia="zh-CN"/>
        </w:rPr>
        <w:t>采购项目（二次）</w:t>
      </w:r>
    </w:p>
    <w:p>
      <w:pPr>
        <w:spacing w:line="360" w:lineRule="auto"/>
        <w:jc w:val="center"/>
        <w:rPr>
          <w:rFonts w:asciiTheme="minorEastAsia" w:hAnsiTheme="minorEastAsia" w:eastAsiaTheme="minorEastAsia" w:cstheme="minorEastAsia"/>
          <w:sz w:val="28"/>
        </w:rPr>
      </w:pPr>
    </w:p>
    <w:p>
      <w:pPr>
        <w:pStyle w:val="106"/>
        <w:ind w:firstLine="210"/>
        <w:rPr>
          <w:rFonts w:asciiTheme="minorEastAsia" w:hAnsiTheme="minorEastAsia" w:eastAsiaTheme="minorEastAsia" w:cstheme="minorEastAsia"/>
          <w:highlight w:val="yellow"/>
        </w:rPr>
      </w:pPr>
    </w:p>
    <w:p>
      <w:pPr>
        <w:spacing w:line="360" w:lineRule="auto"/>
        <w:jc w:val="center"/>
        <w:rPr>
          <w:rFonts w:asciiTheme="minorEastAsia" w:hAnsiTheme="minorEastAsia" w:eastAsiaTheme="minorEastAsia" w:cstheme="minorEastAsia"/>
          <w:b/>
          <w:sz w:val="84"/>
          <w:szCs w:val="84"/>
        </w:rPr>
      </w:pPr>
    </w:p>
    <w:p>
      <w:pPr>
        <w:pStyle w:val="12"/>
      </w:pPr>
      <w:r>
        <w:rPr>
          <w:rFonts w:hint="eastAsia"/>
        </w:rPr>
        <w:t xml:space="preserve"> </w:t>
      </w:r>
    </w:p>
    <w:p>
      <w:pPr>
        <w:spacing w:line="360" w:lineRule="auto"/>
        <w:jc w:val="center"/>
        <w:rPr>
          <w:rFonts w:asciiTheme="minorEastAsia" w:hAnsiTheme="minorEastAsia" w:eastAsiaTheme="minorEastAsia" w:cstheme="minorEastAsia"/>
          <w:b/>
          <w:sz w:val="120"/>
          <w:szCs w:val="120"/>
        </w:rPr>
      </w:pPr>
      <w:r>
        <w:rPr>
          <w:rFonts w:hint="eastAsia" w:asciiTheme="minorEastAsia" w:hAnsiTheme="minorEastAsia" w:eastAsiaTheme="minorEastAsia" w:cstheme="minorEastAsia"/>
          <w:b/>
          <w:sz w:val="120"/>
          <w:szCs w:val="120"/>
        </w:rPr>
        <w:t>招 标 文 件</w:t>
      </w:r>
    </w:p>
    <w:p>
      <w:pPr>
        <w:spacing w:line="360" w:lineRule="auto"/>
        <w:jc w:val="center"/>
        <w:rPr>
          <w:rFonts w:asciiTheme="minorEastAsia" w:hAnsiTheme="minorEastAsia" w:eastAsiaTheme="minorEastAsia" w:cstheme="minorEastAsia"/>
          <w:b/>
          <w:bCs/>
          <w:sz w:val="36"/>
          <w:szCs w:val="36"/>
        </w:rPr>
      </w:pPr>
      <w:r>
        <w:rPr>
          <w:rFonts w:hint="eastAsia" w:asciiTheme="minorEastAsia" w:hAnsiTheme="minorEastAsia" w:eastAsiaTheme="minorEastAsia" w:cstheme="minorEastAsia"/>
          <w:b/>
          <w:bCs/>
          <w:sz w:val="36"/>
          <w:szCs w:val="36"/>
        </w:rPr>
        <w:t>采购编号：</w:t>
      </w:r>
      <w:r>
        <w:rPr>
          <w:rFonts w:hint="eastAsia" w:asciiTheme="minorEastAsia" w:hAnsiTheme="minorEastAsia" w:eastAsiaTheme="minorEastAsia" w:cstheme="minorEastAsia"/>
          <w:b/>
          <w:bCs/>
          <w:sz w:val="36"/>
          <w:szCs w:val="36"/>
          <w:lang w:eastAsia="zh-CN"/>
        </w:rPr>
        <w:t>博政采购(2021)114</w:t>
      </w:r>
      <w:r>
        <w:rPr>
          <w:rFonts w:hint="eastAsia" w:asciiTheme="minorEastAsia" w:hAnsiTheme="minorEastAsia" w:eastAsiaTheme="minorEastAsia" w:cstheme="minorEastAsia"/>
          <w:b/>
          <w:bCs/>
          <w:sz w:val="36"/>
          <w:szCs w:val="36"/>
        </w:rPr>
        <w:t>号</w:t>
      </w:r>
    </w:p>
    <w:p>
      <w:pPr>
        <w:jc w:val="center"/>
        <w:rPr>
          <w:rFonts w:asciiTheme="minorEastAsia" w:hAnsiTheme="minorEastAsia" w:eastAsiaTheme="minorEastAsia" w:cstheme="minorEastAsia"/>
          <w:sz w:val="30"/>
        </w:rPr>
      </w:pPr>
    </w:p>
    <w:p>
      <w:pPr>
        <w:rPr>
          <w:rFonts w:asciiTheme="minorEastAsia" w:hAnsiTheme="minorEastAsia" w:eastAsiaTheme="minorEastAsia" w:cstheme="minorEastAsia"/>
          <w:sz w:val="30"/>
        </w:rPr>
      </w:pPr>
    </w:p>
    <w:p>
      <w:pPr>
        <w:rPr>
          <w:rFonts w:asciiTheme="minorEastAsia" w:hAnsiTheme="minorEastAsia" w:eastAsiaTheme="minorEastAsia" w:cstheme="minorEastAsia"/>
        </w:rPr>
      </w:pPr>
    </w:p>
    <w:p>
      <w:pPr>
        <w:rPr>
          <w:rFonts w:asciiTheme="minorEastAsia" w:hAnsiTheme="minorEastAsia" w:eastAsiaTheme="minorEastAsia" w:cstheme="minorEastAsia"/>
        </w:rPr>
      </w:pPr>
    </w:p>
    <w:p>
      <w:pPr>
        <w:ind w:firstLine="1928" w:firstLineChars="600"/>
        <w:rPr>
          <w:rFonts w:asciiTheme="minorEastAsia" w:hAnsiTheme="minorEastAsia" w:eastAsiaTheme="minorEastAsia" w:cstheme="minorEastAsia"/>
          <w:b/>
          <w:bCs/>
          <w:sz w:val="32"/>
          <w:szCs w:val="32"/>
        </w:rPr>
      </w:pPr>
    </w:p>
    <w:p>
      <w:pPr>
        <w:ind w:firstLine="1928" w:firstLineChars="600"/>
        <w:rPr>
          <w:rFonts w:asciiTheme="minorEastAsia" w:hAnsiTheme="minorEastAsia" w:eastAsiaTheme="minorEastAsia" w:cstheme="minorEastAsia"/>
          <w:b/>
          <w:bCs/>
          <w:sz w:val="32"/>
          <w:szCs w:val="32"/>
        </w:rPr>
      </w:pPr>
    </w:p>
    <w:p>
      <w:pPr>
        <w:ind w:firstLine="1928" w:firstLineChars="600"/>
        <w:rPr>
          <w:rFonts w:hint="eastAsia" w:asciiTheme="minorEastAsia" w:hAnsiTheme="minorEastAsia" w:eastAsiaTheme="minorEastAsia" w:cstheme="minorEastAsia"/>
          <w:b/>
          <w:bCs/>
          <w:sz w:val="32"/>
          <w:szCs w:val="32"/>
          <w:lang w:eastAsia="zh-CN"/>
        </w:rPr>
      </w:pPr>
      <w:r>
        <w:rPr>
          <w:rFonts w:hint="eastAsia" w:asciiTheme="minorEastAsia" w:hAnsiTheme="minorEastAsia" w:eastAsiaTheme="minorEastAsia" w:cstheme="minorEastAsia"/>
          <w:b/>
          <w:bCs/>
          <w:sz w:val="32"/>
          <w:szCs w:val="32"/>
        </w:rPr>
        <w:t>采 购 人：</w:t>
      </w:r>
      <w:r>
        <w:rPr>
          <w:rFonts w:hint="eastAsia" w:asciiTheme="minorEastAsia" w:hAnsiTheme="minorEastAsia" w:eastAsiaTheme="minorEastAsia" w:cstheme="minorEastAsia"/>
          <w:b/>
          <w:bCs/>
          <w:sz w:val="32"/>
          <w:szCs w:val="32"/>
          <w:lang w:eastAsia="zh-CN"/>
        </w:rPr>
        <w:t>博爱县人民医院</w:t>
      </w:r>
    </w:p>
    <w:p>
      <w:pPr>
        <w:ind w:firstLine="1928" w:firstLineChars="600"/>
        <w:rPr>
          <w:rFonts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代理机构：博爱县城市建设项目管理有限公司</w:t>
      </w:r>
    </w:p>
    <w:p>
      <w:pPr>
        <w:ind w:firstLine="1928" w:firstLineChars="600"/>
        <w:rPr>
          <w:rFonts w:asciiTheme="minorEastAsia" w:hAnsiTheme="minorEastAsia" w:eastAsiaTheme="minorEastAsia" w:cstheme="minorEastAsia"/>
          <w:b/>
          <w:bCs/>
          <w:sz w:val="32"/>
          <w:szCs w:val="32"/>
        </w:rPr>
        <w:sectPr>
          <w:headerReference r:id="rId5" w:type="first"/>
          <w:footerReference r:id="rId8" w:type="first"/>
          <w:headerReference r:id="rId3" w:type="default"/>
          <w:footerReference r:id="rId6" w:type="default"/>
          <w:headerReference r:id="rId4" w:type="even"/>
          <w:footerReference r:id="rId7" w:type="even"/>
          <w:pgSz w:w="11907" w:h="16840"/>
          <w:pgMar w:top="597" w:right="1116" w:bottom="1417" w:left="1331" w:header="624" w:footer="998" w:gutter="0"/>
          <w:pgNumType w:fmt="numberInDash" w:start="1"/>
          <w:cols w:space="720" w:num="1"/>
          <w:titlePg/>
          <w:docGrid w:type="lines" w:linePitch="380" w:charSpace="0"/>
        </w:sectPr>
      </w:pPr>
      <w:r>
        <w:rPr>
          <w:rFonts w:hint="eastAsia" w:asciiTheme="minorEastAsia" w:hAnsiTheme="minorEastAsia" w:eastAsiaTheme="minorEastAsia" w:cstheme="minorEastAsia"/>
          <w:b/>
          <w:bCs/>
          <w:sz w:val="32"/>
          <w:szCs w:val="32"/>
        </w:rPr>
        <w:t>日    期：2021年</w:t>
      </w:r>
      <w:r>
        <w:rPr>
          <w:rFonts w:hint="eastAsia" w:asciiTheme="minorEastAsia" w:hAnsiTheme="minorEastAsia" w:eastAsiaTheme="minorEastAsia" w:cstheme="minorEastAsia"/>
          <w:b/>
          <w:bCs/>
          <w:sz w:val="32"/>
          <w:szCs w:val="32"/>
          <w:lang w:val="en-US" w:eastAsia="zh-CN"/>
        </w:rPr>
        <w:t>12</w:t>
      </w:r>
      <w:r>
        <w:rPr>
          <w:rFonts w:hint="eastAsia" w:asciiTheme="minorEastAsia" w:hAnsiTheme="minorEastAsia" w:eastAsiaTheme="minorEastAsia" w:cstheme="minorEastAsia"/>
          <w:b/>
          <w:bCs/>
          <w:sz w:val="32"/>
          <w:szCs w:val="32"/>
        </w:rPr>
        <w:t>月</w:t>
      </w:r>
    </w:p>
    <w:p>
      <w:pPr>
        <w:jc w:val="center"/>
        <w:rPr>
          <w:rFonts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目     录</w:t>
      </w:r>
    </w:p>
    <w:p>
      <w:pPr>
        <w:pStyle w:val="30"/>
        <w:tabs>
          <w:tab w:val="right" w:leader="dot" w:pos="9460"/>
        </w:tabs>
        <w:spacing w:line="520" w:lineRule="exact"/>
        <w:rPr>
          <w:b/>
          <w:bCs/>
        </w:rPr>
      </w:pPr>
      <w:r>
        <w:rPr>
          <w:rFonts w:hint="eastAsia" w:asciiTheme="minorEastAsia" w:hAnsiTheme="minorEastAsia" w:eastAsiaTheme="minorEastAsia" w:cstheme="minorEastAsia"/>
          <w:b/>
          <w:bCs/>
          <w:szCs w:val="21"/>
          <w:lang w:val="zh-CN"/>
        </w:rPr>
        <w:fldChar w:fldCharType="begin"/>
      </w:r>
      <w:r>
        <w:rPr>
          <w:rFonts w:hint="eastAsia" w:asciiTheme="minorEastAsia" w:hAnsiTheme="minorEastAsia" w:eastAsiaTheme="minorEastAsia" w:cstheme="minorEastAsia"/>
          <w:b/>
          <w:bCs/>
          <w:szCs w:val="21"/>
          <w:lang w:val="zh-CN"/>
        </w:rPr>
        <w:instrText xml:space="preserve"> TOC \o "1-3" \h \z \u </w:instrText>
      </w:r>
      <w:r>
        <w:rPr>
          <w:rFonts w:hint="eastAsia" w:asciiTheme="minorEastAsia" w:hAnsiTheme="minorEastAsia" w:eastAsiaTheme="minorEastAsia" w:cstheme="minorEastAsia"/>
          <w:b/>
          <w:bCs/>
          <w:szCs w:val="21"/>
          <w:lang w:val="zh-CN"/>
        </w:rPr>
        <w:fldChar w:fldCharType="separate"/>
      </w:r>
      <w:r>
        <w:fldChar w:fldCharType="begin"/>
      </w:r>
      <w:r>
        <w:instrText xml:space="preserve"> HYPERLINK \l "_Toc9243" </w:instrText>
      </w:r>
      <w:r>
        <w:fldChar w:fldCharType="separate"/>
      </w:r>
      <w:r>
        <w:rPr>
          <w:rFonts w:hint="eastAsia" w:asciiTheme="minorEastAsia" w:hAnsiTheme="minorEastAsia" w:eastAsiaTheme="minorEastAsia" w:cstheme="minorEastAsia"/>
          <w:b/>
          <w:bCs/>
        </w:rPr>
        <w:t>第一章   招标公告</w:t>
      </w:r>
      <w:r>
        <w:rPr>
          <w:b/>
          <w:bCs/>
        </w:rPr>
        <w:tab/>
      </w:r>
      <w:r>
        <w:rPr>
          <w:b/>
          <w:bCs/>
        </w:rPr>
        <w:fldChar w:fldCharType="begin"/>
      </w:r>
      <w:r>
        <w:rPr>
          <w:b/>
          <w:bCs/>
        </w:rPr>
        <w:instrText xml:space="preserve"> PAGEREF _Toc9243 </w:instrText>
      </w:r>
      <w:r>
        <w:rPr>
          <w:b/>
          <w:bCs/>
        </w:rPr>
        <w:fldChar w:fldCharType="separate"/>
      </w:r>
      <w:r>
        <w:rPr>
          <w:b/>
          <w:bCs/>
        </w:rPr>
        <w:t>- 3 -</w:t>
      </w:r>
      <w:r>
        <w:rPr>
          <w:b/>
          <w:bCs/>
        </w:rPr>
        <w:fldChar w:fldCharType="end"/>
      </w:r>
      <w:r>
        <w:rPr>
          <w:b/>
          <w:bCs/>
        </w:rPr>
        <w:fldChar w:fldCharType="end"/>
      </w:r>
    </w:p>
    <w:p>
      <w:pPr>
        <w:pStyle w:val="30"/>
        <w:tabs>
          <w:tab w:val="right" w:leader="dot" w:pos="9460"/>
        </w:tabs>
        <w:spacing w:line="520" w:lineRule="exact"/>
        <w:rPr>
          <w:b/>
          <w:bCs/>
        </w:rPr>
      </w:pPr>
      <w:r>
        <w:fldChar w:fldCharType="begin"/>
      </w:r>
      <w:r>
        <w:instrText xml:space="preserve"> HYPERLINK \l "_Toc25354" </w:instrText>
      </w:r>
      <w:r>
        <w:fldChar w:fldCharType="separate"/>
      </w:r>
      <w:r>
        <w:rPr>
          <w:rFonts w:hint="eastAsia" w:asciiTheme="minorEastAsia" w:hAnsiTheme="minorEastAsia" w:eastAsiaTheme="minorEastAsia" w:cstheme="minorEastAsia"/>
          <w:b/>
          <w:bCs/>
          <w:szCs w:val="32"/>
        </w:rPr>
        <w:t>第二章  供应商须知</w:t>
      </w:r>
      <w:r>
        <w:rPr>
          <w:b/>
          <w:bCs/>
        </w:rPr>
        <w:tab/>
      </w:r>
      <w:r>
        <w:rPr>
          <w:b/>
          <w:bCs/>
        </w:rPr>
        <w:fldChar w:fldCharType="begin"/>
      </w:r>
      <w:r>
        <w:rPr>
          <w:b/>
          <w:bCs/>
        </w:rPr>
        <w:instrText xml:space="preserve"> PAGEREF _Toc25354 </w:instrText>
      </w:r>
      <w:r>
        <w:rPr>
          <w:b/>
          <w:bCs/>
        </w:rPr>
        <w:fldChar w:fldCharType="separate"/>
      </w:r>
      <w:r>
        <w:rPr>
          <w:b/>
          <w:bCs/>
        </w:rPr>
        <w:t>- 6 -</w:t>
      </w:r>
      <w:r>
        <w:rPr>
          <w:b/>
          <w:bCs/>
        </w:rPr>
        <w:fldChar w:fldCharType="end"/>
      </w:r>
      <w:r>
        <w:rPr>
          <w:b/>
          <w:bCs/>
        </w:rPr>
        <w:fldChar w:fldCharType="end"/>
      </w:r>
    </w:p>
    <w:p>
      <w:pPr>
        <w:pStyle w:val="30"/>
        <w:tabs>
          <w:tab w:val="right" w:leader="dot" w:pos="9460"/>
        </w:tabs>
        <w:spacing w:line="520" w:lineRule="exact"/>
        <w:rPr>
          <w:b/>
          <w:bCs/>
        </w:rPr>
      </w:pPr>
      <w:r>
        <w:fldChar w:fldCharType="begin"/>
      </w:r>
      <w:r>
        <w:instrText xml:space="preserve"> HYPERLINK \l "_Toc1253" </w:instrText>
      </w:r>
      <w:r>
        <w:fldChar w:fldCharType="separate"/>
      </w:r>
      <w:r>
        <w:rPr>
          <w:rFonts w:asciiTheme="minorEastAsia" w:hAnsiTheme="minorEastAsia" w:eastAsiaTheme="minorEastAsia" w:cstheme="minorEastAsia"/>
          <w:b/>
          <w:bCs/>
          <w:szCs w:val="36"/>
        </w:rPr>
        <w:t xml:space="preserve">第三章 </w:t>
      </w:r>
      <w:r>
        <w:rPr>
          <w:rFonts w:hint="eastAsia" w:asciiTheme="minorEastAsia" w:hAnsiTheme="minorEastAsia" w:eastAsiaTheme="minorEastAsia" w:cstheme="minorEastAsia"/>
          <w:b/>
          <w:bCs/>
          <w:szCs w:val="36"/>
        </w:rPr>
        <w:t>评标办法（综合评分法）</w:t>
      </w:r>
      <w:r>
        <w:rPr>
          <w:b/>
          <w:bCs/>
        </w:rPr>
        <w:tab/>
      </w:r>
      <w:r>
        <w:rPr>
          <w:b/>
          <w:bCs/>
        </w:rPr>
        <w:fldChar w:fldCharType="begin"/>
      </w:r>
      <w:r>
        <w:rPr>
          <w:b/>
          <w:bCs/>
        </w:rPr>
        <w:instrText xml:space="preserve"> PAGEREF _Toc1253 </w:instrText>
      </w:r>
      <w:r>
        <w:rPr>
          <w:b/>
          <w:bCs/>
        </w:rPr>
        <w:fldChar w:fldCharType="separate"/>
      </w:r>
      <w:r>
        <w:rPr>
          <w:b/>
          <w:bCs/>
        </w:rPr>
        <w:t>- 18 -</w:t>
      </w:r>
      <w:r>
        <w:rPr>
          <w:b/>
          <w:bCs/>
        </w:rPr>
        <w:fldChar w:fldCharType="end"/>
      </w:r>
      <w:r>
        <w:rPr>
          <w:b/>
          <w:bCs/>
        </w:rPr>
        <w:fldChar w:fldCharType="end"/>
      </w:r>
    </w:p>
    <w:p>
      <w:pPr>
        <w:pStyle w:val="30"/>
        <w:tabs>
          <w:tab w:val="right" w:leader="dot" w:pos="9460"/>
        </w:tabs>
        <w:spacing w:line="520" w:lineRule="exact"/>
        <w:rPr>
          <w:b/>
          <w:bCs/>
        </w:rPr>
      </w:pPr>
      <w:r>
        <w:fldChar w:fldCharType="begin"/>
      </w:r>
      <w:r>
        <w:instrText xml:space="preserve"> HYPERLINK \l "_Toc955" </w:instrText>
      </w:r>
      <w:r>
        <w:fldChar w:fldCharType="separate"/>
      </w:r>
      <w:r>
        <w:rPr>
          <w:rFonts w:hint="eastAsia" w:asciiTheme="minorEastAsia" w:hAnsiTheme="minorEastAsia" w:eastAsiaTheme="minorEastAsia" w:cstheme="minorEastAsia"/>
          <w:b/>
          <w:bCs/>
          <w:szCs w:val="36"/>
        </w:rPr>
        <w:t>第四章  合同条款及格式</w:t>
      </w:r>
      <w:r>
        <w:rPr>
          <w:b/>
          <w:bCs/>
        </w:rPr>
        <w:tab/>
      </w:r>
      <w:r>
        <w:rPr>
          <w:b/>
          <w:bCs/>
        </w:rPr>
        <w:fldChar w:fldCharType="begin"/>
      </w:r>
      <w:r>
        <w:rPr>
          <w:b/>
          <w:bCs/>
        </w:rPr>
        <w:instrText xml:space="preserve"> PAGEREF _Toc955 </w:instrText>
      </w:r>
      <w:r>
        <w:rPr>
          <w:b/>
          <w:bCs/>
        </w:rPr>
        <w:fldChar w:fldCharType="separate"/>
      </w:r>
      <w:r>
        <w:rPr>
          <w:b/>
          <w:bCs/>
        </w:rPr>
        <w:t>- 23 -</w:t>
      </w:r>
      <w:r>
        <w:rPr>
          <w:b/>
          <w:bCs/>
        </w:rPr>
        <w:fldChar w:fldCharType="end"/>
      </w:r>
      <w:r>
        <w:rPr>
          <w:b/>
          <w:bCs/>
        </w:rPr>
        <w:fldChar w:fldCharType="end"/>
      </w:r>
    </w:p>
    <w:p>
      <w:pPr>
        <w:pStyle w:val="30"/>
        <w:tabs>
          <w:tab w:val="right" w:leader="dot" w:pos="9460"/>
        </w:tabs>
        <w:spacing w:line="520" w:lineRule="exact"/>
        <w:rPr>
          <w:rFonts w:asciiTheme="minorEastAsia" w:hAnsiTheme="minorEastAsia" w:eastAsiaTheme="minorEastAsia" w:cstheme="minorEastAsia"/>
          <w:b/>
          <w:bCs/>
          <w:caps/>
          <w:szCs w:val="21"/>
          <w:lang w:val="zh-CN"/>
        </w:rPr>
      </w:pPr>
      <w:r>
        <w:fldChar w:fldCharType="begin"/>
      </w:r>
      <w:r>
        <w:instrText xml:space="preserve"> HYPERLINK \l "_Toc26235" </w:instrText>
      </w:r>
      <w:r>
        <w:fldChar w:fldCharType="separate"/>
      </w:r>
      <w:r>
        <w:rPr>
          <w:rFonts w:hint="eastAsia" w:asciiTheme="minorEastAsia" w:hAnsiTheme="minorEastAsia" w:eastAsiaTheme="minorEastAsia" w:cstheme="minorEastAsia"/>
          <w:b/>
          <w:bCs/>
          <w:szCs w:val="36"/>
        </w:rPr>
        <w:t>第五章  采购内容及要求</w:t>
      </w:r>
      <w:r>
        <w:rPr>
          <w:b/>
          <w:bCs/>
        </w:rPr>
        <w:tab/>
      </w:r>
      <w:r>
        <w:rPr>
          <w:b/>
          <w:bCs/>
        </w:rPr>
        <w:fldChar w:fldCharType="begin"/>
      </w:r>
      <w:r>
        <w:rPr>
          <w:b/>
          <w:bCs/>
        </w:rPr>
        <w:instrText xml:space="preserve"> PAGEREF _Toc26235 </w:instrText>
      </w:r>
      <w:r>
        <w:rPr>
          <w:b/>
          <w:bCs/>
        </w:rPr>
        <w:fldChar w:fldCharType="separate"/>
      </w:r>
      <w:r>
        <w:rPr>
          <w:b/>
          <w:bCs/>
        </w:rPr>
        <w:t>- 26 -</w:t>
      </w:r>
      <w:r>
        <w:rPr>
          <w:b/>
          <w:bCs/>
        </w:rPr>
        <w:fldChar w:fldCharType="end"/>
      </w:r>
      <w:r>
        <w:rPr>
          <w:b/>
          <w:bCs/>
        </w:rPr>
        <w:fldChar w:fldCharType="end"/>
      </w:r>
    </w:p>
    <w:p>
      <w:pPr>
        <w:pStyle w:val="30"/>
        <w:tabs>
          <w:tab w:val="right" w:leader="dot" w:pos="9460"/>
        </w:tabs>
        <w:spacing w:line="520" w:lineRule="exact"/>
        <w:rPr>
          <w:b/>
          <w:bCs/>
        </w:rPr>
      </w:pPr>
      <w:r>
        <w:fldChar w:fldCharType="begin"/>
      </w:r>
      <w:r>
        <w:instrText xml:space="preserve"> HYPERLINK \l "_Toc26235" </w:instrText>
      </w:r>
      <w:r>
        <w:fldChar w:fldCharType="separate"/>
      </w:r>
      <w:r>
        <w:rPr>
          <w:rFonts w:hint="eastAsia" w:asciiTheme="minorEastAsia" w:hAnsiTheme="minorEastAsia" w:eastAsiaTheme="minorEastAsia" w:cstheme="minorEastAsia"/>
          <w:b/>
          <w:bCs/>
          <w:szCs w:val="36"/>
        </w:rPr>
        <w:t>第六章  投标文件格式</w:t>
      </w:r>
      <w:r>
        <w:rPr>
          <w:b/>
          <w:bCs/>
        </w:rPr>
        <w:tab/>
      </w:r>
      <w:r>
        <w:rPr>
          <w:b/>
          <w:bCs/>
        </w:rPr>
        <w:fldChar w:fldCharType="begin"/>
      </w:r>
      <w:r>
        <w:rPr>
          <w:b/>
          <w:bCs/>
        </w:rPr>
        <w:instrText xml:space="preserve"> PAGEREF _Toc26235 </w:instrText>
      </w:r>
      <w:r>
        <w:rPr>
          <w:b/>
          <w:bCs/>
        </w:rPr>
        <w:fldChar w:fldCharType="separate"/>
      </w:r>
      <w:r>
        <w:rPr>
          <w:b/>
          <w:bCs/>
        </w:rPr>
        <w:t>- 26 -</w:t>
      </w:r>
      <w:r>
        <w:rPr>
          <w:b/>
          <w:bCs/>
        </w:rPr>
        <w:fldChar w:fldCharType="end"/>
      </w:r>
      <w:r>
        <w:rPr>
          <w:b/>
          <w:bCs/>
        </w:rPr>
        <w:fldChar w:fldCharType="end"/>
      </w:r>
    </w:p>
    <w:p>
      <w:pPr>
        <w:spacing w:line="520" w:lineRule="exact"/>
        <w:rPr>
          <w:b/>
          <w:bCs/>
        </w:rPr>
      </w:pPr>
    </w:p>
    <w:p>
      <w:pPr>
        <w:spacing w:line="520" w:lineRule="exact"/>
        <w:ind w:right="-273" w:rightChars="-130"/>
        <w:rPr>
          <w:rFonts w:asciiTheme="minorEastAsia" w:hAnsiTheme="minorEastAsia" w:eastAsiaTheme="minorEastAsia" w:cstheme="minorEastAsia"/>
          <w:bCs/>
        </w:rPr>
      </w:pPr>
      <w:r>
        <w:rPr>
          <w:rFonts w:hint="eastAsia" w:asciiTheme="minorEastAsia" w:hAnsiTheme="minorEastAsia" w:eastAsiaTheme="minorEastAsia" w:cstheme="minorEastAsia"/>
          <w:b/>
          <w:bCs/>
          <w:caps/>
          <w:szCs w:val="21"/>
          <w:lang w:val="zh-CN"/>
        </w:rPr>
        <w:fldChar w:fldCharType="end"/>
      </w:r>
    </w:p>
    <w:p>
      <w:pPr>
        <w:pStyle w:val="38"/>
        <w:spacing w:line="360" w:lineRule="auto"/>
        <w:ind w:right="-63" w:rightChars="-30"/>
        <w:rPr>
          <w:rFonts w:asciiTheme="minorEastAsia" w:hAnsiTheme="minorEastAsia" w:eastAsiaTheme="minorEastAsia" w:cstheme="minorEastAsia"/>
          <w:bCs/>
        </w:rPr>
      </w:pPr>
      <w:bookmarkStart w:id="1" w:name="_Toc9243"/>
    </w:p>
    <w:p>
      <w:pPr>
        <w:pStyle w:val="38"/>
        <w:spacing w:line="360" w:lineRule="auto"/>
        <w:ind w:right="-63" w:rightChars="-30"/>
        <w:rPr>
          <w:rFonts w:asciiTheme="minorEastAsia" w:hAnsiTheme="minorEastAsia" w:eastAsiaTheme="minorEastAsia" w:cstheme="minorEastAsia"/>
          <w:bCs/>
        </w:rPr>
      </w:pPr>
    </w:p>
    <w:p>
      <w:pPr>
        <w:pStyle w:val="38"/>
        <w:spacing w:line="360" w:lineRule="auto"/>
        <w:ind w:right="-63" w:rightChars="-30"/>
        <w:rPr>
          <w:rFonts w:asciiTheme="minorEastAsia" w:hAnsiTheme="minorEastAsia" w:eastAsiaTheme="minorEastAsia" w:cstheme="minorEastAsia"/>
          <w:bCs/>
        </w:rPr>
      </w:pPr>
    </w:p>
    <w:p>
      <w:pPr>
        <w:pStyle w:val="38"/>
        <w:spacing w:line="360" w:lineRule="auto"/>
        <w:ind w:right="-63" w:rightChars="-30"/>
        <w:rPr>
          <w:rFonts w:asciiTheme="minorEastAsia" w:hAnsiTheme="minorEastAsia" w:eastAsiaTheme="minorEastAsia" w:cstheme="minorEastAsia"/>
          <w:bCs/>
        </w:rPr>
      </w:pPr>
    </w:p>
    <w:p>
      <w:pPr>
        <w:pStyle w:val="38"/>
        <w:spacing w:line="360" w:lineRule="auto"/>
        <w:ind w:right="-63" w:rightChars="-30"/>
        <w:rPr>
          <w:rFonts w:asciiTheme="minorEastAsia" w:hAnsiTheme="minorEastAsia" w:eastAsiaTheme="minorEastAsia" w:cstheme="minorEastAsia"/>
          <w:bCs/>
        </w:rPr>
      </w:pPr>
    </w:p>
    <w:p>
      <w:pPr>
        <w:pStyle w:val="38"/>
        <w:spacing w:line="360" w:lineRule="auto"/>
        <w:ind w:right="-63" w:rightChars="-30"/>
        <w:rPr>
          <w:rFonts w:asciiTheme="minorEastAsia" w:hAnsiTheme="minorEastAsia" w:eastAsiaTheme="minorEastAsia" w:cstheme="minorEastAsia"/>
          <w:bCs/>
        </w:rPr>
      </w:pPr>
    </w:p>
    <w:p>
      <w:pPr>
        <w:pStyle w:val="38"/>
        <w:spacing w:line="360" w:lineRule="auto"/>
        <w:ind w:right="-63" w:rightChars="-30"/>
        <w:rPr>
          <w:rFonts w:asciiTheme="minorEastAsia" w:hAnsiTheme="minorEastAsia" w:eastAsiaTheme="minorEastAsia" w:cstheme="minorEastAsia"/>
          <w:bCs/>
        </w:rPr>
      </w:pPr>
    </w:p>
    <w:p>
      <w:pPr>
        <w:pStyle w:val="38"/>
        <w:spacing w:line="360" w:lineRule="auto"/>
        <w:ind w:right="-63" w:rightChars="-30"/>
        <w:rPr>
          <w:rFonts w:asciiTheme="minorEastAsia" w:hAnsiTheme="minorEastAsia" w:eastAsiaTheme="minorEastAsia" w:cstheme="minorEastAsia"/>
          <w:bCs/>
        </w:rPr>
      </w:pPr>
    </w:p>
    <w:p>
      <w:pPr>
        <w:pStyle w:val="38"/>
        <w:spacing w:line="360" w:lineRule="auto"/>
        <w:ind w:right="-63" w:rightChars="-30"/>
        <w:jc w:val="both"/>
        <w:rPr>
          <w:rFonts w:asciiTheme="minorEastAsia" w:hAnsiTheme="minorEastAsia" w:eastAsiaTheme="minorEastAsia" w:cstheme="minorEastAsia"/>
          <w:bCs/>
        </w:rPr>
      </w:pPr>
    </w:p>
    <w:p>
      <w:pPr>
        <w:pStyle w:val="38"/>
        <w:numPr>
          <w:ilvl w:val="0"/>
          <w:numId w:val="2"/>
        </w:numPr>
        <w:spacing w:line="360" w:lineRule="auto"/>
        <w:ind w:right="-63" w:rightChars="-30"/>
      </w:pPr>
      <w:r>
        <w:rPr>
          <w:rFonts w:hint="eastAsia" w:asciiTheme="minorEastAsia" w:hAnsiTheme="minorEastAsia" w:eastAsiaTheme="minorEastAsia" w:cstheme="minorEastAsia"/>
          <w:bCs/>
        </w:rPr>
        <w:t xml:space="preserve">  招标公告</w:t>
      </w:r>
      <w:bookmarkEnd w:id="1"/>
    </w:p>
    <w:p>
      <w:pPr>
        <w:jc w:val="center"/>
        <w:rPr>
          <w:rFonts w:hint="eastAsia" w:asciiTheme="minorEastAsia" w:hAnsiTheme="minorEastAsia" w:eastAsiaTheme="minorEastAsia" w:cstheme="minorEastAsia"/>
          <w:b/>
          <w:bCs/>
          <w:sz w:val="32"/>
          <w:szCs w:val="32"/>
          <w:lang w:eastAsia="zh-CN"/>
        </w:rPr>
      </w:pPr>
      <w:r>
        <w:rPr>
          <w:rFonts w:hint="eastAsia" w:asciiTheme="minorEastAsia" w:hAnsiTheme="minorEastAsia" w:eastAsiaTheme="minorEastAsia" w:cstheme="minorEastAsia"/>
          <w:b/>
          <w:bCs/>
          <w:sz w:val="32"/>
          <w:szCs w:val="32"/>
          <w:lang w:eastAsia="zh-CN"/>
        </w:rPr>
        <w:t>博爱县人民医院康复医疗设备技术升级改造采购项目（二次）</w:t>
      </w:r>
    </w:p>
    <w:p>
      <w:pPr>
        <w:jc w:val="center"/>
        <w:rPr>
          <w:rFonts w:hint="eastAsia" w:asciiTheme="minorEastAsia" w:hAnsiTheme="minorEastAsia" w:eastAsiaTheme="minorEastAsia" w:cstheme="minorEastAsia"/>
          <w:b/>
          <w:bCs/>
          <w:sz w:val="32"/>
          <w:szCs w:val="32"/>
          <w:lang w:eastAsia="zh-CN"/>
        </w:rPr>
      </w:pPr>
      <w:r>
        <w:rPr>
          <w:rFonts w:hint="eastAsia" w:asciiTheme="minorEastAsia" w:hAnsiTheme="minorEastAsia" w:eastAsiaTheme="minorEastAsia" w:cstheme="minorEastAsia"/>
          <w:b/>
          <w:bCs/>
          <w:sz w:val="32"/>
          <w:szCs w:val="32"/>
          <w:lang w:eastAsia="zh-CN"/>
        </w:rPr>
        <w:t>招标公告（不见面开标）</w:t>
      </w:r>
    </w:p>
    <w:tbl>
      <w:tblPr>
        <w:tblStyle w:val="40"/>
        <w:tblW w:w="906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61" w:type="dxa"/>
          </w:tcPr>
          <w:p>
            <w:pPr>
              <w:pStyle w:val="5"/>
              <w:spacing w:line="440" w:lineRule="exact"/>
              <w:ind w:firstLine="480"/>
              <w:rPr>
                <w:rFonts w:ascii="宋体" w:hAnsi="宋体" w:cs="宋体"/>
                <w:color w:val="auto"/>
                <w:sz w:val="24"/>
              </w:rPr>
            </w:pPr>
            <w:bookmarkStart w:id="2" w:name="_Toc25354"/>
            <w:r>
              <w:rPr>
                <w:rFonts w:hint="eastAsia" w:ascii="宋体" w:hAnsi="宋体" w:cs="宋体"/>
                <w:color w:val="auto"/>
                <w:sz w:val="24"/>
              </w:rPr>
              <w:t>项目概况：</w:t>
            </w:r>
            <w:r>
              <w:rPr>
                <w:rFonts w:hint="eastAsia" w:ascii="宋体" w:hAnsi="宋体" w:cs="宋体"/>
                <w:color w:val="auto"/>
                <w:sz w:val="24"/>
                <w:lang w:eastAsia="zh-CN"/>
              </w:rPr>
              <w:t>博爱县人民医院康复医疗设备技术升级改造采购项目（二次）</w:t>
            </w:r>
            <w:r>
              <w:rPr>
                <w:rFonts w:hint="eastAsia" w:ascii="宋体" w:hAnsi="宋体" w:cs="宋体"/>
                <w:color w:val="auto"/>
                <w:sz w:val="24"/>
              </w:rPr>
              <w:t>的潜在供应商应在焦作市公共资源交易中心网站获取采购文件，并于</w:t>
            </w:r>
            <w:r>
              <w:rPr>
                <w:rFonts w:hint="eastAsia" w:ascii="宋体" w:hAnsi="宋体" w:cs="宋体"/>
                <w:color w:val="auto"/>
                <w:sz w:val="24"/>
                <w:u w:val="single"/>
              </w:rPr>
              <w:t>202</w:t>
            </w:r>
            <w:r>
              <w:rPr>
                <w:rFonts w:hint="eastAsia" w:ascii="宋体" w:hAnsi="宋体" w:cs="宋体"/>
                <w:color w:val="auto"/>
                <w:sz w:val="24"/>
                <w:u w:val="single"/>
                <w:lang w:val="en-US" w:eastAsia="zh-CN"/>
              </w:rPr>
              <w:t>2</w:t>
            </w:r>
            <w:r>
              <w:rPr>
                <w:rFonts w:hint="eastAsia" w:ascii="宋体" w:hAnsi="宋体" w:cs="宋体"/>
                <w:color w:val="auto"/>
                <w:sz w:val="24"/>
                <w:u w:val="single"/>
              </w:rPr>
              <w:t>年</w:t>
            </w:r>
            <w:r>
              <w:rPr>
                <w:rFonts w:hint="eastAsia" w:ascii="宋体" w:hAnsi="宋体" w:cs="宋体"/>
                <w:color w:val="auto"/>
                <w:sz w:val="24"/>
                <w:u w:val="single"/>
                <w:lang w:val="en-US" w:eastAsia="zh-CN"/>
              </w:rPr>
              <w:t>1</w:t>
            </w:r>
            <w:r>
              <w:rPr>
                <w:rFonts w:hint="eastAsia" w:ascii="宋体" w:hAnsi="宋体" w:cs="宋体"/>
                <w:color w:val="auto"/>
                <w:sz w:val="24"/>
                <w:u w:val="single"/>
              </w:rPr>
              <w:t>月</w:t>
            </w:r>
            <w:r>
              <w:rPr>
                <w:rFonts w:hint="eastAsia" w:ascii="宋体" w:hAnsi="宋体" w:cs="宋体"/>
                <w:color w:val="auto"/>
                <w:sz w:val="24"/>
                <w:u w:val="single"/>
                <w:lang w:val="en-US" w:eastAsia="zh-CN"/>
              </w:rPr>
              <w:t>11</w:t>
            </w:r>
            <w:r>
              <w:rPr>
                <w:rFonts w:hint="eastAsia" w:ascii="宋体" w:hAnsi="宋体" w:cs="宋体"/>
                <w:color w:val="auto"/>
                <w:sz w:val="24"/>
                <w:u w:val="single"/>
              </w:rPr>
              <w:t>日上午</w:t>
            </w:r>
            <w:r>
              <w:rPr>
                <w:rFonts w:hint="eastAsia" w:ascii="宋体" w:hAnsi="宋体" w:cs="宋体"/>
                <w:color w:val="auto"/>
                <w:sz w:val="24"/>
                <w:u w:val="single"/>
                <w:lang w:val="en-US" w:eastAsia="zh-CN"/>
              </w:rPr>
              <w:t>9</w:t>
            </w:r>
            <w:r>
              <w:rPr>
                <w:rFonts w:hint="eastAsia" w:ascii="宋体" w:hAnsi="宋体" w:cs="宋体"/>
                <w:color w:val="auto"/>
                <w:sz w:val="24"/>
                <w:u w:val="single"/>
              </w:rPr>
              <w:t xml:space="preserve">点 </w:t>
            </w:r>
            <w:r>
              <w:rPr>
                <w:rFonts w:hint="eastAsia" w:ascii="宋体" w:hAnsi="宋体" w:cs="宋体"/>
                <w:color w:val="auto"/>
                <w:sz w:val="24"/>
                <w:u w:val="single"/>
                <w:lang w:val="en-US" w:eastAsia="zh-CN"/>
              </w:rPr>
              <w:t>00</w:t>
            </w:r>
            <w:r>
              <w:rPr>
                <w:rFonts w:hint="eastAsia" w:ascii="宋体" w:hAnsi="宋体" w:cs="宋体"/>
                <w:color w:val="auto"/>
                <w:sz w:val="24"/>
                <w:u w:val="single"/>
              </w:rPr>
              <w:t>分（北京时间）</w:t>
            </w:r>
            <w:r>
              <w:rPr>
                <w:rFonts w:hint="eastAsia" w:ascii="宋体" w:hAnsi="宋体" w:cs="宋体"/>
                <w:color w:val="auto"/>
                <w:sz w:val="24"/>
              </w:rPr>
              <w:t>前提交响应文件。</w:t>
            </w:r>
          </w:p>
        </w:tc>
      </w:tr>
    </w:tbl>
    <w:p>
      <w:pPr>
        <w:pStyle w:val="113"/>
        <w:spacing w:line="440" w:lineRule="exact"/>
        <w:ind w:left="0" w:firstLine="0"/>
        <w:rPr>
          <w:b/>
          <w:bCs/>
          <w:color w:val="auto"/>
          <w:sz w:val="24"/>
          <w:lang w:eastAsia="zh-CN"/>
        </w:rPr>
      </w:pPr>
      <w:r>
        <w:rPr>
          <w:rFonts w:hint="eastAsia"/>
          <w:b/>
          <w:bCs/>
          <w:color w:val="auto"/>
          <w:sz w:val="24"/>
          <w:lang w:eastAsia="zh-CN"/>
        </w:rPr>
        <w:t>一、项目基本情况</w:t>
      </w:r>
    </w:p>
    <w:p>
      <w:pPr>
        <w:pStyle w:val="113"/>
        <w:spacing w:line="440" w:lineRule="exact"/>
        <w:ind w:left="0" w:firstLine="480" w:firstLineChars="200"/>
        <w:rPr>
          <w:color w:val="auto"/>
          <w:sz w:val="24"/>
          <w:lang w:eastAsia="zh-CN"/>
        </w:rPr>
      </w:pPr>
      <w:r>
        <w:rPr>
          <w:rFonts w:hint="eastAsia"/>
          <w:color w:val="auto"/>
          <w:sz w:val="24"/>
          <w:lang w:eastAsia="zh-CN"/>
        </w:rPr>
        <w:t>项目编号：博政采购(2021)114号</w:t>
      </w:r>
    </w:p>
    <w:p>
      <w:pPr>
        <w:pStyle w:val="113"/>
        <w:spacing w:line="440" w:lineRule="exact"/>
        <w:ind w:left="0" w:firstLine="480" w:firstLineChars="200"/>
        <w:rPr>
          <w:color w:val="auto"/>
          <w:sz w:val="24"/>
          <w:lang w:eastAsia="zh-CN"/>
        </w:rPr>
      </w:pPr>
      <w:r>
        <w:rPr>
          <w:rFonts w:hint="eastAsia"/>
          <w:color w:val="auto"/>
          <w:sz w:val="24"/>
          <w:lang w:eastAsia="zh-CN"/>
        </w:rPr>
        <w:t>项目名称：博爱县人民医院康复医疗设备技术升级改造采购项目（二次）</w:t>
      </w:r>
    </w:p>
    <w:p>
      <w:pPr>
        <w:pStyle w:val="113"/>
        <w:spacing w:line="440" w:lineRule="exact"/>
        <w:ind w:left="0" w:firstLine="480" w:firstLineChars="200"/>
        <w:rPr>
          <w:color w:val="auto"/>
          <w:sz w:val="24"/>
          <w:lang w:eastAsia="zh-CN"/>
        </w:rPr>
      </w:pPr>
      <w:r>
        <w:rPr>
          <w:rFonts w:hint="eastAsia"/>
          <w:color w:val="auto"/>
          <w:sz w:val="24"/>
          <w:lang w:eastAsia="zh-CN"/>
        </w:rPr>
        <w:t>采购方式：公开招标</w:t>
      </w:r>
    </w:p>
    <w:p>
      <w:pPr>
        <w:widowControl/>
        <w:spacing w:line="440" w:lineRule="exact"/>
        <w:ind w:firstLine="480" w:firstLineChars="200"/>
        <w:jc w:val="left"/>
        <w:rPr>
          <w:rFonts w:ascii="宋体" w:hAnsi="宋体" w:cs="宋体"/>
          <w:color w:val="auto"/>
          <w:kern w:val="0"/>
          <w:sz w:val="24"/>
        </w:rPr>
      </w:pPr>
      <w:r>
        <w:rPr>
          <w:rFonts w:hint="eastAsia" w:ascii="宋体" w:hAnsi="宋体" w:cs="宋体"/>
          <w:color w:val="auto"/>
          <w:kern w:val="0"/>
          <w:sz w:val="24"/>
        </w:rPr>
        <w:t>预算金额：</w:t>
      </w:r>
      <w:r>
        <w:rPr>
          <w:rFonts w:hint="eastAsia" w:ascii="宋体" w:hAnsi="宋体" w:cs="宋体"/>
          <w:color w:val="auto"/>
          <w:kern w:val="0"/>
          <w:sz w:val="24"/>
          <w:lang w:eastAsia="zh-CN"/>
        </w:rPr>
        <w:t>3496980</w:t>
      </w:r>
      <w:r>
        <w:rPr>
          <w:rFonts w:hint="eastAsia" w:ascii="宋体" w:hAnsi="宋体" w:cs="宋体"/>
          <w:color w:val="auto"/>
          <w:kern w:val="0"/>
          <w:sz w:val="24"/>
        </w:rPr>
        <w:t>元</w:t>
      </w:r>
    </w:p>
    <w:p>
      <w:pPr>
        <w:widowControl/>
        <w:spacing w:line="440" w:lineRule="exact"/>
        <w:ind w:firstLine="480" w:firstLineChars="200"/>
        <w:jc w:val="left"/>
        <w:rPr>
          <w:rFonts w:asciiTheme="minorEastAsia" w:hAnsiTheme="minorEastAsia" w:cstheme="minorEastAsia"/>
          <w:color w:val="auto"/>
          <w:kern w:val="0"/>
          <w:sz w:val="24"/>
        </w:rPr>
      </w:pPr>
      <w:r>
        <w:rPr>
          <w:rFonts w:hint="eastAsia" w:ascii="宋体" w:hAnsi="宋体" w:cs="宋体"/>
          <w:color w:val="auto"/>
          <w:kern w:val="0"/>
          <w:sz w:val="24"/>
        </w:rPr>
        <w:t>采购内容：采购</w:t>
      </w:r>
      <w:r>
        <w:rPr>
          <w:rFonts w:hint="eastAsia" w:ascii="宋体" w:hAnsi="宋体" w:cs="宋体"/>
          <w:color w:val="auto"/>
          <w:kern w:val="0"/>
          <w:sz w:val="24"/>
          <w:lang w:eastAsia="zh-CN"/>
        </w:rPr>
        <w:t>认知能力测试训练仪、儿童认知能力测试与训练仪、脑电仿生电刺激仪、体外冲击波治疗</w:t>
      </w:r>
      <w:r>
        <w:rPr>
          <w:rFonts w:hint="eastAsia" w:ascii="宋体" w:hAnsi="宋体" w:cs="宋体"/>
          <w:color w:val="auto"/>
          <w:kern w:val="0"/>
          <w:sz w:val="24"/>
          <w:highlight w:val="none"/>
          <w:lang w:eastAsia="zh-CN"/>
        </w:rPr>
        <w:t>仪等</w:t>
      </w:r>
      <w:r>
        <w:rPr>
          <w:rFonts w:hint="eastAsia"/>
          <w:color w:val="auto"/>
          <w:sz w:val="24"/>
          <w:highlight w:val="none"/>
          <w:lang w:eastAsia="zh-CN"/>
        </w:rPr>
        <w:t>康复医疗设备</w:t>
      </w:r>
      <w:r>
        <w:rPr>
          <w:rFonts w:hint="eastAsia" w:ascii="宋体" w:hAnsi="宋体" w:cs="宋体"/>
          <w:color w:val="auto"/>
          <w:kern w:val="0"/>
          <w:sz w:val="24"/>
          <w:highlight w:val="none"/>
          <w:lang w:eastAsia="zh-CN"/>
        </w:rPr>
        <w:t>及技术升级改造</w:t>
      </w:r>
      <w:r>
        <w:rPr>
          <w:rFonts w:hint="eastAsia" w:ascii="宋体" w:hAnsi="宋体" w:cs="宋体"/>
          <w:color w:val="auto"/>
          <w:kern w:val="0"/>
          <w:sz w:val="24"/>
        </w:rPr>
        <w:t>（详见招标文件）</w:t>
      </w:r>
    </w:p>
    <w:p>
      <w:pPr>
        <w:widowControl/>
        <w:spacing w:line="440" w:lineRule="exact"/>
        <w:ind w:firstLine="480" w:firstLineChars="200"/>
        <w:jc w:val="left"/>
        <w:rPr>
          <w:rFonts w:ascii="宋体" w:hAnsi="宋体" w:cs="宋体"/>
          <w:color w:val="auto"/>
          <w:kern w:val="0"/>
          <w:sz w:val="24"/>
        </w:rPr>
      </w:pPr>
      <w:r>
        <w:rPr>
          <w:rFonts w:hint="eastAsia" w:ascii="宋体" w:hAnsi="宋体" w:cs="宋体"/>
          <w:color w:val="auto"/>
          <w:kern w:val="0"/>
          <w:sz w:val="24"/>
        </w:rPr>
        <w:t>供货及安装期：</w:t>
      </w:r>
      <w:r>
        <w:rPr>
          <w:rFonts w:hint="eastAsia" w:ascii="宋体" w:hAnsi="宋体" w:cs="宋体"/>
          <w:color w:val="auto"/>
          <w:kern w:val="0"/>
          <w:sz w:val="24"/>
          <w:lang w:val="en-US" w:eastAsia="zh-CN"/>
        </w:rPr>
        <w:t>40</w:t>
      </w:r>
      <w:r>
        <w:rPr>
          <w:rFonts w:hint="eastAsia" w:ascii="宋体" w:hAnsi="宋体" w:cs="宋体"/>
          <w:color w:val="auto"/>
          <w:kern w:val="0"/>
          <w:sz w:val="24"/>
        </w:rPr>
        <w:t>日历天</w:t>
      </w:r>
    </w:p>
    <w:p>
      <w:pPr>
        <w:widowControl/>
        <w:spacing w:line="440" w:lineRule="exact"/>
        <w:ind w:firstLine="480" w:firstLineChars="200"/>
        <w:jc w:val="left"/>
        <w:rPr>
          <w:rFonts w:ascii="宋体" w:hAnsi="宋体" w:cs="宋体"/>
          <w:color w:val="auto"/>
          <w:kern w:val="0"/>
          <w:sz w:val="24"/>
        </w:rPr>
      </w:pPr>
      <w:r>
        <w:rPr>
          <w:rFonts w:hint="eastAsia" w:ascii="宋体" w:hAnsi="宋体" w:cs="宋体"/>
          <w:color w:val="auto"/>
          <w:kern w:val="0"/>
          <w:sz w:val="24"/>
        </w:rPr>
        <w:t>质量标准：合格</w:t>
      </w:r>
    </w:p>
    <w:p>
      <w:pPr>
        <w:adjustRightInd w:val="0"/>
        <w:snapToGrid w:val="0"/>
        <w:spacing w:line="440" w:lineRule="exact"/>
        <w:rPr>
          <w:rFonts w:ascii="宋体" w:hAnsi="宋体" w:cs="宋体"/>
          <w:color w:val="auto"/>
          <w:kern w:val="0"/>
          <w:sz w:val="24"/>
        </w:rPr>
      </w:pPr>
      <w:r>
        <w:rPr>
          <w:rFonts w:hint="eastAsia" w:ascii="宋体" w:hAnsi="宋体" w:cs="宋体"/>
          <w:b/>
          <w:bCs/>
          <w:color w:val="auto"/>
          <w:kern w:val="0"/>
          <w:sz w:val="24"/>
        </w:rPr>
        <w:t>二、申请人资格要求：</w:t>
      </w:r>
    </w:p>
    <w:p>
      <w:pPr>
        <w:widowControl/>
        <w:spacing w:line="440" w:lineRule="exact"/>
        <w:ind w:firstLine="480" w:firstLineChars="200"/>
        <w:jc w:val="left"/>
        <w:rPr>
          <w:rFonts w:ascii="宋体" w:hAnsi="宋体" w:cs="宋体"/>
          <w:color w:val="auto"/>
          <w:sz w:val="24"/>
          <w:shd w:val="clear" w:color="auto" w:fill="FFFFFF"/>
        </w:rPr>
      </w:pPr>
      <w:r>
        <w:rPr>
          <w:rFonts w:hint="eastAsia" w:ascii="宋体" w:hAnsi="宋体" w:cs="宋体"/>
          <w:color w:val="auto"/>
          <w:sz w:val="24"/>
          <w:shd w:val="clear" w:color="auto" w:fill="FFFFFF"/>
        </w:rPr>
        <w:t>1、符合《中华人民共和国政府采购法》第二十二条之规定；</w:t>
      </w:r>
    </w:p>
    <w:p>
      <w:pPr>
        <w:widowControl/>
        <w:spacing w:line="440" w:lineRule="exact"/>
        <w:ind w:firstLine="480" w:firstLineChars="200"/>
        <w:jc w:val="left"/>
        <w:rPr>
          <w:rFonts w:ascii="宋体" w:hAnsi="宋体" w:cs="宋体"/>
          <w:color w:val="auto"/>
          <w:sz w:val="24"/>
          <w:shd w:val="clear" w:color="auto" w:fill="FFFFFF"/>
        </w:rPr>
      </w:pPr>
      <w:r>
        <w:rPr>
          <w:rFonts w:hint="eastAsia" w:ascii="宋体" w:hAnsi="宋体" w:cs="宋体"/>
          <w:color w:val="auto"/>
          <w:sz w:val="24"/>
          <w:shd w:val="clear" w:color="auto" w:fill="FFFFFF"/>
        </w:rPr>
        <w:t>2、落实政府采购政策需满足的资格要求：促进中小企业和监狱企业发展扶持政策、政府强制采购节能产品、节能产品及环境标志产品优先采购。</w:t>
      </w:r>
    </w:p>
    <w:p>
      <w:pPr>
        <w:widowControl/>
        <w:spacing w:line="440" w:lineRule="exact"/>
        <w:ind w:firstLine="480" w:firstLineChars="200"/>
        <w:jc w:val="left"/>
        <w:rPr>
          <w:rFonts w:ascii="宋体" w:hAnsi="宋体" w:cs="宋体"/>
          <w:color w:val="auto"/>
          <w:sz w:val="24"/>
          <w:shd w:val="clear" w:color="auto" w:fill="FFFFFF"/>
        </w:rPr>
      </w:pPr>
      <w:r>
        <w:rPr>
          <w:rFonts w:hint="eastAsia" w:ascii="宋体" w:hAnsi="宋体" w:cs="宋体"/>
          <w:color w:val="auto"/>
          <w:sz w:val="24"/>
          <w:shd w:val="clear" w:color="auto" w:fill="FFFFFF"/>
        </w:rPr>
        <w:t>3、本项目的特定资格要求：</w:t>
      </w:r>
    </w:p>
    <w:p>
      <w:pPr>
        <w:widowControl/>
        <w:spacing w:line="440" w:lineRule="exact"/>
        <w:ind w:firstLine="480" w:firstLineChars="200"/>
        <w:jc w:val="left"/>
        <w:rPr>
          <w:rFonts w:ascii="宋体" w:hAnsi="宋体" w:cs="宋体"/>
          <w:color w:val="auto"/>
          <w:sz w:val="24"/>
          <w:shd w:val="clear" w:color="auto" w:fill="FFFFFF"/>
        </w:rPr>
      </w:pPr>
      <w:r>
        <w:rPr>
          <w:rFonts w:hint="eastAsia" w:ascii="宋体" w:hAnsi="宋体" w:cs="宋体"/>
          <w:color w:val="auto"/>
          <w:sz w:val="24"/>
          <w:shd w:val="clear" w:color="auto" w:fill="FFFFFF"/>
        </w:rPr>
        <w:t>3.1供应商须具有有效的营业执照，并具有实施完成本项目的经营实力和完善的售后服务体系；</w:t>
      </w:r>
    </w:p>
    <w:p>
      <w:pPr>
        <w:widowControl/>
        <w:spacing w:line="440" w:lineRule="exact"/>
        <w:ind w:firstLine="480" w:firstLineChars="200"/>
        <w:jc w:val="left"/>
        <w:rPr>
          <w:rFonts w:ascii="宋体" w:hAnsi="宋体" w:cs="宋体"/>
          <w:color w:val="auto"/>
          <w:sz w:val="24"/>
          <w:shd w:val="clear" w:color="auto" w:fill="FFFFFF"/>
        </w:rPr>
      </w:pPr>
      <w:r>
        <w:rPr>
          <w:rFonts w:hint="eastAsia" w:ascii="宋体" w:hAnsi="宋体" w:cs="宋体"/>
          <w:color w:val="auto"/>
          <w:sz w:val="24"/>
          <w:shd w:val="clear" w:color="auto" w:fill="FFFFFF"/>
        </w:rPr>
        <w:t>3.2信誉要求：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供应商，拒绝参与政府采购活动，同时对信用信息查询记录和证据进行打印存档； </w:t>
      </w:r>
    </w:p>
    <w:p>
      <w:pPr>
        <w:widowControl/>
        <w:spacing w:line="440" w:lineRule="exact"/>
        <w:ind w:firstLine="480" w:firstLineChars="200"/>
        <w:jc w:val="left"/>
        <w:rPr>
          <w:rFonts w:ascii="宋体" w:hAnsi="宋体" w:cs="宋体"/>
          <w:color w:val="auto"/>
          <w:sz w:val="24"/>
          <w:shd w:val="clear" w:color="auto" w:fill="FFFFFF"/>
        </w:rPr>
      </w:pPr>
      <w:r>
        <w:rPr>
          <w:rFonts w:hint="eastAsia" w:ascii="宋体" w:hAnsi="宋体" w:cs="宋体"/>
          <w:color w:val="auto"/>
          <w:sz w:val="24"/>
          <w:shd w:val="clear" w:color="auto" w:fill="FFFFFF"/>
        </w:rPr>
        <w:t>3.3本项目不接受联合体投标；</w:t>
      </w:r>
    </w:p>
    <w:p>
      <w:pPr>
        <w:widowControl/>
        <w:spacing w:line="440" w:lineRule="exact"/>
        <w:ind w:firstLine="480" w:firstLineChars="200"/>
        <w:jc w:val="left"/>
        <w:rPr>
          <w:rFonts w:ascii="宋体" w:hAnsi="宋体" w:cs="宋体"/>
          <w:color w:val="auto"/>
          <w:sz w:val="24"/>
          <w:shd w:val="clear" w:color="auto" w:fill="FFFFFF"/>
        </w:rPr>
      </w:pPr>
      <w:r>
        <w:rPr>
          <w:rFonts w:hint="eastAsia" w:ascii="宋体" w:hAnsi="宋体" w:cs="宋体"/>
          <w:color w:val="auto"/>
          <w:sz w:val="24"/>
          <w:shd w:val="clear" w:color="auto" w:fill="FFFFFF"/>
        </w:rPr>
        <w:t>3.4资格审查方式：资格后审。</w:t>
      </w:r>
    </w:p>
    <w:p>
      <w:pPr>
        <w:widowControl/>
        <w:spacing w:line="440" w:lineRule="exact"/>
        <w:jc w:val="left"/>
        <w:rPr>
          <w:rFonts w:ascii="宋体" w:hAnsi="宋体" w:cs="宋体"/>
          <w:b/>
          <w:bCs/>
          <w:color w:val="auto"/>
          <w:kern w:val="0"/>
          <w:sz w:val="24"/>
        </w:rPr>
      </w:pPr>
      <w:r>
        <w:rPr>
          <w:rFonts w:hint="eastAsia" w:ascii="宋体" w:hAnsi="宋体" w:cs="宋体"/>
          <w:b/>
          <w:bCs/>
          <w:color w:val="auto"/>
          <w:kern w:val="0"/>
          <w:sz w:val="24"/>
        </w:rPr>
        <w:t>三、获取采购文件</w:t>
      </w:r>
    </w:p>
    <w:p>
      <w:pPr>
        <w:pStyle w:val="37"/>
        <w:shd w:val="clear" w:color="auto" w:fill="FFFFFF"/>
        <w:autoSpaceDE w:val="0"/>
        <w:spacing w:before="0" w:beforeAutospacing="0" w:after="0" w:afterAutospacing="0" w:line="440" w:lineRule="atLeast"/>
        <w:ind w:firstLine="480" w:firstLineChars="200"/>
        <w:rPr>
          <w:color w:val="auto"/>
        </w:rPr>
      </w:pPr>
      <w:r>
        <w:rPr>
          <w:rFonts w:hint="eastAsia"/>
          <w:color w:val="auto"/>
        </w:rPr>
        <w:t>1.时间：2021年</w:t>
      </w:r>
      <w:r>
        <w:rPr>
          <w:rFonts w:hint="eastAsia"/>
          <w:color w:val="auto"/>
          <w:lang w:val="en-US" w:eastAsia="zh-CN"/>
        </w:rPr>
        <w:t>12</w:t>
      </w:r>
      <w:r>
        <w:rPr>
          <w:rFonts w:hint="eastAsia"/>
          <w:color w:val="auto"/>
        </w:rPr>
        <w:t>月</w:t>
      </w:r>
      <w:r>
        <w:rPr>
          <w:rFonts w:hint="eastAsia"/>
          <w:color w:val="auto"/>
          <w:lang w:val="en-US" w:eastAsia="zh-CN"/>
        </w:rPr>
        <w:t>22</w:t>
      </w:r>
      <w:r>
        <w:rPr>
          <w:rFonts w:hint="eastAsia"/>
          <w:color w:val="auto"/>
        </w:rPr>
        <w:t>日至2021年</w:t>
      </w:r>
      <w:r>
        <w:rPr>
          <w:rFonts w:hint="eastAsia"/>
          <w:color w:val="auto"/>
          <w:lang w:val="en-US" w:eastAsia="zh-CN"/>
        </w:rPr>
        <w:t>12</w:t>
      </w:r>
      <w:r>
        <w:rPr>
          <w:rFonts w:hint="eastAsia"/>
          <w:color w:val="auto"/>
        </w:rPr>
        <w:t>月</w:t>
      </w:r>
      <w:r>
        <w:rPr>
          <w:rFonts w:hint="eastAsia"/>
          <w:color w:val="auto"/>
          <w:lang w:val="en-US" w:eastAsia="zh-CN"/>
        </w:rPr>
        <w:t>28</w:t>
      </w:r>
      <w:r>
        <w:rPr>
          <w:rFonts w:hint="eastAsia"/>
          <w:color w:val="auto"/>
        </w:rPr>
        <w:t>日（北京时间）；</w:t>
      </w:r>
      <w:r>
        <w:rPr>
          <w:rFonts w:hint="eastAsia"/>
          <w:color w:val="auto"/>
        </w:rPr>
        <w:br w:type="textWrapping"/>
      </w:r>
      <w:r>
        <w:rPr>
          <w:rFonts w:hint="eastAsia"/>
          <w:color w:val="auto"/>
        </w:rPr>
        <w:t>  2.地点：</w:t>
      </w:r>
      <w:r>
        <w:rPr>
          <w:rFonts w:hint="eastAsia"/>
          <w:color w:val="auto"/>
          <w:shd w:val="clear" w:color="auto" w:fill="FFFFFF"/>
        </w:rPr>
        <w:t>凡有意参加投标者，请登陆焦作市公共资源交易中心网站会员系统进行网上下载。凡未在规定时间内完成下载文件者，视为无效。（联系电话：0391-3568920，QQ：232850725、361532918（群）；</w:t>
      </w:r>
    </w:p>
    <w:p>
      <w:pPr>
        <w:pStyle w:val="37"/>
        <w:shd w:val="clear" w:color="auto" w:fill="FFFFFF"/>
        <w:autoSpaceDE w:val="0"/>
        <w:spacing w:before="0" w:beforeAutospacing="0" w:after="0" w:afterAutospacing="0" w:line="440" w:lineRule="atLeast"/>
        <w:rPr>
          <w:color w:val="auto"/>
        </w:rPr>
      </w:pPr>
      <w:r>
        <w:rPr>
          <w:rFonts w:hint="eastAsia"/>
          <w:color w:val="auto"/>
        </w:rPr>
        <w:t>  3.方式：本项目采用电子开评标（不见面开标），凡有意参加投标者，请登陆焦作市公共资源交易中心网站“交易主体登录”栏目下载招标文件；</w:t>
      </w:r>
    </w:p>
    <w:p>
      <w:pPr>
        <w:adjustRightInd w:val="0"/>
        <w:snapToGrid w:val="0"/>
        <w:spacing w:line="440" w:lineRule="exact"/>
        <w:rPr>
          <w:rFonts w:ascii="宋体" w:hAnsi="宋体" w:cs="宋体"/>
          <w:b/>
          <w:color w:val="auto"/>
          <w:kern w:val="0"/>
          <w:sz w:val="24"/>
        </w:rPr>
      </w:pPr>
      <w:r>
        <w:rPr>
          <w:rFonts w:hint="eastAsia" w:ascii="宋体" w:hAnsi="宋体" w:cs="宋体"/>
          <w:b/>
          <w:color w:val="auto"/>
          <w:kern w:val="0"/>
          <w:sz w:val="24"/>
        </w:rPr>
        <w:t>四、响应文件提交</w:t>
      </w:r>
    </w:p>
    <w:p>
      <w:pPr>
        <w:adjustRightInd w:val="0"/>
        <w:snapToGrid w:val="0"/>
        <w:spacing w:line="440" w:lineRule="exact"/>
        <w:ind w:firstLine="480" w:firstLineChars="200"/>
        <w:rPr>
          <w:rFonts w:ascii="宋体" w:hAnsi="宋体" w:cs="宋体"/>
          <w:color w:val="auto"/>
          <w:kern w:val="0"/>
          <w:sz w:val="24"/>
        </w:rPr>
      </w:pPr>
      <w:r>
        <w:rPr>
          <w:rFonts w:hint="eastAsia" w:ascii="宋体" w:hAnsi="宋体" w:cs="宋体"/>
          <w:color w:val="auto"/>
          <w:kern w:val="0"/>
          <w:sz w:val="24"/>
        </w:rPr>
        <w:t>1.截止时间：202</w:t>
      </w:r>
      <w:r>
        <w:rPr>
          <w:rFonts w:hint="eastAsia" w:ascii="宋体" w:hAnsi="宋体" w:cs="宋体"/>
          <w:color w:val="auto"/>
          <w:kern w:val="0"/>
          <w:sz w:val="24"/>
          <w:lang w:val="en-US" w:eastAsia="zh-CN"/>
        </w:rPr>
        <w:t>2</w:t>
      </w:r>
      <w:r>
        <w:rPr>
          <w:rFonts w:hint="eastAsia" w:ascii="宋体" w:hAnsi="宋体" w:cs="宋体"/>
          <w:color w:val="auto"/>
          <w:kern w:val="0"/>
          <w:sz w:val="24"/>
        </w:rPr>
        <w:t>年</w:t>
      </w:r>
      <w:r>
        <w:rPr>
          <w:rFonts w:hint="eastAsia" w:ascii="宋体" w:hAnsi="宋体" w:cs="宋体"/>
          <w:color w:val="auto"/>
          <w:kern w:val="0"/>
          <w:sz w:val="24"/>
          <w:lang w:val="en-US" w:eastAsia="zh-CN"/>
        </w:rPr>
        <w:t>1</w:t>
      </w:r>
      <w:r>
        <w:rPr>
          <w:rFonts w:hint="eastAsia" w:ascii="宋体" w:hAnsi="宋体" w:cs="宋体"/>
          <w:color w:val="auto"/>
          <w:kern w:val="0"/>
          <w:sz w:val="24"/>
        </w:rPr>
        <w:t>月</w:t>
      </w:r>
      <w:r>
        <w:rPr>
          <w:rFonts w:hint="eastAsia" w:ascii="宋体" w:hAnsi="宋体" w:cs="宋体"/>
          <w:color w:val="auto"/>
          <w:kern w:val="0"/>
          <w:sz w:val="24"/>
          <w:lang w:val="en-US" w:eastAsia="zh-CN"/>
        </w:rPr>
        <w:t>11</w:t>
      </w:r>
      <w:r>
        <w:rPr>
          <w:rFonts w:hint="eastAsia" w:ascii="宋体" w:hAnsi="宋体" w:cs="宋体"/>
          <w:color w:val="auto"/>
          <w:kern w:val="0"/>
          <w:sz w:val="24"/>
        </w:rPr>
        <w:t>日</w:t>
      </w:r>
      <w:r>
        <w:rPr>
          <w:rFonts w:hint="eastAsia" w:ascii="宋体" w:hAnsi="宋体" w:cs="宋体"/>
          <w:color w:val="auto"/>
          <w:kern w:val="0"/>
          <w:sz w:val="24"/>
          <w:lang w:val="en-US" w:eastAsia="zh-CN"/>
        </w:rPr>
        <w:t>9</w:t>
      </w:r>
      <w:r>
        <w:rPr>
          <w:rFonts w:hint="eastAsia" w:ascii="宋体" w:hAnsi="宋体" w:cs="宋体"/>
          <w:color w:val="auto"/>
          <w:kern w:val="0"/>
          <w:sz w:val="24"/>
        </w:rPr>
        <w:t>点</w:t>
      </w:r>
      <w:r>
        <w:rPr>
          <w:rFonts w:hint="eastAsia" w:ascii="宋体" w:hAnsi="宋体" w:cs="宋体"/>
          <w:color w:val="auto"/>
          <w:kern w:val="0"/>
          <w:sz w:val="24"/>
          <w:lang w:val="en-US" w:eastAsia="zh-CN"/>
        </w:rPr>
        <w:t>00</w:t>
      </w:r>
      <w:r>
        <w:rPr>
          <w:rFonts w:hint="eastAsia" w:ascii="宋体" w:hAnsi="宋体" w:cs="宋体"/>
          <w:color w:val="auto"/>
          <w:kern w:val="0"/>
          <w:sz w:val="24"/>
        </w:rPr>
        <w:t>分（北京时间）；</w:t>
      </w:r>
    </w:p>
    <w:p>
      <w:pPr>
        <w:adjustRightInd w:val="0"/>
        <w:snapToGrid w:val="0"/>
        <w:spacing w:line="440" w:lineRule="exact"/>
        <w:ind w:firstLine="480" w:firstLineChars="200"/>
        <w:rPr>
          <w:rFonts w:ascii="宋体" w:hAnsi="宋体" w:cs="宋体"/>
          <w:color w:val="auto"/>
          <w:kern w:val="0"/>
          <w:sz w:val="24"/>
        </w:rPr>
      </w:pPr>
      <w:r>
        <w:rPr>
          <w:rFonts w:hint="eastAsia" w:ascii="宋体" w:hAnsi="宋体" w:cs="宋体"/>
          <w:color w:val="auto"/>
          <w:kern w:val="0"/>
          <w:sz w:val="24"/>
        </w:rPr>
        <w:t>2.地点：博爱县公共资源交易中心二楼不见面开标二室；</w:t>
      </w:r>
    </w:p>
    <w:p>
      <w:pPr>
        <w:adjustRightInd w:val="0"/>
        <w:snapToGrid w:val="0"/>
        <w:spacing w:line="440" w:lineRule="exact"/>
        <w:rPr>
          <w:rFonts w:ascii="宋体" w:hAnsi="宋体" w:cs="宋体"/>
          <w:b/>
          <w:color w:val="auto"/>
          <w:kern w:val="0"/>
          <w:sz w:val="24"/>
        </w:rPr>
      </w:pPr>
      <w:r>
        <w:rPr>
          <w:rFonts w:hint="eastAsia" w:ascii="宋体" w:hAnsi="宋体" w:cs="宋体"/>
          <w:b/>
          <w:color w:val="auto"/>
          <w:kern w:val="0"/>
          <w:sz w:val="24"/>
        </w:rPr>
        <w:t>五、开启</w:t>
      </w:r>
    </w:p>
    <w:p>
      <w:pPr>
        <w:adjustRightInd w:val="0"/>
        <w:snapToGrid w:val="0"/>
        <w:spacing w:line="440" w:lineRule="exact"/>
        <w:ind w:firstLine="480" w:firstLineChars="200"/>
        <w:rPr>
          <w:rFonts w:ascii="宋体" w:hAnsi="宋体" w:cs="宋体"/>
          <w:color w:val="auto"/>
          <w:kern w:val="0"/>
          <w:sz w:val="24"/>
        </w:rPr>
      </w:pPr>
      <w:r>
        <w:rPr>
          <w:rFonts w:hint="eastAsia" w:ascii="宋体" w:hAnsi="宋体" w:cs="宋体"/>
          <w:color w:val="auto"/>
          <w:kern w:val="0"/>
          <w:sz w:val="24"/>
        </w:rPr>
        <w:t>1.时间：202</w:t>
      </w:r>
      <w:r>
        <w:rPr>
          <w:rFonts w:hint="eastAsia" w:ascii="宋体" w:hAnsi="宋体" w:cs="宋体"/>
          <w:color w:val="auto"/>
          <w:kern w:val="0"/>
          <w:sz w:val="24"/>
          <w:lang w:val="en-US" w:eastAsia="zh-CN"/>
        </w:rPr>
        <w:t>2</w:t>
      </w:r>
      <w:r>
        <w:rPr>
          <w:rFonts w:hint="eastAsia" w:ascii="宋体" w:hAnsi="宋体" w:cs="宋体"/>
          <w:color w:val="auto"/>
          <w:kern w:val="0"/>
          <w:sz w:val="24"/>
        </w:rPr>
        <w:t>年</w:t>
      </w:r>
      <w:r>
        <w:rPr>
          <w:rFonts w:hint="eastAsia" w:ascii="宋体" w:hAnsi="宋体" w:cs="宋体"/>
          <w:color w:val="auto"/>
          <w:kern w:val="0"/>
          <w:sz w:val="24"/>
          <w:lang w:val="en-US" w:eastAsia="zh-CN"/>
        </w:rPr>
        <w:t>1</w:t>
      </w:r>
      <w:r>
        <w:rPr>
          <w:rFonts w:hint="eastAsia" w:ascii="宋体" w:hAnsi="宋体" w:cs="宋体"/>
          <w:color w:val="auto"/>
          <w:kern w:val="0"/>
          <w:sz w:val="24"/>
        </w:rPr>
        <w:t>月</w:t>
      </w:r>
      <w:r>
        <w:rPr>
          <w:rFonts w:hint="eastAsia" w:ascii="宋体" w:hAnsi="宋体" w:cs="宋体"/>
          <w:color w:val="auto"/>
          <w:kern w:val="0"/>
          <w:sz w:val="24"/>
          <w:lang w:val="en-US" w:eastAsia="zh-CN"/>
        </w:rPr>
        <w:t>11</w:t>
      </w:r>
      <w:r>
        <w:rPr>
          <w:rFonts w:hint="eastAsia" w:ascii="宋体" w:hAnsi="宋体" w:cs="宋体"/>
          <w:color w:val="auto"/>
          <w:kern w:val="0"/>
          <w:sz w:val="24"/>
        </w:rPr>
        <w:t>日</w:t>
      </w:r>
      <w:r>
        <w:rPr>
          <w:rFonts w:hint="eastAsia" w:ascii="宋体" w:hAnsi="宋体" w:cs="宋体"/>
          <w:color w:val="auto"/>
          <w:kern w:val="0"/>
          <w:sz w:val="24"/>
          <w:lang w:val="en-US" w:eastAsia="zh-CN"/>
        </w:rPr>
        <w:t>9</w:t>
      </w:r>
      <w:r>
        <w:rPr>
          <w:rFonts w:hint="eastAsia" w:ascii="宋体" w:hAnsi="宋体" w:cs="宋体"/>
          <w:color w:val="auto"/>
          <w:kern w:val="0"/>
          <w:sz w:val="24"/>
        </w:rPr>
        <w:t>点</w:t>
      </w:r>
      <w:r>
        <w:rPr>
          <w:rFonts w:hint="eastAsia" w:ascii="宋体" w:hAnsi="宋体" w:cs="宋体"/>
          <w:color w:val="auto"/>
          <w:kern w:val="0"/>
          <w:sz w:val="24"/>
          <w:lang w:val="en-US" w:eastAsia="zh-CN"/>
        </w:rPr>
        <w:t>00</w:t>
      </w:r>
      <w:r>
        <w:rPr>
          <w:rFonts w:hint="eastAsia" w:ascii="宋体" w:hAnsi="宋体" w:cs="宋体"/>
          <w:color w:val="auto"/>
          <w:kern w:val="0"/>
          <w:sz w:val="24"/>
        </w:rPr>
        <w:t>分（北京时间）；</w:t>
      </w:r>
    </w:p>
    <w:p>
      <w:pPr>
        <w:adjustRightInd w:val="0"/>
        <w:snapToGrid w:val="0"/>
        <w:spacing w:line="440" w:lineRule="exact"/>
        <w:ind w:firstLine="480" w:firstLineChars="200"/>
        <w:rPr>
          <w:rFonts w:ascii="宋体" w:hAnsi="宋体" w:cs="宋体"/>
          <w:color w:val="auto"/>
          <w:kern w:val="0"/>
          <w:sz w:val="24"/>
        </w:rPr>
      </w:pPr>
      <w:r>
        <w:rPr>
          <w:rFonts w:hint="eastAsia" w:ascii="宋体" w:hAnsi="宋体" w:cs="宋体"/>
          <w:color w:val="auto"/>
          <w:kern w:val="0"/>
          <w:sz w:val="24"/>
        </w:rPr>
        <w:t>2.地点：博爱县公共资源交易中心二楼不见面开标二室；</w:t>
      </w:r>
    </w:p>
    <w:p>
      <w:pPr>
        <w:adjustRightInd w:val="0"/>
        <w:snapToGrid w:val="0"/>
        <w:spacing w:line="440" w:lineRule="exact"/>
        <w:rPr>
          <w:rFonts w:ascii="宋体" w:hAnsi="宋体" w:cs="宋体"/>
          <w:b/>
          <w:bCs/>
          <w:color w:val="auto"/>
          <w:sz w:val="24"/>
        </w:rPr>
      </w:pPr>
      <w:r>
        <w:rPr>
          <w:rFonts w:hint="eastAsia" w:ascii="宋体" w:hAnsi="宋体" w:cs="宋体"/>
          <w:b/>
          <w:bCs/>
          <w:color w:val="auto"/>
          <w:sz w:val="24"/>
        </w:rPr>
        <w:t>六、公告期限</w:t>
      </w:r>
    </w:p>
    <w:p>
      <w:pPr>
        <w:adjustRightInd w:val="0"/>
        <w:snapToGrid w:val="0"/>
        <w:spacing w:line="440" w:lineRule="exact"/>
        <w:ind w:firstLine="480" w:firstLineChars="200"/>
        <w:rPr>
          <w:rFonts w:ascii="宋体" w:hAnsi="宋体" w:cs="宋体"/>
          <w:color w:val="auto"/>
          <w:kern w:val="0"/>
          <w:sz w:val="24"/>
        </w:rPr>
      </w:pPr>
      <w:r>
        <w:rPr>
          <w:rFonts w:hint="eastAsia" w:ascii="宋体" w:hAnsi="宋体" w:cs="宋体"/>
          <w:color w:val="auto"/>
          <w:sz w:val="24"/>
        </w:rPr>
        <w:t>自本公告发布之</w:t>
      </w:r>
      <w:r>
        <w:rPr>
          <w:rFonts w:hint="eastAsia" w:ascii="宋体" w:hAnsi="宋体" w:cs="宋体"/>
          <w:color w:val="auto"/>
          <w:kern w:val="0"/>
          <w:sz w:val="24"/>
        </w:rPr>
        <w:t>日起5个工作日。</w:t>
      </w:r>
    </w:p>
    <w:p>
      <w:pPr>
        <w:pStyle w:val="37"/>
        <w:numPr>
          <w:ilvl w:val="0"/>
          <w:numId w:val="3"/>
        </w:numPr>
        <w:shd w:val="clear" w:color="auto" w:fill="FFFFFF"/>
        <w:autoSpaceDE w:val="0"/>
        <w:spacing w:before="0" w:beforeAutospacing="0" w:after="0" w:afterAutospacing="0" w:line="440" w:lineRule="exact"/>
        <w:rPr>
          <w:b/>
          <w:color w:val="auto"/>
          <w:shd w:val="clear" w:color="auto" w:fill="FFFFFF"/>
        </w:rPr>
      </w:pPr>
      <w:r>
        <w:rPr>
          <w:rFonts w:hint="eastAsia"/>
          <w:b/>
          <w:color w:val="auto"/>
          <w:shd w:val="clear" w:color="auto" w:fill="FFFFFF"/>
        </w:rPr>
        <w:t>其他补充事宜</w:t>
      </w:r>
    </w:p>
    <w:p>
      <w:pPr>
        <w:pStyle w:val="37"/>
        <w:shd w:val="clear" w:color="auto" w:fill="FFFFFF"/>
        <w:autoSpaceDE w:val="0"/>
        <w:spacing w:before="0" w:beforeAutospacing="0" w:after="0" w:afterAutospacing="0" w:line="440" w:lineRule="exact"/>
        <w:ind w:firstLine="480" w:firstLineChars="200"/>
        <w:rPr>
          <w:rFonts w:hint="eastAsia" w:eastAsia="宋体"/>
          <w:color w:val="auto"/>
          <w:shd w:val="clear" w:color="auto" w:fill="FFFFFF"/>
          <w:lang w:eastAsia="zh-CN"/>
        </w:rPr>
      </w:pPr>
      <w:r>
        <w:rPr>
          <w:rFonts w:hint="eastAsia"/>
          <w:color w:val="auto"/>
          <w:shd w:val="clear" w:color="auto" w:fill="FFFFFF"/>
        </w:rPr>
        <w:t>1.本次本公告在《河南省政府采购网》、《焦作市政府采购网》、《焦作市公共资源交易中心网》、《博爱县人民政府网》、《博爱县公共资源交易中心网》上发布</w:t>
      </w:r>
      <w:r>
        <w:rPr>
          <w:rFonts w:hint="eastAsia"/>
          <w:color w:val="auto"/>
          <w:shd w:val="clear" w:color="auto" w:fill="FFFFFF"/>
          <w:lang w:eastAsia="zh-CN"/>
        </w:rPr>
        <w:t>。</w:t>
      </w:r>
    </w:p>
    <w:p>
      <w:pPr>
        <w:pStyle w:val="37"/>
        <w:spacing w:beforeAutospacing="0" w:afterAutospacing="0" w:line="440" w:lineRule="exact"/>
        <w:ind w:firstLine="468" w:firstLineChars="195"/>
        <w:jc w:val="both"/>
        <w:rPr>
          <w:color w:val="auto"/>
        </w:rPr>
      </w:pPr>
      <w:r>
        <w:rPr>
          <w:rFonts w:hint="eastAsia"/>
          <w:color w:val="auto"/>
        </w:rPr>
        <w:t>2.本项目采用“远程不见面”的开标方式，潜在投标人可提前在焦作市交易中心官网首页---下载中心--下载《焦作市电子招投标系统操作手册》和《焦作市公共资源交易平台不见面开标操作手册》、《投标文件制作工作工具》等，查看操作说明，按要求进行投标文件制作和上传等。为避免网络拥堵等不可控因素影响投标文件的上传，请提前上传投标文件，并在开标截止时间前登录不见面开标大厅</w:t>
      </w:r>
    </w:p>
    <w:p>
      <w:pPr>
        <w:pStyle w:val="37"/>
        <w:spacing w:beforeAutospacing="0" w:afterAutospacing="0" w:line="440" w:lineRule="exact"/>
        <w:ind w:firstLine="468" w:firstLineChars="195"/>
        <w:jc w:val="both"/>
        <w:rPr>
          <w:color w:val="auto"/>
        </w:rPr>
      </w:pPr>
      <w:r>
        <w:rPr>
          <w:rFonts w:hint="eastAsia"/>
          <w:color w:val="auto"/>
        </w:rPr>
        <w:t>（http://122.112.246.33/BidOpening/bidopeninghallaction/hall/login ）进行签到，按要求解密投标文件。因文件未及时上传导致投标失败的责任由投标人自行承担，具体要求详见招标文件。 平台统一技术服务电话：400-998-0000，服务 QQ：4008503300，服务时间：周一至周日 8：00-17：30。</w:t>
      </w:r>
    </w:p>
    <w:p>
      <w:pPr>
        <w:pStyle w:val="37"/>
        <w:spacing w:beforeAutospacing="0" w:afterAutospacing="0" w:line="440" w:lineRule="exact"/>
        <w:ind w:firstLine="468" w:firstLineChars="195"/>
        <w:jc w:val="both"/>
        <w:rPr>
          <w:color w:val="auto"/>
        </w:rPr>
      </w:pPr>
      <w:r>
        <w:rPr>
          <w:rFonts w:hint="eastAsia"/>
          <w:color w:val="auto"/>
        </w:rPr>
        <w:t>3.投标人无需到现场参加开标会议，无需到达现场提交原件资料。投标人应当在投标截止前，登录远程开标大厅进行签到，在线准时参加开标活动并进行文件解密、答疑澄清等。加密电子投标文件须在焦作市公共资源交易中心电子交易平台中加密上传，上传时必须得到电脑“上传成功”的确认回复后方为上传成功。在规定时间内投标文件未解密的投标人，视为放弃投标。</w:t>
      </w:r>
    </w:p>
    <w:p>
      <w:pPr>
        <w:adjustRightInd w:val="0"/>
        <w:snapToGrid w:val="0"/>
        <w:spacing w:line="440" w:lineRule="exact"/>
        <w:rPr>
          <w:rFonts w:ascii="宋体" w:hAnsi="宋体" w:cs="宋体"/>
          <w:b/>
          <w:color w:val="auto"/>
          <w:kern w:val="0"/>
          <w:sz w:val="24"/>
        </w:rPr>
      </w:pPr>
      <w:r>
        <w:rPr>
          <w:rFonts w:hint="eastAsia" w:ascii="宋体" w:hAnsi="宋体" w:cs="宋体"/>
          <w:b/>
          <w:color w:val="auto"/>
          <w:kern w:val="0"/>
          <w:sz w:val="24"/>
        </w:rPr>
        <w:t>八、</w:t>
      </w:r>
      <w:r>
        <w:rPr>
          <w:rFonts w:hint="eastAsia" w:ascii="宋体" w:hAnsi="宋体" w:cs="宋体"/>
          <w:b/>
          <w:color w:val="auto"/>
          <w:sz w:val="24"/>
          <w:shd w:val="clear" w:color="auto" w:fill="FFFFFF"/>
        </w:rPr>
        <w:t>凡对本次采购提出询问，请按以下方式联系</w:t>
      </w:r>
    </w:p>
    <w:p>
      <w:pPr>
        <w:widowControl/>
        <w:spacing w:line="440" w:lineRule="exact"/>
        <w:ind w:firstLine="480" w:firstLineChars="200"/>
        <w:jc w:val="left"/>
        <w:rPr>
          <w:rFonts w:ascii="宋体" w:hAnsi="宋体" w:cs="宋体"/>
          <w:color w:val="auto"/>
          <w:kern w:val="0"/>
          <w:sz w:val="24"/>
        </w:rPr>
      </w:pPr>
      <w:r>
        <w:rPr>
          <w:rFonts w:hint="eastAsia" w:ascii="宋体" w:hAnsi="宋体" w:cs="宋体"/>
          <w:color w:val="auto"/>
          <w:kern w:val="0"/>
          <w:sz w:val="24"/>
        </w:rPr>
        <w:t>1.采购人信息：</w:t>
      </w:r>
    </w:p>
    <w:p>
      <w:pPr>
        <w:widowControl/>
        <w:spacing w:line="440" w:lineRule="exact"/>
        <w:ind w:firstLine="480" w:firstLineChars="200"/>
        <w:jc w:val="left"/>
        <w:rPr>
          <w:rFonts w:hint="eastAsia" w:ascii="宋体" w:hAnsi="宋体" w:eastAsia="宋体" w:cs="宋体"/>
          <w:color w:val="auto"/>
          <w:kern w:val="0"/>
          <w:sz w:val="24"/>
          <w:lang w:eastAsia="zh-CN"/>
        </w:rPr>
      </w:pPr>
      <w:r>
        <w:rPr>
          <w:rFonts w:hint="eastAsia" w:ascii="宋体" w:hAnsi="宋体" w:cs="宋体"/>
          <w:color w:val="auto"/>
          <w:kern w:val="0"/>
          <w:sz w:val="24"/>
        </w:rPr>
        <w:t>采购人：</w:t>
      </w:r>
      <w:r>
        <w:rPr>
          <w:rFonts w:hint="eastAsia" w:ascii="宋体" w:hAnsi="宋体" w:cs="宋体"/>
          <w:color w:val="auto"/>
          <w:kern w:val="0"/>
          <w:sz w:val="24"/>
          <w:lang w:eastAsia="zh-CN"/>
        </w:rPr>
        <w:t>博爱县人民医院</w:t>
      </w:r>
    </w:p>
    <w:p>
      <w:pPr>
        <w:adjustRightInd w:val="0"/>
        <w:snapToGrid w:val="0"/>
        <w:spacing w:line="440" w:lineRule="exact"/>
        <w:ind w:firstLine="480" w:firstLineChars="200"/>
        <w:rPr>
          <w:rFonts w:ascii="宋体" w:hAnsi="宋体" w:cs="宋体"/>
          <w:color w:val="auto"/>
          <w:kern w:val="0"/>
          <w:sz w:val="24"/>
        </w:rPr>
      </w:pPr>
      <w:r>
        <w:rPr>
          <w:rFonts w:hint="eastAsia" w:ascii="宋体" w:hAnsi="宋体" w:cs="宋体"/>
          <w:color w:val="auto"/>
          <w:kern w:val="0"/>
          <w:sz w:val="24"/>
        </w:rPr>
        <w:t>地址：</w:t>
      </w:r>
      <w:r>
        <w:rPr>
          <w:rFonts w:hint="eastAsia" w:ascii="宋体" w:hAnsi="宋体" w:cs="宋体"/>
          <w:bCs/>
          <w:color w:val="auto"/>
          <w:sz w:val="24"/>
          <w:lang w:eastAsia="zh-CN"/>
        </w:rPr>
        <w:t>博爱县滨河路</w:t>
      </w:r>
    </w:p>
    <w:p>
      <w:pPr>
        <w:adjustRightInd w:val="0"/>
        <w:snapToGrid w:val="0"/>
        <w:spacing w:line="440" w:lineRule="exact"/>
        <w:ind w:firstLine="480" w:firstLineChars="200"/>
        <w:rPr>
          <w:rFonts w:hint="eastAsia" w:ascii="宋体" w:hAnsi="宋体" w:eastAsia="宋体" w:cs="宋体"/>
          <w:color w:val="auto"/>
          <w:sz w:val="24"/>
          <w:lang w:eastAsia="zh-CN"/>
        </w:rPr>
      </w:pPr>
      <w:r>
        <w:rPr>
          <w:rFonts w:hint="eastAsia" w:ascii="宋体" w:hAnsi="宋体" w:cs="宋体"/>
          <w:color w:val="auto"/>
          <w:kern w:val="0"/>
          <w:sz w:val="24"/>
        </w:rPr>
        <w:t>电话：</w:t>
      </w:r>
      <w:r>
        <w:rPr>
          <w:rFonts w:hint="eastAsia" w:ascii="宋体" w:hAnsi="宋体" w:cs="宋体"/>
          <w:bCs/>
          <w:color w:val="auto"/>
          <w:sz w:val="24"/>
          <w:lang w:eastAsia="zh-CN"/>
        </w:rPr>
        <w:t>15978760197</w:t>
      </w:r>
    </w:p>
    <w:p>
      <w:pPr>
        <w:adjustRightInd w:val="0"/>
        <w:snapToGrid w:val="0"/>
        <w:spacing w:line="440" w:lineRule="exact"/>
        <w:ind w:firstLine="480" w:firstLineChars="200"/>
        <w:rPr>
          <w:rFonts w:ascii="宋体" w:hAnsi="宋体" w:cs="宋体"/>
          <w:color w:val="auto"/>
          <w:sz w:val="24"/>
        </w:rPr>
      </w:pPr>
      <w:r>
        <w:rPr>
          <w:rFonts w:hint="eastAsia" w:ascii="宋体" w:hAnsi="宋体" w:cs="宋体"/>
          <w:color w:val="auto"/>
          <w:sz w:val="24"/>
        </w:rPr>
        <w:t>2.采购代理机构信息：</w:t>
      </w:r>
    </w:p>
    <w:p>
      <w:pPr>
        <w:adjustRightInd w:val="0"/>
        <w:snapToGrid w:val="0"/>
        <w:spacing w:line="440" w:lineRule="exact"/>
        <w:ind w:firstLine="480" w:firstLineChars="200"/>
        <w:rPr>
          <w:rFonts w:ascii="宋体" w:hAnsi="宋体" w:cs="宋体"/>
          <w:color w:val="auto"/>
          <w:sz w:val="24"/>
        </w:rPr>
      </w:pPr>
      <w:r>
        <w:rPr>
          <w:rFonts w:hint="eastAsia" w:ascii="宋体" w:hAnsi="宋体" w:cs="宋体"/>
          <w:color w:val="auto"/>
          <w:sz w:val="24"/>
        </w:rPr>
        <w:t xml:space="preserve">名称：博爱县城市建设项目管理有限公司 </w:t>
      </w:r>
    </w:p>
    <w:p>
      <w:pPr>
        <w:adjustRightInd w:val="0"/>
        <w:snapToGrid w:val="0"/>
        <w:spacing w:line="440" w:lineRule="exact"/>
        <w:ind w:firstLine="480" w:firstLineChars="200"/>
        <w:rPr>
          <w:rFonts w:ascii="宋体" w:hAnsi="宋体" w:cs="宋体"/>
          <w:color w:val="auto"/>
          <w:sz w:val="24"/>
        </w:rPr>
      </w:pPr>
      <w:r>
        <w:rPr>
          <w:rFonts w:hint="eastAsia" w:ascii="宋体" w:hAnsi="宋体" w:cs="宋体"/>
          <w:color w:val="auto"/>
          <w:sz w:val="24"/>
        </w:rPr>
        <w:t>地址：</w:t>
      </w:r>
      <w:r>
        <w:rPr>
          <w:rFonts w:hint="eastAsia" w:ascii="宋体" w:hAnsi="宋体" w:cs="宋体"/>
          <w:color w:val="auto"/>
          <w:sz w:val="24"/>
          <w:shd w:val="clear" w:color="auto" w:fill="FFFFFF"/>
        </w:rPr>
        <w:t>博爱县中山路东段</w:t>
      </w:r>
    </w:p>
    <w:p>
      <w:pPr>
        <w:adjustRightInd w:val="0"/>
        <w:snapToGrid w:val="0"/>
        <w:spacing w:line="440" w:lineRule="exact"/>
        <w:ind w:firstLine="480" w:firstLineChars="200"/>
        <w:rPr>
          <w:rFonts w:ascii="宋体" w:hAnsi="宋体" w:cs="宋体"/>
          <w:color w:val="auto"/>
          <w:sz w:val="24"/>
        </w:rPr>
      </w:pPr>
      <w:r>
        <w:rPr>
          <w:rFonts w:hint="eastAsia" w:ascii="宋体" w:hAnsi="宋体" w:cs="宋体"/>
          <w:color w:val="auto"/>
          <w:sz w:val="24"/>
        </w:rPr>
        <w:t>电话：0391-8690958</w:t>
      </w:r>
    </w:p>
    <w:p>
      <w:pPr>
        <w:adjustRightInd w:val="0"/>
        <w:snapToGrid w:val="0"/>
        <w:spacing w:line="440" w:lineRule="exact"/>
        <w:ind w:firstLine="480" w:firstLineChars="200"/>
        <w:rPr>
          <w:rFonts w:ascii="宋体" w:hAnsi="宋体" w:cs="宋体"/>
          <w:color w:val="auto"/>
          <w:sz w:val="24"/>
        </w:rPr>
      </w:pPr>
      <w:r>
        <w:rPr>
          <w:rFonts w:hint="eastAsia" w:ascii="宋体" w:hAnsi="宋体" w:cs="宋体"/>
          <w:color w:val="auto"/>
          <w:sz w:val="24"/>
        </w:rPr>
        <w:t>3.项目联系方式</w:t>
      </w:r>
    </w:p>
    <w:p>
      <w:pPr>
        <w:adjustRightInd w:val="0"/>
        <w:snapToGrid w:val="0"/>
        <w:spacing w:line="440" w:lineRule="exact"/>
        <w:ind w:firstLine="480" w:firstLineChars="200"/>
        <w:rPr>
          <w:rFonts w:hint="eastAsia" w:ascii="宋体" w:hAnsi="宋体" w:eastAsia="宋体" w:cs="宋体"/>
          <w:color w:val="auto"/>
          <w:sz w:val="24"/>
          <w:lang w:eastAsia="zh-CN"/>
        </w:rPr>
      </w:pPr>
      <w:r>
        <w:rPr>
          <w:rFonts w:hint="eastAsia" w:ascii="宋体" w:hAnsi="宋体" w:cs="宋体"/>
          <w:color w:val="auto"/>
          <w:sz w:val="24"/>
        </w:rPr>
        <w:t>项目联系人：</w:t>
      </w:r>
      <w:r>
        <w:rPr>
          <w:rFonts w:hint="eastAsia" w:ascii="宋体" w:hAnsi="宋体" w:cs="宋体"/>
          <w:bCs/>
          <w:color w:val="auto"/>
          <w:sz w:val="24"/>
          <w:lang w:eastAsia="zh-CN"/>
        </w:rPr>
        <w:t>秦先生</w:t>
      </w:r>
    </w:p>
    <w:p>
      <w:pPr>
        <w:adjustRightInd w:val="0"/>
        <w:snapToGrid w:val="0"/>
        <w:spacing w:line="440" w:lineRule="exact"/>
        <w:ind w:firstLine="480" w:firstLineChars="200"/>
        <w:rPr>
          <w:rFonts w:hint="eastAsia" w:ascii="宋体" w:hAnsi="宋体" w:eastAsia="宋体" w:cs="宋体"/>
          <w:color w:val="auto"/>
          <w:kern w:val="0"/>
          <w:sz w:val="24"/>
          <w:lang w:eastAsia="zh-CN"/>
        </w:rPr>
      </w:pPr>
      <w:r>
        <w:rPr>
          <w:rFonts w:hint="eastAsia" w:ascii="宋体" w:hAnsi="宋体" w:cs="宋体"/>
          <w:color w:val="auto"/>
          <w:sz w:val="24"/>
        </w:rPr>
        <w:t>电话：</w:t>
      </w:r>
      <w:r>
        <w:rPr>
          <w:rFonts w:hint="eastAsia" w:ascii="宋体" w:hAnsi="宋体" w:cs="宋体"/>
          <w:bCs/>
          <w:color w:val="auto"/>
          <w:sz w:val="24"/>
          <w:lang w:eastAsia="zh-CN"/>
        </w:rPr>
        <w:t>15978760197</w:t>
      </w:r>
    </w:p>
    <w:p>
      <w:pPr>
        <w:keepNext w:val="0"/>
        <w:keepLines w:val="0"/>
        <w:pageBreakBefore w:val="0"/>
        <w:kinsoku/>
        <w:wordWrap/>
        <w:overflowPunct/>
        <w:topLinePunct w:val="0"/>
        <w:autoSpaceDN/>
        <w:bidi w:val="0"/>
        <w:spacing w:line="440" w:lineRule="exact"/>
        <w:textAlignment w:val="auto"/>
        <w:rPr>
          <w:rFonts w:hint="eastAsia" w:ascii="宋体" w:hAnsi="宋体" w:eastAsia="宋体" w:cs="宋体"/>
          <w:b/>
          <w:sz w:val="24"/>
          <w:szCs w:val="24"/>
        </w:rPr>
      </w:pPr>
      <w:r>
        <w:rPr>
          <w:rFonts w:hint="eastAsia" w:ascii="宋体" w:hAnsi="宋体" w:eastAsia="宋体" w:cs="宋体"/>
          <w:b/>
          <w:sz w:val="24"/>
          <w:szCs w:val="24"/>
        </w:rPr>
        <w:t>九、监督部门</w:t>
      </w:r>
    </w:p>
    <w:p>
      <w:pPr>
        <w:keepNext w:val="0"/>
        <w:keepLines w:val="0"/>
        <w:pageBreakBefore w:val="0"/>
        <w:kinsoku/>
        <w:wordWrap/>
        <w:overflowPunct/>
        <w:topLinePunct w:val="0"/>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博爱县财政局</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电话：0391-8683273</w:t>
      </w:r>
    </w:p>
    <w:p>
      <w:pPr>
        <w:pStyle w:val="18"/>
        <w:rPr>
          <w:color w:val="auto"/>
        </w:rPr>
      </w:pPr>
    </w:p>
    <w:p>
      <w:pPr>
        <w:widowControl/>
        <w:spacing w:line="440" w:lineRule="exact"/>
        <w:ind w:left="2940" w:firstLine="420"/>
        <w:rPr>
          <w:rFonts w:hint="eastAsia" w:ascii="宋体" w:hAnsi="宋体" w:eastAsia="宋体" w:cs="宋体"/>
          <w:color w:val="auto"/>
          <w:sz w:val="24"/>
          <w:shd w:val="clear" w:color="auto" w:fill="FFFFFF"/>
          <w:lang w:eastAsia="zh-CN"/>
        </w:rPr>
      </w:pPr>
      <w:r>
        <w:rPr>
          <w:rFonts w:hint="eastAsia" w:ascii="宋体" w:hAnsi="宋体" w:cs="宋体"/>
          <w:color w:val="auto"/>
          <w:sz w:val="24"/>
        </w:rPr>
        <w:t>采购人：</w:t>
      </w:r>
      <w:r>
        <w:rPr>
          <w:rFonts w:hint="eastAsia" w:ascii="宋体" w:hAnsi="宋体" w:cs="宋体"/>
          <w:color w:val="auto"/>
          <w:sz w:val="24"/>
          <w:shd w:val="clear" w:color="auto" w:fill="FFFFFF"/>
          <w:lang w:eastAsia="zh-CN"/>
        </w:rPr>
        <w:t>博爱县人民医院</w:t>
      </w:r>
    </w:p>
    <w:p>
      <w:pPr>
        <w:widowControl/>
        <w:spacing w:line="440" w:lineRule="exact"/>
        <w:ind w:firstLine="2880" w:firstLineChars="1200"/>
        <w:jc w:val="left"/>
        <w:rPr>
          <w:rFonts w:ascii="宋体" w:hAnsi="宋体" w:cs="宋体"/>
          <w:color w:val="auto"/>
          <w:sz w:val="24"/>
          <w:shd w:val="clear" w:color="auto" w:fill="FFFFFF"/>
        </w:rPr>
      </w:pPr>
      <w:r>
        <w:rPr>
          <w:rFonts w:hint="eastAsia" w:ascii="宋体" w:hAnsi="宋体" w:cs="宋体"/>
          <w:color w:val="auto"/>
          <w:sz w:val="24"/>
          <w:shd w:val="clear" w:color="auto" w:fill="FFFFFF"/>
        </w:rPr>
        <w:t>采购代理机构：博爱县城市建设项目管理有限公司</w:t>
      </w:r>
    </w:p>
    <w:p>
      <w:pPr>
        <w:widowControl/>
        <w:spacing w:line="440" w:lineRule="exact"/>
        <w:ind w:left="2940" w:firstLine="420"/>
        <w:rPr>
          <w:color w:val="auto"/>
        </w:rPr>
      </w:pPr>
      <w:r>
        <w:rPr>
          <w:rFonts w:hint="eastAsia" w:ascii="宋体" w:hAnsi="宋体" w:cs="宋体"/>
          <w:color w:val="auto"/>
          <w:sz w:val="24"/>
        </w:rPr>
        <w:t>发布时间：2021年</w:t>
      </w:r>
      <w:r>
        <w:rPr>
          <w:rFonts w:hint="eastAsia" w:ascii="宋体" w:hAnsi="宋体" w:cs="宋体"/>
          <w:color w:val="auto"/>
          <w:sz w:val="24"/>
          <w:lang w:val="en-US" w:eastAsia="zh-CN"/>
        </w:rPr>
        <w:t>12</w:t>
      </w:r>
      <w:r>
        <w:rPr>
          <w:rFonts w:hint="eastAsia" w:ascii="宋体" w:hAnsi="宋体" w:cs="宋体"/>
          <w:color w:val="auto"/>
          <w:sz w:val="24"/>
        </w:rPr>
        <w:t>月</w:t>
      </w:r>
      <w:r>
        <w:rPr>
          <w:rFonts w:hint="eastAsia" w:ascii="宋体" w:hAnsi="宋体" w:cs="宋体"/>
          <w:color w:val="auto"/>
          <w:sz w:val="24"/>
          <w:lang w:val="en-US" w:eastAsia="zh-CN"/>
        </w:rPr>
        <w:t>21</w:t>
      </w:r>
      <w:r>
        <w:rPr>
          <w:rFonts w:hint="eastAsia" w:ascii="宋体" w:hAnsi="宋体" w:cs="宋体"/>
          <w:color w:val="auto"/>
          <w:sz w:val="24"/>
        </w:rPr>
        <w:t>日</w:t>
      </w:r>
    </w:p>
    <w:p>
      <w:pPr>
        <w:rPr>
          <w:rFonts w:asciiTheme="minorEastAsia" w:hAnsiTheme="minorEastAsia" w:eastAsiaTheme="minorEastAsia" w:cstheme="minorEastAsia"/>
          <w:b/>
          <w:sz w:val="32"/>
          <w:szCs w:val="32"/>
        </w:rPr>
      </w:pPr>
    </w:p>
    <w:p>
      <w:pPr>
        <w:autoSpaceDE w:val="0"/>
        <w:autoSpaceDN w:val="0"/>
        <w:adjustRightInd w:val="0"/>
        <w:spacing w:line="360" w:lineRule="auto"/>
        <w:jc w:val="center"/>
        <w:outlineLvl w:val="0"/>
        <w:rPr>
          <w:rFonts w:asciiTheme="minorEastAsia" w:hAnsiTheme="minorEastAsia" w:eastAsiaTheme="minorEastAsia" w:cstheme="minorEastAsia"/>
          <w:b/>
          <w:sz w:val="32"/>
          <w:szCs w:val="32"/>
        </w:rPr>
      </w:pPr>
      <w:r>
        <w:rPr>
          <w:rFonts w:hint="eastAsia" w:asciiTheme="minorEastAsia" w:hAnsiTheme="minorEastAsia" w:eastAsiaTheme="minorEastAsia" w:cstheme="minorEastAsia"/>
          <w:b/>
          <w:sz w:val="32"/>
          <w:szCs w:val="32"/>
        </w:rPr>
        <w:t>第二章  供应商须知</w:t>
      </w:r>
      <w:bookmarkEnd w:id="2"/>
    </w:p>
    <w:bookmarkEnd w:id="0"/>
    <w:p>
      <w:pPr>
        <w:pStyle w:val="38"/>
        <w:spacing w:before="0" w:after="0" w:line="360" w:lineRule="auto"/>
        <w:ind w:right="-23" w:rightChars="-11"/>
        <w:rPr>
          <w:rFonts w:asciiTheme="minorEastAsia" w:hAnsiTheme="minorEastAsia" w:eastAsiaTheme="minorEastAsia" w:cstheme="minorEastAsia"/>
          <w:sz w:val="30"/>
          <w:szCs w:val="30"/>
        </w:rPr>
      </w:pPr>
      <w:bookmarkStart w:id="3" w:name="_Toc9161"/>
      <w:bookmarkStart w:id="4" w:name="_Toc426369478"/>
      <w:bookmarkStart w:id="5" w:name="_Toc32497"/>
      <w:bookmarkStart w:id="6" w:name="_Toc403122490"/>
      <w:r>
        <w:rPr>
          <w:rFonts w:hint="eastAsia" w:asciiTheme="minorEastAsia" w:hAnsiTheme="minorEastAsia" w:eastAsiaTheme="minorEastAsia" w:cstheme="minorEastAsia"/>
          <w:sz w:val="30"/>
          <w:szCs w:val="30"/>
        </w:rPr>
        <w:t>供应商须知前附表</w:t>
      </w:r>
      <w:bookmarkEnd w:id="3"/>
      <w:bookmarkEnd w:id="4"/>
      <w:bookmarkEnd w:id="5"/>
      <w:bookmarkEnd w:id="6"/>
    </w:p>
    <w:tbl>
      <w:tblPr>
        <w:tblStyle w:val="40"/>
        <w:tblW w:w="93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5"/>
        <w:gridCol w:w="2318"/>
        <w:gridCol w:w="61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23"/>
              <w:spacing w:line="360" w:lineRule="exact"/>
              <w:jc w:val="center"/>
              <w:rPr>
                <w:rFonts w:hint="default" w:asciiTheme="minorEastAsia" w:hAnsiTheme="minorEastAsia" w:eastAsiaTheme="minorEastAsia" w:cstheme="minorEastAsia"/>
                <w:b/>
              </w:rPr>
            </w:pPr>
            <w:r>
              <w:rPr>
                <w:rFonts w:asciiTheme="minorEastAsia" w:hAnsiTheme="minorEastAsia" w:eastAsiaTheme="minorEastAsia" w:cstheme="minorEastAsia"/>
                <w:b/>
              </w:rPr>
              <w:t>条款号</w:t>
            </w:r>
          </w:p>
        </w:tc>
        <w:tc>
          <w:tcPr>
            <w:tcW w:w="2318" w:type="dxa"/>
            <w:vAlign w:val="center"/>
          </w:tcPr>
          <w:p>
            <w:pPr>
              <w:pStyle w:val="23"/>
              <w:spacing w:line="360" w:lineRule="exact"/>
              <w:jc w:val="center"/>
              <w:rPr>
                <w:rFonts w:hint="default" w:asciiTheme="minorEastAsia" w:hAnsiTheme="minorEastAsia" w:eastAsiaTheme="minorEastAsia" w:cstheme="minorEastAsia"/>
                <w:b/>
              </w:rPr>
            </w:pPr>
            <w:r>
              <w:rPr>
                <w:rFonts w:asciiTheme="minorEastAsia" w:hAnsiTheme="minorEastAsia" w:eastAsiaTheme="minorEastAsia" w:cstheme="minorEastAsia"/>
                <w:b/>
              </w:rPr>
              <w:t>条款名称</w:t>
            </w:r>
          </w:p>
        </w:tc>
        <w:tc>
          <w:tcPr>
            <w:tcW w:w="6112" w:type="dxa"/>
            <w:vAlign w:val="center"/>
          </w:tcPr>
          <w:p>
            <w:pPr>
              <w:pStyle w:val="23"/>
              <w:spacing w:line="360" w:lineRule="exact"/>
              <w:jc w:val="center"/>
              <w:rPr>
                <w:rFonts w:hint="default" w:asciiTheme="minorEastAsia" w:hAnsiTheme="minorEastAsia" w:eastAsiaTheme="minorEastAsia" w:cstheme="minorEastAsia"/>
                <w:b/>
              </w:rPr>
            </w:pPr>
            <w:r>
              <w:rPr>
                <w:rFonts w:asciiTheme="minorEastAsia" w:hAnsiTheme="minorEastAsia" w:eastAsiaTheme="minorEastAsia" w:cstheme="minorEastAsia"/>
                <w:b/>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23"/>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1.1.2</w:t>
            </w:r>
          </w:p>
        </w:tc>
        <w:tc>
          <w:tcPr>
            <w:tcW w:w="2318" w:type="dxa"/>
            <w:vAlign w:val="center"/>
          </w:tcPr>
          <w:p>
            <w:pPr>
              <w:pStyle w:val="23"/>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采购人</w:t>
            </w:r>
          </w:p>
        </w:tc>
        <w:tc>
          <w:tcPr>
            <w:tcW w:w="6112" w:type="dxa"/>
            <w:vAlign w:val="center"/>
          </w:tcPr>
          <w:p>
            <w:pPr>
              <w:pStyle w:val="23"/>
              <w:spacing w:line="360" w:lineRule="exact"/>
              <w:rPr>
                <w:rFonts w:hint="eastAsia" w:asciiTheme="minorEastAsia" w:hAnsiTheme="minorEastAsia" w:eastAsiaTheme="minorEastAsia" w:cstheme="minorEastAsia"/>
                <w:lang w:eastAsia="zh-CN"/>
              </w:rPr>
            </w:pPr>
            <w:r>
              <w:rPr>
                <w:rFonts w:asciiTheme="minorEastAsia" w:hAnsiTheme="minorEastAsia" w:eastAsiaTheme="minorEastAsia" w:cstheme="minorEastAsia"/>
              </w:rPr>
              <w:t>名称：</w:t>
            </w:r>
            <w:r>
              <w:rPr>
                <w:rFonts w:hint="eastAsia" w:asciiTheme="minorEastAsia" w:hAnsiTheme="minorEastAsia" w:eastAsiaTheme="minorEastAsia" w:cstheme="minorEastAsia"/>
                <w:lang w:eastAsia="zh-CN"/>
              </w:rPr>
              <w:t>博爱县人民医院</w:t>
            </w:r>
          </w:p>
          <w:p>
            <w:pPr>
              <w:pStyle w:val="23"/>
              <w:spacing w:line="360" w:lineRule="exact"/>
              <w:rPr>
                <w:rFonts w:hint="eastAsia" w:asciiTheme="minorEastAsia" w:hAnsiTheme="minorEastAsia" w:eastAsiaTheme="minorEastAsia" w:cstheme="minorEastAsia"/>
                <w:lang w:eastAsia="zh-CN"/>
              </w:rPr>
            </w:pPr>
            <w:r>
              <w:rPr>
                <w:rFonts w:asciiTheme="minorEastAsia" w:hAnsiTheme="minorEastAsia" w:eastAsiaTheme="minorEastAsia" w:cstheme="minorEastAsia"/>
              </w:rPr>
              <w:t>联系</w:t>
            </w:r>
            <w:r>
              <w:rPr>
                <w:rFonts w:asciiTheme="minorEastAsia" w:hAnsiTheme="minorEastAsia" w:eastAsiaTheme="minorEastAsia" w:cstheme="minorEastAsia"/>
                <w:szCs w:val="24"/>
              </w:rPr>
              <w:t>人：</w:t>
            </w:r>
            <w:r>
              <w:rPr>
                <w:rFonts w:hint="eastAsia" w:hAnsi="宋体" w:cs="宋体" w:eastAsiaTheme="minorEastAsia"/>
                <w:bCs/>
                <w:lang w:eastAsia="zh-CN"/>
              </w:rPr>
              <w:t>秦先生</w:t>
            </w:r>
          </w:p>
          <w:p>
            <w:pPr>
              <w:pStyle w:val="23"/>
              <w:spacing w:line="360" w:lineRule="exact"/>
              <w:rPr>
                <w:rFonts w:hint="eastAsia" w:asciiTheme="minorEastAsia" w:hAnsiTheme="minorEastAsia" w:eastAsiaTheme="minorEastAsia" w:cstheme="minorEastAsia"/>
                <w:lang w:eastAsia="zh-CN"/>
              </w:rPr>
            </w:pPr>
            <w:r>
              <w:rPr>
                <w:rFonts w:asciiTheme="minorEastAsia" w:hAnsiTheme="minorEastAsia" w:eastAsiaTheme="minorEastAsia" w:cstheme="minorEastAsia"/>
              </w:rPr>
              <w:t>电话：</w:t>
            </w:r>
            <w:r>
              <w:rPr>
                <w:rFonts w:hint="eastAsia" w:hAnsi="宋体" w:cs="宋体" w:eastAsiaTheme="minorEastAsia"/>
                <w:bCs/>
                <w:lang w:eastAsia="zh-CN"/>
              </w:rPr>
              <w:t>15978760197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23"/>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1.1.3</w:t>
            </w:r>
          </w:p>
        </w:tc>
        <w:tc>
          <w:tcPr>
            <w:tcW w:w="2318" w:type="dxa"/>
            <w:vAlign w:val="center"/>
          </w:tcPr>
          <w:p>
            <w:pPr>
              <w:pStyle w:val="23"/>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采购代理机构</w:t>
            </w:r>
          </w:p>
        </w:tc>
        <w:tc>
          <w:tcPr>
            <w:tcW w:w="6112" w:type="dxa"/>
            <w:vAlign w:val="center"/>
          </w:tcPr>
          <w:p>
            <w:pPr>
              <w:pStyle w:val="23"/>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 xml:space="preserve">采购代理机构：博爱县城市建设项目管理有限公司  </w:t>
            </w:r>
          </w:p>
          <w:p>
            <w:pPr>
              <w:pStyle w:val="23"/>
              <w:spacing w:line="360" w:lineRule="exact"/>
              <w:rPr>
                <w:rFonts w:hint="default" w:asciiTheme="minorEastAsia" w:hAnsiTheme="minorEastAsia" w:eastAsiaTheme="minorEastAsia" w:cstheme="minorEastAsia"/>
                <w:bCs/>
                <w:iCs/>
              </w:rPr>
            </w:pPr>
            <w:r>
              <w:rPr>
                <w:rFonts w:asciiTheme="minorEastAsia" w:hAnsiTheme="minorEastAsia" w:eastAsiaTheme="minorEastAsia" w:cstheme="minorEastAsia"/>
              </w:rPr>
              <w:t>联</w:t>
            </w:r>
            <w:r>
              <w:rPr>
                <w:rFonts w:asciiTheme="minorEastAsia" w:hAnsiTheme="minorEastAsia" w:eastAsiaTheme="minorEastAsia" w:cstheme="minorEastAsia"/>
                <w:bCs/>
                <w:iCs/>
              </w:rPr>
              <w:t xml:space="preserve">系人：张先生      </w:t>
            </w:r>
          </w:p>
          <w:p>
            <w:pPr>
              <w:pStyle w:val="23"/>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bCs/>
                <w:iCs/>
              </w:rPr>
              <w:t>电话：0391-8690958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23"/>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1.1.4</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项目名称</w:t>
            </w:r>
          </w:p>
        </w:tc>
        <w:tc>
          <w:tcPr>
            <w:tcW w:w="6112" w:type="dxa"/>
            <w:vAlign w:val="center"/>
          </w:tcPr>
          <w:p>
            <w:pPr>
              <w:adjustRightInd w:val="0"/>
              <w:snapToGrid w:val="0"/>
              <w:spacing w:line="460" w:lineRule="exac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bCs/>
                <w:iCs/>
                <w:szCs w:val="21"/>
                <w:lang w:eastAsia="zh-CN"/>
              </w:rPr>
              <w:t>博爱县人民医院康复医疗设备技术升级改造采购项目（二次）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23"/>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1.1.5</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bCs/>
                <w:iCs/>
                <w:szCs w:val="21"/>
              </w:rPr>
              <w:t>项目地点</w:t>
            </w:r>
          </w:p>
        </w:tc>
        <w:tc>
          <w:tcPr>
            <w:tcW w:w="6112" w:type="dxa"/>
            <w:vAlign w:val="center"/>
          </w:tcPr>
          <w:p>
            <w:pPr>
              <w:pStyle w:val="23"/>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23"/>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1.2.1</w:t>
            </w:r>
          </w:p>
        </w:tc>
        <w:tc>
          <w:tcPr>
            <w:tcW w:w="2318" w:type="dxa"/>
            <w:vAlign w:val="center"/>
          </w:tcPr>
          <w:p>
            <w:pPr>
              <w:pStyle w:val="23"/>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资金来源</w:t>
            </w:r>
          </w:p>
        </w:tc>
        <w:tc>
          <w:tcPr>
            <w:tcW w:w="6112" w:type="dxa"/>
            <w:vAlign w:val="center"/>
          </w:tcPr>
          <w:p>
            <w:pPr>
              <w:pStyle w:val="23"/>
              <w:spacing w:line="360" w:lineRule="exact"/>
              <w:rPr>
                <w:rFonts w:hint="default" w:asciiTheme="minorEastAsia" w:hAnsiTheme="minorEastAsia" w:eastAsiaTheme="minorEastAsia" w:cstheme="minorEastAsia"/>
              </w:rPr>
            </w:pPr>
            <w:r>
              <w:rPr>
                <w:rFonts w:hint="eastAsia" w:asciiTheme="minorEastAsia" w:hAnsiTheme="minorEastAsia" w:eastAsiaTheme="minorEastAsia" w:cstheme="minorEastAsia"/>
                <w:lang w:eastAsia="zh-CN"/>
              </w:rPr>
              <w:t>自筹资金</w:t>
            </w:r>
            <w:r>
              <w:rPr>
                <w:rFonts w:asciiTheme="minorEastAsia" w:hAnsiTheme="minorEastAsia" w:eastAsiaTheme="minorEastAsia" w:cstheme="minorEastAsi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23"/>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1.2.2</w:t>
            </w:r>
          </w:p>
        </w:tc>
        <w:tc>
          <w:tcPr>
            <w:tcW w:w="2318" w:type="dxa"/>
            <w:vAlign w:val="center"/>
          </w:tcPr>
          <w:p>
            <w:pPr>
              <w:pStyle w:val="23"/>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资金落实情况</w:t>
            </w:r>
          </w:p>
        </w:tc>
        <w:tc>
          <w:tcPr>
            <w:tcW w:w="6112" w:type="dxa"/>
            <w:vAlign w:val="center"/>
          </w:tcPr>
          <w:p>
            <w:pPr>
              <w:pStyle w:val="23"/>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965" w:type="dxa"/>
            <w:vAlign w:val="center"/>
          </w:tcPr>
          <w:p>
            <w:pPr>
              <w:pStyle w:val="23"/>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1.3.1</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采购内容</w:t>
            </w:r>
          </w:p>
        </w:tc>
        <w:tc>
          <w:tcPr>
            <w:tcW w:w="6112" w:type="dxa"/>
          </w:tcPr>
          <w:p>
            <w:pPr>
              <w:pStyle w:val="23"/>
              <w:spacing w:line="360" w:lineRule="exact"/>
              <w:rPr>
                <w:rFonts w:hint="default" w:asciiTheme="minorEastAsia" w:hAnsiTheme="minorEastAsia" w:eastAsiaTheme="minorEastAsia" w:cstheme="minorEastAsia"/>
              </w:rPr>
            </w:pPr>
            <w:r>
              <w:rPr>
                <w:rFonts w:hint="eastAsia" w:asciiTheme="minorEastAsia" w:hAnsiTheme="minorEastAsia" w:eastAsiaTheme="minorEastAsia" w:cstheme="minorEastAsia"/>
                <w:bCs/>
                <w:iCs/>
                <w:kern w:val="2"/>
                <w:sz w:val="21"/>
                <w:szCs w:val="21"/>
                <w:lang w:val="en-US" w:eastAsia="zh-CN" w:bidi="ar-SA"/>
              </w:rPr>
              <w:t>采购认知能力测试训练仪、儿童认知能力测试与训练仪、脑电仿生电刺激仪、体外冲击波治疗仪等康复医疗设备及技术升级改造（详见招标文件第五章）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23"/>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1.3.2</w:t>
            </w:r>
          </w:p>
        </w:tc>
        <w:tc>
          <w:tcPr>
            <w:tcW w:w="2318" w:type="dxa"/>
            <w:vAlign w:val="center"/>
          </w:tcPr>
          <w:p>
            <w:pPr>
              <w:pStyle w:val="23"/>
              <w:spacing w:line="360" w:lineRule="exact"/>
              <w:jc w:val="center"/>
              <w:rPr>
                <w:rFonts w:hint="default" w:hAnsi="宋体" w:cs="宋体"/>
                <w:kern w:val="0"/>
              </w:rPr>
            </w:pPr>
            <w:r>
              <w:rPr>
                <w:rFonts w:hAnsi="宋体" w:cs="宋体"/>
                <w:kern w:val="0"/>
              </w:rPr>
              <w:t>供货及安装期</w:t>
            </w:r>
          </w:p>
        </w:tc>
        <w:tc>
          <w:tcPr>
            <w:tcW w:w="6112" w:type="dxa"/>
            <w:vAlign w:val="center"/>
          </w:tcPr>
          <w:p>
            <w:pPr>
              <w:adjustRightInd w:val="0"/>
              <w:snapToGrid w:val="0"/>
              <w:spacing w:line="560" w:lineRule="exact"/>
              <w:rPr>
                <w:rFonts w:ascii="宋体" w:hAnsi="宋体" w:cs="宋体"/>
                <w:kern w:val="0"/>
                <w:szCs w:val="21"/>
              </w:rPr>
            </w:pPr>
            <w:r>
              <w:rPr>
                <w:rFonts w:hint="eastAsia" w:ascii="宋体" w:hAnsi="宋体" w:cs="宋体"/>
                <w:kern w:val="0"/>
                <w:szCs w:val="21"/>
                <w:lang w:val="en-US" w:eastAsia="zh-CN"/>
              </w:rPr>
              <w:t>40</w:t>
            </w:r>
            <w:r>
              <w:rPr>
                <w:rFonts w:hint="eastAsia" w:ascii="宋体" w:hAnsi="宋体" w:cs="宋体"/>
                <w:kern w:val="0"/>
                <w:szCs w:val="21"/>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23"/>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1.3.3</w:t>
            </w:r>
          </w:p>
        </w:tc>
        <w:tc>
          <w:tcPr>
            <w:tcW w:w="2318" w:type="dxa"/>
            <w:vAlign w:val="center"/>
          </w:tcPr>
          <w:p>
            <w:pPr>
              <w:pStyle w:val="23"/>
              <w:spacing w:line="360" w:lineRule="exact"/>
              <w:jc w:val="center"/>
              <w:rPr>
                <w:rFonts w:hint="default" w:hAnsi="宋体" w:cs="宋体"/>
                <w:kern w:val="0"/>
              </w:rPr>
            </w:pPr>
            <w:r>
              <w:rPr>
                <w:rFonts w:hint="default" w:hAnsi="宋体" w:cs="宋体"/>
                <w:kern w:val="0"/>
              </w:rPr>
              <w:t>质量标准</w:t>
            </w:r>
          </w:p>
        </w:tc>
        <w:tc>
          <w:tcPr>
            <w:tcW w:w="6112" w:type="dxa"/>
            <w:vAlign w:val="center"/>
          </w:tcPr>
          <w:p>
            <w:pPr>
              <w:spacing w:line="400" w:lineRule="exact"/>
              <w:rPr>
                <w:rFonts w:ascii="宋体" w:hAnsi="宋体" w:cs="宋体"/>
                <w:kern w:val="0"/>
                <w:szCs w:val="21"/>
              </w:rPr>
            </w:pPr>
            <w:r>
              <w:rPr>
                <w:rFonts w:hint="eastAsia" w:ascii="宋体" w:hAnsi="宋体" w:cs="宋体"/>
                <w:kern w:val="0"/>
                <w:szCs w:val="21"/>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23"/>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1.3.4</w:t>
            </w:r>
          </w:p>
        </w:tc>
        <w:tc>
          <w:tcPr>
            <w:tcW w:w="2318" w:type="dxa"/>
            <w:vAlign w:val="center"/>
          </w:tcPr>
          <w:p>
            <w:pPr>
              <w:pStyle w:val="23"/>
              <w:spacing w:line="360" w:lineRule="exact"/>
              <w:jc w:val="center"/>
              <w:rPr>
                <w:rFonts w:hint="default" w:hAnsi="宋体" w:cs="宋体"/>
                <w:kern w:val="0"/>
              </w:rPr>
            </w:pPr>
            <w:r>
              <w:rPr>
                <w:rFonts w:hAnsi="宋体" w:cs="宋体"/>
                <w:kern w:val="0"/>
              </w:rPr>
              <w:t>质保期</w:t>
            </w:r>
          </w:p>
        </w:tc>
        <w:tc>
          <w:tcPr>
            <w:tcW w:w="6112" w:type="dxa"/>
            <w:vAlign w:val="center"/>
          </w:tcPr>
          <w:p>
            <w:pPr>
              <w:spacing w:line="400" w:lineRule="exact"/>
              <w:rPr>
                <w:rFonts w:ascii="宋体" w:hAnsi="宋体" w:cs="宋体"/>
                <w:kern w:val="0"/>
                <w:szCs w:val="21"/>
              </w:rPr>
            </w:pPr>
            <w:r>
              <w:rPr>
                <w:rFonts w:hint="eastAsia" w:ascii="宋体" w:hAnsi="宋体" w:cs="宋体"/>
                <w:kern w:val="0"/>
                <w:szCs w:val="21"/>
              </w:rPr>
              <w:t>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23"/>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1.4.1</w:t>
            </w:r>
          </w:p>
        </w:tc>
        <w:tc>
          <w:tcPr>
            <w:tcW w:w="2318" w:type="dxa"/>
            <w:vAlign w:val="center"/>
          </w:tcPr>
          <w:p>
            <w:pPr>
              <w:pStyle w:val="23"/>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供应商资质条件</w:t>
            </w:r>
          </w:p>
        </w:tc>
        <w:tc>
          <w:tcPr>
            <w:tcW w:w="6112" w:type="dxa"/>
            <w:vAlign w:val="center"/>
          </w:tcPr>
          <w:p>
            <w:pPr>
              <w:pStyle w:val="23"/>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1、符合《中华人民共和国政府采购法》第二十二条之规定；</w:t>
            </w:r>
          </w:p>
          <w:p>
            <w:pPr>
              <w:pStyle w:val="23"/>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2、落实政府采购政策需满足的资格要求：促进中小企业和监狱企业发展扶持政策、政府强制采购节能产品、节能产品及环境标志产品优先采购。</w:t>
            </w:r>
          </w:p>
          <w:p>
            <w:pPr>
              <w:pStyle w:val="23"/>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3、本项目的特定资格要求：</w:t>
            </w:r>
          </w:p>
          <w:p>
            <w:pPr>
              <w:pStyle w:val="23"/>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3.1供应商须具有有效的营业执照，并具有实施完成本项目的经营实力和完善的售后服务体系；</w:t>
            </w:r>
          </w:p>
          <w:p>
            <w:pPr>
              <w:pStyle w:val="23"/>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3.2信誉要求：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供应商，拒绝参与政府采购活动，同时对信用信息查询记录和证据进行打印存档； </w:t>
            </w:r>
          </w:p>
          <w:p>
            <w:pPr>
              <w:pStyle w:val="23"/>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3.3本项目不接受联合体投标；</w:t>
            </w:r>
          </w:p>
          <w:p>
            <w:pPr>
              <w:pStyle w:val="23"/>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3.4资格审查方式：资格后审。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23"/>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1.4.2</w:t>
            </w:r>
          </w:p>
        </w:tc>
        <w:tc>
          <w:tcPr>
            <w:tcW w:w="2318" w:type="dxa"/>
            <w:vAlign w:val="center"/>
          </w:tcPr>
          <w:p>
            <w:pPr>
              <w:pStyle w:val="23"/>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是否接受联合体</w:t>
            </w:r>
          </w:p>
        </w:tc>
        <w:tc>
          <w:tcPr>
            <w:tcW w:w="6112" w:type="dxa"/>
            <w:vAlign w:val="center"/>
          </w:tcPr>
          <w:p>
            <w:pPr>
              <w:pStyle w:val="23"/>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965" w:type="dxa"/>
            <w:vAlign w:val="center"/>
          </w:tcPr>
          <w:p>
            <w:pPr>
              <w:pStyle w:val="23"/>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1.10.1</w:t>
            </w:r>
          </w:p>
        </w:tc>
        <w:tc>
          <w:tcPr>
            <w:tcW w:w="2318" w:type="dxa"/>
            <w:vAlign w:val="center"/>
          </w:tcPr>
          <w:p>
            <w:pPr>
              <w:pStyle w:val="23"/>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投标预备会</w:t>
            </w:r>
          </w:p>
        </w:tc>
        <w:tc>
          <w:tcPr>
            <w:tcW w:w="6112" w:type="dxa"/>
            <w:vAlign w:val="center"/>
          </w:tcPr>
          <w:p>
            <w:pPr>
              <w:pStyle w:val="23"/>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23"/>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1.10.2</w:t>
            </w:r>
          </w:p>
        </w:tc>
        <w:tc>
          <w:tcPr>
            <w:tcW w:w="2318" w:type="dxa"/>
            <w:vAlign w:val="center"/>
          </w:tcPr>
          <w:p>
            <w:pPr>
              <w:pStyle w:val="23"/>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供应商提出问题的</w:t>
            </w:r>
          </w:p>
          <w:p>
            <w:pPr>
              <w:pStyle w:val="23"/>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截止时间</w:t>
            </w:r>
          </w:p>
        </w:tc>
        <w:tc>
          <w:tcPr>
            <w:tcW w:w="6112" w:type="dxa"/>
            <w:vAlign w:val="center"/>
          </w:tcPr>
          <w:p>
            <w:pPr>
              <w:pStyle w:val="23"/>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若有疑问，应当在获取招标文件或者招标文件公告期限届满之日起七个工作日内，以书面形式向采购人、代理机构提出质疑。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23"/>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1.10.3</w:t>
            </w:r>
          </w:p>
        </w:tc>
        <w:tc>
          <w:tcPr>
            <w:tcW w:w="2318" w:type="dxa"/>
            <w:vAlign w:val="center"/>
          </w:tcPr>
          <w:p>
            <w:pPr>
              <w:pStyle w:val="23"/>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采购人说明澄清的时间</w:t>
            </w:r>
          </w:p>
        </w:tc>
        <w:tc>
          <w:tcPr>
            <w:tcW w:w="6112" w:type="dxa"/>
            <w:vAlign w:val="center"/>
          </w:tcPr>
          <w:p>
            <w:pPr>
              <w:pStyle w:val="23"/>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招标文件规定的投标截止时间15天前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65" w:type="dxa"/>
            <w:vAlign w:val="center"/>
          </w:tcPr>
          <w:p>
            <w:pPr>
              <w:pStyle w:val="23"/>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1.11</w:t>
            </w:r>
          </w:p>
        </w:tc>
        <w:tc>
          <w:tcPr>
            <w:tcW w:w="2318" w:type="dxa"/>
            <w:vAlign w:val="center"/>
          </w:tcPr>
          <w:p>
            <w:pPr>
              <w:pStyle w:val="23"/>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分包</w:t>
            </w:r>
          </w:p>
        </w:tc>
        <w:tc>
          <w:tcPr>
            <w:tcW w:w="6112" w:type="dxa"/>
            <w:vAlign w:val="center"/>
          </w:tcPr>
          <w:p>
            <w:pPr>
              <w:pStyle w:val="23"/>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965" w:type="dxa"/>
            <w:vAlign w:val="center"/>
          </w:tcPr>
          <w:p>
            <w:pPr>
              <w:pStyle w:val="23"/>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1.12</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偏离</w:t>
            </w:r>
          </w:p>
        </w:tc>
        <w:tc>
          <w:tcPr>
            <w:tcW w:w="6112" w:type="dxa"/>
            <w:vAlign w:val="center"/>
          </w:tcPr>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23"/>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2.2.1</w:t>
            </w:r>
          </w:p>
        </w:tc>
        <w:tc>
          <w:tcPr>
            <w:tcW w:w="2318" w:type="dxa"/>
            <w:vAlign w:val="center"/>
          </w:tcPr>
          <w:p>
            <w:pPr>
              <w:pStyle w:val="23"/>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供应商要求澄清招标文件的截止时间</w:t>
            </w:r>
          </w:p>
        </w:tc>
        <w:tc>
          <w:tcPr>
            <w:tcW w:w="6112" w:type="dxa"/>
            <w:vAlign w:val="center"/>
          </w:tcPr>
          <w:p>
            <w:pPr>
              <w:pStyle w:val="23"/>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若有疑问，应当在获取招标文件或者招标文件公告期限届满之日起七个工作日内，以书面形式向采购人、代理机构提出质疑。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65" w:type="dxa"/>
            <w:vAlign w:val="center"/>
          </w:tcPr>
          <w:p>
            <w:pPr>
              <w:pStyle w:val="23"/>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2.2.2</w:t>
            </w:r>
          </w:p>
        </w:tc>
        <w:tc>
          <w:tcPr>
            <w:tcW w:w="2318" w:type="dxa"/>
            <w:vAlign w:val="center"/>
          </w:tcPr>
          <w:p>
            <w:pPr>
              <w:pStyle w:val="23"/>
              <w:spacing w:line="360" w:lineRule="exact"/>
              <w:jc w:val="center"/>
              <w:rPr>
                <w:rFonts w:hint="default" w:asciiTheme="minorEastAsia" w:hAnsiTheme="minorEastAsia" w:eastAsiaTheme="minorEastAsia" w:cstheme="minorEastAsia"/>
                <w:b/>
                <w:bCs/>
                <w:color w:val="auto"/>
              </w:rPr>
            </w:pPr>
            <w:r>
              <w:rPr>
                <w:rFonts w:asciiTheme="minorEastAsia" w:hAnsiTheme="minorEastAsia" w:eastAsiaTheme="minorEastAsia" w:cstheme="minorEastAsia"/>
                <w:b/>
                <w:bCs/>
                <w:color w:val="auto"/>
              </w:rPr>
              <w:t>投标截止时间</w:t>
            </w:r>
          </w:p>
        </w:tc>
        <w:tc>
          <w:tcPr>
            <w:tcW w:w="6112" w:type="dxa"/>
            <w:vAlign w:val="center"/>
          </w:tcPr>
          <w:p>
            <w:pPr>
              <w:spacing w:line="360" w:lineRule="exact"/>
              <w:jc w:val="left"/>
              <w:rPr>
                <w:rFonts w:asciiTheme="minorEastAsia" w:hAnsiTheme="minorEastAsia" w:eastAsiaTheme="minorEastAsia" w:cstheme="minorEastAsia"/>
                <w:b/>
                <w:bCs/>
                <w:color w:val="auto"/>
              </w:rPr>
            </w:pPr>
            <w:r>
              <w:rPr>
                <w:rFonts w:hint="eastAsia" w:ascii="宋体" w:hAnsi="宋体" w:cs="宋体"/>
                <w:b/>
                <w:bCs/>
                <w:color w:val="auto"/>
                <w:kern w:val="0"/>
                <w:sz w:val="21"/>
                <w:szCs w:val="21"/>
              </w:rPr>
              <w:t>202</w:t>
            </w:r>
            <w:r>
              <w:rPr>
                <w:rFonts w:hint="eastAsia" w:ascii="宋体" w:hAnsi="宋体" w:cs="宋体"/>
                <w:b/>
                <w:bCs/>
                <w:color w:val="auto"/>
                <w:kern w:val="0"/>
                <w:sz w:val="21"/>
                <w:szCs w:val="21"/>
                <w:lang w:val="en-US" w:eastAsia="zh-CN"/>
              </w:rPr>
              <w:t>2</w:t>
            </w:r>
            <w:r>
              <w:rPr>
                <w:rFonts w:hint="eastAsia" w:ascii="宋体" w:hAnsi="宋体" w:cs="宋体"/>
                <w:b/>
                <w:bCs/>
                <w:color w:val="auto"/>
                <w:kern w:val="0"/>
                <w:sz w:val="21"/>
                <w:szCs w:val="21"/>
              </w:rPr>
              <w:t>年</w:t>
            </w:r>
            <w:r>
              <w:rPr>
                <w:rFonts w:hint="eastAsia" w:ascii="宋体" w:hAnsi="宋体" w:cs="宋体"/>
                <w:b/>
                <w:bCs/>
                <w:color w:val="auto"/>
                <w:kern w:val="0"/>
                <w:sz w:val="21"/>
                <w:szCs w:val="21"/>
                <w:lang w:val="en-US" w:eastAsia="zh-CN"/>
              </w:rPr>
              <w:t>1</w:t>
            </w:r>
            <w:r>
              <w:rPr>
                <w:rFonts w:hint="eastAsia" w:ascii="宋体" w:hAnsi="宋体" w:cs="宋体"/>
                <w:b/>
                <w:bCs/>
                <w:color w:val="auto"/>
                <w:kern w:val="0"/>
                <w:sz w:val="21"/>
                <w:szCs w:val="21"/>
              </w:rPr>
              <w:t>月</w:t>
            </w:r>
            <w:r>
              <w:rPr>
                <w:rFonts w:hint="eastAsia" w:ascii="宋体" w:hAnsi="宋体" w:cs="宋体"/>
                <w:b/>
                <w:bCs/>
                <w:color w:val="auto"/>
                <w:kern w:val="0"/>
                <w:sz w:val="21"/>
                <w:szCs w:val="21"/>
                <w:lang w:val="en-US" w:eastAsia="zh-CN"/>
              </w:rPr>
              <w:t>11</w:t>
            </w:r>
            <w:r>
              <w:rPr>
                <w:rFonts w:hint="eastAsia" w:ascii="宋体" w:hAnsi="宋体" w:cs="宋体"/>
                <w:b/>
                <w:bCs/>
                <w:color w:val="auto"/>
                <w:kern w:val="0"/>
                <w:sz w:val="21"/>
                <w:szCs w:val="21"/>
              </w:rPr>
              <w:t>日</w:t>
            </w:r>
            <w:r>
              <w:rPr>
                <w:rFonts w:hint="eastAsia" w:ascii="宋体" w:hAnsi="宋体" w:cs="宋体"/>
                <w:b/>
                <w:bCs/>
                <w:color w:val="auto"/>
                <w:kern w:val="0"/>
                <w:sz w:val="21"/>
                <w:szCs w:val="21"/>
                <w:lang w:val="en-US" w:eastAsia="zh-CN"/>
              </w:rPr>
              <w:t xml:space="preserve">9 </w:t>
            </w:r>
            <w:r>
              <w:rPr>
                <w:rFonts w:hint="eastAsia" w:ascii="宋体" w:hAnsi="宋体" w:cs="宋体"/>
                <w:b/>
                <w:bCs/>
                <w:color w:val="auto"/>
                <w:kern w:val="0"/>
                <w:sz w:val="21"/>
                <w:szCs w:val="21"/>
              </w:rPr>
              <w:t>点</w:t>
            </w:r>
            <w:r>
              <w:rPr>
                <w:rFonts w:hint="eastAsia" w:ascii="宋体" w:hAnsi="宋体" w:cs="宋体"/>
                <w:b/>
                <w:bCs/>
                <w:color w:val="auto"/>
                <w:kern w:val="0"/>
                <w:sz w:val="21"/>
                <w:szCs w:val="21"/>
                <w:lang w:val="en-US" w:eastAsia="zh-CN"/>
              </w:rPr>
              <w:t>00</w:t>
            </w:r>
            <w:r>
              <w:rPr>
                <w:rFonts w:hint="eastAsia" w:ascii="宋体" w:hAnsi="宋体" w:cs="宋体"/>
                <w:b/>
                <w:bCs/>
                <w:color w:val="auto"/>
                <w:kern w:val="0"/>
                <w:sz w:val="21"/>
                <w:szCs w:val="21"/>
              </w:rPr>
              <w:t>分（北京时间）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2.2.3</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供应商确认收到招标文件澄清的时间</w:t>
            </w:r>
          </w:p>
        </w:tc>
        <w:tc>
          <w:tcPr>
            <w:tcW w:w="6112" w:type="dxa"/>
            <w:vAlign w:val="center"/>
          </w:tcPr>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招标文件澄清文件发出后4小时内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2.3.2</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供应商确认收到招标文件修改的时间</w:t>
            </w:r>
          </w:p>
        </w:tc>
        <w:tc>
          <w:tcPr>
            <w:tcW w:w="6112" w:type="dxa"/>
            <w:vAlign w:val="center"/>
          </w:tcPr>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招标文件修改文件发出后4小时内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3.1.1</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构成投标文件的</w:t>
            </w:r>
          </w:p>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其他材料</w:t>
            </w:r>
          </w:p>
        </w:tc>
        <w:tc>
          <w:tcPr>
            <w:tcW w:w="6112" w:type="dxa"/>
            <w:vAlign w:val="center"/>
          </w:tcPr>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招标文件中要求的其他资料。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965" w:type="dxa"/>
            <w:vAlign w:val="center"/>
          </w:tcPr>
          <w:p>
            <w:pPr>
              <w:pStyle w:val="23"/>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3.3.1</w:t>
            </w:r>
          </w:p>
        </w:tc>
        <w:tc>
          <w:tcPr>
            <w:tcW w:w="2318" w:type="dxa"/>
            <w:vAlign w:val="center"/>
          </w:tcPr>
          <w:p>
            <w:pPr>
              <w:pStyle w:val="23"/>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投标有效期</w:t>
            </w:r>
          </w:p>
        </w:tc>
        <w:tc>
          <w:tcPr>
            <w:tcW w:w="6112" w:type="dxa"/>
            <w:vAlign w:val="center"/>
          </w:tcPr>
          <w:p>
            <w:pPr>
              <w:pStyle w:val="23"/>
              <w:spacing w:line="360" w:lineRule="exact"/>
              <w:rPr>
                <w:rFonts w:hint="default" w:asciiTheme="minorEastAsia" w:hAnsiTheme="minorEastAsia" w:eastAsiaTheme="minorEastAsia" w:cstheme="minorEastAsia"/>
                <w:color w:val="FF0000"/>
              </w:rPr>
            </w:pPr>
            <w:r>
              <w:rPr>
                <w:rFonts w:asciiTheme="minorEastAsia" w:hAnsiTheme="minorEastAsia" w:eastAsiaTheme="minorEastAsia" w:cstheme="minorEastAsia"/>
                <w:color w:val="000000" w:themeColor="text1"/>
                <w14:textFill>
                  <w14:solidFill>
                    <w14:schemeClr w14:val="tx1"/>
                  </w14:solidFill>
                </w14:textFill>
              </w:rPr>
              <w:t>60日历天（从投标截止之日算起）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23"/>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3.6</w:t>
            </w:r>
          </w:p>
        </w:tc>
        <w:tc>
          <w:tcPr>
            <w:tcW w:w="2318" w:type="dxa"/>
            <w:vAlign w:val="center"/>
          </w:tcPr>
          <w:p>
            <w:pPr>
              <w:pStyle w:val="23"/>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是否允许递交备选</w:t>
            </w:r>
          </w:p>
          <w:p>
            <w:pPr>
              <w:pStyle w:val="23"/>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投标方案</w:t>
            </w:r>
          </w:p>
        </w:tc>
        <w:tc>
          <w:tcPr>
            <w:tcW w:w="6112" w:type="dxa"/>
            <w:vAlign w:val="center"/>
          </w:tcPr>
          <w:p>
            <w:pPr>
              <w:pStyle w:val="23"/>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shd w:val="clear" w:color="auto" w:fill="auto"/>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3.7.3</w:t>
            </w:r>
          </w:p>
        </w:tc>
        <w:tc>
          <w:tcPr>
            <w:tcW w:w="2318" w:type="dxa"/>
            <w:shd w:val="clear" w:color="auto" w:fill="auto"/>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签字盖章要求</w:t>
            </w:r>
          </w:p>
        </w:tc>
        <w:tc>
          <w:tcPr>
            <w:tcW w:w="6112" w:type="dxa"/>
            <w:shd w:val="clear" w:color="auto" w:fill="auto"/>
            <w:vAlign w:val="center"/>
          </w:tcPr>
          <w:p>
            <w:pPr>
              <w:spacing w:line="360" w:lineRule="exact"/>
              <w:jc w:val="left"/>
              <w:rPr>
                <w:rFonts w:ascii="宋体" w:hAnsi="宋体" w:cs="宋体"/>
                <w:szCs w:val="21"/>
              </w:rPr>
            </w:pPr>
            <w:r>
              <w:rPr>
                <w:rFonts w:hint="eastAsia" w:ascii="宋体" w:hAnsi="宋体" w:cs="宋体"/>
                <w:szCs w:val="21"/>
              </w:rPr>
              <w:t>（1）所有要求投标人加盖公章的地方都须加盖投标人单位的 CA 印章。</w:t>
            </w:r>
          </w:p>
          <w:p>
            <w:pPr>
              <w:pStyle w:val="23"/>
              <w:spacing w:line="360" w:lineRule="exact"/>
              <w:rPr>
                <w:rFonts w:hint="default" w:asciiTheme="minorEastAsia" w:hAnsiTheme="minorEastAsia" w:eastAsiaTheme="minorEastAsia" w:cstheme="minorEastAsia"/>
              </w:rPr>
            </w:pPr>
            <w:r>
              <w:rPr>
                <w:rFonts w:hAnsi="宋体" w:cs="宋体"/>
              </w:rPr>
              <w:t>（2）所有要求法定代表人或其委托代理人签字的地方都须加盖法定代表人CA 印章或其委托代理人签字。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965" w:type="dxa"/>
            <w:vAlign w:val="center"/>
          </w:tcPr>
          <w:p>
            <w:pPr>
              <w:pStyle w:val="23"/>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3.7.4</w:t>
            </w:r>
          </w:p>
        </w:tc>
        <w:tc>
          <w:tcPr>
            <w:tcW w:w="2318" w:type="dxa"/>
            <w:vAlign w:val="center"/>
          </w:tcPr>
          <w:p>
            <w:pPr>
              <w:pStyle w:val="23"/>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投标文件份数</w:t>
            </w:r>
          </w:p>
        </w:tc>
        <w:tc>
          <w:tcPr>
            <w:tcW w:w="6112" w:type="dxa"/>
            <w:vAlign w:val="center"/>
          </w:tcPr>
          <w:p>
            <w:pPr>
              <w:pStyle w:val="23"/>
              <w:spacing w:line="360" w:lineRule="exact"/>
              <w:rPr>
                <w:rFonts w:hint="default" w:asciiTheme="minorEastAsia" w:hAnsiTheme="minorEastAsia" w:cstheme="minorEastAsia"/>
              </w:rPr>
            </w:pPr>
            <w:r>
              <w:t>加密的电子投标文件壹份（.jztf 格式在会员系统指定位置上传）；自备非加密的电子投标文件一份，如有紧急情况，在不见面开标按要求上传。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23"/>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4.2.2</w:t>
            </w:r>
          </w:p>
        </w:tc>
        <w:tc>
          <w:tcPr>
            <w:tcW w:w="2318" w:type="dxa"/>
            <w:vAlign w:val="center"/>
          </w:tcPr>
          <w:p>
            <w:pPr>
              <w:pStyle w:val="23"/>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递交投标文件方式和</w:t>
            </w:r>
          </w:p>
          <w:p>
            <w:pPr>
              <w:pStyle w:val="23"/>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地点</w:t>
            </w:r>
          </w:p>
        </w:tc>
        <w:tc>
          <w:tcPr>
            <w:tcW w:w="6112" w:type="dxa"/>
            <w:vAlign w:val="center"/>
          </w:tcPr>
          <w:p>
            <w:pPr>
              <w:pStyle w:val="23"/>
              <w:spacing w:line="400" w:lineRule="exact"/>
              <w:rPr>
                <w:rFonts w:hint="default" w:hAnsi="宋体"/>
              </w:rPr>
            </w:pPr>
            <w:r>
              <w:rPr>
                <w:rFonts w:hAnsi="宋体"/>
              </w:rPr>
              <w:t xml:space="preserve">本项目采用“远程不见面”开标方式，远程开标大厅网址为http://122.112.246.33/BidOpening/bidopeninghallaction/hall/login。投标人不需到开标现场参加开标会议，不需提交原件资料等。 </w:t>
            </w:r>
          </w:p>
          <w:p>
            <w:pPr>
              <w:pStyle w:val="23"/>
              <w:spacing w:line="400" w:lineRule="exact"/>
              <w:rPr>
                <w:rFonts w:hint="default" w:hAnsi="宋体"/>
              </w:rPr>
            </w:pPr>
            <w:r>
              <w:rPr>
                <w:rFonts w:hAnsi="宋体"/>
              </w:rPr>
              <w:t>（1）电子投标文件的递交</w:t>
            </w:r>
          </w:p>
          <w:p>
            <w:pPr>
              <w:pStyle w:val="23"/>
              <w:spacing w:line="400" w:lineRule="exact"/>
              <w:rPr>
                <w:rFonts w:hint="default" w:hAnsi="宋体"/>
              </w:rPr>
            </w:pPr>
            <w:r>
              <w:rPr>
                <w:rFonts w:hAnsi="宋体"/>
              </w:rPr>
              <w:t>a、各投标人应在投标截止时间前上传加密的电子投标文件</w:t>
            </w:r>
          </w:p>
          <w:p>
            <w:pPr>
              <w:pStyle w:val="23"/>
              <w:spacing w:line="400" w:lineRule="exact"/>
              <w:rPr>
                <w:rFonts w:hint="default" w:hAnsi="宋体"/>
              </w:rPr>
            </w:pPr>
            <w:r>
              <w:rPr>
                <w:rFonts w:hAnsi="宋体"/>
              </w:rPr>
              <w:t>（.jztf 格式）到会员系统的指定位置。上传时必须得到电脑“上传成功”的确认回复。请投标人在上传时认真检查上传投标文件是否完整、正确。</w:t>
            </w:r>
          </w:p>
          <w:p>
            <w:pPr>
              <w:pStyle w:val="23"/>
              <w:spacing w:line="400" w:lineRule="exact"/>
              <w:rPr>
                <w:rFonts w:hint="default" w:hAnsi="宋体"/>
              </w:rPr>
            </w:pPr>
            <w:r>
              <w:rPr>
                <w:rFonts w:hAnsi="宋体"/>
              </w:rPr>
              <w:t>b、如系统故故障需上传非加密文件时，投标人应按照招标人指示将非加密文件递交给招标人。</w:t>
            </w:r>
          </w:p>
          <w:p>
            <w:pPr>
              <w:pStyle w:val="23"/>
              <w:spacing w:line="360" w:lineRule="exact"/>
              <w:rPr>
                <w:rFonts w:hint="default"/>
                <w:color w:val="0000FF"/>
              </w:rPr>
            </w:pPr>
            <w:r>
              <w:rPr>
                <w:rFonts w:hAnsi="宋体"/>
              </w:rPr>
              <w:t>C、投标人因交易中心投标系统无法上传电子投标文件时， 请在工作时间与博爱县公共资源交易中心联系，联系电话：0391-8301661。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23"/>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4.2.3</w:t>
            </w:r>
          </w:p>
        </w:tc>
        <w:tc>
          <w:tcPr>
            <w:tcW w:w="2318" w:type="dxa"/>
            <w:vAlign w:val="center"/>
          </w:tcPr>
          <w:p>
            <w:pPr>
              <w:pStyle w:val="23"/>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是否退还投标文件</w:t>
            </w:r>
          </w:p>
        </w:tc>
        <w:tc>
          <w:tcPr>
            <w:tcW w:w="6112" w:type="dxa"/>
            <w:vAlign w:val="center"/>
          </w:tcPr>
          <w:p>
            <w:pPr>
              <w:pStyle w:val="23"/>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23"/>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5.1</w:t>
            </w:r>
          </w:p>
        </w:tc>
        <w:tc>
          <w:tcPr>
            <w:tcW w:w="2318" w:type="dxa"/>
            <w:vAlign w:val="center"/>
          </w:tcPr>
          <w:p>
            <w:pPr>
              <w:pStyle w:val="23"/>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开标时间和地点</w:t>
            </w:r>
          </w:p>
        </w:tc>
        <w:tc>
          <w:tcPr>
            <w:tcW w:w="6112" w:type="dxa"/>
            <w:vAlign w:val="center"/>
          </w:tcPr>
          <w:p>
            <w:pPr>
              <w:adjustRightInd w:val="0"/>
              <w:snapToGrid w:val="0"/>
              <w:spacing w:line="400" w:lineRule="exact"/>
              <w:rPr>
                <w:rFonts w:ascii="宋体" w:hAnsi="宋体"/>
                <w:szCs w:val="21"/>
              </w:rPr>
            </w:pPr>
            <w:r>
              <w:rPr>
                <w:rFonts w:hint="eastAsia" w:ascii="宋体" w:hAnsi="宋体"/>
                <w:szCs w:val="21"/>
              </w:rPr>
              <w:t>开标时间：同投标截止时间。投标人应当在投标截止时间前，登录远程开标大厅，凭制作投标文件所用的企业 CA 密匙在线签到、解密文件等，解密时间为投标截止时后30分钟内。</w:t>
            </w:r>
          </w:p>
          <w:p>
            <w:pPr>
              <w:spacing w:line="360" w:lineRule="exact"/>
              <w:ind w:left="700" w:hanging="700"/>
              <w:jc w:val="left"/>
              <w:rPr>
                <w:rFonts w:asciiTheme="minorEastAsia" w:hAnsiTheme="minorEastAsia" w:eastAsiaTheme="minorEastAsia" w:cstheme="minorEastAsia"/>
              </w:rPr>
            </w:pPr>
            <w:r>
              <w:rPr>
                <w:rFonts w:hint="eastAsia" w:ascii="宋体" w:hAnsi="宋体"/>
                <w:szCs w:val="21"/>
              </w:rPr>
              <w:t>现场开标地点：博爱县公共资源交易中心二楼第一开标室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6.1.1</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评标委员会的组建</w:t>
            </w:r>
          </w:p>
        </w:tc>
        <w:tc>
          <w:tcPr>
            <w:tcW w:w="6112" w:type="dxa"/>
            <w:vAlign w:val="center"/>
          </w:tcPr>
          <w:p>
            <w:pPr>
              <w:spacing w:line="360" w:lineRule="exact"/>
              <w:ind w:left="700" w:hanging="7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评标委员会构成：由采购人代表1名和政府采购专家库中随机抽</w:t>
            </w:r>
          </w:p>
          <w:p>
            <w:pPr>
              <w:spacing w:line="360" w:lineRule="exact"/>
              <w:ind w:left="700" w:hanging="7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取的评审专家4名共5人组成。</w:t>
            </w:r>
          </w:p>
          <w:p>
            <w:pPr>
              <w:spacing w:line="360" w:lineRule="exact"/>
              <w:jc w:val="left"/>
              <w:rPr>
                <w:rFonts w:asciiTheme="minorEastAsia" w:hAnsiTheme="minorEastAsia" w:eastAsiaTheme="minorEastAsia" w:cstheme="minorEastAsia"/>
                <w:szCs w:val="21"/>
                <w:u w:val="single"/>
              </w:rPr>
            </w:pPr>
            <w:r>
              <w:rPr>
                <w:rFonts w:hint="eastAsia" w:asciiTheme="minorEastAsia" w:hAnsiTheme="minorEastAsia" w:eastAsiaTheme="minorEastAsia" w:cstheme="minorEastAsia"/>
              </w:rPr>
              <w:t>评审专家确定方式：在开标前从有关政府部门设立的评标专家中随机抽取确定。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7.1</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是否授权评标委员会确定中标人</w:t>
            </w:r>
          </w:p>
        </w:tc>
        <w:tc>
          <w:tcPr>
            <w:tcW w:w="6112" w:type="dxa"/>
            <w:vAlign w:val="center"/>
          </w:tcPr>
          <w:p>
            <w:pPr>
              <w:spacing w:line="380" w:lineRule="exact"/>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否，由评标委员会从认定的合理报价中，按得分由高到低的顺序，依次推荐1～3名中标候选人。</w:t>
            </w:r>
          </w:p>
          <w:p>
            <w:pPr>
              <w:spacing w:line="38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采购人应当确定排名第一的中标候选人为中标人。排名第一的中标候选人放弃中标、因不可抗力不能履行合同、不按照招标文件要求提交履约保证金，或者被查实存在影响中标结果的违法行为等情形，不符合中标条件的，采购人可以按照评标委员会提出的中标候选人名单排序依次确定其他中标候选人为中标人。</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非因不可抗力因素放弃中标的，或排名第一的中标候选人未按规定期限与采购人签订合同的，应赔偿采购人由此造成的损失，损失费的计算方法为该中标候选人的投标价与重新确定的中标人中标价的差额，并处以采购金额千分之五以上千分之十以下罚款，将其列入不良行为记录名单，在1至3年内禁止参加政府采购活动，并予以通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shd w:val="clear" w:color="auto" w:fill="auto"/>
            <w:vAlign w:val="center"/>
          </w:tcPr>
          <w:p>
            <w:pPr>
              <w:pStyle w:val="23"/>
              <w:spacing w:line="360" w:lineRule="exact"/>
              <w:jc w:val="center"/>
              <w:rPr>
                <w:rFonts w:hint="default" w:asciiTheme="minorEastAsia" w:hAnsiTheme="minorEastAsia" w:eastAsiaTheme="minorEastAsia" w:cstheme="minorEastAsia"/>
                <w:lang w:val="en-US" w:eastAsia="zh-CN"/>
              </w:rPr>
            </w:pPr>
            <w:r>
              <w:rPr>
                <w:rFonts w:asciiTheme="minorEastAsia" w:hAnsiTheme="minorEastAsia" w:eastAsiaTheme="minorEastAsia" w:cstheme="minorEastAsia"/>
              </w:rPr>
              <w:t>7.3</w:t>
            </w:r>
            <w:r>
              <w:rPr>
                <w:rFonts w:hint="eastAsia" w:asciiTheme="minorEastAsia" w:hAnsiTheme="minorEastAsia" w:eastAsiaTheme="minorEastAsia" w:cstheme="minorEastAsia"/>
                <w:lang w:val="en-US" w:eastAsia="zh-CN"/>
              </w:rPr>
              <w:t>.1</w:t>
            </w:r>
          </w:p>
        </w:tc>
        <w:tc>
          <w:tcPr>
            <w:tcW w:w="2318" w:type="dxa"/>
            <w:shd w:val="clear" w:color="auto" w:fill="auto"/>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投标保证金</w:t>
            </w:r>
          </w:p>
        </w:tc>
        <w:tc>
          <w:tcPr>
            <w:tcW w:w="6112" w:type="dxa"/>
            <w:shd w:val="clear" w:color="auto" w:fill="auto"/>
            <w:vAlign w:val="center"/>
          </w:tcPr>
          <w:p>
            <w:pPr>
              <w:spacing w:line="38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965" w:type="dxa"/>
            <w:vAlign w:val="bottom"/>
          </w:tcPr>
          <w:p>
            <w:pPr>
              <w:spacing w:line="36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Cs/>
                <w:szCs w:val="21"/>
              </w:rPr>
              <w:t>10</w:t>
            </w:r>
          </w:p>
        </w:tc>
        <w:tc>
          <w:tcPr>
            <w:tcW w:w="8430" w:type="dxa"/>
            <w:gridSpan w:val="2"/>
            <w:vAlign w:val="bottom"/>
          </w:tcPr>
          <w:p>
            <w:pPr>
              <w:spacing w:line="36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10.1</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预算金额</w:t>
            </w:r>
          </w:p>
        </w:tc>
        <w:tc>
          <w:tcPr>
            <w:tcW w:w="6112" w:type="dxa"/>
            <w:vAlign w:val="bottom"/>
          </w:tcPr>
          <w:p>
            <w:pPr>
              <w:spacing w:line="44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1、本项目预算金额为：</w:t>
            </w:r>
            <w:r>
              <w:rPr>
                <w:rFonts w:hint="eastAsia" w:asciiTheme="minorEastAsia" w:hAnsiTheme="minorEastAsia" w:eastAsiaTheme="minorEastAsia" w:cstheme="minorEastAsia"/>
                <w:szCs w:val="21"/>
                <w:lang w:eastAsia="zh-CN"/>
              </w:rPr>
              <w:t>3496980</w:t>
            </w:r>
            <w:r>
              <w:rPr>
                <w:rFonts w:hint="eastAsia" w:asciiTheme="minorEastAsia" w:hAnsiTheme="minorEastAsia" w:eastAsiaTheme="minorEastAsia" w:cstheme="minorEastAsia"/>
                <w:szCs w:val="21"/>
              </w:rPr>
              <w:t>元</w:t>
            </w:r>
          </w:p>
          <w:p>
            <w:pPr>
              <w:spacing w:line="44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2、控制价是采购人设置的最高限价，供应商的投标报价高于控制价的视为无效报价，其投标予以拒绝；</w:t>
            </w:r>
          </w:p>
          <w:p>
            <w:pPr>
              <w:spacing w:line="44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3、当中标人的投标报价高于控制价的95%时，该中标人的中标价按控制价的95%执行。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10.2</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小型或微型企业（含监狱企业）</w:t>
            </w:r>
          </w:p>
        </w:tc>
        <w:tc>
          <w:tcPr>
            <w:tcW w:w="6112" w:type="dxa"/>
            <w:vAlign w:val="center"/>
          </w:tcPr>
          <w:p>
            <w:pPr>
              <w:autoSpaceDE w:val="0"/>
              <w:autoSpaceDN w:val="0"/>
              <w:adjustRightInd w:val="0"/>
              <w:spacing w:line="500" w:lineRule="exact"/>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1、对小型或微型企业投标的扶持：(如有）</w:t>
            </w:r>
          </w:p>
          <w:p>
            <w:pPr>
              <w:autoSpaceDE w:val="0"/>
              <w:autoSpaceDN w:val="0"/>
              <w:adjustRightInd w:val="0"/>
              <w:spacing w:line="500" w:lineRule="exact"/>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1.1投标供应商为小型或微型企业时，报价给予C1的价格扣除（C1的取值为6%），即：评标价＝投标报价（最后报价）×(1－C1）；</w:t>
            </w:r>
          </w:p>
          <w:p>
            <w:pPr>
              <w:autoSpaceDE w:val="0"/>
              <w:autoSpaceDN w:val="0"/>
              <w:adjustRightInd w:val="0"/>
              <w:spacing w:line="500" w:lineRule="exact"/>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auto"/>
                <w:kern w:val="0"/>
                <w:szCs w:val="21"/>
              </w:rPr>
              <w:t>小微企业应当列明本项目中所投的“小型和微型企业产品的清单”并提供《中小企业声明函》（见格式）。</w:t>
            </w:r>
            <w:r>
              <w:rPr>
                <w:rFonts w:hint="eastAsia" w:ascii="宋体" w:hAnsi="宋体" w:cs="宋体"/>
                <w:color w:val="000000" w:themeColor="text1"/>
                <w:kern w:val="0"/>
                <w:szCs w:val="21"/>
                <w14:textFill>
                  <w14:solidFill>
                    <w14:schemeClr w14:val="tx1"/>
                  </w14:solidFill>
                </w14:textFill>
              </w:rPr>
              <w:br w:type="textWrapping"/>
            </w:r>
            <w:r>
              <w:rPr>
                <w:rFonts w:hint="eastAsia" w:ascii="宋体" w:hAnsi="宋体" w:cs="宋体"/>
                <w:color w:val="000000" w:themeColor="text1"/>
                <w:kern w:val="0"/>
                <w:szCs w:val="21"/>
                <w14:textFill>
                  <w14:solidFill>
                    <w14:schemeClr w14:val="tx1"/>
                  </w14:solidFill>
                </w14:textFill>
              </w:rPr>
              <w:t>1.2按照</w:t>
            </w:r>
            <w:r>
              <w:rPr>
                <w:rFonts w:hint="eastAsia" w:ascii="宋体" w:hAnsi="宋体" w:cs="宋体"/>
                <w:color w:val="000000" w:themeColor="text1"/>
                <w:kern w:val="0"/>
                <w:sz w:val="24"/>
                <w:szCs w:val="22"/>
                <w14:textFill>
                  <w14:solidFill>
                    <w14:schemeClr w14:val="tx1"/>
                  </w14:solidFill>
                </w14:textFill>
              </w:rPr>
              <w:t>《</w:t>
            </w:r>
            <w:r>
              <w:rPr>
                <w:rFonts w:hint="eastAsia" w:ascii="宋体" w:hAnsi="宋体" w:cs="宋体"/>
                <w:color w:val="000000" w:themeColor="text1"/>
                <w:kern w:val="0"/>
                <w:szCs w:val="21"/>
                <w14:textFill>
                  <w14:solidFill>
                    <w14:schemeClr w14:val="tx1"/>
                  </w14:solidFill>
                </w14:textFill>
              </w:rPr>
              <w:t>政府采购促进中小企业发展管理办法》有关规定，中小企业的标准为：</w:t>
            </w:r>
          </w:p>
          <w:p>
            <w:pPr>
              <w:autoSpaceDE w:val="0"/>
              <w:autoSpaceDN w:val="0"/>
              <w:adjustRightInd w:val="0"/>
              <w:spacing w:line="500" w:lineRule="exact"/>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1.2.1提供本企业制造的货物、承担的工程或者服务，或者提供其他中小企业制造的货物，不包括提供或使用大型企业注册商标的货物；</w:t>
            </w:r>
          </w:p>
          <w:p>
            <w:pPr>
              <w:autoSpaceDE w:val="0"/>
              <w:autoSpaceDN w:val="0"/>
              <w:adjustRightInd w:val="0"/>
              <w:spacing w:line="500" w:lineRule="exact"/>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1.2.2本规定所称中小企业划分标准，是指国务院有关部门根据企业从业人员、营业收入、资产总额等指标制定的中小企业划型标准（工信部联企业[2011]300号）；</w:t>
            </w:r>
          </w:p>
          <w:p>
            <w:pPr>
              <w:autoSpaceDE w:val="0"/>
              <w:autoSpaceDN w:val="0"/>
              <w:adjustRightInd w:val="0"/>
              <w:spacing w:line="500" w:lineRule="exact"/>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1.2.3小型、微型企业提供有中型企业制造的货物的，视同为中型企业；小型、微型、中型企业提供有大型企业制造的货物的，视同为大型企业。</w:t>
            </w:r>
          </w:p>
          <w:p>
            <w:pPr>
              <w:spacing w:line="440" w:lineRule="exact"/>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2、根据财政部司法部《关于政府采购支持监狱企业发展有关问题的通知》（财库〔2014〕68号）和财政部民政部中国残疾人联合会《关于促进残疾人就业政府采购政策的通知》（财库〔2017〕141号）规定，本项目对监狱企业、残疾人福利性企业作为投标人所提供的本企业生产的产品的价格给予6%的扣除。</w:t>
            </w:r>
          </w:p>
          <w:p>
            <w:pPr>
              <w:spacing w:line="440" w:lineRule="exact"/>
              <w:ind w:firstLine="420" w:firstLineChars="200"/>
              <w:rPr>
                <w:rFonts w:asciiTheme="minorEastAsia" w:hAnsiTheme="minorEastAsia" w:eastAsiaTheme="minorEastAsia" w:cstheme="minorEastAsia"/>
                <w:szCs w:val="21"/>
              </w:rPr>
            </w:pPr>
            <w:r>
              <w:rPr>
                <w:rFonts w:hint="eastAsia" w:ascii="宋体" w:hAnsi="宋体" w:cs="宋体"/>
                <w:bCs/>
                <w:color w:val="000000" w:themeColor="text1"/>
                <w14:textFill>
                  <w14:solidFill>
                    <w14:schemeClr w14:val="tx1"/>
                  </w14:solidFill>
                </w14:textFill>
              </w:rPr>
              <w:t>同一投标人，小微企业、监狱、残疾人福利性企业同一产品价格扣除优惠只享受一次，不得重复享受。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10.3</w:t>
            </w:r>
          </w:p>
        </w:tc>
        <w:tc>
          <w:tcPr>
            <w:tcW w:w="2318" w:type="dxa"/>
            <w:vAlign w:val="center"/>
          </w:tcPr>
          <w:p>
            <w:pPr>
              <w:spacing w:line="440" w:lineRule="exact"/>
              <w:rPr>
                <w:rFonts w:hint="eastAsia"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付款方式</w:t>
            </w:r>
          </w:p>
        </w:tc>
        <w:tc>
          <w:tcPr>
            <w:tcW w:w="6112" w:type="dxa"/>
            <w:vAlign w:val="center"/>
          </w:tcPr>
          <w:p>
            <w:pPr>
              <w:spacing w:line="440" w:lineRule="exact"/>
              <w:rPr>
                <w:rFonts w:hint="default"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供货安装完毕</w:t>
            </w:r>
            <w:r>
              <w:rPr>
                <w:rFonts w:hint="eastAsia" w:ascii="宋体" w:hAnsi="宋体" w:cs="宋体"/>
                <w:bCs/>
                <w:color w:val="000000" w:themeColor="text1"/>
                <w:lang w:val="en-US" w:eastAsia="zh-CN"/>
                <w14:textFill>
                  <w14:solidFill>
                    <w14:schemeClr w14:val="tx1"/>
                  </w14:solidFill>
                </w14:textFill>
              </w:rPr>
              <w:t>后两个月内</w:t>
            </w:r>
            <w:r>
              <w:rPr>
                <w:rFonts w:hint="eastAsia" w:ascii="宋体" w:hAnsi="宋体" w:cs="宋体"/>
                <w:bCs/>
                <w:color w:val="000000" w:themeColor="text1"/>
                <w14:textFill>
                  <w14:solidFill>
                    <w14:schemeClr w14:val="tx1"/>
                  </w14:solidFill>
                </w14:textFill>
              </w:rPr>
              <w:t>付合同金额的</w:t>
            </w:r>
            <w:r>
              <w:rPr>
                <w:rFonts w:hint="eastAsia" w:ascii="宋体" w:hAnsi="宋体" w:cs="宋体"/>
                <w:bCs/>
                <w:color w:val="000000" w:themeColor="text1"/>
                <w:lang w:val="en-US" w:eastAsia="zh-CN"/>
                <w14:textFill>
                  <w14:solidFill>
                    <w14:schemeClr w14:val="tx1"/>
                  </w14:solidFill>
                </w14:textFill>
              </w:rPr>
              <w:t>2</w:t>
            </w:r>
            <w:r>
              <w:rPr>
                <w:rFonts w:hint="eastAsia" w:ascii="宋体" w:hAnsi="宋体" w:cs="宋体"/>
                <w:bCs/>
                <w:color w:val="000000" w:themeColor="text1"/>
                <w14:textFill>
                  <w14:solidFill>
                    <w14:schemeClr w14:val="tx1"/>
                  </w14:solidFill>
                </w14:textFill>
              </w:rPr>
              <w:t>0%，经验收合格后</w:t>
            </w:r>
            <w:r>
              <w:rPr>
                <w:rFonts w:hint="eastAsia" w:ascii="宋体" w:hAnsi="宋体" w:cs="宋体"/>
                <w:bCs/>
                <w:color w:val="000000" w:themeColor="text1"/>
                <w:lang w:val="en-US" w:eastAsia="zh-CN"/>
                <w14:textFill>
                  <w14:solidFill>
                    <w14:schemeClr w14:val="tx1"/>
                  </w14:solidFill>
                </w14:textFill>
              </w:rPr>
              <w:t>剩余80%按照科室收入的增长按比例分60个月付款。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10.5</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招标代理服务费</w:t>
            </w:r>
          </w:p>
        </w:tc>
        <w:tc>
          <w:tcPr>
            <w:tcW w:w="6112" w:type="dxa"/>
            <w:vAlign w:val="center"/>
          </w:tcPr>
          <w:p>
            <w:pPr>
              <w:spacing w:line="440" w:lineRule="exact"/>
            </w:pPr>
            <w:r>
              <w:rPr>
                <w:rFonts w:hint="eastAsia"/>
              </w:rPr>
              <w:t>1、招标</w:t>
            </w:r>
            <w:r>
              <w:rPr>
                <w:rFonts w:hint="eastAsia" w:asciiTheme="minorEastAsia" w:hAnsiTheme="minorEastAsia" w:eastAsiaTheme="minorEastAsia" w:cstheme="minorEastAsia"/>
                <w:szCs w:val="21"/>
              </w:rPr>
              <w:t>代理服务费参照（国家计委（计价格[2002]1980号）文件、国家发改委（发改办价格[2003]857号）文件及国家发改委（发改价格[2011]534号）文件）的收费标准，向中标人收取</w:t>
            </w:r>
            <w:r>
              <w:rPr>
                <w:rFonts w:hint="eastAsia"/>
              </w:rPr>
              <w:t>。</w:t>
            </w:r>
          </w:p>
          <w:p>
            <w:pPr>
              <w:pStyle w:val="56"/>
            </w:pPr>
            <w:r>
              <w:rPr>
                <w:rFonts w:hint="eastAsia" w:asciiTheme="minorEastAsia" w:hAnsiTheme="minorEastAsia" w:eastAsiaTheme="minorEastAsia" w:cstheme="minorEastAsia"/>
              </w:rPr>
              <w:t>2、</w:t>
            </w:r>
            <w:r>
              <w:rPr>
                <w:rFonts w:asciiTheme="minorEastAsia" w:hAnsiTheme="minorEastAsia" w:eastAsiaTheme="minorEastAsia" w:cstheme="minorEastAsia"/>
              </w:rPr>
              <w:t>中标人在</w:t>
            </w:r>
            <w:r>
              <w:rPr>
                <w:rFonts w:hint="eastAsia" w:asciiTheme="minorEastAsia" w:hAnsiTheme="minorEastAsia" w:eastAsiaTheme="minorEastAsia" w:cstheme="minorEastAsia"/>
              </w:rPr>
              <w:t>领取中标通知书时，将</w:t>
            </w:r>
            <w:r>
              <w:rPr>
                <w:rFonts w:asciiTheme="minorEastAsia" w:hAnsiTheme="minorEastAsia" w:eastAsiaTheme="minorEastAsia" w:cstheme="minorEastAsia"/>
              </w:rPr>
              <w:t>投标文件纸质版</w:t>
            </w:r>
            <w:r>
              <w:rPr>
                <w:rFonts w:hint="eastAsia" w:asciiTheme="minorEastAsia" w:hAnsiTheme="minorEastAsia" w:eastAsiaTheme="minorEastAsia" w:cstheme="minorEastAsia"/>
              </w:rPr>
              <w:t>打印</w:t>
            </w:r>
            <w:r>
              <w:rPr>
                <w:rFonts w:asciiTheme="minorEastAsia" w:hAnsiTheme="minorEastAsia" w:eastAsiaTheme="minorEastAsia" w:cstheme="minorEastAsia"/>
              </w:rPr>
              <w:t>装订</w:t>
            </w:r>
            <w:r>
              <w:rPr>
                <w:rFonts w:hint="eastAsia" w:asciiTheme="minorEastAsia" w:hAnsiTheme="minorEastAsia" w:eastAsiaTheme="minorEastAsia" w:cstheme="minorEastAsia"/>
              </w:rPr>
              <w:t>（</w:t>
            </w:r>
            <w:r>
              <w:rPr>
                <w:rFonts w:asciiTheme="minorEastAsia" w:hAnsiTheme="minorEastAsia" w:eastAsiaTheme="minorEastAsia" w:cstheme="minorEastAsia"/>
              </w:rPr>
              <w:t>投标文件正本</w:t>
            </w:r>
            <w:r>
              <w:rPr>
                <w:rFonts w:hint="eastAsia" w:asciiTheme="minorEastAsia" w:hAnsiTheme="minorEastAsia" w:eastAsiaTheme="minorEastAsia" w:cstheme="minorEastAsia"/>
              </w:rPr>
              <w:t>壹份和</w:t>
            </w:r>
            <w:r>
              <w:rPr>
                <w:rFonts w:asciiTheme="minorEastAsia" w:hAnsiTheme="minorEastAsia" w:eastAsiaTheme="minorEastAsia" w:cstheme="minorEastAsia"/>
              </w:rPr>
              <w:t>副</w:t>
            </w:r>
            <w:bookmarkStart w:id="286" w:name="_GoBack"/>
            <w:bookmarkEnd w:id="286"/>
            <w:r>
              <w:rPr>
                <w:rFonts w:asciiTheme="minorEastAsia" w:hAnsiTheme="minorEastAsia" w:eastAsiaTheme="minorEastAsia" w:cstheme="minorEastAsia"/>
              </w:rPr>
              <w:t>本</w:t>
            </w:r>
            <w:r>
              <w:rPr>
                <w:rFonts w:hint="eastAsia" w:asciiTheme="minorEastAsia" w:hAnsiTheme="minorEastAsia" w:eastAsiaTheme="minorEastAsia" w:cstheme="minorEastAsia"/>
              </w:rPr>
              <w:t>肆份，</w:t>
            </w:r>
            <w:r>
              <w:rPr>
                <w:rFonts w:asciiTheme="minorEastAsia" w:hAnsiTheme="minorEastAsia" w:eastAsiaTheme="minorEastAsia" w:cstheme="minorEastAsia"/>
              </w:rPr>
              <w:t>每册应采用左侧粘贴方式</w:t>
            </w:r>
            <w:r>
              <w:rPr>
                <w:rFonts w:hint="eastAsia" w:asciiTheme="minorEastAsia" w:hAnsiTheme="minorEastAsia" w:eastAsiaTheme="minorEastAsia" w:cstheme="minorEastAsia"/>
              </w:rPr>
              <w:t>，</w:t>
            </w:r>
            <w:r>
              <w:rPr>
                <w:rFonts w:asciiTheme="minorEastAsia" w:hAnsiTheme="minorEastAsia" w:eastAsiaTheme="minorEastAsia" w:cstheme="minorEastAsia"/>
              </w:rPr>
              <w:t>不得采用活页装订</w:t>
            </w:r>
            <w:r>
              <w:rPr>
                <w:rFonts w:hint="eastAsia" w:asciiTheme="minorEastAsia" w:hAnsiTheme="minorEastAsia" w:eastAsiaTheme="minorEastAsia" w:cstheme="minorEastAsia"/>
              </w:rPr>
              <w:t>）递交采购人</w:t>
            </w:r>
            <w:r>
              <w:rPr>
                <w:rFonts w:asciiTheme="minorEastAsia" w:hAnsiTheme="minorEastAsia" w:eastAsiaTheme="minorEastAsia" w:cstheme="minor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7"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10.8</w:t>
            </w:r>
          </w:p>
        </w:tc>
        <w:tc>
          <w:tcPr>
            <w:tcW w:w="2318" w:type="dxa"/>
            <w:vAlign w:val="center"/>
          </w:tcPr>
          <w:p>
            <w:pPr>
              <w:adjustRightInd w:val="0"/>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认定为不响应招标文件的其它条件</w:t>
            </w:r>
          </w:p>
        </w:tc>
        <w:tc>
          <w:tcPr>
            <w:tcW w:w="6112" w:type="dxa"/>
            <w:vAlign w:val="center"/>
          </w:tcPr>
          <w:p>
            <w:pPr>
              <w:pStyle w:val="5"/>
              <w:ind w:left="0" w:leftChars="0" w:firstLine="0" w:firstLineChars="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1、未按招标文件明示的规定签字盖章的；</w:t>
            </w:r>
          </w:p>
          <w:p>
            <w:pPr>
              <w:pStyle w:val="5"/>
              <w:ind w:left="0" w:leftChars="0" w:firstLine="0" w:firstLineChars="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2、投标文件的关键内容（投标报价、供货及安装期、质量等）未填写或填写字迹模糊、达不到采购要求的；</w:t>
            </w:r>
          </w:p>
          <w:p>
            <w:pPr>
              <w:pStyle w:val="5"/>
              <w:ind w:left="0" w:leftChars="0" w:firstLine="0" w:firstLineChars="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3、投标报价超出招标控制价的；</w:t>
            </w:r>
          </w:p>
          <w:p>
            <w:pPr>
              <w:pStyle w:val="5"/>
              <w:ind w:left="0" w:leftChars="0" w:firstLine="0" w:firstLineChars="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4、供应商递交两份或多份内容不同的投标文件，或在一份投标文件中对同一招标项目有两个或多个报价，且未声明哪一个有效的；</w:t>
            </w:r>
          </w:p>
          <w:p>
            <w:pPr>
              <w:pStyle w:val="5"/>
              <w:ind w:left="0" w:leftChars="0" w:firstLine="0" w:firstLineChars="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5、相关资格证明文件不合格的；</w:t>
            </w:r>
          </w:p>
          <w:p>
            <w:pPr>
              <w:pStyle w:val="5"/>
              <w:ind w:left="0" w:leftChars="0" w:firstLine="0" w:firstLineChars="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6、未按要求提供相关证件的；</w:t>
            </w:r>
          </w:p>
          <w:p>
            <w:pPr>
              <w:pStyle w:val="5"/>
              <w:ind w:left="0" w:leftChars="0" w:firstLine="0" w:firstLineChars="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7、未按要求在报价明细表中标明品牌、型号及技术参数的。</w:t>
            </w:r>
          </w:p>
          <w:p>
            <w:pPr>
              <w:pStyle w:val="5"/>
              <w:ind w:left="0" w:leftChars="0" w:firstLine="0" w:firstLineChars="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8、附有采购人不能接受的条件的；</w:t>
            </w:r>
          </w:p>
          <w:p>
            <w:pPr>
              <w:pStyle w:val="5"/>
              <w:ind w:left="0" w:leftChars="0" w:firstLine="0" w:firstLineChars="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9、评标过程中，如有投标人存在“投标文件制作机器码一致”，则视其投标无效，并按照相关规定进行处理。</w:t>
            </w:r>
          </w:p>
          <w:p>
            <w:pPr>
              <w:pStyle w:val="5"/>
              <w:ind w:left="0" w:leftChars="0" w:firstLine="0" w:firstLineChars="0"/>
            </w:pPr>
            <w:r>
              <w:rPr>
                <w:rFonts w:hint="eastAsia" w:asciiTheme="minorEastAsia" w:hAnsiTheme="minorEastAsia" w:eastAsiaTheme="minorEastAsia" w:cstheme="minorEastAsia"/>
                <w:szCs w:val="21"/>
              </w:rPr>
              <w:t>10、投标文件有明显不符合招标文件其它要求和有关法律法规的。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10.9</w:t>
            </w:r>
          </w:p>
        </w:tc>
        <w:tc>
          <w:tcPr>
            <w:tcW w:w="8430" w:type="dxa"/>
            <w:gridSpan w:val="2"/>
            <w:vAlign w:val="center"/>
          </w:tcPr>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本招标文件解释权归采购人</w:t>
            </w:r>
          </w:p>
        </w:tc>
      </w:tr>
    </w:tbl>
    <w:p>
      <w:pPr>
        <w:pStyle w:val="38"/>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7" w:name="_Toc9048"/>
      <w:bookmarkStart w:id="8" w:name="_Toc23576"/>
      <w:bookmarkStart w:id="9" w:name="_Toc403122491"/>
      <w:bookmarkStart w:id="10" w:name="_Toc426369479"/>
      <w:bookmarkStart w:id="11" w:name="_Toc403122503"/>
      <w:bookmarkStart w:id="12" w:name="_Toc426369491"/>
      <w:bookmarkStart w:id="13" w:name="_Toc26894"/>
      <w:r>
        <w:rPr>
          <w:rFonts w:hint="eastAsia" w:asciiTheme="minorEastAsia" w:hAnsiTheme="minorEastAsia" w:eastAsiaTheme="minorEastAsia" w:cstheme="minorEastAsia"/>
          <w:sz w:val="24"/>
          <w:szCs w:val="24"/>
        </w:rPr>
        <w:t>1. 总则</w:t>
      </w:r>
      <w:bookmarkEnd w:id="7"/>
      <w:bookmarkEnd w:id="8"/>
      <w:bookmarkEnd w:id="9"/>
      <w:bookmarkEnd w:id="10"/>
    </w:p>
    <w:p>
      <w:pPr>
        <w:spacing w:line="500" w:lineRule="exact"/>
        <w:ind w:firstLine="482" w:firstLineChars="200"/>
        <w:rPr>
          <w:rFonts w:asciiTheme="minorEastAsia" w:hAnsiTheme="minorEastAsia" w:eastAsiaTheme="minorEastAsia" w:cstheme="minorEastAsia"/>
          <w:b/>
          <w:bCs/>
          <w:sz w:val="24"/>
        </w:rPr>
      </w:pPr>
      <w:bookmarkStart w:id="14" w:name="_Toc279599771"/>
      <w:bookmarkStart w:id="15" w:name="_Toc403122492"/>
      <w:bookmarkStart w:id="16" w:name="_Toc426369480"/>
      <w:bookmarkStart w:id="17" w:name="_Toc274249575"/>
      <w:r>
        <w:rPr>
          <w:rFonts w:hint="eastAsia" w:asciiTheme="minorEastAsia" w:hAnsiTheme="minorEastAsia" w:eastAsiaTheme="minorEastAsia" w:cstheme="minorEastAsia"/>
          <w:b/>
          <w:bCs/>
          <w:sz w:val="24"/>
        </w:rPr>
        <w:t>1.1 项目概况</w:t>
      </w:r>
      <w:bookmarkEnd w:id="14"/>
      <w:bookmarkEnd w:id="15"/>
      <w:bookmarkEnd w:id="16"/>
      <w:bookmarkEnd w:id="17"/>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1.1.1 根据</w:t>
      </w:r>
      <w:r>
        <w:rPr>
          <w:rFonts w:hint="eastAsia" w:asciiTheme="minorEastAsia" w:hAnsiTheme="minorEastAsia" w:eastAsiaTheme="minorEastAsia" w:cstheme="minorEastAsia"/>
          <w:bCs/>
          <w:szCs w:val="21"/>
        </w:rPr>
        <w:t>《中华人民共和国政府采购法》</w:t>
      </w:r>
      <w:r>
        <w:rPr>
          <w:rFonts w:hint="eastAsia" w:asciiTheme="minorEastAsia" w:hAnsiTheme="minorEastAsia" w:eastAsiaTheme="minorEastAsia" w:cstheme="minorEastAsia"/>
          <w:szCs w:val="21"/>
        </w:rPr>
        <w:t xml:space="preserve">等有关法律、法规和规章的规定，本招标项目已具备招标条件，现对本招标项目进行公开招标。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1.1.2  本招标项目采购人：见供应商须知前附表。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1.1.3  本招标项目采购代理机构：见供应商须知前附表。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1.1.4  本招标项目名称：见供应商须知前附表。 </w:t>
      </w:r>
    </w:p>
    <w:p>
      <w:pPr>
        <w:spacing w:line="500" w:lineRule="exact"/>
        <w:ind w:firstLine="482" w:firstLineChars="200"/>
        <w:rPr>
          <w:rFonts w:asciiTheme="minorEastAsia" w:hAnsiTheme="minorEastAsia" w:eastAsiaTheme="minorEastAsia" w:cstheme="minorEastAsia"/>
          <w:b/>
          <w:bCs/>
          <w:sz w:val="24"/>
        </w:rPr>
      </w:pPr>
      <w:bookmarkStart w:id="18" w:name="_Toc274249576"/>
      <w:bookmarkStart w:id="19" w:name="_Toc403122493"/>
      <w:bookmarkStart w:id="20" w:name="_Toc426369481"/>
      <w:bookmarkStart w:id="21" w:name="_Toc279599772"/>
      <w:r>
        <w:rPr>
          <w:rFonts w:hint="eastAsia" w:asciiTheme="minorEastAsia" w:hAnsiTheme="minorEastAsia" w:eastAsiaTheme="minorEastAsia" w:cstheme="minorEastAsia"/>
          <w:b/>
          <w:bCs/>
          <w:sz w:val="24"/>
        </w:rPr>
        <w:t>1.2 资金来源和落实情况</w:t>
      </w:r>
      <w:bookmarkEnd w:id="18"/>
      <w:bookmarkEnd w:id="19"/>
      <w:bookmarkEnd w:id="20"/>
      <w:bookmarkEnd w:id="21"/>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1.2.1  本招标项目的资金来源：见供应商须知前附表。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1.2.2  本招标项目的资金落实情况：见供应商须知前附表。 </w:t>
      </w:r>
    </w:p>
    <w:p>
      <w:pPr>
        <w:spacing w:line="500" w:lineRule="exact"/>
        <w:ind w:firstLine="482" w:firstLineChars="200"/>
        <w:rPr>
          <w:rFonts w:asciiTheme="minorEastAsia" w:hAnsiTheme="minorEastAsia" w:eastAsiaTheme="minorEastAsia" w:cstheme="minorEastAsia"/>
          <w:b/>
          <w:bCs/>
          <w:sz w:val="24"/>
        </w:rPr>
      </w:pPr>
      <w:bookmarkStart w:id="22" w:name="_Toc426369482"/>
      <w:bookmarkStart w:id="23" w:name="_Toc279599773"/>
      <w:bookmarkStart w:id="24" w:name="_Toc274249577"/>
      <w:bookmarkStart w:id="25" w:name="_Toc403122494"/>
      <w:r>
        <w:rPr>
          <w:rFonts w:hint="eastAsia" w:asciiTheme="minorEastAsia" w:hAnsiTheme="minorEastAsia" w:eastAsiaTheme="minorEastAsia" w:cstheme="minorEastAsia"/>
          <w:b/>
          <w:bCs/>
          <w:sz w:val="24"/>
        </w:rPr>
        <w:t>1.3 采购内容、项目完成期和质量要求</w:t>
      </w:r>
      <w:bookmarkEnd w:id="22"/>
      <w:bookmarkEnd w:id="23"/>
      <w:bookmarkEnd w:id="24"/>
      <w:bookmarkEnd w:id="25"/>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1.3.1  本次招标采购内容：见供应商须知前附表。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1.3.2  本次招标的项目完成期：见供应商须知前附表。 </w:t>
      </w:r>
    </w:p>
    <w:p>
      <w:pPr>
        <w:tabs>
          <w:tab w:val="right" w:pos="904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1.3.3  本次招标的质量要求：见供应商须知前附表。 </w:t>
      </w:r>
    </w:p>
    <w:p>
      <w:pPr>
        <w:tabs>
          <w:tab w:val="right" w:pos="904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1.3.4  本次招标的质保期要求：见供应商须知前附表。 </w:t>
      </w:r>
      <w:r>
        <w:rPr>
          <w:rFonts w:hint="eastAsia" w:asciiTheme="minorEastAsia" w:hAnsiTheme="minorEastAsia" w:eastAsiaTheme="minorEastAsia" w:cstheme="minorEastAsia"/>
          <w:szCs w:val="21"/>
        </w:rPr>
        <w:tab/>
      </w:r>
    </w:p>
    <w:p>
      <w:pPr>
        <w:spacing w:line="500" w:lineRule="exact"/>
        <w:ind w:firstLine="482" w:firstLineChars="200"/>
        <w:rPr>
          <w:rFonts w:asciiTheme="minorEastAsia" w:hAnsiTheme="minorEastAsia" w:eastAsiaTheme="minorEastAsia" w:cstheme="minorEastAsia"/>
          <w:b/>
          <w:bCs/>
          <w:sz w:val="24"/>
        </w:rPr>
      </w:pPr>
      <w:bookmarkStart w:id="26" w:name="_Toc279599774"/>
      <w:bookmarkStart w:id="27" w:name="_Toc274249578"/>
      <w:bookmarkStart w:id="28" w:name="_Toc426369483"/>
      <w:bookmarkStart w:id="29" w:name="_Toc403122495"/>
      <w:r>
        <w:rPr>
          <w:rFonts w:hint="eastAsia" w:asciiTheme="minorEastAsia" w:hAnsiTheme="minorEastAsia" w:eastAsiaTheme="minorEastAsia" w:cstheme="minorEastAsia"/>
          <w:b/>
          <w:bCs/>
          <w:sz w:val="24"/>
        </w:rPr>
        <w:t>1.4 供应商资格要求</w:t>
      </w:r>
      <w:bookmarkEnd w:id="26"/>
      <w:bookmarkEnd w:id="27"/>
      <w:bookmarkEnd w:id="28"/>
      <w:bookmarkEnd w:id="29"/>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1.4.1 供应商应具备承担本招标项目的资质条件。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（1）供应商资质条件：见供应商须知前附表； </w:t>
      </w:r>
    </w:p>
    <w:p>
      <w:pPr>
        <w:spacing w:line="440" w:lineRule="exact"/>
        <w:ind w:firstLine="420" w:firstLineChars="200"/>
        <w:rPr>
          <w:rFonts w:asciiTheme="minorEastAsia" w:hAnsiTheme="minorEastAsia" w:eastAsiaTheme="minorEastAsia" w:cstheme="minorEastAsia"/>
          <w:szCs w:val="21"/>
        </w:rPr>
      </w:pPr>
      <w:bookmarkStart w:id="30" w:name="_Toc403122496"/>
      <w:bookmarkStart w:id="31" w:name="_Toc274249579"/>
      <w:bookmarkStart w:id="32" w:name="_Toc279599775"/>
      <w:r>
        <w:rPr>
          <w:rFonts w:hint="eastAsia" w:asciiTheme="minorEastAsia" w:hAnsiTheme="minorEastAsia" w:eastAsiaTheme="minorEastAsia" w:cstheme="minorEastAsia"/>
          <w:szCs w:val="21"/>
        </w:rPr>
        <w:t>1.4.2 本次招标不接受联合体投标。</w:t>
      </w:r>
    </w:p>
    <w:p>
      <w:pPr>
        <w:spacing w:line="500" w:lineRule="exact"/>
        <w:ind w:firstLine="482" w:firstLineChars="200"/>
        <w:rPr>
          <w:rFonts w:asciiTheme="minorEastAsia" w:hAnsiTheme="minorEastAsia" w:eastAsiaTheme="minorEastAsia" w:cstheme="minorEastAsia"/>
          <w:b/>
          <w:bCs/>
          <w:sz w:val="24"/>
        </w:rPr>
      </w:pPr>
      <w:bookmarkStart w:id="33" w:name="_Toc426369484"/>
      <w:r>
        <w:rPr>
          <w:rFonts w:hint="eastAsia" w:asciiTheme="minorEastAsia" w:hAnsiTheme="minorEastAsia" w:eastAsiaTheme="minorEastAsia" w:cstheme="minorEastAsia"/>
          <w:b/>
          <w:bCs/>
          <w:sz w:val="24"/>
        </w:rPr>
        <w:t>1.5 费用承担</w:t>
      </w:r>
      <w:bookmarkEnd w:id="30"/>
      <w:bookmarkEnd w:id="31"/>
      <w:bookmarkEnd w:id="32"/>
      <w:bookmarkEnd w:id="33"/>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供应商准备和参加投标活动发生的费用自理。 </w:t>
      </w:r>
    </w:p>
    <w:p>
      <w:pPr>
        <w:spacing w:line="500" w:lineRule="exact"/>
        <w:ind w:firstLine="482" w:firstLineChars="200"/>
        <w:rPr>
          <w:rFonts w:asciiTheme="minorEastAsia" w:hAnsiTheme="minorEastAsia" w:eastAsiaTheme="minorEastAsia" w:cstheme="minorEastAsia"/>
          <w:b/>
          <w:bCs/>
          <w:sz w:val="24"/>
        </w:rPr>
      </w:pPr>
      <w:bookmarkStart w:id="34" w:name="_Toc403122497"/>
      <w:bookmarkStart w:id="35" w:name="_Toc426369485"/>
      <w:r>
        <w:rPr>
          <w:rFonts w:hint="eastAsia" w:asciiTheme="minorEastAsia" w:hAnsiTheme="minorEastAsia" w:eastAsiaTheme="minorEastAsia" w:cstheme="minorEastAsia"/>
          <w:b/>
          <w:bCs/>
          <w:sz w:val="24"/>
        </w:rPr>
        <w:t>1.6 保密</w:t>
      </w:r>
      <w:bookmarkEnd w:id="34"/>
      <w:bookmarkEnd w:id="35"/>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参与招标投标活动的各方应对招标文件和投标文件中的商业和技术等秘密保密，违者应对由此造成的后果承担法律责任。</w:t>
      </w:r>
    </w:p>
    <w:p>
      <w:pPr>
        <w:spacing w:line="500" w:lineRule="exact"/>
        <w:ind w:firstLine="482" w:firstLineChars="200"/>
        <w:rPr>
          <w:rFonts w:asciiTheme="minorEastAsia" w:hAnsiTheme="minorEastAsia" w:eastAsiaTheme="minorEastAsia" w:cstheme="minorEastAsia"/>
          <w:b/>
          <w:bCs/>
          <w:sz w:val="24"/>
        </w:rPr>
      </w:pPr>
      <w:bookmarkStart w:id="36" w:name="_Toc403122498"/>
      <w:bookmarkStart w:id="37" w:name="_Toc426369486"/>
      <w:bookmarkStart w:id="38" w:name="_Toc279599777"/>
      <w:bookmarkStart w:id="39" w:name="_Toc274249581"/>
      <w:r>
        <w:rPr>
          <w:rFonts w:hint="eastAsia" w:asciiTheme="minorEastAsia" w:hAnsiTheme="minorEastAsia" w:eastAsiaTheme="minorEastAsia" w:cstheme="minorEastAsia"/>
          <w:b/>
          <w:bCs/>
          <w:sz w:val="24"/>
        </w:rPr>
        <w:t>1.7 语言文字</w:t>
      </w:r>
      <w:bookmarkEnd w:id="36"/>
      <w:bookmarkEnd w:id="37"/>
      <w:bookmarkEnd w:id="38"/>
      <w:bookmarkEnd w:id="39"/>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除专用术语外，与招标投标有关的语言均使用中文。必要时专用术语应附有中文注释。 </w:t>
      </w:r>
    </w:p>
    <w:p>
      <w:pPr>
        <w:spacing w:line="500" w:lineRule="exact"/>
        <w:ind w:firstLine="482" w:firstLineChars="200"/>
        <w:rPr>
          <w:rFonts w:asciiTheme="minorEastAsia" w:hAnsiTheme="minorEastAsia" w:eastAsiaTheme="minorEastAsia" w:cstheme="minorEastAsia"/>
          <w:b/>
          <w:bCs/>
          <w:sz w:val="24"/>
        </w:rPr>
      </w:pPr>
      <w:bookmarkStart w:id="40" w:name="_Toc403122499"/>
      <w:bookmarkStart w:id="41" w:name="_Toc426369487"/>
      <w:r>
        <w:rPr>
          <w:rFonts w:hint="eastAsia" w:asciiTheme="minorEastAsia" w:hAnsiTheme="minorEastAsia" w:eastAsiaTheme="minorEastAsia" w:cstheme="minorEastAsia"/>
          <w:b/>
          <w:bCs/>
          <w:sz w:val="24"/>
        </w:rPr>
        <w:t>1.8 计量单位</w:t>
      </w:r>
      <w:bookmarkEnd w:id="40"/>
      <w:bookmarkEnd w:id="41"/>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所有计量均采用中华人民共和国法定计量单位。</w:t>
      </w:r>
    </w:p>
    <w:p>
      <w:pPr>
        <w:spacing w:line="500" w:lineRule="exact"/>
        <w:ind w:firstLine="482" w:firstLineChars="200"/>
        <w:rPr>
          <w:rFonts w:asciiTheme="minorEastAsia" w:hAnsiTheme="minorEastAsia" w:eastAsiaTheme="minorEastAsia" w:cstheme="minorEastAsia"/>
          <w:b/>
          <w:bCs/>
          <w:sz w:val="24"/>
        </w:rPr>
      </w:pPr>
      <w:bookmarkStart w:id="42" w:name="_Toc279599779"/>
      <w:bookmarkStart w:id="43" w:name="_Toc403122500"/>
      <w:bookmarkStart w:id="44" w:name="_Toc274249583"/>
      <w:bookmarkStart w:id="45" w:name="_Toc426369488"/>
      <w:r>
        <w:rPr>
          <w:rFonts w:hint="eastAsia" w:asciiTheme="minorEastAsia" w:hAnsiTheme="minorEastAsia" w:eastAsiaTheme="minorEastAsia" w:cstheme="minorEastAsia"/>
          <w:b/>
          <w:bCs/>
          <w:sz w:val="24"/>
        </w:rPr>
        <w:t>1.9 踏勘现场</w:t>
      </w:r>
      <w:bookmarkEnd w:id="42"/>
      <w:bookmarkEnd w:id="43"/>
      <w:bookmarkEnd w:id="44"/>
      <w:bookmarkEnd w:id="45"/>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1.9.1  由于项目特殊性，本次招标需供应商自行勘查。 </w:t>
      </w:r>
    </w:p>
    <w:p>
      <w:pPr>
        <w:spacing w:line="500" w:lineRule="exact"/>
        <w:ind w:firstLine="482" w:firstLineChars="200"/>
        <w:rPr>
          <w:rFonts w:asciiTheme="minorEastAsia" w:hAnsiTheme="minorEastAsia" w:eastAsiaTheme="minorEastAsia" w:cstheme="minorEastAsia"/>
          <w:b/>
          <w:bCs/>
          <w:sz w:val="24"/>
        </w:rPr>
      </w:pPr>
      <w:bookmarkStart w:id="46" w:name="_Toc274249584"/>
      <w:bookmarkStart w:id="47" w:name="_Toc279599780"/>
      <w:bookmarkStart w:id="48" w:name="_Toc426369489"/>
      <w:bookmarkStart w:id="49" w:name="_Toc403122501"/>
      <w:r>
        <w:rPr>
          <w:rFonts w:hint="eastAsia" w:asciiTheme="minorEastAsia" w:hAnsiTheme="minorEastAsia" w:eastAsiaTheme="minorEastAsia" w:cstheme="minorEastAsia"/>
          <w:b/>
          <w:bCs/>
          <w:sz w:val="24"/>
        </w:rPr>
        <w:t>1.10 投标预备会</w:t>
      </w:r>
      <w:bookmarkEnd w:id="46"/>
      <w:bookmarkEnd w:id="47"/>
      <w:bookmarkEnd w:id="48"/>
      <w:bookmarkEnd w:id="49"/>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1.10.1 本次招标不召开投标预备会。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1.10.2 供应商应在供应商须知前附表规定的时间前，以书面形式将提出的问题送达招标代理人。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1.10.3 采购人在供应商须知前附表规定的时间内，将对供应商所提问题的澄清，以书面方式通知所有已领取招标文件的供应商。该澄清内容为招标文件的组成部分。 </w:t>
      </w:r>
    </w:p>
    <w:p>
      <w:pPr>
        <w:spacing w:line="500" w:lineRule="exact"/>
        <w:ind w:firstLine="482" w:firstLineChars="200"/>
        <w:rPr>
          <w:rFonts w:asciiTheme="minorEastAsia" w:hAnsiTheme="minorEastAsia" w:eastAsiaTheme="minorEastAsia" w:cstheme="minorEastAsia"/>
          <w:b/>
          <w:bCs/>
          <w:sz w:val="24"/>
        </w:rPr>
      </w:pPr>
      <w:bookmarkStart w:id="50" w:name="_Toc279599781"/>
      <w:bookmarkStart w:id="51" w:name="_Toc403122502"/>
      <w:bookmarkStart w:id="52" w:name="_Toc274249585"/>
      <w:bookmarkStart w:id="53" w:name="_Toc426369490"/>
      <w:r>
        <w:rPr>
          <w:rFonts w:hint="eastAsia" w:asciiTheme="minorEastAsia" w:hAnsiTheme="minorEastAsia" w:eastAsiaTheme="minorEastAsia" w:cstheme="minorEastAsia"/>
          <w:b/>
          <w:bCs/>
          <w:sz w:val="24"/>
        </w:rPr>
        <w:t>1.11 分包</w:t>
      </w:r>
      <w:bookmarkEnd w:id="50"/>
      <w:bookmarkEnd w:id="51"/>
      <w:bookmarkEnd w:id="52"/>
      <w:bookmarkEnd w:id="53"/>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本次招标项目不允许分包。 </w:t>
      </w:r>
    </w:p>
    <w:p>
      <w:pPr>
        <w:pStyle w:val="38"/>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54" w:name="_Toc28663"/>
      <w:r>
        <w:rPr>
          <w:rFonts w:hint="eastAsia" w:asciiTheme="minorEastAsia" w:hAnsiTheme="minorEastAsia" w:eastAsiaTheme="minorEastAsia" w:cstheme="minorEastAsia"/>
          <w:sz w:val="24"/>
          <w:szCs w:val="24"/>
        </w:rPr>
        <w:t>2. 招标文件</w:t>
      </w:r>
      <w:bookmarkEnd w:id="11"/>
      <w:bookmarkEnd w:id="12"/>
      <w:bookmarkEnd w:id="13"/>
      <w:bookmarkEnd w:id="54"/>
    </w:p>
    <w:p>
      <w:pPr>
        <w:spacing w:line="500" w:lineRule="exact"/>
        <w:ind w:firstLine="482" w:firstLineChars="200"/>
        <w:rPr>
          <w:rFonts w:asciiTheme="minorEastAsia" w:hAnsiTheme="minorEastAsia" w:eastAsiaTheme="minorEastAsia" w:cstheme="minorEastAsia"/>
          <w:b/>
          <w:bCs/>
          <w:sz w:val="24"/>
        </w:rPr>
      </w:pPr>
      <w:bookmarkStart w:id="55" w:name="_Toc279599783"/>
      <w:bookmarkStart w:id="56" w:name="_Toc274249587"/>
      <w:bookmarkStart w:id="57" w:name="_Toc426369492"/>
      <w:bookmarkStart w:id="58" w:name="_Toc403122504"/>
      <w:r>
        <w:rPr>
          <w:rFonts w:hint="eastAsia" w:asciiTheme="minorEastAsia" w:hAnsiTheme="minorEastAsia" w:eastAsiaTheme="minorEastAsia" w:cstheme="minorEastAsia"/>
          <w:b/>
          <w:bCs/>
          <w:sz w:val="24"/>
        </w:rPr>
        <w:t>2.1 招标文件的组成</w:t>
      </w:r>
      <w:bookmarkEnd w:id="55"/>
      <w:bookmarkEnd w:id="56"/>
      <w:bookmarkEnd w:id="57"/>
      <w:bookmarkEnd w:id="58"/>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本招标文件包括： </w:t>
      </w:r>
    </w:p>
    <w:p>
      <w:pPr>
        <w:numPr>
          <w:ilvl w:val="0"/>
          <w:numId w:val="4"/>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招标公告；</w:t>
      </w:r>
    </w:p>
    <w:p>
      <w:pPr>
        <w:numPr>
          <w:ilvl w:val="0"/>
          <w:numId w:val="4"/>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供应商须知； </w:t>
      </w:r>
    </w:p>
    <w:p>
      <w:pPr>
        <w:numPr>
          <w:ilvl w:val="0"/>
          <w:numId w:val="4"/>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评标办法（综合评分法）； </w:t>
      </w:r>
    </w:p>
    <w:p>
      <w:pPr>
        <w:numPr>
          <w:ilvl w:val="0"/>
          <w:numId w:val="4"/>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合同条款及格式； </w:t>
      </w:r>
    </w:p>
    <w:p>
      <w:pPr>
        <w:numPr>
          <w:ilvl w:val="0"/>
          <w:numId w:val="4"/>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采购需求及参数； </w:t>
      </w:r>
    </w:p>
    <w:p>
      <w:pPr>
        <w:numPr>
          <w:ilvl w:val="0"/>
          <w:numId w:val="4"/>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投标文件格式；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根据本章第 1.10 款、第 2.2 款和第2.3款对招标文件所作的澄清、修改，构成招标文件的组成部分。 </w:t>
      </w:r>
    </w:p>
    <w:p>
      <w:pPr>
        <w:spacing w:line="500" w:lineRule="exact"/>
        <w:ind w:firstLine="482" w:firstLineChars="200"/>
        <w:rPr>
          <w:rFonts w:asciiTheme="minorEastAsia" w:hAnsiTheme="minorEastAsia" w:eastAsiaTheme="minorEastAsia" w:cstheme="minorEastAsia"/>
          <w:b/>
          <w:bCs/>
          <w:sz w:val="24"/>
        </w:rPr>
      </w:pPr>
      <w:bookmarkStart w:id="59" w:name="_Toc426369493"/>
      <w:bookmarkStart w:id="60" w:name="_Toc274249588"/>
      <w:bookmarkStart w:id="61" w:name="_Toc279599784"/>
      <w:bookmarkStart w:id="62" w:name="_Toc403122505"/>
      <w:r>
        <w:rPr>
          <w:rFonts w:hint="eastAsia" w:asciiTheme="minorEastAsia" w:hAnsiTheme="minorEastAsia" w:eastAsiaTheme="minorEastAsia" w:cstheme="minorEastAsia"/>
          <w:b/>
          <w:bCs/>
          <w:sz w:val="24"/>
        </w:rPr>
        <w:t>2.2 招标文件的澄清</w:t>
      </w:r>
      <w:bookmarkEnd w:id="59"/>
      <w:bookmarkEnd w:id="60"/>
      <w:bookmarkEnd w:id="61"/>
      <w:bookmarkEnd w:id="62"/>
    </w:p>
    <w:p>
      <w:pPr>
        <w:spacing w:line="440" w:lineRule="exact"/>
        <w:ind w:firstLine="420" w:firstLineChars="200"/>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rPr>
        <w:t xml:space="preserve">2.2.1 供应商应仔细阅读和检查招标文件的全部内容。如发现缺页或附件不全，应及时向采购人提出，以便补齐。如有疑问，应在供应商须知前附表规定的时间前以书面形式（包括信函、电报、传真等可以有形地表现所载内容的形式，下同），要求采购人对招标文件予以澄清。 </w:t>
      </w:r>
      <w:r>
        <w:rPr>
          <w:rFonts w:hint="eastAsia" w:asciiTheme="minorEastAsia" w:hAnsiTheme="minorEastAsia" w:eastAsiaTheme="minorEastAsia" w:cstheme="minorEastAsia"/>
          <w:szCs w:val="21"/>
          <w:lang w:val="en-US" w:eastAsia="zh-CN"/>
        </w:rPr>
        <w:t xml:space="preserve">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2.2.2 招标文件的澄清将在供应商须知前附表规定的投标截止时间15天前以书面形式发给所有购买招标文件的供应商，但不指明澄清问题的来源。如果澄清发出的时间距投标截止时间不足 15 天，相应延长投标截止时间。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2.2.3 供应商在收到澄清后，应在供应商须知前附表规定的时间内以书面形式通知采购人，确认已收到该澄清。 </w:t>
      </w:r>
    </w:p>
    <w:p>
      <w:pPr>
        <w:spacing w:line="500" w:lineRule="exact"/>
        <w:ind w:firstLine="482" w:firstLineChars="200"/>
        <w:rPr>
          <w:rFonts w:asciiTheme="minorEastAsia" w:hAnsiTheme="minorEastAsia" w:eastAsiaTheme="minorEastAsia" w:cstheme="minorEastAsia"/>
          <w:b/>
          <w:bCs/>
          <w:sz w:val="24"/>
        </w:rPr>
      </w:pPr>
      <w:bookmarkStart w:id="63" w:name="_Toc426369494"/>
      <w:bookmarkStart w:id="64" w:name="_Toc403122506"/>
      <w:bookmarkStart w:id="65" w:name="_Toc274249589"/>
      <w:bookmarkStart w:id="66" w:name="_Toc279599785"/>
      <w:r>
        <w:rPr>
          <w:rFonts w:hint="eastAsia" w:asciiTheme="minorEastAsia" w:hAnsiTheme="minorEastAsia" w:eastAsiaTheme="minorEastAsia" w:cstheme="minorEastAsia"/>
          <w:b/>
          <w:bCs/>
          <w:sz w:val="24"/>
        </w:rPr>
        <w:t>2.3 招标文件的修改</w:t>
      </w:r>
      <w:bookmarkEnd w:id="63"/>
      <w:bookmarkEnd w:id="64"/>
      <w:bookmarkEnd w:id="65"/>
      <w:bookmarkEnd w:id="66"/>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2.3.1  在投标截止时间 15天前，采购人可以书面形式修改招标文件，并通知所有已购买招标文件的供应商。如果修改招标文件的时间距投标截止时间不足 15 天，相应延长投标截止时间。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2.3.2  供应商收到修改内容后，应在供应商须知前附表规定的时间内以书面形式通知采购人，确认已收到该修改。 </w:t>
      </w:r>
      <w:bookmarkStart w:id="67" w:name="_Toc23265"/>
      <w:bookmarkStart w:id="68" w:name="_Toc403122507"/>
      <w:bookmarkStart w:id="69" w:name="_Toc426369495"/>
    </w:p>
    <w:p>
      <w:pPr>
        <w:pStyle w:val="38"/>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70" w:name="_Toc13865"/>
      <w:r>
        <w:rPr>
          <w:rFonts w:hint="eastAsia" w:asciiTheme="minorEastAsia" w:hAnsiTheme="minorEastAsia" w:eastAsiaTheme="minorEastAsia" w:cstheme="minorEastAsia"/>
          <w:sz w:val="24"/>
          <w:szCs w:val="24"/>
        </w:rPr>
        <w:t>3. 投标文件</w:t>
      </w:r>
      <w:bookmarkEnd w:id="67"/>
      <w:bookmarkEnd w:id="68"/>
      <w:bookmarkEnd w:id="69"/>
      <w:bookmarkEnd w:id="70"/>
    </w:p>
    <w:p>
      <w:pPr>
        <w:spacing w:line="500" w:lineRule="exact"/>
        <w:ind w:firstLine="482" w:firstLineChars="200"/>
        <w:rPr>
          <w:rFonts w:asciiTheme="minorEastAsia" w:hAnsiTheme="minorEastAsia" w:eastAsiaTheme="minorEastAsia" w:cstheme="minorEastAsia"/>
          <w:b/>
          <w:bCs/>
          <w:sz w:val="24"/>
        </w:rPr>
      </w:pPr>
      <w:bookmarkStart w:id="71" w:name="_Toc426369496"/>
      <w:bookmarkStart w:id="72" w:name="_Toc279599787"/>
      <w:bookmarkStart w:id="73" w:name="_Toc403122508"/>
      <w:bookmarkStart w:id="74" w:name="_Toc274249591"/>
      <w:r>
        <w:rPr>
          <w:rFonts w:hint="eastAsia" w:asciiTheme="minorEastAsia" w:hAnsiTheme="minorEastAsia" w:eastAsiaTheme="minorEastAsia" w:cstheme="minorEastAsia"/>
          <w:b/>
          <w:bCs/>
          <w:sz w:val="24"/>
        </w:rPr>
        <w:t>3.1 投标文件的组成</w:t>
      </w:r>
      <w:bookmarkEnd w:id="71"/>
      <w:bookmarkEnd w:id="72"/>
      <w:bookmarkEnd w:id="73"/>
      <w:bookmarkEnd w:id="74"/>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3.1.1 投标文件应包括下列内容： </w:t>
      </w:r>
    </w:p>
    <w:p>
      <w:pPr>
        <w:spacing w:line="440" w:lineRule="exact"/>
        <w:ind w:firstLine="420" w:firstLineChars="200"/>
        <w:rPr>
          <w:rFonts w:ascii="宋体" w:hAnsi="宋体" w:cs="宋体"/>
          <w:szCs w:val="21"/>
        </w:rPr>
      </w:pPr>
      <w:bookmarkStart w:id="75" w:name="_Toc403122509"/>
      <w:bookmarkStart w:id="76" w:name="_Toc279599788"/>
      <w:bookmarkStart w:id="77" w:name="_Toc274249592"/>
      <w:bookmarkStart w:id="78" w:name="_Toc426369497"/>
      <w:r>
        <w:rPr>
          <w:rFonts w:hint="eastAsia" w:ascii="宋体" w:hAnsi="宋体" w:cs="宋体"/>
          <w:szCs w:val="21"/>
        </w:rPr>
        <w:t>一、投标函及开标一览表</w:t>
      </w:r>
    </w:p>
    <w:p>
      <w:pPr>
        <w:spacing w:line="440" w:lineRule="exact"/>
        <w:ind w:firstLine="420" w:firstLineChars="200"/>
        <w:rPr>
          <w:rFonts w:ascii="宋体" w:hAnsi="宋体" w:cs="宋体"/>
          <w:szCs w:val="21"/>
        </w:rPr>
      </w:pPr>
      <w:r>
        <w:rPr>
          <w:rFonts w:hint="eastAsia" w:ascii="宋体" w:hAnsi="宋体" w:cs="宋体"/>
          <w:szCs w:val="21"/>
        </w:rPr>
        <w:t>（一）投标函</w:t>
      </w:r>
    </w:p>
    <w:p>
      <w:pPr>
        <w:spacing w:line="440" w:lineRule="exact"/>
        <w:ind w:firstLine="420" w:firstLineChars="200"/>
        <w:rPr>
          <w:rFonts w:ascii="宋体" w:hAnsi="宋体" w:cs="宋体"/>
          <w:szCs w:val="21"/>
        </w:rPr>
      </w:pPr>
      <w:r>
        <w:rPr>
          <w:rFonts w:hint="eastAsia" w:ascii="宋体" w:hAnsi="宋体" w:cs="宋体"/>
          <w:szCs w:val="21"/>
        </w:rPr>
        <w:t>（二）开标一览表</w:t>
      </w:r>
    </w:p>
    <w:p>
      <w:pPr>
        <w:spacing w:line="440" w:lineRule="exact"/>
        <w:ind w:firstLine="420" w:firstLineChars="200"/>
        <w:rPr>
          <w:rFonts w:ascii="宋体" w:hAnsi="宋体" w:cs="宋体"/>
          <w:szCs w:val="21"/>
        </w:rPr>
      </w:pPr>
      <w:r>
        <w:rPr>
          <w:rFonts w:hint="eastAsia" w:ascii="宋体" w:hAnsi="宋体" w:cs="宋体"/>
          <w:szCs w:val="21"/>
        </w:rPr>
        <w:t>（三）报价明细表</w:t>
      </w:r>
    </w:p>
    <w:p>
      <w:pPr>
        <w:spacing w:line="440" w:lineRule="exact"/>
        <w:ind w:firstLine="420" w:firstLineChars="200"/>
        <w:rPr>
          <w:rFonts w:ascii="宋体" w:hAnsi="宋体" w:cs="宋体"/>
          <w:szCs w:val="21"/>
        </w:rPr>
      </w:pPr>
      <w:r>
        <w:rPr>
          <w:rFonts w:hint="eastAsia" w:ascii="宋体" w:hAnsi="宋体" w:cs="宋体"/>
          <w:szCs w:val="21"/>
        </w:rPr>
        <w:t>二、法定代表人身份证明书</w:t>
      </w:r>
    </w:p>
    <w:p>
      <w:pPr>
        <w:spacing w:line="440" w:lineRule="exact"/>
        <w:ind w:firstLine="420" w:firstLineChars="200"/>
        <w:rPr>
          <w:rFonts w:ascii="宋体" w:hAnsi="宋体" w:cs="宋体"/>
          <w:szCs w:val="21"/>
        </w:rPr>
      </w:pPr>
      <w:r>
        <w:rPr>
          <w:rFonts w:hint="eastAsia" w:ascii="宋体" w:hAnsi="宋体" w:cs="宋体"/>
          <w:szCs w:val="21"/>
        </w:rPr>
        <w:t>三、授权委托书</w:t>
      </w:r>
    </w:p>
    <w:p>
      <w:pPr>
        <w:spacing w:line="440" w:lineRule="exact"/>
        <w:ind w:firstLine="420" w:firstLineChars="200"/>
        <w:rPr>
          <w:rFonts w:ascii="宋体" w:hAnsi="宋体" w:cs="宋体"/>
          <w:szCs w:val="21"/>
        </w:rPr>
      </w:pPr>
      <w:r>
        <w:rPr>
          <w:rFonts w:hint="eastAsia" w:ascii="宋体" w:hAnsi="宋体" w:cs="宋体"/>
          <w:szCs w:val="21"/>
        </w:rPr>
        <w:t>四、 投标承诺函</w:t>
      </w:r>
    </w:p>
    <w:p>
      <w:pPr>
        <w:spacing w:line="440" w:lineRule="exact"/>
        <w:ind w:firstLine="420" w:firstLineChars="200"/>
        <w:rPr>
          <w:rFonts w:ascii="宋体" w:hAnsi="宋体" w:cs="宋体"/>
          <w:szCs w:val="21"/>
        </w:rPr>
      </w:pPr>
      <w:r>
        <w:rPr>
          <w:rFonts w:hint="eastAsia" w:ascii="宋体" w:hAnsi="宋体" w:cs="宋体"/>
          <w:szCs w:val="21"/>
        </w:rPr>
        <w:t>五、项目供货及安装保证措施、售后服务方案及应急方案等</w:t>
      </w:r>
    </w:p>
    <w:p>
      <w:pPr>
        <w:spacing w:line="440" w:lineRule="exact"/>
        <w:ind w:firstLine="420" w:firstLineChars="200"/>
        <w:rPr>
          <w:rFonts w:ascii="宋体" w:hAnsi="宋体" w:cs="宋体"/>
          <w:szCs w:val="21"/>
        </w:rPr>
      </w:pPr>
      <w:r>
        <w:rPr>
          <w:rFonts w:hint="eastAsia" w:ascii="宋体" w:hAnsi="宋体" w:cs="宋体"/>
          <w:szCs w:val="21"/>
        </w:rPr>
        <w:t>六、资格证明文件；</w:t>
      </w:r>
    </w:p>
    <w:p>
      <w:pPr>
        <w:pStyle w:val="2"/>
        <w:spacing w:line="440" w:lineRule="exact"/>
        <w:ind w:firstLineChars="200"/>
        <w:rPr>
          <w:rFonts w:hint="default" w:ascii="宋体" w:hAnsi="宋体" w:eastAsia="宋体" w:cs="宋体"/>
          <w:sz w:val="21"/>
          <w:szCs w:val="21"/>
        </w:rPr>
      </w:pPr>
      <w:r>
        <w:rPr>
          <w:rFonts w:ascii="宋体" w:hAnsi="宋体" w:eastAsia="宋体" w:cs="宋体"/>
          <w:sz w:val="21"/>
          <w:szCs w:val="21"/>
        </w:rPr>
        <w:t>七、供应商服务承诺和优惠承诺</w:t>
      </w:r>
    </w:p>
    <w:p>
      <w:pPr>
        <w:spacing w:line="440" w:lineRule="exact"/>
        <w:ind w:firstLine="420" w:firstLineChars="200"/>
        <w:rPr>
          <w:rFonts w:ascii="宋体" w:hAnsi="宋体" w:cs="宋体"/>
          <w:szCs w:val="21"/>
        </w:rPr>
      </w:pPr>
      <w:r>
        <w:rPr>
          <w:rFonts w:hint="eastAsia" w:ascii="宋体" w:hAnsi="宋体" w:cs="宋体"/>
          <w:szCs w:val="21"/>
        </w:rPr>
        <w:t>八、供应商所投产品属于当期政府采购清单规定的节能环保产品的证明材料；</w:t>
      </w:r>
    </w:p>
    <w:p>
      <w:pPr>
        <w:spacing w:line="440" w:lineRule="exact"/>
        <w:ind w:firstLine="420" w:firstLineChars="200"/>
        <w:rPr>
          <w:rFonts w:ascii="宋体" w:hAnsi="宋体" w:cs="宋体"/>
          <w:szCs w:val="21"/>
        </w:rPr>
      </w:pPr>
      <w:r>
        <w:rPr>
          <w:rFonts w:hint="eastAsia" w:ascii="宋体" w:hAnsi="宋体" w:cs="宋体"/>
          <w:szCs w:val="21"/>
        </w:rPr>
        <w:t>九、中小企业声明函（如为中小企业）；</w:t>
      </w:r>
    </w:p>
    <w:p>
      <w:pPr>
        <w:spacing w:line="440" w:lineRule="exact"/>
        <w:ind w:firstLine="420" w:firstLineChars="200"/>
        <w:rPr>
          <w:rFonts w:ascii="宋体" w:hAnsi="宋体" w:cs="宋体"/>
          <w:szCs w:val="21"/>
        </w:rPr>
      </w:pPr>
      <w:r>
        <w:rPr>
          <w:rFonts w:hint="eastAsia" w:ascii="宋体" w:hAnsi="宋体" w:cs="宋体"/>
          <w:szCs w:val="21"/>
        </w:rPr>
        <w:t>十、残疾人福利性单位声明函（如有）；</w:t>
      </w:r>
    </w:p>
    <w:p>
      <w:pPr>
        <w:spacing w:line="440" w:lineRule="exact"/>
        <w:ind w:firstLine="420" w:firstLineChars="200"/>
        <w:rPr>
          <w:rFonts w:ascii="宋体" w:hAnsi="宋体" w:cs="宋体"/>
          <w:szCs w:val="21"/>
        </w:rPr>
      </w:pPr>
      <w:r>
        <w:rPr>
          <w:rFonts w:hint="eastAsia" w:ascii="宋体" w:hAnsi="宋体" w:cs="宋体"/>
          <w:szCs w:val="21"/>
        </w:rPr>
        <w:t>十一、招标文件要求的或投标人认为需要加以说明的其他内容。</w:t>
      </w:r>
    </w:p>
    <w:p>
      <w:pPr>
        <w:spacing w:line="500" w:lineRule="exact"/>
        <w:ind w:firstLine="482" w:firstLineChars="200"/>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3.2 投标报价</w:t>
      </w:r>
      <w:bookmarkEnd w:id="75"/>
      <w:bookmarkEnd w:id="76"/>
      <w:bookmarkEnd w:id="77"/>
      <w:bookmarkEnd w:id="78"/>
    </w:p>
    <w:p>
      <w:pPr>
        <w:spacing w:line="420" w:lineRule="exact"/>
        <w:ind w:firstLine="420" w:firstLineChars="200"/>
        <w:rPr>
          <w:rFonts w:asciiTheme="minorEastAsia" w:hAnsiTheme="minorEastAsia" w:eastAsiaTheme="minorEastAsia" w:cstheme="minorEastAsia"/>
          <w:color w:val="C00000"/>
          <w:szCs w:val="21"/>
        </w:rPr>
      </w:pPr>
      <w:r>
        <w:rPr>
          <w:rFonts w:hint="eastAsia" w:asciiTheme="minorEastAsia" w:hAnsiTheme="minorEastAsia" w:eastAsiaTheme="minorEastAsia" w:cstheme="minorEastAsia"/>
          <w:szCs w:val="21"/>
        </w:rPr>
        <w:t>3.2.1投标报价包括：供应商的投标报价应包括设备、劳务、材料、管理、利润、税金、政策性规费等所有费用。 投标价不是唯一的或不是固定不变的响应文件将被作为非响应性投标而予以拒绝。</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3.2.2投标报价在中标后不得修改。</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3.2.3供应商只能提出一个不变价格，采购人不接受任何选择价。</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3.2.4供应商必须对招标范围内的所有货物投标，不允许只对其中一种或几种货物投标。</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3.2.5全部报价均应以人民币为计量币种，并以人民币进行结算。</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3.2.6投标报价原则是各供应商依据自身实力、管理水平，结合企业所在地区的人工工资标准，在确保项目质量，确保项目成本的基础上，自主报价、自负盈亏。</w:t>
      </w:r>
    </w:p>
    <w:p>
      <w:pPr>
        <w:widowControl/>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3.2.7若投标函中的内容与投标一览表内容不一致时，以投标一览表内容为准。若投标一览表中的大写金额和小写金额不一致的，以大写金额为准；总价金额与单价金额不一致的，以单价金额为准，但单价金额小数点有明显错误的除外；对不同文字文本投标文件的解释发生异议的，以中文文本为准。</w:t>
      </w:r>
    </w:p>
    <w:p>
      <w:pPr>
        <w:spacing w:line="500" w:lineRule="exact"/>
        <w:ind w:firstLine="482" w:firstLineChars="200"/>
        <w:rPr>
          <w:rFonts w:asciiTheme="minorEastAsia" w:hAnsiTheme="minorEastAsia" w:eastAsiaTheme="minorEastAsia" w:cstheme="minorEastAsia"/>
          <w:b/>
          <w:bCs/>
          <w:sz w:val="24"/>
        </w:rPr>
      </w:pPr>
      <w:bookmarkStart w:id="79" w:name="_Toc274249593"/>
      <w:bookmarkStart w:id="80" w:name="_Toc426369498"/>
      <w:bookmarkStart w:id="81" w:name="_Toc279599789"/>
      <w:bookmarkStart w:id="82" w:name="_Toc403122510"/>
      <w:r>
        <w:rPr>
          <w:rFonts w:hint="eastAsia" w:asciiTheme="minorEastAsia" w:hAnsiTheme="minorEastAsia" w:eastAsiaTheme="minorEastAsia" w:cstheme="minorEastAsia"/>
          <w:b/>
          <w:bCs/>
          <w:sz w:val="24"/>
        </w:rPr>
        <w:t>3.3 投标有效期</w:t>
      </w:r>
      <w:bookmarkEnd w:id="79"/>
      <w:bookmarkEnd w:id="80"/>
      <w:bookmarkEnd w:id="81"/>
      <w:bookmarkEnd w:id="82"/>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3.3.1在供应商须知前附表规定的投标有效期内，供应商不得要求撤销或修改其投标文件。 </w:t>
      </w:r>
    </w:p>
    <w:p>
      <w:pPr>
        <w:spacing w:line="500" w:lineRule="exact"/>
        <w:ind w:firstLine="482" w:firstLineChars="200"/>
        <w:rPr>
          <w:rFonts w:asciiTheme="minorEastAsia" w:hAnsiTheme="minorEastAsia" w:eastAsiaTheme="minorEastAsia" w:cstheme="minorEastAsia"/>
          <w:b/>
          <w:bCs/>
          <w:sz w:val="24"/>
        </w:rPr>
      </w:pPr>
      <w:bookmarkStart w:id="83" w:name="_Toc403122512"/>
      <w:bookmarkStart w:id="84" w:name="_Toc274249595"/>
      <w:bookmarkStart w:id="85" w:name="_Toc279599791"/>
      <w:bookmarkStart w:id="86" w:name="_Toc426369501"/>
      <w:r>
        <w:rPr>
          <w:rFonts w:hint="eastAsia" w:asciiTheme="minorEastAsia" w:hAnsiTheme="minorEastAsia" w:eastAsiaTheme="minorEastAsia" w:cstheme="minorEastAsia"/>
          <w:b/>
          <w:bCs/>
          <w:sz w:val="24"/>
        </w:rPr>
        <w:t>3.5 资格审查资料</w:t>
      </w:r>
      <w:bookmarkEnd w:id="83"/>
      <w:bookmarkEnd w:id="84"/>
      <w:bookmarkEnd w:id="85"/>
      <w:bookmarkEnd w:id="86"/>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3.5.1</w:t>
      </w:r>
      <w:r>
        <w:rPr>
          <w:rFonts w:hint="eastAsia" w:ascii="宋体" w:hAnsi="宋体" w:cs="宋体"/>
          <w:kern w:val="0"/>
          <w:szCs w:val="21"/>
        </w:rPr>
        <w:t>依据“投标人须知前附表”中的要求提交相应的资格证明文件，作为投标文件的一部分，以证明其有资格进行投标和有能力履行合同</w:t>
      </w:r>
      <w:r>
        <w:rPr>
          <w:rFonts w:hint="eastAsia" w:asciiTheme="minorEastAsia" w:hAnsiTheme="minorEastAsia" w:eastAsiaTheme="minorEastAsia" w:cstheme="minorEastAsia"/>
          <w:szCs w:val="21"/>
        </w:rPr>
        <w:t xml:space="preserve">。 </w:t>
      </w:r>
    </w:p>
    <w:p>
      <w:pPr>
        <w:spacing w:line="420" w:lineRule="exact"/>
        <w:ind w:firstLine="420" w:firstLineChars="200"/>
        <w:rPr>
          <w:rFonts w:asciiTheme="minorEastAsia" w:hAnsiTheme="minorEastAsia" w:eastAsiaTheme="minorEastAsia" w:cstheme="minorEastAsia"/>
          <w:szCs w:val="21"/>
        </w:rPr>
      </w:pPr>
      <w:r>
        <w:rPr>
          <w:rFonts w:hint="eastAsia" w:ascii="宋体" w:hAnsi="宋体" w:cs="宋体"/>
          <w:szCs w:val="21"/>
        </w:rPr>
        <w:t>3.5.2招标文件规定的供应商资格条件。</w:t>
      </w:r>
    </w:p>
    <w:p>
      <w:pPr>
        <w:spacing w:line="500" w:lineRule="exact"/>
        <w:ind w:firstLine="482" w:firstLineChars="200"/>
        <w:rPr>
          <w:rFonts w:asciiTheme="minorEastAsia" w:hAnsiTheme="minorEastAsia" w:eastAsiaTheme="minorEastAsia" w:cstheme="minorEastAsia"/>
          <w:b/>
          <w:bCs/>
          <w:sz w:val="24"/>
        </w:rPr>
      </w:pPr>
      <w:bookmarkStart w:id="87" w:name="_Toc274249596"/>
      <w:bookmarkStart w:id="88" w:name="_Toc426369502"/>
      <w:bookmarkStart w:id="89" w:name="_Toc279599792"/>
      <w:bookmarkStart w:id="90" w:name="_Toc403122513"/>
      <w:r>
        <w:rPr>
          <w:rFonts w:hint="eastAsia" w:asciiTheme="minorEastAsia" w:hAnsiTheme="minorEastAsia" w:eastAsiaTheme="minorEastAsia" w:cstheme="minorEastAsia"/>
          <w:b/>
          <w:bCs/>
          <w:sz w:val="24"/>
        </w:rPr>
        <w:t>3.6 备选投标方案</w:t>
      </w:r>
      <w:bookmarkEnd w:id="87"/>
      <w:bookmarkEnd w:id="88"/>
      <w:bookmarkEnd w:id="89"/>
      <w:bookmarkEnd w:id="90"/>
    </w:p>
    <w:p>
      <w:pPr>
        <w:tabs>
          <w:tab w:val="left" w:pos="3570"/>
        </w:tabs>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供应商不得递交备选投标方案。 </w:t>
      </w:r>
    </w:p>
    <w:p>
      <w:pPr>
        <w:spacing w:line="500" w:lineRule="exact"/>
        <w:ind w:firstLine="482" w:firstLineChars="200"/>
        <w:rPr>
          <w:rFonts w:asciiTheme="minorEastAsia" w:hAnsiTheme="minorEastAsia" w:eastAsiaTheme="minorEastAsia" w:cstheme="minorEastAsia"/>
          <w:b/>
          <w:bCs/>
          <w:sz w:val="24"/>
        </w:rPr>
      </w:pPr>
      <w:bookmarkStart w:id="91" w:name="_Toc274249597"/>
      <w:bookmarkStart w:id="92" w:name="_Toc279599793"/>
      <w:bookmarkStart w:id="93" w:name="_Toc403122514"/>
      <w:bookmarkStart w:id="94" w:name="_Toc426369503"/>
      <w:r>
        <w:rPr>
          <w:rFonts w:hint="eastAsia" w:asciiTheme="minorEastAsia" w:hAnsiTheme="minorEastAsia" w:eastAsiaTheme="minorEastAsia" w:cstheme="minorEastAsia"/>
          <w:b/>
          <w:bCs/>
          <w:sz w:val="24"/>
        </w:rPr>
        <w:t>3.7 投标文件的编制</w:t>
      </w:r>
      <w:bookmarkEnd w:id="91"/>
      <w:bookmarkEnd w:id="92"/>
      <w:bookmarkEnd w:id="93"/>
      <w:bookmarkEnd w:id="94"/>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3.7.1 投标文件应按招标文件中要求</w:t>
      </w:r>
      <w:r>
        <w:rPr>
          <w:rFonts w:hint="eastAsia" w:ascii="宋体" w:hAnsi="宋体" w:cs="宋体"/>
          <w:kern w:val="0"/>
          <w:szCs w:val="21"/>
        </w:rPr>
        <w:t>使用焦作市公共资源交易系统投标文件制作专用工具软件编制</w:t>
      </w:r>
      <w:r>
        <w:rPr>
          <w:rFonts w:hint="eastAsia" w:asciiTheme="minorEastAsia" w:hAnsiTheme="minorEastAsia" w:eastAsiaTheme="minorEastAsia" w:cstheme="minorEastAsia"/>
          <w:szCs w:val="21"/>
        </w:rPr>
        <w:t xml:space="preserve">。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3.7.2  投标文件应当对招标文件有关项目完成期、投标有效期、质量要求、采购要求及服务内容、等实质性内容作出响应。</w:t>
      </w:r>
    </w:p>
    <w:p>
      <w:pPr>
        <w:autoSpaceDE w:val="0"/>
        <w:autoSpaceDN w:val="0"/>
        <w:adjustRightInd w:val="0"/>
        <w:spacing w:line="440" w:lineRule="exact"/>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3.7.3 </w:t>
      </w:r>
      <w:r>
        <w:rPr>
          <w:rFonts w:hint="eastAsia" w:ascii="宋体" w:hAnsi="宋体" w:cs="宋体"/>
          <w:kern w:val="0"/>
          <w:szCs w:val="21"/>
        </w:rPr>
        <w:t>本项目采用电子开评标方式，潜在投标人可提前在焦作市交易中心官网首页---下载中心--下载《焦作市电子招投标系统操作手册》、《焦作市公共资源交易平台不见面开标操作手册》和《投标文件制作工作工具》等查看操作说明，按要求进行投标文件制作和上传等。为避免网络拥堵等不可控因素影响投标文件的上传，请提前上传投标文件，并在开标截止时间前登录不见面开标大厅进行签到，按要求解密投标文件。因文件未及时上传导致投标失败的责任由投标人自行承担。</w:t>
      </w:r>
    </w:p>
    <w:p>
      <w:pPr>
        <w:pStyle w:val="38"/>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95" w:name="_Toc30100"/>
      <w:bookmarkStart w:id="96" w:name="_Toc403122515"/>
      <w:bookmarkStart w:id="97" w:name="_Toc426369504"/>
      <w:bookmarkStart w:id="98" w:name="_Toc26998"/>
      <w:r>
        <w:rPr>
          <w:rFonts w:hint="eastAsia" w:asciiTheme="minorEastAsia" w:hAnsiTheme="minorEastAsia" w:eastAsiaTheme="minorEastAsia" w:cstheme="minorEastAsia"/>
          <w:sz w:val="24"/>
          <w:szCs w:val="24"/>
        </w:rPr>
        <w:t>4. 投标</w:t>
      </w:r>
      <w:bookmarkEnd w:id="95"/>
      <w:bookmarkEnd w:id="96"/>
      <w:bookmarkEnd w:id="97"/>
      <w:bookmarkEnd w:id="98"/>
    </w:p>
    <w:p>
      <w:pPr>
        <w:spacing w:line="500" w:lineRule="exact"/>
        <w:ind w:firstLine="482" w:firstLineChars="200"/>
        <w:rPr>
          <w:rFonts w:asciiTheme="minorEastAsia" w:hAnsiTheme="minorEastAsia" w:eastAsiaTheme="minorEastAsia" w:cstheme="minorEastAsia"/>
          <w:b/>
          <w:bCs/>
          <w:sz w:val="24"/>
        </w:rPr>
      </w:pPr>
      <w:bookmarkStart w:id="99" w:name="_Toc274249599"/>
      <w:bookmarkStart w:id="100" w:name="_Toc403122516"/>
      <w:bookmarkStart w:id="101" w:name="_Toc426369505"/>
      <w:bookmarkStart w:id="102" w:name="_Toc279599795"/>
      <w:r>
        <w:rPr>
          <w:rFonts w:hint="eastAsia" w:asciiTheme="minorEastAsia" w:hAnsiTheme="minorEastAsia" w:eastAsiaTheme="minorEastAsia" w:cstheme="minorEastAsia"/>
          <w:b/>
          <w:bCs/>
          <w:sz w:val="24"/>
        </w:rPr>
        <w:t>4.1 投标文件的密封和标记</w:t>
      </w:r>
      <w:bookmarkEnd w:id="99"/>
      <w:bookmarkEnd w:id="100"/>
      <w:bookmarkEnd w:id="101"/>
      <w:bookmarkEnd w:id="102"/>
    </w:p>
    <w:p>
      <w:pPr>
        <w:autoSpaceDE w:val="0"/>
        <w:autoSpaceDN w:val="0"/>
        <w:adjustRightInd w:val="0"/>
        <w:spacing w:line="440" w:lineRule="exact"/>
        <w:ind w:firstLine="420" w:firstLineChars="200"/>
        <w:jc w:val="left"/>
        <w:rPr>
          <w:rFonts w:asciiTheme="minorEastAsia" w:hAnsiTheme="minorEastAsia" w:eastAsiaTheme="minorEastAsia" w:cstheme="minorEastAsia"/>
          <w:szCs w:val="21"/>
        </w:rPr>
      </w:pPr>
      <w:r>
        <w:rPr>
          <w:rFonts w:hint="eastAsia" w:ascii="宋体" w:hAnsi="宋体" w:cs="宋体"/>
          <w:kern w:val="0"/>
          <w:szCs w:val="21"/>
        </w:rPr>
        <w:t>4.1.1.本项目采用</w:t>
      </w:r>
      <w:r>
        <w:rPr>
          <w:rFonts w:hint="eastAsia" w:ascii="宋体" w:hAnsi="宋体" w:cs="宋体"/>
          <w:kern w:val="0"/>
          <w:szCs w:val="21"/>
          <w:lang w:val="zh-CN"/>
        </w:rPr>
        <w:t>网上上传的电子投标文件</w:t>
      </w:r>
      <w:r>
        <w:rPr>
          <w:rFonts w:hint="eastAsia" w:ascii="宋体" w:hAnsi="宋体" w:cs="宋体"/>
          <w:kern w:val="0"/>
          <w:szCs w:val="21"/>
        </w:rPr>
        <w:t>,</w:t>
      </w:r>
      <w:r>
        <w:rPr>
          <w:rFonts w:hint="eastAsia" w:ascii="宋体" w:hAnsi="宋体" w:cs="宋体"/>
          <w:kern w:val="0"/>
          <w:szCs w:val="21"/>
          <w:lang w:val="zh-CN"/>
        </w:rPr>
        <w:t>应使用数字证书认证并加密。</w:t>
      </w:r>
    </w:p>
    <w:p>
      <w:pPr>
        <w:spacing w:line="500" w:lineRule="exact"/>
        <w:ind w:firstLine="482" w:firstLineChars="200"/>
        <w:rPr>
          <w:rFonts w:asciiTheme="minorEastAsia" w:hAnsiTheme="minorEastAsia" w:eastAsiaTheme="minorEastAsia" w:cstheme="minorEastAsia"/>
          <w:b/>
          <w:bCs/>
          <w:sz w:val="24"/>
        </w:rPr>
      </w:pPr>
      <w:bookmarkStart w:id="103" w:name="_Toc274249600"/>
      <w:bookmarkStart w:id="104" w:name="_Toc279599796"/>
      <w:bookmarkStart w:id="105" w:name="_Toc403122517"/>
      <w:bookmarkStart w:id="106" w:name="_Toc426369506"/>
      <w:r>
        <w:rPr>
          <w:rFonts w:hint="eastAsia" w:asciiTheme="minorEastAsia" w:hAnsiTheme="minorEastAsia" w:eastAsiaTheme="minorEastAsia" w:cstheme="minorEastAsia"/>
          <w:b/>
          <w:bCs/>
          <w:sz w:val="24"/>
        </w:rPr>
        <w:t>4.2 投标文件的递交</w:t>
      </w:r>
      <w:bookmarkEnd w:id="103"/>
      <w:bookmarkEnd w:id="104"/>
      <w:bookmarkEnd w:id="105"/>
      <w:bookmarkEnd w:id="106"/>
    </w:p>
    <w:p>
      <w:pPr>
        <w:autoSpaceDE w:val="0"/>
        <w:autoSpaceDN w:val="0"/>
        <w:adjustRightInd w:val="0"/>
        <w:spacing w:line="440" w:lineRule="exact"/>
        <w:ind w:firstLine="420" w:firstLineChars="200"/>
        <w:jc w:val="left"/>
        <w:rPr>
          <w:rFonts w:ascii="宋体" w:hAnsi="宋体" w:cs="宋体"/>
          <w:kern w:val="0"/>
          <w:szCs w:val="21"/>
          <w:lang w:val="zh-CN"/>
        </w:rPr>
      </w:pPr>
      <w:r>
        <w:rPr>
          <w:rFonts w:hint="eastAsia" w:ascii="宋体" w:hAnsi="宋体" w:cs="宋体"/>
          <w:kern w:val="0"/>
          <w:szCs w:val="21"/>
        </w:rPr>
        <w:t>4.2.1</w:t>
      </w:r>
      <w:r>
        <w:rPr>
          <w:rFonts w:hint="eastAsia" w:ascii="宋体" w:hAnsi="宋体" w:cs="宋体"/>
          <w:kern w:val="0"/>
          <w:szCs w:val="21"/>
          <w:lang w:val="zh-CN"/>
        </w:rPr>
        <w:t>所有投标文件必须在本招标文件中规定的投标截止时间之前</w:t>
      </w:r>
      <w:r>
        <w:rPr>
          <w:rFonts w:hint="eastAsia" w:ascii="宋体" w:hAnsi="宋体" w:cs="宋体"/>
          <w:kern w:val="0"/>
          <w:szCs w:val="21"/>
        </w:rPr>
        <w:t>提前上传，并在开标截止时间前登录不见面开标大厅，按要求</w:t>
      </w:r>
      <w:r>
        <w:rPr>
          <w:rFonts w:hint="eastAsia" w:ascii="宋体" w:hAnsi="宋体"/>
          <w:szCs w:val="21"/>
        </w:rPr>
        <w:t>在线签到、解密文件等，解密时间为投标截止时后30分钟内，</w:t>
      </w:r>
      <w:r>
        <w:rPr>
          <w:rFonts w:hint="eastAsia" w:ascii="宋体" w:hAnsi="宋体" w:cs="宋体"/>
          <w:kern w:val="0"/>
          <w:szCs w:val="21"/>
        </w:rPr>
        <w:t>不能按时上传、签到、解密者视为自动放弃投标。</w:t>
      </w:r>
    </w:p>
    <w:p>
      <w:pPr>
        <w:autoSpaceDE w:val="0"/>
        <w:autoSpaceDN w:val="0"/>
        <w:adjustRightInd w:val="0"/>
        <w:spacing w:line="440" w:lineRule="exact"/>
        <w:ind w:firstLine="420" w:firstLineChars="200"/>
        <w:jc w:val="left"/>
        <w:rPr>
          <w:rFonts w:ascii="宋体" w:hAnsi="宋体" w:cs="宋体"/>
          <w:kern w:val="0"/>
          <w:szCs w:val="21"/>
          <w:lang w:val="zh-CN"/>
        </w:rPr>
      </w:pPr>
      <w:r>
        <w:rPr>
          <w:rFonts w:hint="eastAsia" w:ascii="宋体" w:hAnsi="宋体" w:cs="宋体"/>
          <w:kern w:val="0"/>
          <w:szCs w:val="21"/>
        </w:rPr>
        <w:t>4.2.</w:t>
      </w:r>
      <w:r>
        <w:rPr>
          <w:rFonts w:hint="eastAsia" w:ascii="宋体" w:hAnsi="宋体" w:cs="宋体"/>
          <w:kern w:val="0"/>
          <w:szCs w:val="21"/>
          <w:lang w:val="zh-CN"/>
        </w:rPr>
        <w:t>2.采购人拒绝接收在投标文件递交截止时间后上传的投标文件。</w:t>
      </w:r>
      <w:bookmarkStart w:id="107" w:name="_Hlt26954862"/>
      <w:bookmarkEnd w:id="107"/>
      <w:bookmarkStart w:id="108" w:name="_Hlt26954754"/>
      <w:bookmarkEnd w:id="108"/>
    </w:p>
    <w:p>
      <w:pPr>
        <w:spacing w:line="400" w:lineRule="exact"/>
        <w:ind w:firstLine="420" w:firstLineChars="200"/>
        <w:rPr>
          <w:rFonts w:asciiTheme="minorEastAsia" w:hAnsiTheme="minorEastAsia" w:eastAsiaTheme="minorEastAsia" w:cstheme="minorEastAsia"/>
          <w:szCs w:val="21"/>
        </w:rPr>
      </w:pPr>
    </w:p>
    <w:p>
      <w:pPr>
        <w:spacing w:line="500" w:lineRule="exact"/>
        <w:ind w:firstLine="482" w:firstLineChars="200"/>
        <w:rPr>
          <w:rFonts w:asciiTheme="minorEastAsia" w:hAnsiTheme="minorEastAsia" w:eastAsiaTheme="minorEastAsia" w:cstheme="minorEastAsia"/>
          <w:b/>
          <w:bCs/>
          <w:sz w:val="24"/>
          <w:highlight w:val="yellow"/>
        </w:rPr>
      </w:pPr>
      <w:bookmarkStart w:id="109" w:name="_Toc274249601"/>
      <w:bookmarkStart w:id="110" w:name="_Toc426369507"/>
      <w:bookmarkStart w:id="111" w:name="_Toc403122518"/>
      <w:bookmarkStart w:id="112" w:name="_Toc279599797"/>
      <w:r>
        <w:rPr>
          <w:rFonts w:hint="eastAsia" w:asciiTheme="minorEastAsia" w:hAnsiTheme="minorEastAsia" w:eastAsiaTheme="minorEastAsia" w:cstheme="minorEastAsia"/>
          <w:b/>
          <w:bCs/>
          <w:sz w:val="24"/>
        </w:rPr>
        <w:t>4.3 投标文件的修改与撤回</w:t>
      </w:r>
      <w:bookmarkEnd w:id="109"/>
      <w:bookmarkEnd w:id="110"/>
      <w:bookmarkEnd w:id="111"/>
      <w:bookmarkEnd w:id="112"/>
    </w:p>
    <w:p>
      <w:pPr>
        <w:spacing w:line="400" w:lineRule="exact"/>
        <w:ind w:firstLine="420" w:firstLineChars="200"/>
        <w:rPr>
          <w:rFonts w:asciiTheme="minorEastAsia" w:hAnsiTheme="minorEastAsia" w:eastAsiaTheme="minorEastAsia" w:cstheme="minorEastAsia"/>
          <w:szCs w:val="21"/>
          <w:highlight w:val="yellow"/>
        </w:rPr>
      </w:pPr>
      <w:r>
        <w:rPr>
          <w:rFonts w:hint="eastAsia" w:asciiTheme="minorEastAsia" w:hAnsiTheme="minorEastAsia" w:eastAsiaTheme="minorEastAsia" w:cstheme="minorEastAsia"/>
          <w:szCs w:val="21"/>
        </w:rPr>
        <w:t xml:space="preserve">4.3.1  在本章第 2.2.2 项规定的投标截止时间前，供应商可以修改或撤回已递交的投标文件。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4.3.2  供应商修改或撤回已递交投标文件的书面通知应按照本章第 3.7.3 项的要求签字盖章。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4.3.3  修改的内容为投标文件的组成部分。修改的投标文件应按照本章第 3 条、第 4 条规定进行编制、密封、标记和递交，并标明“修改”字样。 </w:t>
      </w:r>
    </w:p>
    <w:p>
      <w:pPr>
        <w:pStyle w:val="38"/>
        <w:spacing w:before="120" w:after="120" w:line="500" w:lineRule="exact"/>
        <w:ind w:right="-1029" w:rightChars="-490" w:firstLine="482" w:firstLineChars="200"/>
        <w:jc w:val="left"/>
        <w:rPr>
          <w:rFonts w:asciiTheme="minorEastAsia" w:hAnsiTheme="minorEastAsia" w:eastAsiaTheme="minorEastAsia" w:cstheme="minorEastAsia"/>
          <w:sz w:val="24"/>
          <w:szCs w:val="24"/>
        </w:rPr>
      </w:pPr>
      <w:bookmarkStart w:id="113" w:name="_Toc32449"/>
      <w:bookmarkStart w:id="114" w:name="_Toc426369508"/>
      <w:bookmarkStart w:id="115" w:name="_Toc18170"/>
      <w:bookmarkStart w:id="116" w:name="_Toc403122519"/>
      <w:r>
        <w:rPr>
          <w:rFonts w:hint="eastAsia" w:asciiTheme="minorEastAsia" w:hAnsiTheme="minorEastAsia" w:eastAsiaTheme="minorEastAsia" w:cstheme="minorEastAsia"/>
          <w:sz w:val="24"/>
          <w:szCs w:val="24"/>
        </w:rPr>
        <w:t>5. 开标</w:t>
      </w:r>
      <w:bookmarkEnd w:id="113"/>
      <w:bookmarkEnd w:id="114"/>
      <w:bookmarkEnd w:id="115"/>
      <w:bookmarkEnd w:id="116"/>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5.1 .1采购人在规定的投标截止时间（开标时间）和投标人须知前附表规定的地点公开开标。本项目采用“远程不见面”的开标方式,载明远程开标大厅网址（http://122.112.246.33/BidOpening/bidopeninghallaction/hall/login ）。投标人无需到现场参加开标会议，无需到达现场提交原件资料。投标人应当投标截止前，登录远程开标大厅，在线准时参加开标活动并进行文件解密、答疑澄清等。在规定时间内投标文件未解密的投标人，视为放弃投标。</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所有投标文件必须在本招标文件中规定的投标截止时间之前提前上传投标文件，并在开标截止时间前登录不见面开标大厅进行签到，按要求解密投标文件，不能按时上传、签到、解密者视为自动放弃投标。</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5.1.2投标人不足3家的，不得开标。  </w:t>
      </w:r>
    </w:p>
    <w:p>
      <w:pPr>
        <w:spacing w:line="500" w:lineRule="exact"/>
        <w:ind w:firstLine="482" w:firstLineChars="200"/>
        <w:rPr>
          <w:rFonts w:asciiTheme="minorEastAsia" w:hAnsiTheme="minorEastAsia" w:eastAsiaTheme="minorEastAsia" w:cstheme="minorEastAsia"/>
          <w:b/>
          <w:bCs/>
          <w:sz w:val="24"/>
        </w:rPr>
      </w:pPr>
      <w:bookmarkStart w:id="117" w:name="_Toc426369509"/>
      <w:bookmarkStart w:id="118" w:name="_Toc274249603"/>
      <w:bookmarkStart w:id="119" w:name="_Toc279599799"/>
      <w:bookmarkStart w:id="120" w:name="_Toc403122520"/>
      <w:r>
        <w:rPr>
          <w:rFonts w:hint="eastAsia" w:asciiTheme="minorEastAsia" w:hAnsiTheme="minorEastAsia" w:eastAsiaTheme="minorEastAsia" w:cstheme="minorEastAsia"/>
          <w:b/>
          <w:bCs/>
          <w:sz w:val="24"/>
        </w:rPr>
        <w:t>5.2 开标时间和地点</w:t>
      </w:r>
      <w:bookmarkEnd w:id="117"/>
      <w:bookmarkEnd w:id="118"/>
      <w:bookmarkEnd w:id="119"/>
      <w:bookmarkEnd w:id="120"/>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采购人在本章第 2.2.2 项规定的投标截止时间（开标时间）和供应商须知前附表规定的地点公开开标。</w:t>
      </w:r>
    </w:p>
    <w:p>
      <w:pPr>
        <w:spacing w:line="500" w:lineRule="exact"/>
        <w:ind w:firstLine="482" w:firstLineChars="200"/>
        <w:rPr>
          <w:rFonts w:asciiTheme="minorEastAsia" w:hAnsiTheme="minorEastAsia" w:eastAsiaTheme="minorEastAsia" w:cstheme="minorEastAsia"/>
          <w:b/>
          <w:bCs/>
          <w:sz w:val="24"/>
        </w:rPr>
      </w:pPr>
      <w:bookmarkStart w:id="121" w:name="_Toc403122521"/>
      <w:bookmarkStart w:id="122" w:name="_Toc279599800"/>
      <w:bookmarkStart w:id="123" w:name="_Toc426369510"/>
      <w:bookmarkStart w:id="124" w:name="_Toc274249604"/>
      <w:r>
        <w:rPr>
          <w:rFonts w:hint="eastAsia" w:asciiTheme="minorEastAsia" w:hAnsiTheme="minorEastAsia" w:eastAsiaTheme="minorEastAsia" w:cstheme="minorEastAsia"/>
          <w:b/>
          <w:bCs/>
          <w:sz w:val="24"/>
        </w:rPr>
        <w:t>5.3开标程序</w:t>
      </w:r>
      <w:bookmarkEnd w:id="121"/>
      <w:bookmarkEnd w:id="122"/>
      <w:bookmarkEnd w:id="123"/>
      <w:bookmarkEnd w:id="124"/>
    </w:p>
    <w:p>
      <w:pPr>
        <w:spacing w:line="400" w:lineRule="exact"/>
        <w:ind w:firstLine="420" w:firstLineChars="200"/>
        <w:rPr>
          <w:rFonts w:asciiTheme="minorEastAsia" w:hAnsiTheme="minorEastAsia" w:eastAsiaTheme="minorEastAsia" w:cstheme="minorEastAsia"/>
          <w:szCs w:val="21"/>
          <w:lang w:val="zh-CN"/>
        </w:rPr>
      </w:pPr>
      <w:bookmarkStart w:id="125" w:name="_Toc426369511"/>
      <w:r>
        <w:rPr>
          <w:rFonts w:hint="eastAsia" w:asciiTheme="minorEastAsia" w:hAnsiTheme="minorEastAsia" w:eastAsiaTheme="minorEastAsia" w:cstheme="minorEastAsia"/>
          <w:szCs w:val="21"/>
        </w:rPr>
        <w:t>5.3</w:t>
      </w:r>
      <w:r>
        <w:rPr>
          <w:rFonts w:hint="eastAsia" w:asciiTheme="minorEastAsia" w:hAnsiTheme="minorEastAsia" w:eastAsiaTheme="minorEastAsia" w:cstheme="minorEastAsia"/>
          <w:szCs w:val="21"/>
          <w:lang w:val="zh-CN"/>
        </w:rPr>
        <w:t>.1本</w:t>
      </w:r>
      <w:r>
        <w:rPr>
          <w:rFonts w:hint="eastAsia" w:asciiTheme="minorEastAsia" w:hAnsiTheme="minorEastAsia" w:eastAsiaTheme="minorEastAsia" w:cstheme="minorEastAsia"/>
          <w:szCs w:val="21"/>
        </w:rPr>
        <w:t>项目</w:t>
      </w:r>
      <w:r>
        <w:rPr>
          <w:rFonts w:hint="eastAsia" w:asciiTheme="minorEastAsia" w:hAnsiTheme="minorEastAsia" w:eastAsiaTheme="minorEastAsia" w:cstheme="minorEastAsia"/>
          <w:szCs w:val="21"/>
          <w:lang w:val="zh-CN"/>
        </w:rPr>
        <w:t>采用电子开标。投标截止时间到达后，各投标人对电子投标文件进行解密。解密完成后各投标人的电子投标文件的实质性内容将自动显示在网页中。投标人在投标截止时间前未上传电子投标文件的将被视为放弃投标。</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主持人按下列程序进行开标：</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(l）宣布投标截止时间已到，不再接收投标文件；</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（2）宣布开标纪律；</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(3）宣布开标人、唱标人、记录人、监标人等有关人员姓名；</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(4）电子投标文件解密；</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（5）宣布投标文件开标顺序，电子唱标并记录在案；</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（6）投标人代表、招标人、监标人等有关人员在开标记录上签字确认；</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(7）开标结束。</w:t>
      </w:r>
    </w:p>
    <w:p>
      <w:pPr>
        <w:spacing w:line="500" w:lineRule="exact"/>
        <w:ind w:firstLine="482" w:firstLineChars="200"/>
        <w:rPr>
          <w:rFonts w:asciiTheme="minorEastAsia" w:hAnsiTheme="minorEastAsia" w:eastAsiaTheme="minorEastAsia" w:cstheme="minorEastAsia"/>
          <w:b/>
          <w:bCs/>
          <w:sz w:val="24"/>
          <w:lang w:val="zh-CN"/>
        </w:rPr>
      </w:pPr>
      <w:r>
        <w:rPr>
          <w:rFonts w:hint="eastAsia" w:asciiTheme="minorEastAsia" w:hAnsiTheme="minorEastAsia" w:eastAsiaTheme="minorEastAsia" w:cstheme="minorEastAsia"/>
          <w:b/>
          <w:bCs/>
          <w:sz w:val="24"/>
        </w:rPr>
        <w:t>5.3</w:t>
      </w:r>
      <w:r>
        <w:rPr>
          <w:rFonts w:hint="eastAsia" w:asciiTheme="minorEastAsia" w:hAnsiTheme="minorEastAsia" w:eastAsiaTheme="minorEastAsia" w:cstheme="minorEastAsia"/>
          <w:b/>
          <w:bCs/>
          <w:sz w:val="24"/>
          <w:lang w:val="zh-CN"/>
        </w:rPr>
        <w:t>.2开标时出现下列情况的，采购人将拒绝其投标文件。</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（1）经检查数字证书无效的投标文件；</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（2）投标人未按投标人须知前附表规定的时间内解密投标文件的；</w:t>
      </w:r>
    </w:p>
    <w:p>
      <w:pPr>
        <w:spacing w:line="400" w:lineRule="exact"/>
        <w:ind w:firstLine="420" w:firstLineChars="200"/>
        <w:rPr>
          <w:rFonts w:asciiTheme="minorEastAsia" w:hAnsiTheme="minorEastAsia" w:eastAsiaTheme="minorEastAsia" w:cstheme="minorEastAsia"/>
          <w:szCs w:val="21"/>
          <w:lang w:val="zh-CN"/>
        </w:rPr>
      </w:pPr>
    </w:p>
    <w:p>
      <w:pPr>
        <w:spacing w:line="400" w:lineRule="exact"/>
        <w:ind w:firstLine="422" w:firstLineChars="20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5.4开标异议</w:t>
      </w:r>
      <w:bookmarkEnd w:id="125"/>
    </w:p>
    <w:p>
      <w:pPr>
        <w:spacing w:line="400" w:lineRule="exact"/>
        <w:ind w:firstLine="420" w:firstLineChars="200"/>
        <w:rPr>
          <w:rFonts w:asciiTheme="minorEastAsia" w:hAnsiTheme="minorEastAsia" w:eastAsiaTheme="minorEastAsia" w:cstheme="minorEastAsia"/>
          <w:szCs w:val="21"/>
        </w:rPr>
      </w:pPr>
      <w:bookmarkStart w:id="126" w:name="_Toc12881"/>
      <w:bookmarkStart w:id="127" w:name="_Toc426369512"/>
      <w:bookmarkStart w:id="128" w:name="_Toc403122522"/>
      <w:bookmarkStart w:id="129" w:name="_Toc21662"/>
      <w:r>
        <w:rPr>
          <w:rFonts w:hint="eastAsia" w:asciiTheme="minorEastAsia" w:hAnsiTheme="minorEastAsia" w:eastAsiaTheme="minorEastAsia" w:cstheme="minorEastAsia"/>
          <w:szCs w:val="21"/>
        </w:rPr>
        <w:t>投标人对开标有异议的，应当在开标现场提出，采购人当场作出答复，并制作记录。</w:t>
      </w:r>
    </w:p>
    <w:p>
      <w:pPr>
        <w:spacing w:line="400" w:lineRule="exact"/>
        <w:ind w:firstLine="422" w:firstLineChars="20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5.</w:t>
      </w:r>
      <w:bookmarkStart w:id="130" w:name="_Toc9927"/>
      <w:bookmarkStart w:id="131" w:name="_Toc13445"/>
      <w:r>
        <w:rPr>
          <w:rFonts w:hint="eastAsia" w:asciiTheme="minorEastAsia" w:hAnsiTheme="minorEastAsia" w:eastAsiaTheme="minorEastAsia" w:cstheme="minorEastAsia"/>
          <w:b/>
          <w:bCs/>
          <w:szCs w:val="21"/>
        </w:rPr>
        <w:t>5.资格审查工作</w:t>
      </w:r>
      <w:bookmarkEnd w:id="130"/>
      <w:bookmarkEnd w:id="131"/>
    </w:p>
    <w:p>
      <w:pPr>
        <w:spacing w:line="400" w:lineRule="exact"/>
        <w:ind w:firstLine="420" w:firstLineChars="200"/>
        <w:rPr>
          <w:rFonts w:asciiTheme="minorEastAsia" w:hAnsiTheme="minorEastAsia" w:eastAsiaTheme="minorEastAsia" w:cstheme="minorEastAsia"/>
          <w:szCs w:val="21"/>
        </w:rPr>
      </w:pPr>
      <w:bookmarkStart w:id="132" w:name="_Toc22488"/>
      <w:bookmarkStart w:id="133" w:name="_Toc18888"/>
      <w:bookmarkStart w:id="134" w:name="_Toc18803"/>
      <w:bookmarkStart w:id="135" w:name="_Toc25275"/>
      <w:bookmarkStart w:id="136" w:name="_Toc25448"/>
      <w:bookmarkStart w:id="137" w:name="_Toc18806"/>
      <w:bookmarkStart w:id="138" w:name="_Toc15919"/>
      <w:r>
        <w:rPr>
          <w:rFonts w:hint="eastAsia" w:asciiTheme="minorEastAsia" w:hAnsiTheme="minorEastAsia" w:eastAsiaTheme="minorEastAsia" w:cstheme="minorEastAsia"/>
          <w:szCs w:val="21"/>
          <w:lang w:val="zh-CN"/>
        </w:rPr>
        <w:t>采购人或代理机构根据有关法律法规和招标文件的规定，对供应商的资格进行审查，审查每个供应商提交的资格证明材料是否齐全、完整、合法、有效。资格性审查通过不足3家的，将不再进行下一步评审。</w:t>
      </w:r>
      <w:bookmarkEnd w:id="132"/>
      <w:bookmarkEnd w:id="133"/>
      <w:bookmarkEnd w:id="134"/>
      <w:bookmarkEnd w:id="135"/>
      <w:bookmarkEnd w:id="136"/>
      <w:bookmarkEnd w:id="137"/>
      <w:bookmarkEnd w:id="138"/>
    </w:p>
    <w:p>
      <w:pPr>
        <w:pStyle w:val="38"/>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 评标</w:t>
      </w:r>
      <w:bookmarkEnd w:id="126"/>
      <w:bookmarkEnd w:id="127"/>
      <w:bookmarkEnd w:id="128"/>
      <w:bookmarkEnd w:id="129"/>
    </w:p>
    <w:p>
      <w:pPr>
        <w:spacing w:line="500" w:lineRule="exact"/>
        <w:ind w:firstLine="482" w:firstLineChars="200"/>
        <w:rPr>
          <w:rFonts w:asciiTheme="minorEastAsia" w:hAnsiTheme="minorEastAsia" w:eastAsiaTheme="minorEastAsia" w:cstheme="minorEastAsia"/>
          <w:b/>
          <w:bCs/>
          <w:sz w:val="24"/>
        </w:rPr>
      </w:pPr>
      <w:bookmarkStart w:id="139" w:name="_Toc403122523"/>
      <w:bookmarkStart w:id="140" w:name="_Toc426369513"/>
      <w:bookmarkStart w:id="141" w:name="_Toc279599802"/>
      <w:bookmarkStart w:id="142" w:name="_Toc274249606"/>
      <w:r>
        <w:rPr>
          <w:rFonts w:hint="eastAsia" w:asciiTheme="minorEastAsia" w:hAnsiTheme="minorEastAsia" w:eastAsiaTheme="minorEastAsia" w:cstheme="minorEastAsia"/>
          <w:b/>
          <w:bCs/>
          <w:sz w:val="24"/>
        </w:rPr>
        <w:t>6.1 评标委员会</w:t>
      </w:r>
      <w:bookmarkEnd w:id="139"/>
      <w:bookmarkEnd w:id="140"/>
      <w:bookmarkEnd w:id="141"/>
      <w:bookmarkEnd w:id="142"/>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6.1.1  评标由采购人依法组建的评标委员会负责。评标委员会由采购人代表和评审专家组成。评标委员会成员人数以及评审专家的确定方式见供应商须知前附表。</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6.1.2  评标委员会成员有下列情形之一的，应当回避：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（1）采购人或供应商的主要负责人的近亲属；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（2）项目主管部门或者行政监督部门的人员；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（3）与供应商有经济利益关系，可能影响对投标公正评审的；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（4）曾因在招标、评标以及其他与招标投标有关活动中从事违法行为而受过行政处罚或刑事处罚的。 </w:t>
      </w:r>
    </w:p>
    <w:p>
      <w:pPr>
        <w:spacing w:line="500" w:lineRule="exact"/>
        <w:ind w:firstLine="482" w:firstLineChars="200"/>
        <w:rPr>
          <w:rFonts w:asciiTheme="minorEastAsia" w:hAnsiTheme="minorEastAsia" w:eastAsiaTheme="minorEastAsia" w:cstheme="minorEastAsia"/>
          <w:b/>
          <w:bCs/>
          <w:sz w:val="24"/>
        </w:rPr>
      </w:pPr>
      <w:bookmarkStart w:id="143" w:name="_Toc403122524"/>
      <w:bookmarkStart w:id="144" w:name="_Toc279599803"/>
      <w:bookmarkStart w:id="145" w:name="_Toc274249607"/>
      <w:bookmarkStart w:id="146" w:name="_Toc426369514"/>
      <w:r>
        <w:rPr>
          <w:rFonts w:hint="eastAsia" w:asciiTheme="minorEastAsia" w:hAnsiTheme="minorEastAsia" w:eastAsiaTheme="minorEastAsia" w:cstheme="minorEastAsia"/>
          <w:b/>
          <w:bCs/>
          <w:sz w:val="24"/>
        </w:rPr>
        <w:t>6.2 评标原则</w:t>
      </w:r>
      <w:bookmarkEnd w:id="143"/>
      <w:bookmarkEnd w:id="144"/>
      <w:bookmarkEnd w:id="145"/>
      <w:bookmarkEnd w:id="146"/>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评标活动遵循公平、公正、科学和择优的原则。 </w:t>
      </w:r>
    </w:p>
    <w:p>
      <w:pPr>
        <w:spacing w:line="500" w:lineRule="exact"/>
        <w:ind w:firstLine="482" w:firstLineChars="200"/>
        <w:rPr>
          <w:rFonts w:asciiTheme="minorEastAsia" w:hAnsiTheme="minorEastAsia" w:eastAsiaTheme="minorEastAsia" w:cstheme="minorEastAsia"/>
          <w:b/>
          <w:bCs/>
          <w:sz w:val="24"/>
        </w:rPr>
      </w:pPr>
      <w:bookmarkStart w:id="147" w:name="_Toc279599804"/>
      <w:bookmarkStart w:id="148" w:name="_Toc274249608"/>
      <w:bookmarkStart w:id="149" w:name="_Toc426369515"/>
      <w:bookmarkStart w:id="150" w:name="_Toc403122525"/>
      <w:r>
        <w:rPr>
          <w:rFonts w:hint="eastAsia" w:asciiTheme="minorEastAsia" w:hAnsiTheme="minorEastAsia" w:eastAsiaTheme="minorEastAsia" w:cstheme="minorEastAsia"/>
          <w:b/>
          <w:bCs/>
          <w:sz w:val="24"/>
        </w:rPr>
        <w:t>6.3 评标</w:t>
      </w:r>
      <w:bookmarkEnd w:id="147"/>
      <w:bookmarkEnd w:id="148"/>
      <w:bookmarkEnd w:id="149"/>
      <w:bookmarkEnd w:id="150"/>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6.3.1评标委员会应当按照招标文件中规定的评标方法和标准，对符合性审查合格的投标文件进行商务和技术评估，综合比较与评价。招标文件没有规定的评标方法、评审因素和标准，不作为评标依据。</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6.3.2评标时，评标委员会各成员应当独立对每个投标人的投标文件进行评价，并汇总每个投标人的得分。</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评标完成后，评标委员会应当向采购人提交书面评标报告和中标候选人名单。评标委员会推荐中标候选人的人数见投标人须知前附表。</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6.3.3 评标委员会负责具体评标事务，并独立履行下列职责：</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（1）审查、评价投标文件是否符合招标文件的实质性要求；</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（2）要求投标人对投标文件有关事项作出澄清或者说明；</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（3）对投标文件进行比较和评价；</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（4）确定中标候选人名单；</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（5）向采购人、采购代理机构或者有关部门报告评标中发现的违法行为。</w:t>
      </w:r>
    </w:p>
    <w:p>
      <w:pPr>
        <w:autoSpaceDE w:val="0"/>
        <w:autoSpaceDN w:val="0"/>
        <w:adjustRightInd w:val="0"/>
        <w:spacing w:line="360" w:lineRule="auto"/>
        <w:ind w:left="237" w:right="-20"/>
        <w:jc w:val="left"/>
        <w:rPr>
          <w:rFonts w:ascii="宋体" w:hAnsi="宋体" w:cs="宋体"/>
          <w:b/>
          <w:bCs/>
          <w:spacing w:val="1"/>
          <w:kern w:val="0"/>
          <w:szCs w:val="21"/>
        </w:rPr>
      </w:pPr>
      <w:r>
        <w:rPr>
          <w:rFonts w:hint="eastAsia" w:ascii="宋体" w:hAnsi="宋体" w:cs="宋体"/>
          <w:b/>
          <w:bCs/>
          <w:spacing w:val="1"/>
          <w:kern w:val="0"/>
          <w:szCs w:val="21"/>
        </w:rPr>
        <w:t>6.4  废标</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招标采购中，出现下列情形之一的，应予废标：</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（1）符合专业条件的投标人或者对招标文件作实质响应的投标人不足三家的；</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（2）出现影响采购公正的违法、违规行为的；</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（3）投标人的报价均超过了采购预算，采购人不能支付的；</w:t>
      </w:r>
    </w:p>
    <w:p>
      <w:pPr>
        <w:spacing w:line="400" w:lineRule="exact"/>
        <w:ind w:firstLine="420" w:firstLineChars="200"/>
      </w:pPr>
      <w:r>
        <w:rPr>
          <w:rFonts w:hint="eastAsia" w:asciiTheme="minorEastAsia" w:hAnsiTheme="minorEastAsia" w:eastAsiaTheme="minorEastAsia" w:cstheme="minorEastAsia"/>
          <w:szCs w:val="21"/>
        </w:rPr>
        <w:t>（4）因重大变故，采购任务取消的。废标后，采购人应当将废标理由通知所有投标人。</w:t>
      </w:r>
    </w:p>
    <w:p>
      <w:pPr>
        <w:pStyle w:val="38"/>
        <w:spacing w:before="120" w:after="120" w:line="500" w:lineRule="exact"/>
        <w:ind w:right="-1029" w:rightChars="-490" w:firstLine="482" w:firstLineChars="200"/>
        <w:jc w:val="both"/>
      </w:pPr>
      <w:bookmarkStart w:id="151" w:name="_Toc403122526"/>
      <w:bookmarkStart w:id="152" w:name="_Toc26569"/>
      <w:bookmarkStart w:id="153" w:name="_Toc17811"/>
      <w:bookmarkStart w:id="154" w:name="_Toc426369516"/>
      <w:r>
        <w:rPr>
          <w:rFonts w:hint="eastAsia" w:asciiTheme="minorEastAsia" w:hAnsiTheme="minorEastAsia" w:eastAsiaTheme="minorEastAsia" w:cstheme="minorEastAsia"/>
          <w:sz w:val="24"/>
          <w:szCs w:val="24"/>
        </w:rPr>
        <w:t>7. 合同授予</w:t>
      </w:r>
      <w:bookmarkEnd w:id="151"/>
      <w:bookmarkEnd w:id="152"/>
      <w:bookmarkEnd w:id="153"/>
      <w:bookmarkEnd w:id="154"/>
    </w:p>
    <w:p>
      <w:pPr>
        <w:spacing w:line="500" w:lineRule="exact"/>
        <w:ind w:firstLine="482" w:firstLineChars="200"/>
        <w:rPr>
          <w:rFonts w:asciiTheme="minorEastAsia" w:hAnsiTheme="minorEastAsia" w:eastAsiaTheme="minorEastAsia" w:cstheme="minorEastAsia"/>
          <w:b/>
          <w:bCs/>
          <w:sz w:val="24"/>
        </w:rPr>
      </w:pPr>
      <w:bookmarkStart w:id="155" w:name="_Toc274249610"/>
      <w:bookmarkStart w:id="156" w:name="_Toc403122527"/>
      <w:bookmarkStart w:id="157" w:name="_Toc426369517"/>
      <w:bookmarkStart w:id="158" w:name="_Toc279599806"/>
      <w:r>
        <w:rPr>
          <w:rFonts w:hint="eastAsia" w:asciiTheme="minorEastAsia" w:hAnsiTheme="minorEastAsia" w:eastAsiaTheme="minorEastAsia" w:cstheme="minorEastAsia"/>
          <w:b/>
          <w:bCs/>
          <w:sz w:val="24"/>
        </w:rPr>
        <w:t>7.1 定标方式</w:t>
      </w:r>
      <w:bookmarkEnd w:id="155"/>
      <w:bookmarkEnd w:id="156"/>
      <w:bookmarkEnd w:id="157"/>
      <w:bookmarkEnd w:id="158"/>
    </w:p>
    <w:p>
      <w:pPr>
        <w:spacing w:line="400" w:lineRule="exact"/>
        <w:ind w:firstLine="420" w:firstLineChars="200"/>
        <w:rPr>
          <w:rFonts w:asciiTheme="minorEastAsia" w:hAnsiTheme="minorEastAsia" w:eastAsiaTheme="minorEastAsia" w:cstheme="minorEastAsia"/>
          <w:szCs w:val="21"/>
          <w:highlight w:val="yellow"/>
        </w:rPr>
      </w:pPr>
      <w:r>
        <w:rPr>
          <w:rFonts w:hint="eastAsia" w:asciiTheme="minorEastAsia" w:hAnsiTheme="minorEastAsia" w:eastAsiaTheme="minorEastAsia" w:cstheme="minorEastAsia"/>
          <w:szCs w:val="21"/>
        </w:rPr>
        <w:t>7.1.1采购人依据评标委员会推荐的中标候选人确定中标人，评标委员会推荐中标人候选人的人数见供应商须知前附表。</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7.1.2 中标或者成交投标人拒绝与采购人签订合同的，采购人可以按照评审报告推荐的中标或者成交候选人名单排序，确定下一候选人为中标或者成交投标人，也可以重新开展政府采购活动。</w:t>
      </w:r>
    </w:p>
    <w:p>
      <w:pPr>
        <w:spacing w:line="500" w:lineRule="exact"/>
        <w:ind w:firstLine="482" w:firstLineChars="200"/>
        <w:rPr>
          <w:rFonts w:asciiTheme="minorEastAsia" w:hAnsiTheme="minorEastAsia" w:eastAsiaTheme="minorEastAsia" w:cstheme="minorEastAsia"/>
          <w:b/>
          <w:bCs/>
          <w:sz w:val="24"/>
        </w:rPr>
      </w:pPr>
      <w:bookmarkStart w:id="159" w:name="_Toc426369518"/>
      <w:bookmarkStart w:id="160" w:name="_Toc274249611"/>
      <w:bookmarkStart w:id="161" w:name="_Toc279599807"/>
      <w:bookmarkStart w:id="162" w:name="_Toc403122528"/>
      <w:r>
        <w:rPr>
          <w:rFonts w:hint="eastAsia" w:asciiTheme="minorEastAsia" w:hAnsiTheme="minorEastAsia" w:eastAsiaTheme="minorEastAsia" w:cstheme="minorEastAsia"/>
          <w:b/>
          <w:bCs/>
          <w:sz w:val="24"/>
        </w:rPr>
        <w:t>7.2 中标通知</w:t>
      </w:r>
      <w:bookmarkEnd w:id="159"/>
      <w:bookmarkEnd w:id="160"/>
      <w:bookmarkEnd w:id="161"/>
      <w:bookmarkEnd w:id="162"/>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7.2.1 在本章第3.3款规定的投标有效期内，采购人以书面形式向中标人发出中标通知书，同时将中标结果通知未中标的投标人。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7.2.2中标人在领取中标通知书后应及时到相关部门办理中标后的备案手续。</w:t>
      </w:r>
    </w:p>
    <w:p>
      <w:pPr>
        <w:spacing w:line="500" w:lineRule="exact"/>
        <w:ind w:firstLine="482" w:firstLineChars="200"/>
        <w:rPr>
          <w:rFonts w:asciiTheme="minorEastAsia" w:hAnsiTheme="minorEastAsia" w:eastAsiaTheme="minorEastAsia" w:cstheme="minorEastAsia"/>
          <w:b/>
          <w:bCs/>
          <w:color w:val="auto"/>
          <w:sz w:val="24"/>
          <w:highlight w:val="none"/>
        </w:rPr>
      </w:pPr>
      <w:bookmarkStart w:id="163" w:name="_Toc311550376"/>
      <w:bookmarkStart w:id="164" w:name="_Toc279599808"/>
      <w:bookmarkStart w:id="165" w:name="_Toc274249612"/>
      <w:bookmarkStart w:id="166" w:name="_Toc403122529"/>
      <w:bookmarkStart w:id="167" w:name="_Toc426369519"/>
      <w:r>
        <w:rPr>
          <w:rFonts w:hint="eastAsia" w:asciiTheme="minorEastAsia" w:hAnsiTheme="minorEastAsia" w:eastAsiaTheme="minorEastAsia" w:cstheme="minorEastAsia"/>
          <w:b/>
          <w:bCs/>
          <w:color w:val="auto"/>
          <w:sz w:val="24"/>
          <w:highlight w:val="none"/>
        </w:rPr>
        <w:t>7.3</w:t>
      </w:r>
      <w:bookmarkEnd w:id="163"/>
      <w:bookmarkEnd w:id="164"/>
      <w:bookmarkEnd w:id="165"/>
      <w:r>
        <w:rPr>
          <w:rFonts w:hint="eastAsia" w:asciiTheme="minorEastAsia" w:hAnsiTheme="minorEastAsia" w:eastAsiaTheme="minorEastAsia" w:cstheme="minorEastAsia"/>
          <w:b/>
          <w:bCs/>
          <w:color w:val="auto"/>
          <w:sz w:val="24"/>
          <w:highlight w:val="none"/>
          <w:lang w:val="en-US" w:eastAsia="zh-CN"/>
        </w:rPr>
        <w:t>投标</w:t>
      </w:r>
      <w:r>
        <w:rPr>
          <w:rFonts w:hint="eastAsia" w:asciiTheme="minorEastAsia" w:hAnsiTheme="minorEastAsia" w:eastAsiaTheme="minorEastAsia" w:cstheme="minorEastAsia"/>
          <w:b/>
          <w:bCs/>
          <w:color w:val="auto"/>
          <w:sz w:val="24"/>
          <w:highlight w:val="none"/>
        </w:rPr>
        <w:t>保证金</w:t>
      </w:r>
      <w:bookmarkEnd w:id="166"/>
      <w:bookmarkEnd w:id="167"/>
    </w:p>
    <w:p>
      <w:pPr>
        <w:spacing w:line="400" w:lineRule="exact"/>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7.3.1</w:t>
      </w:r>
      <w:r>
        <w:rPr>
          <w:rFonts w:hint="eastAsia" w:asciiTheme="minorEastAsia" w:hAnsiTheme="minorEastAsia" w:eastAsiaTheme="minorEastAsia" w:cstheme="minorEastAsia"/>
          <w:szCs w:val="21"/>
        </w:rPr>
        <w:t>投标保证金</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无</w:t>
      </w:r>
    </w:p>
    <w:p>
      <w:pPr>
        <w:spacing w:line="500" w:lineRule="exact"/>
        <w:ind w:firstLine="482" w:firstLineChars="200"/>
        <w:rPr>
          <w:rFonts w:asciiTheme="minorEastAsia" w:hAnsiTheme="minorEastAsia" w:eastAsiaTheme="minorEastAsia" w:cstheme="minorEastAsia"/>
          <w:b/>
          <w:bCs/>
          <w:color w:val="auto"/>
          <w:sz w:val="24"/>
        </w:rPr>
      </w:pPr>
      <w:bookmarkStart w:id="168" w:name="_Toc426369520"/>
      <w:bookmarkStart w:id="169" w:name="_Toc403122530"/>
      <w:bookmarkStart w:id="170" w:name="_Toc274249613"/>
      <w:bookmarkStart w:id="171" w:name="_Toc279599809"/>
      <w:r>
        <w:rPr>
          <w:rFonts w:hint="eastAsia" w:asciiTheme="minorEastAsia" w:hAnsiTheme="minorEastAsia" w:eastAsiaTheme="minorEastAsia" w:cstheme="minorEastAsia"/>
          <w:b/>
          <w:bCs/>
          <w:color w:val="auto"/>
          <w:sz w:val="24"/>
        </w:rPr>
        <w:t>7.4 签订合同</w:t>
      </w:r>
      <w:bookmarkEnd w:id="168"/>
      <w:bookmarkEnd w:id="169"/>
      <w:bookmarkEnd w:id="170"/>
      <w:bookmarkEnd w:id="171"/>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7.4.1  中标人的投标报价为中标价，中标价即为合同价（当中标人的投标报价高于控制价的95%时，该中标人的中标价按控制价的95%执行）。采购人和中标人应当自中标通知书发出之日起15日内，根据招标文件和中标人的投标文件订立书面合同。非因不可抗力因素放弃中标的，或排名第一的中标候选人未按规定期限与采购人签订合同的，应赔偿采购人由此造成的损失，损失费的计算方法为该中标候选人的投标价与重新确定的中标人中标价的差额，并处以采购金额千分之五以上千分之十以下罚款，将其列入不良行为记录名单，在1至3年内禁止参加政府采购活动，并予以通报。</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7.4.2  发出中标通知书后，采购人无正当理由拒签合同的，给中标人造成损失的，还应当赔偿损失。</w:t>
      </w:r>
    </w:p>
    <w:p>
      <w:pPr>
        <w:pStyle w:val="38"/>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172" w:name="_Toc10541"/>
      <w:bookmarkStart w:id="173" w:name="_Toc403122531"/>
      <w:bookmarkStart w:id="174" w:name="_Toc30009"/>
      <w:bookmarkStart w:id="175" w:name="_Toc426369521"/>
      <w:r>
        <w:rPr>
          <w:rFonts w:hint="eastAsia" w:asciiTheme="minorEastAsia" w:hAnsiTheme="minorEastAsia" w:eastAsiaTheme="minorEastAsia" w:cstheme="minorEastAsia"/>
          <w:sz w:val="24"/>
          <w:szCs w:val="24"/>
        </w:rPr>
        <w:t>8. 重新招标</w:t>
      </w:r>
      <w:bookmarkEnd w:id="172"/>
      <w:bookmarkEnd w:id="173"/>
      <w:bookmarkEnd w:id="174"/>
      <w:bookmarkEnd w:id="175"/>
    </w:p>
    <w:p>
      <w:pPr>
        <w:spacing w:line="500" w:lineRule="exact"/>
        <w:ind w:firstLine="482" w:firstLineChars="200"/>
        <w:rPr>
          <w:rFonts w:asciiTheme="minorEastAsia" w:hAnsiTheme="minorEastAsia" w:eastAsiaTheme="minorEastAsia" w:cstheme="minorEastAsia"/>
          <w:b/>
          <w:bCs/>
          <w:sz w:val="24"/>
        </w:rPr>
      </w:pPr>
      <w:bookmarkStart w:id="176" w:name="_Toc274249615"/>
      <w:bookmarkStart w:id="177" w:name="_Toc426369522"/>
      <w:bookmarkStart w:id="178" w:name="_Toc279599811"/>
      <w:bookmarkStart w:id="179" w:name="_Toc403122532"/>
      <w:r>
        <w:rPr>
          <w:rFonts w:hint="eastAsia" w:asciiTheme="minorEastAsia" w:hAnsiTheme="minorEastAsia" w:eastAsiaTheme="minorEastAsia" w:cstheme="minorEastAsia"/>
          <w:b/>
          <w:bCs/>
          <w:sz w:val="24"/>
        </w:rPr>
        <w:t>8.1 重新招标</w:t>
      </w:r>
      <w:bookmarkEnd w:id="176"/>
      <w:bookmarkEnd w:id="177"/>
      <w:bookmarkEnd w:id="178"/>
      <w:bookmarkEnd w:id="179"/>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有下列情形之一的，采购人将重新招标：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（1）投标截止时间止，供应商少于3个的；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（2）经评标委员会评审后否决所有投标的。 </w:t>
      </w:r>
    </w:p>
    <w:p>
      <w:pPr>
        <w:pStyle w:val="38"/>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180" w:name="_Toc426369523"/>
      <w:bookmarkStart w:id="181" w:name="_Toc10372"/>
      <w:bookmarkStart w:id="182" w:name="_Toc403122533"/>
      <w:bookmarkStart w:id="183" w:name="_Toc3760"/>
      <w:r>
        <w:rPr>
          <w:rFonts w:hint="eastAsia" w:asciiTheme="minorEastAsia" w:hAnsiTheme="minorEastAsia" w:eastAsiaTheme="minorEastAsia" w:cstheme="minorEastAsia"/>
          <w:sz w:val="24"/>
          <w:szCs w:val="24"/>
        </w:rPr>
        <w:t>9. 纪律和监督</w:t>
      </w:r>
      <w:bookmarkEnd w:id="180"/>
      <w:bookmarkEnd w:id="181"/>
      <w:bookmarkEnd w:id="182"/>
      <w:bookmarkEnd w:id="183"/>
    </w:p>
    <w:p>
      <w:pPr>
        <w:spacing w:line="500" w:lineRule="exact"/>
        <w:ind w:firstLine="482" w:firstLineChars="200"/>
        <w:rPr>
          <w:rFonts w:asciiTheme="minorEastAsia" w:hAnsiTheme="minorEastAsia" w:eastAsiaTheme="minorEastAsia" w:cstheme="minorEastAsia"/>
          <w:b/>
          <w:bCs/>
          <w:sz w:val="24"/>
        </w:rPr>
      </w:pPr>
      <w:bookmarkStart w:id="184" w:name="_Toc279599814"/>
      <w:bookmarkStart w:id="185" w:name="_Toc403122534"/>
      <w:bookmarkStart w:id="186" w:name="_Toc274249618"/>
      <w:bookmarkStart w:id="187" w:name="_Toc426369524"/>
      <w:r>
        <w:rPr>
          <w:rFonts w:hint="eastAsia" w:asciiTheme="minorEastAsia" w:hAnsiTheme="minorEastAsia" w:eastAsiaTheme="minorEastAsia" w:cstheme="minorEastAsia"/>
          <w:b/>
          <w:bCs/>
          <w:sz w:val="24"/>
        </w:rPr>
        <w:t>9.1 对采购人的纪律要求</w:t>
      </w:r>
      <w:bookmarkEnd w:id="184"/>
      <w:bookmarkEnd w:id="185"/>
      <w:bookmarkEnd w:id="186"/>
      <w:bookmarkEnd w:id="187"/>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采购人不得泄漏招标投标活动中应当保密的情况和资料，不得与供应商串通损害国家利益、社会公共利益或者他人合法权益。 </w:t>
      </w:r>
    </w:p>
    <w:p>
      <w:pPr>
        <w:spacing w:line="500" w:lineRule="exact"/>
        <w:ind w:firstLine="482" w:firstLineChars="200"/>
        <w:rPr>
          <w:rFonts w:asciiTheme="minorEastAsia" w:hAnsiTheme="minorEastAsia" w:eastAsiaTheme="minorEastAsia" w:cstheme="minorEastAsia"/>
          <w:b/>
          <w:bCs/>
          <w:sz w:val="24"/>
        </w:rPr>
      </w:pPr>
      <w:bookmarkStart w:id="188" w:name="_Toc403122535"/>
      <w:bookmarkStart w:id="189" w:name="_Toc279599815"/>
      <w:bookmarkStart w:id="190" w:name="_Toc274249619"/>
      <w:bookmarkStart w:id="191" w:name="_Toc426369525"/>
      <w:r>
        <w:rPr>
          <w:rFonts w:hint="eastAsia" w:asciiTheme="minorEastAsia" w:hAnsiTheme="minorEastAsia" w:eastAsiaTheme="minorEastAsia" w:cstheme="minorEastAsia"/>
          <w:b/>
          <w:bCs/>
          <w:sz w:val="24"/>
        </w:rPr>
        <w:t>9.2 对投标人的纪律要求</w:t>
      </w:r>
      <w:bookmarkEnd w:id="188"/>
      <w:bookmarkEnd w:id="189"/>
      <w:bookmarkEnd w:id="190"/>
      <w:bookmarkEnd w:id="191"/>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供应商不得相互串通投标或者与采购人串通投标，不得向采购人或者评标委员会成员行贿谋取中标，不得以他人名义投标或者以其他方式弄虚作假骗取中标；供应商不得以任何方式干扰、影响评标工作。</w:t>
      </w:r>
    </w:p>
    <w:p>
      <w:pPr>
        <w:spacing w:line="500" w:lineRule="exact"/>
        <w:ind w:firstLine="482" w:firstLineChars="200"/>
        <w:rPr>
          <w:rFonts w:asciiTheme="minorEastAsia" w:hAnsiTheme="minorEastAsia" w:eastAsiaTheme="minorEastAsia" w:cstheme="minorEastAsia"/>
          <w:b/>
          <w:bCs/>
          <w:sz w:val="24"/>
        </w:rPr>
      </w:pPr>
      <w:bookmarkStart w:id="192" w:name="_Toc426369526"/>
      <w:bookmarkStart w:id="193" w:name="_Toc403122536"/>
      <w:bookmarkStart w:id="194" w:name="_Toc274249620"/>
      <w:bookmarkStart w:id="195" w:name="_Toc279599816"/>
      <w:r>
        <w:rPr>
          <w:rFonts w:hint="eastAsia" w:asciiTheme="minorEastAsia" w:hAnsiTheme="minorEastAsia" w:eastAsiaTheme="minorEastAsia" w:cstheme="minorEastAsia"/>
          <w:b/>
          <w:bCs/>
          <w:sz w:val="24"/>
        </w:rPr>
        <w:t>9.3 对评标委员会成员的纪律要求</w:t>
      </w:r>
      <w:bookmarkEnd w:id="192"/>
      <w:bookmarkEnd w:id="193"/>
      <w:bookmarkEnd w:id="194"/>
      <w:bookmarkEnd w:id="195"/>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 </w:t>
      </w:r>
    </w:p>
    <w:p>
      <w:pPr>
        <w:spacing w:line="500" w:lineRule="exact"/>
        <w:ind w:firstLine="482" w:firstLineChars="200"/>
        <w:rPr>
          <w:rFonts w:asciiTheme="minorEastAsia" w:hAnsiTheme="minorEastAsia" w:eastAsiaTheme="minorEastAsia" w:cstheme="minorEastAsia"/>
          <w:b/>
          <w:bCs/>
          <w:sz w:val="24"/>
        </w:rPr>
      </w:pPr>
      <w:bookmarkStart w:id="196" w:name="_Toc403122537"/>
      <w:bookmarkStart w:id="197" w:name="_Toc274249621"/>
      <w:bookmarkStart w:id="198" w:name="_Toc279599817"/>
      <w:bookmarkStart w:id="199" w:name="_Toc426369527"/>
      <w:r>
        <w:rPr>
          <w:rFonts w:hint="eastAsia" w:asciiTheme="minorEastAsia" w:hAnsiTheme="minorEastAsia" w:eastAsiaTheme="minorEastAsia" w:cstheme="minorEastAsia"/>
          <w:b/>
          <w:bCs/>
          <w:sz w:val="24"/>
        </w:rPr>
        <w:t>9.4 对与评标活动有关的工作人员的纪律要求</w:t>
      </w:r>
      <w:bookmarkEnd w:id="196"/>
      <w:bookmarkEnd w:id="197"/>
      <w:bookmarkEnd w:id="198"/>
      <w:bookmarkEnd w:id="199"/>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 </w:t>
      </w:r>
    </w:p>
    <w:p>
      <w:pPr>
        <w:spacing w:line="500" w:lineRule="exact"/>
        <w:ind w:firstLine="482" w:firstLineChars="200"/>
        <w:rPr>
          <w:rFonts w:asciiTheme="minorEastAsia" w:hAnsiTheme="minorEastAsia" w:eastAsiaTheme="minorEastAsia" w:cstheme="minorEastAsia"/>
          <w:b/>
          <w:bCs/>
          <w:sz w:val="24"/>
        </w:rPr>
      </w:pPr>
      <w:bookmarkStart w:id="200" w:name="_Toc403122538"/>
      <w:bookmarkStart w:id="201" w:name="_Toc426369528"/>
      <w:bookmarkStart w:id="202" w:name="_Toc274249622"/>
      <w:bookmarkStart w:id="203" w:name="_Toc279599818"/>
      <w:r>
        <w:rPr>
          <w:rFonts w:hint="eastAsia" w:asciiTheme="minorEastAsia" w:hAnsiTheme="minorEastAsia" w:eastAsiaTheme="minorEastAsia" w:cstheme="minorEastAsia"/>
          <w:b/>
          <w:bCs/>
          <w:sz w:val="24"/>
        </w:rPr>
        <w:t>9.5 投诉</w:t>
      </w:r>
      <w:bookmarkEnd w:id="200"/>
      <w:bookmarkEnd w:id="201"/>
      <w:bookmarkEnd w:id="202"/>
      <w:bookmarkEnd w:id="203"/>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供应商和其他利害关系人认为本次招标活动违反法律、法规和规章规定的，有权向有关行政监督部门投诉。 </w:t>
      </w:r>
    </w:p>
    <w:p>
      <w:pPr>
        <w:pStyle w:val="38"/>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204" w:name="_Toc10880"/>
      <w:bookmarkStart w:id="205" w:name="_Toc426369529"/>
      <w:bookmarkStart w:id="206" w:name="_Toc403122539"/>
      <w:bookmarkStart w:id="207" w:name="_Toc13281"/>
      <w:r>
        <w:rPr>
          <w:rFonts w:hint="eastAsia" w:asciiTheme="minorEastAsia" w:hAnsiTheme="minorEastAsia" w:eastAsiaTheme="minorEastAsia" w:cstheme="minorEastAsia"/>
          <w:sz w:val="24"/>
          <w:szCs w:val="24"/>
        </w:rPr>
        <w:t>10. 需要补充的其他内容</w:t>
      </w:r>
      <w:bookmarkEnd w:id="204"/>
      <w:bookmarkEnd w:id="205"/>
      <w:bookmarkEnd w:id="206"/>
      <w:bookmarkEnd w:id="207"/>
    </w:p>
    <w:p>
      <w:pPr>
        <w:autoSpaceDE w:val="0"/>
        <w:autoSpaceDN w:val="0"/>
        <w:adjustRightInd w:val="0"/>
        <w:spacing w:line="440" w:lineRule="exact"/>
        <w:ind w:firstLine="482" w:firstLineChars="200"/>
        <w:rPr>
          <w:rFonts w:ascii="宋体" w:hAnsi="宋体" w:cs="宋体"/>
          <w:kern w:val="0"/>
          <w:sz w:val="24"/>
        </w:rPr>
      </w:pPr>
      <w:r>
        <w:rPr>
          <w:rFonts w:hint="eastAsia" w:ascii="宋体" w:hAnsi="宋体" w:cs="宋体"/>
          <w:b/>
          <w:kern w:val="0"/>
          <w:sz w:val="24"/>
        </w:rPr>
        <w:t>10.1 费用承担</w:t>
      </w:r>
    </w:p>
    <w:p>
      <w:pPr>
        <w:autoSpaceDE w:val="0"/>
        <w:autoSpaceDN w:val="0"/>
        <w:adjustRightInd w:val="0"/>
        <w:spacing w:line="440" w:lineRule="exact"/>
        <w:ind w:left="17" w:leftChars="8" w:firstLine="420" w:firstLineChars="200"/>
        <w:jc w:val="left"/>
        <w:rPr>
          <w:rFonts w:ascii="宋体" w:hAnsi="宋体" w:cs="宋体"/>
          <w:szCs w:val="21"/>
        </w:rPr>
      </w:pPr>
      <w:r>
        <w:rPr>
          <w:rFonts w:hint="eastAsia" w:ascii="宋体" w:hAnsi="宋体" w:cs="宋体"/>
          <w:szCs w:val="21"/>
        </w:rPr>
        <w:t>（1）无论投标结果如何，投标人应自行承担所有参与投标的全部费用，采购人和采购代理机构在任何情况下均无义务和责任承担上述费用。</w:t>
      </w:r>
    </w:p>
    <w:p>
      <w:pPr>
        <w:autoSpaceDE w:val="0"/>
        <w:autoSpaceDN w:val="0"/>
        <w:adjustRightInd w:val="0"/>
        <w:spacing w:line="440" w:lineRule="exact"/>
        <w:ind w:firstLine="420"/>
        <w:jc w:val="left"/>
        <w:rPr>
          <w:rFonts w:ascii="宋体" w:hAnsi="宋体" w:cs="宋体"/>
          <w:szCs w:val="21"/>
        </w:rPr>
      </w:pPr>
      <w:r>
        <w:rPr>
          <w:rFonts w:hint="eastAsia" w:ascii="宋体" w:hAnsi="宋体" w:cs="宋体"/>
          <w:szCs w:val="21"/>
        </w:rPr>
        <w:t>（2）招标代理服务费由中标人支付。</w:t>
      </w:r>
    </w:p>
    <w:p>
      <w:pPr>
        <w:autoSpaceDE w:val="0"/>
        <w:autoSpaceDN w:val="0"/>
        <w:adjustRightInd w:val="0"/>
        <w:spacing w:line="500" w:lineRule="exact"/>
        <w:ind w:firstLine="420"/>
        <w:jc w:val="left"/>
        <w:rPr>
          <w:rFonts w:ascii="宋体" w:hAnsi="宋体" w:cs="宋体"/>
          <w:szCs w:val="21"/>
        </w:rPr>
      </w:pPr>
      <w:r>
        <w:rPr>
          <w:rFonts w:hint="eastAsia" w:ascii="宋体" w:hAnsi="宋体" w:cs="宋体"/>
          <w:szCs w:val="21"/>
        </w:rPr>
        <w:t>（3）供应商与采购人签订合同后，将合同报采购代理机构备案。</w:t>
      </w:r>
    </w:p>
    <w:p>
      <w:pPr>
        <w:pStyle w:val="56"/>
        <w:ind w:firstLine="482" w:firstLineChars="200"/>
      </w:pPr>
      <w:r>
        <w:rPr>
          <w:rFonts w:hint="eastAsia" w:ascii="宋体" w:hAnsi="宋体" w:cs="宋体"/>
          <w:b/>
          <w:sz w:val="24"/>
        </w:rPr>
        <w:t>10.2</w:t>
      </w:r>
      <w:r>
        <w:rPr>
          <w:rFonts w:hint="eastAsia" w:ascii="宋体" w:hAnsi="宋体" w:cs="宋体"/>
          <w:b/>
          <w:szCs w:val="21"/>
        </w:rPr>
        <w:t>本招标文件未尽事宜，按《中华人民共和国政府采购法》等法律法规的有关规定执行。</w:t>
      </w:r>
    </w:p>
    <w:p>
      <w:pPr>
        <w:pStyle w:val="3"/>
        <w:rPr>
          <w:rFonts w:asciiTheme="minorEastAsia" w:hAnsiTheme="minorEastAsia" w:eastAsiaTheme="minorEastAsia" w:cstheme="minorEastAsia"/>
        </w:rPr>
      </w:pPr>
      <w:r>
        <w:rPr>
          <w:rFonts w:hint="eastAsia" w:asciiTheme="minorEastAsia" w:hAnsiTheme="minorEastAsia" w:eastAsiaTheme="minorEastAsia" w:cstheme="minorEastAsia"/>
        </w:rPr>
        <w:br w:type="page"/>
      </w:r>
    </w:p>
    <w:p>
      <w:pPr>
        <w:pStyle w:val="38"/>
        <w:numPr>
          <w:ilvl w:val="0"/>
          <w:numId w:val="5"/>
        </w:numPr>
        <w:spacing w:line="600" w:lineRule="exact"/>
        <w:ind w:right="-63" w:rightChars="-30"/>
        <w:rPr>
          <w:rFonts w:asciiTheme="minorEastAsia" w:hAnsiTheme="minorEastAsia" w:eastAsiaTheme="minorEastAsia" w:cstheme="minorEastAsia"/>
          <w:sz w:val="36"/>
          <w:szCs w:val="36"/>
        </w:rPr>
      </w:pPr>
      <w:bookmarkStart w:id="208" w:name="_Toc28433"/>
      <w:bookmarkStart w:id="209" w:name="_Toc403122540"/>
      <w:bookmarkStart w:id="210" w:name="_Toc426369530"/>
      <w:bookmarkStart w:id="211" w:name="_Toc1253"/>
      <w:r>
        <w:rPr>
          <w:rFonts w:hint="eastAsia" w:asciiTheme="minorEastAsia" w:hAnsiTheme="minorEastAsia" w:eastAsiaTheme="minorEastAsia" w:cstheme="minorEastAsia"/>
          <w:sz w:val="36"/>
          <w:szCs w:val="36"/>
        </w:rPr>
        <w:t>评标办法</w:t>
      </w:r>
      <w:bookmarkEnd w:id="208"/>
      <w:bookmarkEnd w:id="209"/>
      <w:bookmarkEnd w:id="210"/>
      <w:r>
        <w:rPr>
          <w:rFonts w:hint="eastAsia" w:asciiTheme="minorEastAsia" w:hAnsiTheme="minorEastAsia" w:eastAsiaTheme="minorEastAsia" w:cstheme="minorEastAsia"/>
          <w:sz w:val="36"/>
          <w:szCs w:val="36"/>
        </w:rPr>
        <w:t>（综合评分法）</w:t>
      </w:r>
      <w:bookmarkEnd w:id="211"/>
    </w:p>
    <w:p>
      <w:pPr>
        <w:pStyle w:val="107"/>
        <w:spacing w:line="540" w:lineRule="exact"/>
        <w:outlineLvl w:val="2"/>
        <w:rPr>
          <w:rFonts w:asciiTheme="minorEastAsia" w:hAnsiTheme="minorEastAsia" w:eastAsiaTheme="minorEastAsia" w:cstheme="minorEastAsia"/>
          <w:b/>
          <w:bCs/>
          <w:sz w:val="28"/>
          <w:szCs w:val="28"/>
        </w:rPr>
      </w:pPr>
      <w:bookmarkStart w:id="212" w:name="_Toc21885"/>
      <w:bookmarkStart w:id="213" w:name="_Toc30933"/>
      <w:bookmarkStart w:id="214" w:name="_Toc17859"/>
      <w:bookmarkStart w:id="215" w:name="_Toc29947"/>
      <w:bookmarkStart w:id="216" w:name="_Toc16529"/>
      <w:bookmarkStart w:id="217" w:name="_Toc2761070"/>
      <w:r>
        <w:rPr>
          <w:rFonts w:hint="eastAsia" w:asciiTheme="minorEastAsia" w:hAnsiTheme="minorEastAsia" w:eastAsiaTheme="minorEastAsia" w:cstheme="minorEastAsia"/>
          <w:b/>
          <w:bCs/>
          <w:sz w:val="28"/>
          <w:szCs w:val="28"/>
        </w:rPr>
        <w:t>（一）评分办法前附表</w:t>
      </w:r>
      <w:bookmarkEnd w:id="212"/>
      <w:bookmarkEnd w:id="213"/>
      <w:bookmarkEnd w:id="214"/>
      <w:bookmarkEnd w:id="215"/>
    </w:p>
    <w:tbl>
      <w:tblPr>
        <w:tblStyle w:val="40"/>
        <w:tblpPr w:leftFromText="180" w:rightFromText="180" w:vertAnchor="text" w:horzAnchor="page" w:tblpX="1258" w:tblpY="326"/>
        <w:tblOverlap w:val="never"/>
        <w:tblW w:w="98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1095"/>
        <w:gridCol w:w="2084"/>
        <w:gridCol w:w="56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exact"/>
        </w:trPr>
        <w:tc>
          <w:tcPr>
            <w:tcW w:w="1095" w:type="dxa"/>
            <w:vAlign w:val="center"/>
          </w:tcPr>
          <w:p>
            <w:pPr>
              <w:spacing w:line="440" w:lineRule="exact"/>
              <w:jc w:val="center"/>
              <w:rPr>
                <w:rFonts w:ascii="宋体" w:hAnsi="宋体" w:cs="宋体"/>
                <w:b/>
                <w:szCs w:val="21"/>
              </w:rPr>
            </w:pPr>
            <w:bookmarkStart w:id="218" w:name="_Toc13389"/>
            <w:bookmarkStart w:id="219" w:name="_Toc26394"/>
            <w:bookmarkStart w:id="220" w:name="_Toc471"/>
            <w:bookmarkStart w:id="221" w:name="_Toc28874"/>
            <w:r>
              <w:rPr>
                <w:rFonts w:hint="eastAsia" w:ascii="宋体" w:hAnsi="宋体" w:cs="宋体"/>
                <w:b/>
                <w:bCs/>
                <w:kern w:val="0"/>
                <w:szCs w:val="21"/>
              </w:rPr>
              <w:t>审查主体</w:t>
            </w:r>
          </w:p>
        </w:tc>
        <w:tc>
          <w:tcPr>
            <w:tcW w:w="3179" w:type="dxa"/>
            <w:gridSpan w:val="2"/>
            <w:vAlign w:val="center"/>
          </w:tcPr>
          <w:p>
            <w:pPr>
              <w:spacing w:line="440" w:lineRule="exact"/>
              <w:jc w:val="center"/>
              <w:rPr>
                <w:rFonts w:ascii="宋体" w:hAnsi="宋体" w:cs="宋体"/>
                <w:b/>
                <w:szCs w:val="21"/>
              </w:rPr>
            </w:pPr>
            <w:r>
              <w:rPr>
                <w:rFonts w:hint="eastAsia" w:ascii="宋体" w:hAnsi="宋体" w:cs="宋体"/>
                <w:b/>
                <w:szCs w:val="21"/>
              </w:rPr>
              <w:t>评审因素</w:t>
            </w:r>
          </w:p>
        </w:tc>
        <w:tc>
          <w:tcPr>
            <w:tcW w:w="5602" w:type="dxa"/>
            <w:vAlign w:val="center"/>
          </w:tcPr>
          <w:p>
            <w:pPr>
              <w:tabs>
                <w:tab w:val="left" w:pos="417"/>
                <w:tab w:val="center" w:pos="2999"/>
              </w:tabs>
              <w:spacing w:line="440" w:lineRule="exact"/>
              <w:jc w:val="center"/>
              <w:rPr>
                <w:rFonts w:ascii="宋体" w:hAnsi="宋体" w:cs="宋体"/>
                <w:b/>
                <w:szCs w:val="21"/>
              </w:rPr>
            </w:pPr>
            <w:r>
              <w:rPr>
                <w:rFonts w:hint="eastAsia" w:ascii="宋体" w:hAnsi="宋体" w:cs="宋体"/>
                <w:b/>
                <w:szCs w:val="21"/>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exact"/>
        </w:trPr>
        <w:tc>
          <w:tcPr>
            <w:tcW w:w="1095" w:type="dxa"/>
            <w:vMerge w:val="restart"/>
            <w:vAlign w:val="center"/>
          </w:tcPr>
          <w:p>
            <w:pPr>
              <w:spacing w:line="360" w:lineRule="exact"/>
              <w:jc w:val="center"/>
              <w:rPr>
                <w:rFonts w:ascii="宋体" w:hAnsi="宋体" w:cs="宋体"/>
                <w:szCs w:val="21"/>
              </w:rPr>
            </w:pPr>
            <w:r>
              <w:rPr>
                <w:rFonts w:hint="eastAsia" w:ascii="宋体" w:hAnsi="宋体" w:cs="宋体"/>
                <w:szCs w:val="21"/>
              </w:rPr>
              <w:t>资格审查小组</w:t>
            </w:r>
          </w:p>
        </w:tc>
        <w:tc>
          <w:tcPr>
            <w:tcW w:w="1095" w:type="dxa"/>
            <w:vMerge w:val="restart"/>
            <w:vAlign w:val="center"/>
          </w:tcPr>
          <w:p>
            <w:pPr>
              <w:spacing w:line="360" w:lineRule="exact"/>
              <w:jc w:val="center"/>
              <w:rPr>
                <w:rFonts w:ascii="宋体" w:hAnsi="宋体" w:cs="宋体"/>
                <w:szCs w:val="21"/>
              </w:rPr>
            </w:pPr>
            <w:r>
              <w:rPr>
                <w:rFonts w:hint="eastAsia" w:ascii="宋体" w:hAnsi="宋体" w:cs="宋体"/>
                <w:szCs w:val="21"/>
              </w:rPr>
              <w:t>一、资格评审标准</w:t>
            </w:r>
          </w:p>
        </w:tc>
        <w:tc>
          <w:tcPr>
            <w:tcW w:w="2084" w:type="dxa"/>
            <w:vAlign w:val="center"/>
          </w:tcPr>
          <w:p>
            <w:pPr>
              <w:spacing w:line="320" w:lineRule="exact"/>
              <w:jc w:val="center"/>
              <w:rPr>
                <w:rFonts w:ascii="宋体" w:hAnsi="宋体" w:cs="宋体"/>
                <w:szCs w:val="21"/>
              </w:rPr>
            </w:pPr>
            <w:r>
              <w:rPr>
                <w:rFonts w:hint="eastAsia" w:ascii="宋体" w:hAnsi="宋体" w:cs="宋体"/>
                <w:szCs w:val="21"/>
              </w:rPr>
              <w:t>营业执照、税务登记证、组织机构代码证</w:t>
            </w:r>
          </w:p>
        </w:tc>
        <w:tc>
          <w:tcPr>
            <w:tcW w:w="5602" w:type="dxa"/>
            <w:vAlign w:val="center"/>
          </w:tcPr>
          <w:p>
            <w:pPr>
              <w:spacing w:line="320" w:lineRule="exact"/>
              <w:rPr>
                <w:rFonts w:ascii="宋体" w:hAnsi="宋体" w:cs="宋体"/>
                <w:szCs w:val="21"/>
              </w:rPr>
            </w:pPr>
            <w:r>
              <w:rPr>
                <w:rFonts w:hint="eastAsia" w:ascii="宋体" w:hAnsi="宋体" w:cs="宋体"/>
                <w:szCs w:val="21"/>
              </w:rPr>
              <w:t>具备有效的营业执照（副本）、税务登记证（副本）、组织机构代码证（副本）（或三证合一的营业执照）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exact"/>
        </w:trPr>
        <w:tc>
          <w:tcPr>
            <w:tcW w:w="1095" w:type="dxa"/>
            <w:vMerge w:val="continue"/>
            <w:vAlign w:val="center"/>
          </w:tcPr>
          <w:p>
            <w:pPr>
              <w:spacing w:line="440" w:lineRule="exact"/>
              <w:jc w:val="center"/>
              <w:rPr>
                <w:rFonts w:ascii="宋体" w:hAnsi="宋体" w:cs="宋体"/>
                <w:szCs w:val="21"/>
              </w:rPr>
            </w:pPr>
          </w:p>
        </w:tc>
        <w:tc>
          <w:tcPr>
            <w:tcW w:w="1095" w:type="dxa"/>
            <w:vMerge w:val="continue"/>
            <w:vAlign w:val="center"/>
          </w:tcPr>
          <w:p>
            <w:pPr>
              <w:spacing w:line="440" w:lineRule="exact"/>
              <w:jc w:val="center"/>
              <w:rPr>
                <w:rFonts w:ascii="宋体" w:hAnsi="宋体" w:cs="宋体"/>
                <w:szCs w:val="21"/>
              </w:rPr>
            </w:pPr>
          </w:p>
        </w:tc>
        <w:tc>
          <w:tcPr>
            <w:tcW w:w="2084" w:type="dxa"/>
            <w:vAlign w:val="center"/>
          </w:tcPr>
          <w:p>
            <w:pPr>
              <w:spacing w:line="360" w:lineRule="exact"/>
              <w:jc w:val="center"/>
              <w:rPr>
                <w:rFonts w:ascii="宋体" w:hAnsi="宋体" w:cs="宋体"/>
                <w:szCs w:val="21"/>
              </w:rPr>
            </w:pPr>
            <w:r>
              <w:rPr>
                <w:rFonts w:hint="eastAsia" w:ascii="宋体" w:hAnsi="宋体" w:cs="宋体"/>
                <w:szCs w:val="21"/>
              </w:rPr>
              <w:t>法人代表证明或法人授权委托书</w:t>
            </w:r>
          </w:p>
        </w:tc>
        <w:tc>
          <w:tcPr>
            <w:tcW w:w="5602" w:type="dxa"/>
            <w:vAlign w:val="center"/>
          </w:tcPr>
          <w:p>
            <w:pPr>
              <w:spacing w:line="360" w:lineRule="exact"/>
              <w:rPr>
                <w:rFonts w:ascii="宋体" w:hAnsi="宋体" w:cs="宋体"/>
                <w:szCs w:val="21"/>
              </w:rPr>
            </w:pPr>
            <w:r>
              <w:rPr>
                <w:rFonts w:hint="eastAsia" w:ascii="宋体" w:hAnsi="宋体" w:cs="宋体"/>
                <w:szCs w:val="21"/>
              </w:rPr>
              <w:t>法人代表（负责人）证明或法人授权委托书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exact"/>
        </w:trPr>
        <w:tc>
          <w:tcPr>
            <w:tcW w:w="1095" w:type="dxa"/>
            <w:vMerge w:val="continue"/>
            <w:vAlign w:val="center"/>
          </w:tcPr>
          <w:p>
            <w:pPr>
              <w:spacing w:line="440" w:lineRule="exact"/>
              <w:jc w:val="center"/>
              <w:rPr>
                <w:rFonts w:ascii="宋体" w:hAnsi="宋体" w:cs="宋体"/>
                <w:szCs w:val="21"/>
              </w:rPr>
            </w:pPr>
          </w:p>
        </w:tc>
        <w:tc>
          <w:tcPr>
            <w:tcW w:w="1095" w:type="dxa"/>
            <w:vMerge w:val="continue"/>
            <w:vAlign w:val="center"/>
          </w:tcPr>
          <w:p>
            <w:pPr>
              <w:spacing w:line="440" w:lineRule="exact"/>
              <w:jc w:val="center"/>
              <w:rPr>
                <w:rFonts w:ascii="宋体" w:hAnsi="宋体" w:cs="宋体"/>
                <w:szCs w:val="21"/>
              </w:rPr>
            </w:pPr>
          </w:p>
        </w:tc>
        <w:tc>
          <w:tcPr>
            <w:tcW w:w="2084" w:type="dxa"/>
            <w:vAlign w:val="center"/>
          </w:tcPr>
          <w:p>
            <w:pPr>
              <w:spacing w:line="360" w:lineRule="exact"/>
              <w:jc w:val="center"/>
              <w:rPr>
                <w:rFonts w:ascii="宋体" w:hAnsi="宋体" w:cs="宋体"/>
                <w:szCs w:val="21"/>
              </w:rPr>
            </w:pPr>
            <w:r>
              <w:rPr>
                <w:rFonts w:hint="eastAsia" w:ascii="宋体" w:hAnsi="宋体" w:cs="宋体"/>
                <w:szCs w:val="21"/>
              </w:rPr>
              <w:t>信誉要求</w:t>
            </w:r>
          </w:p>
        </w:tc>
        <w:tc>
          <w:tcPr>
            <w:tcW w:w="5602" w:type="dxa"/>
            <w:vAlign w:val="center"/>
          </w:tcPr>
          <w:p>
            <w:pPr>
              <w:spacing w:line="360" w:lineRule="exact"/>
              <w:rPr>
                <w:rFonts w:ascii="宋体" w:hAnsi="宋体" w:cs="宋体"/>
                <w:szCs w:val="21"/>
              </w:rPr>
            </w:pPr>
            <w:r>
              <w:rPr>
                <w:rFonts w:hint="eastAsia" w:ascii="宋体" w:hAnsi="宋体" w:cs="宋体"/>
                <w:szCs w:val="21"/>
              </w:rPr>
              <w:t>符合第二章“供应商须知”第1.4.1项规定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exact"/>
        </w:trPr>
        <w:tc>
          <w:tcPr>
            <w:tcW w:w="1095" w:type="dxa"/>
            <w:vMerge w:val="continue"/>
            <w:tcBorders>
              <w:bottom w:val="single" w:color="auto" w:sz="4" w:space="0"/>
            </w:tcBorders>
            <w:vAlign w:val="center"/>
          </w:tcPr>
          <w:p>
            <w:pPr>
              <w:spacing w:line="440" w:lineRule="exact"/>
              <w:jc w:val="center"/>
              <w:rPr>
                <w:rFonts w:ascii="宋体" w:hAnsi="宋体" w:cs="宋体"/>
                <w:szCs w:val="21"/>
              </w:rPr>
            </w:pPr>
          </w:p>
        </w:tc>
        <w:tc>
          <w:tcPr>
            <w:tcW w:w="1095" w:type="dxa"/>
            <w:vMerge w:val="continue"/>
            <w:tcBorders>
              <w:bottom w:val="single" w:color="auto" w:sz="4" w:space="0"/>
            </w:tcBorders>
            <w:vAlign w:val="center"/>
          </w:tcPr>
          <w:p>
            <w:pPr>
              <w:spacing w:line="440" w:lineRule="exact"/>
              <w:jc w:val="center"/>
              <w:rPr>
                <w:rFonts w:ascii="宋体" w:hAnsi="宋体" w:cs="宋体"/>
                <w:szCs w:val="21"/>
              </w:rPr>
            </w:pPr>
          </w:p>
        </w:tc>
        <w:tc>
          <w:tcPr>
            <w:tcW w:w="2084" w:type="dxa"/>
            <w:tcBorders>
              <w:bottom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其他要求</w:t>
            </w:r>
          </w:p>
        </w:tc>
        <w:tc>
          <w:tcPr>
            <w:tcW w:w="5602" w:type="dxa"/>
            <w:tcBorders>
              <w:bottom w:val="single" w:color="auto" w:sz="4" w:space="0"/>
            </w:tcBorders>
            <w:vAlign w:val="center"/>
          </w:tcPr>
          <w:p>
            <w:pPr>
              <w:spacing w:line="360" w:lineRule="exact"/>
              <w:rPr>
                <w:rFonts w:ascii="宋体" w:hAnsi="宋体" w:cs="宋体"/>
                <w:szCs w:val="21"/>
              </w:rPr>
            </w:pPr>
            <w:r>
              <w:rPr>
                <w:rFonts w:hint="eastAsia" w:ascii="宋体" w:hAnsi="宋体" w:cs="宋体"/>
                <w:szCs w:val="21"/>
              </w:rPr>
              <w:t>符合第二章“供应商须知”第1.4.1 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exact"/>
        </w:trPr>
        <w:tc>
          <w:tcPr>
            <w:tcW w:w="1095" w:type="dxa"/>
            <w:vMerge w:val="restart"/>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评标委员会</w:t>
            </w:r>
          </w:p>
        </w:tc>
        <w:tc>
          <w:tcPr>
            <w:tcW w:w="1095" w:type="dxa"/>
            <w:vMerge w:val="restart"/>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二、形式评审标准</w:t>
            </w:r>
          </w:p>
        </w:tc>
        <w:tc>
          <w:tcPr>
            <w:tcW w:w="208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供应商名称</w:t>
            </w:r>
          </w:p>
        </w:tc>
        <w:tc>
          <w:tcPr>
            <w:tcW w:w="560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与营业执照等证件一致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exact"/>
        </w:trPr>
        <w:tc>
          <w:tcPr>
            <w:tcW w:w="1095"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p>
        </w:tc>
        <w:tc>
          <w:tcPr>
            <w:tcW w:w="1095"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投标函签字盖章</w:t>
            </w:r>
          </w:p>
        </w:tc>
        <w:tc>
          <w:tcPr>
            <w:tcW w:w="560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加盖单位公章并有法定代表人或其委托代理人签字或盖章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exact"/>
        </w:trPr>
        <w:tc>
          <w:tcPr>
            <w:tcW w:w="1095"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p>
        </w:tc>
        <w:tc>
          <w:tcPr>
            <w:tcW w:w="1095"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投标文件格式</w:t>
            </w:r>
          </w:p>
        </w:tc>
        <w:tc>
          <w:tcPr>
            <w:tcW w:w="560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szCs w:val="21"/>
              </w:rPr>
            </w:pPr>
            <w:r>
              <w:rPr>
                <w:rFonts w:hint="eastAsia" w:ascii="宋体" w:hAnsi="宋体" w:cs="宋体"/>
                <w:szCs w:val="21"/>
              </w:rPr>
              <w:t>符合招标文件格式要求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exact"/>
        </w:trPr>
        <w:tc>
          <w:tcPr>
            <w:tcW w:w="1095"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p>
        </w:tc>
        <w:tc>
          <w:tcPr>
            <w:tcW w:w="1095"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报价唯一</w:t>
            </w:r>
          </w:p>
        </w:tc>
        <w:tc>
          <w:tcPr>
            <w:tcW w:w="560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只能有一个有效报价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exact"/>
        </w:trPr>
        <w:tc>
          <w:tcPr>
            <w:tcW w:w="1095"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p>
        </w:tc>
        <w:tc>
          <w:tcPr>
            <w:tcW w:w="1095" w:type="dxa"/>
            <w:vMerge w:val="restart"/>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三、响应性评审标准</w:t>
            </w:r>
          </w:p>
        </w:tc>
        <w:tc>
          <w:tcPr>
            <w:tcW w:w="208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采购内容</w:t>
            </w:r>
          </w:p>
        </w:tc>
        <w:tc>
          <w:tcPr>
            <w:tcW w:w="560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符合第二章“供应商须知”第 1.3.1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trPr>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szCs w:val="21"/>
              </w:rPr>
            </w:pPr>
          </w:p>
        </w:tc>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szCs w:val="21"/>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bCs/>
                <w:iCs/>
                <w:sz w:val="20"/>
                <w:szCs w:val="20"/>
              </w:rPr>
              <w:t>供货及安装期</w:t>
            </w:r>
          </w:p>
        </w:tc>
        <w:tc>
          <w:tcPr>
            <w:tcW w:w="560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符合第二章“供应商须知”第 1.3.2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exact"/>
        </w:trPr>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szCs w:val="21"/>
              </w:rPr>
            </w:pPr>
          </w:p>
        </w:tc>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szCs w:val="21"/>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质量标准</w:t>
            </w:r>
          </w:p>
        </w:tc>
        <w:tc>
          <w:tcPr>
            <w:tcW w:w="560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符合第二章“供应商须知”第 1.3.3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exact"/>
        </w:trPr>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szCs w:val="21"/>
              </w:rPr>
            </w:pPr>
          </w:p>
        </w:tc>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szCs w:val="21"/>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 w:val="20"/>
                <w:szCs w:val="20"/>
              </w:rPr>
              <w:t>质保期</w:t>
            </w:r>
          </w:p>
        </w:tc>
        <w:tc>
          <w:tcPr>
            <w:tcW w:w="560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 w:val="20"/>
                <w:szCs w:val="20"/>
              </w:rPr>
              <w:t>符合第二章“供应商须知”第 1.3.4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exact"/>
        </w:trPr>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szCs w:val="21"/>
              </w:rPr>
            </w:pPr>
          </w:p>
        </w:tc>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szCs w:val="21"/>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投标有效期</w:t>
            </w:r>
          </w:p>
        </w:tc>
        <w:tc>
          <w:tcPr>
            <w:tcW w:w="560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符合第二章“供应商须知”第 3.3.1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exact"/>
        </w:trPr>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szCs w:val="21"/>
              </w:rPr>
            </w:pPr>
          </w:p>
        </w:tc>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szCs w:val="21"/>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权利义务</w:t>
            </w:r>
          </w:p>
        </w:tc>
        <w:tc>
          <w:tcPr>
            <w:tcW w:w="560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符合第四章“合同条款及格式”规定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exact"/>
        </w:trPr>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szCs w:val="21"/>
              </w:rPr>
            </w:pPr>
          </w:p>
        </w:tc>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szCs w:val="21"/>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技术标准和要求</w:t>
            </w:r>
          </w:p>
        </w:tc>
        <w:tc>
          <w:tcPr>
            <w:tcW w:w="560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符合第五章“</w:t>
            </w:r>
            <w:r>
              <w:rPr>
                <w:rFonts w:hint="eastAsia" w:ascii="宋体" w:hAnsi="宋体" w:cs="宋体"/>
                <w:bCs/>
                <w:szCs w:val="21"/>
              </w:rPr>
              <w:t>采购内容及需求</w:t>
            </w:r>
            <w:r>
              <w:rPr>
                <w:rFonts w:hint="eastAsia" w:ascii="宋体" w:hAnsi="宋体" w:cs="宋体"/>
                <w:szCs w:val="21"/>
              </w:rPr>
              <w:t>”规定，若不符合第五章技术标准和要求规定，将不再进行评审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exact"/>
        </w:trPr>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szCs w:val="21"/>
              </w:rPr>
            </w:pPr>
          </w:p>
        </w:tc>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szCs w:val="21"/>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投标文件的其他响应</w:t>
            </w:r>
          </w:p>
        </w:tc>
        <w:tc>
          <w:tcPr>
            <w:tcW w:w="560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szCs w:val="21"/>
              </w:rPr>
            </w:pPr>
            <w:r>
              <w:rPr>
                <w:rFonts w:hint="eastAsia" w:ascii="宋体" w:hAnsi="宋体" w:cs="宋体"/>
                <w:szCs w:val="21"/>
              </w:rPr>
              <w:t>符合法律、法规和招标文件中规定的其他实质性要求的</w:t>
            </w:r>
          </w:p>
        </w:tc>
      </w:tr>
    </w:tbl>
    <w:p>
      <w:pPr>
        <w:pStyle w:val="107"/>
        <w:spacing w:line="540" w:lineRule="exact"/>
        <w:outlineLvl w:val="2"/>
        <w:rPr>
          <w:rFonts w:asciiTheme="minorEastAsia" w:hAnsiTheme="minorEastAsia" w:eastAsiaTheme="minorEastAsia" w:cstheme="minorEastAsia"/>
          <w:b/>
          <w:bCs/>
          <w:sz w:val="28"/>
          <w:szCs w:val="28"/>
        </w:rPr>
      </w:pPr>
    </w:p>
    <w:bookmarkEnd w:id="216"/>
    <w:bookmarkEnd w:id="218"/>
    <w:bookmarkEnd w:id="219"/>
    <w:bookmarkEnd w:id="220"/>
    <w:bookmarkEnd w:id="221"/>
    <w:p>
      <w:pPr>
        <w:pStyle w:val="5"/>
        <w:ind w:firstLine="0" w:firstLineChars="0"/>
        <w:rPr>
          <w:rFonts w:asciiTheme="minorEastAsia" w:hAnsiTheme="minorEastAsia" w:eastAsiaTheme="minorEastAsia" w:cstheme="minorEastAsia"/>
          <w:b/>
          <w:bCs/>
          <w:sz w:val="28"/>
          <w:szCs w:val="28"/>
        </w:rPr>
      </w:pPr>
      <w:bookmarkStart w:id="222" w:name="_Toc31084"/>
      <w:bookmarkStart w:id="223" w:name="_Toc403122541"/>
      <w:bookmarkStart w:id="224" w:name="_Toc426369531"/>
    </w:p>
    <w:tbl>
      <w:tblPr>
        <w:tblStyle w:val="40"/>
        <w:tblpPr w:leftFromText="180" w:rightFromText="180" w:vertAnchor="text" w:horzAnchor="page" w:tblpX="1337" w:tblpY="893"/>
        <w:tblOverlap w:val="never"/>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794"/>
        <w:gridCol w:w="68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12" w:hRule="atLeast"/>
        </w:trPr>
        <w:tc>
          <w:tcPr>
            <w:tcW w:w="2794" w:type="dxa"/>
            <w:vAlign w:val="center"/>
          </w:tcPr>
          <w:p>
            <w:pPr>
              <w:pStyle w:val="117"/>
              <w:adjustRightInd w:val="0"/>
              <w:snapToGrid w:val="0"/>
              <w:jc w:val="center"/>
              <w:rPr>
                <w:rFonts w:hint="eastAsia" w:ascii="宋体" w:hAnsi="宋体" w:eastAsia="宋体" w:cs="宋体"/>
                <w:color w:val="auto"/>
                <w:kern w:val="2"/>
                <w:sz w:val="20"/>
                <w:szCs w:val="20"/>
                <w:lang w:val="en-US" w:eastAsia="zh-CN" w:bidi="ar-SA"/>
              </w:rPr>
            </w:pPr>
            <w:bookmarkStart w:id="225" w:name="_Toc25111"/>
            <w:bookmarkStart w:id="226" w:name="_Toc8263"/>
            <w:bookmarkStart w:id="227" w:name="_Toc23606"/>
            <w:r>
              <w:rPr>
                <w:rFonts w:hint="eastAsia" w:ascii="宋体" w:hAnsi="宋体" w:eastAsia="宋体" w:cs="宋体"/>
                <w:color w:val="auto"/>
                <w:kern w:val="2"/>
                <w:sz w:val="20"/>
                <w:szCs w:val="20"/>
                <w:lang w:val="en-US" w:eastAsia="zh-CN" w:bidi="ar-SA"/>
              </w:rPr>
              <w:t>分值构成</w:t>
            </w:r>
          </w:p>
          <w:p>
            <w:pPr>
              <w:pStyle w:val="117"/>
              <w:adjustRightInd w:val="0"/>
              <w:snapToGrid w:val="0"/>
              <w:jc w:val="center"/>
              <w:rPr>
                <w:rFonts w:hint="eastAsia" w:ascii="宋体" w:hAnsi="宋体" w:eastAsia="宋体" w:cs="宋体"/>
                <w:color w:val="auto"/>
                <w:kern w:val="2"/>
                <w:sz w:val="20"/>
                <w:szCs w:val="20"/>
                <w:lang w:val="en-US" w:eastAsia="zh-CN" w:bidi="ar-SA"/>
              </w:rPr>
            </w:pPr>
            <w:r>
              <w:rPr>
                <w:rFonts w:hint="eastAsia" w:ascii="宋体" w:hAnsi="宋体" w:cs="宋体"/>
                <w:color w:val="auto"/>
                <w:kern w:val="2"/>
                <w:sz w:val="20"/>
                <w:szCs w:val="20"/>
                <w:lang w:val="en-US" w:eastAsia="zh-CN" w:bidi="ar-SA"/>
              </w:rPr>
              <w:t>(总分100分）</w:t>
            </w:r>
          </w:p>
        </w:tc>
        <w:tc>
          <w:tcPr>
            <w:tcW w:w="6826" w:type="dxa"/>
            <w:vAlign w:val="center"/>
          </w:tcPr>
          <w:p>
            <w:pPr>
              <w:pStyle w:val="117"/>
              <w:adjustRightInd w:val="0"/>
              <w:snapToGrid w:val="0"/>
              <w:rPr>
                <w:rFonts w:hint="eastAsia" w:ascii="宋体" w:hAnsi="宋体" w:eastAsia="宋体" w:cs="宋体"/>
                <w:color w:val="auto"/>
                <w:kern w:val="2"/>
                <w:sz w:val="20"/>
                <w:szCs w:val="20"/>
                <w:lang w:val="en-US" w:eastAsia="zh-CN" w:bidi="ar-SA"/>
              </w:rPr>
            </w:pPr>
            <w:r>
              <w:rPr>
                <w:rFonts w:hint="eastAsia" w:ascii="宋体" w:hAnsi="宋体" w:eastAsia="宋体" w:cs="宋体"/>
                <w:color w:val="auto"/>
                <w:kern w:val="2"/>
                <w:sz w:val="20"/>
                <w:szCs w:val="20"/>
                <w:lang w:val="en-US" w:eastAsia="zh-CN" w:bidi="ar-SA"/>
              </w:rPr>
              <w:t>报价部分（30分）</w:t>
            </w:r>
          </w:p>
          <w:p>
            <w:pPr>
              <w:pStyle w:val="117"/>
              <w:adjustRightInd w:val="0"/>
              <w:snapToGrid w:val="0"/>
              <w:rPr>
                <w:rFonts w:hint="eastAsia" w:ascii="宋体" w:hAnsi="宋体" w:eastAsia="宋体" w:cs="宋体"/>
                <w:color w:val="auto"/>
                <w:kern w:val="2"/>
                <w:sz w:val="20"/>
                <w:szCs w:val="20"/>
                <w:lang w:val="en-US" w:eastAsia="zh-CN" w:bidi="ar-SA"/>
              </w:rPr>
            </w:pPr>
            <w:r>
              <w:rPr>
                <w:rFonts w:hint="eastAsia" w:ascii="宋体" w:hAnsi="宋体" w:eastAsia="宋体" w:cs="宋体"/>
                <w:color w:val="auto"/>
                <w:kern w:val="2"/>
                <w:sz w:val="20"/>
                <w:szCs w:val="20"/>
                <w:lang w:val="en-US" w:eastAsia="zh-CN" w:bidi="ar-SA"/>
              </w:rPr>
              <w:t>商务部分（20</w:t>
            </w:r>
            <w:r>
              <w:rPr>
                <w:rFonts w:hint="eastAsia" w:ascii="宋体" w:hAnsi="宋体" w:eastAsia="宋体" w:cs="宋体"/>
                <w:color w:val="auto"/>
                <w:kern w:val="2"/>
                <w:sz w:val="20"/>
                <w:szCs w:val="20"/>
                <w:lang w:val="zh-TW" w:eastAsia="zh-TW" w:bidi="ar-SA"/>
              </w:rPr>
              <w:t>分</w:t>
            </w:r>
            <w:r>
              <w:rPr>
                <w:rFonts w:hint="eastAsia" w:ascii="宋体" w:hAnsi="宋体" w:eastAsia="宋体" w:cs="宋体"/>
                <w:color w:val="auto"/>
                <w:kern w:val="2"/>
                <w:sz w:val="20"/>
                <w:szCs w:val="20"/>
                <w:lang w:val="en-US" w:eastAsia="zh-CN" w:bidi="ar-SA"/>
              </w:rPr>
              <w:t>）</w:t>
            </w:r>
          </w:p>
          <w:p>
            <w:pPr>
              <w:pStyle w:val="117"/>
              <w:adjustRightInd w:val="0"/>
              <w:snapToGrid w:val="0"/>
              <w:jc w:val="both"/>
              <w:rPr>
                <w:rFonts w:hint="eastAsia" w:ascii="宋体" w:hAnsi="宋体" w:eastAsia="宋体" w:cs="宋体"/>
                <w:color w:val="auto"/>
                <w:kern w:val="2"/>
                <w:sz w:val="20"/>
                <w:szCs w:val="20"/>
                <w:lang w:val="en-US" w:eastAsia="zh-CN" w:bidi="ar-SA"/>
              </w:rPr>
            </w:pPr>
            <w:r>
              <w:rPr>
                <w:rFonts w:hint="eastAsia" w:ascii="宋体" w:hAnsi="宋体" w:cs="宋体"/>
                <w:color w:val="auto"/>
                <w:kern w:val="2"/>
                <w:sz w:val="20"/>
                <w:szCs w:val="20"/>
                <w:lang w:val="en-US" w:eastAsia="zh-CN" w:bidi="ar-SA"/>
              </w:rPr>
              <w:t>技术部分（50分）</w:t>
            </w:r>
          </w:p>
        </w:tc>
      </w:tr>
    </w:tbl>
    <w:p>
      <w:pPr>
        <w:pStyle w:val="5"/>
        <w:widowControl/>
        <w:tabs>
          <w:tab w:val="left" w:pos="945"/>
          <w:tab w:val="left" w:pos="1155"/>
        </w:tabs>
        <w:ind w:left="420" w:firstLine="0" w:firstLineChars="0"/>
        <w:jc w:val="center"/>
        <w:rPr>
          <w:rFonts w:ascii="宋体" w:hAnsi="宋体" w:cs="宋体"/>
          <w:b/>
          <w:sz w:val="36"/>
          <w:szCs w:val="36"/>
        </w:rPr>
      </w:pPr>
      <w:r>
        <w:rPr>
          <w:rFonts w:hint="eastAsia" w:ascii="宋体" w:hAnsi="宋体" w:cs="宋体"/>
          <w:b/>
          <w:sz w:val="36"/>
          <w:szCs w:val="36"/>
        </w:rPr>
        <w:t xml:space="preserve"> 评标办法</w:t>
      </w:r>
      <w:bookmarkEnd w:id="225"/>
      <w:bookmarkEnd w:id="226"/>
      <w:bookmarkEnd w:id="227"/>
    </w:p>
    <w:tbl>
      <w:tblPr>
        <w:tblStyle w:val="40"/>
        <w:tblpPr w:leftFromText="180" w:rightFromText="180" w:vertAnchor="text" w:horzAnchor="page" w:tblpX="1397" w:tblpY="222"/>
        <w:tblOverlap w:val="never"/>
        <w:tblW w:w="9650"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133"/>
        <w:gridCol w:w="996"/>
        <w:gridCol w:w="1729"/>
        <w:gridCol w:w="5792"/>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1" w:hRule="atLeast"/>
        </w:trPr>
        <w:tc>
          <w:tcPr>
            <w:tcW w:w="1133" w:type="dxa"/>
            <w:tcBorders>
              <w:top w:val="double" w:color="auto" w:sz="4" w:space="0"/>
              <w:left w:val="double" w:color="auto" w:sz="4" w:space="0"/>
              <w:bottom w:val="single" w:color="auto" w:sz="6" w:space="0"/>
              <w:right w:val="single" w:color="auto" w:sz="6" w:space="0"/>
            </w:tcBorders>
            <w:shd w:val="clear" w:color="auto" w:fill="auto"/>
            <w:vAlign w:val="center"/>
          </w:tcPr>
          <w:p>
            <w:pPr>
              <w:widowControl/>
              <w:spacing w:before="156" w:beforeLines="50" w:line="360" w:lineRule="auto"/>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内容</w:t>
            </w:r>
          </w:p>
        </w:tc>
        <w:tc>
          <w:tcPr>
            <w:tcW w:w="996" w:type="dxa"/>
            <w:tcBorders>
              <w:top w:val="double" w:color="auto" w:sz="4" w:space="0"/>
              <w:left w:val="single" w:color="auto" w:sz="6" w:space="0"/>
              <w:bottom w:val="single" w:color="auto" w:sz="6" w:space="0"/>
              <w:right w:val="single" w:color="auto" w:sz="6" w:space="0"/>
            </w:tcBorders>
            <w:shd w:val="clear" w:color="auto" w:fill="auto"/>
            <w:vAlign w:val="center"/>
          </w:tcPr>
          <w:p>
            <w:pPr>
              <w:widowControl/>
              <w:spacing w:before="156" w:beforeLines="50" w:line="360" w:lineRule="auto"/>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分值</w:t>
            </w:r>
          </w:p>
        </w:tc>
        <w:tc>
          <w:tcPr>
            <w:tcW w:w="1729" w:type="dxa"/>
            <w:tcBorders>
              <w:top w:val="double" w:color="auto" w:sz="4" w:space="0"/>
              <w:left w:val="single" w:color="auto" w:sz="6" w:space="0"/>
              <w:bottom w:val="single" w:color="auto" w:sz="6" w:space="0"/>
              <w:right w:val="single" w:color="auto" w:sz="6" w:space="0"/>
            </w:tcBorders>
            <w:shd w:val="clear" w:color="auto" w:fill="auto"/>
            <w:vAlign w:val="center"/>
          </w:tcPr>
          <w:p>
            <w:pPr>
              <w:widowControl/>
              <w:spacing w:before="156" w:beforeLines="50" w:line="360" w:lineRule="auto"/>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评分因素分项</w:t>
            </w:r>
          </w:p>
        </w:tc>
        <w:tc>
          <w:tcPr>
            <w:tcW w:w="5792" w:type="dxa"/>
            <w:tcBorders>
              <w:top w:val="double" w:color="auto" w:sz="4" w:space="0"/>
              <w:left w:val="single" w:color="auto" w:sz="6" w:space="0"/>
              <w:bottom w:val="single" w:color="auto" w:sz="6" w:space="0"/>
              <w:right w:val="double" w:color="auto" w:sz="4" w:space="0"/>
            </w:tcBorders>
            <w:shd w:val="clear" w:color="auto" w:fill="auto"/>
            <w:vAlign w:val="center"/>
          </w:tcPr>
          <w:p>
            <w:pPr>
              <w:widowControl/>
              <w:spacing w:before="156" w:beforeLines="50" w:line="360" w:lineRule="auto"/>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评分标准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103" w:hRule="atLeast"/>
        </w:trPr>
        <w:tc>
          <w:tcPr>
            <w:tcW w:w="1133" w:type="dxa"/>
            <w:tcBorders>
              <w:top w:val="single" w:color="auto" w:sz="6" w:space="0"/>
              <w:left w:val="double" w:color="auto" w:sz="4" w:space="0"/>
              <w:bottom w:val="single" w:color="auto" w:sz="6" w:space="0"/>
              <w:right w:val="single" w:color="auto" w:sz="6" w:space="0"/>
            </w:tcBorders>
            <w:shd w:val="clear" w:color="auto" w:fill="auto"/>
            <w:vAlign w:val="center"/>
          </w:tcPr>
          <w:p>
            <w:pPr>
              <w:widowControl/>
              <w:spacing w:before="156" w:beforeLines="50" w:line="360" w:lineRule="auto"/>
              <w:jc w:val="left"/>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价格部分</w:t>
            </w:r>
          </w:p>
        </w:tc>
        <w:tc>
          <w:tcPr>
            <w:tcW w:w="996"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spacing w:before="156" w:beforeLines="50" w:line="360" w:lineRule="auto"/>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30</w:t>
            </w:r>
            <w:r>
              <w:rPr>
                <w:rFonts w:hint="eastAsia" w:ascii="宋体" w:hAnsi="宋体" w:cs="宋体"/>
                <w:kern w:val="0"/>
                <w:sz w:val="20"/>
                <w:szCs w:val="20"/>
                <w:lang w:val="en-US" w:eastAsia="zh-CN" w:bidi="ar-SA"/>
              </w:rPr>
              <w:t>分</w:t>
            </w:r>
          </w:p>
        </w:tc>
        <w:tc>
          <w:tcPr>
            <w:tcW w:w="1729"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spacing w:before="156" w:beforeLines="50" w:line="360" w:lineRule="auto"/>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评标价格</w:t>
            </w:r>
          </w:p>
        </w:tc>
        <w:tc>
          <w:tcPr>
            <w:tcW w:w="5792" w:type="dxa"/>
            <w:tcBorders>
              <w:top w:val="single" w:color="auto" w:sz="6" w:space="0"/>
              <w:left w:val="single" w:color="auto" w:sz="6" w:space="0"/>
              <w:bottom w:val="single" w:color="auto" w:sz="6" w:space="0"/>
              <w:right w:val="double" w:color="auto" w:sz="4" w:space="0"/>
            </w:tcBorders>
            <w:shd w:val="clear" w:color="auto" w:fill="auto"/>
            <w:vAlign w:val="center"/>
          </w:tcPr>
          <w:p>
            <w:pPr>
              <w:rPr>
                <w:rFonts w:ascii="宋体" w:hAnsi="宋体"/>
                <w:color w:val="000000"/>
                <w:sz w:val="20"/>
                <w:szCs w:val="20"/>
              </w:rPr>
            </w:pPr>
            <w:r>
              <w:rPr>
                <w:rFonts w:hint="eastAsia" w:ascii="宋体" w:hAnsi="宋体"/>
                <w:color w:val="000000"/>
                <w:sz w:val="20"/>
                <w:szCs w:val="20"/>
              </w:rPr>
              <w:t>投标价格最低的投标报价为评标基准价，其价格分为满分</w:t>
            </w:r>
            <w:r>
              <w:rPr>
                <w:rFonts w:hint="eastAsia" w:ascii="宋体" w:hAnsi="宋体"/>
                <w:color w:val="000000"/>
                <w:sz w:val="20"/>
                <w:szCs w:val="20"/>
                <w:lang w:val="en-US" w:eastAsia="zh-CN"/>
              </w:rPr>
              <w:t>30</w:t>
            </w:r>
            <w:r>
              <w:rPr>
                <w:rFonts w:hint="eastAsia" w:ascii="宋体" w:hAnsi="宋体"/>
                <w:color w:val="000000"/>
                <w:sz w:val="20"/>
                <w:szCs w:val="20"/>
              </w:rPr>
              <w:t>分。</w:t>
            </w:r>
          </w:p>
          <w:p>
            <w:pPr>
              <w:rPr>
                <w:rFonts w:ascii="宋体" w:hAnsi="宋体"/>
                <w:color w:val="000000"/>
                <w:sz w:val="20"/>
                <w:szCs w:val="20"/>
              </w:rPr>
            </w:pPr>
            <w:r>
              <w:rPr>
                <w:rFonts w:hint="eastAsia" w:ascii="宋体" w:hAnsi="宋体"/>
                <w:color w:val="000000"/>
                <w:sz w:val="20"/>
                <w:szCs w:val="20"/>
              </w:rPr>
              <w:t>投标报价得分=（评标基准价/投标报价）×</w:t>
            </w:r>
            <w:r>
              <w:rPr>
                <w:rFonts w:hint="eastAsia" w:ascii="宋体" w:hAnsi="宋体"/>
                <w:color w:val="000000"/>
                <w:sz w:val="20"/>
                <w:szCs w:val="20"/>
                <w:lang w:val="en-US" w:eastAsia="zh-CN"/>
              </w:rPr>
              <w:t>3</w:t>
            </w:r>
            <w:r>
              <w:rPr>
                <w:rFonts w:hint="eastAsia" w:ascii="宋体" w:hAnsi="宋体"/>
                <w:color w:val="000000"/>
                <w:sz w:val="20"/>
                <w:szCs w:val="20"/>
              </w:rPr>
              <w:t>0</w:t>
            </w:r>
          </w:p>
          <w:p>
            <w:pPr>
              <w:tabs>
                <w:tab w:val="left" w:pos="654"/>
              </w:tabs>
              <w:ind w:left="-73" w:leftChars="-35" w:right="-34" w:rightChars="-16"/>
              <w:rPr>
                <w:rFonts w:ascii="宋体" w:hAnsi="宋体"/>
                <w:color w:val="000000"/>
                <w:sz w:val="20"/>
                <w:szCs w:val="20"/>
              </w:rPr>
            </w:pPr>
            <w:r>
              <w:rPr>
                <w:rFonts w:hint="eastAsia" w:ascii="宋体" w:hAnsi="宋体"/>
                <w:color w:val="000000"/>
                <w:sz w:val="20"/>
                <w:szCs w:val="20"/>
              </w:rPr>
              <w:t>（价格分计算保留小数点后两位）</w:t>
            </w:r>
          </w:p>
          <w:p>
            <w:pPr>
              <w:rPr>
                <w:rFonts w:ascii="宋体" w:hAnsi="宋体"/>
                <w:color w:val="000000"/>
                <w:sz w:val="20"/>
                <w:szCs w:val="20"/>
              </w:rPr>
            </w:pPr>
            <w:r>
              <w:rPr>
                <w:rFonts w:hint="eastAsia" w:ascii="宋体" w:hAnsi="宋体"/>
                <w:color w:val="000000"/>
                <w:sz w:val="20"/>
                <w:szCs w:val="20"/>
              </w:rPr>
              <w:t>投标报价分采用低价优先法计算，即满足招标文件要求且投标报价最低的为评审基准价，其价格分为满分（即</w:t>
            </w:r>
            <w:r>
              <w:rPr>
                <w:rFonts w:hint="eastAsia" w:ascii="宋体" w:hAnsi="宋体"/>
                <w:color w:val="000000"/>
                <w:sz w:val="20"/>
                <w:szCs w:val="20"/>
                <w:lang w:val="en-US" w:eastAsia="zh-CN"/>
              </w:rPr>
              <w:t>3</w:t>
            </w:r>
            <w:r>
              <w:rPr>
                <w:rFonts w:hint="eastAsia" w:ascii="宋体" w:hAnsi="宋体"/>
                <w:color w:val="000000"/>
                <w:sz w:val="20"/>
                <w:szCs w:val="20"/>
              </w:rPr>
              <w:t>0分）。其他投标人的价格分统一按照下列公式计算：</w:t>
            </w:r>
          </w:p>
          <w:p>
            <w:pPr>
              <w:rPr>
                <w:rFonts w:ascii="宋体" w:hAnsi="宋体"/>
                <w:color w:val="000000"/>
                <w:sz w:val="20"/>
                <w:szCs w:val="20"/>
              </w:rPr>
            </w:pPr>
            <w:r>
              <w:rPr>
                <w:rFonts w:hint="eastAsia" w:ascii="宋体" w:hAnsi="宋体"/>
                <w:color w:val="000000"/>
                <w:sz w:val="20"/>
                <w:szCs w:val="20"/>
              </w:rPr>
              <w:t>报价得分=(评标基准价／投标报价)×价格权值（</w:t>
            </w:r>
            <w:r>
              <w:rPr>
                <w:rFonts w:hint="eastAsia" w:ascii="宋体" w:hAnsi="宋体"/>
                <w:color w:val="000000"/>
                <w:sz w:val="20"/>
                <w:szCs w:val="20"/>
                <w:lang w:val="en-US" w:eastAsia="zh-CN"/>
              </w:rPr>
              <w:t>3</w:t>
            </w:r>
            <w:r>
              <w:rPr>
                <w:rFonts w:hint="eastAsia" w:ascii="宋体" w:hAnsi="宋体"/>
                <w:color w:val="000000"/>
                <w:sz w:val="20"/>
                <w:szCs w:val="20"/>
              </w:rPr>
              <w:t>0分）</w:t>
            </w:r>
          </w:p>
          <w:p>
            <w:pPr>
              <w:rPr>
                <w:rFonts w:ascii="宋体" w:hAnsi="宋体"/>
                <w:color w:val="000000"/>
                <w:sz w:val="20"/>
                <w:szCs w:val="20"/>
              </w:rPr>
            </w:pPr>
            <w:r>
              <w:rPr>
                <w:rFonts w:hint="eastAsia" w:ascii="宋体" w:hAnsi="宋体"/>
                <w:color w:val="000000"/>
                <w:sz w:val="20"/>
                <w:szCs w:val="20"/>
              </w:rPr>
              <w:t>（1）价格分计算保留小数点后两位。</w:t>
            </w:r>
          </w:p>
          <w:p>
            <w:pPr>
              <w:rPr>
                <w:rFonts w:ascii="宋体" w:hAnsi="宋体"/>
                <w:color w:val="000000"/>
                <w:sz w:val="20"/>
                <w:szCs w:val="20"/>
              </w:rPr>
            </w:pPr>
            <w:r>
              <w:rPr>
                <w:rFonts w:hint="eastAsia" w:ascii="宋体" w:hAnsi="宋体"/>
                <w:color w:val="000000"/>
                <w:sz w:val="20"/>
                <w:szCs w:val="20"/>
              </w:rPr>
              <w:t>（2）为了促进中小企业发展，根据《中华人民共和国政府采购法实施条例》第六条和财库[2011]181 号的规定，给予小型和微型企业产品（投标人为小微企业且提供的所有投标产品均为小微企业生产产品）价格6%的扣除，用扣除后的价格参与评审，小微企业产品投标报价=小微企业产品报价×（1-6%）。中小企业划型标准见《关于印发中小企业划型标准规定的通知》（工信部联企业[2011]300号）。</w:t>
            </w:r>
          </w:p>
          <w:p>
            <w:pPr>
              <w:rPr>
                <w:rFonts w:ascii="宋体" w:hAnsi="宋体"/>
                <w:color w:val="000000"/>
                <w:sz w:val="20"/>
                <w:szCs w:val="20"/>
              </w:rPr>
            </w:pPr>
            <w:r>
              <w:rPr>
                <w:rFonts w:hint="eastAsia" w:ascii="宋体" w:hAnsi="宋体"/>
                <w:color w:val="000000"/>
                <w:sz w:val="20"/>
                <w:szCs w:val="20"/>
              </w:rPr>
              <w:t>（3）为了发挥政府采购促进残疾人就业的作用，进一步保障残疾人权益，根据财库【2017】141号的规定，给予残疾人福利性单位（投标人为残疾人福利性单位且提供的所有投标产品均为残疾人福利性单位产品）价格6%的扣除，用扣除后的价格参与评审，残疾人福利性单位投标报价=残疾人福利性单位报价×（1-6%）。</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kern w:val="0"/>
                <w:sz w:val="20"/>
                <w:szCs w:val="20"/>
                <w:lang w:val="en-US" w:eastAsia="zh-CN" w:bidi="ar-SA"/>
              </w:rPr>
            </w:pPr>
            <w:r>
              <w:rPr>
                <w:rFonts w:hint="eastAsia" w:ascii="宋体" w:hAnsi="宋体"/>
                <w:color w:val="000000"/>
                <w:sz w:val="20"/>
                <w:szCs w:val="20"/>
              </w:rPr>
              <w:t>（4）残疾人福利性单位属于小型、微型企业的，不重复享受政策。仅给予一次价格6%的扣除。</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96" w:hRule="atLeast"/>
        </w:trPr>
        <w:tc>
          <w:tcPr>
            <w:tcW w:w="1133" w:type="dxa"/>
            <w:vMerge w:val="restart"/>
            <w:tcBorders>
              <w:top w:val="single" w:color="auto" w:sz="6" w:space="0"/>
              <w:left w:val="double" w:color="auto" w:sz="4" w:space="0"/>
              <w:bottom w:val="single" w:color="auto" w:sz="6" w:space="0"/>
              <w:right w:val="single" w:color="auto" w:sz="6" w:space="0"/>
            </w:tcBorders>
            <w:shd w:val="clear" w:color="auto" w:fill="auto"/>
            <w:vAlign w:val="center"/>
          </w:tcPr>
          <w:p>
            <w:pPr>
              <w:widowControl/>
              <w:spacing w:before="156" w:beforeLines="50" w:line="360" w:lineRule="auto"/>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商务部分</w:t>
            </w:r>
          </w:p>
        </w:tc>
        <w:tc>
          <w:tcPr>
            <w:tcW w:w="996" w:type="dxa"/>
            <w:vMerge w:val="restart"/>
            <w:tcBorders>
              <w:top w:val="single" w:color="auto" w:sz="6" w:space="0"/>
              <w:left w:val="single" w:color="auto" w:sz="6" w:space="0"/>
              <w:bottom w:val="single" w:color="auto" w:sz="6" w:space="0"/>
              <w:right w:val="single" w:color="auto" w:sz="6" w:space="0"/>
            </w:tcBorders>
            <w:shd w:val="clear" w:color="auto" w:fill="auto"/>
            <w:vAlign w:val="center"/>
          </w:tcPr>
          <w:p>
            <w:pPr>
              <w:widowControl/>
              <w:spacing w:before="156" w:beforeLines="50" w:line="360" w:lineRule="auto"/>
              <w:jc w:val="center"/>
              <w:rPr>
                <w:rFonts w:hint="eastAsia" w:ascii="宋体" w:hAnsi="宋体" w:eastAsia="宋体" w:cs="宋体"/>
                <w:kern w:val="0"/>
                <w:sz w:val="20"/>
                <w:szCs w:val="20"/>
                <w:lang w:val="en-US" w:eastAsia="zh-CN" w:bidi="ar-SA"/>
              </w:rPr>
            </w:pPr>
            <w:r>
              <w:rPr>
                <w:rFonts w:hint="eastAsia" w:ascii="宋体" w:hAnsi="宋体" w:cs="宋体"/>
                <w:kern w:val="0"/>
                <w:sz w:val="20"/>
                <w:szCs w:val="20"/>
                <w:lang w:val="en-US" w:eastAsia="zh-CN" w:bidi="ar-SA"/>
              </w:rPr>
              <w:t>13分</w:t>
            </w:r>
          </w:p>
        </w:tc>
        <w:tc>
          <w:tcPr>
            <w:tcW w:w="1729"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spacing w:before="156" w:beforeLines="50" w:line="360" w:lineRule="auto"/>
              <w:jc w:val="center"/>
              <w:rPr>
                <w:rFonts w:hint="default"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业绩（</w:t>
            </w:r>
            <w:r>
              <w:rPr>
                <w:rFonts w:hint="eastAsia" w:ascii="宋体" w:hAnsi="宋体" w:cs="宋体"/>
                <w:kern w:val="0"/>
                <w:sz w:val="20"/>
                <w:szCs w:val="20"/>
                <w:lang w:val="en-US" w:eastAsia="zh-CN" w:bidi="ar-SA"/>
              </w:rPr>
              <w:t>6</w:t>
            </w:r>
            <w:r>
              <w:rPr>
                <w:rFonts w:hint="eastAsia" w:ascii="宋体" w:hAnsi="宋体" w:eastAsia="宋体" w:cs="宋体"/>
                <w:kern w:val="0"/>
                <w:sz w:val="20"/>
                <w:szCs w:val="20"/>
                <w:lang w:val="en-US" w:eastAsia="zh-CN" w:bidi="ar-SA"/>
              </w:rPr>
              <w:t>分）</w:t>
            </w:r>
          </w:p>
        </w:tc>
        <w:tc>
          <w:tcPr>
            <w:tcW w:w="5792" w:type="dxa"/>
            <w:tcBorders>
              <w:top w:val="single" w:color="auto" w:sz="6" w:space="0"/>
              <w:left w:val="single" w:color="auto" w:sz="6" w:space="0"/>
              <w:bottom w:val="single" w:color="auto" w:sz="6" w:space="0"/>
              <w:right w:val="double" w:color="auto" w:sz="4" w:space="0"/>
            </w:tcBorders>
            <w:shd w:val="clear" w:color="auto" w:fill="auto"/>
            <w:vAlign w:val="center"/>
          </w:tcPr>
          <w:p>
            <w:pPr>
              <w:widowControl/>
              <w:spacing w:before="156" w:beforeLines="50" w:line="360" w:lineRule="auto"/>
              <w:rPr>
                <w:rFonts w:hint="eastAsia" w:ascii="宋体" w:hAnsi="宋体" w:cs="宋体"/>
                <w:kern w:val="0"/>
                <w:sz w:val="20"/>
                <w:szCs w:val="20"/>
                <w:lang w:val="en-US" w:eastAsia="zh-CN" w:bidi="ar-SA"/>
              </w:rPr>
            </w:pPr>
            <w:r>
              <w:rPr>
                <w:rFonts w:hint="eastAsia" w:ascii="宋体" w:hAnsi="宋体" w:cs="宋体"/>
                <w:kern w:val="0"/>
                <w:sz w:val="20"/>
                <w:szCs w:val="20"/>
                <w:lang w:val="en-US" w:eastAsia="zh-CN" w:bidi="ar-SA"/>
              </w:rPr>
              <w:t>提供2019年1月1日以来完成的同类型项目的业绩，每个业绩得2分，最高6分（需提供完整合同）</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96" w:hRule="atLeast"/>
        </w:trPr>
        <w:tc>
          <w:tcPr>
            <w:tcW w:w="1133" w:type="dxa"/>
            <w:vMerge w:val="continue"/>
            <w:tcBorders>
              <w:left w:val="double" w:color="auto" w:sz="4" w:space="0"/>
              <w:right w:val="single" w:color="auto" w:sz="6" w:space="0"/>
            </w:tcBorders>
            <w:shd w:val="clear" w:color="auto" w:fill="auto"/>
            <w:vAlign w:val="center"/>
          </w:tcPr>
          <w:p>
            <w:pPr>
              <w:widowControl/>
              <w:spacing w:before="156" w:beforeLines="50" w:line="360" w:lineRule="auto"/>
              <w:jc w:val="center"/>
              <w:rPr>
                <w:rFonts w:hint="eastAsia" w:ascii="宋体" w:hAnsi="宋体" w:eastAsia="宋体" w:cs="宋体"/>
                <w:kern w:val="0"/>
                <w:sz w:val="20"/>
                <w:szCs w:val="20"/>
                <w:lang w:val="en-US" w:eastAsia="zh-CN" w:bidi="ar-SA"/>
              </w:rPr>
            </w:pPr>
          </w:p>
        </w:tc>
        <w:tc>
          <w:tcPr>
            <w:tcW w:w="996" w:type="dxa"/>
            <w:vMerge w:val="continue"/>
            <w:tcBorders>
              <w:left w:val="single" w:color="auto" w:sz="6" w:space="0"/>
              <w:right w:val="single" w:color="auto" w:sz="6" w:space="0"/>
            </w:tcBorders>
            <w:shd w:val="clear" w:color="auto" w:fill="auto"/>
            <w:vAlign w:val="center"/>
          </w:tcPr>
          <w:p>
            <w:pPr>
              <w:widowControl/>
              <w:spacing w:before="156" w:beforeLines="50" w:line="360" w:lineRule="auto"/>
              <w:jc w:val="center"/>
              <w:rPr>
                <w:rFonts w:hint="eastAsia" w:ascii="宋体" w:hAnsi="宋体" w:eastAsia="宋体" w:cs="宋体"/>
                <w:kern w:val="0"/>
                <w:sz w:val="20"/>
                <w:szCs w:val="20"/>
                <w:lang w:val="en-US" w:eastAsia="zh-CN" w:bidi="ar-SA"/>
              </w:rPr>
            </w:pPr>
          </w:p>
        </w:tc>
        <w:tc>
          <w:tcPr>
            <w:tcW w:w="1729"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spacing w:before="156" w:beforeLines="50" w:line="360" w:lineRule="auto"/>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康复团队运营及技术支持（7分）</w:t>
            </w:r>
          </w:p>
        </w:tc>
        <w:tc>
          <w:tcPr>
            <w:tcW w:w="5792" w:type="dxa"/>
            <w:tcBorders>
              <w:top w:val="single" w:color="auto" w:sz="6" w:space="0"/>
              <w:left w:val="single" w:color="auto" w:sz="6" w:space="0"/>
              <w:bottom w:val="single" w:color="auto" w:sz="6" w:space="0"/>
              <w:right w:val="double" w:color="auto" w:sz="4" w:space="0"/>
            </w:tcBorders>
            <w:shd w:val="clear" w:color="auto" w:fill="auto"/>
            <w:vAlign w:val="center"/>
          </w:tcPr>
          <w:p>
            <w:pPr>
              <w:pStyle w:val="4"/>
              <w:rPr>
                <w:rFonts w:hint="default"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根据本项目实际提供的康复团队运营及技术支持方案，需包含</w:t>
            </w:r>
          </w:p>
          <w:p>
            <w:pPr>
              <w:pStyle w:val="4"/>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服务内容、服务措施和服务保障，方案优秀得5-7分；</w:t>
            </w:r>
            <w:r>
              <w:rPr>
                <w:rFonts w:hint="eastAsia" w:ascii="宋体" w:hAnsi="宋体" w:cs="宋体"/>
                <w:kern w:val="0"/>
                <w:sz w:val="20"/>
                <w:szCs w:val="20"/>
                <w:highlight w:val="none"/>
                <w:lang w:val="en-US" w:eastAsia="zh-CN" w:bidi="ar-SA"/>
              </w:rPr>
              <w:t>方</w:t>
            </w:r>
            <w:r>
              <w:rPr>
                <w:rFonts w:hint="eastAsia" w:ascii="宋体" w:hAnsi="宋体" w:eastAsia="宋体" w:cs="宋体"/>
                <w:kern w:val="0"/>
                <w:sz w:val="20"/>
                <w:szCs w:val="20"/>
                <w:highlight w:val="none"/>
                <w:lang w:val="en-US" w:eastAsia="zh-CN" w:bidi="ar-SA"/>
              </w:rPr>
              <w:t>案良好的得2-4分；方案内容一般得1分；未提供不得分</w:t>
            </w:r>
            <w:r>
              <w:rPr>
                <w:rFonts w:hint="eastAsia" w:ascii="宋体" w:hAnsi="宋体" w:eastAsia="宋体" w:cs="宋体"/>
                <w:kern w:val="0"/>
                <w:sz w:val="20"/>
                <w:szCs w:val="20"/>
                <w:lang w:val="en-US" w:eastAsia="zh-CN" w:bidi="ar-SA"/>
              </w:rPr>
              <w:t xml:space="preserve">。 </w:t>
            </w:r>
          </w:p>
          <w:p>
            <w:pPr>
              <w:pStyle w:val="117"/>
              <w:adjustRightInd w:val="0"/>
              <w:snapToGrid w:val="0"/>
              <w:ind w:firstLine="400" w:firstLineChars="200"/>
              <w:jc w:val="left"/>
              <w:rPr>
                <w:rFonts w:hint="eastAsia" w:ascii="宋体" w:hAnsi="宋体" w:eastAsia="宋体" w:cs="宋体"/>
                <w:kern w:val="0"/>
                <w:sz w:val="20"/>
                <w:szCs w:val="20"/>
                <w:lang w:val="en-US" w:eastAsia="zh-CN" w:bidi="ar-SA"/>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461" w:hRule="atLeast"/>
        </w:trPr>
        <w:tc>
          <w:tcPr>
            <w:tcW w:w="1133" w:type="dxa"/>
            <w:tcBorders>
              <w:top w:val="single" w:color="auto" w:sz="6" w:space="0"/>
              <w:left w:val="double" w:color="auto" w:sz="4" w:space="0"/>
              <w:bottom w:val="single" w:color="auto" w:sz="6" w:space="0"/>
              <w:right w:val="single" w:color="auto" w:sz="6" w:space="0"/>
            </w:tcBorders>
            <w:shd w:val="clear" w:color="auto" w:fill="auto"/>
            <w:vAlign w:val="center"/>
          </w:tcPr>
          <w:p>
            <w:pPr>
              <w:widowControl/>
              <w:spacing w:line="400" w:lineRule="exact"/>
              <w:jc w:val="left"/>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技术部分</w:t>
            </w:r>
          </w:p>
        </w:tc>
        <w:tc>
          <w:tcPr>
            <w:tcW w:w="996"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spacing w:line="400" w:lineRule="exact"/>
              <w:jc w:val="left"/>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50</w:t>
            </w:r>
            <w:r>
              <w:rPr>
                <w:rFonts w:hint="eastAsia" w:ascii="宋体" w:hAnsi="宋体" w:cs="宋体"/>
                <w:kern w:val="0"/>
                <w:sz w:val="20"/>
                <w:szCs w:val="20"/>
                <w:lang w:val="en-US" w:eastAsia="zh-CN" w:bidi="ar-SA"/>
              </w:rPr>
              <w:t>分</w:t>
            </w:r>
          </w:p>
        </w:tc>
        <w:tc>
          <w:tcPr>
            <w:tcW w:w="1729" w:type="dxa"/>
            <w:tcBorders>
              <w:top w:val="single" w:color="auto" w:sz="6" w:space="0"/>
              <w:left w:val="single" w:color="auto" w:sz="6" w:space="0"/>
              <w:bottom w:val="single" w:color="auto" w:sz="6" w:space="0"/>
              <w:right w:val="single" w:color="auto" w:sz="6" w:space="0"/>
            </w:tcBorders>
            <w:shd w:val="clear" w:color="auto" w:fill="FFFFFF"/>
            <w:vAlign w:val="center"/>
          </w:tcPr>
          <w:p>
            <w:pPr>
              <w:widowControl/>
              <w:spacing w:before="156" w:beforeLines="50" w:line="360" w:lineRule="auto"/>
              <w:rPr>
                <w:rFonts w:hint="default"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技术参数（50分）</w:t>
            </w:r>
          </w:p>
        </w:tc>
        <w:tc>
          <w:tcPr>
            <w:tcW w:w="5792" w:type="dxa"/>
            <w:tcBorders>
              <w:top w:val="single" w:color="auto" w:sz="6" w:space="0"/>
              <w:left w:val="single" w:color="auto" w:sz="6" w:space="0"/>
              <w:bottom w:val="single" w:color="auto" w:sz="6" w:space="0"/>
              <w:right w:val="double" w:color="auto" w:sz="4" w:space="0"/>
            </w:tcBorders>
            <w:shd w:val="clear" w:color="auto" w:fill="FFFFFF"/>
            <w:vAlign w:val="center"/>
          </w:tcPr>
          <w:p>
            <w:pPr>
              <w:widowControl/>
              <w:spacing w:before="156" w:beforeLines="50" w:line="360" w:lineRule="auto"/>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(1)根据招标文件技术要求，如果供应商所有条款均符合招标文件技术参数与要求，得基本分40分；</w:t>
            </w:r>
          </w:p>
          <w:p>
            <w:pPr>
              <w:widowControl/>
              <w:spacing w:before="156" w:beforeLines="50" w:line="360" w:lineRule="auto"/>
              <w:rPr>
                <w:rFonts w:hint="default"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(2)带★号的技术参数为关键性技术参数，每一项优于招标文件，在基本分40分的基础上加2分，以此累计，最多不超过10分;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06" w:hRule="atLeast"/>
        </w:trPr>
        <w:tc>
          <w:tcPr>
            <w:tcW w:w="1133" w:type="dxa"/>
            <w:tcBorders>
              <w:top w:val="single" w:color="auto" w:sz="6" w:space="0"/>
              <w:left w:val="double" w:color="auto" w:sz="4" w:space="0"/>
              <w:right w:val="single" w:color="auto" w:sz="6" w:space="0"/>
            </w:tcBorders>
            <w:shd w:val="clear" w:color="auto" w:fill="auto"/>
            <w:vAlign w:val="center"/>
          </w:tcPr>
          <w:p>
            <w:pPr>
              <w:widowControl/>
              <w:spacing w:line="400" w:lineRule="exact"/>
              <w:jc w:val="left"/>
              <w:rPr>
                <w:rFonts w:hint="default" w:ascii="宋体" w:hAnsi="宋体" w:eastAsia="宋体" w:cs="宋体"/>
                <w:kern w:val="0"/>
                <w:sz w:val="20"/>
                <w:szCs w:val="20"/>
                <w:lang w:val="en-US" w:eastAsia="zh-CN" w:bidi="ar-SA"/>
              </w:rPr>
            </w:pPr>
            <w:r>
              <w:rPr>
                <w:rFonts w:hint="eastAsia" w:ascii="宋体" w:hAnsi="宋体" w:cs="宋体"/>
                <w:kern w:val="0"/>
                <w:sz w:val="20"/>
                <w:szCs w:val="20"/>
                <w:lang w:val="en-US" w:eastAsia="zh-CN" w:bidi="ar-SA"/>
              </w:rPr>
              <w:t>售后</w:t>
            </w:r>
            <w:r>
              <w:rPr>
                <w:rFonts w:hint="eastAsia" w:ascii="宋体" w:hAnsi="宋体" w:cs="宋体"/>
                <w:kern w:val="0"/>
                <w:sz w:val="20"/>
                <w:szCs w:val="20"/>
                <w:highlight w:val="none"/>
                <w:lang w:val="en-US" w:eastAsia="zh-CN" w:bidi="ar-SA"/>
              </w:rPr>
              <w:t>服务</w:t>
            </w:r>
            <w:r>
              <w:rPr>
                <w:rFonts w:hint="eastAsia" w:ascii="宋体" w:hAnsi="宋体" w:eastAsia="宋体" w:cs="宋体"/>
                <w:kern w:val="0"/>
                <w:sz w:val="20"/>
                <w:szCs w:val="20"/>
                <w:highlight w:val="none"/>
                <w:lang w:val="en-US" w:eastAsia="zh-CN" w:bidi="ar-SA"/>
              </w:rPr>
              <w:t>部分</w:t>
            </w:r>
          </w:p>
        </w:tc>
        <w:tc>
          <w:tcPr>
            <w:tcW w:w="996" w:type="dxa"/>
            <w:tcBorders>
              <w:top w:val="single" w:color="auto" w:sz="6" w:space="0"/>
              <w:left w:val="single" w:color="auto" w:sz="6" w:space="0"/>
              <w:right w:val="single" w:color="auto" w:sz="6" w:space="0"/>
            </w:tcBorders>
            <w:shd w:val="clear" w:color="auto" w:fill="auto"/>
            <w:vAlign w:val="center"/>
          </w:tcPr>
          <w:p>
            <w:pPr>
              <w:widowControl/>
              <w:spacing w:line="400" w:lineRule="exact"/>
              <w:jc w:val="left"/>
              <w:rPr>
                <w:rFonts w:hint="default" w:ascii="宋体" w:hAnsi="宋体" w:eastAsia="宋体" w:cs="宋体"/>
                <w:kern w:val="0"/>
                <w:sz w:val="20"/>
                <w:szCs w:val="20"/>
                <w:lang w:val="en-US" w:eastAsia="zh-CN" w:bidi="ar-SA"/>
              </w:rPr>
            </w:pPr>
            <w:r>
              <w:rPr>
                <w:rFonts w:hint="eastAsia" w:ascii="宋体" w:hAnsi="宋体" w:cs="宋体"/>
                <w:kern w:val="0"/>
                <w:sz w:val="20"/>
                <w:szCs w:val="20"/>
                <w:lang w:val="en-US" w:eastAsia="zh-CN" w:bidi="ar-SA"/>
              </w:rPr>
              <w:t>7分</w:t>
            </w:r>
          </w:p>
        </w:tc>
        <w:tc>
          <w:tcPr>
            <w:tcW w:w="1729" w:type="dxa"/>
            <w:tcBorders>
              <w:top w:val="single" w:color="auto" w:sz="6" w:space="0"/>
              <w:left w:val="single" w:color="auto" w:sz="6" w:space="0"/>
              <w:bottom w:val="single" w:color="auto" w:sz="6" w:space="0"/>
              <w:right w:val="single" w:color="auto" w:sz="6" w:space="0"/>
            </w:tcBorders>
            <w:shd w:val="clear" w:color="auto" w:fill="FFFFFF"/>
            <w:vAlign w:val="center"/>
          </w:tcPr>
          <w:p>
            <w:pPr>
              <w:widowControl/>
              <w:spacing w:before="156" w:beforeLines="50" w:line="360" w:lineRule="auto"/>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售后服务（7分）</w:t>
            </w:r>
          </w:p>
        </w:tc>
        <w:tc>
          <w:tcPr>
            <w:tcW w:w="5792" w:type="dxa"/>
            <w:tcBorders>
              <w:top w:val="single" w:color="auto" w:sz="6" w:space="0"/>
              <w:left w:val="single" w:color="auto" w:sz="6" w:space="0"/>
              <w:bottom w:val="single" w:color="auto" w:sz="6" w:space="0"/>
              <w:right w:val="double" w:color="auto" w:sz="4" w:space="0"/>
            </w:tcBorders>
            <w:shd w:val="clear" w:color="auto" w:fill="FFFFFF"/>
            <w:vAlign w:val="center"/>
          </w:tcPr>
          <w:p>
            <w:pPr>
              <w:widowControl/>
              <w:spacing w:before="156" w:beforeLines="50" w:line="360" w:lineRule="auto"/>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1、投标人承诺故障响应时间小于2小时，上门时间小于8小时，解决问题时间小于24小时；如24小时未能解决，2天内能更换配件或提供备用机的得1分，不满足不得分。</w:t>
            </w:r>
          </w:p>
          <w:p>
            <w:pPr>
              <w:widowControl/>
              <w:spacing w:before="156" w:beforeLines="50" w:line="360" w:lineRule="auto"/>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2、投标人在符合免费质保期一年的基础上，每增加一年加1分，最高得2分。</w:t>
            </w:r>
          </w:p>
          <w:p>
            <w:pPr>
              <w:widowControl/>
              <w:spacing w:before="156" w:beforeLines="50" w:line="360" w:lineRule="auto"/>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3、投标人提供送货、安装等计划和人员培训方案，方案优秀得4分；</w:t>
            </w:r>
            <w:r>
              <w:rPr>
                <w:rFonts w:hint="eastAsia" w:ascii="宋体" w:hAnsi="宋体" w:cs="宋体"/>
                <w:kern w:val="0"/>
                <w:sz w:val="20"/>
                <w:szCs w:val="20"/>
                <w:highlight w:val="none"/>
                <w:lang w:val="en-US" w:eastAsia="zh-CN" w:bidi="ar-SA"/>
              </w:rPr>
              <w:t>方</w:t>
            </w:r>
            <w:r>
              <w:rPr>
                <w:rFonts w:hint="eastAsia" w:ascii="宋体" w:hAnsi="宋体" w:eastAsia="宋体" w:cs="宋体"/>
                <w:kern w:val="0"/>
                <w:sz w:val="20"/>
                <w:szCs w:val="20"/>
                <w:highlight w:val="none"/>
                <w:lang w:val="en-US" w:eastAsia="zh-CN" w:bidi="ar-SA"/>
              </w:rPr>
              <w:t>案</w:t>
            </w:r>
            <w:r>
              <w:rPr>
                <w:rFonts w:hint="eastAsia" w:ascii="宋体" w:hAnsi="宋体" w:eastAsia="宋体" w:cs="宋体"/>
                <w:kern w:val="0"/>
                <w:sz w:val="20"/>
                <w:szCs w:val="20"/>
                <w:lang w:val="en-US" w:eastAsia="zh-CN" w:bidi="ar-SA"/>
              </w:rPr>
              <w:t xml:space="preserve">良好的得2-3分；方案内容一般得1分；未提供不得分。 </w:t>
            </w:r>
          </w:p>
        </w:tc>
      </w:tr>
    </w:tbl>
    <w:p>
      <w:pPr>
        <w:tabs>
          <w:tab w:val="left" w:pos="420"/>
        </w:tabs>
        <w:spacing w:line="360" w:lineRule="auto"/>
        <w:ind w:left="420" w:hanging="420"/>
        <w:rPr>
          <w:rFonts w:ascii="Arial" w:hAnsi="Arial" w:cs="Arial"/>
          <w:szCs w:val="21"/>
          <w:lang w:bidi="ar"/>
        </w:rPr>
      </w:pPr>
    </w:p>
    <w:p>
      <w:pPr>
        <w:pStyle w:val="5"/>
      </w:pPr>
    </w:p>
    <w:p>
      <w:pPr>
        <w:pStyle w:val="3"/>
      </w:pPr>
    </w:p>
    <w:p>
      <w:pPr>
        <w:numPr>
          <w:ilvl w:val="0"/>
          <w:numId w:val="6"/>
        </w:numPr>
        <w:tabs>
          <w:tab w:val="left" w:pos="170"/>
          <w:tab w:val="left" w:pos="303"/>
          <w:tab w:val="left" w:pos="420"/>
        </w:tabs>
        <w:adjustRightInd w:val="0"/>
        <w:snapToGrid w:val="0"/>
        <w:spacing w:line="560" w:lineRule="exact"/>
        <w:ind w:left="0" w:firstLine="0"/>
        <w:outlineLvl w:val="1"/>
        <w:rPr>
          <w:rFonts w:ascii="宋体" w:hAnsi="宋体" w:cs="仿宋_GB2312"/>
          <w:b/>
          <w:sz w:val="28"/>
          <w:szCs w:val="28"/>
        </w:rPr>
      </w:pPr>
      <w:bookmarkStart w:id="228" w:name="_Toc19403"/>
      <w:bookmarkStart w:id="229" w:name="_Toc21064"/>
      <w:bookmarkStart w:id="230" w:name="_Toc465502579"/>
      <w:bookmarkStart w:id="231" w:name="_Toc454147538"/>
      <w:bookmarkStart w:id="232" w:name="_Toc466017207"/>
      <w:r>
        <w:rPr>
          <w:rFonts w:hint="eastAsia" w:ascii="宋体" w:hAnsi="宋体" w:cs="仿宋_GB2312"/>
          <w:b/>
          <w:sz w:val="28"/>
          <w:szCs w:val="28"/>
        </w:rPr>
        <w:t xml:space="preserve"> 评标准则和评标方法</w:t>
      </w:r>
      <w:bookmarkEnd w:id="228"/>
      <w:bookmarkEnd w:id="229"/>
      <w:bookmarkEnd w:id="230"/>
      <w:bookmarkEnd w:id="231"/>
      <w:bookmarkEnd w:id="232"/>
    </w:p>
    <w:p>
      <w:pPr>
        <w:adjustRightInd w:val="0"/>
        <w:snapToGrid w:val="0"/>
        <w:spacing w:line="560" w:lineRule="exact"/>
        <w:rPr>
          <w:szCs w:val="21"/>
        </w:rPr>
      </w:pPr>
      <w:r>
        <w:rPr>
          <w:rFonts w:hint="eastAsia"/>
          <w:szCs w:val="21"/>
        </w:rPr>
        <w:t>1.1 评标过程将遵循“公平、公正、科学、择优”的原则进行。</w:t>
      </w:r>
    </w:p>
    <w:p>
      <w:pPr>
        <w:adjustRightInd w:val="0"/>
        <w:snapToGrid w:val="0"/>
        <w:spacing w:line="560" w:lineRule="exact"/>
        <w:rPr>
          <w:szCs w:val="21"/>
        </w:rPr>
      </w:pPr>
      <w:r>
        <w:rPr>
          <w:rFonts w:hint="eastAsia"/>
          <w:szCs w:val="21"/>
        </w:rPr>
        <w:t>1.2 评标将严格按照招标文件的要求和条件进行。</w:t>
      </w:r>
    </w:p>
    <w:p>
      <w:pPr>
        <w:adjustRightInd w:val="0"/>
        <w:snapToGrid w:val="0"/>
        <w:spacing w:line="560" w:lineRule="exact"/>
        <w:rPr>
          <w:szCs w:val="21"/>
        </w:rPr>
      </w:pPr>
      <w:r>
        <w:rPr>
          <w:rFonts w:hint="eastAsia"/>
          <w:szCs w:val="21"/>
        </w:rPr>
        <w:t>1.3 本次评标采用综合评分法。</w:t>
      </w:r>
    </w:p>
    <w:p>
      <w:pPr>
        <w:numPr>
          <w:ilvl w:val="0"/>
          <w:numId w:val="6"/>
        </w:numPr>
        <w:tabs>
          <w:tab w:val="left" w:pos="170"/>
          <w:tab w:val="left" w:pos="303"/>
          <w:tab w:val="left" w:pos="420"/>
        </w:tabs>
        <w:adjustRightInd w:val="0"/>
        <w:snapToGrid w:val="0"/>
        <w:spacing w:line="560" w:lineRule="exact"/>
        <w:ind w:left="0" w:firstLine="0"/>
        <w:outlineLvl w:val="1"/>
        <w:rPr>
          <w:rFonts w:ascii="宋体" w:hAnsi="宋体" w:cs="仿宋_GB2312"/>
          <w:b/>
          <w:sz w:val="28"/>
          <w:szCs w:val="28"/>
        </w:rPr>
      </w:pPr>
      <w:bookmarkStart w:id="233" w:name="_Toc13195"/>
      <w:bookmarkStart w:id="234" w:name="_Toc466017208"/>
      <w:bookmarkStart w:id="235" w:name="_Toc465502580"/>
      <w:bookmarkStart w:id="236" w:name="_Toc454147539"/>
      <w:bookmarkStart w:id="237" w:name="_Toc15449"/>
      <w:r>
        <w:rPr>
          <w:rFonts w:hint="eastAsia" w:ascii="宋体" w:hAnsi="宋体" w:cs="仿宋_GB2312"/>
          <w:b/>
          <w:sz w:val="28"/>
          <w:szCs w:val="28"/>
        </w:rPr>
        <w:t>评审标准</w:t>
      </w:r>
      <w:bookmarkEnd w:id="233"/>
      <w:bookmarkEnd w:id="234"/>
      <w:bookmarkEnd w:id="235"/>
      <w:bookmarkEnd w:id="236"/>
      <w:bookmarkEnd w:id="237"/>
    </w:p>
    <w:p>
      <w:pPr>
        <w:adjustRightInd w:val="0"/>
        <w:snapToGrid w:val="0"/>
        <w:spacing w:line="560" w:lineRule="exact"/>
        <w:rPr>
          <w:szCs w:val="21"/>
        </w:rPr>
      </w:pPr>
      <w:r>
        <w:rPr>
          <w:rFonts w:hint="eastAsia"/>
          <w:szCs w:val="21"/>
        </w:rPr>
        <w:t>2.1 资格评审标准：详见《评分办法前附表》中资格评审标准。</w:t>
      </w:r>
    </w:p>
    <w:p>
      <w:pPr>
        <w:adjustRightInd w:val="0"/>
        <w:snapToGrid w:val="0"/>
        <w:spacing w:line="560" w:lineRule="exact"/>
        <w:rPr>
          <w:szCs w:val="21"/>
        </w:rPr>
      </w:pPr>
      <w:r>
        <w:rPr>
          <w:rFonts w:hint="eastAsia"/>
          <w:szCs w:val="21"/>
        </w:rPr>
        <w:t>2.2 评分标准：详见《评分办法前附表》报价部分、技术部分、商务部分评审因素。</w:t>
      </w:r>
    </w:p>
    <w:p>
      <w:pPr>
        <w:numPr>
          <w:ilvl w:val="0"/>
          <w:numId w:val="6"/>
        </w:numPr>
        <w:tabs>
          <w:tab w:val="left" w:pos="170"/>
          <w:tab w:val="left" w:pos="303"/>
          <w:tab w:val="left" w:pos="420"/>
        </w:tabs>
        <w:adjustRightInd w:val="0"/>
        <w:snapToGrid w:val="0"/>
        <w:spacing w:line="560" w:lineRule="exact"/>
        <w:ind w:left="0" w:firstLine="0"/>
        <w:outlineLvl w:val="1"/>
        <w:rPr>
          <w:rFonts w:ascii="宋体" w:hAnsi="宋体" w:cs="仿宋_GB2312"/>
          <w:b/>
          <w:sz w:val="28"/>
          <w:szCs w:val="28"/>
        </w:rPr>
      </w:pPr>
      <w:bookmarkStart w:id="238" w:name="_Toc11065"/>
      <w:r>
        <w:rPr>
          <w:rFonts w:hint="eastAsia" w:ascii="宋体" w:hAnsi="宋体" w:cs="仿宋_GB2312"/>
          <w:b/>
          <w:sz w:val="28"/>
          <w:szCs w:val="28"/>
        </w:rPr>
        <w:t>评标程序</w:t>
      </w:r>
      <w:bookmarkEnd w:id="238"/>
    </w:p>
    <w:p>
      <w:pPr>
        <w:adjustRightInd w:val="0"/>
        <w:snapToGrid w:val="0"/>
        <w:spacing w:line="560" w:lineRule="exact"/>
        <w:rPr>
          <w:b/>
          <w:bCs/>
          <w:sz w:val="24"/>
        </w:rPr>
      </w:pPr>
      <w:r>
        <w:rPr>
          <w:rFonts w:hint="eastAsia"/>
          <w:b/>
          <w:bCs/>
          <w:sz w:val="24"/>
        </w:rPr>
        <w:t>3.1初步评审</w:t>
      </w:r>
    </w:p>
    <w:p>
      <w:pPr>
        <w:adjustRightInd w:val="0"/>
        <w:snapToGrid w:val="0"/>
        <w:spacing w:line="560" w:lineRule="exact"/>
        <w:rPr>
          <w:lang w:val="zh-CN"/>
        </w:rPr>
      </w:pPr>
      <w:r>
        <w:rPr>
          <w:rFonts w:hint="eastAsia" w:ascii="Times New Roman" w:hAnsi="Times New Roman"/>
          <w:szCs w:val="21"/>
        </w:rPr>
        <w:t xml:space="preserve">3.11 </w:t>
      </w:r>
      <w:r>
        <w:rPr>
          <w:rFonts w:hint="eastAsia" w:ascii="Times New Roman" w:hAnsi="Times New Roman"/>
          <w:szCs w:val="21"/>
          <w:lang w:val="zh-CN"/>
        </w:rPr>
        <w:t>采购人或代理机构可以要求投标人提交第二章“投标人须知”规定的有关证明和证件以便核验。采购人或代理机构依据本章第2.1款规定的标准对投标文件进行资格评审。有一项</w:t>
      </w:r>
      <w:r>
        <w:rPr>
          <w:rFonts w:hint="eastAsia"/>
          <w:lang w:val="zh-CN"/>
        </w:rPr>
        <w:t>不符合资格评审标准的，作无效投标处理。</w:t>
      </w:r>
    </w:p>
    <w:p>
      <w:pPr>
        <w:adjustRightInd w:val="0"/>
        <w:snapToGrid w:val="0"/>
        <w:spacing w:line="560" w:lineRule="exact"/>
        <w:rPr>
          <w:lang w:val="zh-CN"/>
        </w:rPr>
      </w:pPr>
      <w:r>
        <w:rPr>
          <w:rFonts w:hint="eastAsia"/>
        </w:rPr>
        <w:t xml:space="preserve">3.12 </w:t>
      </w:r>
      <w:r>
        <w:rPr>
          <w:rFonts w:hint="eastAsia"/>
          <w:lang w:val="zh-CN"/>
        </w:rPr>
        <w:t>投标文件属下列情况之一的，应当在资格性、符合性检查时按照无效投标处理：</w:t>
      </w:r>
    </w:p>
    <w:p>
      <w:pPr>
        <w:numPr>
          <w:ilvl w:val="0"/>
          <w:numId w:val="7"/>
        </w:numPr>
        <w:autoSpaceDE w:val="0"/>
        <w:autoSpaceDN w:val="0"/>
        <w:adjustRightInd w:val="0"/>
        <w:snapToGrid w:val="0"/>
        <w:spacing w:line="560" w:lineRule="exact"/>
        <w:jc w:val="left"/>
        <w:rPr>
          <w:rFonts w:ascii="宋体" w:hAnsi="宋体" w:cs="宋体"/>
        </w:rPr>
      </w:pPr>
      <w:r>
        <w:rPr>
          <w:rFonts w:hint="eastAsia" w:ascii="宋体" w:hAnsi="宋体" w:cs="宋体"/>
        </w:rPr>
        <w:t>未按照招标文件规定要求密封、签署、盖章的；</w:t>
      </w:r>
    </w:p>
    <w:p>
      <w:pPr>
        <w:numPr>
          <w:ilvl w:val="0"/>
          <w:numId w:val="7"/>
        </w:numPr>
        <w:autoSpaceDE w:val="0"/>
        <w:autoSpaceDN w:val="0"/>
        <w:adjustRightInd w:val="0"/>
        <w:snapToGrid w:val="0"/>
        <w:spacing w:line="560" w:lineRule="exact"/>
        <w:jc w:val="left"/>
        <w:rPr>
          <w:rFonts w:ascii="宋体" w:hAnsi="宋体" w:cs="宋体"/>
        </w:rPr>
      </w:pPr>
      <w:r>
        <w:rPr>
          <w:rFonts w:hint="eastAsia" w:ascii="宋体" w:hAnsi="宋体" w:cs="宋体"/>
        </w:rPr>
        <w:t>不具备招标文件中规定资格要求的；</w:t>
      </w:r>
    </w:p>
    <w:p>
      <w:pPr>
        <w:numPr>
          <w:ilvl w:val="0"/>
          <w:numId w:val="7"/>
        </w:numPr>
        <w:autoSpaceDE w:val="0"/>
        <w:autoSpaceDN w:val="0"/>
        <w:adjustRightInd w:val="0"/>
        <w:snapToGrid w:val="0"/>
        <w:spacing w:line="560" w:lineRule="exact"/>
        <w:jc w:val="left"/>
        <w:rPr>
          <w:rFonts w:ascii="宋体" w:hAnsi="宋体" w:cs="宋体"/>
        </w:rPr>
      </w:pPr>
      <w:r>
        <w:rPr>
          <w:rFonts w:hint="eastAsia" w:ascii="宋体" w:hAnsi="宋体" w:cs="宋体"/>
        </w:rPr>
        <w:t>不符合法律、法规和招标文件中规定的其他实质性要求的。</w:t>
      </w:r>
    </w:p>
    <w:p>
      <w:pPr>
        <w:adjustRightInd w:val="0"/>
        <w:snapToGrid w:val="0"/>
        <w:spacing w:line="560" w:lineRule="exact"/>
        <w:rPr>
          <w:lang w:val="zh-CN"/>
        </w:rPr>
      </w:pPr>
      <w:r>
        <w:rPr>
          <w:rFonts w:hint="eastAsia"/>
        </w:rPr>
        <w:t xml:space="preserve">3.13 </w:t>
      </w:r>
      <w:r>
        <w:rPr>
          <w:rFonts w:hint="eastAsia"/>
          <w:lang w:val="zh-CN"/>
        </w:rPr>
        <w:t>投标报价有算数错误的，评标委员会按以下原则对投标报价进行修正，修正的价格经投标人书面确认后具有约束力。投标人不接受修正价格的，其投标作无效投标处理。</w:t>
      </w:r>
    </w:p>
    <w:p>
      <w:pPr>
        <w:numPr>
          <w:ilvl w:val="0"/>
          <w:numId w:val="8"/>
        </w:numPr>
        <w:autoSpaceDE w:val="0"/>
        <w:autoSpaceDN w:val="0"/>
        <w:adjustRightInd w:val="0"/>
        <w:snapToGrid w:val="0"/>
        <w:spacing w:line="560" w:lineRule="exact"/>
        <w:jc w:val="left"/>
        <w:rPr>
          <w:rFonts w:ascii="宋体" w:hAnsi="宋体" w:cs="宋体"/>
        </w:rPr>
      </w:pPr>
      <w:r>
        <w:rPr>
          <w:rFonts w:hint="eastAsia" w:ascii="宋体" w:hAnsi="宋体" w:cs="宋体"/>
        </w:rPr>
        <w:t>投标文件中的大写金额与小写金额不一致的，以大写金额为准；</w:t>
      </w:r>
    </w:p>
    <w:p>
      <w:pPr>
        <w:numPr>
          <w:ilvl w:val="0"/>
          <w:numId w:val="8"/>
        </w:numPr>
        <w:autoSpaceDE w:val="0"/>
        <w:autoSpaceDN w:val="0"/>
        <w:adjustRightInd w:val="0"/>
        <w:snapToGrid w:val="0"/>
        <w:spacing w:line="560" w:lineRule="exact"/>
        <w:jc w:val="left"/>
        <w:rPr>
          <w:rFonts w:ascii="宋体" w:hAnsi="宋体" w:cs="宋体"/>
        </w:rPr>
      </w:pPr>
      <w:r>
        <w:rPr>
          <w:rFonts w:hint="eastAsia" w:ascii="宋体" w:hAnsi="宋体" w:cs="宋体"/>
        </w:rPr>
        <w:t>投标文件中开标一览表内容与投标文件中明细表内容不一致的，以开标一览表为准。</w:t>
      </w:r>
    </w:p>
    <w:p>
      <w:pPr>
        <w:adjustRightInd w:val="0"/>
        <w:snapToGrid w:val="0"/>
        <w:spacing w:line="560" w:lineRule="exact"/>
        <w:rPr>
          <w:b/>
          <w:bCs/>
          <w:sz w:val="24"/>
        </w:rPr>
      </w:pPr>
      <w:r>
        <w:rPr>
          <w:rFonts w:hint="eastAsia"/>
          <w:b/>
          <w:bCs/>
          <w:sz w:val="24"/>
        </w:rPr>
        <w:t>3.2 详细评审</w:t>
      </w:r>
    </w:p>
    <w:p>
      <w:pPr>
        <w:adjustRightInd w:val="0"/>
        <w:snapToGrid w:val="0"/>
        <w:spacing w:line="560" w:lineRule="exact"/>
        <w:rPr>
          <w:lang w:val="zh-CN"/>
        </w:rPr>
      </w:pPr>
      <w:r>
        <w:rPr>
          <w:rFonts w:hint="eastAsia"/>
        </w:rPr>
        <w:t xml:space="preserve">3.2.1 </w:t>
      </w:r>
      <w:r>
        <w:rPr>
          <w:rFonts w:hint="eastAsia"/>
          <w:lang w:val="zh-CN"/>
        </w:rPr>
        <w:t>评标委员会按本章第2.2款的评分标准进行打分，并计算出综合评审得分。</w:t>
      </w:r>
    </w:p>
    <w:p>
      <w:pPr>
        <w:adjustRightInd w:val="0"/>
        <w:snapToGrid w:val="0"/>
        <w:spacing w:line="560" w:lineRule="exact"/>
        <w:rPr>
          <w:lang w:val="zh-CN"/>
        </w:rPr>
      </w:pPr>
      <w:r>
        <w:rPr>
          <w:rFonts w:hint="eastAsia"/>
        </w:rPr>
        <w:t xml:space="preserve">3.2.2 </w:t>
      </w:r>
      <w:r>
        <w:rPr>
          <w:rFonts w:hint="eastAsia"/>
          <w:lang w:val="zh-CN"/>
        </w:rPr>
        <w:t>评标委员会发现投标人的投标总报价</w:t>
      </w:r>
      <w:r>
        <w:rPr>
          <w:rFonts w:hint="eastAsia"/>
        </w:rPr>
        <w:t>高</w:t>
      </w:r>
      <w:r>
        <w:rPr>
          <w:rFonts w:hint="eastAsia"/>
          <w:lang w:val="zh-CN"/>
        </w:rPr>
        <w:t>于</w:t>
      </w:r>
      <w:r>
        <w:rPr>
          <w:rFonts w:hint="eastAsia"/>
        </w:rPr>
        <w:t>招标文件规定的控制价</w:t>
      </w:r>
      <w:r>
        <w:rPr>
          <w:rFonts w:hint="eastAsia"/>
          <w:lang w:val="zh-CN"/>
        </w:rPr>
        <w:t>，评标委员会应按无效投标处理。</w:t>
      </w:r>
    </w:p>
    <w:p>
      <w:pPr>
        <w:adjustRightInd w:val="0"/>
        <w:snapToGrid w:val="0"/>
        <w:spacing w:line="560" w:lineRule="exact"/>
        <w:rPr>
          <w:b/>
          <w:bCs/>
          <w:sz w:val="24"/>
        </w:rPr>
      </w:pPr>
      <w:r>
        <w:rPr>
          <w:rFonts w:hint="eastAsia"/>
          <w:b/>
          <w:bCs/>
          <w:sz w:val="24"/>
        </w:rPr>
        <w:t>3.3 投标文件的澄清和补正</w:t>
      </w:r>
    </w:p>
    <w:p>
      <w:pPr>
        <w:adjustRightInd w:val="0"/>
        <w:snapToGrid w:val="0"/>
        <w:spacing w:line="560" w:lineRule="exact"/>
        <w:rPr>
          <w:lang w:val="zh-CN"/>
        </w:rPr>
      </w:pPr>
      <w:r>
        <w:rPr>
          <w:rFonts w:hint="eastAsia"/>
        </w:rPr>
        <w:t xml:space="preserve">3.3.1 </w:t>
      </w:r>
      <w:r>
        <w:rPr>
          <w:rFonts w:hint="eastAsia"/>
          <w:lang w:val="zh-CN"/>
        </w:rPr>
        <w:t>在评标过程中，评标委员会可以书面形式要求投标人对所提交投标文件中不明确的内容进行书面澄清或说明，或者对细微偏差进行补正。</w:t>
      </w:r>
    </w:p>
    <w:p>
      <w:pPr>
        <w:adjustRightInd w:val="0"/>
        <w:snapToGrid w:val="0"/>
        <w:spacing w:line="560" w:lineRule="exact"/>
        <w:rPr>
          <w:lang w:val="zh-CN"/>
        </w:rPr>
      </w:pPr>
      <w:r>
        <w:rPr>
          <w:rFonts w:hint="eastAsia"/>
        </w:rPr>
        <w:t xml:space="preserve">3.3.2 </w:t>
      </w:r>
      <w:r>
        <w:rPr>
          <w:rFonts w:hint="eastAsia"/>
          <w:lang w:val="zh-CN"/>
        </w:rPr>
        <w:t>澄清、说明和补正不得改变投标文件的实质性内容（算术性错误修正的除外）。投标人的书面澄清、说明和补正属于投标文件的组成部分。</w:t>
      </w:r>
    </w:p>
    <w:p>
      <w:pPr>
        <w:adjustRightInd w:val="0"/>
        <w:snapToGrid w:val="0"/>
        <w:spacing w:line="560" w:lineRule="exact"/>
        <w:rPr>
          <w:b/>
          <w:bCs/>
          <w:sz w:val="24"/>
        </w:rPr>
      </w:pPr>
      <w:r>
        <w:rPr>
          <w:rFonts w:hint="eastAsia"/>
          <w:b/>
          <w:bCs/>
          <w:sz w:val="24"/>
        </w:rPr>
        <w:t>3.4 评标结果</w:t>
      </w:r>
    </w:p>
    <w:p>
      <w:pPr>
        <w:adjustRightInd w:val="0"/>
        <w:snapToGrid w:val="0"/>
        <w:spacing w:line="560" w:lineRule="exact"/>
        <w:rPr>
          <w:rFonts w:hint="eastAsia" w:eastAsia="宋体"/>
          <w:lang w:val="en-US" w:eastAsia="zh-CN"/>
        </w:rPr>
      </w:pPr>
      <w:r>
        <w:rPr>
          <w:rFonts w:hint="eastAsia"/>
        </w:rPr>
        <w:t xml:space="preserve">3.4.1 </w:t>
      </w:r>
      <w:r>
        <w:rPr>
          <w:rFonts w:hint="eastAsia"/>
          <w:lang w:val="zh-CN"/>
        </w:rPr>
        <w:t>投标人得分=投标报价得分+</w:t>
      </w:r>
      <w:r>
        <w:rPr>
          <w:rFonts w:hint="eastAsia"/>
          <w:lang w:eastAsia="zh-CN"/>
        </w:rPr>
        <w:t>商务</w:t>
      </w:r>
      <w:r>
        <w:rPr>
          <w:rFonts w:hint="eastAsia"/>
        </w:rPr>
        <w:t>得分</w:t>
      </w:r>
      <w:r>
        <w:rPr>
          <w:rFonts w:hint="eastAsia"/>
          <w:lang w:val="zh-CN"/>
        </w:rPr>
        <w:t>+</w:t>
      </w:r>
      <w:r>
        <w:rPr>
          <w:rFonts w:hint="eastAsia"/>
          <w:lang w:eastAsia="zh-CN"/>
        </w:rPr>
        <w:t>技术</w:t>
      </w:r>
      <w:r>
        <w:rPr>
          <w:rFonts w:hint="eastAsia"/>
        </w:rPr>
        <w:t>得分</w:t>
      </w:r>
      <w:r>
        <w:rPr>
          <w:rFonts w:hint="eastAsia"/>
          <w:lang w:val="en-US" w:eastAsia="zh-CN"/>
        </w:rPr>
        <w:t>+售后服务得分</w:t>
      </w:r>
    </w:p>
    <w:p>
      <w:pPr>
        <w:adjustRightInd w:val="0"/>
        <w:snapToGrid w:val="0"/>
        <w:spacing w:line="560" w:lineRule="exact"/>
        <w:rPr>
          <w:lang w:val="zh-CN"/>
        </w:rPr>
      </w:pPr>
      <w:r>
        <w:rPr>
          <w:rFonts w:hint="eastAsia"/>
        </w:rPr>
        <w:t>3.4.2</w:t>
      </w:r>
      <w:r>
        <w:rPr>
          <w:rFonts w:hint="eastAsia"/>
          <w:lang w:val="zh-CN"/>
        </w:rPr>
        <w:t>投标人最终得分为评标委员会完成评审后所有评分的算术平均值，作为该投标人最终得分。</w:t>
      </w:r>
    </w:p>
    <w:p>
      <w:pPr>
        <w:adjustRightInd w:val="0"/>
        <w:snapToGrid w:val="0"/>
        <w:spacing w:line="560" w:lineRule="exact"/>
        <w:rPr>
          <w:lang w:val="zh-CN"/>
        </w:rPr>
      </w:pPr>
      <w:r>
        <w:rPr>
          <w:rFonts w:hint="eastAsia"/>
        </w:rPr>
        <w:t xml:space="preserve">3.4.3 </w:t>
      </w:r>
      <w:r>
        <w:rPr>
          <w:rFonts w:hint="eastAsia"/>
          <w:lang w:val="zh-CN"/>
        </w:rPr>
        <w:t>投标人最终得分相同的，投标报价</w:t>
      </w:r>
      <w:r>
        <w:rPr>
          <w:rFonts w:hint="eastAsia"/>
        </w:rPr>
        <w:t>低</w:t>
      </w:r>
      <w:r>
        <w:rPr>
          <w:rFonts w:hint="eastAsia"/>
          <w:lang w:val="zh-CN"/>
        </w:rPr>
        <w:t>的优先，</w:t>
      </w:r>
      <w:r>
        <w:rPr>
          <w:rFonts w:hint="eastAsia"/>
        </w:rPr>
        <w:t>投标报价也相同的以技术得分高的优先，技术得分也相同的由采购人自行确定</w:t>
      </w:r>
      <w:r>
        <w:rPr>
          <w:rFonts w:hint="eastAsia"/>
          <w:lang w:val="zh-CN"/>
        </w:rPr>
        <w:t>。</w:t>
      </w:r>
    </w:p>
    <w:p>
      <w:pPr>
        <w:adjustRightInd w:val="0"/>
        <w:snapToGrid w:val="0"/>
        <w:spacing w:line="560" w:lineRule="exact"/>
        <w:rPr>
          <w:lang w:val="zh-CN"/>
        </w:rPr>
      </w:pPr>
      <w:r>
        <w:rPr>
          <w:rFonts w:hint="eastAsia"/>
        </w:rPr>
        <w:t xml:space="preserve">3.4.4 </w:t>
      </w:r>
      <w:r>
        <w:rPr>
          <w:rFonts w:hint="eastAsia"/>
          <w:lang w:val="zh-CN"/>
        </w:rPr>
        <w:t>计分过程中按四舍五入的法则，最终结果取至小数点后两位。</w:t>
      </w:r>
    </w:p>
    <w:p>
      <w:pPr>
        <w:adjustRightInd w:val="0"/>
        <w:snapToGrid w:val="0"/>
        <w:spacing w:line="560" w:lineRule="exact"/>
        <w:rPr>
          <w:lang w:val="zh-CN"/>
        </w:rPr>
      </w:pPr>
      <w:r>
        <w:rPr>
          <w:rFonts w:hint="eastAsia"/>
        </w:rPr>
        <w:t xml:space="preserve">3.4.5 </w:t>
      </w:r>
      <w:r>
        <w:rPr>
          <w:rFonts w:hint="eastAsia"/>
          <w:lang w:val="zh-CN"/>
        </w:rPr>
        <w:t>评标委员会按照得分由高到低的顺序推荐</w:t>
      </w:r>
      <w:r>
        <w:rPr>
          <w:rFonts w:hint="eastAsia"/>
        </w:rPr>
        <w:t>1-3名</w:t>
      </w:r>
      <w:r>
        <w:rPr>
          <w:rFonts w:hint="eastAsia"/>
          <w:lang w:val="zh-CN"/>
        </w:rPr>
        <w:t>中标候选人。</w:t>
      </w:r>
    </w:p>
    <w:p>
      <w:pPr>
        <w:adjustRightInd w:val="0"/>
        <w:snapToGrid w:val="0"/>
        <w:spacing w:line="560" w:lineRule="exact"/>
        <w:rPr>
          <w:lang w:val="zh-CN"/>
        </w:rPr>
      </w:pPr>
      <w:r>
        <w:rPr>
          <w:rFonts w:hint="eastAsia"/>
        </w:rPr>
        <w:t xml:space="preserve">3.4.6 </w:t>
      </w:r>
      <w:r>
        <w:rPr>
          <w:rFonts w:hint="eastAsia"/>
          <w:lang w:val="zh-CN"/>
        </w:rPr>
        <w:t>评标委员会完成评标后，应当向采购人提交书面评标报告。</w:t>
      </w:r>
    </w:p>
    <w:p>
      <w:pPr>
        <w:adjustRightInd w:val="0"/>
        <w:snapToGrid w:val="0"/>
        <w:spacing w:line="560" w:lineRule="exact"/>
        <w:rPr>
          <w:b/>
          <w:bCs/>
          <w:sz w:val="24"/>
          <w:lang w:val="zh-CN"/>
        </w:rPr>
      </w:pPr>
      <w:r>
        <w:rPr>
          <w:rFonts w:hint="eastAsia"/>
          <w:b/>
          <w:bCs/>
          <w:sz w:val="24"/>
        </w:rPr>
        <w:t xml:space="preserve">3.5 </w:t>
      </w:r>
      <w:r>
        <w:rPr>
          <w:rFonts w:hint="eastAsia"/>
          <w:b/>
          <w:bCs/>
          <w:sz w:val="24"/>
          <w:lang w:val="zh-CN"/>
        </w:rPr>
        <w:t>顺延中标人或重新招标</w:t>
      </w:r>
    </w:p>
    <w:p>
      <w:pPr>
        <w:adjustRightInd w:val="0"/>
        <w:snapToGrid w:val="0"/>
        <w:spacing w:line="560" w:lineRule="exact"/>
        <w:rPr>
          <w:lang w:val="zh-CN"/>
        </w:rPr>
      </w:pPr>
      <w:r>
        <w:rPr>
          <w:rFonts w:hint="eastAsia"/>
          <w:lang w:val="zh-CN"/>
        </w:rPr>
        <w:t>中标人因不可抗力不能履行政府采购合同的，采购人可以与排位在中标人之后第一位的中标候选人签订政府采购合同，或者重新采购。</w:t>
      </w:r>
    </w:p>
    <w:p>
      <w:pPr>
        <w:adjustRightInd w:val="0"/>
        <w:snapToGrid w:val="0"/>
        <w:spacing w:line="560" w:lineRule="exact"/>
        <w:rPr>
          <w:b/>
          <w:bCs/>
          <w:sz w:val="24"/>
        </w:rPr>
      </w:pPr>
      <w:bookmarkStart w:id="239" w:name="_Toc54"/>
      <w:bookmarkStart w:id="240" w:name="_Toc17922"/>
      <w:bookmarkStart w:id="241" w:name="_Toc11630"/>
      <w:bookmarkStart w:id="242" w:name="_Toc7468"/>
      <w:bookmarkStart w:id="243" w:name="_Toc19590"/>
      <w:bookmarkStart w:id="244" w:name="_Toc28863"/>
      <w:bookmarkStart w:id="245" w:name="_Toc16293"/>
      <w:r>
        <w:rPr>
          <w:rFonts w:hint="eastAsia"/>
          <w:b/>
          <w:bCs/>
          <w:sz w:val="24"/>
        </w:rPr>
        <w:t>3.6 保密及其他注意事项</w:t>
      </w:r>
      <w:bookmarkEnd w:id="239"/>
      <w:bookmarkEnd w:id="240"/>
      <w:bookmarkEnd w:id="241"/>
      <w:bookmarkEnd w:id="242"/>
      <w:bookmarkEnd w:id="243"/>
      <w:bookmarkEnd w:id="244"/>
      <w:bookmarkEnd w:id="245"/>
    </w:p>
    <w:p>
      <w:pPr>
        <w:adjustRightInd w:val="0"/>
        <w:snapToGrid w:val="0"/>
        <w:spacing w:line="560" w:lineRule="exact"/>
        <w:rPr>
          <w:lang w:val="zh-CN"/>
        </w:rPr>
      </w:pPr>
      <w:r>
        <w:rPr>
          <w:rFonts w:hint="eastAsia"/>
        </w:rPr>
        <w:t xml:space="preserve">3.6.1 </w:t>
      </w:r>
      <w:r>
        <w:rPr>
          <w:rFonts w:hint="eastAsia"/>
          <w:lang w:val="zh-CN"/>
        </w:rPr>
        <w:t>在评标期间，投标企业不得向评标委员会成员询问评标情况，不得进行旨在影响中标结果的活动。</w:t>
      </w:r>
    </w:p>
    <w:p>
      <w:pPr>
        <w:adjustRightInd w:val="0"/>
        <w:snapToGrid w:val="0"/>
        <w:spacing w:line="560" w:lineRule="exact"/>
        <w:rPr>
          <w:lang w:val="zh-CN"/>
        </w:rPr>
      </w:pPr>
      <w:r>
        <w:rPr>
          <w:rFonts w:hint="eastAsia"/>
        </w:rPr>
        <w:t xml:space="preserve">3.6.2 </w:t>
      </w:r>
      <w:r>
        <w:rPr>
          <w:rFonts w:hint="eastAsia"/>
          <w:lang w:val="zh-CN"/>
        </w:rPr>
        <w:t>在评标结束后，凡与评标情况有接触的任何人不得也不应将评标情况扩散出评标委员会成员之外。</w:t>
      </w:r>
    </w:p>
    <w:p>
      <w:pPr>
        <w:adjustRightInd w:val="0"/>
        <w:snapToGrid w:val="0"/>
        <w:spacing w:line="560" w:lineRule="exact"/>
        <w:rPr>
          <w:rFonts w:ascii="方正小标宋简体" w:hAnsi="方正小标宋简体" w:eastAsia="方正小标宋简体" w:cs="方正小标宋简体"/>
          <w:sz w:val="44"/>
          <w:szCs w:val="44"/>
        </w:rPr>
      </w:pPr>
      <w:r>
        <w:rPr>
          <w:rFonts w:hint="eastAsia"/>
        </w:rPr>
        <w:t>3.6.3</w:t>
      </w:r>
      <w:r>
        <w:rPr>
          <w:rFonts w:hint="eastAsia"/>
          <w:lang w:val="zh-CN"/>
        </w:rPr>
        <w:t>招标代理机构不向落标方解释落标原因，不退还投标文件。</w:t>
      </w:r>
    </w:p>
    <w:p>
      <w:pPr>
        <w:tabs>
          <w:tab w:val="left" w:pos="720"/>
        </w:tabs>
        <w:spacing w:line="440" w:lineRule="exact"/>
        <w:ind w:firstLine="420" w:firstLineChars="200"/>
        <w:rPr>
          <w:rFonts w:asciiTheme="minorEastAsia" w:hAnsiTheme="minorEastAsia" w:eastAsiaTheme="minorEastAsia" w:cstheme="minorEastAsia"/>
          <w:szCs w:val="28"/>
        </w:rPr>
      </w:pPr>
      <w:r>
        <w:rPr>
          <w:rFonts w:hint="eastAsia" w:asciiTheme="minorEastAsia" w:hAnsiTheme="minorEastAsia" w:eastAsiaTheme="minorEastAsia" w:cstheme="minorEastAsia"/>
          <w:bCs/>
          <w:kern w:val="0"/>
          <w:szCs w:val="21"/>
        </w:rPr>
        <w:br w:type="page"/>
      </w:r>
    </w:p>
    <w:p>
      <w:pPr>
        <w:pStyle w:val="38"/>
        <w:spacing w:line="600" w:lineRule="exact"/>
        <w:ind w:right="-63" w:rightChars="-30"/>
        <w:rPr>
          <w:rFonts w:asciiTheme="minorEastAsia" w:hAnsiTheme="minorEastAsia" w:eastAsiaTheme="minorEastAsia" w:cstheme="minorEastAsia"/>
          <w:sz w:val="36"/>
          <w:szCs w:val="36"/>
        </w:rPr>
      </w:pPr>
      <w:bookmarkStart w:id="246" w:name="_Toc955"/>
      <w:r>
        <w:rPr>
          <w:rFonts w:hint="eastAsia" w:asciiTheme="minorEastAsia" w:hAnsiTheme="minorEastAsia" w:eastAsiaTheme="minorEastAsia" w:cstheme="minorEastAsia"/>
          <w:sz w:val="36"/>
          <w:szCs w:val="36"/>
        </w:rPr>
        <w:t>第四章  合同条款及格式</w:t>
      </w:r>
      <w:bookmarkEnd w:id="222"/>
      <w:bookmarkEnd w:id="223"/>
      <w:bookmarkEnd w:id="224"/>
      <w:bookmarkEnd w:id="246"/>
    </w:p>
    <w:p>
      <w:pPr>
        <w:spacing w:line="440" w:lineRule="exact"/>
        <w:ind w:firstLine="482"/>
        <w:rPr>
          <w:rFonts w:asciiTheme="minorEastAsia" w:hAnsiTheme="minorEastAsia" w:eastAsiaTheme="minorEastAsia" w:cstheme="minorEastAsia"/>
          <w:szCs w:val="21"/>
        </w:rPr>
      </w:pPr>
      <w:bookmarkStart w:id="247" w:name="_Toc12807"/>
      <w:r>
        <w:rPr>
          <w:rFonts w:hint="eastAsia" w:asciiTheme="minorEastAsia" w:hAnsiTheme="minorEastAsia" w:eastAsiaTheme="minorEastAsia" w:cstheme="minorEastAsia"/>
          <w:szCs w:val="21"/>
        </w:rPr>
        <w:t xml:space="preserve">合同名称：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合同编号：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本合同         （以下简称 “发包人” ） 与“承包人” ）于   年  月  日商定并签署。</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一、概述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定义： 合同文本中以下的用词及词语除根据上下文另有</w:t>
      </w:r>
      <w:r>
        <w:rPr>
          <w:rFonts w:hint="eastAsia" w:asciiTheme="minorEastAsia" w:hAnsiTheme="minorEastAsia" w:eastAsiaTheme="minorEastAsia" w:cstheme="minorEastAsia"/>
          <w:kern w:val="0"/>
          <w:szCs w:val="21"/>
        </w:rPr>
        <w:t xml:space="preserve">要求外， 应具有本条所赋予的含义：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(1)合同：指本合同条款、合同协议书以及其它明确列入或合同协议书中的文件；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(2)发包人：</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(3)承包人：具有承包主体资格并被发包人接受的当事人。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(4)投标书：指承包人为项目向发包人提供的，为项目而作的有报价的投标文件。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kern w:val="0"/>
          <w:szCs w:val="21"/>
        </w:rPr>
        <w:t>(5)项目名称：</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(6)合同价款： 指根据合同条款， 用以支付承包人为完成本项目有关工作应付的总金额。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(7)不可抗力：不能预见、无法避免又不能克服的客观强制力量。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二、项目名称及技术要求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（1）项目名称：</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（2）技术要求： </w:t>
      </w:r>
    </w:p>
    <w:p>
      <w:pPr>
        <w:spacing w:line="440" w:lineRule="exact"/>
        <w:ind w:firstLine="482"/>
        <w:rPr>
          <w:rFonts w:asciiTheme="minorEastAsia" w:hAnsiTheme="minorEastAsia" w:eastAsiaTheme="minorEastAsia" w:cstheme="minorEastAsia"/>
          <w:kern w:val="0"/>
          <w:szCs w:val="21"/>
          <w:u w:val="single"/>
        </w:rPr>
      </w:pPr>
      <w:r>
        <w:rPr>
          <w:rFonts w:hint="eastAsia" w:asciiTheme="minorEastAsia" w:hAnsiTheme="minorEastAsia" w:eastAsiaTheme="minorEastAsia" w:cstheme="minorEastAsia"/>
          <w:kern w:val="0"/>
          <w:szCs w:val="21"/>
        </w:rPr>
        <w:t xml:space="preserve">三、双方责任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3.1 发包人责任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(1)发包人向承包人提供开展本项目所需的有关基础资料，并对提供的时间、进度和资料的可靠性负责，时间为合同签订后 5天内。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(2)发包人应按合同规定向承包人支付合同价款；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(3)发包人负责协调本项目工作过程中与有关部门的配合问题；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3.2 承包人责任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(1)按照国家及行业现行的标准、规程、规范、技术条例进行工作；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(2)承包人应按照合同的规定和投标书中有关服务质量方面的承诺进行合同任务的 组织和具体实施，保证服务的质量；</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(4)承包人应依据合同，接受发包人的建议、检查、确认、同意、批准或类似行为， 并不因此变更或免除承包人的责任；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(5)承包人未经发包人同意不得向第三方转让， 或用于本合同以外的任何项目。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四、合同工期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供货及安装期：</w:t>
      </w:r>
      <w:r>
        <w:rPr>
          <w:rFonts w:hint="eastAsia" w:asciiTheme="minorEastAsia" w:hAnsiTheme="minorEastAsia" w:eastAsiaTheme="minorEastAsia" w:cstheme="minorEastAsia"/>
          <w:kern w:val="1"/>
          <w:szCs w:val="21"/>
        </w:rPr>
        <w:t xml:space="preserve">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五、合同价款与支付方式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5.1 合同价款： 本项目合同价款为人民币大写： （￥       元）。 </w:t>
      </w:r>
    </w:p>
    <w:p>
      <w:pPr>
        <w:pStyle w:val="3"/>
        <w:ind w:firstLine="420" w:firstLineChars="200"/>
        <w:rPr>
          <w:rFonts w:hint="default" w:asciiTheme="minorEastAsia" w:hAnsiTheme="minorEastAsia" w:eastAsiaTheme="minorEastAsia" w:cstheme="minorEastAsia"/>
          <w:kern w:val="2"/>
          <w:sz w:val="21"/>
          <w:szCs w:val="21"/>
          <w:lang w:val="en-US" w:eastAsia="zh-CN" w:bidi="ar-SA"/>
        </w:rPr>
      </w:pPr>
      <w:r>
        <w:rPr>
          <w:rFonts w:asciiTheme="minorEastAsia" w:hAnsiTheme="minorEastAsia" w:eastAsiaTheme="minorEastAsia" w:cstheme="minorEastAsia"/>
          <w:color w:val="auto"/>
          <w:kern w:val="2"/>
          <w:sz w:val="21"/>
          <w:szCs w:val="21"/>
        </w:rPr>
        <w:t>5</w:t>
      </w:r>
      <w:r>
        <w:rPr>
          <w:rFonts w:hint="eastAsia" w:asciiTheme="minorEastAsia" w:hAnsiTheme="minorEastAsia" w:eastAsiaTheme="minorEastAsia" w:cstheme="minorEastAsia"/>
          <w:kern w:val="2"/>
          <w:sz w:val="21"/>
          <w:szCs w:val="21"/>
          <w:lang w:val="en-US" w:eastAsia="zh-CN" w:bidi="ar-SA"/>
        </w:rPr>
        <w:t>.2 付款方式：供货安装完毕后两个月内付合同金额的20%，经验收合格后剩余80%按照科室收入的增长按比例分60个月付款。</w:t>
      </w:r>
    </w:p>
    <w:p>
      <w:pPr>
        <w:spacing w:line="440" w:lineRule="exact"/>
        <w:ind w:firstLine="482"/>
        <w:rPr>
          <w:rFonts w:hint="eastAsia" w:asciiTheme="minorEastAsia" w:hAnsiTheme="minorEastAsia" w:eastAsiaTheme="minorEastAsia" w:cstheme="minorEastAsia"/>
          <w:szCs w:val="21"/>
        </w:rPr>
      </w:pPr>
      <w:r>
        <w:rPr>
          <w:rFonts w:hint="eastAsia" w:ascii="宋体" w:hAnsi="宋体" w:eastAsia="宋体" w:cs="宋体"/>
          <w:color w:val="000000"/>
          <w:szCs w:val="21"/>
        </w:rPr>
        <w:t>六、合同主要条款</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6.1 发包人或承包人违反合同规定造成损失的应承担违约责任；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6.2 因承包人提供的成果造成发包人损失的，由承包人继续完善成果，并按损失的大小减收服务费； </w:t>
      </w:r>
    </w:p>
    <w:p>
      <w:pPr>
        <w:spacing w:line="440" w:lineRule="exact"/>
        <w:ind w:firstLine="482"/>
        <w:rPr>
          <w:rFonts w:asciiTheme="minorEastAsia" w:hAnsiTheme="minorEastAsia" w:eastAsiaTheme="minorEastAsia" w:cstheme="minorEastAsia"/>
          <w:color w:val="C00000"/>
          <w:szCs w:val="21"/>
        </w:rPr>
      </w:pPr>
      <w:r>
        <w:rPr>
          <w:rFonts w:hint="eastAsia" w:asciiTheme="minorEastAsia" w:hAnsiTheme="minorEastAsia" w:eastAsiaTheme="minorEastAsia" w:cstheme="minorEastAsia"/>
          <w:szCs w:val="21"/>
        </w:rPr>
        <w:t xml:space="preserve">6.3 如由于承包人错误造成重大损失，承包人除负责采取补救措施外，应免收损失部分的服务费，并根据损失程度向发包人偿付赔偿金，赔偿金最多与免收的服务费金额相等。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6.4 发包人违约变更合同内容，未按期提交资料或提交资料错误及对所提资料作较 大修改，以致造成承包人返工或增加工作量时，双方除需另行协商签订补充合同、重新 明确有关条款外，发包人应按承包人所耗工作量向承包人支付返工费或追加工作量的补偿。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6.5 在合同履行期间，非承包人原因，发包人要求终止或解除合同，承包人不退还发包人已付的合同价款；承包人已开始服务工作的，发包人应根据承包人已进行的实际 工作量，支付价款。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6.6合同生效后，非发包人原因承包人要求终止或解除合同，应双倍返还已付合同价款。 </w:t>
      </w:r>
    </w:p>
    <w:p>
      <w:pPr>
        <w:pStyle w:val="3"/>
        <w:ind w:firstLine="420" w:firstLineChars="200"/>
        <w:rPr>
          <w:rFonts w:ascii="宋体" w:hAnsi="宋体" w:eastAsia="宋体" w:cs="宋体"/>
          <w:color w:val="000000"/>
          <w:szCs w:val="21"/>
        </w:rPr>
      </w:pPr>
      <w:r>
        <w:rPr>
          <w:rFonts w:hint="eastAsia" w:ascii="宋体" w:hAnsi="宋体" w:eastAsia="宋体" w:cs="宋体"/>
          <w:color w:val="000000"/>
          <w:szCs w:val="21"/>
        </w:rPr>
        <w:t xml:space="preserve"> 6.7履约保证金</w:t>
      </w:r>
      <w:r>
        <w:rPr>
          <w:rFonts w:hint="eastAsia" w:ascii="宋体" w:hAnsi="宋体" w:eastAsia="宋体" w:cs="宋体"/>
          <w:color w:val="000000"/>
          <w:szCs w:val="21"/>
        </w:rPr>
        <w:tab/>
      </w:r>
      <w:r>
        <w:rPr>
          <w:rFonts w:hint="eastAsia" w:ascii="宋体" w:hAnsi="宋体" w:eastAsia="宋体" w:cs="宋体"/>
          <w:color w:val="000000"/>
          <w:szCs w:val="21"/>
        </w:rPr>
        <w:t>履约保证金为中标价的5%。</w:t>
      </w:r>
    </w:p>
    <w:p>
      <w:pPr>
        <w:pStyle w:val="3"/>
        <w:ind w:firstLine="420" w:firstLineChars="200"/>
        <w:rPr>
          <w:rFonts w:eastAsia="宋体"/>
          <w:color w:val="000000"/>
        </w:rPr>
      </w:pPr>
      <w:r>
        <w:rPr>
          <w:rFonts w:hint="eastAsia" w:ascii="宋体" w:hAnsi="宋体" w:eastAsia="宋体" w:cs="宋体"/>
          <w:color w:val="000000"/>
          <w:szCs w:val="21"/>
        </w:rPr>
        <w:t>履约保证金的形式包括：现金、转账和银行保函。</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七、争议与索赔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7.1 争议：发包人、承包人双方因合同发生争议时，双方应通过友好协商解决，协商不能达成协议，要求调解、仲裁、或诉讼的，可采用以下程序解决：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首先双方向上级管部门请求调解，调解达不成协议的，</w:t>
      </w:r>
      <w:bookmarkStart w:id="248" w:name="page"/>
      <w:bookmarkEnd w:id="248"/>
      <w:r>
        <w:rPr>
          <w:rFonts w:hint="eastAsia" w:asciiTheme="minorEastAsia" w:hAnsiTheme="minorEastAsia" w:eastAsiaTheme="minorEastAsia" w:cstheme="minorEastAsia"/>
          <w:szCs w:val="21"/>
        </w:rPr>
        <w:t xml:space="preserve">双方向有管辖权的仲 裁机关申请仲裁或直接向人民法院起诉。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仲裁费用或一切诉讼费用由败诉方承担。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仲裁及诉讼期间，发包人、承包人应继续履行合同规定的各自义务。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7.2 索赔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7.2.1 承包人可按以下规定向发包人索赔： </w:t>
      </w:r>
    </w:p>
    <w:p>
      <w:pPr>
        <w:spacing w:line="440" w:lineRule="exact"/>
        <w:ind w:firstLine="315" w:firstLineChars="15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（1）有正当索赔理由，且有索赔事件发生时的有关证据；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（2）索赔事件发生后 20 天内，向发包人发出要求索赔的通知；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（3）发包人在接到索赔通知后 10 天内给予响应，或要求承包人进一步补充索赔理 由和证据，发包人在 10 天内未予答复，应视为该项索赔已经认可。</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 xml:space="preserve">    7.2.2 发包人可按以下规定向承包人索赔：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（1）有正当索赔理由，且有索赔事件发生时的有关证据；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（2）索赔事件发生后 20 天内，向承包人发出要求索赔的通知；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（3）承包人在接到索赔通知后 10 天内给予响应，或要求发包人进一步补充索赔理 由或证据，承包人在 10 天内未予答复，应视为该项索赔已经认可。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八、设备、人员事故的责任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承包人应为其执行本合同所投入的设备及雇佣的全部人员承担事故责任。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九、其它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9.1 下列文件应作为本合同的组成部分：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① 本合同及补充合同（如有）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② 投标书（发包人接受的部分）；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③ 双方认为必要的其它文件。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9.2 由于不可抗力因素致使合同无法履行时，双方应及时协商解决；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9.3 本合同未尽事宜，双方可签订补充协议作为附件，补充协议与合同具有同等法律效力；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9.4 合同有效期：本合同经双方代表签字盖章后生效。</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9.5 合同份数：合同正本 2 份，双方各执 1 份；副本 4 份，双方各执 2 份。 </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发包人：(盖公章)  承包人：(盖公章)</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法定代表人(或授权代表)：(签名)                      法定代表人(或授权代表)：(签字)</w:t>
      </w:r>
    </w:p>
    <w:p>
      <w:pPr>
        <w:spacing w:line="440" w:lineRule="exact"/>
        <w:ind w:firstLine="48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地址：                                         地址：</w:t>
      </w:r>
    </w:p>
    <w:p>
      <w:pPr>
        <w:spacing w:line="440" w:lineRule="exact"/>
        <w:ind w:firstLine="48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邮编：                                         邮编：</w:t>
      </w:r>
    </w:p>
    <w:p>
      <w:pPr>
        <w:spacing w:line="440" w:lineRule="exact"/>
        <w:ind w:firstLine="48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传真：                                         传真：</w:t>
      </w:r>
    </w:p>
    <w:p>
      <w:pPr>
        <w:spacing w:line="440" w:lineRule="exact"/>
        <w:ind w:left="479" w:leftChars="228"/>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开户行：            开户行：          ：</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账号：                                         账号：</w:t>
      </w:r>
    </w:p>
    <w:p>
      <w:pPr>
        <w:spacing w:line="440" w:lineRule="exact"/>
        <w:ind w:right="420"/>
        <w:jc w:val="righ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签字日期:   年   月   日</w:t>
      </w:r>
    </w:p>
    <w:p>
      <w:pPr>
        <w:pStyle w:val="20"/>
        <w:jc w:val="center"/>
        <w:rPr>
          <w:rFonts w:hint="eastAsia"/>
          <w:b/>
          <w:bCs/>
          <w:sz w:val="32"/>
          <w:szCs w:val="32"/>
        </w:rPr>
      </w:pPr>
      <w:r>
        <w:rPr>
          <w:rFonts w:hint="eastAsia"/>
          <w:b/>
          <w:bCs/>
          <w:sz w:val="32"/>
          <w:szCs w:val="32"/>
        </w:rPr>
        <w:t>第五章 采购内容及需求</w:t>
      </w:r>
    </w:p>
    <w:tbl>
      <w:tblPr>
        <w:tblStyle w:val="40"/>
        <w:tblW w:w="86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8"/>
        <w:gridCol w:w="3692"/>
        <w:gridCol w:w="2075"/>
        <w:gridCol w:w="1265"/>
        <w:gridCol w:w="7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84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jc w:val="center"/>
              <w:rPr>
                <w:rFonts w:asciiTheme="minorEastAsia" w:hAnsiTheme="minorEastAsia" w:eastAsiaTheme="minorEastAsia" w:cstheme="minorEastAsia"/>
                <w:b/>
                <w:bCs/>
                <w:color w:val="000000"/>
                <w:kern w:val="0"/>
                <w:sz w:val="22"/>
              </w:rPr>
            </w:pPr>
            <w:r>
              <w:rPr>
                <w:rFonts w:hint="eastAsia" w:asciiTheme="minorEastAsia" w:hAnsiTheme="minorEastAsia" w:eastAsiaTheme="minorEastAsia" w:cstheme="minorEastAsia"/>
                <w:b/>
                <w:bCs/>
                <w:color w:val="000000"/>
                <w:kern w:val="0"/>
                <w:sz w:val="22"/>
              </w:rPr>
              <w:t>序号</w:t>
            </w:r>
          </w:p>
        </w:tc>
        <w:tc>
          <w:tcPr>
            <w:tcW w:w="369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jc w:val="center"/>
              <w:rPr>
                <w:rFonts w:asciiTheme="minorEastAsia" w:hAnsiTheme="minorEastAsia" w:eastAsiaTheme="minorEastAsia" w:cstheme="minorEastAsia"/>
                <w:b/>
                <w:bCs/>
                <w:color w:val="000000"/>
                <w:kern w:val="0"/>
                <w:sz w:val="22"/>
              </w:rPr>
            </w:pPr>
            <w:r>
              <w:rPr>
                <w:rFonts w:hint="eastAsia" w:asciiTheme="minorEastAsia" w:hAnsiTheme="minorEastAsia" w:eastAsiaTheme="minorEastAsia" w:cstheme="minorEastAsia"/>
                <w:b/>
                <w:bCs/>
                <w:color w:val="000000"/>
                <w:kern w:val="0"/>
                <w:sz w:val="22"/>
              </w:rPr>
              <w:t>类别</w:t>
            </w:r>
          </w:p>
        </w:tc>
        <w:tc>
          <w:tcPr>
            <w:tcW w:w="207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jc w:val="center"/>
              <w:rPr>
                <w:rFonts w:asciiTheme="minorEastAsia" w:hAnsiTheme="minorEastAsia" w:eastAsiaTheme="minorEastAsia" w:cstheme="minorEastAsia"/>
                <w:b/>
                <w:bCs/>
                <w:color w:val="000000"/>
                <w:kern w:val="0"/>
                <w:sz w:val="22"/>
              </w:rPr>
            </w:pPr>
            <w:r>
              <w:rPr>
                <w:rFonts w:hint="eastAsia" w:asciiTheme="minorEastAsia" w:hAnsiTheme="minorEastAsia" w:eastAsiaTheme="minorEastAsia" w:cstheme="minorEastAsia"/>
                <w:b/>
                <w:bCs/>
                <w:color w:val="000000"/>
                <w:kern w:val="0"/>
                <w:sz w:val="22"/>
              </w:rPr>
              <w:t>采购内容及要求</w:t>
            </w:r>
          </w:p>
        </w:tc>
        <w:tc>
          <w:tcPr>
            <w:tcW w:w="126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100" w:beforeAutospacing="1"/>
              <w:jc w:val="center"/>
              <w:rPr>
                <w:rFonts w:asciiTheme="minorEastAsia" w:hAnsiTheme="minorEastAsia" w:eastAsiaTheme="minorEastAsia" w:cstheme="minorEastAsia"/>
                <w:b/>
                <w:bCs/>
                <w:color w:val="000000"/>
                <w:kern w:val="0"/>
                <w:sz w:val="22"/>
              </w:rPr>
            </w:pPr>
            <w:r>
              <w:rPr>
                <w:rFonts w:hint="eastAsia" w:asciiTheme="minorEastAsia" w:hAnsiTheme="minorEastAsia" w:eastAsiaTheme="minorEastAsia" w:cstheme="minorEastAsia"/>
                <w:b/>
                <w:bCs/>
                <w:color w:val="000000"/>
                <w:kern w:val="0"/>
                <w:sz w:val="22"/>
              </w:rPr>
              <w:t>数量</w:t>
            </w:r>
          </w:p>
        </w:tc>
        <w:tc>
          <w:tcPr>
            <w:tcW w:w="778" w:type="dxa"/>
            <w:tcBorders>
              <w:top w:val="single" w:color="auto" w:sz="4" w:space="0"/>
              <w:left w:val="single" w:color="auto" w:sz="4" w:space="0"/>
              <w:bottom w:val="single" w:color="auto" w:sz="4" w:space="0"/>
              <w:right w:val="single" w:color="auto" w:sz="4" w:space="0"/>
            </w:tcBorders>
            <w:vAlign w:val="center"/>
          </w:tcPr>
          <w:p>
            <w:pPr>
              <w:spacing w:before="100" w:beforeAutospacing="1"/>
              <w:jc w:val="center"/>
              <w:rPr>
                <w:rFonts w:asciiTheme="minorEastAsia" w:hAnsiTheme="minorEastAsia" w:eastAsiaTheme="minorEastAsia" w:cstheme="minorEastAsia"/>
                <w:b/>
                <w:bCs/>
                <w:color w:val="000000"/>
                <w:kern w:val="0"/>
                <w:sz w:val="22"/>
              </w:rPr>
            </w:pPr>
            <w:r>
              <w:rPr>
                <w:rFonts w:hint="eastAsia" w:asciiTheme="minorEastAsia" w:hAnsiTheme="minorEastAsia" w:eastAsiaTheme="minorEastAsia" w:cstheme="minorEastAsia"/>
                <w:b/>
                <w:bCs/>
                <w:color w:val="000000"/>
                <w:kern w:val="0"/>
                <w:sz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848" w:type="dxa"/>
            <w:tcBorders>
              <w:top w:val="single" w:color="auto" w:sz="4" w:space="0"/>
              <w:left w:val="single" w:color="auto" w:sz="4" w:space="0"/>
              <w:right w:val="single" w:color="auto" w:sz="4" w:space="0"/>
            </w:tcBorders>
            <w:vAlign w:val="center"/>
          </w:tcPr>
          <w:p>
            <w:pPr>
              <w:jc w:val="center"/>
              <w:textAlignment w:val="center"/>
              <w:rPr>
                <w:rFonts w:asciiTheme="minorEastAsia" w:hAnsiTheme="minorEastAsia" w:eastAsiaTheme="minorEastAsia" w:cstheme="minorEastAsia"/>
                <w:color w:val="000000"/>
                <w:kern w:val="0"/>
                <w:sz w:val="22"/>
              </w:rPr>
            </w:pPr>
            <w:r>
              <w:rPr>
                <w:rFonts w:hint="eastAsia" w:asciiTheme="minorEastAsia" w:hAnsiTheme="minorEastAsia" w:eastAsiaTheme="minorEastAsia" w:cstheme="minorEastAsia"/>
                <w:color w:val="000000"/>
                <w:kern w:val="0"/>
                <w:sz w:val="22"/>
              </w:rPr>
              <w:t>1</w:t>
            </w:r>
          </w:p>
        </w:tc>
        <w:tc>
          <w:tcPr>
            <w:tcW w:w="3692" w:type="dxa"/>
            <w:tcBorders>
              <w:top w:val="single" w:color="auto" w:sz="4" w:space="0"/>
              <w:left w:val="single" w:color="auto" w:sz="4" w:space="0"/>
              <w:bottom w:val="single" w:color="auto" w:sz="4" w:space="0"/>
              <w:right w:val="single" w:color="auto" w:sz="4" w:space="0"/>
            </w:tcBorders>
            <w:vAlign w:val="center"/>
          </w:tcPr>
          <w:p>
            <w:pPr>
              <w:spacing w:before="100" w:beforeAutospacing="1"/>
              <w:jc w:val="center"/>
              <w:rPr>
                <w:rFonts w:asciiTheme="minorEastAsia" w:hAnsiTheme="minorEastAsia" w:eastAsiaTheme="minorEastAsia" w:cstheme="minorEastAsia"/>
                <w:color w:val="000000"/>
                <w:kern w:val="0"/>
                <w:sz w:val="22"/>
              </w:rPr>
            </w:pPr>
            <w:r>
              <w:rPr>
                <w:rFonts w:hint="eastAsia" w:ascii="宋体" w:hAnsi="宋体" w:eastAsia="宋体" w:cs="宋体"/>
                <w:color w:val="000000"/>
                <w:kern w:val="0"/>
                <w:sz w:val="20"/>
                <w:szCs w:val="20"/>
              </w:rPr>
              <w:t>儿童综合康复脑功能评估训练系统</w:t>
            </w:r>
          </w:p>
        </w:tc>
        <w:tc>
          <w:tcPr>
            <w:tcW w:w="2075" w:type="dxa"/>
            <w:tcBorders>
              <w:top w:val="single" w:color="auto" w:sz="4" w:space="0"/>
              <w:left w:val="single" w:color="auto" w:sz="4" w:space="0"/>
              <w:bottom w:val="single" w:color="auto" w:sz="4" w:space="0"/>
              <w:right w:val="single" w:color="auto" w:sz="4" w:space="0"/>
            </w:tcBorders>
            <w:vAlign w:val="center"/>
          </w:tcPr>
          <w:p>
            <w:pPr>
              <w:spacing w:before="100" w:beforeAutospacing="1"/>
              <w:jc w:val="center"/>
              <w:rPr>
                <w:rFonts w:asciiTheme="minorEastAsia" w:hAnsiTheme="minorEastAsia" w:eastAsiaTheme="minorEastAsia" w:cstheme="minorEastAsia"/>
                <w:color w:val="000000"/>
                <w:kern w:val="0"/>
                <w:sz w:val="22"/>
              </w:rPr>
            </w:pPr>
            <w:r>
              <w:rPr>
                <w:rFonts w:hint="eastAsia" w:asciiTheme="minorEastAsia" w:hAnsiTheme="minorEastAsia" w:eastAsiaTheme="minorEastAsia" w:cstheme="minorEastAsia"/>
                <w:color w:val="000000"/>
                <w:kern w:val="0"/>
                <w:sz w:val="22"/>
              </w:rPr>
              <w:t>详见附表</w:t>
            </w:r>
          </w:p>
        </w:tc>
        <w:tc>
          <w:tcPr>
            <w:tcW w:w="1265" w:type="dxa"/>
            <w:tcBorders>
              <w:top w:val="single" w:color="auto" w:sz="4" w:space="0"/>
              <w:left w:val="single" w:color="auto" w:sz="4" w:space="0"/>
              <w:bottom w:val="single" w:color="auto" w:sz="4" w:space="0"/>
              <w:right w:val="single" w:color="auto" w:sz="4" w:space="0"/>
            </w:tcBorders>
            <w:vAlign w:val="center"/>
          </w:tcPr>
          <w:p>
            <w:pPr>
              <w:spacing w:before="100" w:beforeAutospacing="1"/>
              <w:jc w:val="center"/>
              <w:rPr>
                <w:rFonts w:asciiTheme="minorEastAsia" w:hAnsiTheme="minorEastAsia" w:eastAsiaTheme="minorEastAsia" w:cstheme="minorEastAsia"/>
                <w:color w:val="000000"/>
                <w:kern w:val="0"/>
                <w:sz w:val="22"/>
              </w:rPr>
            </w:pPr>
            <w:r>
              <w:rPr>
                <w:rFonts w:hint="eastAsia" w:asciiTheme="minorEastAsia" w:hAnsiTheme="minorEastAsia" w:eastAsiaTheme="minorEastAsia" w:cstheme="minorEastAsia"/>
                <w:color w:val="000000"/>
                <w:kern w:val="0"/>
                <w:sz w:val="22"/>
              </w:rPr>
              <w:t>1套</w:t>
            </w:r>
          </w:p>
        </w:tc>
        <w:tc>
          <w:tcPr>
            <w:tcW w:w="778" w:type="dxa"/>
            <w:tcBorders>
              <w:top w:val="single" w:color="auto" w:sz="4" w:space="0"/>
              <w:left w:val="single" w:color="auto" w:sz="4" w:space="0"/>
              <w:bottom w:val="single" w:color="auto" w:sz="4" w:space="0"/>
              <w:right w:val="single" w:color="auto" w:sz="4" w:space="0"/>
            </w:tcBorders>
          </w:tcPr>
          <w:p>
            <w:pPr>
              <w:spacing w:before="100" w:beforeAutospacing="1"/>
              <w:jc w:val="center"/>
              <w:rPr>
                <w:rFonts w:asciiTheme="minorEastAsia" w:hAnsiTheme="minorEastAsia" w:eastAsiaTheme="minorEastAsia" w:cstheme="minorEastAsia"/>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848" w:type="dxa"/>
            <w:tcBorders>
              <w:left w:val="single" w:color="auto" w:sz="4" w:space="0"/>
              <w:right w:val="single" w:color="auto" w:sz="4" w:space="0"/>
            </w:tcBorders>
            <w:vAlign w:val="center"/>
          </w:tcPr>
          <w:p>
            <w:pPr>
              <w:jc w:val="center"/>
              <w:textAlignment w:val="center"/>
              <w:rPr>
                <w:rFonts w:hint="eastAsia" w:asciiTheme="minorEastAsia" w:hAnsiTheme="minorEastAsia" w:eastAsiaTheme="minorEastAsia" w:cstheme="minorEastAsia"/>
                <w:color w:val="000000"/>
                <w:kern w:val="0"/>
                <w:sz w:val="22"/>
                <w:lang w:val="en-US" w:eastAsia="zh-CN"/>
              </w:rPr>
            </w:pPr>
            <w:r>
              <w:rPr>
                <w:rFonts w:hint="eastAsia" w:asciiTheme="minorEastAsia" w:hAnsiTheme="minorEastAsia" w:eastAsiaTheme="minorEastAsia" w:cstheme="minorEastAsia"/>
                <w:color w:val="000000"/>
                <w:kern w:val="0"/>
                <w:sz w:val="22"/>
                <w:lang w:val="en-US" w:eastAsia="zh-CN"/>
              </w:rPr>
              <w:t>2</w:t>
            </w:r>
          </w:p>
        </w:tc>
        <w:tc>
          <w:tcPr>
            <w:tcW w:w="369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2"/>
                <w:sz w:val="20"/>
                <w:szCs w:val="20"/>
                <w:lang w:val="en-US" w:eastAsia="zh-CN" w:bidi="ar-SA"/>
              </w:rPr>
            </w:pPr>
            <w:r>
              <w:rPr>
                <w:rFonts w:hint="eastAsia" w:ascii="宋体" w:hAnsi="宋体" w:eastAsia="宋体" w:cs="宋体"/>
                <w:color w:val="000000"/>
                <w:kern w:val="0"/>
                <w:sz w:val="20"/>
                <w:szCs w:val="20"/>
              </w:rPr>
              <w:t>音乐训练仪</w:t>
            </w:r>
          </w:p>
        </w:tc>
        <w:tc>
          <w:tcPr>
            <w:tcW w:w="2075" w:type="dxa"/>
            <w:tcBorders>
              <w:top w:val="single" w:color="auto" w:sz="4" w:space="0"/>
              <w:left w:val="single" w:color="auto" w:sz="4" w:space="0"/>
              <w:bottom w:val="single" w:color="auto" w:sz="4" w:space="0"/>
              <w:right w:val="single" w:color="auto" w:sz="4" w:space="0"/>
            </w:tcBorders>
            <w:vAlign w:val="center"/>
          </w:tcPr>
          <w:p>
            <w:pPr>
              <w:spacing w:before="100" w:beforeAutospacing="1"/>
              <w:jc w:val="center"/>
              <w:rPr>
                <w:rFonts w:asciiTheme="minorEastAsia" w:hAnsiTheme="minorEastAsia" w:eastAsiaTheme="minorEastAsia" w:cstheme="minorEastAsia"/>
                <w:color w:val="000000"/>
                <w:kern w:val="0"/>
                <w:sz w:val="22"/>
              </w:rPr>
            </w:pPr>
            <w:r>
              <w:rPr>
                <w:rFonts w:hint="eastAsia" w:asciiTheme="minorEastAsia" w:hAnsiTheme="minorEastAsia" w:eastAsiaTheme="minorEastAsia" w:cstheme="minorEastAsia"/>
                <w:color w:val="000000"/>
                <w:kern w:val="0"/>
                <w:sz w:val="22"/>
              </w:rPr>
              <w:t>详见附表</w:t>
            </w:r>
          </w:p>
        </w:tc>
        <w:tc>
          <w:tcPr>
            <w:tcW w:w="1265" w:type="dxa"/>
            <w:tcBorders>
              <w:top w:val="single" w:color="auto" w:sz="4" w:space="0"/>
              <w:left w:val="single" w:color="auto" w:sz="4" w:space="0"/>
              <w:bottom w:val="single" w:color="auto" w:sz="4" w:space="0"/>
              <w:right w:val="single" w:color="auto" w:sz="4" w:space="0"/>
            </w:tcBorders>
            <w:vAlign w:val="center"/>
          </w:tcPr>
          <w:p>
            <w:pPr>
              <w:spacing w:before="100" w:beforeAutospacing="1"/>
              <w:jc w:val="center"/>
              <w:rPr>
                <w:rFonts w:hint="eastAsia" w:asciiTheme="minorEastAsia" w:hAnsiTheme="minorEastAsia" w:eastAsiaTheme="minorEastAsia" w:cstheme="minorEastAsia"/>
                <w:color w:val="000000"/>
                <w:kern w:val="0"/>
                <w:sz w:val="22"/>
                <w:lang w:eastAsia="zh-CN"/>
              </w:rPr>
            </w:pPr>
            <w:r>
              <w:rPr>
                <w:rFonts w:hint="eastAsia" w:asciiTheme="minorEastAsia" w:hAnsiTheme="minorEastAsia" w:eastAsiaTheme="minorEastAsia" w:cstheme="minorEastAsia"/>
                <w:color w:val="000000"/>
                <w:kern w:val="0"/>
                <w:sz w:val="22"/>
                <w:lang w:val="en-US" w:eastAsia="zh-CN"/>
              </w:rPr>
              <w:t>2</w:t>
            </w:r>
            <w:r>
              <w:rPr>
                <w:rFonts w:hint="eastAsia" w:asciiTheme="minorEastAsia" w:hAnsiTheme="minorEastAsia" w:eastAsiaTheme="minorEastAsia" w:cstheme="minorEastAsia"/>
                <w:color w:val="000000"/>
                <w:kern w:val="0"/>
                <w:sz w:val="22"/>
                <w:lang w:eastAsia="zh-CN"/>
              </w:rPr>
              <w:t>台</w:t>
            </w:r>
          </w:p>
        </w:tc>
        <w:tc>
          <w:tcPr>
            <w:tcW w:w="778" w:type="dxa"/>
            <w:tcBorders>
              <w:top w:val="single" w:color="auto" w:sz="4" w:space="0"/>
              <w:left w:val="single" w:color="auto" w:sz="4" w:space="0"/>
              <w:bottom w:val="single" w:color="auto" w:sz="4" w:space="0"/>
              <w:right w:val="single" w:color="auto" w:sz="4" w:space="0"/>
            </w:tcBorders>
          </w:tcPr>
          <w:p>
            <w:pPr>
              <w:spacing w:before="100" w:beforeAutospacing="1"/>
              <w:jc w:val="center"/>
              <w:rPr>
                <w:rFonts w:asciiTheme="minorEastAsia" w:hAnsiTheme="minorEastAsia" w:eastAsiaTheme="minorEastAsia" w:cstheme="minorEastAsia"/>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848" w:type="dxa"/>
            <w:tcBorders>
              <w:left w:val="single" w:color="auto" w:sz="4" w:space="0"/>
              <w:right w:val="single" w:color="auto" w:sz="4" w:space="0"/>
            </w:tcBorders>
            <w:vAlign w:val="center"/>
          </w:tcPr>
          <w:p>
            <w:pPr>
              <w:jc w:val="center"/>
              <w:textAlignment w:val="center"/>
              <w:rPr>
                <w:rFonts w:hint="eastAsia" w:asciiTheme="minorEastAsia" w:hAnsiTheme="minorEastAsia" w:eastAsiaTheme="minorEastAsia" w:cstheme="minorEastAsia"/>
                <w:color w:val="000000"/>
                <w:kern w:val="0"/>
                <w:sz w:val="22"/>
                <w:lang w:val="en-US" w:eastAsia="zh-CN"/>
              </w:rPr>
            </w:pPr>
            <w:r>
              <w:rPr>
                <w:rFonts w:hint="eastAsia" w:asciiTheme="minorEastAsia" w:hAnsiTheme="minorEastAsia" w:eastAsiaTheme="minorEastAsia" w:cstheme="minorEastAsia"/>
                <w:color w:val="000000"/>
                <w:kern w:val="0"/>
                <w:sz w:val="22"/>
                <w:lang w:val="en-US" w:eastAsia="zh-CN"/>
              </w:rPr>
              <w:t>3</w:t>
            </w:r>
          </w:p>
        </w:tc>
        <w:tc>
          <w:tcPr>
            <w:tcW w:w="369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color w:val="000000"/>
                <w:kern w:val="2"/>
                <w:sz w:val="20"/>
                <w:szCs w:val="20"/>
                <w:lang w:val="en-US" w:eastAsia="zh-CN" w:bidi="ar-SA"/>
              </w:rPr>
            </w:pPr>
            <w:r>
              <w:rPr>
                <w:rFonts w:hint="eastAsia" w:ascii="宋体" w:hAnsi="宋体"/>
                <w:sz w:val="18"/>
                <w:szCs w:val="18"/>
              </w:rPr>
              <w:t>儿童认知能力测试与训练仪</w:t>
            </w:r>
          </w:p>
        </w:tc>
        <w:tc>
          <w:tcPr>
            <w:tcW w:w="2075" w:type="dxa"/>
            <w:tcBorders>
              <w:top w:val="single" w:color="auto" w:sz="4" w:space="0"/>
              <w:left w:val="single" w:color="auto" w:sz="4" w:space="0"/>
              <w:bottom w:val="single" w:color="auto" w:sz="4" w:space="0"/>
              <w:right w:val="single" w:color="auto" w:sz="4" w:space="0"/>
            </w:tcBorders>
            <w:vAlign w:val="center"/>
          </w:tcPr>
          <w:p>
            <w:pPr>
              <w:spacing w:before="100" w:beforeAutospacing="1"/>
              <w:jc w:val="center"/>
              <w:rPr>
                <w:rFonts w:asciiTheme="minorEastAsia" w:hAnsiTheme="minorEastAsia" w:eastAsiaTheme="minorEastAsia" w:cstheme="minorEastAsia"/>
                <w:color w:val="000000"/>
                <w:kern w:val="0"/>
                <w:sz w:val="22"/>
              </w:rPr>
            </w:pPr>
            <w:r>
              <w:rPr>
                <w:rFonts w:hint="eastAsia" w:asciiTheme="minorEastAsia" w:hAnsiTheme="minorEastAsia" w:eastAsiaTheme="minorEastAsia" w:cstheme="minorEastAsia"/>
                <w:color w:val="000000"/>
                <w:kern w:val="0"/>
                <w:sz w:val="22"/>
              </w:rPr>
              <w:t>详见附表</w:t>
            </w:r>
          </w:p>
        </w:tc>
        <w:tc>
          <w:tcPr>
            <w:tcW w:w="1265" w:type="dxa"/>
            <w:tcBorders>
              <w:top w:val="single" w:color="auto" w:sz="4" w:space="0"/>
              <w:left w:val="single" w:color="auto" w:sz="4" w:space="0"/>
              <w:bottom w:val="single" w:color="auto" w:sz="4" w:space="0"/>
              <w:right w:val="single" w:color="auto" w:sz="4" w:space="0"/>
            </w:tcBorders>
            <w:vAlign w:val="center"/>
          </w:tcPr>
          <w:p>
            <w:pPr>
              <w:spacing w:before="100" w:beforeAutospacing="1"/>
              <w:jc w:val="center"/>
              <w:rPr>
                <w:rFonts w:hint="eastAsia" w:asciiTheme="minorEastAsia" w:hAnsiTheme="minorEastAsia" w:eastAsiaTheme="minorEastAsia" w:cstheme="minorEastAsia"/>
                <w:color w:val="000000"/>
                <w:kern w:val="0"/>
                <w:sz w:val="22"/>
                <w:lang w:eastAsia="zh-CN"/>
              </w:rPr>
            </w:pPr>
            <w:r>
              <w:rPr>
                <w:rFonts w:hint="eastAsia" w:asciiTheme="minorEastAsia" w:hAnsiTheme="minorEastAsia" w:eastAsiaTheme="minorEastAsia" w:cstheme="minorEastAsia"/>
                <w:color w:val="000000"/>
                <w:kern w:val="0"/>
                <w:sz w:val="22"/>
              </w:rPr>
              <w:t>1</w:t>
            </w:r>
            <w:r>
              <w:rPr>
                <w:rFonts w:hint="eastAsia" w:asciiTheme="minorEastAsia" w:hAnsiTheme="minorEastAsia" w:eastAsiaTheme="minorEastAsia" w:cstheme="minorEastAsia"/>
                <w:color w:val="000000"/>
                <w:kern w:val="0"/>
                <w:sz w:val="22"/>
                <w:lang w:eastAsia="zh-CN"/>
              </w:rPr>
              <w:t>台</w:t>
            </w:r>
          </w:p>
        </w:tc>
        <w:tc>
          <w:tcPr>
            <w:tcW w:w="778" w:type="dxa"/>
            <w:tcBorders>
              <w:top w:val="single" w:color="auto" w:sz="4" w:space="0"/>
              <w:left w:val="single" w:color="auto" w:sz="4" w:space="0"/>
              <w:bottom w:val="single" w:color="auto" w:sz="4" w:space="0"/>
              <w:right w:val="single" w:color="auto" w:sz="4" w:space="0"/>
            </w:tcBorders>
          </w:tcPr>
          <w:p>
            <w:pPr>
              <w:spacing w:before="100" w:beforeAutospacing="1"/>
              <w:jc w:val="center"/>
              <w:rPr>
                <w:rFonts w:asciiTheme="minorEastAsia" w:hAnsiTheme="minorEastAsia" w:eastAsiaTheme="minorEastAsia" w:cstheme="minorEastAsia"/>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848" w:type="dxa"/>
            <w:tcBorders>
              <w:left w:val="single" w:color="auto" w:sz="4" w:space="0"/>
              <w:right w:val="single" w:color="auto" w:sz="4" w:space="0"/>
            </w:tcBorders>
            <w:vAlign w:val="center"/>
          </w:tcPr>
          <w:p>
            <w:pPr>
              <w:jc w:val="center"/>
              <w:textAlignment w:val="center"/>
              <w:rPr>
                <w:rFonts w:hint="eastAsia" w:asciiTheme="minorEastAsia" w:hAnsiTheme="minorEastAsia" w:eastAsiaTheme="minorEastAsia" w:cstheme="minorEastAsia"/>
                <w:color w:val="000000"/>
                <w:kern w:val="0"/>
                <w:sz w:val="22"/>
                <w:lang w:val="en-US" w:eastAsia="zh-CN"/>
              </w:rPr>
            </w:pPr>
            <w:r>
              <w:rPr>
                <w:rFonts w:hint="eastAsia" w:asciiTheme="minorEastAsia" w:hAnsiTheme="minorEastAsia" w:eastAsiaTheme="minorEastAsia" w:cstheme="minorEastAsia"/>
                <w:color w:val="000000"/>
                <w:kern w:val="0"/>
                <w:sz w:val="22"/>
                <w:lang w:val="en-US" w:eastAsia="zh-CN"/>
              </w:rPr>
              <w:t>4</w:t>
            </w:r>
          </w:p>
        </w:tc>
        <w:tc>
          <w:tcPr>
            <w:tcW w:w="369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2"/>
                <w:sz w:val="20"/>
                <w:szCs w:val="20"/>
                <w:lang w:val="en-US" w:eastAsia="zh-CN" w:bidi="ar-SA"/>
              </w:rPr>
            </w:pPr>
            <w:r>
              <w:rPr>
                <w:rFonts w:hint="eastAsia" w:ascii="宋体" w:hAnsi="宋体" w:eastAsia="宋体" w:cs="宋体"/>
                <w:color w:val="000000"/>
                <w:kern w:val="0"/>
                <w:sz w:val="20"/>
                <w:szCs w:val="20"/>
              </w:rPr>
              <w:t>引导式教育小组训练仪</w:t>
            </w:r>
          </w:p>
        </w:tc>
        <w:tc>
          <w:tcPr>
            <w:tcW w:w="2075" w:type="dxa"/>
            <w:tcBorders>
              <w:top w:val="single" w:color="auto" w:sz="4" w:space="0"/>
              <w:left w:val="single" w:color="auto" w:sz="4" w:space="0"/>
              <w:bottom w:val="single" w:color="auto" w:sz="4" w:space="0"/>
              <w:right w:val="single" w:color="auto" w:sz="4" w:space="0"/>
            </w:tcBorders>
            <w:vAlign w:val="center"/>
          </w:tcPr>
          <w:p>
            <w:pPr>
              <w:spacing w:before="100" w:beforeAutospacing="1"/>
              <w:jc w:val="center"/>
              <w:rPr>
                <w:rFonts w:asciiTheme="minorEastAsia" w:hAnsiTheme="minorEastAsia" w:eastAsiaTheme="minorEastAsia" w:cstheme="minorEastAsia"/>
                <w:color w:val="000000"/>
                <w:kern w:val="0"/>
                <w:sz w:val="22"/>
              </w:rPr>
            </w:pPr>
            <w:r>
              <w:rPr>
                <w:rFonts w:hint="eastAsia" w:asciiTheme="minorEastAsia" w:hAnsiTheme="minorEastAsia" w:eastAsiaTheme="minorEastAsia" w:cstheme="minorEastAsia"/>
                <w:color w:val="000000"/>
                <w:kern w:val="0"/>
                <w:sz w:val="22"/>
              </w:rPr>
              <w:t>详见附表</w:t>
            </w:r>
          </w:p>
        </w:tc>
        <w:tc>
          <w:tcPr>
            <w:tcW w:w="1265" w:type="dxa"/>
            <w:tcBorders>
              <w:top w:val="single" w:color="auto" w:sz="4" w:space="0"/>
              <w:left w:val="single" w:color="auto" w:sz="4" w:space="0"/>
              <w:bottom w:val="single" w:color="auto" w:sz="4" w:space="0"/>
              <w:right w:val="single" w:color="auto" w:sz="4" w:space="0"/>
            </w:tcBorders>
            <w:vAlign w:val="center"/>
          </w:tcPr>
          <w:p>
            <w:pPr>
              <w:spacing w:before="100" w:beforeAutospacing="1"/>
              <w:jc w:val="center"/>
              <w:rPr>
                <w:rFonts w:hint="eastAsia" w:asciiTheme="minorEastAsia" w:hAnsiTheme="minorEastAsia" w:eastAsiaTheme="minorEastAsia" w:cstheme="minorEastAsia"/>
                <w:color w:val="000000"/>
                <w:kern w:val="0"/>
                <w:sz w:val="22"/>
                <w:lang w:eastAsia="zh-CN"/>
              </w:rPr>
            </w:pPr>
            <w:r>
              <w:rPr>
                <w:rFonts w:hint="eastAsia" w:asciiTheme="minorEastAsia" w:hAnsiTheme="minorEastAsia" w:eastAsiaTheme="minorEastAsia" w:cstheme="minorEastAsia"/>
                <w:color w:val="000000"/>
                <w:kern w:val="0"/>
                <w:sz w:val="22"/>
              </w:rPr>
              <w:t>1</w:t>
            </w:r>
            <w:r>
              <w:rPr>
                <w:rFonts w:hint="eastAsia" w:asciiTheme="minorEastAsia" w:hAnsiTheme="minorEastAsia" w:eastAsiaTheme="minorEastAsia" w:cstheme="minorEastAsia"/>
                <w:color w:val="000000"/>
                <w:kern w:val="0"/>
                <w:sz w:val="22"/>
                <w:lang w:eastAsia="zh-CN"/>
              </w:rPr>
              <w:t>台</w:t>
            </w:r>
          </w:p>
        </w:tc>
        <w:tc>
          <w:tcPr>
            <w:tcW w:w="778" w:type="dxa"/>
            <w:tcBorders>
              <w:top w:val="single" w:color="auto" w:sz="4" w:space="0"/>
              <w:left w:val="single" w:color="auto" w:sz="4" w:space="0"/>
              <w:bottom w:val="single" w:color="auto" w:sz="4" w:space="0"/>
              <w:right w:val="single" w:color="auto" w:sz="4" w:space="0"/>
            </w:tcBorders>
          </w:tcPr>
          <w:p>
            <w:pPr>
              <w:spacing w:before="100" w:beforeAutospacing="1"/>
              <w:jc w:val="center"/>
              <w:rPr>
                <w:rFonts w:asciiTheme="minorEastAsia" w:hAnsiTheme="minorEastAsia" w:eastAsiaTheme="minorEastAsia" w:cstheme="minorEastAsia"/>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848" w:type="dxa"/>
            <w:tcBorders>
              <w:left w:val="single" w:color="auto" w:sz="4" w:space="0"/>
              <w:bottom w:val="single" w:color="auto" w:sz="4" w:space="0"/>
              <w:right w:val="single" w:color="auto" w:sz="4" w:space="0"/>
            </w:tcBorders>
            <w:vAlign w:val="center"/>
          </w:tcPr>
          <w:p>
            <w:pPr>
              <w:jc w:val="center"/>
              <w:textAlignment w:val="center"/>
              <w:rPr>
                <w:rFonts w:hint="eastAsia" w:asciiTheme="minorEastAsia" w:hAnsiTheme="minorEastAsia" w:eastAsiaTheme="minorEastAsia" w:cstheme="minorEastAsia"/>
                <w:color w:val="000000"/>
                <w:kern w:val="0"/>
                <w:sz w:val="22"/>
                <w:lang w:val="en-US" w:eastAsia="zh-CN"/>
              </w:rPr>
            </w:pPr>
            <w:r>
              <w:rPr>
                <w:rFonts w:hint="eastAsia" w:asciiTheme="minorEastAsia" w:hAnsiTheme="minorEastAsia" w:eastAsiaTheme="minorEastAsia" w:cstheme="minorEastAsia"/>
                <w:color w:val="000000"/>
                <w:kern w:val="0"/>
                <w:sz w:val="22"/>
                <w:lang w:val="en-US" w:eastAsia="zh-CN"/>
              </w:rPr>
              <w:t>5</w:t>
            </w:r>
          </w:p>
        </w:tc>
        <w:tc>
          <w:tcPr>
            <w:tcW w:w="369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2"/>
                <w:sz w:val="20"/>
                <w:szCs w:val="20"/>
                <w:lang w:val="en-US" w:eastAsia="zh-CN" w:bidi="ar-SA"/>
              </w:rPr>
            </w:pPr>
            <w:r>
              <w:rPr>
                <w:rFonts w:hint="eastAsia" w:ascii="宋体" w:hAnsi="宋体" w:eastAsia="宋体" w:cs="宋体"/>
                <w:color w:val="000000"/>
                <w:kern w:val="0"/>
                <w:sz w:val="20"/>
                <w:szCs w:val="20"/>
              </w:rPr>
              <w:t>多感官训练系统</w:t>
            </w:r>
          </w:p>
        </w:tc>
        <w:tc>
          <w:tcPr>
            <w:tcW w:w="2075" w:type="dxa"/>
            <w:tcBorders>
              <w:top w:val="single" w:color="auto" w:sz="4" w:space="0"/>
              <w:left w:val="single" w:color="auto" w:sz="4" w:space="0"/>
              <w:bottom w:val="single" w:color="auto" w:sz="4" w:space="0"/>
              <w:right w:val="single" w:color="auto" w:sz="4" w:space="0"/>
            </w:tcBorders>
            <w:vAlign w:val="center"/>
          </w:tcPr>
          <w:p>
            <w:pPr>
              <w:spacing w:before="100" w:beforeAutospacing="1"/>
              <w:jc w:val="center"/>
              <w:rPr>
                <w:rFonts w:asciiTheme="minorEastAsia" w:hAnsiTheme="minorEastAsia" w:eastAsiaTheme="minorEastAsia" w:cstheme="minorEastAsia"/>
                <w:color w:val="000000"/>
                <w:kern w:val="0"/>
                <w:sz w:val="22"/>
              </w:rPr>
            </w:pPr>
            <w:r>
              <w:rPr>
                <w:rFonts w:hint="eastAsia" w:asciiTheme="minorEastAsia" w:hAnsiTheme="minorEastAsia" w:eastAsiaTheme="minorEastAsia" w:cstheme="minorEastAsia"/>
                <w:color w:val="000000"/>
                <w:kern w:val="0"/>
                <w:sz w:val="22"/>
              </w:rPr>
              <w:t>详见附表</w:t>
            </w:r>
          </w:p>
        </w:tc>
        <w:tc>
          <w:tcPr>
            <w:tcW w:w="1265" w:type="dxa"/>
            <w:tcBorders>
              <w:top w:val="single" w:color="auto" w:sz="4" w:space="0"/>
              <w:left w:val="single" w:color="auto" w:sz="4" w:space="0"/>
              <w:bottom w:val="single" w:color="auto" w:sz="4" w:space="0"/>
              <w:right w:val="single" w:color="auto" w:sz="4" w:space="0"/>
            </w:tcBorders>
            <w:vAlign w:val="center"/>
          </w:tcPr>
          <w:p>
            <w:pPr>
              <w:spacing w:before="100" w:beforeAutospacing="1"/>
              <w:jc w:val="center"/>
              <w:rPr>
                <w:rFonts w:asciiTheme="minorEastAsia" w:hAnsiTheme="minorEastAsia" w:eastAsiaTheme="minorEastAsia" w:cstheme="minorEastAsia"/>
                <w:color w:val="000000"/>
                <w:kern w:val="0"/>
                <w:sz w:val="22"/>
              </w:rPr>
            </w:pPr>
            <w:r>
              <w:rPr>
                <w:rFonts w:hint="eastAsia" w:asciiTheme="minorEastAsia" w:hAnsiTheme="minorEastAsia" w:eastAsiaTheme="minorEastAsia" w:cstheme="minorEastAsia"/>
                <w:color w:val="000000"/>
                <w:kern w:val="0"/>
                <w:sz w:val="22"/>
              </w:rPr>
              <w:t>1套</w:t>
            </w:r>
          </w:p>
        </w:tc>
        <w:tc>
          <w:tcPr>
            <w:tcW w:w="778" w:type="dxa"/>
            <w:tcBorders>
              <w:top w:val="single" w:color="auto" w:sz="4" w:space="0"/>
              <w:left w:val="single" w:color="auto" w:sz="4" w:space="0"/>
              <w:bottom w:val="single" w:color="auto" w:sz="4" w:space="0"/>
              <w:right w:val="single" w:color="auto" w:sz="4" w:space="0"/>
            </w:tcBorders>
          </w:tcPr>
          <w:p>
            <w:pPr>
              <w:spacing w:before="100" w:beforeAutospacing="1"/>
              <w:jc w:val="center"/>
              <w:rPr>
                <w:rFonts w:asciiTheme="minorEastAsia" w:hAnsiTheme="minorEastAsia" w:eastAsiaTheme="minorEastAsia" w:cstheme="minorEastAsia"/>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848" w:type="dxa"/>
            <w:tcBorders>
              <w:top w:val="single" w:color="auto" w:sz="4" w:space="0"/>
              <w:left w:val="single" w:color="auto" w:sz="4" w:space="0"/>
              <w:right w:val="single" w:color="auto" w:sz="4" w:space="0"/>
            </w:tcBorders>
            <w:vAlign w:val="center"/>
          </w:tcPr>
          <w:p>
            <w:pPr>
              <w:jc w:val="center"/>
              <w:textAlignment w:val="center"/>
              <w:rPr>
                <w:rFonts w:hint="eastAsia" w:asciiTheme="minorEastAsia" w:hAnsiTheme="minorEastAsia" w:eastAsiaTheme="minorEastAsia" w:cstheme="minorEastAsia"/>
                <w:color w:val="000000"/>
                <w:kern w:val="0"/>
                <w:sz w:val="22"/>
                <w:lang w:eastAsia="zh-CN"/>
              </w:rPr>
            </w:pPr>
            <w:r>
              <w:rPr>
                <w:rFonts w:hint="eastAsia" w:asciiTheme="minorEastAsia" w:hAnsiTheme="minorEastAsia" w:eastAsiaTheme="minorEastAsia" w:cstheme="minorEastAsia"/>
                <w:color w:val="000000"/>
                <w:kern w:val="0"/>
                <w:sz w:val="22"/>
                <w:lang w:val="en-US" w:eastAsia="zh-CN"/>
              </w:rPr>
              <w:t>6</w:t>
            </w:r>
          </w:p>
        </w:tc>
        <w:tc>
          <w:tcPr>
            <w:tcW w:w="3692" w:type="dxa"/>
            <w:tcBorders>
              <w:top w:val="single" w:color="auto" w:sz="4" w:space="0"/>
              <w:left w:val="single" w:color="auto" w:sz="4" w:space="0"/>
              <w:right w:val="single" w:color="auto" w:sz="4" w:space="0"/>
            </w:tcBorders>
            <w:vAlign w:val="center"/>
          </w:tcPr>
          <w:p>
            <w:pPr>
              <w:widowControl/>
              <w:jc w:val="center"/>
              <w:textAlignment w:val="center"/>
              <w:rPr>
                <w:rFonts w:ascii="宋体" w:hAnsi="宋体" w:eastAsia="宋体" w:cs="宋体"/>
                <w:color w:val="000000"/>
                <w:kern w:val="2"/>
                <w:sz w:val="20"/>
                <w:szCs w:val="20"/>
                <w:lang w:val="en-US" w:eastAsia="zh-CN" w:bidi="ar-SA"/>
              </w:rPr>
            </w:pPr>
            <w:r>
              <w:rPr>
                <w:rFonts w:hint="eastAsia" w:ascii="宋体" w:hAnsi="宋体" w:eastAsia="宋体" w:cs="宋体"/>
                <w:color w:val="000000"/>
                <w:kern w:val="0"/>
                <w:sz w:val="20"/>
                <w:szCs w:val="20"/>
              </w:rPr>
              <w:t>体外冲击波治疗仪</w:t>
            </w:r>
          </w:p>
        </w:tc>
        <w:tc>
          <w:tcPr>
            <w:tcW w:w="2075" w:type="dxa"/>
            <w:tcBorders>
              <w:top w:val="single" w:color="auto" w:sz="4" w:space="0"/>
              <w:left w:val="single" w:color="auto" w:sz="4" w:space="0"/>
              <w:bottom w:val="single" w:color="auto" w:sz="4" w:space="0"/>
              <w:right w:val="single" w:color="auto" w:sz="4" w:space="0"/>
            </w:tcBorders>
            <w:vAlign w:val="center"/>
          </w:tcPr>
          <w:p>
            <w:pPr>
              <w:spacing w:before="100" w:beforeAutospacing="1"/>
              <w:jc w:val="center"/>
              <w:rPr>
                <w:rFonts w:asciiTheme="minorEastAsia" w:hAnsiTheme="minorEastAsia" w:eastAsiaTheme="minorEastAsia" w:cstheme="minorEastAsia"/>
                <w:color w:val="000000"/>
                <w:kern w:val="0"/>
                <w:sz w:val="22"/>
              </w:rPr>
            </w:pPr>
            <w:r>
              <w:rPr>
                <w:rFonts w:hint="eastAsia" w:asciiTheme="minorEastAsia" w:hAnsiTheme="minorEastAsia" w:eastAsiaTheme="minorEastAsia" w:cstheme="minorEastAsia"/>
                <w:color w:val="000000"/>
                <w:kern w:val="0"/>
                <w:sz w:val="22"/>
              </w:rPr>
              <w:t>详见附表</w:t>
            </w:r>
          </w:p>
        </w:tc>
        <w:tc>
          <w:tcPr>
            <w:tcW w:w="1265" w:type="dxa"/>
            <w:tcBorders>
              <w:top w:val="single" w:color="auto" w:sz="4" w:space="0"/>
              <w:left w:val="single" w:color="auto" w:sz="4" w:space="0"/>
              <w:bottom w:val="single" w:color="auto" w:sz="4" w:space="0"/>
              <w:right w:val="single" w:color="auto" w:sz="4" w:space="0"/>
            </w:tcBorders>
            <w:vAlign w:val="center"/>
          </w:tcPr>
          <w:p>
            <w:pPr>
              <w:spacing w:before="100" w:beforeAutospacing="1"/>
              <w:jc w:val="center"/>
              <w:rPr>
                <w:rFonts w:hint="eastAsia" w:asciiTheme="minorEastAsia" w:hAnsiTheme="minorEastAsia" w:eastAsiaTheme="minorEastAsia" w:cstheme="minorEastAsia"/>
                <w:color w:val="000000"/>
                <w:kern w:val="0"/>
                <w:sz w:val="22"/>
                <w:lang w:eastAsia="zh-CN"/>
              </w:rPr>
            </w:pPr>
            <w:r>
              <w:rPr>
                <w:rFonts w:hint="eastAsia" w:asciiTheme="minorEastAsia" w:hAnsiTheme="minorEastAsia" w:eastAsiaTheme="minorEastAsia" w:cstheme="minorEastAsia"/>
                <w:color w:val="000000"/>
                <w:kern w:val="0"/>
                <w:sz w:val="22"/>
              </w:rPr>
              <w:t>1</w:t>
            </w:r>
            <w:r>
              <w:rPr>
                <w:rFonts w:hint="eastAsia" w:asciiTheme="minorEastAsia" w:hAnsiTheme="minorEastAsia" w:eastAsiaTheme="minorEastAsia" w:cstheme="minorEastAsia"/>
                <w:color w:val="000000"/>
                <w:kern w:val="0"/>
                <w:sz w:val="22"/>
                <w:lang w:eastAsia="zh-CN"/>
              </w:rPr>
              <w:t>台</w:t>
            </w:r>
          </w:p>
        </w:tc>
        <w:tc>
          <w:tcPr>
            <w:tcW w:w="778" w:type="dxa"/>
            <w:tcBorders>
              <w:top w:val="single" w:color="auto" w:sz="4" w:space="0"/>
              <w:left w:val="single" w:color="auto" w:sz="4" w:space="0"/>
              <w:bottom w:val="single" w:color="auto" w:sz="4" w:space="0"/>
              <w:right w:val="single" w:color="auto" w:sz="4" w:space="0"/>
            </w:tcBorders>
          </w:tcPr>
          <w:p>
            <w:pPr>
              <w:spacing w:before="100" w:beforeAutospacing="1"/>
              <w:jc w:val="center"/>
              <w:rPr>
                <w:rFonts w:asciiTheme="minorEastAsia" w:hAnsiTheme="minorEastAsia" w:eastAsiaTheme="minorEastAsia" w:cstheme="minorEastAsia"/>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848" w:type="dxa"/>
            <w:tcBorders>
              <w:left w:val="single" w:color="auto" w:sz="4" w:space="0"/>
              <w:right w:val="single" w:color="auto" w:sz="4" w:space="0"/>
            </w:tcBorders>
            <w:vAlign w:val="center"/>
          </w:tcPr>
          <w:p>
            <w:pPr>
              <w:jc w:val="center"/>
              <w:textAlignment w:val="center"/>
              <w:rPr>
                <w:rFonts w:hint="default" w:asciiTheme="minorEastAsia" w:hAnsiTheme="minorEastAsia" w:eastAsiaTheme="minorEastAsia" w:cstheme="minorEastAsia"/>
                <w:color w:val="000000"/>
                <w:kern w:val="0"/>
                <w:sz w:val="22"/>
                <w:lang w:val="en-US" w:eastAsia="zh-CN"/>
              </w:rPr>
            </w:pPr>
            <w:r>
              <w:rPr>
                <w:rFonts w:hint="eastAsia" w:asciiTheme="minorEastAsia" w:hAnsiTheme="minorEastAsia" w:eastAsiaTheme="minorEastAsia" w:cstheme="minorEastAsia"/>
                <w:color w:val="000000"/>
                <w:kern w:val="0"/>
                <w:sz w:val="22"/>
                <w:lang w:val="en-US" w:eastAsia="zh-CN"/>
              </w:rPr>
              <w:t>7</w:t>
            </w:r>
          </w:p>
        </w:tc>
        <w:tc>
          <w:tcPr>
            <w:tcW w:w="3692" w:type="dxa"/>
            <w:tcBorders>
              <w:left w:val="single" w:color="auto" w:sz="4" w:space="0"/>
              <w:right w:val="single" w:color="auto" w:sz="4" w:space="0"/>
            </w:tcBorders>
            <w:vAlign w:val="center"/>
          </w:tcPr>
          <w:p>
            <w:pPr>
              <w:widowControl/>
              <w:jc w:val="center"/>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脑电仿生电刺激仪</w:t>
            </w:r>
          </w:p>
        </w:tc>
        <w:tc>
          <w:tcPr>
            <w:tcW w:w="2075" w:type="dxa"/>
            <w:tcBorders>
              <w:top w:val="single" w:color="auto" w:sz="4" w:space="0"/>
              <w:left w:val="single" w:color="auto" w:sz="4" w:space="0"/>
              <w:bottom w:val="single" w:color="auto" w:sz="4" w:space="0"/>
              <w:right w:val="single" w:color="auto" w:sz="4" w:space="0"/>
            </w:tcBorders>
            <w:vAlign w:val="center"/>
          </w:tcPr>
          <w:p>
            <w:pPr>
              <w:spacing w:before="100" w:beforeAutospacing="1"/>
              <w:jc w:val="center"/>
              <w:rPr>
                <w:rFonts w:hint="eastAsia" w:asciiTheme="minorEastAsia" w:hAnsiTheme="minorEastAsia" w:eastAsiaTheme="minorEastAsia" w:cstheme="minorEastAsia"/>
                <w:color w:val="000000"/>
                <w:kern w:val="0"/>
                <w:sz w:val="22"/>
              </w:rPr>
            </w:pPr>
            <w:r>
              <w:rPr>
                <w:rFonts w:hint="eastAsia" w:asciiTheme="minorEastAsia" w:hAnsiTheme="minorEastAsia" w:eastAsiaTheme="minorEastAsia" w:cstheme="minorEastAsia"/>
                <w:color w:val="000000"/>
                <w:kern w:val="0"/>
                <w:sz w:val="22"/>
              </w:rPr>
              <w:t>详见附表</w:t>
            </w:r>
          </w:p>
        </w:tc>
        <w:tc>
          <w:tcPr>
            <w:tcW w:w="1265" w:type="dxa"/>
            <w:tcBorders>
              <w:top w:val="single" w:color="auto" w:sz="4" w:space="0"/>
              <w:left w:val="single" w:color="auto" w:sz="4" w:space="0"/>
              <w:bottom w:val="single" w:color="auto" w:sz="4" w:space="0"/>
              <w:right w:val="single" w:color="auto" w:sz="4" w:space="0"/>
            </w:tcBorders>
            <w:vAlign w:val="center"/>
          </w:tcPr>
          <w:p>
            <w:pPr>
              <w:spacing w:before="100" w:beforeAutospacing="1"/>
              <w:jc w:val="center"/>
              <w:rPr>
                <w:rFonts w:hint="eastAsia" w:asciiTheme="minorEastAsia" w:hAnsiTheme="minorEastAsia" w:eastAsiaTheme="minorEastAsia" w:cstheme="minorEastAsia"/>
                <w:color w:val="000000"/>
                <w:kern w:val="0"/>
                <w:sz w:val="22"/>
                <w:lang w:val="en-US" w:eastAsia="zh-CN"/>
              </w:rPr>
            </w:pPr>
            <w:r>
              <w:rPr>
                <w:rFonts w:hint="eastAsia" w:asciiTheme="minorEastAsia" w:hAnsiTheme="minorEastAsia" w:eastAsiaTheme="minorEastAsia" w:cstheme="minorEastAsia"/>
                <w:color w:val="000000"/>
                <w:kern w:val="0"/>
                <w:sz w:val="22"/>
                <w:lang w:val="en-US" w:eastAsia="zh-CN"/>
              </w:rPr>
              <w:t>1台</w:t>
            </w:r>
          </w:p>
        </w:tc>
        <w:tc>
          <w:tcPr>
            <w:tcW w:w="778" w:type="dxa"/>
            <w:tcBorders>
              <w:top w:val="single" w:color="auto" w:sz="4" w:space="0"/>
              <w:left w:val="single" w:color="auto" w:sz="4" w:space="0"/>
              <w:bottom w:val="single" w:color="auto" w:sz="4" w:space="0"/>
              <w:right w:val="single" w:color="auto" w:sz="4" w:space="0"/>
            </w:tcBorders>
          </w:tcPr>
          <w:p>
            <w:pPr>
              <w:spacing w:before="100" w:beforeAutospacing="1"/>
              <w:jc w:val="center"/>
              <w:rPr>
                <w:rFonts w:asciiTheme="minorEastAsia" w:hAnsiTheme="minorEastAsia" w:eastAsiaTheme="minorEastAsia" w:cstheme="minorEastAsia"/>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848" w:type="dxa"/>
            <w:tcBorders>
              <w:left w:val="single" w:color="auto" w:sz="4" w:space="0"/>
              <w:right w:val="single" w:color="auto" w:sz="4" w:space="0"/>
            </w:tcBorders>
            <w:vAlign w:val="center"/>
          </w:tcPr>
          <w:p>
            <w:pPr>
              <w:jc w:val="center"/>
              <w:textAlignment w:val="center"/>
              <w:rPr>
                <w:rFonts w:hint="eastAsia" w:asciiTheme="minorEastAsia" w:hAnsiTheme="minorEastAsia" w:eastAsiaTheme="minorEastAsia" w:cstheme="minorEastAsia"/>
                <w:color w:val="000000"/>
                <w:kern w:val="0"/>
                <w:sz w:val="22"/>
                <w:lang w:val="en-US" w:eastAsia="zh-CN"/>
              </w:rPr>
            </w:pPr>
            <w:r>
              <w:rPr>
                <w:rFonts w:hint="eastAsia" w:asciiTheme="minorEastAsia" w:hAnsiTheme="minorEastAsia" w:eastAsiaTheme="minorEastAsia" w:cstheme="minorEastAsia"/>
                <w:color w:val="000000"/>
                <w:kern w:val="0"/>
                <w:sz w:val="22"/>
                <w:lang w:val="en-US" w:eastAsia="zh-CN"/>
              </w:rPr>
              <w:t>8</w:t>
            </w:r>
          </w:p>
        </w:tc>
        <w:tc>
          <w:tcPr>
            <w:tcW w:w="3692" w:type="dxa"/>
            <w:tcBorders>
              <w:left w:val="single" w:color="auto" w:sz="4" w:space="0"/>
              <w:right w:val="single" w:color="auto" w:sz="4" w:space="0"/>
            </w:tcBorders>
            <w:vAlign w:val="center"/>
          </w:tcPr>
          <w:p>
            <w:pPr>
              <w:widowControl/>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0"/>
                <w:sz w:val="20"/>
                <w:szCs w:val="20"/>
              </w:rPr>
              <w:t>生物反馈神经功能重建治疗</w:t>
            </w:r>
            <w:r>
              <w:rPr>
                <w:rFonts w:hint="eastAsia" w:ascii="宋体" w:hAnsi="宋体" w:cs="宋体"/>
                <w:color w:val="000000"/>
                <w:kern w:val="0"/>
                <w:sz w:val="20"/>
                <w:szCs w:val="20"/>
                <w:lang w:eastAsia="zh-CN"/>
              </w:rPr>
              <w:t>系统</w:t>
            </w:r>
          </w:p>
        </w:tc>
        <w:tc>
          <w:tcPr>
            <w:tcW w:w="2075" w:type="dxa"/>
            <w:tcBorders>
              <w:top w:val="single" w:color="auto" w:sz="4" w:space="0"/>
              <w:left w:val="single" w:color="auto" w:sz="4" w:space="0"/>
              <w:bottom w:val="single" w:color="auto" w:sz="4" w:space="0"/>
              <w:right w:val="single" w:color="auto" w:sz="4" w:space="0"/>
            </w:tcBorders>
            <w:vAlign w:val="center"/>
          </w:tcPr>
          <w:p>
            <w:pPr>
              <w:spacing w:before="100" w:beforeAutospacing="1"/>
              <w:jc w:val="center"/>
              <w:rPr>
                <w:rFonts w:asciiTheme="minorEastAsia" w:hAnsiTheme="minorEastAsia" w:eastAsiaTheme="minorEastAsia" w:cstheme="minorEastAsia"/>
                <w:color w:val="000000"/>
                <w:kern w:val="0"/>
                <w:sz w:val="22"/>
              </w:rPr>
            </w:pPr>
            <w:r>
              <w:rPr>
                <w:rFonts w:hint="eastAsia" w:asciiTheme="minorEastAsia" w:hAnsiTheme="minorEastAsia" w:eastAsiaTheme="minorEastAsia" w:cstheme="minorEastAsia"/>
                <w:color w:val="000000"/>
                <w:kern w:val="0"/>
                <w:sz w:val="22"/>
              </w:rPr>
              <w:t>详见附表</w:t>
            </w:r>
          </w:p>
        </w:tc>
        <w:tc>
          <w:tcPr>
            <w:tcW w:w="1265" w:type="dxa"/>
            <w:tcBorders>
              <w:top w:val="single" w:color="auto" w:sz="4" w:space="0"/>
              <w:left w:val="single" w:color="auto" w:sz="4" w:space="0"/>
              <w:bottom w:val="single" w:color="auto" w:sz="4" w:space="0"/>
              <w:right w:val="single" w:color="auto" w:sz="4" w:space="0"/>
            </w:tcBorders>
            <w:vAlign w:val="center"/>
          </w:tcPr>
          <w:p>
            <w:pPr>
              <w:spacing w:before="100" w:beforeAutospacing="1"/>
              <w:jc w:val="center"/>
              <w:rPr>
                <w:rFonts w:asciiTheme="minorEastAsia" w:hAnsiTheme="minorEastAsia" w:eastAsiaTheme="minorEastAsia" w:cstheme="minorEastAsia"/>
                <w:color w:val="000000"/>
                <w:kern w:val="0"/>
                <w:sz w:val="22"/>
              </w:rPr>
            </w:pPr>
            <w:r>
              <w:rPr>
                <w:rFonts w:hint="eastAsia" w:asciiTheme="minorEastAsia" w:hAnsiTheme="minorEastAsia" w:eastAsiaTheme="minorEastAsia" w:cstheme="minorEastAsia"/>
                <w:color w:val="000000"/>
                <w:kern w:val="0"/>
                <w:sz w:val="22"/>
                <w:lang w:val="en-US" w:eastAsia="zh-CN"/>
              </w:rPr>
              <w:t>2</w:t>
            </w:r>
            <w:r>
              <w:rPr>
                <w:rFonts w:hint="eastAsia" w:asciiTheme="minorEastAsia" w:hAnsiTheme="minorEastAsia" w:eastAsiaTheme="minorEastAsia" w:cstheme="minorEastAsia"/>
                <w:color w:val="000000"/>
                <w:kern w:val="0"/>
                <w:sz w:val="22"/>
              </w:rPr>
              <w:t>套</w:t>
            </w:r>
          </w:p>
        </w:tc>
        <w:tc>
          <w:tcPr>
            <w:tcW w:w="778" w:type="dxa"/>
            <w:tcBorders>
              <w:top w:val="single" w:color="auto" w:sz="4" w:space="0"/>
              <w:left w:val="single" w:color="auto" w:sz="4" w:space="0"/>
              <w:bottom w:val="single" w:color="auto" w:sz="4" w:space="0"/>
              <w:right w:val="single" w:color="auto" w:sz="4" w:space="0"/>
            </w:tcBorders>
          </w:tcPr>
          <w:p>
            <w:pPr>
              <w:spacing w:before="100" w:beforeAutospacing="1"/>
              <w:jc w:val="center"/>
              <w:rPr>
                <w:rFonts w:asciiTheme="minorEastAsia" w:hAnsiTheme="minorEastAsia" w:eastAsiaTheme="minorEastAsia" w:cstheme="minorEastAsia"/>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848" w:type="dxa"/>
            <w:tcBorders>
              <w:left w:val="single" w:color="auto" w:sz="4" w:space="0"/>
              <w:right w:val="single" w:color="auto" w:sz="4" w:space="0"/>
            </w:tcBorders>
            <w:vAlign w:val="center"/>
          </w:tcPr>
          <w:p>
            <w:pPr>
              <w:jc w:val="center"/>
              <w:textAlignment w:val="center"/>
              <w:rPr>
                <w:rFonts w:hint="eastAsia" w:asciiTheme="minorEastAsia" w:hAnsiTheme="minorEastAsia" w:eastAsiaTheme="minorEastAsia" w:cstheme="minorEastAsia"/>
                <w:color w:val="000000"/>
                <w:kern w:val="0"/>
                <w:sz w:val="22"/>
                <w:lang w:val="en-US" w:eastAsia="zh-CN"/>
              </w:rPr>
            </w:pPr>
            <w:r>
              <w:rPr>
                <w:rFonts w:hint="eastAsia" w:asciiTheme="minorEastAsia" w:hAnsiTheme="minorEastAsia" w:eastAsiaTheme="minorEastAsia" w:cstheme="minorEastAsia"/>
                <w:color w:val="000000"/>
                <w:kern w:val="0"/>
                <w:sz w:val="22"/>
                <w:lang w:val="en-US" w:eastAsia="zh-CN"/>
              </w:rPr>
              <w:t>9</w:t>
            </w:r>
          </w:p>
        </w:tc>
        <w:tc>
          <w:tcPr>
            <w:tcW w:w="3692" w:type="dxa"/>
            <w:tcBorders>
              <w:left w:val="single" w:color="auto" w:sz="4" w:space="0"/>
              <w:right w:val="single" w:color="auto" w:sz="4" w:space="0"/>
            </w:tcBorders>
            <w:vAlign w:val="center"/>
          </w:tcPr>
          <w:p>
            <w:pPr>
              <w:widowControl/>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cs="宋体"/>
                <w:color w:val="000000"/>
                <w:kern w:val="0"/>
                <w:sz w:val="20"/>
                <w:szCs w:val="20"/>
                <w:lang w:eastAsia="zh-CN"/>
              </w:rPr>
              <w:t>高压</w:t>
            </w:r>
            <w:r>
              <w:rPr>
                <w:rFonts w:hint="eastAsia" w:ascii="宋体" w:hAnsi="宋体" w:eastAsia="宋体" w:cs="宋体"/>
                <w:color w:val="000000"/>
                <w:kern w:val="0"/>
                <w:sz w:val="20"/>
                <w:szCs w:val="20"/>
              </w:rPr>
              <w:t>低频脉冲治疗</w:t>
            </w:r>
            <w:r>
              <w:rPr>
                <w:rFonts w:hint="eastAsia" w:ascii="宋体" w:hAnsi="宋体" w:cs="宋体"/>
                <w:color w:val="000000"/>
                <w:kern w:val="0"/>
                <w:sz w:val="20"/>
                <w:szCs w:val="20"/>
                <w:lang w:eastAsia="zh-CN"/>
              </w:rPr>
              <w:t>机</w:t>
            </w:r>
          </w:p>
        </w:tc>
        <w:tc>
          <w:tcPr>
            <w:tcW w:w="2075" w:type="dxa"/>
            <w:tcBorders>
              <w:top w:val="single" w:color="auto" w:sz="4" w:space="0"/>
              <w:left w:val="single" w:color="auto" w:sz="4" w:space="0"/>
              <w:bottom w:val="single" w:color="auto" w:sz="4" w:space="0"/>
              <w:right w:val="single" w:color="auto" w:sz="4" w:space="0"/>
            </w:tcBorders>
            <w:vAlign w:val="center"/>
          </w:tcPr>
          <w:p>
            <w:pPr>
              <w:spacing w:before="100" w:beforeAutospacing="1"/>
              <w:jc w:val="center"/>
              <w:rPr>
                <w:rFonts w:asciiTheme="minorEastAsia" w:hAnsiTheme="minorEastAsia" w:eastAsiaTheme="minorEastAsia" w:cstheme="minorEastAsia"/>
                <w:color w:val="000000"/>
                <w:kern w:val="0"/>
                <w:sz w:val="22"/>
              </w:rPr>
            </w:pPr>
            <w:r>
              <w:rPr>
                <w:rFonts w:hint="eastAsia" w:asciiTheme="minorEastAsia" w:hAnsiTheme="minorEastAsia" w:eastAsiaTheme="minorEastAsia" w:cstheme="minorEastAsia"/>
                <w:color w:val="000000"/>
                <w:kern w:val="0"/>
                <w:sz w:val="22"/>
              </w:rPr>
              <w:t>详见附表</w:t>
            </w:r>
          </w:p>
        </w:tc>
        <w:tc>
          <w:tcPr>
            <w:tcW w:w="1265" w:type="dxa"/>
            <w:tcBorders>
              <w:top w:val="single" w:color="auto" w:sz="4" w:space="0"/>
              <w:left w:val="single" w:color="auto" w:sz="4" w:space="0"/>
              <w:bottom w:val="single" w:color="auto" w:sz="4" w:space="0"/>
              <w:right w:val="single" w:color="auto" w:sz="4" w:space="0"/>
            </w:tcBorders>
            <w:vAlign w:val="center"/>
          </w:tcPr>
          <w:p>
            <w:pPr>
              <w:spacing w:before="100" w:beforeAutospacing="1"/>
              <w:jc w:val="center"/>
              <w:rPr>
                <w:rFonts w:hint="eastAsia" w:asciiTheme="minorEastAsia" w:hAnsiTheme="minorEastAsia" w:eastAsiaTheme="minorEastAsia" w:cstheme="minorEastAsia"/>
                <w:color w:val="000000"/>
                <w:kern w:val="0"/>
                <w:sz w:val="22"/>
                <w:lang w:eastAsia="zh-CN"/>
              </w:rPr>
            </w:pPr>
            <w:r>
              <w:rPr>
                <w:rFonts w:hint="eastAsia" w:asciiTheme="minorEastAsia" w:hAnsiTheme="minorEastAsia" w:eastAsiaTheme="minorEastAsia" w:cstheme="minorEastAsia"/>
                <w:color w:val="000000"/>
                <w:kern w:val="0"/>
                <w:sz w:val="22"/>
                <w:lang w:val="en-US" w:eastAsia="zh-CN"/>
              </w:rPr>
              <w:t>2</w:t>
            </w:r>
            <w:r>
              <w:rPr>
                <w:rFonts w:hint="eastAsia" w:asciiTheme="minorEastAsia" w:hAnsiTheme="minorEastAsia" w:eastAsiaTheme="minorEastAsia" w:cstheme="minorEastAsia"/>
                <w:color w:val="000000"/>
                <w:kern w:val="0"/>
                <w:sz w:val="22"/>
                <w:lang w:eastAsia="zh-CN"/>
              </w:rPr>
              <w:t>台</w:t>
            </w:r>
          </w:p>
        </w:tc>
        <w:tc>
          <w:tcPr>
            <w:tcW w:w="778" w:type="dxa"/>
            <w:tcBorders>
              <w:top w:val="single" w:color="auto" w:sz="4" w:space="0"/>
              <w:left w:val="single" w:color="auto" w:sz="4" w:space="0"/>
              <w:bottom w:val="single" w:color="auto" w:sz="4" w:space="0"/>
              <w:right w:val="single" w:color="auto" w:sz="4" w:space="0"/>
            </w:tcBorders>
          </w:tcPr>
          <w:p>
            <w:pPr>
              <w:spacing w:before="100" w:beforeAutospacing="1"/>
              <w:jc w:val="center"/>
              <w:rPr>
                <w:rFonts w:asciiTheme="minorEastAsia" w:hAnsiTheme="minorEastAsia" w:eastAsiaTheme="minorEastAsia" w:cstheme="minorEastAsia"/>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848" w:type="dxa"/>
            <w:tcBorders>
              <w:left w:val="single" w:color="auto" w:sz="4" w:space="0"/>
              <w:bottom w:val="single" w:color="auto" w:sz="4" w:space="0"/>
              <w:right w:val="single" w:color="auto" w:sz="4" w:space="0"/>
            </w:tcBorders>
            <w:vAlign w:val="center"/>
          </w:tcPr>
          <w:p>
            <w:pPr>
              <w:jc w:val="center"/>
              <w:textAlignment w:val="center"/>
              <w:rPr>
                <w:rFonts w:hint="default" w:asciiTheme="minorEastAsia" w:hAnsiTheme="minorEastAsia" w:eastAsiaTheme="minorEastAsia" w:cstheme="minorEastAsia"/>
                <w:color w:val="000000"/>
                <w:kern w:val="0"/>
                <w:sz w:val="22"/>
                <w:lang w:val="en-US" w:eastAsia="zh-CN"/>
              </w:rPr>
            </w:pPr>
            <w:r>
              <w:rPr>
                <w:rFonts w:hint="eastAsia" w:asciiTheme="minorEastAsia" w:hAnsiTheme="minorEastAsia" w:eastAsiaTheme="minorEastAsia" w:cstheme="minorEastAsia"/>
                <w:color w:val="000000"/>
                <w:kern w:val="0"/>
                <w:sz w:val="22"/>
                <w:lang w:val="en-US" w:eastAsia="zh-CN"/>
              </w:rPr>
              <w:t>10</w:t>
            </w:r>
          </w:p>
        </w:tc>
        <w:tc>
          <w:tcPr>
            <w:tcW w:w="3692" w:type="dxa"/>
            <w:tcBorders>
              <w:left w:val="single" w:color="auto" w:sz="4" w:space="0"/>
              <w:right w:val="single" w:color="auto" w:sz="4" w:space="0"/>
            </w:tcBorders>
            <w:vAlign w:val="center"/>
          </w:tcPr>
          <w:p>
            <w:pPr>
              <w:widowControl/>
              <w:jc w:val="center"/>
              <w:textAlignment w:val="center"/>
              <w:rPr>
                <w:rFonts w:ascii="宋体" w:hAnsi="宋体" w:eastAsia="宋体" w:cs="宋体"/>
                <w:color w:val="000000"/>
                <w:kern w:val="2"/>
                <w:sz w:val="20"/>
                <w:szCs w:val="20"/>
                <w:lang w:val="en-US" w:eastAsia="zh-CN" w:bidi="ar-SA"/>
              </w:rPr>
            </w:pPr>
            <w:r>
              <w:rPr>
                <w:rFonts w:hint="eastAsia" w:ascii="宋体" w:hAnsi="宋体" w:eastAsia="宋体" w:cs="宋体"/>
                <w:color w:val="000000"/>
                <w:kern w:val="0"/>
                <w:sz w:val="20"/>
                <w:szCs w:val="20"/>
              </w:rPr>
              <w:t>毫米波治疗仪</w:t>
            </w:r>
          </w:p>
        </w:tc>
        <w:tc>
          <w:tcPr>
            <w:tcW w:w="2075" w:type="dxa"/>
            <w:tcBorders>
              <w:top w:val="single" w:color="auto" w:sz="4" w:space="0"/>
              <w:left w:val="single" w:color="auto" w:sz="4" w:space="0"/>
              <w:bottom w:val="single" w:color="auto" w:sz="4" w:space="0"/>
              <w:right w:val="single" w:color="auto" w:sz="4" w:space="0"/>
            </w:tcBorders>
            <w:vAlign w:val="center"/>
          </w:tcPr>
          <w:p>
            <w:pPr>
              <w:spacing w:before="100" w:beforeAutospacing="1"/>
              <w:jc w:val="center"/>
              <w:rPr>
                <w:rFonts w:asciiTheme="minorEastAsia" w:hAnsiTheme="minorEastAsia" w:eastAsiaTheme="minorEastAsia" w:cstheme="minorEastAsia"/>
                <w:color w:val="000000"/>
                <w:kern w:val="0"/>
                <w:sz w:val="22"/>
              </w:rPr>
            </w:pPr>
            <w:r>
              <w:rPr>
                <w:rFonts w:hint="eastAsia" w:asciiTheme="minorEastAsia" w:hAnsiTheme="minorEastAsia" w:eastAsiaTheme="minorEastAsia" w:cstheme="minorEastAsia"/>
                <w:color w:val="000000"/>
                <w:kern w:val="0"/>
                <w:sz w:val="22"/>
              </w:rPr>
              <w:t>详见附表</w:t>
            </w:r>
          </w:p>
        </w:tc>
        <w:tc>
          <w:tcPr>
            <w:tcW w:w="1265" w:type="dxa"/>
            <w:tcBorders>
              <w:top w:val="single" w:color="auto" w:sz="4" w:space="0"/>
              <w:left w:val="single" w:color="auto" w:sz="4" w:space="0"/>
              <w:bottom w:val="single" w:color="auto" w:sz="4" w:space="0"/>
              <w:right w:val="single" w:color="auto" w:sz="4" w:space="0"/>
            </w:tcBorders>
            <w:vAlign w:val="center"/>
          </w:tcPr>
          <w:p>
            <w:pPr>
              <w:spacing w:before="100" w:beforeAutospacing="1"/>
              <w:jc w:val="center"/>
              <w:rPr>
                <w:rFonts w:hint="eastAsia" w:asciiTheme="minorEastAsia" w:hAnsiTheme="minorEastAsia" w:eastAsiaTheme="minorEastAsia" w:cstheme="minorEastAsia"/>
                <w:color w:val="000000"/>
                <w:kern w:val="0"/>
                <w:sz w:val="22"/>
                <w:lang w:eastAsia="zh-CN"/>
              </w:rPr>
            </w:pPr>
            <w:r>
              <w:rPr>
                <w:rFonts w:hint="eastAsia" w:asciiTheme="minorEastAsia" w:hAnsiTheme="minorEastAsia" w:eastAsiaTheme="minorEastAsia" w:cstheme="minorEastAsia"/>
                <w:color w:val="000000"/>
                <w:kern w:val="0"/>
                <w:sz w:val="22"/>
                <w:lang w:val="en-US" w:eastAsia="zh-CN"/>
              </w:rPr>
              <w:t>2</w:t>
            </w:r>
            <w:r>
              <w:rPr>
                <w:rFonts w:hint="eastAsia" w:asciiTheme="minorEastAsia" w:hAnsiTheme="minorEastAsia" w:eastAsiaTheme="minorEastAsia" w:cstheme="minorEastAsia"/>
                <w:color w:val="000000"/>
                <w:kern w:val="0"/>
                <w:sz w:val="22"/>
                <w:lang w:eastAsia="zh-CN"/>
              </w:rPr>
              <w:t>台</w:t>
            </w:r>
          </w:p>
        </w:tc>
        <w:tc>
          <w:tcPr>
            <w:tcW w:w="778" w:type="dxa"/>
            <w:tcBorders>
              <w:top w:val="single" w:color="auto" w:sz="4" w:space="0"/>
              <w:left w:val="single" w:color="auto" w:sz="4" w:space="0"/>
              <w:bottom w:val="single" w:color="auto" w:sz="4" w:space="0"/>
              <w:right w:val="single" w:color="auto" w:sz="4" w:space="0"/>
            </w:tcBorders>
          </w:tcPr>
          <w:p>
            <w:pPr>
              <w:spacing w:before="100" w:beforeAutospacing="1"/>
              <w:jc w:val="center"/>
              <w:rPr>
                <w:rFonts w:asciiTheme="minorEastAsia" w:hAnsiTheme="minorEastAsia" w:eastAsiaTheme="minorEastAsia" w:cstheme="minorEastAsia"/>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848" w:type="dxa"/>
            <w:tcBorders>
              <w:top w:val="single" w:color="auto" w:sz="4" w:space="0"/>
              <w:left w:val="single" w:color="auto" w:sz="4" w:space="0"/>
              <w:right w:val="single" w:color="auto" w:sz="4" w:space="0"/>
            </w:tcBorders>
            <w:vAlign w:val="center"/>
          </w:tcPr>
          <w:p>
            <w:pPr>
              <w:jc w:val="center"/>
              <w:textAlignment w:val="center"/>
              <w:rPr>
                <w:rFonts w:hint="default" w:asciiTheme="minorEastAsia" w:hAnsiTheme="minorEastAsia" w:eastAsiaTheme="minorEastAsia" w:cstheme="minorEastAsia"/>
                <w:color w:val="000000"/>
                <w:kern w:val="0"/>
                <w:sz w:val="22"/>
                <w:lang w:val="en-US" w:eastAsia="zh-CN"/>
              </w:rPr>
            </w:pPr>
            <w:r>
              <w:rPr>
                <w:rFonts w:hint="eastAsia" w:asciiTheme="minorEastAsia" w:hAnsiTheme="minorEastAsia" w:eastAsiaTheme="minorEastAsia" w:cstheme="minorEastAsia"/>
                <w:color w:val="000000"/>
                <w:kern w:val="0"/>
                <w:sz w:val="22"/>
                <w:lang w:val="en-US" w:eastAsia="zh-CN"/>
              </w:rPr>
              <w:t>11</w:t>
            </w:r>
          </w:p>
        </w:tc>
        <w:tc>
          <w:tcPr>
            <w:tcW w:w="3692" w:type="dxa"/>
            <w:tcBorders>
              <w:left w:val="single" w:color="auto" w:sz="4" w:space="0"/>
              <w:right w:val="single" w:color="auto" w:sz="4" w:space="0"/>
            </w:tcBorders>
            <w:vAlign w:val="center"/>
          </w:tcPr>
          <w:p>
            <w:pPr>
              <w:widowControl/>
              <w:jc w:val="center"/>
              <w:textAlignment w:val="center"/>
              <w:rPr>
                <w:rFonts w:ascii="宋体" w:hAnsi="宋体" w:eastAsia="宋体" w:cs="宋体"/>
                <w:color w:val="000000"/>
                <w:kern w:val="2"/>
                <w:sz w:val="20"/>
                <w:szCs w:val="20"/>
                <w:lang w:val="en-US" w:eastAsia="zh-CN" w:bidi="ar-SA"/>
              </w:rPr>
            </w:pPr>
            <w:r>
              <w:rPr>
                <w:rFonts w:hint="eastAsia" w:ascii="宋体" w:hAnsi="宋体" w:eastAsia="宋体" w:cs="宋体"/>
                <w:color w:val="000000"/>
                <w:kern w:val="0"/>
                <w:sz w:val="20"/>
                <w:szCs w:val="20"/>
              </w:rPr>
              <w:t>上肢关节训练系统</w:t>
            </w:r>
          </w:p>
        </w:tc>
        <w:tc>
          <w:tcPr>
            <w:tcW w:w="2075" w:type="dxa"/>
            <w:tcBorders>
              <w:top w:val="single" w:color="auto" w:sz="4" w:space="0"/>
              <w:left w:val="single" w:color="auto" w:sz="4" w:space="0"/>
              <w:bottom w:val="single" w:color="auto" w:sz="4" w:space="0"/>
              <w:right w:val="single" w:color="auto" w:sz="4" w:space="0"/>
            </w:tcBorders>
            <w:vAlign w:val="center"/>
          </w:tcPr>
          <w:p>
            <w:pPr>
              <w:spacing w:before="100" w:beforeAutospacing="1"/>
              <w:jc w:val="center"/>
              <w:rPr>
                <w:rFonts w:asciiTheme="minorEastAsia" w:hAnsiTheme="minorEastAsia" w:eastAsiaTheme="minorEastAsia" w:cstheme="minorEastAsia"/>
                <w:color w:val="000000"/>
                <w:kern w:val="0"/>
                <w:sz w:val="22"/>
              </w:rPr>
            </w:pPr>
            <w:r>
              <w:rPr>
                <w:rFonts w:hint="eastAsia" w:asciiTheme="minorEastAsia" w:hAnsiTheme="minorEastAsia" w:eastAsiaTheme="minorEastAsia" w:cstheme="minorEastAsia"/>
                <w:color w:val="000000"/>
                <w:kern w:val="0"/>
                <w:sz w:val="22"/>
              </w:rPr>
              <w:t>详见附表</w:t>
            </w:r>
          </w:p>
        </w:tc>
        <w:tc>
          <w:tcPr>
            <w:tcW w:w="1265" w:type="dxa"/>
            <w:tcBorders>
              <w:top w:val="single" w:color="auto" w:sz="4" w:space="0"/>
              <w:left w:val="single" w:color="auto" w:sz="4" w:space="0"/>
              <w:bottom w:val="single" w:color="auto" w:sz="4" w:space="0"/>
              <w:right w:val="single" w:color="auto" w:sz="4" w:space="0"/>
            </w:tcBorders>
            <w:vAlign w:val="center"/>
          </w:tcPr>
          <w:p>
            <w:pPr>
              <w:spacing w:before="100" w:beforeAutospacing="1"/>
              <w:jc w:val="center"/>
              <w:rPr>
                <w:rFonts w:asciiTheme="minorEastAsia" w:hAnsiTheme="minorEastAsia" w:eastAsiaTheme="minorEastAsia" w:cstheme="minorEastAsia"/>
                <w:color w:val="000000"/>
                <w:kern w:val="0"/>
                <w:sz w:val="22"/>
              </w:rPr>
            </w:pPr>
            <w:r>
              <w:rPr>
                <w:rFonts w:hint="eastAsia" w:asciiTheme="minorEastAsia" w:hAnsiTheme="minorEastAsia" w:eastAsiaTheme="minorEastAsia" w:cstheme="minorEastAsia"/>
                <w:color w:val="000000"/>
                <w:kern w:val="0"/>
                <w:sz w:val="22"/>
              </w:rPr>
              <w:t>1套</w:t>
            </w:r>
          </w:p>
        </w:tc>
        <w:tc>
          <w:tcPr>
            <w:tcW w:w="778" w:type="dxa"/>
            <w:tcBorders>
              <w:top w:val="single" w:color="auto" w:sz="4" w:space="0"/>
              <w:left w:val="single" w:color="auto" w:sz="4" w:space="0"/>
              <w:bottom w:val="single" w:color="auto" w:sz="4" w:space="0"/>
              <w:right w:val="single" w:color="auto" w:sz="4" w:space="0"/>
            </w:tcBorders>
          </w:tcPr>
          <w:p>
            <w:pPr>
              <w:spacing w:before="100" w:beforeAutospacing="1"/>
              <w:jc w:val="center"/>
              <w:rPr>
                <w:rFonts w:asciiTheme="minorEastAsia" w:hAnsiTheme="minorEastAsia" w:eastAsiaTheme="minorEastAsia" w:cstheme="minorEastAsia"/>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848" w:type="dxa"/>
            <w:tcBorders>
              <w:left w:val="single" w:color="auto" w:sz="4" w:space="0"/>
              <w:right w:val="single" w:color="auto" w:sz="4" w:space="0"/>
            </w:tcBorders>
            <w:vAlign w:val="center"/>
          </w:tcPr>
          <w:p>
            <w:pPr>
              <w:jc w:val="center"/>
              <w:textAlignment w:val="center"/>
              <w:rPr>
                <w:rFonts w:hint="default" w:asciiTheme="minorEastAsia" w:hAnsiTheme="minorEastAsia" w:eastAsiaTheme="minorEastAsia" w:cstheme="minorEastAsia"/>
                <w:color w:val="000000"/>
                <w:kern w:val="0"/>
                <w:sz w:val="22"/>
                <w:lang w:val="en-US" w:eastAsia="zh-CN"/>
              </w:rPr>
            </w:pPr>
            <w:r>
              <w:rPr>
                <w:rFonts w:hint="eastAsia" w:asciiTheme="minorEastAsia" w:hAnsiTheme="minorEastAsia" w:eastAsiaTheme="minorEastAsia" w:cstheme="minorEastAsia"/>
                <w:color w:val="000000"/>
                <w:kern w:val="0"/>
                <w:sz w:val="22"/>
                <w:lang w:val="en-US" w:eastAsia="zh-CN"/>
              </w:rPr>
              <w:t>12</w:t>
            </w:r>
          </w:p>
        </w:tc>
        <w:tc>
          <w:tcPr>
            <w:tcW w:w="3692" w:type="dxa"/>
            <w:tcBorders>
              <w:left w:val="single" w:color="auto" w:sz="4" w:space="0"/>
              <w:right w:val="single" w:color="auto" w:sz="4" w:space="0"/>
            </w:tcBorders>
            <w:vAlign w:val="center"/>
          </w:tcPr>
          <w:p>
            <w:pPr>
              <w:widowControl/>
              <w:jc w:val="center"/>
              <w:textAlignment w:val="center"/>
              <w:rPr>
                <w:rFonts w:asciiTheme="minorEastAsia" w:hAnsiTheme="minorEastAsia" w:eastAsiaTheme="minorEastAsia" w:cstheme="minorEastAsia"/>
                <w:color w:val="000000"/>
                <w:kern w:val="0"/>
                <w:sz w:val="22"/>
              </w:rPr>
            </w:pPr>
            <w:r>
              <w:rPr>
                <w:rFonts w:hint="eastAsia" w:ascii="宋体" w:hAnsi="宋体" w:eastAsia="宋体" w:cs="宋体"/>
                <w:color w:val="000000"/>
                <w:kern w:val="0"/>
                <w:sz w:val="20"/>
                <w:szCs w:val="20"/>
              </w:rPr>
              <w:t>上下肢主被动训练系统</w:t>
            </w:r>
          </w:p>
        </w:tc>
        <w:tc>
          <w:tcPr>
            <w:tcW w:w="2075" w:type="dxa"/>
            <w:tcBorders>
              <w:top w:val="single" w:color="auto" w:sz="4" w:space="0"/>
              <w:left w:val="single" w:color="auto" w:sz="4" w:space="0"/>
              <w:bottom w:val="single" w:color="auto" w:sz="4" w:space="0"/>
              <w:right w:val="single" w:color="auto" w:sz="4" w:space="0"/>
            </w:tcBorders>
            <w:vAlign w:val="center"/>
          </w:tcPr>
          <w:p>
            <w:pPr>
              <w:spacing w:before="100" w:beforeAutospacing="1"/>
              <w:jc w:val="center"/>
              <w:rPr>
                <w:rFonts w:asciiTheme="minorEastAsia" w:hAnsiTheme="minorEastAsia" w:eastAsiaTheme="minorEastAsia" w:cstheme="minorEastAsia"/>
                <w:color w:val="000000"/>
                <w:kern w:val="0"/>
                <w:sz w:val="22"/>
              </w:rPr>
            </w:pPr>
            <w:r>
              <w:rPr>
                <w:rFonts w:hint="eastAsia" w:asciiTheme="minorEastAsia" w:hAnsiTheme="minorEastAsia" w:eastAsiaTheme="minorEastAsia" w:cstheme="minorEastAsia"/>
                <w:color w:val="000000"/>
                <w:kern w:val="0"/>
                <w:sz w:val="22"/>
              </w:rPr>
              <w:t>详见附表</w:t>
            </w:r>
          </w:p>
        </w:tc>
        <w:tc>
          <w:tcPr>
            <w:tcW w:w="1265" w:type="dxa"/>
            <w:tcBorders>
              <w:top w:val="single" w:color="auto" w:sz="4" w:space="0"/>
              <w:left w:val="single" w:color="auto" w:sz="4" w:space="0"/>
              <w:bottom w:val="single" w:color="auto" w:sz="4" w:space="0"/>
              <w:right w:val="single" w:color="auto" w:sz="4" w:space="0"/>
            </w:tcBorders>
            <w:vAlign w:val="center"/>
          </w:tcPr>
          <w:p>
            <w:pPr>
              <w:spacing w:before="100" w:beforeAutospacing="1"/>
              <w:jc w:val="center"/>
              <w:rPr>
                <w:rFonts w:asciiTheme="minorEastAsia" w:hAnsiTheme="minorEastAsia" w:eastAsiaTheme="minorEastAsia" w:cstheme="minorEastAsia"/>
                <w:color w:val="000000"/>
                <w:kern w:val="0"/>
                <w:sz w:val="22"/>
              </w:rPr>
            </w:pPr>
            <w:r>
              <w:rPr>
                <w:rFonts w:hint="eastAsia" w:asciiTheme="minorEastAsia" w:hAnsiTheme="minorEastAsia" w:eastAsiaTheme="minorEastAsia" w:cstheme="minorEastAsia"/>
                <w:color w:val="000000"/>
                <w:kern w:val="0"/>
                <w:sz w:val="22"/>
                <w:lang w:val="en-US" w:eastAsia="zh-CN"/>
              </w:rPr>
              <w:t>2</w:t>
            </w:r>
            <w:r>
              <w:rPr>
                <w:rFonts w:hint="eastAsia" w:asciiTheme="minorEastAsia" w:hAnsiTheme="minorEastAsia" w:eastAsiaTheme="minorEastAsia" w:cstheme="minorEastAsia"/>
                <w:color w:val="000000"/>
                <w:kern w:val="0"/>
                <w:sz w:val="22"/>
              </w:rPr>
              <w:t>套</w:t>
            </w:r>
          </w:p>
        </w:tc>
        <w:tc>
          <w:tcPr>
            <w:tcW w:w="778" w:type="dxa"/>
            <w:tcBorders>
              <w:top w:val="single" w:color="auto" w:sz="4" w:space="0"/>
              <w:left w:val="single" w:color="auto" w:sz="4" w:space="0"/>
              <w:bottom w:val="single" w:color="auto" w:sz="4" w:space="0"/>
              <w:right w:val="single" w:color="auto" w:sz="4" w:space="0"/>
            </w:tcBorders>
          </w:tcPr>
          <w:p>
            <w:pPr>
              <w:spacing w:before="100" w:beforeAutospacing="1"/>
              <w:jc w:val="center"/>
              <w:rPr>
                <w:rFonts w:asciiTheme="minorEastAsia" w:hAnsiTheme="minorEastAsia" w:eastAsiaTheme="minorEastAsia" w:cstheme="minorEastAsia"/>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848" w:type="dxa"/>
            <w:tcBorders>
              <w:left w:val="single" w:color="auto" w:sz="4" w:space="0"/>
              <w:right w:val="single" w:color="auto" w:sz="4" w:space="0"/>
            </w:tcBorders>
            <w:vAlign w:val="center"/>
          </w:tcPr>
          <w:p>
            <w:pPr>
              <w:jc w:val="center"/>
              <w:textAlignment w:val="center"/>
              <w:rPr>
                <w:rFonts w:hint="default" w:asciiTheme="minorEastAsia" w:hAnsiTheme="minorEastAsia" w:eastAsiaTheme="minorEastAsia" w:cstheme="minorEastAsia"/>
                <w:color w:val="000000"/>
                <w:kern w:val="0"/>
                <w:sz w:val="22"/>
                <w:lang w:val="en-US" w:eastAsia="zh-CN"/>
              </w:rPr>
            </w:pPr>
            <w:r>
              <w:rPr>
                <w:rFonts w:hint="eastAsia" w:asciiTheme="minorEastAsia" w:hAnsiTheme="minorEastAsia" w:eastAsiaTheme="minorEastAsia" w:cstheme="minorEastAsia"/>
                <w:color w:val="000000"/>
                <w:kern w:val="0"/>
                <w:sz w:val="22"/>
                <w:lang w:val="en-US" w:eastAsia="zh-CN"/>
              </w:rPr>
              <w:t>13</w:t>
            </w:r>
          </w:p>
        </w:tc>
        <w:tc>
          <w:tcPr>
            <w:tcW w:w="3692" w:type="dxa"/>
            <w:tcBorders>
              <w:left w:val="single" w:color="auto" w:sz="4" w:space="0"/>
              <w:right w:val="single" w:color="auto" w:sz="4" w:space="0"/>
            </w:tcBorders>
            <w:vAlign w:val="center"/>
          </w:tcPr>
          <w:p>
            <w:pPr>
              <w:widowControl/>
              <w:jc w:val="center"/>
              <w:textAlignment w:val="center"/>
              <w:rPr>
                <w:rFonts w:ascii="宋体" w:hAnsi="宋体" w:eastAsia="宋体" w:cs="宋体"/>
                <w:color w:val="000000"/>
                <w:kern w:val="2"/>
                <w:sz w:val="20"/>
                <w:szCs w:val="20"/>
                <w:lang w:val="en-US" w:eastAsia="zh-CN" w:bidi="ar-SA"/>
              </w:rPr>
            </w:pPr>
            <w:r>
              <w:rPr>
                <w:rFonts w:hint="eastAsia" w:ascii="宋体" w:hAnsi="宋体" w:eastAsia="宋体" w:cs="宋体"/>
                <w:color w:val="000000"/>
                <w:kern w:val="0"/>
                <w:sz w:val="20"/>
                <w:szCs w:val="20"/>
              </w:rPr>
              <w:t>波波池</w:t>
            </w:r>
          </w:p>
        </w:tc>
        <w:tc>
          <w:tcPr>
            <w:tcW w:w="2075" w:type="dxa"/>
            <w:tcBorders>
              <w:top w:val="single" w:color="auto" w:sz="4" w:space="0"/>
              <w:left w:val="single" w:color="auto" w:sz="4" w:space="0"/>
              <w:bottom w:val="single" w:color="auto" w:sz="4" w:space="0"/>
              <w:right w:val="single" w:color="auto" w:sz="4" w:space="0"/>
            </w:tcBorders>
            <w:vAlign w:val="center"/>
          </w:tcPr>
          <w:p>
            <w:pPr>
              <w:spacing w:before="100" w:beforeAutospacing="1"/>
              <w:jc w:val="center"/>
              <w:rPr>
                <w:rFonts w:asciiTheme="minorEastAsia" w:hAnsiTheme="minorEastAsia" w:eastAsiaTheme="minorEastAsia" w:cstheme="minorEastAsia"/>
                <w:color w:val="000000"/>
                <w:kern w:val="0"/>
                <w:sz w:val="22"/>
              </w:rPr>
            </w:pPr>
            <w:r>
              <w:rPr>
                <w:rFonts w:hint="eastAsia" w:asciiTheme="minorEastAsia" w:hAnsiTheme="minorEastAsia" w:eastAsiaTheme="minorEastAsia" w:cstheme="minorEastAsia"/>
                <w:color w:val="000000"/>
                <w:kern w:val="0"/>
                <w:sz w:val="22"/>
              </w:rPr>
              <w:t>详见附表</w:t>
            </w:r>
          </w:p>
        </w:tc>
        <w:tc>
          <w:tcPr>
            <w:tcW w:w="1265" w:type="dxa"/>
            <w:tcBorders>
              <w:top w:val="single" w:color="auto" w:sz="4" w:space="0"/>
              <w:left w:val="single" w:color="auto" w:sz="4" w:space="0"/>
              <w:bottom w:val="single" w:color="auto" w:sz="4" w:space="0"/>
              <w:right w:val="single" w:color="auto" w:sz="4" w:space="0"/>
            </w:tcBorders>
            <w:vAlign w:val="center"/>
          </w:tcPr>
          <w:p>
            <w:pPr>
              <w:spacing w:before="100" w:beforeAutospacing="1"/>
              <w:jc w:val="center"/>
              <w:rPr>
                <w:rFonts w:asciiTheme="minorEastAsia" w:hAnsiTheme="minorEastAsia" w:eastAsiaTheme="minorEastAsia" w:cstheme="minorEastAsia"/>
                <w:color w:val="000000"/>
                <w:kern w:val="0"/>
                <w:sz w:val="22"/>
              </w:rPr>
            </w:pPr>
            <w:r>
              <w:rPr>
                <w:rFonts w:hint="eastAsia" w:asciiTheme="minorEastAsia" w:hAnsiTheme="minorEastAsia" w:eastAsiaTheme="minorEastAsia" w:cstheme="minorEastAsia"/>
                <w:color w:val="000000"/>
                <w:kern w:val="0"/>
                <w:sz w:val="22"/>
              </w:rPr>
              <w:t>1套</w:t>
            </w:r>
          </w:p>
        </w:tc>
        <w:tc>
          <w:tcPr>
            <w:tcW w:w="778" w:type="dxa"/>
            <w:tcBorders>
              <w:top w:val="single" w:color="auto" w:sz="4" w:space="0"/>
              <w:left w:val="single" w:color="auto" w:sz="4" w:space="0"/>
              <w:bottom w:val="single" w:color="auto" w:sz="4" w:space="0"/>
              <w:right w:val="single" w:color="auto" w:sz="4" w:space="0"/>
            </w:tcBorders>
          </w:tcPr>
          <w:p>
            <w:pPr>
              <w:spacing w:before="100" w:beforeAutospacing="1"/>
              <w:jc w:val="center"/>
              <w:rPr>
                <w:rFonts w:asciiTheme="minorEastAsia" w:hAnsiTheme="minorEastAsia" w:eastAsiaTheme="minorEastAsia" w:cstheme="minorEastAsia"/>
                <w:color w:val="000000"/>
                <w:kern w:val="0"/>
                <w:sz w:val="22"/>
              </w:rPr>
            </w:pPr>
          </w:p>
        </w:tc>
      </w:tr>
    </w:tbl>
    <w:p>
      <w:pPr>
        <w:pStyle w:val="20"/>
        <w:jc w:val="center"/>
        <w:rPr>
          <w:rFonts w:hint="eastAsia"/>
          <w:b/>
          <w:bCs/>
          <w:sz w:val="32"/>
          <w:szCs w:val="32"/>
        </w:rPr>
      </w:pPr>
    </w:p>
    <w:p>
      <w:pPr>
        <w:pStyle w:val="20"/>
        <w:jc w:val="center"/>
        <w:rPr>
          <w:rFonts w:hint="eastAsia"/>
          <w:b/>
          <w:bCs/>
          <w:sz w:val="32"/>
          <w:szCs w:val="32"/>
        </w:rPr>
      </w:pPr>
    </w:p>
    <w:p>
      <w:pPr>
        <w:pStyle w:val="20"/>
        <w:jc w:val="center"/>
        <w:rPr>
          <w:rFonts w:hint="eastAsia"/>
          <w:b/>
          <w:bCs/>
          <w:sz w:val="32"/>
          <w:szCs w:val="32"/>
        </w:rPr>
      </w:pPr>
    </w:p>
    <w:p>
      <w:pPr>
        <w:pStyle w:val="20"/>
        <w:jc w:val="center"/>
        <w:rPr>
          <w:rFonts w:hint="eastAsia"/>
          <w:b/>
          <w:bCs/>
          <w:sz w:val="32"/>
          <w:szCs w:val="32"/>
        </w:rPr>
      </w:pPr>
    </w:p>
    <w:p>
      <w:pPr>
        <w:pStyle w:val="20"/>
        <w:jc w:val="center"/>
        <w:rPr>
          <w:rFonts w:hint="eastAsia"/>
          <w:b/>
          <w:bCs/>
          <w:sz w:val="32"/>
          <w:szCs w:val="32"/>
        </w:rPr>
      </w:pPr>
    </w:p>
    <w:p>
      <w:pPr>
        <w:pStyle w:val="20"/>
        <w:jc w:val="center"/>
        <w:rPr>
          <w:rFonts w:hint="eastAsia"/>
          <w:b/>
          <w:bCs/>
          <w:sz w:val="32"/>
          <w:szCs w:val="32"/>
        </w:rPr>
      </w:pPr>
    </w:p>
    <w:bookmarkEnd w:id="247"/>
    <w:tbl>
      <w:tblPr>
        <w:tblStyle w:val="40"/>
        <w:tblW w:w="933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1027"/>
        <w:gridCol w:w="83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83" w:hRule="atLeast"/>
          <w:jc w:val="center"/>
        </w:trPr>
        <w:tc>
          <w:tcPr>
            <w:tcW w:w="1027" w:type="dxa"/>
            <w:tcBorders>
              <w:tl2br w:val="nil"/>
              <w:tr2bl w:val="nil"/>
            </w:tcBorders>
            <w:shd w:val="clear" w:color="auto" w:fill="auto"/>
            <w:vAlign w:val="center"/>
          </w:tcPr>
          <w:p>
            <w:pPr>
              <w:widowControl/>
              <w:jc w:val="center"/>
              <w:textAlignment w:val="center"/>
              <w:rPr>
                <w:rFonts w:ascii="宋体" w:hAnsi="宋体" w:eastAsia="宋体" w:cs="宋体"/>
                <w:color w:val="000000"/>
                <w:sz w:val="20"/>
                <w:szCs w:val="20"/>
              </w:rPr>
            </w:pPr>
            <w:bookmarkStart w:id="249" w:name="_Toc426369533"/>
            <w:bookmarkStart w:id="250" w:name="_Toc403122572"/>
            <w:bookmarkStart w:id="251" w:name="_Toc7906"/>
            <w:bookmarkStart w:id="252" w:name="_Toc26235"/>
            <w:r>
              <w:rPr>
                <w:rFonts w:hint="eastAsia" w:ascii="宋体" w:hAnsi="宋体" w:eastAsia="宋体" w:cs="宋体"/>
                <w:color w:val="000000"/>
                <w:kern w:val="0"/>
                <w:sz w:val="20"/>
                <w:szCs w:val="20"/>
              </w:rPr>
              <w:t>设备名称</w:t>
            </w:r>
          </w:p>
        </w:tc>
        <w:tc>
          <w:tcPr>
            <w:tcW w:w="8308" w:type="dxa"/>
            <w:tcBorders>
              <w:tl2br w:val="nil"/>
              <w:tr2bl w:val="nil"/>
            </w:tcBorders>
            <w:shd w:val="clear" w:color="auto" w:fill="auto"/>
            <w:vAlign w:val="center"/>
          </w:tcPr>
          <w:p>
            <w:pPr>
              <w:widowControl/>
              <w:jc w:val="center"/>
              <w:textAlignment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技术参数及要求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83" w:hRule="atLeast"/>
          <w:jc w:val="center"/>
        </w:trPr>
        <w:tc>
          <w:tcPr>
            <w:tcW w:w="1027" w:type="dxa"/>
            <w:tcBorders>
              <w:tl2br w:val="nil"/>
              <w:tr2bl w:val="nil"/>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儿童综合康复脑功能评估训练系统</w:t>
            </w:r>
          </w:p>
        </w:tc>
        <w:tc>
          <w:tcPr>
            <w:tcW w:w="8308" w:type="dxa"/>
            <w:tcBorders>
              <w:tl2br w:val="nil"/>
              <w:tr2bl w:val="nil"/>
            </w:tcBorders>
            <w:shd w:val="clear" w:color="auto" w:fill="auto"/>
            <w:vAlign w:val="center"/>
          </w:tcPr>
          <w:p>
            <w:pPr>
              <w:widowControl/>
              <w:numPr>
                <w:ilvl w:val="0"/>
                <w:numId w:val="9"/>
              </w:numPr>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评定量表</w:t>
            </w:r>
            <w:r>
              <w:rPr>
                <w:rFonts w:hint="eastAsia" w:ascii="宋体" w:hAnsi="宋体" w:cs="宋体"/>
                <w:color w:val="000000"/>
                <w:kern w:val="0"/>
                <w:sz w:val="20"/>
                <w:szCs w:val="20"/>
                <w:lang w:val="en-US" w:eastAsia="zh-CN"/>
              </w:rPr>
              <w:t>至少包含</w:t>
            </w:r>
            <w:r>
              <w:rPr>
                <w:rFonts w:hint="eastAsia" w:ascii="宋体" w:hAnsi="宋体" w:eastAsia="宋体" w:cs="宋体"/>
                <w:color w:val="000000"/>
                <w:kern w:val="0"/>
                <w:sz w:val="20"/>
                <w:szCs w:val="20"/>
              </w:rPr>
              <w:t>认知评定、心理评定</w:t>
            </w:r>
            <w:r>
              <w:rPr>
                <w:rFonts w:hint="eastAsia" w:ascii="宋体" w:hAnsi="宋体" w:cs="宋体"/>
                <w:color w:val="000000"/>
                <w:kern w:val="0"/>
                <w:sz w:val="20"/>
                <w:szCs w:val="20"/>
                <w:lang w:eastAsia="zh-CN"/>
              </w:rPr>
              <w:t>、</w:t>
            </w:r>
            <w:r>
              <w:rPr>
                <w:rFonts w:hint="eastAsia" w:ascii="宋体" w:hAnsi="宋体" w:eastAsia="宋体" w:cs="宋体"/>
                <w:color w:val="000000"/>
                <w:kern w:val="0"/>
                <w:sz w:val="20"/>
                <w:szCs w:val="20"/>
              </w:rPr>
              <w:t>注意评定、记忆评定等。</w:t>
            </w:r>
          </w:p>
          <w:p>
            <w:pPr>
              <w:widowControl/>
              <w:jc w:val="both"/>
              <w:textAlignment w:val="center"/>
              <w:rPr>
                <w:rFonts w:hint="eastAsia" w:ascii="宋体" w:hAnsi="宋体" w:cs="宋体"/>
                <w:color w:val="000000"/>
                <w:kern w:val="0"/>
                <w:sz w:val="20"/>
                <w:szCs w:val="20"/>
                <w:lang w:eastAsia="zh-CN"/>
              </w:rPr>
            </w:pPr>
            <w:r>
              <w:rPr>
                <w:rFonts w:hint="eastAsia" w:ascii="宋体" w:hAnsi="宋体" w:eastAsia="宋体" w:cs="宋体"/>
                <w:color w:val="000000"/>
                <w:kern w:val="0"/>
                <w:sz w:val="20"/>
                <w:szCs w:val="20"/>
              </w:rPr>
              <w:t>2．认知训练模块</w:t>
            </w:r>
            <w:r>
              <w:rPr>
                <w:rFonts w:hint="eastAsia" w:ascii="宋体" w:hAnsi="宋体" w:cs="宋体"/>
                <w:color w:val="000000"/>
                <w:kern w:val="0"/>
                <w:sz w:val="20"/>
                <w:szCs w:val="20"/>
                <w:lang w:val="en-US" w:eastAsia="zh-CN"/>
              </w:rPr>
              <w:t>≥10</w:t>
            </w:r>
            <w:r>
              <w:rPr>
                <w:rFonts w:hint="eastAsia" w:ascii="宋体" w:hAnsi="宋体" w:eastAsia="宋体" w:cs="宋体"/>
                <w:color w:val="000000"/>
                <w:kern w:val="0"/>
                <w:sz w:val="20"/>
                <w:szCs w:val="20"/>
              </w:rPr>
              <w:t>种，训练模式</w:t>
            </w:r>
            <w:r>
              <w:rPr>
                <w:rFonts w:hint="eastAsia" w:ascii="宋体" w:hAnsi="宋体" w:cs="宋体"/>
                <w:color w:val="000000"/>
                <w:kern w:val="0"/>
                <w:sz w:val="20"/>
                <w:szCs w:val="20"/>
                <w:lang w:val="en-US" w:eastAsia="zh-CN"/>
              </w:rPr>
              <w:t>≥10</w:t>
            </w:r>
            <w:r>
              <w:rPr>
                <w:rFonts w:hint="eastAsia" w:ascii="宋体" w:hAnsi="宋体" w:eastAsia="宋体" w:cs="宋体"/>
                <w:color w:val="000000"/>
                <w:kern w:val="0"/>
                <w:sz w:val="20"/>
                <w:szCs w:val="20"/>
              </w:rPr>
              <w:t>种</w:t>
            </w:r>
            <w:r>
              <w:rPr>
                <w:rFonts w:hint="eastAsia" w:ascii="宋体" w:hAnsi="宋体" w:cs="宋体"/>
                <w:color w:val="000000"/>
                <w:kern w:val="0"/>
                <w:sz w:val="20"/>
                <w:szCs w:val="20"/>
                <w:lang w:eastAsia="zh-CN"/>
              </w:rPr>
              <w:t>。</w:t>
            </w:r>
          </w:p>
          <w:p>
            <w:pPr>
              <w:widowControl/>
              <w:jc w:val="both"/>
              <w:textAlignment w:val="center"/>
              <w:rPr>
                <w:rFonts w:hint="eastAsia" w:ascii="宋体" w:hAnsi="宋体" w:eastAsia="宋体" w:cs="宋体"/>
                <w:color w:val="000000"/>
                <w:kern w:val="0"/>
                <w:sz w:val="20"/>
                <w:szCs w:val="20"/>
                <w:lang w:eastAsia="zh-CN"/>
              </w:rPr>
            </w:pPr>
            <w:r>
              <w:rPr>
                <w:rFonts w:hint="eastAsia" w:ascii="宋体" w:hAnsi="宋体" w:eastAsia="宋体" w:cs="宋体"/>
                <w:color w:val="000000"/>
                <w:kern w:val="0"/>
                <w:sz w:val="20"/>
                <w:szCs w:val="20"/>
              </w:rPr>
              <w:t>3. 双屏分控模式</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lang w:val="en-US" w:eastAsia="zh-CN"/>
              </w:rPr>
              <w:t>内含</w:t>
            </w:r>
            <w:r>
              <w:rPr>
                <w:rFonts w:hint="eastAsia" w:ascii="宋体" w:hAnsi="宋体" w:eastAsia="宋体" w:cs="宋体"/>
                <w:color w:val="000000"/>
                <w:kern w:val="0"/>
                <w:sz w:val="20"/>
                <w:szCs w:val="20"/>
              </w:rPr>
              <w:t>现场数据录像化，</w:t>
            </w:r>
            <w:r>
              <w:rPr>
                <w:rFonts w:hint="eastAsia" w:ascii="宋体" w:hAnsi="宋体" w:cs="宋体"/>
                <w:color w:val="000000"/>
                <w:kern w:val="0"/>
                <w:sz w:val="20"/>
                <w:szCs w:val="20"/>
                <w:lang w:val="en-US" w:eastAsia="zh-CN"/>
              </w:rPr>
              <w:t>可</w:t>
            </w:r>
            <w:r>
              <w:rPr>
                <w:rFonts w:hint="eastAsia" w:ascii="宋体" w:hAnsi="宋体" w:eastAsia="宋体" w:cs="宋体"/>
                <w:color w:val="000000"/>
                <w:kern w:val="0"/>
                <w:sz w:val="20"/>
                <w:szCs w:val="20"/>
              </w:rPr>
              <w:t>全方位现场数据保留</w:t>
            </w:r>
            <w:r>
              <w:rPr>
                <w:rFonts w:hint="eastAsia" w:ascii="宋体" w:hAnsi="宋体" w:cs="宋体"/>
                <w:color w:val="000000"/>
                <w:kern w:val="0"/>
                <w:sz w:val="20"/>
                <w:szCs w:val="20"/>
                <w:lang w:eastAsia="zh-CN"/>
              </w:rPr>
              <w:t>。</w:t>
            </w:r>
          </w:p>
          <w:p>
            <w:pPr>
              <w:widowControl/>
              <w:jc w:val="both"/>
              <w:textAlignment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rPr>
              <w:t>4、支持多语音平台</w:t>
            </w:r>
            <w:r>
              <w:rPr>
                <w:rFonts w:hint="eastAsia" w:ascii="宋体" w:hAnsi="宋体" w:cs="宋体"/>
                <w:color w:val="000000"/>
                <w:kern w:val="0"/>
                <w:sz w:val="20"/>
                <w:szCs w:val="20"/>
                <w:lang w:eastAsia="zh-CN"/>
              </w:rPr>
              <w:t>，</w:t>
            </w:r>
            <w:r>
              <w:rPr>
                <w:rFonts w:hint="eastAsia" w:ascii="宋体" w:hAnsi="宋体" w:eastAsia="宋体" w:cs="宋体"/>
                <w:color w:val="000000"/>
                <w:kern w:val="0"/>
                <w:sz w:val="20"/>
                <w:szCs w:val="20"/>
              </w:rPr>
              <w:t>适用普通话及各类方言</w:t>
            </w:r>
            <w:r>
              <w:rPr>
                <w:rFonts w:hint="eastAsia" w:ascii="宋体" w:hAnsi="宋体" w:cs="宋体"/>
                <w:color w:val="000000"/>
                <w:kern w:val="0"/>
                <w:sz w:val="20"/>
                <w:szCs w:val="20"/>
                <w:lang w:eastAsia="zh-CN"/>
              </w:rPr>
              <w:t>。</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xml:space="preserve">5. </w:t>
            </w:r>
            <w:r>
              <w:rPr>
                <w:rFonts w:hint="eastAsia" w:ascii="宋体" w:hAnsi="宋体" w:cs="宋体"/>
                <w:color w:val="000000"/>
                <w:kern w:val="0"/>
                <w:sz w:val="20"/>
                <w:szCs w:val="20"/>
                <w:lang w:val="en-US" w:eastAsia="zh-CN"/>
              </w:rPr>
              <w:t>支持</w:t>
            </w:r>
            <w:r>
              <w:rPr>
                <w:rFonts w:hint="eastAsia" w:ascii="宋体" w:hAnsi="宋体" w:eastAsia="宋体" w:cs="宋体"/>
                <w:color w:val="000000"/>
                <w:kern w:val="0"/>
                <w:sz w:val="20"/>
                <w:szCs w:val="20"/>
              </w:rPr>
              <w:t>各阶段</w:t>
            </w:r>
            <w:r>
              <w:rPr>
                <w:rFonts w:hint="eastAsia" w:ascii="宋体" w:hAnsi="宋体" w:cs="宋体"/>
                <w:color w:val="000000"/>
                <w:kern w:val="0"/>
                <w:sz w:val="20"/>
                <w:szCs w:val="20"/>
                <w:lang w:eastAsia="zh-CN"/>
              </w:rPr>
              <w:t>、</w:t>
            </w:r>
            <w:r>
              <w:rPr>
                <w:rFonts w:hint="eastAsia" w:ascii="宋体" w:hAnsi="宋体" w:eastAsia="宋体" w:cs="宋体"/>
                <w:color w:val="000000"/>
                <w:kern w:val="0"/>
                <w:sz w:val="20"/>
                <w:szCs w:val="20"/>
              </w:rPr>
              <w:t>不同种类的多个评定自动综合到同一报告单上，方便</w:t>
            </w:r>
            <w:r>
              <w:rPr>
                <w:rFonts w:hint="eastAsia" w:ascii="宋体" w:hAnsi="宋体" w:cs="宋体"/>
                <w:color w:val="000000"/>
                <w:kern w:val="0"/>
                <w:sz w:val="20"/>
                <w:szCs w:val="20"/>
                <w:lang w:val="en-US" w:eastAsia="zh-CN"/>
              </w:rPr>
              <w:t>医</w:t>
            </w:r>
            <w:r>
              <w:rPr>
                <w:rFonts w:hint="eastAsia" w:ascii="宋体" w:hAnsi="宋体" w:eastAsia="宋体" w:cs="宋体"/>
                <w:color w:val="000000"/>
                <w:kern w:val="0"/>
                <w:sz w:val="20"/>
                <w:szCs w:val="20"/>
              </w:rPr>
              <w:t xml:space="preserve">患交流。     </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6．训练难度自动匹配，自动适应患者的认知水平无须治疗师人工干预。</w:t>
            </w:r>
          </w:p>
          <w:p>
            <w:pPr>
              <w:widowControl/>
              <w:jc w:val="both"/>
              <w:textAlignment w:val="center"/>
              <w:rPr>
                <w:rFonts w:hint="eastAsia" w:ascii="宋体" w:hAnsi="宋体" w:eastAsia="宋体" w:cs="宋体"/>
                <w:color w:val="000000"/>
                <w:kern w:val="0"/>
                <w:sz w:val="20"/>
                <w:szCs w:val="20"/>
                <w:lang w:eastAsia="zh-CN"/>
              </w:rPr>
            </w:pPr>
            <w:r>
              <w:rPr>
                <w:rFonts w:hint="eastAsia" w:ascii="宋体" w:hAnsi="宋体" w:eastAsia="宋体" w:cs="宋体"/>
                <w:color w:val="000000"/>
                <w:kern w:val="0"/>
                <w:sz w:val="20"/>
                <w:szCs w:val="20"/>
              </w:rPr>
              <w:t>★7</w:t>
            </w:r>
            <w:r>
              <w:rPr>
                <w:rFonts w:hint="eastAsia" w:ascii="宋体" w:hAnsi="宋体" w:cs="宋体"/>
                <w:color w:val="000000"/>
                <w:kern w:val="0"/>
                <w:sz w:val="20"/>
                <w:szCs w:val="20"/>
                <w:lang w:val="en-US" w:eastAsia="zh-CN"/>
              </w:rPr>
              <w:t xml:space="preserve">.  </w:t>
            </w:r>
            <w:r>
              <w:rPr>
                <w:rFonts w:hint="eastAsia" w:ascii="宋体" w:hAnsi="宋体" w:eastAsia="宋体" w:cs="宋体"/>
                <w:color w:val="000000"/>
                <w:kern w:val="0"/>
                <w:sz w:val="20"/>
                <w:szCs w:val="20"/>
              </w:rPr>
              <w:t>支持忽视症训练，保证偏侧忽略患者最大程度参与训练</w:t>
            </w:r>
            <w:r>
              <w:rPr>
                <w:rFonts w:hint="eastAsia" w:ascii="宋体" w:hAnsi="宋体" w:cs="宋体"/>
                <w:color w:val="000000"/>
                <w:kern w:val="0"/>
                <w:sz w:val="20"/>
                <w:szCs w:val="20"/>
                <w:lang w:eastAsia="zh-CN"/>
              </w:rPr>
              <w:t>。</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8</w:t>
            </w:r>
            <w:r>
              <w:rPr>
                <w:rFonts w:hint="eastAsia" w:ascii="宋体" w:hAnsi="宋体" w:cs="宋体"/>
                <w:color w:val="000000"/>
                <w:kern w:val="0"/>
                <w:sz w:val="20"/>
                <w:szCs w:val="20"/>
                <w:lang w:val="en-US" w:eastAsia="zh-CN"/>
              </w:rPr>
              <w:t>.</w:t>
            </w:r>
            <w:r>
              <w:rPr>
                <w:rFonts w:hint="eastAsia" w:ascii="宋体" w:hAnsi="宋体" w:eastAsia="宋体" w:cs="宋体"/>
                <w:color w:val="000000"/>
                <w:kern w:val="0"/>
                <w:sz w:val="20"/>
                <w:szCs w:val="20"/>
              </w:rPr>
              <w:t xml:space="preserve"> 支持视听觉反馈组合，方便视觉或听觉障碍患者训练。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90" w:hRule="atLeast"/>
          <w:jc w:val="center"/>
        </w:trPr>
        <w:tc>
          <w:tcPr>
            <w:tcW w:w="1027" w:type="dxa"/>
            <w:tcBorders>
              <w:tl2br w:val="nil"/>
              <w:tr2bl w:val="nil"/>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音乐训练仪</w:t>
            </w:r>
          </w:p>
        </w:tc>
        <w:tc>
          <w:tcPr>
            <w:tcW w:w="8308" w:type="dxa"/>
            <w:tcBorders>
              <w:tl2br w:val="nil"/>
              <w:tr2bl w:val="nil"/>
            </w:tcBorders>
            <w:shd w:val="clear" w:color="auto" w:fill="auto"/>
            <w:vAlign w:val="center"/>
          </w:tcPr>
          <w:p>
            <w:pPr>
              <w:widowControl/>
              <w:numPr>
                <w:ilvl w:val="0"/>
                <w:numId w:val="10"/>
              </w:numPr>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支持蓝牙连接和音频播放功能</w:t>
            </w:r>
          </w:p>
          <w:p>
            <w:pPr>
              <w:pStyle w:val="3"/>
              <w:numPr>
                <w:ilvl w:val="0"/>
                <w:numId w:val="10"/>
              </w:numPr>
              <w:rPr>
                <w:rFonts w:hint="default"/>
                <w:lang w:val="en-US" w:eastAsia="zh-CN"/>
              </w:rPr>
            </w:pPr>
            <w:r>
              <w:rPr>
                <w:rFonts w:hint="eastAsia" w:ascii="宋体" w:hAnsi="宋体" w:eastAsia="宋体" w:cs="宋体"/>
                <w:color w:val="000000"/>
                <w:kern w:val="0"/>
                <w:sz w:val="20"/>
                <w:szCs w:val="20"/>
              </w:rPr>
              <w:t>识别人体杂波发声</w:t>
            </w:r>
            <w:r>
              <w:rPr>
                <w:rFonts w:hint="eastAsia" w:ascii="宋体" w:hAnsi="宋体" w:cs="宋体"/>
                <w:color w:val="000000"/>
                <w:kern w:val="0"/>
                <w:sz w:val="20"/>
                <w:szCs w:val="20"/>
                <w:lang w:eastAsia="zh-CN"/>
              </w:rPr>
              <w:t>，</w:t>
            </w:r>
            <w:r>
              <w:rPr>
                <w:rFonts w:hint="eastAsia" w:ascii="宋体" w:hAnsi="宋体" w:eastAsia="宋体" w:cs="宋体"/>
                <w:color w:val="000000"/>
                <w:kern w:val="0"/>
                <w:sz w:val="20"/>
                <w:szCs w:val="20"/>
              </w:rPr>
              <w:t>支持双手触摸发声</w:t>
            </w:r>
          </w:p>
          <w:p>
            <w:pPr>
              <w:widowControl/>
              <w:numPr>
                <w:ilvl w:val="0"/>
                <w:numId w:val="10"/>
              </w:numPr>
              <w:ind w:left="0" w:leftChars="0" w:firstLine="0" w:firstLineChars="0"/>
              <w:jc w:val="both"/>
              <w:textAlignment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rPr>
              <w:t>可模仿</w:t>
            </w:r>
            <w:r>
              <w:rPr>
                <w:rFonts w:hint="eastAsia" w:ascii="宋体" w:hAnsi="宋体" w:cs="宋体"/>
                <w:color w:val="000000"/>
                <w:kern w:val="0"/>
                <w:sz w:val="20"/>
                <w:szCs w:val="20"/>
                <w:lang w:val="en-US" w:eastAsia="zh-CN"/>
              </w:rPr>
              <w:t>≥10</w:t>
            </w:r>
            <w:r>
              <w:rPr>
                <w:rFonts w:hint="eastAsia" w:ascii="宋体" w:hAnsi="宋体" w:eastAsia="宋体" w:cs="宋体"/>
                <w:color w:val="000000"/>
                <w:kern w:val="0"/>
                <w:sz w:val="20"/>
                <w:szCs w:val="20"/>
              </w:rPr>
              <w:t>种旋律乐器音色与音阶，可模仿架子鼓、康加鼓、桑巴鼓等打击乐器音色</w:t>
            </w:r>
          </w:p>
          <w:p>
            <w:pPr>
              <w:widowControl/>
              <w:numPr>
                <w:ilvl w:val="0"/>
                <w:numId w:val="10"/>
              </w:numPr>
              <w:ind w:left="0" w:leftChars="0" w:firstLine="0" w:firstLineChars="0"/>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触控方式</w:t>
            </w:r>
            <w:r>
              <w:rPr>
                <w:rFonts w:hint="eastAsia" w:ascii="宋体" w:hAnsi="宋体" w:cs="宋体"/>
                <w:color w:val="000000"/>
                <w:kern w:val="0"/>
                <w:sz w:val="20"/>
                <w:szCs w:val="20"/>
                <w:lang w:eastAsia="zh-CN"/>
              </w:rPr>
              <w:t>：</w:t>
            </w:r>
            <w:r>
              <w:rPr>
                <w:rFonts w:hint="eastAsia" w:ascii="宋体" w:hAnsi="宋体" w:eastAsia="宋体" w:cs="宋体"/>
                <w:color w:val="000000"/>
                <w:kern w:val="0"/>
                <w:sz w:val="20"/>
                <w:szCs w:val="20"/>
              </w:rPr>
              <w:t>双脚踩踏和金属感应区双手</w:t>
            </w:r>
            <w:r>
              <w:rPr>
                <w:rFonts w:hint="eastAsia" w:ascii="宋体" w:hAnsi="宋体" w:cs="宋体"/>
                <w:color w:val="000000"/>
                <w:kern w:val="0"/>
                <w:sz w:val="20"/>
                <w:szCs w:val="20"/>
                <w:lang w:val="en-US" w:eastAsia="zh-CN"/>
              </w:rPr>
              <w:t>演奏，</w:t>
            </w:r>
            <w:r>
              <w:rPr>
                <w:rFonts w:hint="eastAsia" w:ascii="宋体" w:hAnsi="宋体" w:eastAsia="宋体" w:cs="宋体"/>
                <w:color w:val="000000"/>
                <w:kern w:val="0"/>
                <w:sz w:val="20"/>
                <w:szCs w:val="20"/>
              </w:rPr>
              <w:t>可演奏</w:t>
            </w:r>
            <w:r>
              <w:rPr>
                <w:rFonts w:hint="eastAsia" w:ascii="宋体" w:hAnsi="宋体" w:cs="宋体"/>
                <w:color w:val="000000"/>
                <w:kern w:val="0"/>
                <w:sz w:val="20"/>
                <w:szCs w:val="20"/>
                <w:lang w:val="en-US" w:eastAsia="zh-CN"/>
              </w:rPr>
              <w:t>≥10</w:t>
            </w:r>
            <w:r>
              <w:rPr>
                <w:rFonts w:hint="eastAsia" w:ascii="宋体" w:hAnsi="宋体" w:eastAsia="宋体" w:cs="宋体"/>
                <w:color w:val="000000"/>
                <w:kern w:val="0"/>
                <w:sz w:val="20"/>
                <w:szCs w:val="20"/>
              </w:rPr>
              <w:t>个音级。</w:t>
            </w:r>
          </w:p>
          <w:p>
            <w:pPr>
              <w:widowControl/>
              <w:jc w:val="both"/>
              <w:textAlignment w:val="center"/>
              <w:rPr>
                <w:rFonts w:hint="eastAsia" w:ascii="宋体" w:hAnsi="宋体" w:eastAsia="宋体" w:cs="宋体"/>
                <w:color w:val="000000"/>
                <w:kern w:val="0"/>
                <w:sz w:val="20"/>
                <w:szCs w:val="20"/>
              </w:rPr>
            </w:pPr>
            <w:r>
              <w:rPr>
                <w:rFonts w:hint="eastAsia" w:ascii="宋体" w:hAnsi="宋体" w:cs="宋体"/>
                <w:color w:val="000000"/>
                <w:kern w:val="0"/>
                <w:sz w:val="20"/>
                <w:szCs w:val="20"/>
                <w:lang w:val="en-US" w:eastAsia="zh-CN"/>
              </w:rPr>
              <w:t>5、</w:t>
            </w:r>
            <w:r>
              <w:rPr>
                <w:rFonts w:hint="eastAsia" w:ascii="宋体" w:hAnsi="宋体" w:eastAsia="宋体" w:cs="宋体"/>
                <w:color w:val="000000"/>
                <w:kern w:val="0"/>
                <w:sz w:val="20"/>
                <w:szCs w:val="20"/>
              </w:rPr>
              <w:t>操作延时:触摸操作连续两次操作反应延迟≤100ms:</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w:t>
            </w:r>
            <w:r>
              <w:rPr>
                <w:rFonts w:hint="eastAsia" w:ascii="宋体" w:hAnsi="宋体" w:cs="宋体"/>
                <w:color w:val="000000"/>
                <w:kern w:val="0"/>
                <w:sz w:val="20"/>
                <w:szCs w:val="20"/>
                <w:lang w:val="en-US" w:eastAsia="zh-CN"/>
              </w:rPr>
              <w:t>6.</w:t>
            </w:r>
            <w:r>
              <w:rPr>
                <w:rFonts w:hint="eastAsia" w:ascii="宋体" w:hAnsi="宋体" w:eastAsia="宋体" w:cs="宋体"/>
                <w:color w:val="000000"/>
                <w:kern w:val="0"/>
                <w:sz w:val="20"/>
                <w:szCs w:val="20"/>
              </w:rPr>
              <w:t>音符时值：双手按住触摸操作部位，可不间断演奏出拍速速度≥75的4/4拍歌曲全音音符</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w:t>
            </w:r>
            <w:r>
              <w:rPr>
                <w:rFonts w:hint="eastAsia" w:ascii="宋体" w:hAnsi="宋体" w:cs="宋体"/>
                <w:color w:val="000000"/>
                <w:kern w:val="0"/>
                <w:sz w:val="20"/>
                <w:szCs w:val="20"/>
                <w:lang w:val="en-US" w:eastAsia="zh-CN"/>
              </w:rPr>
              <w:t>7.</w:t>
            </w:r>
            <w:r>
              <w:rPr>
                <w:rFonts w:hint="eastAsia" w:ascii="宋体" w:hAnsi="宋体" w:eastAsia="宋体" w:cs="宋体"/>
                <w:color w:val="000000"/>
                <w:kern w:val="0"/>
                <w:sz w:val="20"/>
                <w:szCs w:val="20"/>
              </w:rPr>
              <w:t>记忆回放功能;可按照操作者操作的音符顺序和时间间隔，记录并回放演奏者所演奏的音乐，回放最多可记录</w:t>
            </w:r>
            <w:r>
              <w:rPr>
                <w:rFonts w:hint="eastAsia" w:ascii="宋体" w:hAnsi="宋体" w:cs="宋体"/>
                <w:color w:val="000000"/>
                <w:kern w:val="0"/>
                <w:sz w:val="20"/>
                <w:szCs w:val="20"/>
                <w:lang w:val="en-US" w:eastAsia="zh-CN"/>
              </w:rPr>
              <w:t>≥100</w:t>
            </w:r>
            <w:r>
              <w:rPr>
                <w:rFonts w:hint="eastAsia" w:ascii="宋体" w:hAnsi="宋体" w:eastAsia="宋体" w:cs="宋体"/>
                <w:color w:val="000000"/>
                <w:kern w:val="0"/>
                <w:sz w:val="20"/>
                <w:szCs w:val="20"/>
              </w:rPr>
              <w:t>个音符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83" w:hRule="atLeast"/>
          <w:jc w:val="center"/>
        </w:trPr>
        <w:tc>
          <w:tcPr>
            <w:tcW w:w="1027" w:type="dxa"/>
            <w:tcBorders>
              <w:tl2br w:val="nil"/>
              <w:tr2bl w:val="nil"/>
            </w:tcBorders>
            <w:shd w:val="clear" w:color="auto" w:fill="auto"/>
            <w:vAlign w:val="center"/>
          </w:tcPr>
          <w:p>
            <w:pPr>
              <w:jc w:val="center"/>
              <w:rPr>
                <w:rFonts w:ascii="宋体" w:hAnsi="宋体" w:eastAsia="宋体" w:cs="宋体"/>
                <w:color w:val="000000"/>
                <w:sz w:val="20"/>
                <w:szCs w:val="20"/>
              </w:rPr>
            </w:pPr>
            <w:r>
              <w:rPr>
                <w:rFonts w:hint="eastAsia" w:ascii="宋体" w:hAnsi="宋体"/>
                <w:sz w:val="18"/>
                <w:szCs w:val="18"/>
              </w:rPr>
              <w:t>儿童认知能力测试与训练仪</w:t>
            </w:r>
          </w:p>
        </w:tc>
        <w:tc>
          <w:tcPr>
            <w:tcW w:w="8308" w:type="dxa"/>
            <w:tcBorders>
              <w:tl2br w:val="nil"/>
              <w:tr2bl w:val="nil"/>
            </w:tcBorders>
            <w:shd w:val="clear" w:color="auto" w:fill="auto"/>
            <w:vAlign w:val="center"/>
          </w:tcPr>
          <w:p>
            <w:pPr>
              <w:widowControl/>
              <w:jc w:val="both"/>
              <w:textAlignment w:val="center"/>
              <w:rPr>
                <w:rFonts w:hint="eastAsia" w:ascii="宋体" w:hAnsi="宋体" w:eastAsia="宋体" w:cs="宋体"/>
                <w:color w:val="000000"/>
                <w:kern w:val="0"/>
                <w:sz w:val="20"/>
                <w:szCs w:val="20"/>
              </w:rPr>
            </w:pPr>
            <w:r>
              <w:rPr>
                <w:rFonts w:hint="eastAsia" w:ascii="宋体" w:hAnsi="宋体" w:cs="宋体"/>
                <w:color w:val="000000"/>
                <w:kern w:val="0"/>
                <w:sz w:val="20"/>
                <w:szCs w:val="20"/>
                <w:lang w:val="en-US" w:eastAsia="zh-CN"/>
              </w:rPr>
              <w:t>1.</w:t>
            </w:r>
            <w:r>
              <w:rPr>
                <w:rFonts w:hint="eastAsia" w:ascii="宋体" w:hAnsi="宋体" w:eastAsia="宋体" w:cs="宋体"/>
                <w:color w:val="000000"/>
                <w:kern w:val="0"/>
                <w:sz w:val="20"/>
                <w:szCs w:val="20"/>
              </w:rPr>
              <w:t>智能评测儿童各项认知能力所对应的能力数值及其所处阶段，并根据评测结果自动导入个体化训练方案。</w:t>
            </w:r>
          </w:p>
          <w:p>
            <w:pPr>
              <w:widowControl/>
              <w:jc w:val="both"/>
              <w:textAlignment w:val="center"/>
              <w:rPr>
                <w:rFonts w:hint="eastAsia" w:ascii="宋体" w:hAnsi="宋体" w:cs="宋体"/>
                <w:color w:val="000000"/>
                <w:kern w:val="0"/>
                <w:sz w:val="20"/>
                <w:szCs w:val="20"/>
                <w:lang w:eastAsia="zh-CN"/>
              </w:rPr>
            </w:pPr>
            <w:r>
              <w:rPr>
                <w:rFonts w:hint="eastAsia" w:ascii="宋体" w:hAnsi="宋体" w:cs="宋体"/>
                <w:color w:val="000000"/>
                <w:kern w:val="0"/>
                <w:sz w:val="20"/>
                <w:szCs w:val="20"/>
                <w:lang w:val="en-US" w:eastAsia="zh-CN"/>
              </w:rPr>
              <w:t>2.</w:t>
            </w:r>
            <w:r>
              <w:rPr>
                <w:rFonts w:hint="eastAsia" w:ascii="宋体" w:hAnsi="宋体" w:eastAsia="宋体" w:cs="宋体"/>
                <w:color w:val="000000"/>
                <w:kern w:val="0"/>
                <w:sz w:val="20"/>
                <w:szCs w:val="20"/>
              </w:rPr>
              <w:t>评测结果自动保存，结果报表可直接打印</w:t>
            </w:r>
            <w:r>
              <w:rPr>
                <w:rFonts w:hint="eastAsia" w:ascii="宋体" w:hAnsi="宋体" w:cs="宋体"/>
                <w:color w:val="000000"/>
                <w:kern w:val="0"/>
                <w:sz w:val="20"/>
                <w:szCs w:val="20"/>
                <w:lang w:eastAsia="zh-CN"/>
              </w:rPr>
              <w:t>。</w:t>
            </w:r>
          </w:p>
          <w:p>
            <w:pPr>
              <w:widowControl/>
              <w:jc w:val="both"/>
              <w:textAlignment w:val="center"/>
              <w:rPr>
                <w:rFonts w:hint="eastAsia" w:ascii="宋体" w:hAnsi="宋体" w:eastAsia="宋体" w:cs="宋体"/>
                <w:color w:val="000000"/>
                <w:kern w:val="0"/>
                <w:sz w:val="20"/>
                <w:szCs w:val="20"/>
              </w:rPr>
            </w:pPr>
            <w:r>
              <w:rPr>
                <w:rFonts w:hint="eastAsia" w:ascii="宋体" w:hAnsi="宋体" w:cs="宋体"/>
                <w:color w:val="000000"/>
                <w:kern w:val="0"/>
                <w:sz w:val="20"/>
                <w:szCs w:val="20"/>
                <w:lang w:val="en-US" w:eastAsia="zh-CN"/>
              </w:rPr>
              <w:t>3.</w:t>
            </w:r>
            <w:r>
              <w:rPr>
                <w:rFonts w:hint="eastAsia" w:ascii="宋体" w:hAnsi="宋体" w:eastAsia="宋体" w:cs="宋体"/>
                <w:color w:val="000000"/>
                <w:kern w:val="0"/>
                <w:sz w:val="20"/>
                <w:szCs w:val="20"/>
              </w:rPr>
              <w:t>软件包括测试平台与学习平台。</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1）认知能力测试</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根据不同儿童的认知发展水平差异，自动导入相应的等级甄别题和等级测试题。该平台还提供自录音功能，可根据实际情况录制地方方言，使被测者的检测结果不受语言地区差异的束缚。</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2）认知能力学习平台</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针对五项认知能力：感知觉、注意、观察、记忆、思维（推理）等进行学习训练；并根据儿童认知能力发展阶段分为五个难度级别。每一个认知级别对五项认知能力及语言交流进行训练。</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3）个性化学习平台</w:t>
            </w:r>
          </w:p>
          <w:p>
            <w:pPr>
              <w:widowControl/>
              <w:jc w:val="both"/>
              <w:textAlignment w:val="center"/>
              <w:rPr>
                <w:rFonts w:hint="eastAsia" w:ascii="宋体" w:hAnsi="宋体" w:eastAsia="宋体" w:cs="宋体"/>
                <w:color w:val="000000"/>
                <w:kern w:val="0"/>
                <w:sz w:val="20"/>
                <w:szCs w:val="20"/>
              </w:rPr>
            </w:pPr>
            <w:r>
              <w:rPr>
                <w:rFonts w:hint="eastAsia" w:ascii="宋体" w:hAnsi="宋体" w:cs="宋体"/>
                <w:color w:val="000000"/>
                <w:kern w:val="0"/>
                <w:sz w:val="20"/>
                <w:szCs w:val="20"/>
                <w:lang w:val="en-US" w:eastAsia="zh-CN"/>
              </w:rPr>
              <w:t>需提供开放性训练</w:t>
            </w:r>
            <w:r>
              <w:rPr>
                <w:rFonts w:hint="eastAsia" w:ascii="宋体" w:hAnsi="宋体" w:eastAsia="宋体" w:cs="宋体"/>
                <w:color w:val="000000"/>
                <w:kern w:val="0"/>
                <w:sz w:val="20"/>
                <w:szCs w:val="20"/>
              </w:rPr>
              <w:t>平台，</w:t>
            </w:r>
            <w:r>
              <w:rPr>
                <w:rFonts w:hint="eastAsia" w:ascii="宋体" w:hAnsi="宋体" w:eastAsia="宋体" w:cs="宋体"/>
                <w:color w:val="000000"/>
                <w:kern w:val="0"/>
                <w:sz w:val="20"/>
                <w:szCs w:val="20"/>
                <w:lang w:val="en-US" w:eastAsia="zh-CN"/>
              </w:rPr>
              <w:t>治疗师</w:t>
            </w:r>
            <w:r>
              <w:rPr>
                <w:rFonts w:hint="eastAsia" w:ascii="宋体" w:hAnsi="宋体" w:eastAsia="宋体" w:cs="宋体"/>
                <w:color w:val="000000"/>
                <w:kern w:val="0"/>
                <w:sz w:val="20"/>
                <w:szCs w:val="20"/>
              </w:rPr>
              <w:t>可根据</w:t>
            </w:r>
            <w:r>
              <w:rPr>
                <w:rFonts w:hint="eastAsia" w:ascii="宋体" w:hAnsi="宋体" w:eastAsia="宋体" w:cs="宋体"/>
                <w:color w:val="000000"/>
                <w:kern w:val="0"/>
                <w:sz w:val="20"/>
                <w:szCs w:val="20"/>
                <w:lang w:val="en-US" w:eastAsia="zh-CN"/>
              </w:rPr>
              <w:t>患者</w:t>
            </w:r>
            <w:r>
              <w:rPr>
                <w:rFonts w:hint="eastAsia" w:ascii="宋体" w:hAnsi="宋体" w:eastAsia="宋体" w:cs="宋体"/>
                <w:color w:val="000000"/>
                <w:kern w:val="0"/>
                <w:sz w:val="20"/>
                <w:szCs w:val="20"/>
              </w:rPr>
              <w:t>的实际需要和自己的经验设计针对性的个体化康复方案，无限拓展。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83" w:hRule="atLeast"/>
          <w:jc w:val="center"/>
        </w:trPr>
        <w:tc>
          <w:tcPr>
            <w:tcW w:w="1027" w:type="dxa"/>
            <w:tcBorders>
              <w:tl2br w:val="nil"/>
              <w:tr2bl w:val="nil"/>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引导式教育小组训练仪</w:t>
            </w:r>
          </w:p>
        </w:tc>
        <w:tc>
          <w:tcPr>
            <w:tcW w:w="8308" w:type="dxa"/>
            <w:tcBorders>
              <w:tl2br w:val="nil"/>
              <w:tr2bl w:val="nil"/>
            </w:tcBorders>
            <w:shd w:val="clear" w:color="auto" w:fill="auto"/>
            <w:vAlign w:val="center"/>
          </w:tcPr>
          <w:p>
            <w:pPr>
              <w:widowControl/>
              <w:jc w:val="both"/>
              <w:textAlignment w:val="center"/>
              <w:rPr>
                <w:rFonts w:hint="eastAsia"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w:t>
            </w:r>
            <w:r>
              <w:rPr>
                <w:rFonts w:hint="eastAsia" w:ascii="宋体" w:hAnsi="宋体" w:eastAsia="宋体" w:cs="宋体"/>
                <w:color w:val="000000"/>
                <w:kern w:val="0"/>
                <w:sz w:val="20"/>
                <w:szCs w:val="20"/>
              </w:rPr>
              <w:t>LED 液晶屏(16:9)，显示分辨率不低于1920×1080；全屏幕防水，全触控操作区防水</w:t>
            </w:r>
            <w:r>
              <w:rPr>
                <w:rFonts w:hint="eastAsia" w:ascii="宋体" w:hAnsi="宋体" w:cs="宋体"/>
                <w:color w:val="000000"/>
                <w:kern w:val="0"/>
                <w:sz w:val="20"/>
                <w:szCs w:val="20"/>
                <w:lang w:eastAsia="zh-CN"/>
              </w:rPr>
              <w:t>。</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w:t>
            </w:r>
            <w:r>
              <w:rPr>
                <w:rFonts w:hint="eastAsia" w:ascii="宋体" w:hAnsi="宋体" w:cs="宋体"/>
                <w:color w:val="000000"/>
                <w:kern w:val="0"/>
                <w:sz w:val="20"/>
                <w:szCs w:val="20"/>
                <w:lang w:val="en-US" w:eastAsia="zh-CN"/>
              </w:rPr>
              <w:t>2.</w:t>
            </w:r>
            <w:r>
              <w:rPr>
                <w:rFonts w:hint="eastAsia" w:ascii="宋体" w:hAnsi="宋体" w:eastAsia="宋体" w:cs="宋体"/>
                <w:color w:val="000000"/>
                <w:kern w:val="0"/>
                <w:sz w:val="20"/>
                <w:szCs w:val="20"/>
              </w:rPr>
              <w:t>屏幕</w:t>
            </w:r>
            <w:r>
              <w:rPr>
                <w:rFonts w:hint="eastAsia" w:ascii="宋体" w:hAnsi="宋体" w:eastAsia="宋体" w:cs="宋体"/>
                <w:color w:val="000000"/>
                <w:kern w:val="0"/>
                <w:sz w:val="20"/>
                <w:szCs w:val="20"/>
                <w:lang w:eastAsia="zh-CN"/>
              </w:rPr>
              <w:t>需</w:t>
            </w:r>
            <w:r>
              <w:rPr>
                <w:rFonts w:hint="eastAsia" w:ascii="宋体" w:hAnsi="宋体" w:eastAsia="宋体" w:cs="宋体"/>
                <w:color w:val="000000"/>
                <w:kern w:val="0"/>
                <w:sz w:val="20"/>
                <w:szCs w:val="20"/>
              </w:rPr>
              <w:t>采用投射式电容感应数字触控技术，实现高精度多点触控操作,设备屏幕纯平设计；</w:t>
            </w:r>
          </w:p>
          <w:p>
            <w:pPr>
              <w:widowControl/>
              <w:jc w:val="both"/>
              <w:textAlignment w:val="center"/>
              <w:rPr>
                <w:rFonts w:hint="eastAsia" w:ascii="宋体" w:hAnsi="宋体" w:eastAsia="宋体" w:cs="宋体"/>
                <w:color w:val="000000"/>
                <w:kern w:val="0"/>
                <w:sz w:val="20"/>
                <w:szCs w:val="20"/>
              </w:rPr>
            </w:pPr>
            <w:r>
              <w:rPr>
                <w:rFonts w:hint="eastAsia" w:ascii="宋体" w:hAnsi="宋体" w:cs="宋体"/>
                <w:color w:val="000000"/>
                <w:kern w:val="0"/>
                <w:sz w:val="20"/>
                <w:szCs w:val="20"/>
                <w:lang w:val="en-US" w:eastAsia="zh-CN"/>
              </w:rPr>
              <w:t>3.</w:t>
            </w:r>
            <w:r>
              <w:rPr>
                <w:rFonts w:hint="eastAsia" w:ascii="宋体" w:hAnsi="宋体" w:eastAsia="宋体" w:cs="宋体"/>
                <w:color w:val="000000"/>
                <w:kern w:val="0"/>
                <w:sz w:val="20"/>
                <w:szCs w:val="20"/>
              </w:rPr>
              <w:t>屏幕触摸响应，非人体皮肤触摸不响应，从而有效避免误操作；</w:t>
            </w:r>
          </w:p>
          <w:p>
            <w:pPr>
              <w:widowControl/>
              <w:jc w:val="both"/>
              <w:textAlignment w:val="center"/>
              <w:rPr>
                <w:rFonts w:hint="eastAsia" w:ascii="宋体" w:hAnsi="宋体" w:eastAsia="宋体" w:cs="宋体"/>
                <w:color w:val="000000"/>
                <w:kern w:val="0"/>
                <w:sz w:val="20"/>
                <w:szCs w:val="20"/>
              </w:rPr>
            </w:pPr>
            <w:r>
              <w:rPr>
                <w:rFonts w:hint="eastAsia" w:ascii="宋体" w:hAnsi="宋体" w:cs="宋体"/>
                <w:color w:val="000000"/>
                <w:kern w:val="0"/>
                <w:sz w:val="20"/>
                <w:szCs w:val="20"/>
                <w:lang w:val="en-US" w:eastAsia="zh-CN"/>
              </w:rPr>
              <w:t>4.</w:t>
            </w:r>
            <w:r>
              <w:rPr>
                <w:rFonts w:hint="eastAsia" w:ascii="宋体" w:hAnsi="宋体" w:eastAsia="宋体" w:cs="宋体"/>
                <w:color w:val="000000"/>
                <w:kern w:val="0"/>
                <w:sz w:val="20"/>
                <w:szCs w:val="20"/>
              </w:rPr>
              <w:t>触摸精度直径≥1mm物体；</w:t>
            </w:r>
          </w:p>
          <w:p>
            <w:pPr>
              <w:widowControl/>
              <w:jc w:val="both"/>
              <w:textAlignment w:val="center"/>
              <w:rPr>
                <w:rFonts w:hint="eastAsia" w:ascii="宋体" w:hAnsi="宋体" w:eastAsia="宋体" w:cs="宋体"/>
                <w:color w:val="000000"/>
                <w:kern w:val="0"/>
                <w:sz w:val="20"/>
                <w:szCs w:val="20"/>
              </w:rPr>
            </w:pPr>
            <w:r>
              <w:rPr>
                <w:rFonts w:hint="eastAsia" w:ascii="宋体" w:hAnsi="宋体" w:cs="宋体"/>
                <w:color w:val="000000"/>
                <w:kern w:val="0"/>
                <w:sz w:val="20"/>
                <w:szCs w:val="20"/>
                <w:lang w:val="en-US" w:eastAsia="zh-CN"/>
              </w:rPr>
              <w:t>5.</w:t>
            </w:r>
            <w:r>
              <w:rPr>
                <w:rFonts w:hint="eastAsia" w:ascii="宋体" w:hAnsi="宋体" w:eastAsia="宋体" w:cs="宋体"/>
                <w:color w:val="000000"/>
                <w:kern w:val="0"/>
                <w:sz w:val="20"/>
                <w:szCs w:val="20"/>
              </w:rPr>
              <w:t>训练软件包括：互动协作训练、互动对抗训练两个方面，其中互动协作训练不少于12个训练软件，互动对抗训练不少于20个训练软件；</w:t>
            </w:r>
          </w:p>
          <w:p>
            <w:pPr>
              <w:widowControl/>
              <w:jc w:val="both"/>
              <w:textAlignment w:val="center"/>
              <w:rPr>
                <w:rFonts w:hint="eastAsia" w:ascii="宋体" w:hAnsi="宋体" w:eastAsia="宋体" w:cs="宋体"/>
                <w:color w:val="000000"/>
                <w:kern w:val="0"/>
                <w:sz w:val="20"/>
                <w:szCs w:val="20"/>
              </w:rPr>
            </w:pPr>
            <w:r>
              <w:rPr>
                <w:rFonts w:hint="eastAsia" w:ascii="宋体" w:hAnsi="宋体" w:cs="宋体"/>
                <w:color w:val="000000"/>
                <w:kern w:val="0"/>
                <w:sz w:val="20"/>
                <w:szCs w:val="20"/>
                <w:lang w:val="en-US" w:eastAsia="zh-CN"/>
              </w:rPr>
              <w:t>6.</w:t>
            </w:r>
            <w:r>
              <w:rPr>
                <w:rFonts w:hint="eastAsia" w:ascii="宋体" w:hAnsi="宋体" w:eastAsia="宋体" w:cs="宋体"/>
                <w:color w:val="000000"/>
                <w:kern w:val="0"/>
                <w:sz w:val="20"/>
                <w:szCs w:val="20"/>
              </w:rPr>
              <w:t>软件</w:t>
            </w:r>
            <w:r>
              <w:rPr>
                <w:rFonts w:hint="eastAsia" w:ascii="宋体" w:hAnsi="宋体" w:cs="宋体"/>
                <w:color w:val="000000"/>
                <w:kern w:val="0"/>
                <w:sz w:val="20"/>
                <w:szCs w:val="20"/>
                <w:lang w:val="en-US" w:eastAsia="zh-CN"/>
              </w:rPr>
              <w:t>支持</w:t>
            </w:r>
            <w:r>
              <w:rPr>
                <w:rFonts w:hint="eastAsia" w:ascii="宋体" w:hAnsi="宋体" w:eastAsia="宋体" w:cs="宋体"/>
                <w:color w:val="000000"/>
                <w:kern w:val="0"/>
                <w:sz w:val="20"/>
                <w:szCs w:val="20"/>
              </w:rPr>
              <w:t>本地U盘升级更新</w:t>
            </w:r>
            <w:r>
              <w:rPr>
                <w:rFonts w:hint="eastAsia" w:ascii="宋体" w:hAnsi="宋体" w:cs="宋体"/>
                <w:color w:val="000000"/>
                <w:kern w:val="0"/>
                <w:sz w:val="20"/>
                <w:szCs w:val="20"/>
                <w:lang w:val="en-US" w:eastAsia="zh-CN"/>
              </w:rPr>
              <w:t>功能</w:t>
            </w:r>
            <w:r>
              <w:rPr>
                <w:rFonts w:hint="eastAsia" w:ascii="宋体" w:hAnsi="宋体" w:eastAsia="宋体" w:cs="宋体"/>
                <w:color w:val="000000"/>
                <w:kern w:val="0"/>
                <w:sz w:val="20"/>
                <w:szCs w:val="2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83" w:hRule="atLeast"/>
          <w:jc w:val="center"/>
        </w:trPr>
        <w:tc>
          <w:tcPr>
            <w:tcW w:w="1027" w:type="dxa"/>
            <w:tcBorders>
              <w:tl2br w:val="nil"/>
              <w:tr2bl w:val="nil"/>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多感官训练系统</w:t>
            </w:r>
          </w:p>
        </w:tc>
        <w:tc>
          <w:tcPr>
            <w:tcW w:w="8308" w:type="dxa"/>
            <w:tcBorders>
              <w:tl2br w:val="nil"/>
              <w:tr2bl w:val="nil"/>
            </w:tcBorders>
            <w:shd w:val="clear" w:color="auto" w:fill="auto"/>
            <w:vAlign w:val="center"/>
          </w:tcPr>
          <w:p>
            <w:pPr>
              <w:widowControl/>
              <w:jc w:val="both"/>
              <w:textAlignment w:val="center"/>
              <w:rPr>
                <w:rFonts w:hint="eastAsia" w:ascii="宋体" w:hAnsi="宋体" w:eastAsia="宋体" w:cs="宋体"/>
                <w:b/>
                <w:bCs/>
                <w:color w:val="000000"/>
                <w:kern w:val="0"/>
                <w:sz w:val="20"/>
                <w:szCs w:val="20"/>
              </w:rPr>
            </w:pPr>
            <w:r>
              <w:rPr>
                <w:rFonts w:hint="eastAsia" w:ascii="宋体" w:hAnsi="宋体" w:cs="宋体"/>
                <w:b/>
                <w:bCs/>
                <w:color w:val="000000"/>
                <w:kern w:val="0"/>
                <w:sz w:val="20"/>
                <w:szCs w:val="20"/>
                <w:lang w:val="en-US" w:eastAsia="zh-CN"/>
              </w:rPr>
              <w:t>1.</w:t>
            </w:r>
            <w:r>
              <w:rPr>
                <w:rFonts w:hint="eastAsia" w:ascii="宋体" w:hAnsi="宋体" w:eastAsia="宋体" w:cs="宋体"/>
                <w:b/>
                <w:bCs/>
                <w:color w:val="000000"/>
                <w:kern w:val="0"/>
                <w:sz w:val="20"/>
                <w:szCs w:val="20"/>
              </w:rPr>
              <w:t>多感官音色互动训练器（互动钢琴水柱）</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幻彩水柱-8PCS，幻彩水柱 8 个音阶按键,每个按键对应 8 种声音,每个模式同个按键声音不同,</w:t>
            </w:r>
            <w:r>
              <w:rPr>
                <w:rFonts w:hint="eastAsia" w:ascii="宋体" w:hAnsi="宋体" w:eastAsia="宋体" w:cs="宋体"/>
                <w:color w:val="000000"/>
                <w:kern w:val="0"/>
                <w:sz w:val="20"/>
                <w:szCs w:val="20"/>
                <w:lang w:eastAsia="zh-CN"/>
              </w:rPr>
              <w:t>不低于</w:t>
            </w:r>
            <w:r>
              <w:rPr>
                <w:rFonts w:hint="eastAsia" w:ascii="宋体" w:hAnsi="宋体" w:eastAsia="宋体" w:cs="宋体"/>
                <w:color w:val="000000"/>
                <w:kern w:val="0"/>
                <w:sz w:val="20"/>
                <w:szCs w:val="20"/>
              </w:rPr>
              <w:t>64 种声音。</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1、背景镜面1套。</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2、幻彩有机玻璃水柱8根。</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3、换水水泵一台及换水软管1根。</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4、输入电压:220VAC 工作电压:12VDC、AC220V 。</w:t>
            </w:r>
          </w:p>
          <w:p>
            <w:pPr>
              <w:widowControl/>
              <w:jc w:val="both"/>
              <w:textAlignment w:val="center"/>
              <w:rPr>
                <w:rFonts w:hint="eastAsia" w:ascii="宋体" w:hAnsi="宋体" w:eastAsia="宋体" w:cs="宋体"/>
                <w:color w:val="000000"/>
                <w:kern w:val="0"/>
                <w:sz w:val="20"/>
                <w:szCs w:val="20"/>
              </w:rPr>
            </w:pPr>
            <w:r>
              <w:rPr>
                <w:rFonts w:hint="eastAsia" w:ascii="宋体" w:hAnsi="宋体" w:cs="宋体"/>
                <w:color w:val="000000"/>
                <w:kern w:val="0"/>
                <w:sz w:val="20"/>
                <w:szCs w:val="20"/>
                <w:lang w:val="en-US" w:eastAsia="zh-CN"/>
              </w:rPr>
              <w:t>5</w:t>
            </w:r>
            <w:r>
              <w:rPr>
                <w:rFonts w:hint="eastAsia" w:ascii="宋体" w:hAnsi="宋体" w:eastAsia="宋体" w:cs="宋体"/>
                <w:color w:val="000000"/>
                <w:kern w:val="0"/>
                <w:sz w:val="20"/>
                <w:szCs w:val="20"/>
              </w:rPr>
              <w:t>、支持USB热插拔，教师可根据训练内容更换音乐。</w:t>
            </w:r>
          </w:p>
          <w:p>
            <w:pPr>
              <w:widowControl/>
              <w:jc w:val="both"/>
              <w:textAlignment w:val="center"/>
              <w:rPr>
                <w:rFonts w:hint="eastAsia" w:ascii="宋体" w:hAnsi="宋体" w:eastAsia="宋体" w:cs="宋体"/>
                <w:color w:val="000000"/>
                <w:kern w:val="0"/>
                <w:sz w:val="20"/>
                <w:szCs w:val="20"/>
              </w:rPr>
            </w:pPr>
            <w:r>
              <w:rPr>
                <w:rFonts w:hint="eastAsia" w:ascii="宋体" w:hAnsi="宋体" w:cs="宋体"/>
                <w:color w:val="000000"/>
                <w:kern w:val="0"/>
                <w:sz w:val="20"/>
                <w:szCs w:val="20"/>
                <w:lang w:val="en-US" w:eastAsia="zh-CN"/>
              </w:rPr>
              <w:t>6</w:t>
            </w:r>
            <w:r>
              <w:rPr>
                <w:rFonts w:hint="eastAsia" w:ascii="宋体" w:hAnsi="宋体" w:eastAsia="宋体" w:cs="宋体"/>
                <w:color w:val="000000"/>
                <w:kern w:val="0"/>
                <w:sz w:val="20"/>
                <w:szCs w:val="20"/>
              </w:rPr>
              <w:t>、阻燃符合于GB 6675-2014标准；环保符合于GB 18584-2001、GB 21550标准；</w:t>
            </w:r>
          </w:p>
          <w:p>
            <w:pPr>
              <w:widowControl/>
              <w:jc w:val="both"/>
              <w:textAlignment w:val="center"/>
              <w:rPr>
                <w:rFonts w:hint="eastAsia" w:ascii="宋体" w:hAnsi="宋体" w:cs="宋体"/>
                <w:color w:val="000000"/>
                <w:kern w:val="0"/>
                <w:sz w:val="20"/>
                <w:szCs w:val="20"/>
                <w:lang w:eastAsia="zh-CN"/>
              </w:rPr>
            </w:pPr>
            <w:r>
              <w:rPr>
                <w:rFonts w:hint="eastAsia" w:ascii="宋体" w:hAnsi="宋体" w:eastAsia="宋体" w:cs="宋体"/>
                <w:color w:val="000000"/>
                <w:kern w:val="0"/>
                <w:sz w:val="20"/>
                <w:szCs w:val="20"/>
              </w:rPr>
              <w:t xml:space="preserve"> </w:t>
            </w:r>
            <w:r>
              <w:rPr>
                <w:rFonts w:hint="eastAsia" w:ascii="宋体" w:hAnsi="宋体" w:cs="宋体"/>
                <w:color w:val="000000"/>
                <w:kern w:val="0"/>
                <w:sz w:val="20"/>
                <w:szCs w:val="20"/>
                <w:lang w:eastAsia="zh-CN"/>
              </w:rPr>
              <w:t>质量要求符合于JY0001－2003标准。</w:t>
            </w:r>
          </w:p>
          <w:p>
            <w:pPr>
              <w:widowControl/>
              <w:numPr>
                <w:ilvl w:val="0"/>
                <w:numId w:val="0"/>
              </w:numPr>
              <w:jc w:val="both"/>
              <w:textAlignment w:val="center"/>
              <w:rPr>
                <w:rFonts w:hint="eastAsia" w:ascii="宋体" w:hAnsi="宋体" w:eastAsia="宋体" w:cs="宋体"/>
                <w:color w:val="000000"/>
                <w:kern w:val="0"/>
                <w:sz w:val="20"/>
                <w:szCs w:val="20"/>
              </w:rPr>
            </w:pPr>
            <w:r>
              <w:rPr>
                <w:rFonts w:hint="eastAsia" w:ascii="宋体" w:hAnsi="宋体" w:cs="宋体"/>
                <w:b/>
                <w:bCs/>
                <w:color w:val="000000"/>
                <w:kern w:val="0"/>
                <w:sz w:val="20"/>
                <w:szCs w:val="20"/>
                <w:lang w:val="en-US" w:eastAsia="zh-CN"/>
              </w:rPr>
              <w:t>2、</w:t>
            </w:r>
            <w:r>
              <w:rPr>
                <w:rFonts w:hint="eastAsia" w:ascii="宋体" w:hAnsi="宋体" w:eastAsia="宋体" w:cs="宋体"/>
                <w:b/>
                <w:bCs/>
                <w:color w:val="000000"/>
                <w:kern w:val="0"/>
                <w:sz w:val="20"/>
                <w:szCs w:val="20"/>
              </w:rPr>
              <w:t>多感官触感训练组合（手掌感知声光游戏箱）</w:t>
            </w:r>
            <w:r>
              <w:rPr>
                <w:rFonts w:hint="eastAsia" w:ascii="宋体" w:hAnsi="宋体" w:eastAsia="宋体" w:cs="宋体"/>
                <w:color w:val="000000"/>
                <w:kern w:val="0"/>
                <w:sz w:val="20"/>
                <w:szCs w:val="20"/>
              </w:rPr>
              <w:tab/>
            </w:r>
          </w:p>
          <w:p>
            <w:pPr>
              <w:widowControl/>
              <w:jc w:val="both"/>
              <w:textAlignment w:val="center"/>
              <w:rPr>
                <w:rFonts w:hint="eastAsia" w:ascii="宋体" w:hAnsi="宋体" w:eastAsia="宋体" w:cs="宋体"/>
                <w:color w:val="000000"/>
                <w:kern w:val="0"/>
                <w:sz w:val="20"/>
                <w:szCs w:val="20"/>
              </w:rPr>
            </w:pPr>
            <w:r>
              <w:rPr>
                <w:rFonts w:hint="eastAsia" w:ascii="宋体" w:hAnsi="宋体" w:cs="宋体"/>
                <w:color w:val="000000"/>
                <w:kern w:val="0"/>
                <w:sz w:val="20"/>
                <w:szCs w:val="20"/>
                <w:lang w:val="en-US" w:eastAsia="zh-CN"/>
              </w:rPr>
              <w:t>1</w:t>
            </w:r>
            <w:r>
              <w:rPr>
                <w:rFonts w:hint="eastAsia" w:ascii="宋体" w:hAnsi="宋体" w:eastAsia="宋体" w:cs="宋体"/>
                <w:color w:val="000000"/>
                <w:kern w:val="0"/>
                <w:sz w:val="20"/>
                <w:szCs w:val="20"/>
              </w:rPr>
              <w:t>、输入电压:220VAC  工作电压:12VDC。</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rPr>
              <w:t>2</w:t>
            </w:r>
            <w:r>
              <w:rPr>
                <w:rFonts w:hint="eastAsia" w:ascii="宋体" w:hAnsi="宋体" w:eastAsia="宋体" w:cs="宋体"/>
                <w:color w:val="000000"/>
                <w:kern w:val="0"/>
                <w:sz w:val="20"/>
                <w:szCs w:val="20"/>
              </w:rPr>
              <w:t>、额定功率：小于40W</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rPr>
              <w:t>3</w:t>
            </w:r>
            <w:r>
              <w:rPr>
                <w:rFonts w:hint="eastAsia" w:ascii="宋体" w:hAnsi="宋体" w:eastAsia="宋体" w:cs="宋体"/>
                <w:color w:val="000000"/>
                <w:kern w:val="0"/>
                <w:sz w:val="20"/>
                <w:szCs w:val="20"/>
              </w:rPr>
              <w:t>、尺寸：</w:t>
            </w:r>
            <w:r>
              <w:rPr>
                <w:rFonts w:hint="eastAsia" w:ascii="宋体" w:hAnsi="宋体" w:eastAsia="宋体" w:cs="宋体"/>
                <w:color w:val="000000"/>
                <w:kern w:val="0"/>
                <w:sz w:val="20"/>
                <w:szCs w:val="20"/>
                <w:lang w:eastAsia="zh-CN"/>
              </w:rPr>
              <w:t>≥</w:t>
            </w:r>
            <w:r>
              <w:rPr>
                <w:rFonts w:hint="eastAsia" w:ascii="宋体" w:hAnsi="宋体" w:eastAsia="宋体" w:cs="宋体"/>
                <w:color w:val="000000"/>
                <w:kern w:val="0"/>
                <w:sz w:val="20"/>
                <w:szCs w:val="20"/>
              </w:rPr>
              <w:t>1200*750*120mm</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rPr>
              <w:t>4</w:t>
            </w:r>
            <w:r>
              <w:rPr>
                <w:rFonts w:hint="eastAsia" w:ascii="宋体" w:hAnsi="宋体" w:eastAsia="宋体" w:cs="宋体"/>
                <w:color w:val="000000"/>
                <w:kern w:val="0"/>
                <w:sz w:val="20"/>
                <w:szCs w:val="20"/>
              </w:rPr>
              <w:t>、质量要求符合于JY0001－2003标准；阻燃符合于GB 6675-2014标准；环保符合于GB 18584-2001、GB 21550-2008标准。</w:t>
            </w:r>
          </w:p>
          <w:p>
            <w:pPr>
              <w:widowControl/>
              <w:jc w:val="both"/>
              <w:textAlignment w:val="center"/>
              <w:rPr>
                <w:rFonts w:hint="eastAsia" w:ascii="宋体" w:hAnsi="宋体" w:eastAsia="宋体" w:cs="宋体"/>
                <w:color w:val="000000"/>
                <w:kern w:val="0"/>
                <w:sz w:val="20"/>
                <w:szCs w:val="20"/>
              </w:rPr>
            </w:pPr>
            <w:r>
              <w:rPr>
                <w:rFonts w:hint="eastAsia" w:ascii="宋体" w:hAnsi="宋体" w:cs="宋体"/>
                <w:color w:val="000000"/>
                <w:kern w:val="0"/>
                <w:sz w:val="20"/>
                <w:szCs w:val="20"/>
                <w:lang w:val="en-US" w:eastAsia="zh-CN"/>
              </w:rPr>
              <w:t>5、</w:t>
            </w:r>
            <w:r>
              <w:rPr>
                <w:rFonts w:hint="eastAsia" w:ascii="宋体" w:hAnsi="宋体" w:eastAsia="宋体" w:cs="宋体"/>
                <w:color w:val="000000"/>
                <w:kern w:val="0"/>
                <w:sz w:val="20"/>
                <w:szCs w:val="20"/>
              </w:rPr>
              <w:t>支持USB热插拔，教师可根据训练内容更换音乐。</w:t>
            </w:r>
          </w:p>
          <w:p>
            <w:pPr>
              <w:widowControl/>
              <w:jc w:val="both"/>
              <w:textAlignment w:val="center"/>
              <w:rPr>
                <w:rFonts w:hint="eastAsia" w:ascii="宋体" w:hAnsi="宋体" w:eastAsia="宋体" w:cs="宋体"/>
                <w:b/>
                <w:bCs/>
                <w:color w:val="000000"/>
                <w:kern w:val="0"/>
                <w:sz w:val="20"/>
                <w:szCs w:val="20"/>
                <w:highlight w:val="red"/>
              </w:rPr>
            </w:pPr>
            <w:r>
              <w:rPr>
                <w:rFonts w:hint="eastAsia" w:ascii="宋体" w:hAnsi="宋体" w:cs="宋体"/>
                <w:b/>
                <w:bCs/>
                <w:color w:val="000000"/>
                <w:kern w:val="0"/>
                <w:sz w:val="20"/>
                <w:szCs w:val="20"/>
                <w:lang w:val="en-US" w:eastAsia="zh-CN"/>
              </w:rPr>
              <w:t>3、</w:t>
            </w:r>
            <w:r>
              <w:rPr>
                <w:rFonts w:hint="eastAsia" w:ascii="宋体" w:hAnsi="宋体" w:eastAsia="宋体" w:cs="宋体"/>
                <w:b/>
                <w:bCs/>
                <w:color w:val="000000"/>
                <w:kern w:val="0"/>
                <w:sz w:val="20"/>
                <w:szCs w:val="20"/>
              </w:rPr>
              <w:t>无尽深度镜</w:t>
            </w:r>
            <w:r>
              <w:rPr>
                <w:rFonts w:hint="eastAsia" w:ascii="宋体" w:hAnsi="宋体" w:eastAsia="宋体" w:cs="宋体"/>
                <w:b/>
                <w:bCs/>
                <w:color w:val="000000"/>
                <w:kern w:val="0"/>
                <w:sz w:val="20"/>
                <w:szCs w:val="20"/>
                <w:highlight w:val="none"/>
              </w:rPr>
              <w:t>灯</w:t>
            </w:r>
            <w:r>
              <w:rPr>
                <w:rFonts w:hint="eastAsia" w:ascii="宋体" w:hAnsi="宋体" w:eastAsia="宋体" w:cs="宋体"/>
                <w:b/>
                <w:bCs/>
                <w:color w:val="000000"/>
                <w:kern w:val="0"/>
                <w:sz w:val="20"/>
                <w:szCs w:val="20"/>
                <w:highlight w:val="none"/>
              </w:rPr>
              <w:tab/>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1，输入电压:220VAC 工作电压:12VDC。</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2，规格尺寸：</w:t>
            </w:r>
            <w:r>
              <w:rPr>
                <w:rFonts w:hint="eastAsia" w:ascii="宋体" w:hAnsi="宋体" w:eastAsia="宋体" w:cs="宋体"/>
                <w:color w:val="000000"/>
                <w:kern w:val="0"/>
                <w:sz w:val="20"/>
                <w:szCs w:val="20"/>
                <w:lang w:eastAsia="zh-CN"/>
              </w:rPr>
              <w:t>≥</w:t>
            </w:r>
            <w:r>
              <w:rPr>
                <w:rFonts w:hint="eastAsia" w:ascii="宋体" w:hAnsi="宋体" w:eastAsia="宋体" w:cs="宋体"/>
                <w:color w:val="000000"/>
                <w:kern w:val="0"/>
                <w:sz w:val="20"/>
                <w:szCs w:val="20"/>
              </w:rPr>
              <w:t>600*900*120mm。</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3，模式；具有 4 种颜色变换，4 种模式变换功能由小类灯泡与简片组合而成，透过灯光与镜片的反射效果，产生大小不同层次的圆形灯点圆案，镜内灯泡具闪烁功能，产生幻彩的视觉效果。</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xml:space="preserve">4、具有声控功能，控制声音的变化。 </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xml:space="preserve">5、四色按钮分别为：模式、速度、暂停、渐近四种功能控制。   </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6、支持USB热插拔，教师可根据训练内容更换音乐。</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7、质量要求符合于JY0001－2003标准；阻燃符合于GB 6675-2014标准；环保符合于GB 18584-2001、GB 21550-2008标准。</w:t>
            </w:r>
          </w:p>
          <w:p>
            <w:pPr>
              <w:widowControl/>
              <w:jc w:val="both"/>
              <w:textAlignment w:val="center"/>
              <w:rPr>
                <w:rFonts w:hint="eastAsia" w:ascii="宋体" w:hAnsi="宋体" w:eastAsia="宋体" w:cs="宋体"/>
                <w:color w:val="000000"/>
                <w:kern w:val="0"/>
                <w:sz w:val="20"/>
                <w:szCs w:val="20"/>
              </w:rPr>
            </w:pPr>
            <w:r>
              <w:rPr>
                <w:rFonts w:hint="eastAsia" w:ascii="宋体" w:hAnsi="宋体" w:cs="宋体"/>
                <w:b/>
                <w:bCs/>
                <w:color w:val="000000"/>
                <w:kern w:val="0"/>
                <w:sz w:val="20"/>
                <w:szCs w:val="20"/>
                <w:lang w:val="en-US" w:eastAsia="zh-CN"/>
              </w:rPr>
              <w:t>4、</w:t>
            </w:r>
            <w:r>
              <w:rPr>
                <w:rFonts w:hint="eastAsia" w:ascii="宋体" w:hAnsi="宋体" w:eastAsia="宋体" w:cs="宋体"/>
                <w:b/>
                <w:bCs/>
                <w:color w:val="000000"/>
                <w:kern w:val="0"/>
                <w:sz w:val="20"/>
                <w:szCs w:val="20"/>
              </w:rPr>
              <w:t>视觉、注意力训练模块</w:t>
            </w:r>
            <w:r>
              <w:rPr>
                <w:rFonts w:hint="eastAsia" w:ascii="宋体" w:hAnsi="宋体" w:eastAsia="宋体" w:cs="宋体"/>
                <w:color w:val="000000"/>
                <w:kern w:val="0"/>
                <w:sz w:val="20"/>
                <w:szCs w:val="20"/>
              </w:rPr>
              <w:tab/>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1、材质：</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本体：采用ＡＢＳ工程环保塑料及亚克力结合制作；</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配件：不少于6张亚克力训练卡片；</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2、规格：</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本体：500*400*70MM；</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配件：210*210*3MM；</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3、操作控制面板采用7''触摸LCD液晶屏；训练面板采用12''触摸屏；</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4、训练面板采用多点触摸控制；LED多点显示，可显示矩阵数为3*3；4*4；5*5；</w:t>
            </w:r>
          </w:p>
          <w:p>
            <w:pPr>
              <w:widowControl/>
              <w:jc w:val="both"/>
              <w:textAlignment w:val="center"/>
              <w:rPr>
                <w:rFonts w:hint="eastAsia" w:ascii="宋体" w:hAnsi="宋体" w:eastAsia="宋体" w:cs="宋体"/>
                <w:color w:val="000000"/>
                <w:kern w:val="0"/>
                <w:sz w:val="20"/>
                <w:szCs w:val="20"/>
              </w:rPr>
            </w:pPr>
            <w:r>
              <w:rPr>
                <w:rFonts w:hint="eastAsia" w:ascii="宋体" w:hAnsi="宋体" w:cs="宋体"/>
                <w:color w:val="000000"/>
                <w:kern w:val="0"/>
                <w:sz w:val="20"/>
                <w:szCs w:val="20"/>
                <w:lang w:val="en-US" w:eastAsia="zh-CN"/>
              </w:rPr>
              <w:t>5</w:t>
            </w:r>
            <w:r>
              <w:rPr>
                <w:rFonts w:hint="eastAsia" w:ascii="宋体" w:hAnsi="宋体" w:eastAsia="宋体" w:cs="宋体"/>
                <w:color w:val="000000"/>
                <w:kern w:val="0"/>
                <w:sz w:val="20"/>
                <w:szCs w:val="20"/>
              </w:rPr>
              <w:t>、功率：小于50W；</w:t>
            </w:r>
          </w:p>
          <w:p>
            <w:pPr>
              <w:widowControl/>
              <w:jc w:val="both"/>
              <w:textAlignment w:val="center"/>
              <w:rPr>
                <w:rFonts w:hint="eastAsia" w:ascii="宋体" w:hAnsi="宋体" w:eastAsia="宋体" w:cs="宋体"/>
                <w:color w:val="000000"/>
                <w:kern w:val="0"/>
                <w:sz w:val="20"/>
                <w:szCs w:val="20"/>
              </w:rPr>
            </w:pPr>
            <w:r>
              <w:rPr>
                <w:rFonts w:hint="eastAsia" w:ascii="宋体" w:hAnsi="宋体" w:cs="宋体"/>
                <w:color w:val="000000"/>
                <w:kern w:val="0"/>
                <w:sz w:val="20"/>
                <w:szCs w:val="20"/>
                <w:lang w:val="en-US" w:eastAsia="zh-CN"/>
              </w:rPr>
              <w:t>6</w:t>
            </w:r>
            <w:r>
              <w:rPr>
                <w:rFonts w:hint="eastAsia" w:ascii="宋体" w:hAnsi="宋体" w:eastAsia="宋体" w:cs="宋体"/>
                <w:color w:val="000000"/>
                <w:kern w:val="0"/>
                <w:sz w:val="20"/>
                <w:szCs w:val="20"/>
              </w:rPr>
              <w:t>、输入电压：220VAC；</w:t>
            </w:r>
          </w:p>
          <w:p>
            <w:pPr>
              <w:widowControl/>
              <w:jc w:val="both"/>
              <w:textAlignment w:val="center"/>
              <w:rPr>
                <w:rFonts w:hint="eastAsia" w:ascii="宋体" w:hAnsi="宋体" w:eastAsia="宋体" w:cs="宋体"/>
                <w:color w:val="000000"/>
                <w:kern w:val="0"/>
                <w:sz w:val="20"/>
                <w:szCs w:val="20"/>
              </w:rPr>
            </w:pPr>
            <w:r>
              <w:rPr>
                <w:rFonts w:hint="eastAsia" w:ascii="宋体" w:hAnsi="宋体" w:cs="宋体"/>
                <w:color w:val="000000"/>
                <w:kern w:val="0"/>
                <w:sz w:val="20"/>
                <w:szCs w:val="20"/>
                <w:lang w:val="en-US" w:eastAsia="zh-CN"/>
              </w:rPr>
              <w:t>7</w:t>
            </w:r>
            <w:r>
              <w:rPr>
                <w:rFonts w:hint="eastAsia" w:ascii="宋体" w:hAnsi="宋体" w:eastAsia="宋体" w:cs="宋体"/>
                <w:color w:val="000000"/>
                <w:kern w:val="0"/>
                <w:sz w:val="20"/>
                <w:szCs w:val="20"/>
              </w:rPr>
              <w:t>、信噪比：大于85DB；</w:t>
            </w:r>
          </w:p>
          <w:p>
            <w:pPr>
              <w:widowControl/>
              <w:jc w:val="both"/>
              <w:textAlignment w:val="center"/>
              <w:rPr>
                <w:rFonts w:hint="eastAsia" w:ascii="宋体" w:hAnsi="宋体" w:eastAsia="宋体" w:cs="宋体"/>
                <w:color w:val="000000"/>
                <w:kern w:val="0"/>
                <w:sz w:val="20"/>
                <w:szCs w:val="20"/>
              </w:rPr>
            </w:pPr>
            <w:r>
              <w:rPr>
                <w:rFonts w:hint="eastAsia" w:ascii="宋体" w:hAnsi="宋体" w:cs="宋体"/>
                <w:color w:val="000000"/>
                <w:kern w:val="0"/>
                <w:sz w:val="20"/>
                <w:szCs w:val="20"/>
                <w:lang w:val="en-US" w:eastAsia="zh-CN"/>
              </w:rPr>
              <w:t>8</w:t>
            </w:r>
            <w:r>
              <w:rPr>
                <w:rFonts w:hint="eastAsia" w:ascii="宋体" w:hAnsi="宋体" w:eastAsia="宋体" w:cs="宋体"/>
                <w:color w:val="000000"/>
                <w:kern w:val="0"/>
                <w:sz w:val="20"/>
                <w:szCs w:val="20"/>
              </w:rPr>
              <w:t>、产品分为视觉训练模式和注意力训模式。注意力训练模式不少于3种训练层级；</w:t>
            </w:r>
          </w:p>
          <w:p>
            <w:pPr>
              <w:widowControl/>
              <w:jc w:val="both"/>
              <w:textAlignment w:val="center"/>
              <w:rPr>
                <w:rFonts w:hint="eastAsia" w:ascii="宋体" w:hAnsi="宋体" w:eastAsia="宋体" w:cs="宋体"/>
                <w:color w:val="000000"/>
                <w:kern w:val="0"/>
                <w:sz w:val="20"/>
                <w:szCs w:val="20"/>
              </w:rPr>
            </w:pPr>
            <w:r>
              <w:rPr>
                <w:rFonts w:hint="eastAsia" w:ascii="宋体" w:hAnsi="宋体" w:cs="宋体"/>
                <w:color w:val="000000"/>
                <w:kern w:val="0"/>
                <w:sz w:val="20"/>
                <w:szCs w:val="20"/>
                <w:lang w:val="en-US" w:eastAsia="zh-CN"/>
              </w:rPr>
              <w:t>9</w:t>
            </w:r>
            <w:r>
              <w:rPr>
                <w:rFonts w:hint="eastAsia" w:ascii="宋体" w:hAnsi="宋体" w:eastAsia="宋体" w:cs="宋体"/>
                <w:color w:val="000000"/>
                <w:kern w:val="0"/>
                <w:sz w:val="20"/>
                <w:szCs w:val="20"/>
              </w:rPr>
              <w:t>、质量要求符合于JY0001－2003标准；阻燃符合于GB</w:t>
            </w:r>
            <w:r>
              <w:rPr>
                <w:rFonts w:hint="eastAsia" w:ascii="宋体" w:hAnsi="宋体" w:cs="宋体"/>
                <w:color w:val="000000"/>
                <w:kern w:val="0"/>
                <w:sz w:val="20"/>
                <w:szCs w:val="20"/>
                <w:lang w:val="en-US" w:eastAsia="zh-CN"/>
              </w:rPr>
              <w:t xml:space="preserve"> </w:t>
            </w:r>
            <w:r>
              <w:rPr>
                <w:rFonts w:hint="eastAsia" w:ascii="宋体" w:hAnsi="宋体" w:eastAsia="宋体" w:cs="宋体"/>
                <w:color w:val="000000"/>
                <w:kern w:val="0"/>
                <w:sz w:val="20"/>
                <w:szCs w:val="20"/>
              </w:rPr>
              <w:t>6675-2014标准；环保符合于GB 18584-2001、GB 21550-2008标准。</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r>
              <w:rPr>
                <w:rFonts w:hint="eastAsia" w:ascii="宋体" w:hAnsi="宋体" w:cs="宋体"/>
                <w:color w:val="000000"/>
                <w:kern w:val="0"/>
                <w:sz w:val="20"/>
                <w:szCs w:val="20"/>
                <w:lang w:val="en-US" w:eastAsia="zh-CN"/>
              </w:rPr>
              <w:t>0</w:t>
            </w:r>
            <w:r>
              <w:rPr>
                <w:rFonts w:hint="eastAsia" w:ascii="宋体" w:hAnsi="宋体" w:eastAsia="宋体" w:cs="宋体"/>
                <w:color w:val="000000"/>
                <w:kern w:val="0"/>
                <w:sz w:val="20"/>
                <w:szCs w:val="20"/>
              </w:rPr>
              <w:t>、注意力训练模式每个层次对应一张舒尔特训练</w:t>
            </w:r>
            <w:r>
              <w:rPr>
                <w:rFonts w:hint="eastAsia" w:ascii="宋体" w:hAnsi="宋体" w:eastAsia="宋体" w:cs="宋体"/>
                <w:color w:val="auto"/>
                <w:kern w:val="0"/>
                <w:sz w:val="20"/>
                <w:szCs w:val="20"/>
              </w:rPr>
              <w:t>卡片。</w:t>
            </w:r>
            <w:r>
              <w:rPr>
                <w:rFonts w:hint="eastAsia" w:ascii="宋体" w:hAnsi="宋体" w:eastAsia="宋体" w:cs="宋体"/>
                <w:color w:val="auto"/>
                <w:kern w:val="0"/>
                <w:sz w:val="20"/>
                <w:szCs w:val="20"/>
                <w:lang w:eastAsia="zh-CN"/>
              </w:rPr>
              <w:t>不低于</w:t>
            </w:r>
            <w:r>
              <w:rPr>
                <w:rFonts w:hint="eastAsia" w:ascii="宋体" w:hAnsi="宋体" w:eastAsia="宋体" w:cs="宋体"/>
                <w:color w:val="000000"/>
                <w:kern w:val="0"/>
                <w:sz w:val="20"/>
                <w:szCs w:val="20"/>
              </w:rPr>
              <w:t xml:space="preserve">6张。  </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b/>
                <w:bCs/>
                <w:color w:val="000000"/>
                <w:kern w:val="0"/>
                <w:sz w:val="20"/>
                <w:szCs w:val="20"/>
              </w:rPr>
              <w:t>5</w:t>
            </w:r>
            <w:r>
              <w:rPr>
                <w:rFonts w:hint="eastAsia" w:ascii="宋体" w:hAnsi="宋体" w:cs="宋体"/>
                <w:b/>
                <w:bCs/>
                <w:color w:val="000000"/>
                <w:kern w:val="0"/>
                <w:sz w:val="20"/>
                <w:szCs w:val="20"/>
                <w:lang w:eastAsia="zh-CN"/>
              </w:rPr>
              <w:t>、</w:t>
            </w:r>
            <w:r>
              <w:rPr>
                <w:rFonts w:hint="eastAsia" w:ascii="宋体" w:hAnsi="宋体" w:eastAsia="宋体" w:cs="宋体"/>
                <w:b/>
                <w:bCs/>
                <w:color w:val="000000"/>
                <w:kern w:val="0"/>
                <w:sz w:val="20"/>
                <w:szCs w:val="20"/>
              </w:rPr>
              <w:t>圆环投射灯光音乐跳（地垫式）</w:t>
            </w:r>
            <w:r>
              <w:rPr>
                <w:rFonts w:hint="eastAsia" w:ascii="宋体" w:hAnsi="宋体" w:eastAsia="宋体" w:cs="宋体"/>
                <w:color w:val="000000"/>
                <w:kern w:val="0"/>
                <w:sz w:val="20"/>
                <w:szCs w:val="20"/>
              </w:rPr>
              <w:tab/>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导师可根据游戏者的体能及智能选择不同的游戏及时间调节模式，以视及听觉刺激吸引游戏者的身体移动，逹至训练游戏者的大肌肉活动、空间控制及身体平衡等能力。圆环式方位设置可训练游戏者对身体四周的空间感。</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参数：</w:t>
            </w:r>
          </w:p>
          <w:p>
            <w:pPr>
              <w:widowControl/>
              <w:jc w:val="both"/>
              <w:textAlignment w:val="center"/>
              <w:rPr>
                <w:rFonts w:hint="eastAsia" w:ascii="宋体" w:hAnsi="宋体" w:eastAsia="宋体" w:cs="宋体"/>
                <w:color w:val="000000"/>
                <w:kern w:val="0"/>
                <w:sz w:val="20"/>
                <w:szCs w:val="20"/>
                <w:highlight w:val="none"/>
              </w:rPr>
            </w:pPr>
            <w:r>
              <w:rPr>
                <w:rFonts w:hint="eastAsia" w:ascii="宋体" w:hAnsi="宋体" w:eastAsia="宋体" w:cs="宋体"/>
                <w:color w:val="000000"/>
                <w:kern w:val="0"/>
                <w:sz w:val="20"/>
                <w:szCs w:val="20"/>
                <w:highlight w:val="none"/>
              </w:rPr>
              <w:t>1、质量要求符合于JY0001－2003标准；阻燃符合于GB 6675-2014标准；环保符合于GB 18584-2001、GB 21550-2008标准。</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2、4种游戏模式 包括:顺序模式、全亮模式、全灭模式、自由模式。</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3、可速度调节，音量调节</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4、支持USB热插拔，可更换音乐。</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5、内置无线接收及发射装置。</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6、输入电压:220VAC  工作电压:12VDC</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7、圆环尺寸：直径1600mm，地垫尺寸：</w:t>
            </w:r>
            <w:r>
              <w:rPr>
                <w:rFonts w:hint="eastAsia" w:ascii="宋体" w:hAnsi="宋体" w:eastAsia="宋体" w:cs="宋体"/>
                <w:color w:val="000000"/>
                <w:kern w:val="0"/>
                <w:sz w:val="20"/>
                <w:szCs w:val="20"/>
                <w:lang w:eastAsia="zh-CN"/>
              </w:rPr>
              <w:t>≥</w:t>
            </w:r>
            <w:r>
              <w:rPr>
                <w:rFonts w:hint="eastAsia" w:ascii="宋体" w:hAnsi="宋体" w:eastAsia="宋体" w:cs="宋体"/>
                <w:color w:val="000000"/>
                <w:kern w:val="0"/>
                <w:sz w:val="20"/>
                <w:szCs w:val="20"/>
              </w:rPr>
              <w:t>2000*2000*50mm。</w:t>
            </w:r>
          </w:p>
          <w:p>
            <w:pPr>
              <w:widowControl/>
              <w:numPr>
                <w:ilvl w:val="0"/>
                <w:numId w:val="0"/>
              </w:numPr>
              <w:jc w:val="both"/>
              <w:textAlignment w:val="center"/>
              <w:rPr>
                <w:rFonts w:hint="eastAsia" w:ascii="宋体" w:hAnsi="宋体" w:eastAsia="宋体" w:cs="宋体"/>
                <w:color w:val="000000"/>
                <w:kern w:val="0"/>
                <w:sz w:val="20"/>
                <w:szCs w:val="20"/>
              </w:rPr>
            </w:pPr>
            <w:r>
              <w:rPr>
                <w:rFonts w:hint="eastAsia" w:ascii="宋体" w:hAnsi="宋体" w:cs="宋体"/>
                <w:b/>
                <w:bCs/>
                <w:color w:val="000000"/>
                <w:kern w:val="0"/>
                <w:sz w:val="20"/>
                <w:szCs w:val="20"/>
                <w:lang w:val="en-US" w:eastAsia="zh-CN"/>
              </w:rPr>
              <w:t>6、</w:t>
            </w:r>
            <w:r>
              <w:rPr>
                <w:rFonts w:hint="eastAsia" w:ascii="宋体" w:hAnsi="宋体" w:eastAsia="宋体" w:cs="宋体"/>
                <w:b/>
                <w:bCs/>
                <w:color w:val="000000"/>
                <w:kern w:val="0"/>
                <w:sz w:val="20"/>
                <w:szCs w:val="20"/>
              </w:rPr>
              <w:t>动视觉多功能训练系统</w:t>
            </w:r>
            <w:r>
              <w:rPr>
                <w:rFonts w:hint="eastAsia" w:ascii="宋体" w:hAnsi="宋体" w:eastAsia="宋体" w:cs="宋体"/>
                <w:color w:val="000000"/>
                <w:kern w:val="0"/>
                <w:sz w:val="20"/>
                <w:szCs w:val="20"/>
              </w:rPr>
              <w:tab/>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模式一：上肢协调性训练模式，训练时8个不同区域目标将发出不同的灯光颜色，学生对在规定时间内对目标进行捕捉，专门性对上肢系统能力及空间感知能力进行训练。</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模式二：下肢协调性训练模式，训练时根据屏幕显示的颜色，学生需要利用下肢踩踏对应的地面颜色模块，专门性对下肢系统能力及空间感知能力进行训练。</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模式三：视觉识别训练模式，训练学生通过对目标的触摸，目标小鱼将发出不同的灯光颜色，学生对颜色进行辨识，并回答颜色，系统将对回答进行判断，并提示正确或者错误，如果错误将提示正确颜色。</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模式四：动视觉被动训练模式，目标按键按照音乐节奏顺序进行亮灯，学生须对亮灯目标进行触摸，系统对结果进行判断并提示。可训练学生的动视觉的上下感知能力。</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模式五：动视觉互动训练模式，目标按键自由随机顺序进行亮灯，学生须对亮灯目标进行触摸，系统对结果进行判断并提示。可训练学生的动视觉的空间感知能力。</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模式六：多人训练模式，两个目标按键将随机进行亮灯，学生须同时用左右手分别对亮灯目标进行触摸，系统对结果进行判断并提示。可训练学生的左右手协调能力。</w:t>
            </w:r>
          </w:p>
          <w:p>
            <w:pPr>
              <w:widowControl/>
              <w:jc w:val="both"/>
              <w:textAlignment w:val="center"/>
              <w:rPr>
                <w:rFonts w:hint="eastAsia" w:ascii="宋体" w:hAnsi="宋体" w:eastAsia="宋体" w:cs="宋体"/>
                <w:color w:val="000000"/>
                <w:kern w:val="0"/>
                <w:sz w:val="20"/>
                <w:szCs w:val="20"/>
                <w:highlight w:val="red"/>
              </w:rPr>
            </w:pPr>
            <w:r>
              <w:rPr>
                <w:rFonts w:hint="eastAsia" w:ascii="宋体" w:hAnsi="宋体" w:eastAsia="宋体" w:cs="宋体"/>
                <w:color w:val="000000"/>
                <w:kern w:val="0"/>
                <w:sz w:val="20"/>
                <w:szCs w:val="20"/>
              </w:rPr>
              <w:t>参数：</w:t>
            </w:r>
          </w:p>
          <w:p>
            <w:pPr>
              <w:widowControl/>
              <w:jc w:val="both"/>
              <w:textAlignment w:val="center"/>
              <w:rPr>
                <w:rFonts w:hint="eastAsia" w:ascii="宋体" w:hAnsi="宋体" w:eastAsia="宋体" w:cs="宋体"/>
                <w:color w:val="000000"/>
                <w:kern w:val="0"/>
                <w:sz w:val="20"/>
                <w:szCs w:val="20"/>
              </w:rPr>
            </w:pPr>
            <w:r>
              <w:rPr>
                <w:rFonts w:hint="eastAsia" w:ascii="宋体" w:hAnsi="宋体" w:cs="宋体"/>
                <w:color w:val="000000"/>
                <w:kern w:val="0"/>
                <w:sz w:val="20"/>
                <w:szCs w:val="20"/>
                <w:lang w:val="en-US" w:eastAsia="zh-CN"/>
              </w:rPr>
              <w:t>1</w:t>
            </w:r>
            <w:r>
              <w:rPr>
                <w:rFonts w:hint="eastAsia" w:ascii="宋体" w:hAnsi="宋体" w:eastAsia="宋体" w:cs="宋体"/>
                <w:color w:val="000000"/>
                <w:kern w:val="0"/>
                <w:sz w:val="20"/>
                <w:szCs w:val="20"/>
              </w:rPr>
              <w:t>.ABS医疗塑胶机壳材质，防潮耐磨损。</w:t>
            </w:r>
          </w:p>
          <w:p>
            <w:pPr>
              <w:widowControl/>
              <w:jc w:val="both"/>
              <w:textAlignment w:val="center"/>
              <w:rPr>
                <w:rFonts w:hint="eastAsia" w:ascii="宋体" w:hAnsi="宋体" w:eastAsia="宋体" w:cs="宋体"/>
                <w:color w:val="000000"/>
                <w:kern w:val="0"/>
                <w:sz w:val="20"/>
                <w:szCs w:val="20"/>
              </w:rPr>
            </w:pPr>
            <w:r>
              <w:rPr>
                <w:rFonts w:hint="eastAsia" w:ascii="宋体" w:hAnsi="宋体" w:cs="宋体"/>
                <w:color w:val="000000"/>
                <w:kern w:val="0"/>
                <w:sz w:val="20"/>
                <w:szCs w:val="20"/>
                <w:lang w:val="en-US" w:eastAsia="zh-CN"/>
              </w:rPr>
              <w:t>2</w:t>
            </w:r>
            <w:r>
              <w:rPr>
                <w:rFonts w:hint="eastAsia" w:ascii="宋体" w:hAnsi="宋体" w:eastAsia="宋体" w:cs="宋体"/>
                <w:color w:val="000000"/>
                <w:kern w:val="0"/>
                <w:sz w:val="20"/>
                <w:szCs w:val="20"/>
              </w:rPr>
              <w:t>.7寸彩色触摸显示电容屏，触摸灵敏。</w:t>
            </w:r>
          </w:p>
          <w:p>
            <w:pPr>
              <w:widowControl/>
              <w:jc w:val="both"/>
              <w:textAlignment w:val="center"/>
              <w:rPr>
                <w:rFonts w:hint="eastAsia" w:ascii="宋体" w:hAnsi="宋体" w:eastAsia="宋体" w:cs="宋体"/>
                <w:color w:val="000000"/>
                <w:kern w:val="0"/>
                <w:sz w:val="20"/>
                <w:szCs w:val="20"/>
              </w:rPr>
            </w:pPr>
            <w:r>
              <w:rPr>
                <w:rFonts w:hint="eastAsia" w:ascii="宋体" w:hAnsi="宋体" w:cs="宋体"/>
                <w:color w:val="000000"/>
                <w:kern w:val="0"/>
                <w:sz w:val="20"/>
                <w:szCs w:val="20"/>
                <w:lang w:val="en-US" w:eastAsia="zh-CN"/>
              </w:rPr>
              <w:t>3</w:t>
            </w:r>
            <w:r>
              <w:rPr>
                <w:rFonts w:hint="eastAsia" w:ascii="宋体" w:hAnsi="宋体" w:eastAsia="宋体" w:cs="宋体"/>
                <w:color w:val="000000"/>
                <w:kern w:val="0"/>
                <w:sz w:val="20"/>
                <w:szCs w:val="20"/>
              </w:rPr>
              <w:t>.管理员在控制屏上可设置开机密码，</w:t>
            </w:r>
          </w:p>
          <w:p>
            <w:pPr>
              <w:widowControl/>
              <w:jc w:val="both"/>
              <w:textAlignment w:val="center"/>
              <w:rPr>
                <w:rFonts w:hint="eastAsia" w:ascii="宋体" w:hAnsi="宋体" w:eastAsia="宋体" w:cs="宋体"/>
                <w:color w:val="000000"/>
                <w:kern w:val="0"/>
                <w:sz w:val="20"/>
                <w:szCs w:val="20"/>
              </w:rPr>
            </w:pPr>
            <w:r>
              <w:rPr>
                <w:rFonts w:hint="eastAsia" w:ascii="宋体" w:hAnsi="宋体" w:cs="宋体"/>
                <w:color w:val="000000"/>
                <w:kern w:val="0"/>
                <w:sz w:val="20"/>
                <w:szCs w:val="20"/>
                <w:lang w:val="en-US" w:eastAsia="zh-CN"/>
              </w:rPr>
              <w:t>4</w:t>
            </w:r>
            <w:r>
              <w:rPr>
                <w:rFonts w:hint="eastAsia" w:ascii="宋体" w:hAnsi="宋体" w:eastAsia="宋体" w:cs="宋体"/>
                <w:color w:val="000000"/>
                <w:kern w:val="0"/>
                <w:sz w:val="20"/>
                <w:szCs w:val="20"/>
              </w:rPr>
              <w:t>.触摸控制屏对训练历史数据进行记录，可随时对前五次训练数据进行查阅比较。</w:t>
            </w:r>
          </w:p>
          <w:p>
            <w:pPr>
              <w:widowControl/>
              <w:jc w:val="both"/>
              <w:textAlignment w:val="center"/>
              <w:rPr>
                <w:rFonts w:hint="eastAsia" w:ascii="宋体" w:hAnsi="宋体" w:eastAsia="宋体" w:cs="宋体"/>
                <w:b/>
                <w:bCs/>
                <w:color w:val="000000"/>
                <w:kern w:val="0"/>
                <w:sz w:val="20"/>
                <w:szCs w:val="20"/>
              </w:rPr>
            </w:pPr>
            <w:r>
              <w:rPr>
                <w:rFonts w:hint="eastAsia" w:ascii="宋体" w:hAnsi="宋体" w:cs="宋体"/>
                <w:color w:val="000000"/>
                <w:kern w:val="0"/>
                <w:sz w:val="20"/>
                <w:szCs w:val="20"/>
                <w:lang w:val="en-US" w:eastAsia="zh-CN"/>
              </w:rPr>
              <w:t>5</w:t>
            </w:r>
            <w:r>
              <w:rPr>
                <w:rFonts w:hint="eastAsia" w:ascii="宋体" w:hAnsi="宋体" w:eastAsia="宋体" w:cs="宋体"/>
                <w:color w:val="000000"/>
                <w:kern w:val="0"/>
                <w:sz w:val="20"/>
                <w:szCs w:val="20"/>
              </w:rPr>
              <w:t xml:space="preserve">.表面海洋背景，可针对不同训练学生视觉的反馈能力，对背景灯光的强度进行调节。                                    </w:t>
            </w:r>
            <w:r>
              <w:rPr>
                <w:rFonts w:hint="eastAsia" w:ascii="宋体" w:hAnsi="宋体" w:eastAsia="宋体" w:cs="宋体"/>
                <w:b/>
                <w:bCs/>
                <w:color w:val="000000"/>
                <w:kern w:val="0"/>
                <w:sz w:val="20"/>
                <w:szCs w:val="20"/>
              </w:rPr>
              <w:t>7</w:t>
            </w:r>
            <w:r>
              <w:rPr>
                <w:rFonts w:hint="eastAsia" w:ascii="宋体" w:hAnsi="宋体" w:cs="宋体"/>
                <w:b/>
                <w:bCs/>
                <w:color w:val="000000"/>
                <w:kern w:val="0"/>
                <w:sz w:val="20"/>
                <w:szCs w:val="20"/>
                <w:lang w:eastAsia="zh-CN"/>
              </w:rPr>
              <w:t>、</w:t>
            </w:r>
            <w:r>
              <w:rPr>
                <w:rFonts w:hint="eastAsia" w:ascii="宋体" w:hAnsi="宋体" w:eastAsia="宋体" w:cs="宋体"/>
                <w:b/>
                <w:bCs/>
                <w:color w:val="000000"/>
                <w:kern w:val="0"/>
                <w:sz w:val="20"/>
                <w:szCs w:val="20"/>
              </w:rPr>
              <w:t>钢琴地垫</w:t>
            </w:r>
            <w:r>
              <w:rPr>
                <w:rFonts w:hint="eastAsia" w:ascii="宋体" w:hAnsi="宋体" w:eastAsia="宋体" w:cs="宋体"/>
                <w:b/>
                <w:bCs/>
                <w:color w:val="000000"/>
                <w:kern w:val="0"/>
                <w:sz w:val="20"/>
                <w:szCs w:val="20"/>
              </w:rPr>
              <w:tab/>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质量要求符合于JY0001－2003标准；阻燃符合于GB 6675-2014标准；环保符合于GB 18584-2001、GB 21550-2008标准</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产品共3种模式，代表钢琴音高、低、中的三个音阶；通过踩踏琴键就会有相应的琴音响起；</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1、控制箱1件</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2、琴键地垫1套(长方形地垫2块共8键)</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3、AC220V电源线1根</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4、输入电压:220VAC  工作电压:12VDC。</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5、额定功率：小于40W</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6、支持USB热插拔，教师可根据训练内容更换音乐。</w:t>
            </w:r>
          </w:p>
          <w:p>
            <w:pPr>
              <w:widowControl/>
              <w:numPr>
                <w:ilvl w:val="0"/>
                <w:numId w:val="11"/>
              </w:numPr>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尺寸：地垫：1500*400*50mm(2块)，主控箱</w:t>
            </w:r>
            <w:r>
              <w:rPr>
                <w:rFonts w:hint="eastAsia" w:ascii="宋体" w:hAnsi="宋体" w:eastAsia="宋体" w:cs="宋体"/>
                <w:color w:val="auto"/>
                <w:kern w:val="0"/>
                <w:sz w:val="20"/>
                <w:szCs w:val="20"/>
              </w:rPr>
              <w:t>：</w:t>
            </w:r>
            <w:r>
              <w:rPr>
                <w:rFonts w:hint="eastAsia" w:ascii="宋体" w:hAnsi="宋体" w:eastAsia="宋体" w:cs="宋体"/>
                <w:color w:val="auto"/>
                <w:kern w:val="0"/>
                <w:sz w:val="20"/>
                <w:szCs w:val="20"/>
                <w:lang w:eastAsia="zh-CN"/>
              </w:rPr>
              <w:t>≥</w:t>
            </w:r>
            <w:r>
              <w:rPr>
                <w:rFonts w:hint="eastAsia" w:ascii="宋体" w:hAnsi="宋体" w:eastAsia="宋体" w:cs="宋体"/>
                <w:color w:val="auto"/>
                <w:kern w:val="0"/>
                <w:sz w:val="20"/>
                <w:szCs w:val="20"/>
              </w:rPr>
              <w:t>400*30</w:t>
            </w:r>
            <w:r>
              <w:rPr>
                <w:rFonts w:hint="eastAsia" w:ascii="宋体" w:hAnsi="宋体" w:eastAsia="宋体" w:cs="宋体"/>
                <w:color w:val="000000"/>
                <w:kern w:val="0"/>
                <w:sz w:val="20"/>
                <w:szCs w:val="20"/>
              </w:rPr>
              <w:t>0*80mm。</w:t>
            </w:r>
          </w:p>
          <w:p>
            <w:pPr>
              <w:widowControl/>
              <w:numPr>
                <w:ilvl w:val="0"/>
                <w:numId w:val="0"/>
              </w:numPr>
              <w:jc w:val="both"/>
              <w:textAlignment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8</w:t>
            </w:r>
            <w:r>
              <w:rPr>
                <w:rFonts w:hint="eastAsia" w:ascii="宋体" w:hAnsi="宋体" w:cs="宋体"/>
                <w:b/>
                <w:bCs/>
                <w:color w:val="000000"/>
                <w:kern w:val="0"/>
                <w:sz w:val="20"/>
                <w:szCs w:val="20"/>
                <w:lang w:eastAsia="zh-CN"/>
              </w:rPr>
              <w:t>、</w:t>
            </w:r>
            <w:r>
              <w:rPr>
                <w:rFonts w:hint="eastAsia" w:ascii="宋体" w:hAnsi="宋体" w:eastAsia="宋体" w:cs="宋体"/>
                <w:b/>
                <w:bCs/>
                <w:color w:val="000000"/>
                <w:kern w:val="0"/>
                <w:sz w:val="20"/>
                <w:szCs w:val="20"/>
              </w:rPr>
              <w:t>嗅觉感知训练器</w:t>
            </w:r>
          </w:p>
          <w:p>
            <w:pPr>
              <w:widowControl/>
              <w:numPr>
                <w:ilvl w:val="0"/>
                <w:numId w:val="0"/>
              </w:numPr>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1，输入电压:220VAC 工作电压:12VDC。</w:t>
            </w:r>
          </w:p>
          <w:p>
            <w:pPr>
              <w:widowControl/>
              <w:numPr>
                <w:ilvl w:val="0"/>
                <w:numId w:val="0"/>
              </w:numPr>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2，规格尺寸：</w:t>
            </w:r>
            <w:r>
              <w:rPr>
                <w:rFonts w:hint="eastAsia" w:ascii="宋体" w:hAnsi="宋体" w:eastAsia="宋体" w:cs="宋体"/>
                <w:color w:val="000000"/>
                <w:kern w:val="0"/>
                <w:sz w:val="20"/>
                <w:szCs w:val="20"/>
                <w:lang w:eastAsia="zh-CN"/>
              </w:rPr>
              <w:t>≥</w:t>
            </w:r>
            <w:r>
              <w:rPr>
                <w:rFonts w:hint="eastAsia" w:ascii="宋体" w:hAnsi="宋体" w:eastAsia="宋体" w:cs="宋体"/>
                <w:color w:val="000000"/>
                <w:kern w:val="0"/>
                <w:sz w:val="20"/>
                <w:szCs w:val="20"/>
              </w:rPr>
              <w:t>600×900×120mm。</w:t>
            </w:r>
          </w:p>
          <w:p>
            <w:pPr>
              <w:widowControl/>
              <w:numPr>
                <w:ilvl w:val="0"/>
                <w:numId w:val="0"/>
              </w:numPr>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3.含各种香精油 4-6 种，和操控系统联动，可以控制电脑、投影之间切换。</w:t>
            </w:r>
          </w:p>
          <w:p>
            <w:pPr>
              <w:widowControl/>
              <w:numPr>
                <w:ilvl w:val="0"/>
                <w:numId w:val="0"/>
              </w:numPr>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4、产品有无声模式和有声模式，共4种声音。</w:t>
            </w:r>
          </w:p>
          <w:p>
            <w:pPr>
              <w:widowControl/>
              <w:numPr>
                <w:ilvl w:val="0"/>
                <w:numId w:val="0"/>
              </w:numPr>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5、支持USB热插拔，教师可根据训练内容更换音乐。  按钮点亮后对应此按钮的预置气味将通过飘香器散发出来，刺激学生的嗅觉，引起他（她）的兴趣。同时在投影仪上显示与此香味相关的图片声音或视频。产品共有2种模式，有声模式和无声模式，共4个按键，每个按键控制一种飘香器的开与关。内置无线接收及发射装置。</w:t>
            </w:r>
          </w:p>
          <w:p>
            <w:pPr>
              <w:widowControl/>
              <w:numPr>
                <w:ilvl w:val="0"/>
                <w:numId w:val="0"/>
              </w:numPr>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配合联动多媒体感官控制系统软件使用，采用无线通讯技术。12V 安全电压。</w:t>
            </w:r>
          </w:p>
          <w:p>
            <w:pPr>
              <w:widowControl/>
              <w:numPr>
                <w:ilvl w:val="0"/>
                <w:numId w:val="0"/>
              </w:numPr>
              <w:jc w:val="both"/>
              <w:textAlignment w:val="center"/>
              <w:rPr>
                <w:rFonts w:hint="eastAsia" w:ascii="宋体" w:hAnsi="宋体" w:eastAsia="宋体" w:cs="宋体"/>
                <w:color w:val="000000"/>
                <w:kern w:val="0"/>
                <w:sz w:val="20"/>
                <w:szCs w:val="20"/>
                <w:highlight w:val="none"/>
              </w:rPr>
            </w:pPr>
            <w:r>
              <w:rPr>
                <w:rFonts w:hint="eastAsia" w:ascii="宋体" w:hAnsi="宋体" w:cs="宋体"/>
                <w:color w:val="000000"/>
                <w:kern w:val="0"/>
                <w:sz w:val="20"/>
                <w:szCs w:val="20"/>
                <w:lang w:val="en-US" w:eastAsia="zh-CN"/>
              </w:rPr>
              <w:t>6</w:t>
            </w:r>
            <w:r>
              <w:rPr>
                <w:rFonts w:hint="eastAsia" w:ascii="宋体" w:hAnsi="宋体" w:eastAsia="宋体" w:cs="宋体"/>
                <w:color w:val="000000"/>
                <w:kern w:val="0"/>
                <w:sz w:val="20"/>
                <w:szCs w:val="20"/>
              </w:rPr>
              <w:t>、</w:t>
            </w:r>
            <w:r>
              <w:rPr>
                <w:rFonts w:hint="eastAsia" w:ascii="宋体" w:hAnsi="宋体" w:eastAsia="宋体" w:cs="宋体"/>
                <w:color w:val="000000"/>
                <w:kern w:val="0"/>
                <w:sz w:val="20"/>
                <w:szCs w:val="20"/>
                <w:highlight w:val="none"/>
              </w:rPr>
              <w:t>阻燃符合于GB 6675-2014标准；环保符合于GB 18584-2001、GB 21550-2008标准；质量要求符合于JY0001－2003标准。</w:t>
            </w:r>
          </w:p>
          <w:p>
            <w:pPr>
              <w:widowControl/>
              <w:numPr>
                <w:ilvl w:val="0"/>
                <w:numId w:val="0"/>
              </w:numPr>
              <w:ind w:leftChars="0"/>
              <w:jc w:val="both"/>
              <w:textAlignment w:val="center"/>
              <w:rPr>
                <w:rFonts w:hint="eastAsia" w:ascii="宋体" w:hAnsi="宋体" w:eastAsia="宋体" w:cs="宋体"/>
                <w:color w:val="000000"/>
                <w:kern w:val="0"/>
                <w:sz w:val="20"/>
                <w:szCs w:val="20"/>
              </w:rPr>
            </w:pPr>
            <w:r>
              <w:rPr>
                <w:rFonts w:hint="eastAsia" w:ascii="宋体" w:hAnsi="宋体" w:cs="宋体"/>
                <w:b/>
                <w:bCs/>
                <w:color w:val="000000"/>
                <w:kern w:val="0"/>
                <w:sz w:val="20"/>
                <w:szCs w:val="20"/>
                <w:lang w:val="en-US" w:eastAsia="zh-CN"/>
              </w:rPr>
              <w:t>9、配备</w:t>
            </w:r>
            <w:r>
              <w:rPr>
                <w:rFonts w:hint="eastAsia" w:ascii="宋体" w:hAnsi="宋体" w:eastAsia="宋体" w:cs="宋体"/>
                <w:b/>
                <w:bCs/>
                <w:color w:val="000000"/>
                <w:kern w:val="0"/>
                <w:sz w:val="20"/>
                <w:szCs w:val="20"/>
              </w:rPr>
              <w:t>旋转镜球</w:t>
            </w:r>
            <w:r>
              <w:rPr>
                <w:rFonts w:hint="eastAsia" w:ascii="宋体" w:hAnsi="宋体" w:eastAsia="宋体" w:cs="宋体"/>
                <w:color w:val="000000"/>
                <w:kern w:val="0"/>
                <w:sz w:val="20"/>
                <w:szCs w:val="20"/>
              </w:rPr>
              <w:tab/>
            </w:r>
          </w:p>
          <w:p>
            <w:pPr>
              <w:widowControl/>
              <w:numPr>
                <w:ilvl w:val="0"/>
                <w:numId w:val="0"/>
              </w:numPr>
              <w:jc w:val="both"/>
              <w:textAlignment w:val="center"/>
              <w:rPr>
                <w:rFonts w:hint="eastAsia" w:ascii="宋体" w:hAnsi="宋体" w:eastAsia="宋体" w:cs="宋体"/>
                <w:b/>
                <w:bCs/>
                <w:color w:val="auto"/>
                <w:kern w:val="0"/>
                <w:sz w:val="20"/>
                <w:szCs w:val="20"/>
                <w:highlight w:val="none"/>
              </w:rPr>
            </w:pPr>
            <w:r>
              <w:rPr>
                <w:rFonts w:hint="eastAsia" w:ascii="宋体" w:hAnsi="宋体" w:eastAsia="宋体" w:cs="宋体"/>
                <w:b/>
                <w:bCs/>
                <w:color w:val="000000"/>
                <w:kern w:val="0"/>
                <w:sz w:val="20"/>
                <w:szCs w:val="20"/>
                <w:highlight w:val="none"/>
              </w:rPr>
              <w:t>1</w:t>
            </w:r>
            <w:r>
              <w:rPr>
                <w:rFonts w:hint="eastAsia" w:ascii="宋体" w:hAnsi="宋体" w:eastAsia="宋体" w:cs="宋体"/>
                <w:b/>
                <w:bCs/>
                <w:color w:val="auto"/>
                <w:kern w:val="0"/>
                <w:sz w:val="20"/>
                <w:szCs w:val="20"/>
                <w:highlight w:val="none"/>
              </w:rPr>
              <w:t>0</w:t>
            </w:r>
            <w:r>
              <w:rPr>
                <w:rFonts w:hint="eastAsia" w:ascii="宋体" w:hAnsi="宋体" w:cs="宋体"/>
                <w:b/>
                <w:bCs/>
                <w:color w:val="auto"/>
                <w:kern w:val="0"/>
                <w:sz w:val="20"/>
                <w:szCs w:val="20"/>
                <w:highlight w:val="none"/>
                <w:lang w:eastAsia="zh-CN"/>
              </w:rPr>
              <w:t>、配备</w:t>
            </w:r>
            <w:r>
              <w:rPr>
                <w:rFonts w:hint="eastAsia" w:ascii="宋体" w:hAnsi="宋体" w:eastAsia="宋体" w:cs="宋体"/>
                <w:b/>
                <w:bCs/>
                <w:color w:val="auto"/>
                <w:kern w:val="0"/>
                <w:sz w:val="20"/>
                <w:szCs w:val="20"/>
                <w:highlight w:val="none"/>
              </w:rPr>
              <w:tab/>
            </w:r>
            <w:r>
              <w:rPr>
                <w:rFonts w:hint="eastAsia" w:ascii="宋体" w:hAnsi="宋体" w:eastAsia="宋体" w:cs="宋体"/>
                <w:b/>
                <w:bCs/>
                <w:color w:val="auto"/>
                <w:kern w:val="0"/>
                <w:sz w:val="20"/>
                <w:szCs w:val="20"/>
                <w:highlight w:val="none"/>
              </w:rPr>
              <w:t>4色射灯（七彩射灯）</w:t>
            </w:r>
          </w:p>
          <w:p>
            <w:pPr>
              <w:widowControl/>
              <w:numPr>
                <w:ilvl w:val="0"/>
                <w:numId w:val="0"/>
              </w:numPr>
              <w:jc w:val="both"/>
              <w:textAlignment w:val="center"/>
              <w:rPr>
                <w:rFonts w:hint="eastAsia" w:ascii="宋体" w:hAnsi="宋体" w:eastAsia="宋体" w:cs="宋体"/>
                <w:color w:val="auto"/>
                <w:kern w:val="0"/>
                <w:sz w:val="20"/>
                <w:szCs w:val="20"/>
                <w:highlight w:val="none"/>
              </w:rPr>
            </w:pPr>
            <w:r>
              <w:rPr>
                <w:rFonts w:hint="eastAsia" w:ascii="宋体" w:hAnsi="宋体" w:cs="宋体"/>
                <w:b/>
                <w:bCs/>
                <w:color w:val="auto"/>
                <w:kern w:val="0"/>
                <w:sz w:val="20"/>
                <w:szCs w:val="20"/>
                <w:highlight w:val="none"/>
                <w:lang w:val="en-US" w:eastAsia="zh-CN"/>
              </w:rPr>
              <w:t>11、配备</w:t>
            </w:r>
            <w:r>
              <w:rPr>
                <w:rFonts w:hint="eastAsia" w:ascii="宋体" w:hAnsi="宋体" w:eastAsia="宋体" w:cs="宋体"/>
                <w:b/>
                <w:bCs/>
                <w:color w:val="auto"/>
                <w:kern w:val="0"/>
                <w:sz w:val="20"/>
                <w:szCs w:val="20"/>
                <w:highlight w:val="none"/>
              </w:rPr>
              <w:t>卡通墙体彩绘</w:t>
            </w:r>
            <w:r>
              <w:rPr>
                <w:rFonts w:hint="eastAsia" w:ascii="宋体" w:hAnsi="宋体" w:eastAsia="宋体" w:cs="宋体"/>
                <w:color w:val="auto"/>
                <w:kern w:val="0"/>
                <w:sz w:val="20"/>
                <w:szCs w:val="20"/>
                <w:highlight w:val="none"/>
              </w:rPr>
              <w:tab/>
            </w:r>
          </w:p>
          <w:p>
            <w:pPr>
              <w:widowControl/>
              <w:numPr>
                <w:ilvl w:val="0"/>
                <w:numId w:val="0"/>
              </w:numPr>
              <w:jc w:val="both"/>
              <w:textAlignment w:val="center"/>
              <w:rPr>
                <w:rFonts w:hint="eastAsia" w:ascii="宋体" w:hAnsi="宋体" w:eastAsia="宋体" w:cs="宋体"/>
                <w:color w:val="auto"/>
                <w:kern w:val="0"/>
                <w:sz w:val="20"/>
                <w:szCs w:val="20"/>
                <w:highlight w:val="none"/>
              </w:rPr>
            </w:pPr>
            <w:r>
              <w:rPr>
                <w:rFonts w:hint="eastAsia" w:ascii="宋体" w:hAnsi="宋体" w:cs="宋体"/>
                <w:b/>
                <w:bCs/>
                <w:color w:val="auto"/>
                <w:kern w:val="0"/>
                <w:sz w:val="20"/>
                <w:szCs w:val="20"/>
                <w:highlight w:val="none"/>
                <w:lang w:val="en-US" w:eastAsia="zh-CN"/>
              </w:rPr>
              <w:t>12</w:t>
            </w:r>
            <w:r>
              <w:rPr>
                <w:rFonts w:hint="eastAsia" w:ascii="宋体" w:hAnsi="宋体" w:eastAsia="宋体" w:cs="宋体"/>
                <w:b/>
                <w:bCs/>
                <w:color w:val="auto"/>
                <w:kern w:val="0"/>
                <w:sz w:val="20"/>
                <w:szCs w:val="20"/>
                <w:highlight w:val="none"/>
              </w:rPr>
              <w:t>单色墙垫</w:t>
            </w:r>
            <w:r>
              <w:rPr>
                <w:rFonts w:hint="eastAsia" w:ascii="宋体" w:hAnsi="宋体" w:eastAsia="宋体" w:cs="宋体"/>
                <w:color w:val="auto"/>
                <w:kern w:val="0"/>
                <w:sz w:val="20"/>
                <w:szCs w:val="20"/>
                <w:highlight w:val="none"/>
              </w:rPr>
              <w:tab/>
            </w:r>
          </w:p>
          <w:p>
            <w:pPr>
              <w:widowControl/>
              <w:numPr>
                <w:ilvl w:val="0"/>
                <w:numId w:val="0"/>
              </w:numPr>
              <w:ind w:firstLine="200" w:firstLineChars="100"/>
              <w:jc w:val="both"/>
              <w:textAlignment w:val="center"/>
              <w:rPr>
                <w:rFonts w:hint="eastAsia" w:ascii="宋体" w:hAnsi="宋体" w:eastAsia="宋体" w:cs="宋体"/>
                <w:color w:val="000000"/>
                <w:kern w:val="0"/>
                <w:sz w:val="20"/>
                <w:szCs w:val="20"/>
              </w:rPr>
            </w:pPr>
            <w:r>
              <w:rPr>
                <w:rFonts w:hint="eastAsia" w:ascii="宋体" w:hAnsi="宋体" w:cs="宋体"/>
                <w:color w:val="000000"/>
                <w:kern w:val="0"/>
                <w:sz w:val="20"/>
                <w:szCs w:val="20"/>
                <w:lang w:val="en-US" w:eastAsia="zh-CN"/>
              </w:rPr>
              <w:t>1</w:t>
            </w:r>
            <w:r>
              <w:rPr>
                <w:rFonts w:hint="eastAsia" w:ascii="宋体" w:hAnsi="宋体" w:eastAsia="宋体" w:cs="宋体"/>
                <w:color w:val="000000"/>
                <w:kern w:val="0"/>
                <w:sz w:val="20"/>
                <w:szCs w:val="20"/>
              </w:rPr>
              <w:t>、材质：外层：PU皮革，软体：EPE高分子发泡棉和海绵组成；</w:t>
            </w:r>
          </w:p>
          <w:p>
            <w:pPr>
              <w:widowControl/>
              <w:numPr>
                <w:ilvl w:val="0"/>
                <w:numId w:val="0"/>
              </w:numPr>
              <w:ind w:firstLine="200" w:firstLineChars="100"/>
              <w:jc w:val="both"/>
              <w:textAlignment w:val="center"/>
              <w:rPr>
                <w:rFonts w:hint="eastAsia" w:ascii="宋体" w:hAnsi="宋体" w:eastAsia="宋体" w:cs="宋体"/>
                <w:color w:val="000000"/>
                <w:kern w:val="0"/>
                <w:sz w:val="20"/>
                <w:szCs w:val="20"/>
              </w:rPr>
            </w:pPr>
            <w:r>
              <w:rPr>
                <w:rFonts w:hint="eastAsia" w:ascii="宋体" w:hAnsi="宋体" w:cs="宋体"/>
                <w:color w:val="000000"/>
                <w:kern w:val="0"/>
                <w:sz w:val="20"/>
                <w:szCs w:val="20"/>
                <w:lang w:val="en-US" w:eastAsia="zh-CN"/>
              </w:rPr>
              <w:t>2、</w:t>
            </w:r>
            <w:r>
              <w:rPr>
                <w:rFonts w:hint="eastAsia" w:ascii="宋体" w:hAnsi="宋体" w:eastAsia="宋体" w:cs="宋体"/>
                <w:color w:val="000000"/>
                <w:kern w:val="0"/>
                <w:sz w:val="20"/>
                <w:szCs w:val="20"/>
              </w:rPr>
              <w:t>阻燃符合于GB 6675-2014标准；环保符合于GB 18584-2001、GB 21550-2008标准；质量要求符合于JY0001－2003标准。</w:t>
            </w:r>
          </w:p>
          <w:p>
            <w:pPr>
              <w:widowControl/>
              <w:numPr>
                <w:ilvl w:val="0"/>
                <w:numId w:val="0"/>
              </w:numPr>
              <w:jc w:val="both"/>
              <w:textAlignment w:val="center"/>
              <w:rPr>
                <w:rFonts w:hint="eastAsia" w:ascii="宋体" w:hAnsi="宋体" w:eastAsia="宋体" w:cs="宋体"/>
                <w:color w:val="000000"/>
                <w:kern w:val="0"/>
                <w:sz w:val="20"/>
                <w:szCs w:val="20"/>
              </w:rPr>
            </w:pPr>
            <w:r>
              <w:rPr>
                <w:rFonts w:hint="eastAsia" w:ascii="宋体" w:hAnsi="宋体" w:cs="宋体"/>
                <w:b/>
                <w:bCs/>
                <w:color w:val="000000"/>
                <w:kern w:val="0"/>
                <w:sz w:val="20"/>
                <w:szCs w:val="20"/>
                <w:lang w:val="en-US" w:eastAsia="zh-CN"/>
              </w:rPr>
              <w:t>13、</w:t>
            </w:r>
            <w:r>
              <w:rPr>
                <w:rFonts w:hint="eastAsia" w:ascii="宋体" w:hAnsi="宋体" w:eastAsia="宋体" w:cs="宋体"/>
                <w:b/>
                <w:bCs/>
                <w:color w:val="000000"/>
                <w:kern w:val="0"/>
                <w:sz w:val="20"/>
                <w:szCs w:val="20"/>
              </w:rPr>
              <w:t>单色地垫</w:t>
            </w:r>
            <w:r>
              <w:rPr>
                <w:rFonts w:hint="eastAsia" w:ascii="宋体" w:hAnsi="宋体" w:eastAsia="宋体" w:cs="宋体"/>
                <w:color w:val="000000"/>
                <w:kern w:val="0"/>
                <w:sz w:val="20"/>
                <w:szCs w:val="20"/>
              </w:rPr>
              <w:tab/>
            </w:r>
          </w:p>
          <w:p>
            <w:pPr>
              <w:widowControl/>
              <w:numPr>
                <w:ilvl w:val="0"/>
                <w:numId w:val="0"/>
              </w:numPr>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1、规格：</w:t>
            </w:r>
            <w:r>
              <w:rPr>
                <w:rFonts w:hint="eastAsia" w:ascii="宋体" w:hAnsi="宋体" w:eastAsia="宋体" w:cs="宋体"/>
                <w:color w:val="000000"/>
                <w:kern w:val="0"/>
                <w:sz w:val="20"/>
                <w:szCs w:val="20"/>
                <w:lang w:eastAsia="zh-CN"/>
              </w:rPr>
              <w:t>≥</w:t>
            </w:r>
            <w:r>
              <w:rPr>
                <w:rFonts w:hint="eastAsia" w:ascii="宋体" w:hAnsi="宋体" w:eastAsia="宋体" w:cs="宋体"/>
                <w:color w:val="000000"/>
                <w:kern w:val="0"/>
                <w:sz w:val="20"/>
                <w:szCs w:val="20"/>
              </w:rPr>
              <w:t>1000*1000*50；</w:t>
            </w:r>
          </w:p>
          <w:p>
            <w:pPr>
              <w:widowControl/>
              <w:numPr>
                <w:ilvl w:val="0"/>
                <w:numId w:val="0"/>
              </w:numPr>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2、材质：外层：PU皮革，软体：EPE高分子发泡棉和海绵组成；</w:t>
            </w:r>
          </w:p>
          <w:p>
            <w:pPr>
              <w:widowControl/>
              <w:numPr>
                <w:ilvl w:val="0"/>
                <w:numId w:val="0"/>
              </w:numPr>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阻燃符合于GB 6675-2014标准；环保符合于GB 18584-2001、GB 21550-2008标准；质量要求符合于JY0001－2003标准。</w:t>
            </w:r>
          </w:p>
          <w:p>
            <w:pPr>
              <w:widowControl/>
              <w:numPr>
                <w:ilvl w:val="0"/>
                <w:numId w:val="0"/>
              </w:numPr>
              <w:jc w:val="both"/>
              <w:textAlignment w:val="center"/>
              <w:rPr>
                <w:rFonts w:hint="eastAsia" w:ascii="宋体" w:hAnsi="宋体" w:eastAsia="宋体" w:cs="宋体"/>
                <w:color w:val="000000"/>
                <w:kern w:val="0"/>
                <w:sz w:val="20"/>
                <w:szCs w:val="20"/>
              </w:rPr>
            </w:pPr>
            <w:r>
              <w:rPr>
                <w:rFonts w:hint="eastAsia" w:ascii="宋体" w:hAnsi="宋体" w:cs="宋体"/>
                <w:b/>
                <w:bCs/>
                <w:color w:val="000000"/>
                <w:kern w:val="0"/>
                <w:sz w:val="20"/>
                <w:szCs w:val="20"/>
                <w:lang w:val="en-US" w:eastAsia="zh-CN"/>
              </w:rPr>
              <w:t>14、</w:t>
            </w:r>
            <w:r>
              <w:rPr>
                <w:rFonts w:hint="eastAsia" w:ascii="宋体" w:hAnsi="宋体" w:eastAsia="宋体" w:cs="宋体"/>
                <w:b/>
                <w:bCs/>
                <w:color w:val="000000"/>
                <w:kern w:val="0"/>
                <w:sz w:val="20"/>
                <w:szCs w:val="20"/>
              </w:rPr>
              <w:t>音律可视化训练器</w:t>
            </w:r>
            <w:r>
              <w:rPr>
                <w:rFonts w:hint="eastAsia" w:ascii="宋体" w:hAnsi="宋体" w:eastAsia="宋体" w:cs="宋体"/>
                <w:color w:val="000000"/>
                <w:kern w:val="0"/>
                <w:sz w:val="20"/>
                <w:szCs w:val="20"/>
              </w:rPr>
              <w:tab/>
            </w:r>
          </w:p>
          <w:p>
            <w:pPr>
              <w:widowControl/>
              <w:numPr>
                <w:ilvl w:val="0"/>
                <w:numId w:val="0"/>
              </w:numPr>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xml:space="preserve"> </w:t>
            </w:r>
            <w:r>
              <w:rPr>
                <w:rFonts w:hint="eastAsia" w:ascii="宋体" w:hAnsi="宋体" w:cs="宋体"/>
                <w:color w:val="000000"/>
                <w:kern w:val="0"/>
                <w:sz w:val="20"/>
                <w:szCs w:val="20"/>
                <w:lang w:val="en-US" w:eastAsia="zh-CN"/>
              </w:rPr>
              <w:t>1</w:t>
            </w:r>
            <w:r>
              <w:rPr>
                <w:rFonts w:hint="eastAsia" w:ascii="宋体" w:hAnsi="宋体" w:eastAsia="宋体" w:cs="宋体"/>
                <w:color w:val="000000"/>
                <w:kern w:val="0"/>
                <w:sz w:val="20"/>
                <w:szCs w:val="20"/>
              </w:rPr>
              <w:t>.尺寸：不小于60*16*5cm</w:t>
            </w:r>
          </w:p>
          <w:p>
            <w:pPr>
              <w:widowControl/>
              <w:numPr>
                <w:ilvl w:val="0"/>
                <w:numId w:val="0"/>
              </w:numPr>
              <w:jc w:val="both"/>
              <w:textAlignment w:val="center"/>
              <w:rPr>
                <w:rFonts w:hint="eastAsia" w:ascii="宋体" w:hAnsi="宋体" w:eastAsia="宋体" w:cs="宋体"/>
                <w:color w:val="000000"/>
                <w:kern w:val="0"/>
                <w:sz w:val="20"/>
                <w:szCs w:val="20"/>
              </w:rPr>
            </w:pPr>
            <w:r>
              <w:rPr>
                <w:rFonts w:hint="eastAsia" w:ascii="宋体" w:hAnsi="宋体" w:cs="宋体"/>
                <w:color w:val="000000"/>
                <w:kern w:val="0"/>
                <w:sz w:val="20"/>
                <w:szCs w:val="20"/>
                <w:lang w:val="en-US" w:eastAsia="zh-CN"/>
              </w:rPr>
              <w:t>2.至少</w:t>
            </w:r>
            <w:r>
              <w:rPr>
                <w:rFonts w:hint="eastAsia" w:ascii="宋体" w:hAnsi="宋体" w:eastAsia="宋体" w:cs="宋体"/>
                <w:color w:val="000000"/>
                <w:kern w:val="0"/>
                <w:sz w:val="20"/>
                <w:szCs w:val="20"/>
              </w:rPr>
              <w:t xml:space="preserve">具有8种音轨显示模式，每种显示模式可进行8种颜色的转换，共64种模式+颜色的变换组合，                                    </w:t>
            </w:r>
          </w:p>
          <w:p>
            <w:pPr>
              <w:widowControl/>
              <w:numPr>
                <w:ilvl w:val="0"/>
                <w:numId w:val="0"/>
              </w:numPr>
              <w:jc w:val="both"/>
              <w:textAlignment w:val="center"/>
              <w:rPr>
                <w:rFonts w:hint="eastAsia" w:ascii="宋体" w:hAnsi="宋体" w:eastAsia="宋体" w:cs="宋体"/>
                <w:color w:val="000000"/>
                <w:kern w:val="0"/>
                <w:sz w:val="20"/>
                <w:szCs w:val="20"/>
              </w:rPr>
            </w:pPr>
            <w:r>
              <w:rPr>
                <w:rFonts w:hint="eastAsia" w:ascii="宋体" w:hAnsi="宋体" w:cs="宋体"/>
                <w:color w:val="000000"/>
                <w:kern w:val="0"/>
                <w:sz w:val="20"/>
                <w:szCs w:val="20"/>
                <w:lang w:val="en-US" w:eastAsia="zh-CN"/>
              </w:rPr>
              <w:t>3</w:t>
            </w:r>
            <w:r>
              <w:rPr>
                <w:rFonts w:hint="eastAsia" w:ascii="宋体" w:hAnsi="宋体" w:eastAsia="宋体" w:cs="宋体"/>
                <w:color w:val="000000"/>
                <w:kern w:val="0"/>
                <w:sz w:val="20"/>
                <w:szCs w:val="20"/>
              </w:rPr>
              <w:t xml:space="preserve">.按键功能转换：按键一：音律模式转换键，可进行同一种音律颜色下，不同音律模式的转换；按键二：音律颜色转换键，可进行同一音律模式下，不同音律颜色的转换。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83" w:hRule="atLeast"/>
          <w:jc w:val="center"/>
        </w:trPr>
        <w:tc>
          <w:tcPr>
            <w:tcW w:w="1027" w:type="dxa"/>
            <w:tcBorders>
              <w:tl2br w:val="nil"/>
              <w:tr2bl w:val="nil"/>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体外冲击波治疗仪</w:t>
            </w:r>
          </w:p>
        </w:tc>
        <w:tc>
          <w:tcPr>
            <w:tcW w:w="8308" w:type="dxa"/>
            <w:tcBorders>
              <w:tl2br w:val="nil"/>
              <w:tr2bl w:val="nil"/>
            </w:tcBorders>
            <w:shd w:val="clear" w:color="auto" w:fill="auto"/>
            <w:vAlign w:val="center"/>
          </w:tcPr>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w:t>
            </w:r>
            <w:r>
              <w:rPr>
                <w:rFonts w:hint="eastAsia" w:ascii="宋体" w:hAnsi="宋体" w:cs="宋体"/>
                <w:color w:val="000000"/>
                <w:kern w:val="0"/>
                <w:sz w:val="20"/>
                <w:szCs w:val="20"/>
                <w:lang w:val="en-US" w:eastAsia="zh-CN"/>
              </w:rPr>
              <w:t>1.</w:t>
            </w:r>
            <w:r>
              <w:rPr>
                <w:rFonts w:hint="eastAsia" w:ascii="宋体" w:hAnsi="宋体" w:eastAsia="宋体" w:cs="宋体"/>
                <w:color w:val="000000"/>
                <w:kern w:val="0"/>
                <w:sz w:val="20"/>
                <w:szCs w:val="20"/>
              </w:rPr>
              <w:t>可移动式柜式主机系统（包括：主机、台车、空气压缩机），主机与空气压缩机分离。</w:t>
            </w:r>
          </w:p>
          <w:p>
            <w:pPr>
              <w:widowControl/>
              <w:jc w:val="both"/>
              <w:textAlignment w:val="center"/>
              <w:rPr>
                <w:rFonts w:hint="eastAsia" w:ascii="宋体" w:hAnsi="宋体" w:eastAsia="宋体" w:cs="宋体"/>
                <w:color w:val="000000"/>
                <w:kern w:val="0"/>
                <w:sz w:val="20"/>
                <w:szCs w:val="20"/>
              </w:rPr>
            </w:pPr>
            <w:r>
              <w:rPr>
                <w:rFonts w:hint="eastAsia" w:ascii="宋体" w:hAnsi="宋体" w:cs="宋体"/>
                <w:color w:val="000000"/>
                <w:kern w:val="0"/>
                <w:sz w:val="20"/>
                <w:szCs w:val="20"/>
                <w:lang w:val="en-US" w:eastAsia="zh-CN"/>
              </w:rPr>
              <w:t>2.</w:t>
            </w:r>
            <w:r>
              <w:rPr>
                <w:rFonts w:hint="eastAsia" w:ascii="宋体" w:hAnsi="宋体" w:eastAsia="宋体" w:cs="宋体"/>
                <w:color w:val="000000"/>
                <w:kern w:val="0"/>
                <w:sz w:val="20"/>
                <w:szCs w:val="20"/>
              </w:rPr>
              <w:t>工作压力：1bar - 4bar 治疗时连续可调</w:t>
            </w:r>
          </w:p>
          <w:p>
            <w:pPr>
              <w:widowControl/>
              <w:jc w:val="both"/>
              <w:textAlignment w:val="center"/>
              <w:rPr>
                <w:rFonts w:hint="eastAsia" w:ascii="宋体" w:hAnsi="宋体" w:eastAsia="宋体" w:cs="宋体"/>
                <w:color w:val="000000"/>
                <w:kern w:val="0"/>
                <w:sz w:val="20"/>
                <w:szCs w:val="20"/>
              </w:rPr>
            </w:pPr>
            <w:r>
              <w:rPr>
                <w:rFonts w:hint="eastAsia" w:ascii="宋体" w:hAnsi="宋体" w:cs="宋体"/>
                <w:color w:val="000000"/>
                <w:kern w:val="0"/>
                <w:sz w:val="20"/>
                <w:szCs w:val="20"/>
                <w:lang w:val="en-US" w:eastAsia="zh-CN"/>
              </w:rPr>
              <w:t>3.</w:t>
            </w:r>
            <w:r>
              <w:rPr>
                <w:rFonts w:hint="eastAsia" w:ascii="宋体" w:hAnsi="宋体" w:eastAsia="宋体" w:cs="宋体"/>
                <w:color w:val="000000"/>
                <w:kern w:val="0"/>
                <w:sz w:val="20"/>
                <w:szCs w:val="20"/>
              </w:rPr>
              <w:t>工作频率：4、8、12、20Hz</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w:t>
            </w:r>
            <w:r>
              <w:rPr>
                <w:rFonts w:hint="eastAsia" w:ascii="宋体" w:hAnsi="宋体" w:cs="宋体"/>
                <w:color w:val="000000"/>
                <w:kern w:val="0"/>
                <w:sz w:val="20"/>
                <w:szCs w:val="20"/>
                <w:lang w:val="en-US" w:eastAsia="zh-CN"/>
              </w:rPr>
              <w:t>4.</w:t>
            </w:r>
            <w:r>
              <w:rPr>
                <w:rFonts w:hint="eastAsia" w:ascii="宋体" w:hAnsi="宋体" w:eastAsia="宋体" w:cs="宋体"/>
                <w:color w:val="000000"/>
                <w:kern w:val="0"/>
                <w:sz w:val="20"/>
                <w:szCs w:val="20"/>
              </w:rPr>
              <w:t>手柄治疗头可伸缩，有施压指示器，带压力刻度</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w:t>
            </w:r>
            <w:r>
              <w:rPr>
                <w:rFonts w:hint="eastAsia" w:ascii="宋体" w:hAnsi="宋体" w:cs="宋体"/>
                <w:color w:val="000000"/>
                <w:kern w:val="0"/>
                <w:sz w:val="20"/>
                <w:szCs w:val="20"/>
                <w:lang w:val="en-US" w:eastAsia="zh-CN"/>
              </w:rPr>
              <w:t>5.</w:t>
            </w:r>
            <w:r>
              <w:rPr>
                <w:rFonts w:hint="eastAsia" w:ascii="宋体" w:hAnsi="宋体" w:eastAsia="宋体" w:cs="宋体"/>
                <w:color w:val="000000"/>
                <w:kern w:val="0"/>
                <w:sz w:val="20"/>
                <w:szCs w:val="20"/>
              </w:rPr>
              <w:t>手柄有计数器，记录手柄累计使用次数</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w:t>
            </w:r>
            <w:r>
              <w:rPr>
                <w:rFonts w:hint="eastAsia" w:ascii="宋体" w:hAnsi="宋体" w:cs="宋体"/>
                <w:color w:val="000000"/>
                <w:kern w:val="0"/>
                <w:sz w:val="20"/>
                <w:szCs w:val="20"/>
                <w:lang w:val="en-US" w:eastAsia="zh-CN"/>
              </w:rPr>
              <w:t>6.配备疼痛治疗手柄一把，配专用软把手和移动运输盒。</w:t>
            </w:r>
          </w:p>
          <w:p>
            <w:pPr>
              <w:widowControl/>
              <w:jc w:val="both"/>
              <w:textAlignment w:val="center"/>
              <w:rPr>
                <w:rFonts w:hint="eastAsia" w:ascii="宋体" w:hAnsi="宋体" w:eastAsia="宋体" w:cs="宋体"/>
                <w:color w:val="000000"/>
                <w:kern w:val="0"/>
                <w:sz w:val="20"/>
                <w:szCs w:val="20"/>
                <w:highlight w:val="red"/>
              </w:rPr>
            </w:pPr>
            <w:r>
              <w:rPr>
                <w:rFonts w:hint="eastAsia" w:ascii="宋体" w:hAnsi="宋体" w:eastAsia="宋体" w:cs="宋体"/>
                <w:color w:val="000000"/>
                <w:kern w:val="0"/>
                <w:sz w:val="20"/>
                <w:szCs w:val="20"/>
              </w:rPr>
              <w:t>★</w:t>
            </w:r>
            <w:r>
              <w:rPr>
                <w:rFonts w:hint="eastAsia" w:ascii="宋体" w:hAnsi="宋体" w:cs="宋体"/>
                <w:color w:val="000000"/>
                <w:kern w:val="0"/>
                <w:sz w:val="20"/>
                <w:szCs w:val="20"/>
                <w:lang w:val="en-US" w:eastAsia="zh-CN"/>
              </w:rPr>
              <w:t>7.</w:t>
            </w:r>
            <w:r>
              <w:rPr>
                <w:rFonts w:hint="eastAsia" w:ascii="宋体" w:hAnsi="宋体" w:eastAsia="宋体" w:cs="宋体"/>
                <w:color w:val="000000"/>
                <w:kern w:val="0"/>
                <w:sz w:val="20"/>
                <w:szCs w:val="20"/>
              </w:rPr>
              <w:t>能流密度：0～0.31mJ/mm2（标准能量手柄）</w:t>
            </w:r>
          </w:p>
          <w:p>
            <w:pPr>
              <w:widowControl/>
              <w:jc w:val="both"/>
              <w:textAlignment w:val="center"/>
              <w:rPr>
                <w:rFonts w:hint="eastAsia" w:ascii="宋体" w:hAnsi="宋体" w:eastAsia="宋体" w:cs="宋体"/>
                <w:color w:val="000000"/>
                <w:kern w:val="0"/>
                <w:sz w:val="20"/>
                <w:szCs w:val="20"/>
                <w:lang w:eastAsia="zh-CN"/>
              </w:rPr>
            </w:pPr>
            <w:r>
              <w:rPr>
                <w:rFonts w:hint="eastAsia" w:ascii="宋体" w:hAnsi="宋体" w:eastAsia="宋体" w:cs="宋体"/>
                <w:color w:val="000000"/>
                <w:kern w:val="0"/>
                <w:sz w:val="20"/>
                <w:szCs w:val="20"/>
              </w:rPr>
              <w:t>★</w:t>
            </w:r>
            <w:r>
              <w:rPr>
                <w:rFonts w:hint="eastAsia" w:ascii="宋体" w:hAnsi="宋体" w:cs="宋体"/>
                <w:color w:val="000000"/>
                <w:kern w:val="0"/>
                <w:sz w:val="20"/>
                <w:szCs w:val="20"/>
                <w:lang w:val="en-US" w:eastAsia="zh-CN"/>
              </w:rPr>
              <w:t>8.</w:t>
            </w:r>
            <w:r>
              <w:rPr>
                <w:rFonts w:hint="eastAsia" w:ascii="宋体" w:hAnsi="宋体" w:cs="宋体"/>
                <w:color w:val="000000"/>
                <w:kern w:val="0"/>
                <w:sz w:val="20"/>
                <w:szCs w:val="20"/>
                <w:lang w:eastAsia="zh-CN"/>
              </w:rPr>
              <w:t>至少配备</w:t>
            </w:r>
            <w:r>
              <w:rPr>
                <w:rFonts w:hint="eastAsia" w:ascii="宋体" w:hAnsi="宋体" w:cs="宋体"/>
                <w:color w:val="000000"/>
                <w:kern w:val="0"/>
                <w:sz w:val="20"/>
                <w:szCs w:val="20"/>
                <w:lang w:val="en-US" w:eastAsia="zh-CN"/>
              </w:rPr>
              <w:t>4个治疗头，</w:t>
            </w:r>
            <w:r>
              <w:rPr>
                <w:rFonts w:hint="eastAsia" w:ascii="宋体" w:hAnsi="宋体" w:eastAsia="宋体" w:cs="宋体"/>
                <w:color w:val="000000"/>
                <w:kern w:val="0"/>
                <w:sz w:val="20"/>
                <w:szCs w:val="20"/>
              </w:rPr>
              <w:tab/>
            </w:r>
            <w:r>
              <w:rPr>
                <w:rFonts w:hint="eastAsia" w:ascii="宋体" w:hAnsi="宋体" w:cs="宋体"/>
                <w:color w:val="000000"/>
                <w:kern w:val="0"/>
                <w:sz w:val="20"/>
                <w:szCs w:val="20"/>
                <w:lang w:eastAsia="zh-CN"/>
              </w:rPr>
              <w:t>具体如下：</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Æ6mm  放散状冲击头</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Æ10mm放散状冲击头</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Æ15mm 标准放散状冲击头</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xml:space="preserve">Æ15mm 放散状冲击头 </w:t>
            </w:r>
          </w:p>
          <w:p>
            <w:pPr>
              <w:widowControl/>
              <w:jc w:val="both"/>
              <w:textAlignment w:val="center"/>
              <w:rPr>
                <w:rFonts w:hint="eastAsia" w:ascii="宋体" w:hAnsi="宋体" w:eastAsia="宋体" w:cs="宋体"/>
                <w:color w:val="000000"/>
                <w:kern w:val="0"/>
                <w:sz w:val="20"/>
                <w:szCs w:val="20"/>
              </w:rPr>
            </w:pPr>
            <w:r>
              <w:rPr>
                <w:rFonts w:hint="eastAsia" w:ascii="宋体" w:hAnsi="宋体" w:cs="宋体"/>
                <w:color w:val="000000"/>
                <w:kern w:val="0"/>
                <w:sz w:val="20"/>
                <w:szCs w:val="20"/>
                <w:lang w:val="en-US" w:eastAsia="zh-CN"/>
              </w:rPr>
              <w:t>9.</w:t>
            </w:r>
            <w:r>
              <w:rPr>
                <w:rFonts w:hint="eastAsia" w:ascii="宋体" w:hAnsi="宋体" w:eastAsia="宋体" w:cs="宋体"/>
                <w:color w:val="000000"/>
                <w:kern w:val="0"/>
                <w:sz w:val="20"/>
                <w:szCs w:val="20"/>
              </w:rPr>
              <w:t>均可+135℃高温高压消毒</w:t>
            </w:r>
          </w:p>
          <w:p>
            <w:pPr>
              <w:widowControl/>
              <w:jc w:val="both"/>
              <w:textAlignment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val="en-US" w:eastAsia="zh-CN"/>
              </w:rPr>
              <w:t>10.生产厂商需在河南省有定点培训机构，能提供完善的技术培训方案和售后维修方案。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83" w:hRule="atLeast"/>
          <w:jc w:val="center"/>
        </w:trPr>
        <w:tc>
          <w:tcPr>
            <w:tcW w:w="1027" w:type="dxa"/>
            <w:tcBorders>
              <w:tl2br w:val="nil"/>
              <w:tr2bl w:val="nil"/>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脑电仿生电刺激仪</w:t>
            </w:r>
          </w:p>
        </w:tc>
        <w:tc>
          <w:tcPr>
            <w:tcW w:w="8308" w:type="dxa"/>
            <w:tcBorders>
              <w:tl2br w:val="nil"/>
              <w:tr2bl w:val="nil"/>
            </w:tcBorders>
            <w:shd w:val="clear" w:color="auto" w:fill="auto"/>
            <w:vAlign w:val="center"/>
          </w:tcPr>
          <w:p>
            <w:pPr>
              <w:widowControl/>
              <w:jc w:val="both"/>
              <w:textAlignment w:val="center"/>
              <w:rPr>
                <w:rFonts w:hint="eastAsia" w:ascii="宋体" w:hAnsi="宋体" w:eastAsia="宋体" w:cs="宋体"/>
                <w:color w:val="000000"/>
                <w:kern w:val="0"/>
                <w:sz w:val="20"/>
                <w:szCs w:val="20"/>
                <w:highlight w:val="red"/>
              </w:rPr>
            </w:pPr>
            <w:r>
              <w:rPr>
                <w:rFonts w:hint="eastAsia" w:ascii="宋体" w:hAnsi="宋体" w:eastAsia="宋体" w:cs="宋体"/>
                <w:color w:val="000000"/>
                <w:kern w:val="0"/>
                <w:sz w:val="20"/>
                <w:szCs w:val="20"/>
              </w:rPr>
              <w:t>★1. 生物电输出特性，由α、β、θ脑电成份数字频率合成仿脑电波生物电自颅外无创电刺激。</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★2. 刺激电流（仿脑电波）具有超慢波及智能诱导波成份。</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★3. 输出特性, 输出电流均方根(r.m.s)值≤18.01mA。</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4. 增强输出最大输出电流峰-峰值≤25.74mA。</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5. 输出开路最大电压峰-峰值不大于100V。</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6. 频谱范围:0∽100Hz。</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7. 液晶显示屏、数字显字、中文界面、即时输出频段同步显示（便于临床动态观察病人情况）。</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8. 五路独立输出（物理隔离）可以同时治疗五个患者。</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9. 强度显示按实际强度增强等分表示，采用LCD图腾柱显示，强度调节分32级。</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10. 机车一体化。</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11. 具有软硬件升级功能，可在本机上直接升级。</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★12．内置数字音乐播放器，在输出电刺激电流期间，可以同时提供音频信号。</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xml:space="preserve">13. </w:t>
            </w:r>
            <w:r>
              <w:rPr>
                <w:rFonts w:hint="eastAsia" w:ascii="宋体" w:hAnsi="宋体" w:cs="宋体"/>
                <w:color w:val="000000"/>
                <w:kern w:val="0"/>
                <w:sz w:val="20"/>
                <w:szCs w:val="20"/>
                <w:lang w:val="en-US" w:eastAsia="zh-CN"/>
              </w:rPr>
              <w:t>≥2</w:t>
            </w:r>
            <w:r>
              <w:rPr>
                <w:rFonts w:hint="eastAsia" w:ascii="宋体" w:hAnsi="宋体" w:eastAsia="宋体" w:cs="宋体"/>
                <w:color w:val="000000"/>
                <w:kern w:val="0"/>
                <w:sz w:val="20"/>
                <w:szCs w:val="20"/>
              </w:rPr>
              <w:t>种治疗模式，</w:t>
            </w:r>
            <w:r>
              <w:rPr>
                <w:rFonts w:hint="eastAsia" w:ascii="宋体" w:hAnsi="宋体" w:cs="宋体"/>
                <w:color w:val="000000"/>
                <w:kern w:val="0"/>
                <w:sz w:val="20"/>
                <w:szCs w:val="20"/>
                <w:lang w:val="en-US" w:eastAsia="zh-CN"/>
              </w:rPr>
              <w:t>≥3</w:t>
            </w:r>
            <w:r>
              <w:rPr>
                <w:rFonts w:hint="eastAsia" w:ascii="宋体" w:hAnsi="宋体" w:eastAsia="宋体" w:cs="宋体"/>
                <w:color w:val="000000"/>
                <w:kern w:val="0"/>
                <w:sz w:val="20"/>
                <w:szCs w:val="20"/>
              </w:rPr>
              <w:t>治疗类型。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83" w:hRule="atLeast"/>
          <w:jc w:val="center"/>
        </w:trPr>
        <w:tc>
          <w:tcPr>
            <w:tcW w:w="1027" w:type="dxa"/>
            <w:tcBorders>
              <w:tl2br w:val="nil"/>
              <w:tr2bl w:val="nil"/>
            </w:tcBorders>
            <w:shd w:val="clear" w:color="auto" w:fill="auto"/>
            <w:vAlign w:val="center"/>
          </w:tcPr>
          <w:p>
            <w:pPr>
              <w:widowControl/>
              <w:jc w:val="center"/>
              <w:textAlignment w:val="center"/>
              <w:rPr>
                <w:rFonts w:hint="eastAsia" w:ascii="宋体" w:hAnsi="宋体" w:eastAsia="宋体" w:cs="宋体"/>
                <w:color w:val="000000"/>
                <w:sz w:val="20"/>
                <w:szCs w:val="20"/>
                <w:lang w:eastAsia="zh-CN"/>
              </w:rPr>
            </w:pPr>
            <w:r>
              <w:rPr>
                <w:rFonts w:hint="eastAsia" w:ascii="宋体" w:hAnsi="宋体" w:eastAsia="宋体" w:cs="宋体"/>
                <w:color w:val="000000"/>
                <w:kern w:val="0"/>
                <w:sz w:val="20"/>
                <w:szCs w:val="20"/>
              </w:rPr>
              <w:t>生物反馈神经功能重建治疗</w:t>
            </w:r>
            <w:r>
              <w:rPr>
                <w:rFonts w:hint="eastAsia" w:ascii="宋体" w:hAnsi="宋体" w:cs="宋体"/>
                <w:color w:val="000000"/>
                <w:kern w:val="0"/>
                <w:sz w:val="20"/>
                <w:szCs w:val="20"/>
                <w:lang w:eastAsia="zh-CN"/>
              </w:rPr>
              <w:t>系统</w:t>
            </w:r>
          </w:p>
        </w:tc>
        <w:tc>
          <w:tcPr>
            <w:tcW w:w="8308" w:type="dxa"/>
            <w:tcBorders>
              <w:tl2br w:val="nil"/>
              <w:tr2bl w:val="nil"/>
            </w:tcBorders>
            <w:shd w:val="clear" w:color="auto" w:fill="auto"/>
            <w:vAlign w:val="center"/>
          </w:tcPr>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w:t>
            </w:r>
            <w:r>
              <w:rPr>
                <w:rFonts w:hint="eastAsia" w:ascii="宋体" w:hAnsi="宋体" w:cs="宋体"/>
                <w:color w:val="000000"/>
                <w:kern w:val="0"/>
                <w:sz w:val="20"/>
                <w:szCs w:val="20"/>
                <w:lang w:val="en-US" w:eastAsia="zh-CN"/>
              </w:rPr>
              <w:t>1.</w:t>
            </w:r>
            <w:r>
              <w:rPr>
                <w:rFonts w:hint="eastAsia" w:ascii="宋体" w:hAnsi="宋体" w:eastAsia="宋体" w:cs="宋体"/>
                <w:color w:val="000000"/>
                <w:kern w:val="0"/>
                <w:sz w:val="20"/>
                <w:szCs w:val="20"/>
              </w:rPr>
              <w:t>两种治疗模式：儿童快速治疗和生物反馈治疗。</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w:t>
            </w:r>
            <w:r>
              <w:rPr>
                <w:rFonts w:hint="eastAsia" w:ascii="宋体" w:hAnsi="宋体" w:cs="宋体"/>
                <w:color w:val="000000"/>
                <w:kern w:val="0"/>
                <w:sz w:val="20"/>
                <w:szCs w:val="20"/>
                <w:lang w:val="en-US" w:eastAsia="zh-CN"/>
              </w:rPr>
              <w:t>2.</w:t>
            </w:r>
            <w:r>
              <w:rPr>
                <w:rFonts w:hint="eastAsia" w:ascii="宋体" w:hAnsi="宋体" w:eastAsia="宋体" w:cs="宋体"/>
                <w:color w:val="000000"/>
                <w:kern w:val="0"/>
                <w:sz w:val="20"/>
                <w:szCs w:val="20"/>
              </w:rPr>
              <w:t>电刺激治疗波形分为三种：单向波、双向波和交互波。</w:t>
            </w:r>
          </w:p>
          <w:p>
            <w:pPr>
              <w:widowControl/>
              <w:jc w:val="both"/>
              <w:textAlignment w:val="center"/>
              <w:rPr>
                <w:rFonts w:hint="eastAsia" w:ascii="宋体" w:hAnsi="宋体" w:eastAsia="宋体" w:cs="宋体"/>
                <w:color w:val="000000"/>
                <w:kern w:val="0"/>
                <w:sz w:val="20"/>
                <w:szCs w:val="20"/>
              </w:rPr>
            </w:pPr>
            <w:r>
              <w:rPr>
                <w:rFonts w:hint="eastAsia" w:ascii="宋体" w:hAnsi="宋体" w:cs="宋体"/>
                <w:color w:val="000000"/>
                <w:kern w:val="0"/>
                <w:sz w:val="20"/>
                <w:szCs w:val="20"/>
                <w:lang w:val="en-US" w:eastAsia="zh-CN"/>
              </w:rPr>
              <w:t>3.</w:t>
            </w:r>
            <w:r>
              <w:rPr>
                <w:rFonts w:hint="eastAsia" w:ascii="宋体" w:hAnsi="宋体" w:eastAsia="宋体" w:cs="宋体"/>
                <w:color w:val="000000"/>
                <w:kern w:val="0"/>
                <w:sz w:val="20"/>
                <w:szCs w:val="20"/>
              </w:rPr>
              <w:t>治疗部位：头颈部、肩部和上肢、胸腹部、腰背部和下肢共五个部位。</w:t>
            </w:r>
          </w:p>
          <w:p>
            <w:pPr>
              <w:widowControl/>
              <w:jc w:val="both"/>
              <w:textAlignment w:val="center"/>
              <w:rPr>
                <w:rFonts w:hint="eastAsia" w:ascii="宋体" w:hAnsi="宋体" w:eastAsia="宋体" w:cs="宋体"/>
                <w:color w:val="000000"/>
                <w:kern w:val="0"/>
                <w:sz w:val="20"/>
                <w:szCs w:val="20"/>
              </w:rPr>
            </w:pPr>
            <w:r>
              <w:rPr>
                <w:rFonts w:hint="eastAsia" w:ascii="宋体" w:hAnsi="宋体" w:cs="宋体"/>
                <w:color w:val="000000"/>
                <w:kern w:val="0"/>
                <w:sz w:val="20"/>
                <w:szCs w:val="20"/>
                <w:lang w:val="en-US" w:eastAsia="zh-CN"/>
              </w:rPr>
              <w:t>4.</w:t>
            </w:r>
            <w:r>
              <w:rPr>
                <w:rFonts w:hint="eastAsia" w:ascii="宋体" w:hAnsi="宋体" w:eastAsia="宋体" w:cs="宋体"/>
                <w:color w:val="000000"/>
                <w:kern w:val="0"/>
                <w:sz w:val="20"/>
                <w:szCs w:val="20"/>
              </w:rPr>
              <w:t>治疗方案：内置</w:t>
            </w:r>
            <w:r>
              <w:rPr>
                <w:rFonts w:hint="eastAsia" w:ascii="宋体" w:hAnsi="宋体" w:cs="宋体"/>
                <w:color w:val="000000"/>
                <w:kern w:val="0"/>
                <w:sz w:val="20"/>
                <w:szCs w:val="20"/>
                <w:lang w:eastAsia="zh-CN"/>
              </w:rPr>
              <w:t>至少</w:t>
            </w:r>
            <w:r>
              <w:rPr>
                <w:rFonts w:hint="eastAsia" w:ascii="宋体" w:hAnsi="宋体" w:eastAsia="宋体" w:cs="宋体"/>
                <w:color w:val="000000"/>
                <w:kern w:val="0"/>
                <w:sz w:val="20"/>
                <w:szCs w:val="20"/>
              </w:rPr>
              <w:t>十种常用治疗方案，包括关节屈曲和伸展、关节旋转、 手指训练、步态训练和肌肉力量训练等。</w:t>
            </w:r>
          </w:p>
          <w:p>
            <w:pPr>
              <w:widowControl/>
              <w:jc w:val="both"/>
              <w:textAlignment w:val="center"/>
              <w:rPr>
                <w:rFonts w:hint="eastAsia" w:ascii="宋体" w:hAnsi="宋体" w:eastAsia="宋体" w:cs="宋体"/>
                <w:color w:val="000000"/>
                <w:kern w:val="0"/>
                <w:sz w:val="20"/>
                <w:szCs w:val="20"/>
              </w:rPr>
            </w:pPr>
            <w:r>
              <w:rPr>
                <w:rFonts w:hint="eastAsia" w:ascii="宋体" w:hAnsi="宋体" w:cs="宋体"/>
                <w:color w:val="000000"/>
                <w:kern w:val="0"/>
                <w:sz w:val="20"/>
                <w:szCs w:val="20"/>
                <w:lang w:val="en-US" w:eastAsia="zh-CN"/>
              </w:rPr>
              <w:t>5.</w:t>
            </w:r>
            <w:r>
              <w:rPr>
                <w:rFonts w:hint="eastAsia" w:ascii="宋体" w:hAnsi="宋体" w:eastAsia="宋体" w:cs="宋体"/>
                <w:color w:val="000000"/>
                <w:kern w:val="0"/>
                <w:sz w:val="20"/>
                <w:szCs w:val="20"/>
              </w:rPr>
              <w:t>双通道独立进行治疗，互不干涉，可单独设置治疗参数。</w:t>
            </w:r>
          </w:p>
          <w:p>
            <w:pPr>
              <w:widowControl/>
              <w:jc w:val="both"/>
              <w:textAlignment w:val="center"/>
              <w:rPr>
                <w:rFonts w:hint="eastAsia" w:ascii="宋体" w:hAnsi="宋体" w:eastAsia="宋体" w:cs="宋体"/>
                <w:color w:val="000000"/>
                <w:kern w:val="0"/>
                <w:sz w:val="20"/>
                <w:szCs w:val="20"/>
              </w:rPr>
            </w:pPr>
            <w:r>
              <w:rPr>
                <w:rFonts w:hint="eastAsia" w:ascii="宋体" w:hAnsi="宋体" w:cs="宋体"/>
                <w:color w:val="000000"/>
                <w:kern w:val="0"/>
                <w:sz w:val="20"/>
                <w:szCs w:val="20"/>
                <w:lang w:val="en-US" w:eastAsia="zh-CN"/>
              </w:rPr>
              <w:t>6.</w:t>
            </w:r>
            <w:r>
              <w:rPr>
                <w:rFonts w:hint="eastAsia" w:ascii="宋体" w:hAnsi="宋体" w:eastAsia="宋体" w:cs="宋体"/>
                <w:color w:val="000000"/>
                <w:kern w:val="0"/>
                <w:sz w:val="20"/>
                <w:szCs w:val="20"/>
              </w:rPr>
              <w:t>电极脱落保护：在进行电刺激治疗的过程中，当电极从人体表面脱时，刺 激电流自动停止，避免电流对人体皮肤造成意外伤害。。。</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w:t>
            </w:r>
            <w:r>
              <w:rPr>
                <w:rFonts w:hint="eastAsia" w:ascii="宋体" w:hAnsi="宋体" w:cs="宋体"/>
                <w:color w:val="000000"/>
                <w:kern w:val="0"/>
                <w:sz w:val="20"/>
                <w:szCs w:val="20"/>
                <w:lang w:val="en-US" w:eastAsia="zh-CN"/>
              </w:rPr>
              <w:t>7</w:t>
            </w:r>
            <w:r>
              <w:rPr>
                <w:rFonts w:hint="eastAsia" w:ascii="宋体" w:hAnsi="宋体" w:eastAsia="宋体" w:cs="宋体"/>
                <w:color w:val="000000"/>
                <w:kern w:val="0"/>
                <w:sz w:val="20"/>
                <w:szCs w:val="20"/>
              </w:rPr>
              <w:t>.EMG 每个通道单独采集肌电信号，采样频率高不低于 2500Hz。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83" w:hRule="atLeast"/>
          <w:jc w:val="center"/>
        </w:trPr>
        <w:tc>
          <w:tcPr>
            <w:tcW w:w="1027" w:type="dxa"/>
            <w:tcBorders>
              <w:tl2br w:val="nil"/>
              <w:tr2bl w:val="nil"/>
            </w:tcBorders>
            <w:shd w:val="clear" w:color="auto" w:fill="auto"/>
            <w:vAlign w:val="center"/>
          </w:tcPr>
          <w:p>
            <w:pPr>
              <w:widowControl/>
              <w:jc w:val="center"/>
              <w:textAlignment w:val="center"/>
              <w:rPr>
                <w:rFonts w:hint="eastAsia" w:ascii="宋体" w:hAnsi="宋体" w:eastAsia="宋体" w:cs="宋体"/>
                <w:color w:val="000000"/>
                <w:sz w:val="20"/>
                <w:szCs w:val="20"/>
                <w:lang w:eastAsia="zh-CN"/>
              </w:rPr>
            </w:pPr>
            <w:r>
              <w:rPr>
                <w:rFonts w:hint="eastAsia" w:ascii="宋体" w:hAnsi="宋体" w:cs="宋体"/>
                <w:color w:val="000000"/>
                <w:kern w:val="0"/>
                <w:sz w:val="20"/>
                <w:szCs w:val="20"/>
                <w:lang w:eastAsia="zh-CN"/>
              </w:rPr>
              <w:t>高压</w:t>
            </w:r>
            <w:r>
              <w:rPr>
                <w:rFonts w:hint="eastAsia" w:ascii="宋体" w:hAnsi="宋体" w:eastAsia="宋体" w:cs="宋体"/>
                <w:color w:val="000000"/>
                <w:kern w:val="0"/>
                <w:sz w:val="20"/>
                <w:szCs w:val="20"/>
              </w:rPr>
              <w:t>低频脉冲治疗</w:t>
            </w:r>
            <w:r>
              <w:rPr>
                <w:rFonts w:hint="eastAsia" w:ascii="宋体" w:hAnsi="宋体" w:cs="宋体"/>
                <w:color w:val="000000"/>
                <w:kern w:val="0"/>
                <w:sz w:val="20"/>
                <w:szCs w:val="20"/>
                <w:lang w:eastAsia="zh-CN"/>
              </w:rPr>
              <w:t>机</w:t>
            </w:r>
          </w:p>
        </w:tc>
        <w:tc>
          <w:tcPr>
            <w:tcW w:w="8308" w:type="dxa"/>
            <w:tcBorders>
              <w:tl2br w:val="nil"/>
              <w:tr2bl w:val="nil"/>
            </w:tcBorders>
            <w:shd w:val="clear" w:color="auto" w:fill="auto"/>
            <w:vAlign w:val="center"/>
          </w:tcPr>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1、输出电压及治疗频率</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1.1电压：0-2000V</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1.2频率：0.5-60Hz（0.5、10、60三档位可调）</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2、脉宽：0.4-2.2ms  （0.4 ms  0.8 ms  1.6 ms三档固定）</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xml:space="preserve">3、自增功能：每24秒自动增加强度一级，共99级可调 </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4、治疗部位：头面、肢体、躯干</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5、输出通道：5组10个独立通道</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6、治疗模式</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6.1 模拟针灸</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6.2 水浴疗法</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7、浪涌：长浪：6秒一个周期；短浪：3秒一个周期</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8、治疗时间：0-60min，5分钟为一步进</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9、入选国家中医药管</w:t>
            </w:r>
            <w:r>
              <w:rPr>
                <w:rFonts w:hint="eastAsia" w:ascii="宋体" w:hAnsi="宋体" w:eastAsia="宋体" w:cs="宋体"/>
                <w:color w:val="000000"/>
                <w:kern w:val="0"/>
                <w:sz w:val="20"/>
                <w:szCs w:val="20"/>
                <w:highlight w:val="none"/>
              </w:rPr>
              <w:t>理局诊疗设备推荐目录（</w:t>
            </w:r>
            <w:r>
              <w:rPr>
                <w:rFonts w:hint="eastAsia" w:ascii="宋体" w:hAnsi="宋体" w:eastAsia="宋体" w:cs="宋体"/>
                <w:color w:val="000000"/>
                <w:kern w:val="0"/>
                <w:sz w:val="20"/>
                <w:szCs w:val="20"/>
              </w:rPr>
              <w:t>提供相关文件）；</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10、极性：正极性、负极性</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11、微电脑自动化控制，LED数码显示</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12、具有超压供电、上电、断电、开机等各种保护电路</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14、额定电流电压：220V±22V  50Hz±1H</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15、额定功耗：≤40W</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16、输出波形：可控脉冲方波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83" w:hRule="atLeast"/>
          <w:jc w:val="center"/>
        </w:trPr>
        <w:tc>
          <w:tcPr>
            <w:tcW w:w="1027" w:type="dxa"/>
            <w:tcBorders>
              <w:tl2br w:val="nil"/>
              <w:tr2bl w:val="nil"/>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毫米波治疗仪</w:t>
            </w:r>
          </w:p>
        </w:tc>
        <w:tc>
          <w:tcPr>
            <w:tcW w:w="8308" w:type="dxa"/>
            <w:tcBorders>
              <w:tl2br w:val="nil"/>
              <w:tr2bl w:val="nil"/>
            </w:tcBorders>
            <w:shd w:val="clear" w:color="auto" w:fill="auto"/>
            <w:vAlign w:val="center"/>
          </w:tcPr>
          <w:p>
            <w:pPr>
              <w:widowControl/>
              <w:jc w:val="both"/>
              <w:textAlignment w:val="center"/>
              <w:rPr>
                <w:rFonts w:hint="eastAsia" w:ascii="宋体" w:hAnsi="宋体" w:eastAsia="宋体" w:cs="宋体"/>
                <w:color w:val="000000"/>
                <w:kern w:val="0"/>
                <w:sz w:val="20"/>
                <w:szCs w:val="20"/>
              </w:rPr>
            </w:pPr>
            <w:r>
              <w:rPr>
                <w:rFonts w:hint="eastAsia" w:ascii="宋体" w:hAnsi="宋体" w:cs="宋体"/>
                <w:color w:val="000000"/>
                <w:kern w:val="0"/>
                <w:sz w:val="20"/>
                <w:szCs w:val="20"/>
                <w:lang w:val="en-US" w:eastAsia="zh-CN"/>
              </w:rPr>
              <w:t>1.</w:t>
            </w:r>
            <w:r>
              <w:rPr>
                <w:rFonts w:hint="eastAsia" w:ascii="宋体" w:hAnsi="宋体" w:eastAsia="宋体" w:cs="宋体"/>
                <w:color w:val="000000"/>
                <w:kern w:val="0"/>
                <w:sz w:val="20"/>
                <w:szCs w:val="20"/>
              </w:rPr>
              <w:t>输出功率密度：(3.9∽7.5)mW/cm2，</w:t>
            </w:r>
            <w:r>
              <w:rPr>
                <w:rFonts w:hint="eastAsia" w:ascii="宋体" w:hAnsi="宋体" w:cs="宋体"/>
                <w:color w:val="000000"/>
                <w:kern w:val="0"/>
                <w:sz w:val="20"/>
                <w:szCs w:val="20"/>
                <w:lang w:val="en-US" w:eastAsia="zh-CN"/>
              </w:rPr>
              <w:t>能提供</w:t>
            </w:r>
            <w:r>
              <w:rPr>
                <w:rFonts w:hint="eastAsia" w:ascii="宋体" w:hAnsi="宋体" w:eastAsia="宋体" w:cs="宋体"/>
                <w:color w:val="000000"/>
                <w:kern w:val="0"/>
                <w:sz w:val="20"/>
                <w:szCs w:val="20"/>
              </w:rPr>
              <w:t>极低能量工作方式</w:t>
            </w:r>
            <w:r>
              <w:rPr>
                <w:rFonts w:hint="eastAsia" w:ascii="宋体" w:hAnsi="宋体" w:cs="宋体"/>
                <w:color w:val="000000"/>
                <w:kern w:val="0"/>
                <w:sz w:val="20"/>
                <w:szCs w:val="20"/>
                <w:lang w:eastAsia="zh-CN"/>
              </w:rPr>
              <w:t>，</w:t>
            </w:r>
            <w:r>
              <w:rPr>
                <w:rFonts w:hint="eastAsia" w:ascii="宋体" w:hAnsi="宋体" w:eastAsia="宋体" w:cs="宋体"/>
                <w:color w:val="000000"/>
                <w:kern w:val="0"/>
                <w:sz w:val="20"/>
                <w:szCs w:val="20"/>
              </w:rPr>
              <w:t>无任何有害电磁辐射，无需在高频室进行治疗，提供更安全的治疗方式。</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w:t>
            </w:r>
            <w:r>
              <w:rPr>
                <w:rFonts w:hint="eastAsia" w:ascii="宋体" w:hAnsi="宋体" w:cs="宋体"/>
                <w:color w:val="000000"/>
                <w:kern w:val="0"/>
                <w:sz w:val="20"/>
                <w:szCs w:val="20"/>
                <w:lang w:val="en-US" w:eastAsia="zh-CN"/>
              </w:rPr>
              <w:t>2.</w:t>
            </w:r>
            <w:r>
              <w:rPr>
                <w:rFonts w:hint="eastAsia" w:ascii="宋体" w:hAnsi="宋体" w:eastAsia="宋体" w:cs="宋体"/>
                <w:color w:val="000000"/>
                <w:kern w:val="0"/>
                <w:sz w:val="20"/>
                <w:szCs w:val="20"/>
              </w:rPr>
              <w:t>振荡源工作频率:36GHz±5%，能量集中于人体组织固有频率范围，保证疗效;</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w:t>
            </w:r>
            <w:r>
              <w:rPr>
                <w:rFonts w:hint="eastAsia" w:ascii="宋体" w:hAnsi="宋体" w:cs="宋体"/>
                <w:color w:val="000000"/>
                <w:kern w:val="0"/>
                <w:sz w:val="20"/>
                <w:szCs w:val="20"/>
                <w:lang w:val="en-US" w:eastAsia="zh-CN"/>
              </w:rPr>
              <w:t>3.</w:t>
            </w:r>
            <w:r>
              <w:rPr>
                <w:rFonts w:hint="eastAsia" w:ascii="宋体" w:hAnsi="宋体" w:eastAsia="宋体" w:cs="宋体"/>
                <w:color w:val="000000"/>
                <w:kern w:val="0"/>
                <w:sz w:val="20"/>
                <w:szCs w:val="20"/>
              </w:rPr>
              <w:t xml:space="preserve">立体定向活动曲臂，准确定位辐射头，保证治疗的有效性； </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w:t>
            </w:r>
            <w:r>
              <w:rPr>
                <w:rFonts w:hint="eastAsia" w:ascii="宋体" w:hAnsi="宋体" w:cs="宋体"/>
                <w:color w:val="000000"/>
                <w:kern w:val="0"/>
                <w:sz w:val="20"/>
                <w:szCs w:val="20"/>
                <w:lang w:val="en-US" w:eastAsia="zh-CN"/>
              </w:rPr>
              <w:t>4.</w:t>
            </w:r>
            <w:r>
              <w:rPr>
                <w:rFonts w:hint="eastAsia" w:ascii="宋体" w:hAnsi="宋体" w:eastAsia="宋体" w:cs="宋体"/>
                <w:color w:val="000000"/>
                <w:kern w:val="0"/>
                <w:sz w:val="20"/>
                <w:szCs w:val="20"/>
              </w:rPr>
              <w:t>具备红色引导光，及时指示治疗范围；</w:t>
            </w:r>
          </w:p>
          <w:p>
            <w:pPr>
              <w:widowControl/>
              <w:jc w:val="both"/>
              <w:textAlignment w:val="center"/>
              <w:rPr>
                <w:rFonts w:hint="eastAsia" w:ascii="宋体" w:hAnsi="宋体" w:eastAsia="宋体" w:cs="宋体"/>
                <w:color w:val="000000"/>
                <w:kern w:val="0"/>
                <w:sz w:val="20"/>
                <w:szCs w:val="20"/>
              </w:rPr>
            </w:pPr>
            <w:r>
              <w:rPr>
                <w:rFonts w:hint="eastAsia" w:ascii="宋体" w:hAnsi="宋体" w:cs="宋体"/>
                <w:color w:val="000000"/>
                <w:kern w:val="0"/>
                <w:sz w:val="20"/>
                <w:szCs w:val="20"/>
                <w:lang w:val="en-US" w:eastAsia="zh-CN"/>
              </w:rPr>
              <w:t>5.</w:t>
            </w:r>
            <w:r>
              <w:rPr>
                <w:rFonts w:hint="eastAsia" w:ascii="宋体" w:hAnsi="宋体" w:eastAsia="宋体" w:cs="宋体"/>
                <w:color w:val="000000"/>
                <w:kern w:val="0"/>
                <w:sz w:val="20"/>
                <w:szCs w:val="20"/>
              </w:rPr>
              <w:t>振荡源输出功率:(80±20)mW；</w:t>
            </w:r>
          </w:p>
          <w:p>
            <w:pPr>
              <w:widowControl/>
              <w:jc w:val="both"/>
              <w:textAlignment w:val="center"/>
              <w:rPr>
                <w:rFonts w:hint="eastAsia" w:ascii="宋体" w:hAnsi="宋体" w:eastAsia="宋体" w:cs="宋体"/>
                <w:color w:val="000000"/>
                <w:kern w:val="0"/>
                <w:sz w:val="20"/>
                <w:szCs w:val="20"/>
              </w:rPr>
            </w:pPr>
            <w:r>
              <w:rPr>
                <w:rFonts w:hint="eastAsia" w:ascii="宋体" w:hAnsi="宋体" w:cs="宋体"/>
                <w:color w:val="000000"/>
                <w:kern w:val="0"/>
                <w:sz w:val="20"/>
                <w:szCs w:val="20"/>
                <w:lang w:val="en-US" w:eastAsia="zh-CN"/>
              </w:rPr>
              <w:t>6.</w:t>
            </w:r>
            <w:r>
              <w:rPr>
                <w:rFonts w:hint="eastAsia" w:ascii="宋体" w:hAnsi="宋体" w:eastAsia="宋体" w:cs="宋体"/>
                <w:color w:val="000000"/>
                <w:kern w:val="0"/>
                <w:sz w:val="20"/>
                <w:szCs w:val="20"/>
              </w:rPr>
              <w:t>定时选择：10、20、30、40、50、60min,到时声音提示；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83" w:hRule="atLeast"/>
          <w:jc w:val="center"/>
        </w:trPr>
        <w:tc>
          <w:tcPr>
            <w:tcW w:w="1027" w:type="dxa"/>
            <w:tcBorders>
              <w:tl2br w:val="nil"/>
              <w:tr2bl w:val="nil"/>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上肢关节训练系统</w:t>
            </w:r>
          </w:p>
        </w:tc>
        <w:tc>
          <w:tcPr>
            <w:tcW w:w="8308" w:type="dxa"/>
            <w:tcBorders>
              <w:tl2br w:val="nil"/>
              <w:tr2bl w:val="nil"/>
            </w:tcBorders>
            <w:shd w:val="clear" w:color="auto" w:fill="auto"/>
            <w:vAlign w:val="center"/>
          </w:tcPr>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r>
              <w:rPr>
                <w:rFonts w:hint="eastAsia" w:ascii="宋体" w:hAnsi="宋体" w:cs="宋体"/>
                <w:color w:val="000000"/>
                <w:kern w:val="0"/>
                <w:sz w:val="20"/>
                <w:szCs w:val="20"/>
                <w:lang w:val="en-US" w:eastAsia="zh-CN"/>
              </w:rPr>
              <w:t>.</w:t>
            </w:r>
            <w:r>
              <w:rPr>
                <w:rFonts w:hint="eastAsia" w:ascii="宋体" w:hAnsi="宋体" w:cs="宋体"/>
                <w:color w:val="000000"/>
                <w:kern w:val="0"/>
                <w:sz w:val="20"/>
                <w:szCs w:val="20"/>
                <w:highlight w:val="none"/>
                <w:lang w:eastAsia="zh-CN"/>
              </w:rPr>
              <w:t>核心力反馈技术</w:t>
            </w:r>
            <w:r>
              <w:rPr>
                <w:rFonts w:hint="eastAsia" w:ascii="宋体" w:hAnsi="宋体" w:cs="宋体"/>
                <w:color w:val="000000"/>
                <w:kern w:val="0"/>
                <w:sz w:val="20"/>
                <w:szCs w:val="20"/>
                <w:lang w:eastAsia="zh-CN"/>
              </w:rPr>
              <w:t>，</w:t>
            </w:r>
            <w:r>
              <w:rPr>
                <w:rFonts w:hint="eastAsia" w:ascii="宋体" w:hAnsi="宋体" w:eastAsia="宋体" w:cs="宋体"/>
                <w:color w:val="000000"/>
                <w:kern w:val="0"/>
                <w:sz w:val="20"/>
                <w:szCs w:val="20"/>
              </w:rPr>
              <w:t>力反馈传感器精度0.1公斤, 范围0-10公斤，反馈数值可以实时显示，即时计算运动控制主动占比，训练参数均可调节。</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★2</w:t>
            </w:r>
            <w:r>
              <w:rPr>
                <w:rFonts w:hint="eastAsia" w:ascii="宋体" w:hAnsi="宋体" w:cs="宋体"/>
                <w:color w:val="000000"/>
                <w:kern w:val="0"/>
                <w:sz w:val="20"/>
                <w:szCs w:val="20"/>
                <w:lang w:val="en-US" w:eastAsia="zh-CN"/>
              </w:rPr>
              <w:t>.</w:t>
            </w:r>
            <w:r>
              <w:rPr>
                <w:rFonts w:hint="eastAsia" w:ascii="宋体" w:hAnsi="宋体" w:eastAsia="宋体" w:cs="宋体"/>
                <w:color w:val="000000"/>
                <w:kern w:val="0"/>
                <w:sz w:val="20"/>
                <w:szCs w:val="20"/>
              </w:rPr>
              <w:t>提供等速和等长力量测试与训练,可以模拟不同阻尼，不同质量的力学效果。</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★3</w:t>
            </w:r>
            <w:r>
              <w:rPr>
                <w:rFonts w:hint="eastAsia" w:ascii="宋体" w:hAnsi="宋体" w:cs="宋体"/>
                <w:color w:val="000000"/>
                <w:kern w:val="0"/>
                <w:sz w:val="20"/>
                <w:szCs w:val="20"/>
                <w:lang w:val="en-US" w:eastAsia="zh-CN"/>
              </w:rPr>
              <w:t>.</w:t>
            </w:r>
            <w:r>
              <w:rPr>
                <w:rFonts w:hint="eastAsia" w:ascii="宋体" w:hAnsi="宋体" w:eastAsia="宋体" w:cs="宋体"/>
                <w:color w:val="000000"/>
                <w:kern w:val="0"/>
                <w:sz w:val="20"/>
                <w:szCs w:val="20"/>
              </w:rPr>
              <w:t>提供不少于10款3D和2D的多元化的交互体验场景，包含视、听、触觉交互反馈训练，训练过程具有趣味性和沉浸感, 虚拟现实技术使用户身临其境。</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4</w:t>
            </w:r>
            <w:r>
              <w:rPr>
                <w:rFonts w:hint="eastAsia" w:ascii="宋体" w:hAnsi="宋体" w:cs="宋体"/>
                <w:color w:val="000000"/>
                <w:kern w:val="0"/>
                <w:sz w:val="20"/>
                <w:szCs w:val="20"/>
                <w:lang w:val="en-US" w:eastAsia="zh-CN"/>
              </w:rPr>
              <w:t>.</w:t>
            </w:r>
            <w:r>
              <w:rPr>
                <w:rFonts w:hint="eastAsia" w:ascii="宋体" w:hAnsi="宋体" w:eastAsia="宋体" w:cs="宋体"/>
                <w:color w:val="000000"/>
                <w:kern w:val="0"/>
                <w:sz w:val="20"/>
                <w:szCs w:val="20"/>
              </w:rPr>
              <w:t>具有示教模式，提供自定义轨迹设置，可以自由带动机械臂进行轨迹记录和回放训练，支持针对性运动处方订制。</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5</w:t>
            </w:r>
            <w:r>
              <w:rPr>
                <w:rFonts w:hint="eastAsia" w:ascii="宋体" w:hAnsi="宋体" w:cs="宋体"/>
                <w:color w:val="000000"/>
                <w:kern w:val="0"/>
                <w:sz w:val="20"/>
                <w:szCs w:val="20"/>
                <w:lang w:val="en-US" w:eastAsia="zh-CN"/>
              </w:rPr>
              <w:t>.</w:t>
            </w:r>
            <w:r>
              <w:rPr>
                <w:rFonts w:hint="eastAsia" w:ascii="宋体" w:hAnsi="宋体" w:eastAsia="宋体" w:cs="宋体"/>
                <w:color w:val="000000"/>
                <w:kern w:val="0"/>
                <w:sz w:val="20"/>
                <w:szCs w:val="20"/>
              </w:rPr>
              <w:t>三重安全保护：设备具备急停开关，电子围栏，并且具备过载检测提供痉挛保护。</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6</w:t>
            </w:r>
            <w:r>
              <w:rPr>
                <w:rFonts w:hint="eastAsia" w:ascii="宋体" w:hAnsi="宋体" w:cs="宋体"/>
                <w:color w:val="000000"/>
                <w:kern w:val="0"/>
                <w:sz w:val="20"/>
                <w:szCs w:val="20"/>
                <w:lang w:val="en-US" w:eastAsia="zh-CN"/>
              </w:rPr>
              <w:t>.</w:t>
            </w:r>
            <w:r>
              <w:rPr>
                <w:rFonts w:hint="eastAsia" w:ascii="宋体" w:hAnsi="宋体" w:eastAsia="宋体" w:cs="宋体"/>
                <w:color w:val="000000"/>
                <w:kern w:val="0"/>
                <w:sz w:val="20"/>
                <w:szCs w:val="20"/>
              </w:rPr>
              <w:t>运动速度0-35cm/s，控制精度为1mm，连续可调。</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7</w:t>
            </w:r>
            <w:r>
              <w:rPr>
                <w:rFonts w:hint="eastAsia" w:ascii="宋体" w:hAnsi="宋体" w:cs="宋体"/>
                <w:color w:val="000000"/>
                <w:kern w:val="0"/>
                <w:sz w:val="20"/>
                <w:szCs w:val="20"/>
                <w:lang w:val="en-US" w:eastAsia="zh-CN"/>
              </w:rPr>
              <w:t>.</w:t>
            </w:r>
            <w:r>
              <w:rPr>
                <w:rFonts w:hint="eastAsia" w:ascii="宋体" w:hAnsi="宋体" w:eastAsia="宋体" w:cs="宋体"/>
                <w:color w:val="000000"/>
                <w:kern w:val="0"/>
                <w:sz w:val="20"/>
                <w:szCs w:val="20"/>
              </w:rPr>
              <w:t>运动范围≥570mm*400mm，连续可调。</w:t>
            </w:r>
          </w:p>
          <w:p>
            <w:pPr>
              <w:widowControl/>
              <w:jc w:val="both"/>
              <w:textAlignment w:val="center"/>
              <w:rPr>
                <w:rFonts w:hint="eastAsia" w:ascii="宋体" w:hAnsi="宋体" w:eastAsia="宋体" w:cs="宋体"/>
                <w:color w:val="000000"/>
                <w:kern w:val="0"/>
                <w:sz w:val="20"/>
                <w:szCs w:val="20"/>
              </w:rPr>
            </w:pPr>
            <w:r>
              <w:rPr>
                <w:rFonts w:hint="eastAsia" w:ascii="宋体" w:hAnsi="宋体" w:cs="宋体"/>
                <w:color w:val="000000"/>
                <w:kern w:val="0"/>
                <w:sz w:val="20"/>
                <w:szCs w:val="20"/>
                <w:lang w:val="en-US" w:eastAsia="zh-CN"/>
              </w:rPr>
              <w:t>8.</w:t>
            </w:r>
            <w:r>
              <w:rPr>
                <w:rFonts w:hint="eastAsia" w:ascii="宋体" w:hAnsi="宋体" w:eastAsia="宋体" w:cs="宋体"/>
                <w:color w:val="000000"/>
                <w:kern w:val="0"/>
                <w:sz w:val="20"/>
                <w:szCs w:val="20"/>
              </w:rPr>
              <w:t>控制方式：结合全伺服电机控制和电脑控制，训练时间、运动范围，运动速度均可电脑调节。</w:t>
            </w:r>
          </w:p>
          <w:p>
            <w:pPr>
              <w:widowControl/>
              <w:jc w:val="both"/>
              <w:textAlignment w:val="center"/>
              <w:rPr>
                <w:rFonts w:hint="eastAsia" w:ascii="宋体" w:hAnsi="宋体" w:eastAsia="宋体" w:cs="宋体"/>
                <w:color w:val="000000"/>
                <w:kern w:val="0"/>
                <w:sz w:val="20"/>
                <w:szCs w:val="20"/>
              </w:rPr>
            </w:pPr>
            <w:r>
              <w:rPr>
                <w:rFonts w:hint="eastAsia" w:ascii="宋体" w:hAnsi="宋体" w:cs="宋体"/>
                <w:color w:val="000000"/>
                <w:kern w:val="0"/>
                <w:sz w:val="20"/>
                <w:szCs w:val="20"/>
                <w:lang w:val="en-US" w:eastAsia="zh-CN"/>
              </w:rPr>
              <w:t>9.</w:t>
            </w:r>
            <w:r>
              <w:rPr>
                <w:rFonts w:hint="eastAsia" w:ascii="宋体" w:hAnsi="宋体" w:eastAsia="宋体" w:cs="宋体"/>
                <w:color w:val="000000"/>
                <w:kern w:val="0"/>
                <w:sz w:val="20"/>
                <w:szCs w:val="20"/>
              </w:rPr>
              <w:t>软件预留多种接口，例如EMG信号，EEG信号接口，扩展设备功能。</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r>
              <w:rPr>
                <w:rFonts w:hint="eastAsia" w:ascii="宋体" w:hAnsi="宋体" w:cs="宋体"/>
                <w:color w:val="000000"/>
                <w:kern w:val="0"/>
                <w:sz w:val="20"/>
                <w:szCs w:val="20"/>
                <w:lang w:val="en-US" w:eastAsia="zh-CN"/>
              </w:rPr>
              <w:t>0.</w:t>
            </w:r>
            <w:r>
              <w:rPr>
                <w:rFonts w:hint="eastAsia" w:ascii="宋体" w:hAnsi="宋体" w:eastAsia="宋体" w:cs="宋体"/>
                <w:color w:val="000000"/>
                <w:kern w:val="0"/>
                <w:sz w:val="20"/>
                <w:szCs w:val="20"/>
              </w:rPr>
              <w:t>机械结构：采用同步带联动导轨设计。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83" w:hRule="atLeast"/>
          <w:jc w:val="center"/>
        </w:trPr>
        <w:tc>
          <w:tcPr>
            <w:tcW w:w="1027" w:type="dxa"/>
            <w:tcBorders>
              <w:tl2br w:val="nil"/>
              <w:tr2bl w:val="nil"/>
            </w:tcBorders>
            <w:shd w:val="clear" w:color="auto" w:fill="auto"/>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上下肢主被动训练系统</w:t>
            </w:r>
          </w:p>
          <w:p>
            <w:pPr>
              <w:widowControl/>
              <w:jc w:val="center"/>
              <w:textAlignment w:val="center"/>
              <w:rPr>
                <w:rFonts w:ascii="宋体" w:hAnsi="宋体" w:eastAsia="宋体" w:cs="宋体"/>
                <w:color w:val="000000"/>
                <w:sz w:val="20"/>
                <w:szCs w:val="20"/>
              </w:rPr>
            </w:pPr>
          </w:p>
        </w:tc>
        <w:tc>
          <w:tcPr>
            <w:tcW w:w="8308" w:type="dxa"/>
            <w:tcBorders>
              <w:tl2br w:val="nil"/>
              <w:tr2bl w:val="nil"/>
            </w:tcBorders>
            <w:shd w:val="clear" w:color="auto" w:fill="auto"/>
            <w:vAlign w:val="center"/>
          </w:tcPr>
          <w:p>
            <w:pPr>
              <w:widowControl/>
              <w:jc w:val="both"/>
              <w:textAlignment w:val="center"/>
              <w:rPr>
                <w:rFonts w:hint="eastAsia" w:ascii="宋体" w:hAnsi="宋体" w:eastAsia="宋体" w:cs="宋体"/>
                <w:color w:val="000000"/>
                <w:kern w:val="0"/>
                <w:sz w:val="20"/>
                <w:szCs w:val="20"/>
              </w:rPr>
            </w:pPr>
            <w:r>
              <w:rPr>
                <w:rFonts w:hint="eastAsia" w:ascii="宋体" w:hAnsi="宋体" w:cs="宋体"/>
                <w:color w:val="000000"/>
                <w:kern w:val="0"/>
                <w:sz w:val="20"/>
                <w:szCs w:val="20"/>
                <w:lang w:val="en-US" w:eastAsia="zh-CN"/>
              </w:rPr>
              <w:t>1.</w:t>
            </w:r>
            <w:r>
              <w:rPr>
                <w:rFonts w:hint="eastAsia" w:ascii="宋体" w:hAnsi="宋体" w:eastAsia="宋体" w:cs="宋体"/>
                <w:color w:val="000000"/>
                <w:kern w:val="0"/>
                <w:sz w:val="20"/>
                <w:szCs w:val="20"/>
              </w:rPr>
              <w:t>具有主动训练、被动训练、主被动训练模式；</w:t>
            </w:r>
          </w:p>
          <w:p>
            <w:pPr>
              <w:widowControl/>
              <w:jc w:val="both"/>
              <w:textAlignment w:val="center"/>
              <w:rPr>
                <w:rFonts w:hint="eastAsia" w:ascii="宋体" w:hAnsi="宋体" w:eastAsia="宋体" w:cs="宋体"/>
                <w:color w:val="000000"/>
                <w:kern w:val="0"/>
                <w:sz w:val="20"/>
                <w:szCs w:val="20"/>
              </w:rPr>
            </w:pPr>
            <w:r>
              <w:rPr>
                <w:rFonts w:hint="eastAsia" w:ascii="宋体" w:hAnsi="宋体" w:cs="宋体"/>
                <w:color w:val="000000"/>
                <w:kern w:val="0"/>
                <w:sz w:val="20"/>
                <w:szCs w:val="20"/>
                <w:lang w:val="en-US" w:eastAsia="zh-CN"/>
              </w:rPr>
              <w:t>2</w:t>
            </w:r>
            <w:r>
              <w:rPr>
                <w:rFonts w:hint="eastAsia" w:ascii="宋体" w:hAnsi="宋体" w:eastAsia="宋体" w:cs="宋体"/>
                <w:color w:val="000000"/>
                <w:kern w:val="0"/>
                <w:sz w:val="20"/>
                <w:szCs w:val="20"/>
              </w:rPr>
              <w:t>.定时时间：设定范围0-99min；旋转角度：水平：180°，垂直：90°（上肢）；</w:t>
            </w:r>
          </w:p>
          <w:p>
            <w:pPr>
              <w:widowControl/>
              <w:jc w:val="both"/>
              <w:textAlignment w:val="center"/>
              <w:rPr>
                <w:rFonts w:hint="eastAsia" w:ascii="宋体" w:hAnsi="宋体" w:eastAsia="宋体" w:cs="宋体"/>
                <w:color w:val="000000"/>
                <w:kern w:val="0"/>
                <w:sz w:val="20"/>
                <w:szCs w:val="20"/>
              </w:rPr>
            </w:pPr>
            <w:r>
              <w:rPr>
                <w:rFonts w:hint="eastAsia" w:ascii="宋体" w:hAnsi="宋体" w:cs="宋体"/>
                <w:color w:val="000000"/>
                <w:kern w:val="0"/>
                <w:sz w:val="20"/>
                <w:szCs w:val="20"/>
                <w:lang w:val="en-US" w:eastAsia="zh-CN"/>
              </w:rPr>
              <w:t>3.</w:t>
            </w:r>
            <w:r>
              <w:rPr>
                <w:rFonts w:hint="eastAsia" w:ascii="宋体" w:hAnsi="宋体" w:eastAsia="宋体" w:cs="宋体"/>
                <w:color w:val="000000"/>
                <w:kern w:val="0"/>
                <w:sz w:val="20"/>
                <w:szCs w:val="20"/>
              </w:rPr>
              <w:t>上肢多角度、多维度训练模式</w:t>
            </w:r>
          </w:p>
          <w:p>
            <w:pPr>
              <w:widowControl/>
              <w:jc w:val="both"/>
              <w:textAlignment w:val="center"/>
              <w:rPr>
                <w:rFonts w:hint="eastAsia" w:ascii="宋体" w:hAnsi="宋体" w:eastAsia="宋体" w:cs="宋体"/>
                <w:color w:val="000000"/>
                <w:kern w:val="0"/>
                <w:sz w:val="20"/>
                <w:szCs w:val="20"/>
              </w:rPr>
            </w:pPr>
            <w:r>
              <w:rPr>
                <w:rFonts w:hint="eastAsia" w:ascii="宋体" w:hAnsi="宋体" w:cs="宋体"/>
                <w:color w:val="000000"/>
                <w:kern w:val="0"/>
                <w:sz w:val="20"/>
                <w:szCs w:val="20"/>
                <w:lang w:val="en-US" w:eastAsia="zh-CN"/>
              </w:rPr>
              <w:t>4</w:t>
            </w:r>
            <w:r>
              <w:rPr>
                <w:rFonts w:hint="eastAsia" w:ascii="宋体" w:hAnsi="宋体" w:eastAsia="宋体" w:cs="宋体"/>
                <w:color w:val="000000"/>
                <w:kern w:val="0"/>
                <w:sz w:val="20"/>
                <w:szCs w:val="20"/>
              </w:rPr>
              <w:t>.</w:t>
            </w:r>
            <w:r>
              <w:rPr>
                <w:rFonts w:hint="eastAsia" w:ascii="宋体" w:hAnsi="宋体" w:cs="宋体"/>
                <w:color w:val="000000"/>
                <w:kern w:val="0"/>
                <w:sz w:val="20"/>
                <w:szCs w:val="20"/>
                <w:lang w:eastAsia="zh-CN"/>
              </w:rPr>
              <w:t>具备</w:t>
            </w:r>
            <w:r>
              <w:rPr>
                <w:rFonts w:hint="eastAsia" w:ascii="宋体" w:hAnsi="宋体" w:eastAsia="宋体" w:cs="宋体"/>
                <w:color w:val="000000"/>
                <w:kern w:val="0"/>
                <w:sz w:val="20"/>
                <w:szCs w:val="20"/>
              </w:rPr>
              <w:t>语音提示功能；急停按键控制的急停功能；</w:t>
            </w:r>
          </w:p>
          <w:p>
            <w:pPr>
              <w:widowControl/>
              <w:jc w:val="both"/>
              <w:textAlignment w:val="center"/>
              <w:rPr>
                <w:rFonts w:hint="eastAsia" w:ascii="宋体" w:hAnsi="宋体" w:eastAsia="宋体" w:cs="宋体"/>
                <w:color w:val="000000"/>
                <w:kern w:val="0"/>
                <w:sz w:val="20"/>
                <w:szCs w:val="20"/>
              </w:rPr>
            </w:pPr>
            <w:r>
              <w:rPr>
                <w:rFonts w:hint="eastAsia" w:ascii="宋体" w:hAnsi="宋体" w:cs="宋体"/>
                <w:color w:val="000000"/>
                <w:kern w:val="0"/>
                <w:sz w:val="20"/>
                <w:szCs w:val="20"/>
                <w:lang w:val="en-US" w:eastAsia="zh-CN"/>
              </w:rPr>
              <w:t>5</w:t>
            </w:r>
            <w:r>
              <w:rPr>
                <w:rFonts w:hint="eastAsia" w:ascii="宋体" w:hAnsi="宋体" w:eastAsia="宋体" w:cs="宋体"/>
                <w:color w:val="000000"/>
                <w:kern w:val="0"/>
                <w:sz w:val="20"/>
                <w:szCs w:val="20"/>
              </w:rPr>
              <w:t>.上肢或下肢左右对称训练功能；</w:t>
            </w:r>
          </w:p>
          <w:p>
            <w:pPr>
              <w:widowControl/>
              <w:jc w:val="both"/>
              <w:textAlignment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6.</w:t>
            </w:r>
            <w:r>
              <w:rPr>
                <w:rFonts w:hint="eastAsia" w:ascii="宋体" w:hAnsi="宋体" w:eastAsia="宋体" w:cs="宋体"/>
                <w:color w:val="000000"/>
                <w:kern w:val="0"/>
                <w:sz w:val="20"/>
                <w:szCs w:val="20"/>
              </w:rPr>
              <w:t>能够智能探测痉挛并自动缓解痉挛（识别痉挛后自动反转，防止关节肌肉的损伤）；</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w:t>
            </w:r>
            <w:r>
              <w:rPr>
                <w:rFonts w:hint="eastAsia" w:ascii="宋体" w:hAnsi="宋体" w:cs="宋体"/>
                <w:color w:val="000000"/>
                <w:kern w:val="0"/>
                <w:sz w:val="20"/>
                <w:szCs w:val="20"/>
                <w:lang w:val="en-US" w:eastAsia="zh-CN"/>
              </w:rPr>
              <w:t>7</w:t>
            </w:r>
            <w:r>
              <w:rPr>
                <w:rFonts w:hint="eastAsia" w:ascii="宋体" w:hAnsi="宋体" w:eastAsia="宋体" w:cs="宋体"/>
                <w:color w:val="000000"/>
                <w:kern w:val="0"/>
                <w:sz w:val="20"/>
                <w:szCs w:val="20"/>
              </w:rPr>
              <w:t>.配备</w:t>
            </w:r>
            <w:r>
              <w:rPr>
                <w:rFonts w:hint="eastAsia" w:ascii="宋体" w:hAnsi="宋体" w:cs="宋体"/>
                <w:color w:val="000000"/>
                <w:kern w:val="0"/>
                <w:sz w:val="20"/>
                <w:szCs w:val="20"/>
                <w:lang w:eastAsia="zh-CN"/>
              </w:rPr>
              <w:t>不小于</w:t>
            </w:r>
            <w:r>
              <w:rPr>
                <w:rFonts w:hint="eastAsia" w:ascii="宋体" w:hAnsi="宋体" w:eastAsia="宋体" w:cs="宋体"/>
                <w:color w:val="000000"/>
                <w:kern w:val="0"/>
                <w:sz w:val="20"/>
                <w:szCs w:val="20"/>
              </w:rPr>
              <w:t>10寸触屏工作台，内置多款游戏，可以在主动模式下与用户互动；</w:t>
            </w:r>
          </w:p>
          <w:p>
            <w:pPr>
              <w:widowControl/>
              <w:jc w:val="both"/>
              <w:textAlignment w:val="center"/>
              <w:rPr>
                <w:rFonts w:hint="eastAsia" w:ascii="宋体" w:hAnsi="宋体" w:eastAsia="宋体" w:cs="宋体"/>
                <w:color w:val="000000"/>
                <w:kern w:val="0"/>
                <w:sz w:val="20"/>
                <w:szCs w:val="20"/>
              </w:rPr>
            </w:pPr>
            <w:r>
              <w:rPr>
                <w:rFonts w:hint="eastAsia" w:ascii="宋体" w:hAnsi="宋体" w:cs="宋体"/>
                <w:color w:val="000000"/>
                <w:kern w:val="0"/>
                <w:sz w:val="20"/>
                <w:szCs w:val="20"/>
                <w:lang w:val="en-US" w:eastAsia="zh-CN"/>
              </w:rPr>
              <w:t>8</w:t>
            </w:r>
            <w:r>
              <w:rPr>
                <w:rFonts w:hint="eastAsia" w:ascii="宋体" w:hAnsi="宋体" w:eastAsia="宋体" w:cs="宋体"/>
                <w:color w:val="000000"/>
                <w:kern w:val="0"/>
                <w:sz w:val="20"/>
                <w:szCs w:val="20"/>
              </w:rPr>
              <w:t>.辅助脚踏板调节功能</w:t>
            </w:r>
          </w:p>
          <w:p>
            <w:pPr>
              <w:widowControl/>
              <w:jc w:val="both"/>
              <w:textAlignment w:val="center"/>
              <w:rPr>
                <w:rFonts w:hint="eastAsia" w:ascii="宋体" w:hAnsi="宋体" w:eastAsia="宋体" w:cs="宋体"/>
                <w:color w:val="000000"/>
                <w:kern w:val="0"/>
                <w:sz w:val="20"/>
                <w:szCs w:val="20"/>
              </w:rPr>
            </w:pPr>
            <w:r>
              <w:rPr>
                <w:rFonts w:hint="eastAsia" w:ascii="宋体" w:hAnsi="宋体" w:cs="宋体"/>
                <w:color w:val="000000"/>
                <w:kern w:val="0"/>
                <w:sz w:val="20"/>
                <w:szCs w:val="20"/>
                <w:lang w:val="en-US" w:eastAsia="zh-CN"/>
              </w:rPr>
              <w:t>9</w:t>
            </w:r>
            <w:r>
              <w:rPr>
                <w:rFonts w:hint="eastAsia" w:ascii="宋体" w:hAnsi="宋体" w:eastAsia="宋体" w:cs="宋体"/>
                <w:color w:val="000000"/>
                <w:kern w:val="0"/>
                <w:sz w:val="20"/>
                <w:szCs w:val="20"/>
              </w:rPr>
              <w:t>.开机自检功能，可以自动检测可能存在的问题，并把自检问题返回在显示器上；</w:t>
            </w:r>
          </w:p>
          <w:p>
            <w:pPr>
              <w:widowControl/>
              <w:jc w:val="both"/>
              <w:textAlignment w:val="center"/>
              <w:rPr>
                <w:rFonts w:hint="eastAsia" w:ascii="宋体" w:hAnsi="宋体" w:eastAsia="宋体" w:cs="宋体"/>
                <w:color w:val="000000"/>
                <w:kern w:val="0"/>
                <w:sz w:val="20"/>
                <w:szCs w:val="20"/>
                <w:highlight w:val="red"/>
              </w:rPr>
            </w:pPr>
            <w:r>
              <w:rPr>
                <w:rFonts w:hint="eastAsia" w:ascii="宋体" w:hAnsi="宋体" w:cs="宋体"/>
                <w:color w:val="000000"/>
                <w:kern w:val="0"/>
                <w:sz w:val="20"/>
                <w:szCs w:val="20"/>
                <w:lang w:val="en-US" w:eastAsia="zh-CN"/>
              </w:rPr>
              <w:t>10.</w:t>
            </w:r>
            <w:r>
              <w:rPr>
                <w:rFonts w:hint="eastAsia" w:ascii="宋体" w:hAnsi="宋体" w:eastAsia="宋体" w:cs="宋体"/>
                <w:color w:val="000000"/>
                <w:kern w:val="0"/>
                <w:sz w:val="20"/>
                <w:szCs w:val="20"/>
              </w:rPr>
              <w:t>程序更新功能。程序版本更新可以直接功过U盘自动更新</w:t>
            </w:r>
          </w:p>
          <w:p>
            <w:pPr>
              <w:widowControl/>
              <w:jc w:val="both"/>
              <w:textAlignment w:val="center"/>
              <w:rPr>
                <w:rFonts w:hint="eastAsia" w:ascii="宋体" w:hAnsi="宋体" w:eastAsia="宋体" w:cs="宋体"/>
                <w:color w:val="000000"/>
                <w:kern w:val="0"/>
                <w:sz w:val="20"/>
                <w:szCs w:val="20"/>
              </w:rPr>
            </w:pPr>
            <w:r>
              <w:rPr>
                <w:rFonts w:hint="eastAsia" w:ascii="宋体" w:hAnsi="宋体" w:cs="宋体"/>
                <w:color w:val="000000"/>
                <w:kern w:val="0"/>
                <w:sz w:val="20"/>
                <w:szCs w:val="20"/>
                <w:lang w:val="en-US" w:eastAsia="zh-CN"/>
              </w:rPr>
              <w:t>11</w:t>
            </w:r>
            <w:r>
              <w:rPr>
                <w:rFonts w:hint="eastAsia" w:ascii="宋体" w:hAnsi="宋体" w:eastAsia="宋体" w:cs="宋体"/>
                <w:color w:val="000000"/>
                <w:kern w:val="0"/>
                <w:sz w:val="20"/>
                <w:szCs w:val="20"/>
              </w:rPr>
              <w:t>.训练数据实时反馈</w:t>
            </w:r>
          </w:p>
          <w:p>
            <w:pPr>
              <w:widowControl/>
              <w:jc w:val="both"/>
              <w:textAlignment w:val="center"/>
              <w:rPr>
                <w:rFonts w:hint="eastAsia" w:ascii="宋体" w:hAnsi="宋体" w:eastAsia="宋体" w:cs="宋体"/>
                <w:color w:val="000000"/>
                <w:kern w:val="0"/>
                <w:sz w:val="20"/>
                <w:szCs w:val="20"/>
              </w:rPr>
            </w:pPr>
            <w:r>
              <w:rPr>
                <w:rFonts w:hint="eastAsia" w:ascii="宋体" w:hAnsi="宋体" w:cs="宋体"/>
                <w:color w:val="000000"/>
                <w:kern w:val="0"/>
                <w:sz w:val="20"/>
                <w:szCs w:val="20"/>
                <w:lang w:val="en-US" w:eastAsia="zh-CN"/>
              </w:rPr>
              <w:t>12</w:t>
            </w:r>
            <w:r>
              <w:rPr>
                <w:rFonts w:hint="eastAsia" w:ascii="宋体" w:hAnsi="宋体" w:eastAsia="宋体" w:cs="宋体"/>
                <w:color w:val="000000"/>
                <w:kern w:val="0"/>
                <w:sz w:val="20"/>
                <w:szCs w:val="20"/>
              </w:rPr>
              <w:t>.训练结果可量化、评估、报告输出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83" w:hRule="atLeast"/>
          <w:jc w:val="center"/>
        </w:trPr>
        <w:tc>
          <w:tcPr>
            <w:tcW w:w="1027" w:type="dxa"/>
            <w:tcBorders>
              <w:tl2br w:val="nil"/>
              <w:tr2bl w:val="nil"/>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波波池</w:t>
            </w:r>
          </w:p>
        </w:tc>
        <w:tc>
          <w:tcPr>
            <w:tcW w:w="8308" w:type="dxa"/>
            <w:tcBorders>
              <w:tl2br w:val="nil"/>
              <w:tr2bl w:val="nil"/>
            </w:tcBorders>
            <w:shd w:val="clear" w:color="auto" w:fill="auto"/>
            <w:vAlign w:val="center"/>
          </w:tcPr>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一、产品组成</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由塑料球、球池组成。</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二、主要技术指标和参数</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 外形尺寸（长×宽×高）：</w:t>
            </w:r>
            <w:r>
              <w:rPr>
                <w:rFonts w:hint="eastAsia" w:ascii="宋体" w:hAnsi="宋体" w:eastAsia="宋体" w:cs="宋体"/>
                <w:color w:val="000000"/>
                <w:kern w:val="0"/>
                <w:sz w:val="20"/>
                <w:szCs w:val="20"/>
                <w:lang w:eastAsia="zh-CN"/>
              </w:rPr>
              <w:t>≥</w:t>
            </w:r>
            <w:r>
              <w:rPr>
                <w:rFonts w:hint="eastAsia" w:ascii="宋体" w:hAnsi="宋体" w:eastAsia="宋体" w:cs="宋体"/>
                <w:color w:val="000000"/>
                <w:kern w:val="0"/>
                <w:sz w:val="20"/>
                <w:szCs w:val="20"/>
              </w:rPr>
              <w:t>2000mm×2000mm×600mm</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2) 小球直径：ф55mm</w:t>
            </w:r>
          </w:p>
          <w:p>
            <w:pPr>
              <w:widowControl/>
              <w:jc w:val="both"/>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3) 小球数量：8000个</w:t>
            </w:r>
            <w:r>
              <w:rPr>
                <w:rFonts w:hint="eastAsia" w:ascii="宋体" w:hAnsi="宋体" w:eastAsia="宋体" w:cs="宋体"/>
                <w:color w:val="000000"/>
                <w:kern w:val="0"/>
                <w:sz w:val="20"/>
                <w:szCs w:val="20"/>
              </w:rPr>
              <w:tab/>
            </w:r>
          </w:p>
          <w:p>
            <w:pPr>
              <w:widowControl/>
              <w:jc w:val="both"/>
              <w:textAlignment w:val="center"/>
              <w:rPr>
                <w:rFonts w:hint="eastAsia" w:ascii="宋体" w:hAnsi="宋体" w:eastAsia="宋体" w:cs="宋体"/>
                <w:color w:val="000000"/>
                <w:kern w:val="0"/>
                <w:sz w:val="20"/>
                <w:szCs w:val="20"/>
              </w:rPr>
            </w:pPr>
          </w:p>
        </w:tc>
      </w:tr>
    </w:tbl>
    <w:p>
      <w:pPr>
        <w:widowControl/>
        <w:spacing w:line="560" w:lineRule="exact"/>
        <w:ind w:firstLine="422" w:firstLineChars="200"/>
        <w:jc w:val="left"/>
        <w:rPr>
          <w:rFonts w:hint="eastAsia" w:ascii="宋体" w:hAnsi="宋体" w:cs="宋体"/>
          <w:b/>
          <w:bCs/>
          <w:kern w:val="0"/>
          <w:szCs w:val="21"/>
        </w:rPr>
      </w:pPr>
    </w:p>
    <w:p>
      <w:pPr>
        <w:widowControl/>
        <w:spacing w:line="560" w:lineRule="exact"/>
        <w:ind w:firstLine="422" w:firstLineChars="200"/>
        <w:jc w:val="left"/>
        <w:rPr>
          <w:rFonts w:ascii="宋体" w:hAnsi="宋体" w:cs="宋体"/>
          <w:b/>
          <w:bCs/>
          <w:kern w:val="0"/>
          <w:szCs w:val="21"/>
        </w:rPr>
      </w:pPr>
      <w:r>
        <w:rPr>
          <w:rFonts w:hint="eastAsia" w:ascii="宋体" w:hAnsi="宋体" w:cs="宋体"/>
          <w:b/>
          <w:bCs/>
          <w:kern w:val="0"/>
          <w:szCs w:val="21"/>
        </w:rPr>
        <w:t>注：1、投标人提供的货物必须是原装全新、高于或等于招标文件规定技术参数的产品；</w:t>
      </w:r>
    </w:p>
    <w:p>
      <w:pPr>
        <w:widowControl/>
        <w:spacing w:line="560" w:lineRule="exact"/>
        <w:ind w:firstLine="422" w:firstLineChars="200"/>
        <w:jc w:val="left"/>
        <w:rPr>
          <w:rFonts w:ascii="宋体" w:hAnsi="宋体" w:cs="宋体"/>
          <w:b/>
          <w:bCs/>
          <w:kern w:val="0"/>
          <w:szCs w:val="21"/>
        </w:rPr>
        <w:sectPr>
          <w:footerReference r:id="rId10" w:type="first"/>
          <w:footerReference r:id="rId9" w:type="default"/>
          <w:pgSz w:w="11906" w:h="16838"/>
          <w:pgMar w:top="2098" w:right="1474" w:bottom="1985" w:left="1588" w:header="851" w:footer="992" w:gutter="0"/>
          <w:pgNumType w:fmt="numberInDash"/>
          <w:cols w:space="720" w:num="1"/>
          <w:docGrid w:type="lines" w:linePitch="318" w:charSpace="0"/>
        </w:sectPr>
      </w:pPr>
      <w:r>
        <w:rPr>
          <w:rFonts w:hint="eastAsia" w:ascii="宋体" w:hAnsi="宋体" w:cs="宋体"/>
          <w:b/>
          <w:bCs/>
          <w:kern w:val="0"/>
          <w:szCs w:val="21"/>
        </w:rPr>
        <w:t>2、属于节能产品政府采购清单规定必须强制采购的, 必须采购当期节能产品政府采购清单内设备或产品；在价格、技术、服务等指标同等条件下，优先采购节能、环保产品。（开标时需提供投标人所投产品属于政府采购清单规定的节能环保产品的证明材料）。</w:t>
      </w:r>
    </w:p>
    <w:p>
      <w:pPr>
        <w:pStyle w:val="38"/>
        <w:spacing w:line="600" w:lineRule="exact"/>
        <w:ind w:right="-63" w:rightChars="-30"/>
        <w:rPr>
          <w:rFonts w:asciiTheme="minorEastAsia" w:hAnsiTheme="minorEastAsia" w:eastAsiaTheme="minorEastAsia" w:cstheme="minorEastAsia"/>
          <w:sz w:val="36"/>
          <w:szCs w:val="36"/>
        </w:rPr>
      </w:pPr>
    </w:p>
    <w:p>
      <w:pPr>
        <w:pStyle w:val="38"/>
        <w:spacing w:line="600" w:lineRule="exact"/>
        <w:ind w:right="-63" w:rightChars="-30"/>
        <w:rPr>
          <w:rFonts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第六章  投标文件格式</w:t>
      </w:r>
      <w:bookmarkEnd w:id="249"/>
      <w:bookmarkEnd w:id="250"/>
      <w:bookmarkEnd w:id="251"/>
      <w:bookmarkEnd w:id="252"/>
    </w:p>
    <w:p>
      <w:pPr>
        <w:rPr>
          <w:rFonts w:asciiTheme="minorEastAsia" w:hAnsiTheme="minorEastAsia" w:eastAsiaTheme="minorEastAsia" w:cstheme="minorEastAsia"/>
        </w:rPr>
      </w:pPr>
      <w:bookmarkStart w:id="253" w:name="_Toc402961301"/>
      <w:bookmarkStart w:id="254" w:name="_Toc18905"/>
      <w:bookmarkStart w:id="255" w:name="_Toc403122573"/>
      <w:bookmarkStart w:id="256" w:name="_Toc27452"/>
    </w:p>
    <w:p>
      <w:pPr>
        <w:rPr>
          <w:rFonts w:asciiTheme="minorEastAsia" w:hAnsiTheme="minorEastAsia" w:eastAsiaTheme="minorEastAsia" w:cstheme="minorEastAsia"/>
        </w:rPr>
      </w:pPr>
      <w:r>
        <w:rPr>
          <w:rFonts w:hint="eastAsia" w:asciiTheme="minorEastAsia" w:hAnsiTheme="minorEastAsia" w:eastAsiaTheme="minorEastAsia" w:cstheme="minorEastAsia"/>
          <w:b/>
          <w:bCs/>
          <w:sz w:val="28"/>
          <w:szCs w:val="28"/>
        </w:rPr>
        <w:t xml:space="preserve">                 </w:t>
      </w:r>
      <w:bookmarkEnd w:id="253"/>
      <w:bookmarkEnd w:id="254"/>
      <w:bookmarkEnd w:id="255"/>
      <w:bookmarkEnd w:id="256"/>
      <w:r>
        <w:rPr>
          <w:rFonts w:hint="eastAsia" w:asciiTheme="minorEastAsia" w:hAnsiTheme="minorEastAsia" w:eastAsiaTheme="minorEastAsia" w:cstheme="minorEastAsia"/>
          <w:b/>
          <w:sz w:val="36"/>
          <w:szCs w:val="36"/>
        </w:rPr>
        <w:t xml:space="preserve">（项目名称）                   </w:t>
      </w:r>
      <w:r>
        <w:rPr>
          <w:rFonts w:hint="eastAsia" w:asciiTheme="minorEastAsia" w:hAnsiTheme="minorEastAsia" w:eastAsiaTheme="minorEastAsia" w:cstheme="minorEastAsia"/>
          <w:b/>
          <w:bCs/>
          <w:sz w:val="28"/>
          <w:szCs w:val="28"/>
        </w:rPr>
        <w:t>正本/副本</w:t>
      </w:r>
    </w:p>
    <w:p>
      <w:pPr>
        <w:spacing w:line="360" w:lineRule="auto"/>
        <w:jc w:val="center"/>
        <w:rPr>
          <w:rFonts w:asciiTheme="minorEastAsia" w:hAnsiTheme="minorEastAsia" w:eastAsiaTheme="minorEastAsia" w:cstheme="minorEastAsia"/>
          <w:b/>
          <w:sz w:val="32"/>
          <w:szCs w:val="32"/>
        </w:rPr>
      </w:pPr>
    </w:p>
    <w:p>
      <w:pPr>
        <w:pStyle w:val="5"/>
      </w:pPr>
    </w:p>
    <w:p>
      <w:pPr>
        <w:pStyle w:val="5"/>
      </w:pPr>
    </w:p>
    <w:p>
      <w:pPr>
        <w:pStyle w:val="5"/>
      </w:pPr>
    </w:p>
    <w:p>
      <w:pPr>
        <w:spacing w:line="360" w:lineRule="auto"/>
        <w:jc w:val="center"/>
        <w:rPr>
          <w:rFonts w:asciiTheme="minorEastAsia" w:hAnsiTheme="minorEastAsia" w:eastAsiaTheme="minorEastAsia" w:cstheme="minorEastAsia"/>
          <w:b/>
          <w:spacing w:val="24"/>
          <w:kern w:val="10"/>
          <w:sz w:val="52"/>
          <w:szCs w:val="52"/>
        </w:rPr>
      </w:pPr>
      <w:r>
        <w:rPr>
          <w:rFonts w:hint="eastAsia" w:asciiTheme="minorEastAsia" w:hAnsiTheme="minorEastAsia" w:eastAsiaTheme="minorEastAsia" w:cstheme="minorEastAsia"/>
          <w:b/>
          <w:spacing w:val="24"/>
          <w:kern w:val="10"/>
          <w:sz w:val="52"/>
          <w:szCs w:val="52"/>
        </w:rPr>
        <w:t>投  标  文  件</w:t>
      </w: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（封面）</w:t>
      </w: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b/>
          <w:sz w:val="24"/>
        </w:rPr>
      </w:pPr>
    </w:p>
    <w:p>
      <w:pPr>
        <w:pStyle w:val="23"/>
        <w:spacing w:line="600" w:lineRule="exact"/>
        <w:ind w:left="1050" w:leftChars="500" w:firstLine="1152" w:firstLineChars="450"/>
        <w:rPr>
          <w:rFonts w:hint="default" w:asciiTheme="minorEastAsia" w:hAnsiTheme="minorEastAsia" w:eastAsiaTheme="minorEastAsia" w:cstheme="minorEastAsia"/>
          <w:sz w:val="24"/>
        </w:rPr>
      </w:pPr>
      <w:r>
        <w:rPr>
          <w:rFonts w:asciiTheme="minorEastAsia" w:hAnsiTheme="minorEastAsia" w:eastAsiaTheme="minorEastAsia" w:cstheme="minorEastAsia"/>
          <w:spacing w:val="8"/>
          <w:sz w:val="24"/>
        </w:rPr>
        <w:t>供  应  商：</w:t>
      </w:r>
      <w:r>
        <w:rPr>
          <w:rFonts w:asciiTheme="minorEastAsia" w:hAnsiTheme="minorEastAsia" w:eastAsiaTheme="minorEastAsia" w:cstheme="minorEastAsia"/>
          <w:sz w:val="24"/>
        </w:rPr>
        <w:t>（单位公章）</w:t>
      </w:r>
    </w:p>
    <w:p>
      <w:pPr>
        <w:pStyle w:val="23"/>
        <w:spacing w:line="600" w:lineRule="exact"/>
        <w:ind w:left="1050" w:leftChars="500" w:firstLine="1200" w:firstLineChars="500"/>
        <w:rPr>
          <w:rFonts w:hint="default" w:asciiTheme="minorEastAsia" w:hAnsiTheme="minorEastAsia" w:eastAsiaTheme="minorEastAsia" w:cstheme="minorEastAsia"/>
          <w:sz w:val="24"/>
        </w:rPr>
      </w:pPr>
      <w:r>
        <w:rPr>
          <w:rFonts w:asciiTheme="minorEastAsia" w:hAnsiTheme="minorEastAsia" w:eastAsiaTheme="minorEastAsia" w:cstheme="minorEastAsia"/>
          <w:sz w:val="24"/>
        </w:rPr>
        <w:t>法定代表人或</w:t>
      </w:r>
      <w:r>
        <w:rPr>
          <w:rFonts w:asciiTheme="minorEastAsia" w:hAnsiTheme="minorEastAsia" w:eastAsiaTheme="minorEastAsia" w:cstheme="minorEastAsia"/>
          <w:spacing w:val="12"/>
          <w:sz w:val="24"/>
        </w:rPr>
        <w:t>委托代理人：</w:t>
      </w:r>
      <w:r>
        <w:rPr>
          <w:rFonts w:asciiTheme="minorEastAsia" w:hAnsiTheme="minorEastAsia" w:eastAsiaTheme="minorEastAsia" w:cstheme="minorEastAsia"/>
          <w:sz w:val="24"/>
        </w:rPr>
        <w:t xml:space="preserve">（签字或盖章）  </w:t>
      </w:r>
    </w:p>
    <w:p>
      <w:pPr>
        <w:pStyle w:val="23"/>
        <w:spacing w:line="600" w:lineRule="exact"/>
        <w:ind w:left="1050" w:leftChars="500" w:firstLine="1200" w:firstLineChars="500"/>
        <w:rPr>
          <w:rFonts w:hint="default" w:asciiTheme="minorEastAsia" w:hAnsiTheme="minorEastAsia" w:eastAsiaTheme="minorEastAsia" w:cstheme="minorEastAsia"/>
          <w:b/>
          <w:bCs/>
          <w:sz w:val="28"/>
          <w:szCs w:val="28"/>
        </w:rPr>
      </w:pPr>
      <w:r>
        <w:rPr>
          <w:rFonts w:asciiTheme="minorEastAsia" w:hAnsiTheme="minorEastAsia" w:eastAsiaTheme="minorEastAsia" w:cstheme="minorEastAsia"/>
          <w:sz w:val="24"/>
        </w:rPr>
        <w:t>日       期：       年    月    日</w:t>
      </w:r>
    </w:p>
    <w:p>
      <w:pPr>
        <w:ind w:firstLine="540" w:firstLineChars="192"/>
        <w:jc w:val="center"/>
        <w:rPr>
          <w:rFonts w:asciiTheme="minorEastAsia" w:hAnsiTheme="minorEastAsia" w:eastAsiaTheme="minorEastAsia" w:cstheme="minorEastAsia"/>
          <w:b/>
          <w:bCs/>
          <w:sz w:val="28"/>
          <w:szCs w:val="28"/>
        </w:rPr>
      </w:pPr>
    </w:p>
    <w:p>
      <w:pPr>
        <w:ind w:firstLine="848" w:firstLineChars="192"/>
        <w:jc w:val="center"/>
        <w:rPr>
          <w:rFonts w:asciiTheme="minorEastAsia" w:hAnsiTheme="minorEastAsia" w:eastAsiaTheme="minorEastAsia" w:cstheme="minorEastAsia"/>
          <w:b/>
          <w:bCs/>
          <w:sz w:val="44"/>
          <w:szCs w:val="44"/>
        </w:rPr>
      </w:pPr>
    </w:p>
    <w:p>
      <w:pPr>
        <w:ind w:firstLine="848" w:firstLineChars="192"/>
        <w:jc w:val="center"/>
        <w:rPr>
          <w:rFonts w:asciiTheme="minorEastAsia" w:hAnsiTheme="minorEastAsia" w:eastAsiaTheme="minorEastAsia" w:cstheme="minorEastAsia"/>
          <w:b/>
          <w:bCs/>
          <w:sz w:val="44"/>
          <w:szCs w:val="44"/>
        </w:rPr>
      </w:pPr>
    </w:p>
    <w:p>
      <w:pPr>
        <w:ind w:firstLine="848" w:firstLineChars="192"/>
        <w:jc w:val="center"/>
        <w:rPr>
          <w:rFonts w:asciiTheme="minorEastAsia" w:hAnsiTheme="minorEastAsia" w:eastAsiaTheme="minorEastAsia" w:cstheme="minorEastAsia"/>
          <w:b/>
          <w:bCs/>
          <w:sz w:val="44"/>
          <w:szCs w:val="44"/>
        </w:rPr>
      </w:pPr>
    </w:p>
    <w:p>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b/>
          <w:bCs/>
          <w:sz w:val="44"/>
          <w:szCs w:val="44"/>
        </w:rPr>
        <w:t>目    录</w:t>
      </w:r>
    </w:p>
    <w:p>
      <w:pPr>
        <w:spacing w:line="500" w:lineRule="exact"/>
        <w:jc w:val="center"/>
        <w:outlineLvl w:val="1"/>
        <w:rPr>
          <w:rFonts w:asciiTheme="minorEastAsia" w:hAnsiTheme="minorEastAsia" w:eastAsiaTheme="minorEastAsia" w:cstheme="minorEastAsia"/>
          <w:b/>
          <w:bCs/>
          <w:sz w:val="28"/>
          <w:szCs w:val="28"/>
        </w:rPr>
      </w:pPr>
      <w:bookmarkStart w:id="257" w:name="_Toc31547"/>
      <w:r>
        <w:rPr>
          <w:rFonts w:asciiTheme="minorEastAsia" w:hAnsiTheme="minorEastAsia" w:eastAsiaTheme="minorEastAsia" w:cstheme="minorEastAsia"/>
          <w:szCs w:val="21"/>
        </w:rPr>
        <w:t>（自拟）</w:t>
      </w:r>
      <w:r>
        <w:rPr>
          <w:rFonts w:hint="eastAsia" w:asciiTheme="minorEastAsia" w:hAnsiTheme="minorEastAsia" w:eastAsiaTheme="minorEastAsia" w:cstheme="minorEastAsia"/>
          <w:szCs w:val="21"/>
        </w:rPr>
        <w:br w:type="page"/>
      </w:r>
      <w:bookmarkStart w:id="258" w:name="_Toc1921"/>
      <w:r>
        <w:rPr>
          <w:rFonts w:hint="eastAsia" w:asciiTheme="minorEastAsia" w:hAnsiTheme="minorEastAsia" w:eastAsiaTheme="minorEastAsia" w:cstheme="minorEastAsia"/>
          <w:b/>
          <w:bCs/>
          <w:sz w:val="30"/>
          <w:szCs w:val="30"/>
        </w:rPr>
        <w:t>一、投标函</w:t>
      </w:r>
      <w:bookmarkEnd w:id="257"/>
      <w:r>
        <w:rPr>
          <w:rFonts w:hint="eastAsia" w:asciiTheme="minorEastAsia" w:hAnsiTheme="minorEastAsia" w:eastAsiaTheme="minorEastAsia" w:cstheme="minorEastAsia"/>
          <w:b/>
          <w:bCs/>
          <w:sz w:val="30"/>
          <w:szCs w:val="30"/>
        </w:rPr>
        <w:t>及开标一览表</w:t>
      </w:r>
      <w:bookmarkEnd w:id="258"/>
    </w:p>
    <w:p>
      <w:pPr>
        <w:jc w:val="center"/>
        <w:outlineLvl w:val="2"/>
        <w:rPr>
          <w:rFonts w:asciiTheme="minorEastAsia" w:hAnsiTheme="minorEastAsia" w:eastAsiaTheme="minorEastAsia" w:cstheme="minorEastAsia"/>
          <w:b/>
          <w:bCs/>
          <w:sz w:val="28"/>
        </w:rPr>
      </w:pPr>
      <w:bookmarkStart w:id="259" w:name="_Toc600"/>
      <w:bookmarkStart w:id="260" w:name="_Toc12044"/>
      <w:bookmarkStart w:id="261" w:name="_Toc27218"/>
      <w:r>
        <w:rPr>
          <w:rFonts w:hint="eastAsia" w:asciiTheme="minorEastAsia" w:hAnsiTheme="minorEastAsia" w:eastAsiaTheme="minorEastAsia" w:cstheme="minorEastAsia"/>
          <w:b/>
          <w:sz w:val="28"/>
          <w:szCs w:val="28"/>
        </w:rPr>
        <w:t>（一）投标函</w:t>
      </w:r>
      <w:bookmarkEnd w:id="259"/>
      <w:bookmarkEnd w:id="260"/>
      <w:bookmarkEnd w:id="261"/>
    </w:p>
    <w:p>
      <w:pPr>
        <w:spacing w:line="440" w:lineRule="exact"/>
        <w:rPr>
          <w:rFonts w:asciiTheme="minorEastAsia" w:hAnsiTheme="minorEastAsia" w:eastAsiaTheme="minorEastAsia" w:cstheme="minorEastAsia"/>
          <w:b/>
          <w:bCs/>
          <w:szCs w:val="21"/>
        </w:rPr>
      </w:pPr>
      <w:r>
        <w:rPr>
          <w:rFonts w:hint="eastAsia" w:asciiTheme="minorEastAsia" w:hAnsiTheme="minorEastAsia" w:eastAsiaTheme="minorEastAsia" w:cstheme="minorEastAsia"/>
          <w:szCs w:val="21"/>
        </w:rPr>
        <w:t xml:space="preserve">（采购人名称）： </w:t>
      </w:r>
    </w:p>
    <w:p>
      <w:pPr>
        <w:numPr>
          <w:ilvl w:val="0"/>
          <w:numId w:val="12"/>
        </w:numPr>
        <w:spacing w:line="440" w:lineRule="exact"/>
        <w:ind w:left="-105" w:firstLine="508"/>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我方已仔细研究了（项目名称）招标文件的全部内容，对本项目愿意以人民币（大写）元（￥</w:t>
      </w:r>
      <w:r>
        <w:rPr>
          <w:rFonts w:hint="eastAsia" w:asciiTheme="minorEastAsia" w:hAnsiTheme="minorEastAsia" w:eastAsiaTheme="minorEastAsia" w:cstheme="minorEastAsia"/>
          <w:szCs w:val="21"/>
          <w:u w:val="single"/>
        </w:rPr>
        <w:t xml:space="preserve">          元</w:t>
      </w:r>
      <w:r>
        <w:rPr>
          <w:rFonts w:hint="eastAsia" w:asciiTheme="minorEastAsia" w:hAnsiTheme="minorEastAsia" w:eastAsiaTheme="minorEastAsia" w:cstheme="minorEastAsia"/>
          <w:szCs w:val="21"/>
        </w:rPr>
        <w:t>）的投标报价，</w:t>
      </w:r>
      <w:r>
        <w:rPr>
          <w:rFonts w:hint="eastAsia" w:asciiTheme="minorEastAsia" w:hAnsiTheme="minorEastAsia" w:eastAsiaTheme="minorEastAsia" w:cstheme="minorEastAsia"/>
        </w:rPr>
        <w:t>供货及安装期</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，按合同约定实施和完成本项目。 </w:t>
      </w:r>
    </w:p>
    <w:p>
      <w:pPr>
        <w:numPr>
          <w:ilvl w:val="0"/>
          <w:numId w:val="12"/>
        </w:numPr>
        <w:tabs>
          <w:tab w:val="left" w:pos="840"/>
        </w:tabs>
        <w:spacing w:line="440" w:lineRule="exact"/>
        <w:ind w:left="-105" w:firstLine="508"/>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我方承诺我公司完全满足《中华人民共和国政府采购法》第二十二条之各项规定，如果我们的投标文件被接受，我们将履行招标文件中规定的各项要求，按期、按质、按量完成中标项目。</w:t>
      </w:r>
    </w:p>
    <w:p>
      <w:pPr>
        <w:numPr>
          <w:ilvl w:val="0"/>
          <w:numId w:val="12"/>
        </w:numPr>
        <w:tabs>
          <w:tab w:val="left" w:pos="840"/>
        </w:tabs>
        <w:spacing w:line="440" w:lineRule="exact"/>
        <w:ind w:left="-105" w:firstLine="508"/>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我方承诺在投标有效期内不修改、撤销投标文件。</w:t>
      </w:r>
    </w:p>
    <w:p>
      <w:pPr>
        <w:numPr>
          <w:ilvl w:val="0"/>
          <w:numId w:val="12"/>
        </w:numPr>
        <w:tabs>
          <w:tab w:val="left" w:pos="840"/>
        </w:tabs>
        <w:spacing w:line="440" w:lineRule="exact"/>
        <w:ind w:left="-105" w:firstLine="508"/>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如我方中标： </w:t>
      </w:r>
    </w:p>
    <w:p>
      <w:pPr>
        <w:spacing w:line="440" w:lineRule="exact"/>
        <w:ind w:left="420" w:left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（1）我方承诺在收到中标通知书后，在中标通知书规定的期限内与你方签订合同。</w:t>
      </w:r>
    </w:p>
    <w:p>
      <w:pPr>
        <w:spacing w:line="440" w:lineRule="exact"/>
        <w:ind w:left="420" w:left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（2）随同本投标函递交的投标函附录属于合同文件的组成部分。 </w:t>
      </w:r>
    </w:p>
    <w:p>
      <w:pPr>
        <w:spacing w:line="440" w:lineRule="exact"/>
        <w:ind w:left="420" w:left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（3）我方承诺按照招标文件规定向你方递交履约保证金。 </w:t>
      </w:r>
    </w:p>
    <w:p>
      <w:pPr>
        <w:spacing w:line="440" w:lineRule="exact"/>
        <w:ind w:left="420" w:left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（4）我们将根据招标文件的规定，严格按照《合同法》履行自己的责任和义务,并保证于投标报价表中规定的时间交货使用，否则我们的履约保证金将被贵方没收。</w:t>
      </w:r>
    </w:p>
    <w:p>
      <w:pPr>
        <w:numPr>
          <w:ilvl w:val="0"/>
          <w:numId w:val="12"/>
        </w:numPr>
        <w:spacing w:line="440" w:lineRule="exact"/>
        <w:ind w:left="-105" w:firstLine="508"/>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我方在此声明，所递交的投标文件及有关资料内容完整、真实和准确。 </w:t>
      </w:r>
    </w:p>
    <w:p>
      <w:pPr>
        <w:spacing w:line="440" w:lineRule="exact"/>
        <w:ind w:left="105"/>
        <w:rPr>
          <w:rFonts w:asciiTheme="minorEastAsia" w:hAnsiTheme="minorEastAsia" w:eastAsiaTheme="minorEastAsia" w:cstheme="minorEastAsia"/>
          <w:szCs w:val="21"/>
        </w:rPr>
      </w:pPr>
    </w:p>
    <w:p>
      <w:pPr>
        <w:spacing w:line="440" w:lineRule="exact"/>
        <w:ind w:left="105"/>
        <w:rPr>
          <w:rFonts w:asciiTheme="minorEastAsia" w:hAnsiTheme="minorEastAsia" w:eastAsiaTheme="minorEastAsia" w:cstheme="minorEastAsia"/>
          <w:szCs w:val="21"/>
        </w:rPr>
      </w:pPr>
    </w:p>
    <w:p>
      <w:pPr>
        <w:spacing w:line="440" w:lineRule="exact"/>
        <w:ind w:left="2625" w:leftChars="125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投  标  人：（盖企业公章）</w:t>
      </w:r>
    </w:p>
    <w:p>
      <w:pPr>
        <w:spacing w:line="440" w:lineRule="exact"/>
        <w:ind w:left="2625" w:leftChars="125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法定代表人或其委托代理人：（</w:t>
      </w:r>
      <w:r>
        <w:rPr>
          <w:rFonts w:hint="eastAsia" w:asciiTheme="minorEastAsia" w:hAnsiTheme="minorEastAsia" w:eastAsiaTheme="minorEastAsia" w:cstheme="minorEastAsia"/>
          <w:kern w:val="0"/>
          <w:szCs w:val="21"/>
        </w:rPr>
        <w:t>签字或盖章）</w:t>
      </w:r>
    </w:p>
    <w:p>
      <w:pPr>
        <w:spacing w:line="440" w:lineRule="exact"/>
        <w:ind w:left="2625" w:leftChars="125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地址：</w:t>
      </w:r>
    </w:p>
    <w:p>
      <w:pPr>
        <w:spacing w:line="440" w:lineRule="exact"/>
        <w:ind w:left="2625" w:leftChars="125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网址：</w:t>
      </w:r>
    </w:p>
    <w:p>
      <w:pPr>
        <w:spacing w:line="440" w:lineRule="exact"/>
        <w:ind w:left="2625" w:leftChars="125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电话：</w:t>
      </w:r>
    </w:p>
    <w:p>
      <w:pPr>
        <w:spacing w:line="440" w:lineRule="exact"/>
        <w:ind w:left="2625" w:leftChars="125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传真：</w:t>
      </w:r>
    </w:p>
    <w:p>
      <w:pPr>
        <w:spacing w:line="440" w:lineRule="exact"/>
        <w:ind w:left="2625" w:leftChars="125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邮政编码：</w:t>
      </w:r>
    </w:p>
    <w:p>
      <w:pPr>
        <w:spacing w:line="440" w:lineRule="exact"/>
        <w:ind w:left="2625" w:leftChars="1250"/>
        <w:rPr>
          <w:rFonts w:asciiTheme="minorEastAsia" w:hAnsiTheme="minorEastAsia" w:eastAsiaTheme="minorEastAsia" w:cstheme="minorEastAsia"/>
          <w:sz w:val="24"/>
        </w:rPr>
      </w:pPr>
      <w:r>
        <w:rPr>
          <w:rFonts w:hint="eastAsia" w:asciiTheme="minorEastAsia" w:hAnsiTheme="minorEastAsia" w:eastAsiaTheme="minorEastAsia" w:cstheme="minorEastAsia"/>
          <w:szCs w:val="21"/>
        </w:rPr>
        <w:t>年月日</w:t>
      </w:r>
    </w:p>
    <w:p>
      <w:pPr>
        <w:spacing w:line="400" w:lineRule="exact"/>
        <w:ind w:left="2625" w:leftChars="1250"/>
        <w:rPr>
          <w:rFonts w:asciiTheme="minorEastAsia" w:hAnsiTheme="minorEastAsia" w:eastAsiaTheme="minorEastAsia" w:cstheme="minorEastAsia"/>
          <w:sz w:val="24"/>
        </w:rPr>
      </w:pPr>
    </w:p>
    <w:p>
      <w:pPr>
        <w:spacing w:line="400" w:lineRule="exact"/>
        <w:ind w:left="2625" w:leftChars="1250"/>
        <w:rPr>
          <w:rFonts w:asciiTheme="minorEastAsia" w:hAnsiTheme="minorEastAsia" w:eastAsiaTheme="minorEastAsia" w:cstheme="minorEastAsia"/>
          <w:sz w:val="24"/>
        </w:rPr>
      </w:pPr>
    </w:p>
    <w:p>
      <w:pPr>
        <w:spacing w:line="500" w:lineRule="exact"/>
        <w:jc w:val="center"/>
        <w:outlineLvl w:val="2"/>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br w:type="page"/>
      </w:r>
      <w:bookmarkStart w:id="262" w:name="_Toc208"/>
      <w:bookmarkStart w:id="263" w:name="_Toc9543"/>
      <w:bookmarkStart w:id="264" w:name="_Toc14778"/>
      <w:r>
        <w:rPr>
          <w:rFonts w:hint="eastAsia" w:asciiTheme="minorEastAsia" w:hAnsiTheme="minorEastAsia" w:eastAsiaTheme="minorEastAsia" w:cstheme="minorEastAsia"/>
          <w:b/>
          <w:bCs/>
          <w:sz w:val="28"/>
          <w:szCs w:val="28"/>
        </w:rPr>
        <w:t>（二） 开标一览表</w:t>
      </w:r>
      <w:bookmarkEnd w:id="262"/>
      <w:bookmarkEnd w:id="263"/>
      <w:bookmarkEnd w:id="264"/>
    </w:p>
    <w:p>
      <w:pPr>
        <w:jc w:val="center"/>
        <w:rPr>
          <w:rFonts w:asciiTheme="minorEastAsia" w:hAnsiTheme="minorEastAsia" w:eastAsiaTheme="minorEastAsia" w:cstheme="minorEastAsia"/>
          <w:b/>
          <w:bCs/>
          <w:sz w:val="28"/>
        </w:rPr>
      </w:pPr>
    </w:p>
    <w:tbl>
      <w:tblPr>
        <w:tblStyle w:val="40"/>
        <w:tblW w:w="85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0"/>
        <w:gridCol w:w="58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jc w:val="center"/>
        </w:trPr>
        <w:tc>
          <w:tcPr>
            <w:tcW w:w="2610" w:type="dxa"/>
            <w:vAlign w:val="center"/>
          </w:tcPr>
          <w:p>
            <w:pPr>
              <w:spacing w:line="3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项目名称</w:t>
            </w:r>
          </w:p>
        </w:tc>
        <w:tc>
          <w:tcPr>
            <w:tcW w:w="5898" w:type="dxa"/>
            <w:vAlign w:val="center"/>
          </w:tcPr>
          <w:p>
            <w:pPr>
              <w:pStyle w:val="6"/>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jc w:val="center"/>
        </w:trPr>
        <w:tc>
          <w:tcPr>
            <w:tcW w:w="2610" w:type="dxa"/>
            <w:vAlign w:val="center"/>
          </w:tcPr>
          <w:p>
            <w:pPr>
              <w:spacing w:line="3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投 标 人</w:t>
            </w:r>
          </w:p>
        </w:tc>
        <w:tc>
          <w:tcPr>
            <w:tcW w:w="5898" w:type="dxa"/>
            <w:vAlign w:val="center"/>
          </w:tcPr>
          <w:p>
            <w:pPr>
              <w:pStyle w:val="6"/>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2" w:hRule="atLeast"/>
          <w:jc w:val="center"/>
        </w:trPr>
        <w:tc>
          <w:tcPr>
            <w:tcW w:w="2610" w:type="dxa"/>
            <w:vAlign w:val="center"/>
          </w:tcPr>
          <w:p>
            <w:pPr>
              <w:spacing w:line="3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投标总报价</w:t>
            </w:r>
          </w:p>
        </w:tc>
        <w:tc>
          <w:tcPr>
            <w:tcW w:w="5898" w:type="dxa"/>
            <w:vAlign w:val="center"/>
          </w:tcPr>
          <w:p>
            <w:pPr>
              <w:pStyle w:val="6"/>
              <w:spacing w:line="400" w:lineRule="exact"/>
              <w:ind w:firstLine="480"/>
              <w:rPr>
                <w:rFonts w:asciiTheme="minorEastAsia" w:hAnsiTheme="minorEastAsia" w:eastAsiaTheme="minorEastAsia" w:cstheme="minorEastAsia"/>
                <w:sz w:val="24"/>
                <w:szCs w:val="20"/>
              </w:rPr>
            </w:pPr>
            <w:r>
              <w:rPr>
                <w:rFonts w:hint="eastAsia" w:asciiTheme="minorEastAsia" w:hAnsiTheme="minorEastAsia" w:eastAsiaTheme="minorEastAsia" w:cstheme="minorEastAsia"/>
                <w:sz w:val="24"/>
                <w:szCs w:val="20"/>
              </w:rPr>
              <w:t xml:space="preserve">（大写）                                </w:t>
            </w:r>
          </w:p>
          <w:p>
            <w:pPr>
              <w:pStyle w:val="6"/>
              <w:spacing w:line="400" w:lineRule="exact"/>
              <w:ind w:firstLine="480"/>
              <w:rPr>
                <w:rFonts w:asciiTheme="minorEastAsia" w:hAnsiTheme="minorEastAsia" w:eastAsiaTheme="minorEastAsia" w:cstheme="minorEastAsia"/>
                <w:sz w:val="24"/>
                <w:szCs w:val="20"/>
              </w:rPr>
            </w:pPr>
            <w:r>
              <w:rPr>
                <w:rFonts w:hint="eastAsia" w:asciiTheme="minorEastAsia" w:hAnsiTheme="minorEastAsia" w:eastAsiaTheme="minorEastAsia" w:cstheme="minorEastAsia"/>
                <w:sz w:val="24"/>
                <w:szCs w:val="20"/>
              </w:rPr>
              <w:t xml:space="preserve">（小写）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2610" w:type="dxa"/>
            <w:vAlign w:val="center"/>
          </w:tcPr>
          <w:p>
            <w:pPr>
              <w:spacing w:line="3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质量标准</w:t>
            </w:r>
          </w:p>
        </w:tc>
        <w:tc>
          <w:tcPr>
            <w:tcW w:w="5898" w:type="dxa"/>
            <w:vAlign w:val="center"/>
          </w:tcPr>
          <w:p>
            <w:pPr>
              <w:pStyle w:val="6"/>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610" w:type="dxa"/>
            <w:vAlign w:val="center"/>
          </w:tcPr>
          <w:p>
            <w:pPr>
              <w:spacing w:line="3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bCs/>
                <w:iCs/>
                <w:sz w:val="24"/>
              </w:rPr>
              <w:t>供货及安装期</w:t>
            </w:r>
          </w:p>
        </w:tc>
        <w:tc>
          <w:tcPr>
            <w:tcW w:w="5898" w:type="dxa"/>
            <w:vAlign w:val="center"/>
          </w:tcPr>
          <w:p>
            <w:pPr>
              <w:pStyle w:val="6"/>
              <w:spacing w:line="400" w:lineRule="exact"/>
              <w:ind w:firstLine="480"/>
              <w:rPr>
                <w:rFonts w:asciiTheme="minorEastAsia" w:hAnsiTheme="minorEastAsia" w:eastAsiaTheme="minorEastAsia" w:cstheme="minorEastAsia"/>
                <w:sz w:val="24"/>
                <w:szCs w:val="20"/>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610" w:type="dxa"/>
            <w:vAlign w:val="center"/>
          </w:tcPr>
          <w:p>
            <w:pPr>
              <w:spacing w:line="300" w:lineRule="exact"/>
              <w:jc w:val="center"/>
              <w:rPr>
                <w:rFonts w:asciiTheme="minorEastAsia" w:hAnsiTheme="minorEastAsia" w:eastAsiaTheme="minorEastAsia" w:cstheme="minorEastAsia"/>
                <w:bCs/>
                <w:iCs/>
                <w:sz w:val="24"/>
              </w:rPr>
            </w:pPr>
            <w:r>
              <w:rPr>
                <w:rFonts w:hint="eastAsia" w:asciiTheme="minorEastAsia" w:hAnsiTheme="minorEastAsia" w:eastAsiaTheme="minorEastAsia" w:cstheme="minorEastAsia"/>
                <w:bCs/>
                <w:iCs/>
                <w:sz w:val="24"/>
              </w:rPr>
              <w:t>投标有效期</w:t>
            </w:r>
          </w:p>
        </w:tc>
        <w:tc>
          <w:tcPr>
            <w:tcW w:w="5898" w:type="dxa"/>
            <w:vAlign w:val="center"/>
          </w:tcPr>
          <w:p>
            <w:pPr>
              <w:pStyle w:val="6"/>
              <w:spacing w:line="400" w:lineRule="exact"/>
              <w:ind w:firstLine="480"/>
              <w:rPr>
                <w:rFonts w:asciiTheme="minorEastAsia" w:hAnsiTheme="minorEastAsia" w:eastAsiaTheme="minorEastAsia" w:cstheme="minorEastAsia"/>
                <w:sz w:val="24"/>
                <w:szCs w:val="20"/>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2" w:hRule="atLeast"/>
          <w:jc w:val="center"/>
        </w:trPr>
        <w:tc>
          <w:tcPr>
            <w:tcW w:w="2610" w:type="dxa"/>
            <w:vAlign w:val="center"/>
          </w:tcPr>
          <w:p>
            <w:pPr>
              <w:pStyle w:val="6"/>
              <w:spacing w:line="400" w:lineRule="exact"/>
              <w:ind w:firstLine="480"/>
              <w:rPr>
                <w:rFonts w:asciiTheme="minorEastAsia" w:hAnsiTheme="minorEastAsia" w:eastAsiaTheme="minorEastAsia" w:cstheme="minorEastAsia"/>
                <w:bCs/>
                <w:iCs/>
                <w:sz w:val="24"/>
              </w:rPr>
            </w:pPr>
            <w:r>
              <w:rPr>
                <w:rFonts w:hint="eastAsia" w:asciiTheme="minorEastAsia" w:hAnsiTheme="minorEastAsia" w:eastAsiaTheme="minorEastAsia" w:cstheme="minorEastAsia"/>
                <w:sz w:val="24"/>
                <w:szCs w:val="20"/>
              </w:rPr>
              <w:t>备注：</w:t>
            </w:r>
          </w:p>
        </w:tc>
        <w:tc>
          <w:tcPr>
            <w:tcW w:w="5898" w:type="dxa"/>
            <w:vAlign w:val="center"/>
          </w:tcPr>
          <w:p>
            <w:pPr>
              <w:pStyle w:val="6"/>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508" w:type="dxa"/>
            <w:gridSpan w:val="2"/>
            <w:vAlign w:val="center"/>
          </w:tcPr>
          <w:p>
            <w:pPr>
              <w:pStyle w:val="6"/>
              <w:spacing w:line="400" w:lineRule="exact"/>
              <w:ind w:firstLine="480"/>
              <w:rPr>
                <w:rFonts w:asciiTheme="minorEastAsia" w:hAnsiTheme="minorEastAsia" w:eastAsiaTheme="minorEastAsia" w:cstheme="minorEastAsia"/>
                <w:sz w:val="24"/>
                <w:szCs w:val="20"/>
              </w:rPr>
            </w:pPr>
          </w:p>
        </w:tc>
      </w:tr>
    </w:tbl>
    <w:p>
      <w:pPr>
        <w:spacing w:line="360" w:lineRule="exact"/>
        <w:jc w:val="right"/>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供应商：（单位公章）</w:t>
      </w:r>
    </w:p>
    <w:p>
      <w:pPr>
        <w:ind w:left="1050" w:leftChars="500"/>
        <w:jc w:val="center"/>
        <w:rPr>
          <w:rFonts w:asciiTheme="minorEastAsia" w:hAnsiTheme="minorEastAsia" w:eastAsiaTheme="minorEastAsia" w:cstheme="minorEastAsia"/>
          <w:sz w:val="24"/>
        </w:rPr>
      </w:pPr>
    </w:p>
    <w:p>
      <w:pPr>
        <w:ind w:left="1050" w:leftChars="500"/>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法定代表人</w:t>
      </w:r>
      <w:r>
        <w:rPr>
          <w:rFonts w:hint="eastAsia" w:asciiTheme="minorEastAsia" w:hAnsiTheme="minorEastAsia" w:eastAsiaTheme="minorEastAsia" w:cstheme="minorEastAsia"/>
          <w:sz w:val="24"/>
          <w:szCs w:val="20"/>
        </w:rPr>
        <w:t>或其委托代理人</w:t>
      </w:r>
      <w:r>
        <w:rPr>
          <w:rFonts w:hint="eastAsia" w:asciiTheme="minorEastAsia" w:hAnsiTheme="minorEastAsia" w:eastAsiaTheme="minorEastAsia" w:cstheme="minorEastAsia"/>
          <w:sz w:val="24"/>
        </w:rPr>
        <w:t>：（签字或盖章）</w:t>
      </w:r>
    </w:p>
    <w:p>
      <w:pPr>
        <w:ind w:left="1050" w:leftChars="500"/>
        <w:jc w:val="center"/>
        <w:rPr>
          <w:rFonts w:asciiTheme="minorEastAsia" w:hAnsiTheme="minorEastAsia" w:eastAsiaTheme="minorEastAsia" w:cstheme="minorEastAsia"/>
          <w:sz w:val="24"/>
        </w:rPr>
      </w:pPr>
    </w:p>
    <w:p>
      <w:pPr>
        <w:ind w:left="1050" w:leftChars="500"/>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日  期：     年   月   日</w:t>
      </w:r>
    </w:p>
    <w:p>
      <w:pPr>
        <w:rPr>
          <w:rFonts w:asciiTheme="minorEastAsia" w:hAnsiTheme="minorEastAsia" w:eastAsiaTheme="minorEastAsia" w:cstheme="minorEastAsia"/>
        </w:rPr>
      </w:pPr>
    </w:p>
    <w:p>
      <w:pPr>
        <w:rPr>
          <w:rFonts w:asciiTheme="minorEastAsia" w:hAnsiTheme="minorEastAsia" w:eastAsiaTheme="minorEastAsia" w:cstheme="minorEastAsia"/>
        </w:rPr>
      </w:pPr>
    </w:p>
    <w:p>
      <w:pPr>
        <w:pStyle w:val="3"/>
        <w:rPr>
          <w:rFonts w:asciiTheme="minorEastAsia" w:hAnsiTheme="minorEastAsia" w:eastAsiaTheme="minorEastAsia" w:cstheme="minorEastAsia"/>
          <w:sz w:val="24"/>
        </w:rPr>
      </w:pPr>
    </w:p>
    <w:p>
      <w:pPr>
        <w:pStyle w:val="38"/>
        <w:spacing w:before="120" w:after="120" w:line="500" w:lineRule="exact"/>
        <w:ind w:right="29" w:rightChars="14"/>
        <w:outlineLvl w:val="1"/>
        <w:rPr>
          <w:rFonts w:asciiTheme="minorEastAsia" w:hAnsiTheme="minorEastAsia" w:eastAsiaTheme="minorEastAsia" w:cstheme="minorEastAsia"/>
          <w:sz w:val="24"/>
        </w:rPr>
      </w:pPr>
    </w:p>
    <w:p>
      <w:pPr>
        <w:pStyle w:val="38"/>
        <w:spacing w:before="120" w:after="120" w:line="500" w:lineRule="exact"/>
        <w:ind w:right="29" w:rightChars="14"/>
        <w:outlineLvl w:val="1"/>
        <w:rPr>
          <w:rFonts w:asciiTheme="minorEastAsia" w:hAnsiTheme="minorEastAsia" w:eastAsiaTheme="minorEastAsia" w:cstheme="minorEastAsia"/>
          <w:sz w:val="24"/>
        </w:rPr>
      </w:pPr>
    </w:p>
    <w:p>
      <w:pPr>
        <w:pStyle w:val="38"/>
        <w:spacing w:before="120" w:after="120" w:line="500" w:lineRule="exact"/>
        <w:ind w:right="29" w:rightChars="14"/>
        <w:outlineLvl w:val="1"/>
        <w:rPr>
          <w:rFonts w:asciiTheme="minorEastAsia" w:hAnsiTheme="minorEastAsia" w:eastAsiaTheme="minorEastAsia" w:cstheme="minorEastAsia"/>
          <w:sz w:val="24"/>
        </w:rPr>
      </w:pPr>
    </w:p>
    <w:p>
      <w:pPr>
        <w:spacing w:line="440" w:lineRule="exact"/>
        <w:ind w:firstLine="441" w:firstLineChars="147"/>
        <w:jc w:val="center"/>
        <w:rPr>
          <w:rFonts w:ascii="宋体" w:hAnsi="宋体" w:cs="宋体"/>
          <w:b w:val="0"/>
          <w:bCs/>
          <w:color w:val="auto"/>
          <w:sz w:val="30"/>
          <w:szCs w:val="30"/>
        </w:rPr>
      </w:pPr>
      <w:r>
        <w:rPr>
          <w:rFonts w:hint="eastAsia" w:ascii="宋体" w:hAnsi="宋体" w:cs="宋体"/>
          <w:b w:val="0"/>
          <w:bCs/>
          <w:color w:val="auto"/>
          <w:sz w:val="30"/>
          <w:szCs w:val="30"/>
        </w:rPr>
        <w:t>（三）报价明细表</w:t>
      </w:r>
    </w:p>
    <w:p>
      <w:pPr>
        <w:spacing w:line="440" w:lineRule="exact"/>
        <w:ind w:firstLine="308" w:firstLineChars="147"/>
        <w:rPr>
          <w:rFonts w:ascii="宋体" w:hAnsi="宋体" w:cs="宋体"/>
          <w:b w:val="0"/>
          <w:bCs/>
          <w:color w:val="auto"/>
          <w:szCs w:val="21"/>
        </w:rPr>
      </w:pPr>
    </w:p>
    <w:tbl>
      <w:tblPr>
        <w:tblStyle w:val="40"/>
        <w:tblW w:w="9776"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9"/>
        <w:gridCol w:w="838"/>
        <w:gridCol w:w="837"/>
        <w:gridCol w:w="3015"/>
        <w:gridCol w:w="563"/>
        <w:gridCol w:w="563"/>
        <w:gridCol w:w="912"/>
        <w:gridCol w:w="1044"/>
        <w:gridCol w:w="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5" w:hRule="atLeast"/>
        </w:trPr>
        <w:tc>
          <w:tcPr>
            <w:tcW w:w="1289" w:type="dxa"/>
            <w:vMerge w:val="restart"/>
            <w:tcBorders>
              <w:top w:val="single" w:color="auto" w:sz="4" w:space="0"/>
              <w:left w:val="single" w:color="auto" w:sz="4" w:space="0"/>
              <w:right w:val="single" w:color="auto" w:sz="4" w:space="0"/>
            </w:tcBorders>
            <w:noWrap w:val="0"/>
            <w:vAlign w:val="center"/>
          </w:tcPr>
          <w:p>
            <w:pPr>
              <w:pStyle w:val="37"/>
              <w:keepNext w:val="0"/>
              <w:keepLines w:val="0"/>
              <w:widowControl w:val="0"/>
              <w:suppressLineNumbers w:val="0"/>
              <w:adjustRightInd w:val="0"/>
              <w:spacing w:before="0" w:beforeAutospacing="0" w:after="0" w:afterAutospacing="0" w:line="480" w:lineRule="exact"/>
              <w:ind w:left="0" w:right="0"/>
              <w:jc w:val="center"/>
              <w:rPr>
                <w:rFonts w:hint="default"/>
                <w:b w:val="0"/>
                <w:bCs/>
                <w:color w:val="auto"/>
              </w:rPr>
            </w:pPr>
            <w:r>
              <w:rPr>
                <w:rFonts w:hint="eastAsia"/>
                <w:b w:val="0"/>
                <w:bCs/>
                <w:color w:val="auto"/>
              </w:rPr>
              <w:t>名称</w:t>
            </w:r>
          </w:p>
        </w:tc>
        <w:tc>
          <w:tcPr>
            <w:tcW w:w="4690" w:type="dxa"/>
            <w:gridSpan w:val="3"/>
            <w:tcBorders>
              <w:top w:val="single" w:color="auto" w:sz="4" w:space="0"/>
              <w:left w:val="single" w:color="auto" w:sz="4" w:space="0"/>
              <w:bottom w:val="single" w:color="auto" w:sz="4" w:space="0"/>
              <w:right w:val="single" w:color="auto" w:sz="4" w:space="0"/>
            </w:tcBorders>
            <w:noWrap w:val="0"/>
            <w:vAlign w:val="center"/>
          </w:tcPr>
          <w:p>
            <w:pPr>
              <w:pStyle w:val="37"/>
              <w:keepNext w:val="0"/>
              <w:keepLines w:val="0"/>
              <w:widowControl w:val="0"/>
              <w:suppressLineNumbers w:val="0"/>
              <w:adjustRightInd w:val="0"/>
              <w:spacing w:before="0" w:beforeAutospacing="0" w:after="0" w:afterAutospacing="0" w:line="480" w:lineRule="exact"/>
              <w:ind w:left="0" w:right="0"/>
              <w:jc w:val="center"/>
              <w:rPr>
                <w:rFonts w:hint="eastAsia" w:eastAsia="宋体"/>
                <w:b w:val="0"/>
                <w:bCs/>
                <w:color w:val="auto"/>
                <w:lang w:val="en-US" w:eastAsia="zh-CN"/>
              </w:rPr>
            </w:pPr>
            <w:r>
              <w:rPr>
                <w:rFonts w:hint="eastAsia"/>
                <w:b w:val="0"/>
                <w:bCs/>
                <w:color w:val="auto"/>
                <w:lang w:val="en-US" w:eastAsia="zh-CN"/>
              </w:rPr>
              <w:t>所投设备</w:t>
            </w:r>
          </w:p>
        </w:tc>
        <w:tc>
          <w:tcPr>
            <w:tcW w:w="563" w:type="dxa"/>
            <w:vMerge w:val="restart"/>
            <w:tcBorders>
              <w:top w:val="single" w:color="auto" w:sz="4" w:space="0"/>
              <w:left w:val="single" w:color="auto" w:sz="4" w:space="0"/>
              <w:right w:val="single" w:color="auto" w:sz="4" w:space="0"/>
            </w:tcBorders>
            <w:noWrap w:val="0"/>
            <w:vAlign w:val="center"/>
          </w:tcPr>
          <w:p>
            <w:pPr>
              <w:pStyle w:val="37"/>
              <w:keepNext w:val="0"/>
              <w:keepLines w:val="0"/>
              <w:widowControl w:val="0"/>
              <w:suppressLineNumbers w:val="0"/>
              <w:adjustRightInd w:val="0"/>
              <w:spacing w:before="0" w:beforeAutospacing="0" w:after="0" w:afterAutospacing="0" w:line="480" w:lineRule="exact"/>
              <w:ind w:left="0" w:right="0"/>
              <w:jc w:val="center"/>
              <w:rPr>
                <w:rFonts w:hint="default"/>
                <w:b w:val="0"/>
                <w:bCs/>
                <w:color w:val="auto"/>
              </w:rPr>
            </w:pPr>
            <w:r>
              <w:rPr>
                <w:rFonts w:hint="eastAsia"/>
                <w:b w:val="0"/>
                <w:bCs/>
                <w:color w:val="auto"/>
              </w:rPr>
              <w:t>单位</w:t>
            </w:r>
          </w:p>
        </w:tc>
        <w:tc>
          <w:tcPr>
            <w:tcW w:w="563" w:type="dxa"/>
            <w:vMerge w:val="restart"/>
            <w:tcBorders>
              <w:top w:val="single" w:color="auto" w:sz="4" w:space="0"/>
              <w:left w:val="single" w:color="auto" w:sz="4" w:space="0"/>
              <w:right w:val="single" w:color="auto" w:sz="4" w:space="0"/>
            </w:tcBorders>
            <w:noWrap w:val="0"/>
            <w:vAlign w:val="center"/>
          </w:tcPr>
          <w:p>
            <w:pPr>
              <w:pStyle w:val="37"/>
              <w:keepNext w:val="0"/>
              <w:keepLines w:val="0"/>
              <w:widowControl w:val="0"/>
              <w:suppressLineNumbers w:val="0"/>
              <w:adjustRightInd w:val="0"/>
              <w:spacing w:before="0" w:beforeAutospacing="0" w:after="0" w:afterAutospacing="0" w:line="480" w:lineRule="exact"/>
              <w:ind w:left="0" w:right="0"/>
              <w:jc w:val="center"/>
              <w:rPr>
                <w:rFonts w:hint="default"/>
                <w:b w:val="0"/>
                <w:bCs/>
                <w:color w:val="auto"/>
              </w:rPr>
            </w:pPr>
            <w:r>
              <w:rPr>
                <w:rFonts w:hint="eastAsia"/>
                <w:b w:val="0"/>
                <w:bCs/>
                <w:color w:val="auto"/>
              </w:rPr>
              <w:t>数量</w:t>
            </w:r>
          </w:p>
        </w:tc>
        <w:tc>
          <w:tcPr>
            <w:tcW w:w="912" w:type="dxa"/>
            <w:vMerge w:val="restart"/>
            <w:tcBorders>
              <w:top w:val="single" w:color="auto" w:sz="4" w:space="0"/>
              <w:left w:val="single" w:color="auto" w:sz="4" w:space="0"/>
              <w:right w:val="single" w:color="auto" w:sz="4" w:space="0"/>
            </w:tcBorders>
            <w:noWrap w:val="0"/>
            <w:vAlign w:val="center"/>
          </w:tcPr>
          <w:p>
            <w:pPr>
              <w:pStyle w:val="37"/>
              <w:keepNext w:val="0"/>
              <w:keepLines w:val="0"/>
              <w:widowControl w:val="0"/>
              <w:suppressLineNumbers w:val="0"/>
              <w:adjustRightInd w:val="0"/>
              <w:spacing w:before="0" w:beforeAutospacing="0" w:after="0" w:afterAutospacing="0" w:line="480" w:lineRule="exact"/>
              <w:ind w:left="0" w:right="0" w:firstLine="235" w:firstLineChars="98"/>
              <w:jc w:val="center"/>
              <w:rPr>
                <w:rFonts w:hint="default"/>
                <w:b w:val="0"/>
                <w:bCs/>
                <w:color w:val="auto"/>
              </w:rPr>
            </w:pPr>
          </w:p>
          <w:p>
            <w:pPr>
              <w:pStyle w:val="37"/>
              <w:keepNext w:val="0"/>
              <w:keepLines w:val="0"/>
              <w:widowControl w:val="0"/>
              <w:suppressLineNumbers w:val="0"/>
              <w:adjustRightInd w:val="0"/>
              <w:spacing w:before="0" w:beforeAutospacing="0" w:after="0" w:afterAutospacing="0" w:line="480" w:lineRule="exact"/>
              <w:ind w:left="0" w:right="0"/>
              <w:jc w:val="center"/>
              <w:rPr>
                <w:rFonts w:hint="default"/>
                <w:b w:val="0"/>
                <w:bCs/>
                <w:color w:val="auto"/>
              </w:rPr>
            </w:pPr>
            <w:r>
              <w:rPr>
                <w:rFonts w:hint="eastAsia"/>
                <w:b w:val="0"/>
                <w:bCs/>
                <w:color w:val="auto"/>
              </w:rPr>
              <w:t>单价（元）</w:t>
            </w:r>
          </w:p>
          <w:p>
            <w:pPr>
              <w:pStyle w:val="37"/>
              <w:keepNext w:val="0"/>
              <w:keepLines w:val="0"/>
              <w:widowControl w:val="0"/>
              <w:suppressLineNumbers w:val="0"/>
              <w:adjustRightInd w:val="0"/>
              <w:spacing w:before="0" w:beforeAutospacing="0" w:after="0" w:afterAutospacing="0" w:line="480" w:lineRule="exact"/>
              <w:ind w:left="0" w:right="0" w:firstLine="235" w:firstLineChars="98"/>
              <w:jc w:val="center"/>
              <w:rPr>
                <w:rFonts w:hint="default"/>
                <w:b w:val="0"/>
                <w:bCs/>
                <w:color w:val="auto"/>
              </w:rPr>
            </w:pPr>
          </w:p>
        </w:tc>
        <w:tc>
          <w:tcPr>
            <w:tcW w:w="1044" w:type="dxa"/>
            <w:vMerge w:val="restart"/>
            <w:tcBorders>
              <w:top w:val="single" w:color="auto" w:sz="4" w:space="0"/>
              <w:left w:val="single" w:color="auto" w:sz="4" w:space="0"/>
              <w:right w:val="single" w:color="auto" w:sz="4" w:space="0"/>
            </w:tcBorders>
            <w:noWrap w:val="0"/>
            <w:vAlign w:val="center"/>
          </w:tcPr>
          <w:p>
            <w:pPr>
              <w:pStyle w:val="37"/>
              <w:keepNext w:val="0"/>
              <w:keepLines w:val="0"/>
              <w:widowControl w:val="0"/>
              <w:suppressLineNumbers w:val="0"/>
              <w:adjustRightInd w:val="0"/>
              <w:spacing w:before="0" w:beforeAutospacing="0" w:after="0" w:afterAutospacing="0" w:line="480" w:lineRule="exact"/>
              <w:ind w:left="0" w:right="0"/>
              <w:jc w:val="center"/>
              <w:rPr>
                <w:rFonts w:hint="default"/>
                <w:b w:val="0"/>
                <w:bCs/>
                <w:color w:val="auto"/>
              </w:rPr>
            </w:pPr>
            <w:r>
              <w:rPr>
                <w:rFonts w:hint="eastAsia"/>
                <w:b w:val="0"/>
                <w:bCs/>
                <w:color w:val="auto"/>
              </w:rPr>
              <w:t>合价（元）</w:t>
            </w:r>
          </w:p>
        </w:tc>
        <w:tc>
          <w:tcPr>
            <w:tcW w:w="715" w:type="dxa"/>
            <w:vMerge w:val="restart"/>
            <w:tcBorders>
              <w:top w:val="single" w:color="auto" w:sz="4" w:space="0"/>
              <w:left w:val="single" w:color="auto" w:sz="4" w:space="0"/>
              <w:right w:val="single" w:color="auto" w:sz="4" w:space="0"/>
            </w:tcBorders>
            <w:noWrap w:val="0"/>
            <w:vAlign w:val="top"/>
          </w:tcPr>
          <w:p>
            <w:pPr>
              <w:pStyle w:val="37"/>
              <w:keepNext w:val="0"/>
              <w:keepLines w:val="0"/>
              <w:widowControl w:val="0"/>
              <w:suppressLineNumbers w:val="0"/>
              <w:adjustRightInd w:val="0"/>
              <w:spacing w:before="0" w:beforeAutospacing="0" w:after="0" w:afterAutospacing="0" w:line="480" w:lineRule="exact"/>
              <w:ind w:left="105" w:leftChars="50" w:right="0" w:firstLine="115" w:firstLineChars="48"/>
              <w:jc w:val="center"/>
              <w:rPr>
                <w:rFonts w:hint="default"/>
                <w:b w:val="0"/>
                <w:bCs/>
                <w:color w:val="auto"/>
              </w:rPr>
            </w:pPr>
          </w:p>
          <w:p>
            <w:pPr>
              <w:pStyle w:val="37"/>
              <w:keepNext w:val="0"/>
              <w:keepLines w:val="0"/>
              <w:widowControl w:val="0"/>
              <w:suppressLineNumbers w:val="0"/>
              <w:adjustRightInd w:val="0"/>
              <w:spacing w:before="0" w:beforeAutospacing="0" w:after="0" w:afterAutospacing="0" w:line="480" w:lineRule="exact"/>
              <w:ind w:left="105" w:leftChars="50" w:right="0" w:firstLine="115" w:firstLineChars="48"/>
              <w:jc w:val="center"/>
              <w:rPr>
                <w:rFonts w:hint="default"/>
                <w:b w:val="0"/>
                <w:bCs/>
                <w:color w:val="auto"/>
              </w:rPr>
            </w:pPr>
            <w:r>
              <w:rPr>
                <w:rFonts w:hint="eastAsia"/>
                <w:b w:val="0"/>
                <w:bCs/>
                <w:color w:val="auto"/>
              </w:rPr>
              <w:t>备注</w:t>
            </w:r>
            <w:r>
              <w:rPr>
                <w:rFonts w:hint="eastAsia"/>
                <w:b w:val="0"/>
                <w:bCs/>
                <w:color w:val="auto"/>
              </w:rP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3" w:hRule="atLeast"/>
        </w:trPr>
        <w:tc>
          <w:tcPr>
            <w:tcW w:w="1289" w:type="dxa"/>
            <w:vMerge w:val="continue"/>
            <w:tcBorders>
              <w:left w:val="single" w:color="auto" w:sz="4" w:space="0"/>
              <w:bottom w:val="single" w:color="auto" w:sz="4" w:space="0"/>
              <w:right w:val="single" w:color="auto" w:sz="4" w:space="0"/>
            </w:tcBorders>
            <w:noWrap w:val="0"/>
            <w:vAlign w:val="center"/>
          </w:tcPr>
          <w:p>
            <w:pPr>
              <w:pStyle w:val="37"/>
              <w:keepNext w:val="0"/>
              <w:keepLines w:val="0"/>
              <w:widowControl w:val="0"/>
              <w:suppressLineNumbers w:val="0"/>
              <w:adjustRightInd w:val="0"/>
              <w:spacing w:before="0" w:beforeAutospacing="0" w:after="0" w:afterAutospacing="0" w:line="480" w:lineRule="exact"/>
              <w:ind w:left="0" w:right="0"/>
              <w:jc w:val="center"/>
              <w:rPr>
                <w:rFonts w:hint="eastAsia"/>
                <w:b w:val="0"/>
                <w:bCs/>
                <w:color w:val="auto"/>
              </w:rPr>
            </w:pPr>
          </w:p>
        </w:tc>
        <w:tc>
          <w:tcPr>
            <w:tcW w:w="838" w:type="dxa"/>
            <w:tcBorders>
              <w:top w:val="single" w:color="auto" w:sz="4" w:space="0"/>
              <w:left w:val="single" w:color="auto" w:sz="4" w:space="0"/>
              <w:bottom w:val="single" w:color="auto" w:sz="4" w:space="0"/>
              <w:right w:val="single" w:color="auto" w:sz="4" w:space="0"/>
            </w:tcBorders>
            <w:noWrap w:val="0"/>
            <w:vAlign w:val="center"/>
          </w:tcPr>
          <w:p>
            <w:pPr>
              <w:pStyle w:val="37"/>
              <w:keepNext w:val="0"/>
              <w:keepLines w:val="0"/>
              <w:widowControl w:val="0"/>
              <w:suppressLineNumbers w:val="0"/>
              <w:adjustRightInd w:val="0"/>
              <w:spacing w:before="0" w:beforeAutospacing="0" w:after="0" w:afterAutospacing="0" w:line="480" w:lineRule="exact"/>
              <w:ind w:left="0" w:right="0"/>
              <w:jc w:val="center"/>
              <w:rPr>
                <w:rFonts w:hint="eastAsia"/>
                <w:b w:val="0"/>
                <w:bCs/>
                <w:color w:val="auto"/>
              </w:rPr>
            </w:pPr>
            <w:r>
              <w:rPr>
                <w:rFonts w:hint="eastAsia"/>
                <w:b w:val="0"/>
                <w:bCs/>
                <w:color w:val="auto"/>
              </w:rPr>
              <w:t>品牌</w:t>
            </w:r>
          </w:p>
        </w:tc>
        <w:tc>
          <w:tcPr>
            <w:tcW w:w="837" w:type="dxa"/>
            <w:tcBorders>
              <w:top w:val="single" w:color="auto" w:sz="4" w:space="0"/>
              <w:left w:val="single" w:color="auto" w:sz="4" w:space="0"/>
              <w:bottom w:val="single" w:color="auto" w:sz="4" w:space="0"/>
              <w:right w:val="single" w:color="auto" w:sz="4" w:space="0"/>
            </w:tcBorders>
            <w:noWrap w:val="0"/>
            <w:vAlign w:val="center"/>
          </w:tcPr>
          <w:p>
            <w:pPr>
              <w:pStyle w:val="37"/>
              <w:keepNext w:val="0"/>
              <w:keepLines w:val="0"/>
              <w:widowControl w:val="0"/>
              <w:suppressLineNumbers w:val="0"/>
              <w:adjustRightInd w:val="0"/>
              <w:spacing w:before="0" w:beforeAutospacing="0" w:after="0" w:afterAutospacing="0" w:line="480" w:lineRule="exact"/>
              <w:ind w:left="0" w:right="0"/>
              <w:jc w:val="center"/>
              <w:rPr>
                <w:rFonts w:hint="eastAsia"/>
                <w:b w:val="0"/>
                <w:bCs/>
                <w:color w:val="auto"/>
              </w:rPr>
            </w:pPr>
            <w:r>
              <w:rPr>
                <w:rFonts w:hint="eastAsia"/>
                <w:b w:val="0"/>
                <w:bCs/>
                <w:color w:val="auto"/>
              </w:rPr>
              <w:t>型号</w:t>
            </w:r>
          </w:p>
        </w:tc>
        <w:tc>
          <w:tcPr>
            <w:tcW w:w="3015" w:type="dxa"/>
            <w:tcBorders>
              <w:top w:val="single" w:color="auto" w:sz="4" w:space="0"/>
              <w:left w:val="single" w:color="auto" w:sz="4" w:space="0"/>
              <w:bottom w:val="single" w:color="auto" w:sz="4" w:space="0"/>
              <w:right w:val="single" w:color="auto" w:sz="4" w:space="0"/>
            </w:tcBorders>
            <w:noWrap w:val="0"/>
            <w:vAlign w:val="center"/>
          </w:tcPr>
          <w:p>
            <w:pPr>
              <w:pStyle w:val="37"/>
              <w:keepNext w:val="0"/>
              <w:keepLines w:val="0"/>
              <w:widowControl w:val="0"/>
              <w:suppressLineNumbers w:val="0"/>
              <w:adjustRightInd w:val="0"/>
              <w:spacing w:before="0" w:beforeAutospacing="0" w:after="0" w:afterAutospacing="0" w:line="480" w:lineRule="exact"/>
              <w:ind w:left="0" w:right="0"/>
              <w:jc w:val="center"/>
              <w:rPr>
                <w:rFonts w:hint="eastAsia"/>
                <w:b w:val="0"/>
                <w:bCs/>
                <w:color w:val="auto"/>
              </w:rPr>
            </w:pPr>
            <w:r>
              <w:rPr>
                <w:rFonts w:hint="eastAsia"/>
                <w:b w:val="0"/>
                <w:bCs/>
                <w:color w:val="auto"/>
              </w:rPr>
              <w:t>技术参数</w:t>
            </w:r>
          </w:p>
        </w:tc>
        <w:tc>
          <w:tcPr>
            <w:tcW w:w="563" w:type="dxa"/>
            <w:vMerge w:val="continue"/>
            <w:tcBorders>
              <w:left w:val="single" w:color="auto" w:sz="4" w:space="0"/>
              <w:bottom w:val="single" w:color="auto" w:sz="4" w:space="0"/>
              <w:right w:val="single" w:color="auto" w:sz="4" w:space="0"/>
            </w:tcBorders>
            <w:noWrap w:val="0"/>
            <w:vAlign w:val="center"/>
          </w:tcPr>
          <w:p>
            <w:pPr>
              <w:pStyle w:val="37"/>
              <w:keepNext w:val="0"/>
              <w:keepLines w:val="0"/>
              <w:widowControl w:val="0"/>
              <w:suppressLineNumbers w:val="0"/>
              <w:adjustRightInd w:val="0"/>
              <w:spacing w:before="0" w:beforeAutospacing="0" w:after="0" w:afterAutospacing="0" w:line="480" w:lineRule="exact"/>
              <w:ind w:left="0" w:right="0"/>
              <w:jc w:val="center"/>
              <w:rPr>
                <w:rFonts w:hint="eastAsia"/>
                <w:b w:val="0"/>
                <w:bCs/>
                <w:color w:val="auto"/>
              </w:rPr>
            </w:pPr>
          </w:p>
        </w:tc>
        <w:tc>
          <w:tcPr>
            <w:tcW w:w="563" w:type="dxa"/>
            <w:vMerge w:val="continue"/>
            <w:tcBorders>
              <w:left w:val="single" w:color="auto" w:sz="4" w:space="0"/>
              <w:bottom w:val="single" w:color="auto" w:sz="4" w:space="0"/>
              <w:right w:val="single" w:color="auto" w:sz="4" w:space="0"/>
            </w:tcBorders>
            <w:noWrap w:val="0"/>
            <w:vAlign w:val="center"/>
          </w:tcPr>
          <w:p>
            <w:pPr>
              <w:pStyle w:val="37"/>
              <w:keepNext w:val="0"/>
              <w:keepLines w:val="0"/>
              <w:widowControl w:val="0"/>
              <w:suppressLineNumbers w:val="0"/>
              <w:adjustRightInd w:val="0"/>
              <w:spacing w:before="0" w:beforeAutospacing="0" w:after="0" w:afterAutospacing="0" w:line="480" w:lineRule="exact"/>
              <w:ind w:left="0" w:right="0"/>
              <w:jc w:val="center"/>
              <w:rPr>
                <w:rFonts w:hint="eastAsia"/>
                <w:b w:val="0"/>
                <w:bCs/>
                <w:color w:val="auto"/>
              </w:rPr>
            </w:pPr>
          </w:p>
        </w:tc>
        <w:tc>
          <w:tcPr>
            <w:tcW w:w="912" w:type="dxa"/>
            <w:vMerge w:val="continue"/>
            <w:tcBorders>
              <w:left w:val="single" w:color="auto" w:sz="4" w:space="0"/>
              <w:bottom w:val="single" w:color="auto" w:sz="4" w:space="0"/>
              <w:right w:val="single" w:color="auto" w:sz="4" w:space="0"/>
            </w:tcBorders>
            <w:noWrap w:val="0"/>
            <w:vAlign w:val="center"/>
          </w:tcPr>
          <w:p>
            <w:pPr>
              <w:pStyle w:val="37"/>
              <w:keepNext w:val="0"/>
              <w:keepLines w:val="0"/>
              <w:widowControl w:val="0"/>
              <w:suppressLineNumbers w:val="0"/>
              <w:adjustRightInd w:val="0"/>
              <w:spacing w:before="0" w:beforeAutospacing="0" w:after="0" w:afterAutospacing="0" w:line="480" w:lineRule="exact"/>
              <w:ind w:left="0" w:right="0" w:firstLine="235" w:firstLineChars="98"/>
              <w:jc w:val="center"/>
              <w:rPr>
                <w:rFonts w:hint="default"/>
                <w:b w:val="0"/>
                <w:bCs/>
                <w:color w:val="auto"/>
              </w:rPr>
            </w:pPr>
          </w:p>
        </w:tc>
        <w:tc>
          <w:tcPr>
            <w:tcW w:w="1044" w:type="dxa"/>
            <w:vMerge w:val="continue"/>
            <w:tcBorders>
              <w:left w:val="single" w:color="auto" w:sz="4" w:space="0"/>
              <w:bottom w:val="single" w:color="auto" w:sz="4" w:space="0"/>
              <w:right w:val="single" w:color="auto" w:sz="4" w:space="0"/>
            </w:tcBorders>
            <w:noWrap w:val="0"/>
            <w:vAlign w:val="center"/>
          </w:tcPr>
          <w:p>
            <w:pPr>
              <w:pStyle w:val="37"/>
              <w:keepNext w:val="0"/>
              <w:keepLines w:val="0"/>
              <w:widowControl w:val="0"/>
              <w:suppressLineNumbers w:val="0"/>
              <w:adjustRightInd w:val="0"/>
              <w:spacing w:before="0" w:beforeAutospacing="0" w:after="0" w:afterAutospacing="0" w:line="480" w:lineRule="exact"/>
              <w:ind w:left="0" w:right="0"/>
              <w:jc w:val="center"/>
              <w:rPr>
                <w:rFonts w:hint="eastAsia"/>
                <w:b w:val="0"/>
                <w:bCs/>
                <w:color w:val="auto"/>
              </w:rPr>
            </w:pPr>
          </w:p>
        </w:tc>
        <w:tc>
          <w:tcPr>
            <w:tcW w:w="715" w:type="dxa"/>
            <w:vMerge w:val="continue"/>
            <w:tcBorders>
              <w:left w:val="single" w:color="auto" w:sz="4" w:space="0"/>
              <w:bottom w:val="single" w:color="auto" w:sz="4" w:space="0"/>
              <w:right w:val="single" w:color="auto" w:sz="4" w:space="0"/>
            </w:tcBorders>
            <w:noWrap w:val="0"/>
            <w:vAlign w:val="top"/>
          </w:tcPr>
          <w:p>
            <w:pPr>
              <w:pStyle w:val="37"/>
              <w:keepNext w:val="0"/>
              <w:keepLines w:val="0"/>
              <w:widowControl w:val="0"/>
              <w:suppressLineNumbers w:val="0"/>
              <w:adjustRightInd w:val="0"/>
              <w:spacing w:before="0" w:beforeAutospacing="0" w:after="0" w:afterAutospacing="0" w:line="480" w:lineRule="exact"/>
              <w:ind w:left="105" w:leftChars="50" w:right="0" w:firstLine="115" w:firstLineChars="48"/>
              <w:jc w:val="center"/>
              <w:rPr>
                <w:rFonts w:hint="eastAsia"/>
                <w:b w:val="0"/>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7" w:hRule="atLeast"/>
        </w:trPr>
        <w:tc>
          <w:tcPr>
            <w:tcW w:w="1289"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838"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837"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3015"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563"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563"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912"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1044"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715"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7" w:hRule="atLeast"/>
        </w:trPr>
        <w:tc>
          <w:tcPr>
            <w:tcW w:w="1289"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838"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837"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3015"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563"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563"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912"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1044"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715"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7" w:hRule="atLeast"/>
        </w:trPr>
        <w:tc>
          <w:tcPr>
            <w:tcW w:w="1289"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838"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837"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3015"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563"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563"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912"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1044"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715"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7" w:hRule="atLeast"/>
        </w:trPr>
        <w:tc>
          <w:tcPr>
            <w:tcW w:w="1289"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838"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837"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3015"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563"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563"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912"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1044"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715"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7" w:hRule="atLeast"/>
        </w:trPr>
        <w:tc>
          <w:tcPr>
            <w:tcW w:w="1289"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838"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837"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3015"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563"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563"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912"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1044"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715"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trPr>
        <w:tc>
          <w:tcPr>
            <w:tcW w:w="1289"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838"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837"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3015"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563"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563"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912"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1044"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715"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8" w:hRule="atLeast"/>
        </w:trPr>
        <w:tc>
          <w:tcPr>
            <w:tcW w:w="1289"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rPr>
                <w:rFonts w:hint="default" w:ascii="宋体" w:hAnsi="宋体" w:cs="宋体"/>
                <w:b w:val="0"/>
                <w:bCs/>
                <w:color w:val="auto"/>
                <w:sz w:val="24"/>
              </w:rPr>
            </w:pPr>
            <w:r>
              <w:rPr>
                <w:rFonts w:hint="eastAsia" w:ascii="宋体" w:hAnsi="宋体" w:cs="宋体"/>
                <w:b w:val="0"/>
                <w:bCs/>
                <w:color w:val="auto"/>
                <w:sz w:val="24"/>
              </w:rPr>
              <w:t>合计（元）</w:t>
            </w:r>
          </w:p>
        </w:tc>
        <w:tc>
          <w:tcPr>
            <w:tcW w:w="8487" w:type="dxa"/>
            <w:gridSpan w:val="8"/>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rPr>
                <w:rFonts w:hint="default" w:ascii="宋体" w:hAnsi="宋体" w:cs="宋体"/>
                <w:b w:val="0"/>
                <w:bCs/>
                <w:color w:val="auto"/>
                <w:sz w:val="24"/>
              </w:rPr>
            </w:pPr>
            <w:r>
              <w:rPr>
                <w:rFonts w:hint="eastAsia" w:ascii="宋体" w:hAnsi="宋体" w:cs="宋体"/>
                <w:b w:val="0"/>
                <w:bCs/>
                <w:color w:val="auto"/>
                <w:sz w:val="24"/>
              </w:rPr>
              <w:t>大写：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7" w:hRule="atLeast"/>
        </w:trPr>
        <w:tc>
          <w:tcPr>
            <w:tcW w:w="9776" w:type="dxa"/>
            <w:gridSpan w:val="9"/>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rPr>
                <w:rFonts w:hint="default" w:ascii="宋体" w:hAnsi="宋体" w:eastAsia="宋体" w:cs="宋体"/>
                <w:b w:val="0"/>
                <w:bCs/>
                <w:color w:val="auto"/>
                <w:sz w:val="24"/>
                <w:lang w:val="en-US" w:eastAsia="zh-CN"/>
              </w:rPr>
            </w:pPr>
            <w:r>
              <w:rPr>
                <w:rFonts w:hint="eastAsia" w:ascii="宋体" w:hAnsi="宋体" w:cs="宋体"/>
                <w:b/>
                <w:bCs w:val="0"/>
                <w:color w:val="auto"/>
                <w:sz w:val="24"/>
                <w:lang w:val="en-US" w:eastAsia="zh-CN"/>
              </w:rPr>
              <w:t>重要提示：1、本页不够的可根据需要添加；2、本表的每一页须加盖企业印章。最后价格汇总页，须加盖企业印章并法人代表</w:t>
            </w:r>
            <w:r>
              <w:rPr>
                <w:rFonts w:hint="eastAsia" w:ascii="宋体" w:hAnsi="宋体" w:eastAsia="宋体" w:cs="宋体"/>
                <w:b/>
                <w:bCs w:val="0"/>
                <w:color w:val="auto"/>
                <w:sz w:val="24"/>
                <w:szCs w:val="20"/>
              </w:rPr>
              <w:t>或其委托代理人</w:t>
            </w:r>
            <w:r>
              <w:rPr>
                <w:rFonts w:hint="eastAsia" w:ascii="宋体" w:hAnsi="宋体" w:eastAsia="宋体" w:cs="宋体"/>
                <w:b/>
                <w:bCs w:val="0"/>
                <w:color w:val="auto"/>
                <w:sz w:val="24"/>
              </w:rPr>
              <w:t>签字或盖章</w:t>
            </w:r>
            <w:r>
              <w:rPr>
                <w:rFonts w:hint="eastAsia" w:ascii="宋体" w:hAnsi="宋体" w:cs="宋体"/>
                <w:b/>
                <w:bCs w:val="0"/>
                <w:color w:val="auto"/>
                <w:sz w:val="24"/>
                <w:lang w:eastAsia="zh-CN"/>
              </w:rPr>
              <w:t>（</w:t>
            </w:r>
            <w:r>
              <w:rPr>
                <w:rFonts w:hint="eastAsia" w:ascii="宋体" w:hAnsi="宋体" w:cs="宋体"/>
                <w:b/>
                <w:bCs w:val="0"/>
                <w:color w:val="auto"/>
                <w:sz w:val="24"/>
                <w:lang w:val="en-US" w:eastAsia="zh-CN"/>
              </w:rPr>
              <w:t>否则按无效投标处理</w:t>
            </w:r>
            <w:r>
              <w:rPr>
                <w:rFonts w:hint="eastAsia" w:ascii="宋体" w:hAnsi="宋体" w:cs="宋体"/>
                <w:b/>
                <w:bCs w:val="0"/>
                <w:color w:val="auto"/>
                <w:sz w:val="24"/>
                <w:lang w:eastAsia="zh-CN"/>
              </w:rPr>
              <w:t>）；</w:t>
            </w:r>
            <w:r>
              <w:rPr>
                <w:rFonts w:hint="eastAsia" w:ascii="宋体" w:hAnsi="宋体" w:cs="宋体"/>
                <w:b/>
                <w:bCs w:val="0"/>
                <w:color w:val="auto"/>
                <w:sz w:val="24"/>
                <w:lang w:val="en-US" w:eastAsia="zh-CN"/>
              </w:rPr>
              <w:t>3、涉及有国家标准的产品，须填写名称、品牌、型号及技术参数、报价等本表内容（若品牌、型号等填写的与实际不符，按照无效标处理）4、所投软件须经相关部门认证（提供认证资料，加盖投标公司印章）</w:t>
            </w:r>
          </w:p>
        </w:tc>
      </w:tr>
    </w:tbl>
    <w:p>
      <w:pPr>
        <w:spacing w:line="480" w:lineRule="exact"/>
        <w:jc w:val="right"/>
        <w:rPr>
          <w:rFonts w:hint="eastAsia" w:ascii="宋体" w:hAnsi="宋体" w:cs="宋体"/>
          <w:b w:val="0"/>
          <w:bCs/>
          <w:color w:val="auto"/>
          <w:sz w:val="24"/>
        </w:rPr>
      </w:pPr>
    </w:p>
    <w:p>
      <w:pPr>
        <w:spacing w:line="480" w:lineRule="exact"/>
        <w:jc w:val="right"/>
        <w:rPr>
          <w:rFonts w:hint="eastAsia" w:ascii="宋体" w:hAnsi="宋体" w:cs="宋体"/>
          <w:b w:val="0"/>
          <w:bCs/>
          <w:color w:val="auto"/>
          <w:sz w:val="24"/>
        </w:rPr>
      </w:pPr>
    </w:p>
    <w:p>
      <w:pPr>
        <w:spacing w:line="480" w:lineRule="exact"/>
        <w:jc w:val="right"/>
        <w:rPr>
          <w:rFonts w:hint="eastAsia" w:ascii="宋体" w:hAnsi="宋体" w:eastAsia="宋体" w:cs="宋体"/>
          <w:b w:val="0"/>
          <w:bCs/>
          <w:color w:val="auto"/>
          <w:sz w:val="24"/>
        </w:rPr>
      </w:pPr>
      <w:r>
        <w:rPr>
          <w:rFonts w:hint="eastAsia" w:ascii="宋体" w:hAnsi="宋体" w:cs="宋体"/>
          <w:b w:val="0"/>
          <w:bCs/>
          <w:color w:val="auto"/>
          <w:sz w:val="24"/>
        </w:rPr>
        <w:t xml:space="preserve"> </w:t>
      </w:r>
      <w:r>
        <w:rPr>
          <w:rFonts w:hint="eastAsia" w:ascii="宋体" w:hAnsi="宋体" w:eastAsia="宋体" w:cs="宋体"/>
          <w:b w:val="0"/>
          <w:bCs/>
          <w:color w:val="auto"/>
          <w:sz w:val="24"/>
        </w:rPr>
        <w:t>供应商：（单位公章）</w:t>
      </w:r>
      <w:r>
        <w:rPr>
          <w:rFonts w:hint="eastAsia" w:ascii="宋体" w:hAnsi="宋体" w:cs="宋体"/>
          <w:b w:val="0"/>
          <w:bCs/>
          <w:color w:val="auto"/>
          <w:sz w:val="24"/>
          <w:lang w:val="en-US" w:eastAsia="zh-CN"/>
        </w:rPr>
        <w:t xml:space="preserve">                                   </w:t>
      </w:r>
      <w:r>
        <w:rPr>
          <w:rFonts w:hint="eastAsia" w:ascii="宋体" w:hAnsi="宋体" w:eastAsia="宋体" w:cs="宋体"/>
          <w:b w:val="0"/>
          <w:bCs/>
          <w:color w:val="auto"/>
          <w:sz w:val="24"/>
        </w:rPr>
        <w:t xml:space="preserve">   </w:t>
      </w:r>
    </w:p>
    <w:p>
      <w:pPr>
        <w:spacing w:line="480" w:lineRule="exact"/>
        <w:jc w:val="right"/>
        <w:rPr>
          <w:rFonts w:ascii="宋体" w:hAnsi="宋体" w:eastAsia="宋体" w:cs="宋体"/>
          <w:b w:val="0"/>
          <w:bCs/>
          <w:color w:val="auto"/>
          <w:sz w:val="24"/>
        </w:rPr>
      </w:pPr>
      <w:r>
        <w:rPr>
          <w:rFonts w:hint="eastAsia" w:ascii="宋体" w:hAnsi="宋体" w:eastAsia="宋体" w:cs="宋体"/>
          <w:b w:val="0"/>
          <w:bCs/>
          <w:color w:val="auto"/>
          <w:sz w:val="24"/>
        </w:rPr>
        <w:t xml:space="preserve">  法定代表人</w:t>
      </w:r>
      <w:r>
        <w:rPr>
          <w:rFonts w:hint="eastAsia" w:ascii="宋体" w:hAnsi="宋体" w:eastAsia="宋体" w:cs="宋体"/>
          <w:b w:val="0"/>
          <w:bCs/>
          <w:color w:val="auto"/>
          <w:sz w:val="24"/>
          <w:szCs w:val="20"/>
        </w:rPr>
        <w:t>或其委托代理人</w:t>
      </w:r>
      <w:r>
        <w:rPr>
          <w:rFonts w:hint="eastAsia" w:ascii="宋体" w:hAnsi="宋体" w:eastAsia="宋体" w:cs="宋体"/>
          <w:b w:val="0"/>
          <w:bCs/>
          <w:color w:val="auto"/>
          <w:sz w:val="24"/>
        </w:rPr>
        <w:t>：（签字或盖章）</w:t>
      </w:r>
    </w:p>
    <w:p>
      <w:pPr>
        <w:ind w:left="1050" w:leftChars="500"/>
        <w:jc w:val="right"/>
        <w:rPr>
          <w:rFonts w:ascii="宋体" w:hAnsi="宋体" w:eastAsia="宋体" w:cs="宋体"/>
          <w:b w:val="0"/>
          <w:bCs/>
          <w:color w:val="auto"/>
          <w:sz w:val="24"/>
        </w:rPr>
      </w:pPr>
    </w:p>
    <w:p>
      <w:pPr>
        <w:ind w:left="1050" w:leftChars="500"/>
        <w:jc w:val="right"/>
        <w:rPr>
          <w:rFonts w:ascii="宋体" w:hAnsi="宋体" w:eastAsia="宋体" w:cs="宋体"/>
          <w:b w:val="0"/>
          <w:bCs/>
          <w:color w:val="auto"/>
          <w:sz w:val="24"/>
        </w:rPr>
      </w:pPr>
      <w:r>
        <w:rPr>
          <w:rFonts w:hint="eastAsia" w:ascii="宋体" w:hAnsi="宋体" w:eastAsia="宋体" w:cs="宋体"/>
          <w:b w:val="0"/>
          <w:bCs/>
          <w:color w:val="auto"/>
          <w:sz w:val="24"/>
        </w:rPr>
        <w:t xml:space="preserve">                日  期：     年   月   日</w:t>
      </w:r>
    </w:p>
    <w:p>
      <w:pPr>
        <w:autoSpaceDE w:val="0"/>
        <w:autoSpaceDN w:val="0"/>
        <w:adjustRightInd w:val="0"/>
        <w:spacing w:line="440" w:lineRule="exact"/>
        <w:jc w:val="right"/>
        <w:rPr>
          <w:rFonts w:hint="eastAsia" w:ascii="宋体" w:hAnsi="宋体" w:cs="宋体"/>
          <w:b/>
          <w:sz w:val="30"/>
          <w:szCs w:val="30"/>
          <w:lang w:eastAsia="zh-CN"/>
        </w:rPr>
      </w:pPr>
    </w:p>
    <w:p>
      <w:pPr>
        <w:autoSpaceDE w:val="0"/>
        <w:autoSpaceDN w:val="0"/>
        <w:adjustRightInd w:val="0"/>
        <w:spacing w:line="440" w:lineRule="exact"/>
        <w:jc w:val="center"/>
        <w:rPr>
          <w:rFonts w:hint="eastAsia" w:ascii="宋体" w:hAnsi="宋体" w:cs="宋体"/>
          <w:b/>
          <w:sz w:val="30"/>
          <w:szCs w:val="30"/>
          <w:lang w:eastAsia="zh-CN"/>
        </w:rPr>
      </w:pPr>
    </w:p>
    <w:p>
      <w:pPr>
        <w:autoSpaceDE w:val="0"/>
        <w:autoSpaceDN w:val="0"/>
        <w:adjustRightInd w:val="0"/>
        <w:spacing w:line="440" w:lineRule="exact"/>
        <w:jc w:val="center"/>
        <w:rPr>
          <w:rFonts w:ascii="宋体" w:hAnsi="宋体" w:cs="宋体"/>
          <w:b/>
          <w:sz w:val="30"/>
          <w:szCs w:val="30"/>
        </w:rPr>
      </w:pPr>
      <w:r>
        <w:rPr>
          <w:rFonts w:hint="eastAsia" w:ascii="宋体" w:hAnsi="宋体" w:cs="宋体"/>
          <w:b/>
          <w:sz w:val="30"/>
          <w:szCs w:val="30"/>
          <w:lang w:eastAsia="zh-CN"/>
        </w:rPr>
        <w:t>（</w:t>
      </w:r>
      <w:r>
        <w:rPr>
          <w:rFonts w:hint="eastAsia" w:ascii="宋体" w:hAnsi="宋体" w:cs="宋体"/>
          <w:b/>
          <w:sz w:val="30"/>
          <w:szCs w:val="30"/>
          <w:lang w:val="en-US" w:eastAsia="zh-CN"/>
        </w:rPr>
        <w:t>四</w:t>
      </w:r>
      <w:r>
        <w:rPr>
          <w:rFonts w:hint="eastAsia" w:ascii="宋体" w:hAnsi="宋体" w:cs="宋体"/>
          <w:b/>
          <w:sz w:val="30"/>
          <w:szCs w:val="30"/>
          <w:lang w:eastAsia="zh-CN"/>
        </w:rPr>
        <w:t>）</w:t>
      </w:r>
      <w:r>
        <w:rPr>
          <w:rFonts w:hint="eastAsia" w:ascii="宋体" w:hAnsi="宋体" w:cs="宋体"/>
          <w:b/>
          <w:sz w:val="30"/>
          <w:szCs w:val="30"/>
        </w:rPr>
        <w:t>技术偏离表</w:t>
      </w:r>
    </w:p>
    <w:p>
      <w:pPr>
        <w:spacing w:line="440" w:lineRule="exact"/>
        <w:rPr>
          <w:rFonts w:ascii="宋体" w:hAnsi="宋体" w:cs="宋体"/>
          <w:sz w:val="32"/>
        </w:rPr>
      </w:pPr>
    </w:p>
    <w:tbl>
      <w:tblPr>
        <w:tblStyle w:val="40"/>
        <w:tblW w:w="944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55"/>
        <w:gridCol w:w="1886"/>
        <w:gridCol w:w="2010"/>
        <w:gridCol w:w="2135"/>
        <w:gridCol w:w="255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91" w:hRule="atLeast"/>
          <w:jc w:val="center"/>
        </w:trPr>
        <w:tc>
          <w:tcPr>
            <w:tcW w:w="855" w:type="dxa"/>
            <w:tcBorders>
              <w:top w:val="single" w:color="auto" w:sz="12" w:space="0"/>
              <w:left w:val="single" w:color="auto" w:sz="12" w:space="0"/>
              <w:bottom w:val="single" w:color="auto" w:sz="6" w:space="0"/>
              <w:right w:val="single" w:color="auto" w:sz="6" w:space="0"/>
            </w:tcBorders>
            <w:vAlign w:val="center"/>
          </w:tcPr>
          <w:p>
            <w:pPr>
              <w:keepNext w:val="0"/>
              <w:keepLines w:val="0"/>
              <w:suppressLineNumbers w:val="0"/>
              <w:spacing w:before="0" w:beforeAutospacing="0" w:after="0" w:afterAutospacing="0" w:line="440" w:lineRule="exact"/>
              <w:ind w:left="-141" w:right="0"/>
              <w:rPr>
                <w:rFonts w:hint="default" w:ascii="宋体" w:hAnsi="宋体" w:cs="宋体"/>
                <w:b/>
                <w:sz w:val="24"/>
              </w:rPr>
            </w:pPr>
            <w:r>
              <w:rPr>
                <w:rFonts w:hint="eastAsia" w:ascii="宋体" w:hAnsi="宋体" w:cs="宋体"/>
                <w:b/>
                <w:sz w:val="24"/>
              </w:rPr>
              <w:t xml:space="preserve">  序号</w:t>
            </w:r>
          </w:p>
        </w:tc>
        <w:tc>
          <w:tcPr>
            <w:tcW w:w="1886" w:type="dxa"/>
            <w:tcBorders>
              <w:top w:val="single" w:color="auto" w:sz="12"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
                <w:sz w:val="24"/>
              </w:rPr>
            </w:pPr>
            <w:r>
              <w:rPr>
                <w:rFonts w:hint="eastAsia" w:ascii="宋体" w:hAnsi="宋体" w:cs="宋体"/>
                <w:b/>
                <w:sz w:val="24"/>
              </w:rPr>
              <w:t>货物名称</w:t>
            </w:r>
          </w:p>
        </w:tc>
        <w:tc>
          <w:tcPr>
            <w:tcW w:w="2010" w:type="dxa"/>
            <w:tcBorders>
              <w:top w:val="single" w:color="auto" w:sz="12"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
                <w:sz w:val="24"/>
              </w:rPr>
            </w:pPr>
            <w:r>
              <w:rPr>
                <w:rFonts w:hint="eastAsia" w:ascii="宋体" w:hAnsi="宋体" w:cs="宋体"/>
                <w:b/>
                <w:sz w:val="24"/>
              </w:rPr>
              <w:t>招标技术要求</w:t>
            </w:r>
          </w:p>
        </w:tc>
        <w:tc>
          <w:tcPr>
            <w:tcW w:w="2135" w:type="dxa"/>
            <w:tcBorders>
              <w:top w:val="single" w:color="auto" w:sz="12" w:space="0"/>
              <w:left w:val="single" w:color="auto" w:sz="6" w:space="0"/>
              <w:bottom w:val="single" w:color="auto" w:sz="6" w:space="0"/>
              <w:right w:val="single" w:color="auto" w:sz="6" w:space="0"/>
            </w:tcBorders>
            <w:vAlign w:val="center"/>
          </w:tcPr>
          <w:p>
            <w:pPr>
              <w:keepNext w:val="0"/>
              <w:keepLines w:val="0"/>
              <w:widowControl/>
              <w:suppressLineNumbers w:val="0"/>
              <w:spacing w:before="0" w:beforeAutospacing="0" w:after="0" w:afterAutospacing="0" w:line="440" w:lineRule="exact"/>
              <w:ind w:left="0" w:right="0"/>
              <w:jc w:val="center"/>
              <w:rPr>
                <w:rFonts w:hint="default" w:ascii="宋体" w:hAnsi="宋体" w:cs="宋体"/>
                <w:b/>
                <w:sz w:val="24"/>
              </w:rPr>
            </w:pPr>
            <w:r>
              <w:rPr>
                <w:rFonts w:hint="eastAsia" w:ascii="宋体" w:hAnsi="宋体" w:cs="宋体"/>
                <w:b/>
                <w:sz w:val="24"/>
              </w:rPr>
              <w:t>投标货物实际技术规格</w:t>
            </w:r>
          </w:p>
        </w:tc>
        <w:tc>
          <w:tcPr>
            <w:tcW w:w="2556" w:type="dxa"/>
            <w:tcBorders>
              <w:top w:val="single" w:color="auto" w:sz="12" w:space="0"/>
              <w:left w:val="single" w:color="auto" w:sz="6" w:space="0"/>
              <w:bottom w:val="single" w:color="auto" w:sz="6" w:space="0"/>
              <w:right w:val="single" w:color="auto" w:sz="12" w:space="0"/>
            </w:tcBorders>
            <w:vAlign w:val="center"/>
          </w:tcPr>
          <w:p>
            <w:pPr>
              <w:keepNext w:val="0"/>
              <w:keepLines w:val="0"/>
              <w:widowControl/>
              <w:suppressLineNumbers w:val="0"/>
              <w:spacing w:before="0" w:beforeAutospacing="0" w:after="0" w:afterAutospacing="0" w:line="440" w:lineRule="exact"/>
              <w:ind w:left="0" w:right="0"/>
              <w:jc w:val="center"/>
              <w:rPr>
                <w:rFonts w:hint="default" w:ascii="宋体" w:hAnsi="宋体" w:cs="宋体"/>
                <w:b/>
                <w:sz w:val="24"/>
              </w:rPr>
            </w:pPr>
            <w:r>
              <w:rPr>
                <w:rFonts w:hint="eastAsia" w:ascii="宋体" w:hAnsi="宋体" w:cs="宋体"/>
                <w:b/>
                <w:sz w:val="24"/>
              </w:rPr>
              <w:t>偏离说明</w:t>
            </w:r>
          </w:p>
          <w:p>
            <w:pPr>
              <w:keepNext w:val="0"/>
              <w:keepLines w:val="0"/>
              <w:widowControl/>
              <w:suppressLineNumbers w:val="0"/>
              <w:spacing w:before="0" w:beforeAutospacing="0" w:after="0" w:afterAutospacing="0" w:line="440" w:lineRule="exact"/>
              <w:ind w:left="0" w:right="0"/>
              <w:jc w:val="center"/>
              <w:rPr>
                <w:rFonts w:hint="default" w:ascii="宋体" w:hAnsi="宋体" w:cs="宋体"/>
                <w:b/>
                <w:sz w:val="24"/>
              </w:rPr>
            </w:pPr>
            <w:r>
              <w:rPr>
                <w:rFonts w:hint="eastAsia" w:ascii="宋体" w:hAnsi="宋体" w:cs="宋体"/>
                <w:b/>
                <w:sz w:val="24"/>
              </w:rPr>
              <w:t>(说明偏离情况）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5" w:hRule="atLeast"/>
          <w:jc w:val="center"/>
        </w:trPr>
        <w:tc>
          <w:tcPr>
            <w:tcW w:w="855" w:type="dxa"/>
            <w:tcBorders>
              <w:top w:val="single" w:color="auto" w:sz="6" w:space="0"/>
              <w:left w:val="single" w:color="auto" w:sz="12" w:space="0"/>
              <w:bottom w:val="single" w:color="auto" w:sz="6" w:space="0"/>
              <w:right w:val="single" w:color="auto" w:sz="6" w:space="0"/>
            </w:tcBorders>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32"/>
              </w:rPr>
            </w:pPr>
          </w:p>
        </w:tc>
        <w:tc>
          <w:tcPr>
            <w:tcW w:w="1886"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24"/>
              </w:rPr>
            </w:pPr>
          </w:p>
        </w:tc>
        <w:tc>
          <w:tcPr>
            <w:tcW w:w="2010"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24"/>
              </w:rPr>
            </w:pPr>
          </w:p>
        </w:tc>
        <w:tc>
          <w:tcPr>
            <w:tcW w:w="2135"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18"/>
              </w:rPr>
            </w:pPr>
          </w:p>
        </w:tc>
        <w:tc>
          <w:tcPr>
            <w:tcW w:w="2556" w:type="dxa"/>
            <w:tcBorders>
              <w:top w:val="single" w:color="auto" w:sz="6" w:space="0"/>
              <w:left w:val="single" w:color="auto" w:sz="6" w:space="0"/>
              <w:bottom w:val="single" w:color="auto" w:sz="6" w:space="0"/>
              <w:right w:val="single" w:color="auto" w:sz="12" w:space="0"/>
            </w:tcBorders>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855" w:type="dxa"/>
            <w:tcBorders>
              <w:top w:val="single" w:color="auto" w:sz="6" w:space="0"/>
              <w:left w:val="single" w:color="auto" w:sz="12" w:space="0"/>
              <w:bottom w:val="single" w:color="auto" w:sz="6" w:space="0"/>
              <w:right w:val="single" w:color="auto" w:sz="6" w:space="0"/>
            </w:tcBorders>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32"/>
              </w:rPr>
            </w:pPr>
          </w:p>
        </w:tc>
        <w:tc>
          <w:tcPr>
            <w:tcW w:w="1886"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24"/>
              </w:rPr>
            </w:pPr>
          </w:p>
        </w:tc>
        <w:tc>
          <w:tcPr>
            <w:tcW w:w="2010"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24"/>
              </w:rPr>
            </w:pPr>
          </w:p>
        </w:tc>
        <w:tc>
          <w:tcPr>
            <w:tcW w:w="2135"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18"/>
              </w:rPr>
            </w:pPr>
          </w:p>
        </w:tc>
        <w:tc>
          <w:tcPr>
            <w:tcW w:w="2556" w:type="dxa"/>
            <w:tcBorders>
              <w:top w:val="single" w:color="auto" w:sz="6" w:space="0"/>
              <w:left w:val="single" w:color="auto" w:sz="6" w:space="0"/>
              <w:bottom w:val="single" w:color="auto" w:sz="6" w:space="0"/>
              <w:right w:val="single" w:color="auto" w:sz="12" w:space="0"/>
            </w:tcBorders>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4" w:hRule="atLeast"/>
          <w:jc w:val="center"/>
        </w:trPr>
        <w:tc>
          <w:tcPr>
            <w:tcW w:w="855" w:type="dxa"/>
            <w:tcBorders>
              <w:top w:val="single" w:color="auto" w:sz="6" w:space="0"/>
              <w:left w:val="single" w:color="auto" w:sz="12" w:space="0"/>
              <w:bottom w:val="single" w:color="auto" w:sz="6" w:space="0"/>
              <w:right w:val="single" w:color="auto" w:sz="6" w:space="0"/>
            </w:tcBorders>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32"/>
              </w:rPr>
            </w:pPr>
          </w:p>
        </w:tc>
        <w:tc>
          <w:tcPr>
            <w:tcW w:w="1886"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24"/>
              </w:rPr>
            </w:pPr>
          </w:p>
        </w:tc>
        <w:tc>
          <w:tcPr>
            <w:tcW w:w="2010"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24"/>
              </w:rPr>
            </w:pPr>
          </w:p>
        </w:tc>
        <w:tc>
          <w:tcPr>
            <w:tcW w:w="2135"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18"/>
              </w:rPr>
            </w:pPr>
          </w:p>
        </w:tc>
        <w:tc>
          <w:tcPr>
            <w:tcW w:w="2556" w:type="dxa"/>
            <w:tcBorders>
              <w:top w:val="single" w:color="auto" w:sz="6" w:space="0"/>
              <w:left w:val="single" w:color="auto" w:sz="6" w:space="0"/>
              <w:bottom w:val="single" w:color="auto" w:sz="6" w:space="0"/>
              <w:right w:val="single" w:color="auto" w:sz="12" w:space="0"/>
            </w:tcBorders>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0" w:hRule="atLeast"/>
          <w:jc w:val="center"/>
        </w:trPr>
        <w:tc>
          <w:tcPr>
            <w:tcW w:w="855" w:type="dxa"/>
            <w:tcBorders>
              <w:top w:val="single" w:color="auto" w:sz="6" w:space="0"/>
              <w:left w:val="single" w:color="auto" w:sz="12" w:space="0"/>
              <w:bottom w:val="single" w:color="auto" w:sz="6" w:space="0"/>
              <w:right w:val="single" w:color="auto" w:sz="6" w:space="0"/>
            </w:tcBorders>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32"/>
              </w:rPr>
            </w:pPr>
          </w:p>
        </w:tc>
        <w:tc>
          <w:tcPr>
            <w:tcW w:w="1886"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24"/>
              </w:rPr>
            </w:pPr>
          </w:p>
        </w:tc>
        <w:tc>
          <w:tcPr>
            <w:tcW w:w="2010" w:type="dxa"/>
            <w:tcBorders>
              <w:top w:val="single" w:color="auto" w:sz="6" w:space="0"/>
              <w:left w:val="single" w:color="auto" w:sz="6" w:space="0"/>
              <w:bottom w:val="single" w:color="auto" w:sz="6" w:space="0"/>
              <w:right w:val="single" w:color="auto" w:sz="6" w:space="0"/>
            </w:tcBorders>
            <w:vAlign w:val="center"/>
          </w:tcPr>
          <w:p>
            <w:pPr>
              <w:pStyle w:val="37"/>
              <w:keepNext w:val="0"/>
              <w:keepLines w:val="0"/>
              <w:widowControl w:val="0"/>
              <w:suppressLineNumbers w:val="0"/>
              <w:tabs>
                <w:tab w:val="left" w:pos="420"/>
              </w:tabs>
              <w:spacing w:before="0" w:beforeAutospacing="0" w:after="0" w:afterAutospacing="0" w:line="440" w:lineRule="exact"/>
              <w:ind w:left="0" w:right="0"/>
              <w:jc w:val="both"/>
              <w:rPr>
                <w:rFonts w:hint="default"/>
                <w:bCs/>
              </w:rPr>
            </w:pPr>
          </w:p>
        </w:tc>
        <w:tc>
          <w:tcPr>
            <w:tcW w:w="2135"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18"/>
              </w:rPr>
            </w:pPr>
          </w:p>
        </w:tc>
        <w:tc>
          <w:tcPr>
            <w:tcW w:w="2556" w:type="dxa"/>
            <w:tcBorders>
              <w:top w:val="single" w:color="auto" w:sz="6" w:space="0"/>
              <w:left w:val="single" w:color="auto" w:sz="6" w:space="0"/>
              <w:bottom w:val="single" w:color="auto" w:sz="6" w:space="0"/>
              <w:right w:val="single" w:color="auto" w:sz="12" w:space="0"/>
            </w:tcBorders>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8" w:hRule="atLeast"/>
          <w:jc w:val="center"/>
        </w:trPr>
        <w:tc>
          <w:tcPr>
            <w:tcW w:w="855" w:type="dxa"/>
            <w:tcBorders>
              <w:top w:val="single" w:color="auto" w:sz="6" w:space="0"/>
              <w:left w:val="single" w:color="auto" w:sz="12" w:space="0"/>
              <w:bottom w:val="single" w:color="auto" w:sz="6" w:space="0"/>
              <w:right w:val="single" w:color="auto" w:sz="6" w:space="0"/>
            </w:tcBorders>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32"/>
              </w:rPr>
            </w:pPr>
          </w:p>
        </w:tc>
        <w:tc>
          <w:tcPr>
            <w:tcW w:w="1886"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24"/>
              </w:rPr>
            </w:pPr>
          </w:p>
        </w:tc>
        <w:tc>
          <w:tcPr>
            <w:tcW w:w="2010"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24"/>
              </w:rPr>
            </w:pPr>
          </w:p>
        </w:tc>
        <w:tc>
          <w:tcPr>
            <w:tcW w:w="2135"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18"/>
              </w:rPr>
            </w:pPr>
          </w:p>
        </w:tc>
        <w:tc>
          <w:tcPr>
            <w:tcW w:w="2556" w:type="dxa"/>
            <w:tcBorders>
              <w:top w:val="single" w:color="auto" w:sz="6" w:space="0"/>
              <w:left w:val="single" w:color="auto" w:sz="6" w:space="0"/>
              <w:bottom w:val="single" w:color="auto" w:sz="6" w:space="0"/>
              <w:right w:val="single" w:color="auto" w:sz="12" w:space="0"/>
            </w:tcBorders>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3" w:hRule="atLeast"/>
          <w:jc w:val="center"/>
        </w:trPr>
        <w:tc>
          <w:tcPr>
            <w:tcW w:w="855" w:type="dxa"/>
            <w:tcBorders>
              <w:top w:val="single" w:color="auto" w:sz="6" w:space="0"/>
              <w:left w:val="single" w:color="auto" w:sz="12" w:space="0"/>
              <w:bottom w:val="single" w:color="auto" w:sz="6" w:space="0"/>
              <w:right w:val="single" w:color="auto" w:sz="6" w:space="0"/>
            </w:tcBorders>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32"/>
              </w:rPr>
            </w:pPr>
          </w:p>
        </w:tc>
        <w:tc>
          <w:tcPr>
            <w:tcW w:w="1886"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24"/>
              </w:rPr>
            </w:pPr>
          </w:p>
        </w:tc>
        <w:tc>
          <w:tcPr>
            <w:tcW w:w="2010"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24"/>
              </w:rPr>
            </w:pPr>
          </w:p>
        </w:tc>
        <w:tc>
          <w:tcPr>
            <w:tcW w:w="2135"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18"/>
              </w:rPr>
            </w:pPr>
          </w:p>
        </w:tc>
        <w:tc>
          <w:tcPr>
            <w:tcW w:w="2556" w:type="dxa"/>
            <w:tcBorders>
              <w:top w:val="single" w:color="auto" w:sz="6" w:space="0"/>
              <w:left w:val="single" w:color="auto" w:sz="6" w:space="0"/>
              <w:bottom w:val="single" w:color="auto" w:sz="6" w:space="0"/>
              <w:right w:val="single" w:color="auto" w:sz="12" w:space="0"/>
            </w:tcBorders>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30" w:hRule="atLeast"/>
          <w:jc w:val="center"/>
        </w:trPr>
        <w:tc>
          <w:tcPr>
            <w:tcW w:w="855" w:type="dxa"/>
            <w:tcBorders>
              <w:top w:val="single" w:color="auto" w:sz="6" w:space="0"/>
              <w:left w:val="single" w:color="auto" w:sz="12" w:space="0"/>
              <w:bottom w:val="single" w:color="auto" w:sz="6" w:space="0"/>
              <w:right w:val="single" w:color="auto" w:sz="6" w:space="0"/>
            </w:tcBorders>
            <w:vAlign w:val="center"/>
          </w:tcPr>
          <w:p>
            <w:pPr>
              <w:keepNext w:val="0"/>
              <w:keepLines w:val="0"/>
              <w:suppressLineNumbers w:val="0"/>
              <w:spacing w:before="0" w:beforeAutospacing="0" w:after="0" w:afterAutospacing="0" w:line="440" w:lineRule="exact"/>
              <w:ind w:left="0" w:right="0"/>
              <w:rPr>
                <w:rFonts w:hint="default" w:ascii="宋体" w:hAnsi="宋体" w:cs="宋体"/>
                <w:bCs/>
                <w:sz w:val="32"/>
              </w:rPr>
            </w:pPr>
          </w:p>
        </w:tc>
        <w:tc>
          <w:tcPr>
            <w:tcW w:w="1886"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24"/>
              </w:rPr>
            </w:pPr>
          </w:p>
        </w:tc>
        <w:tc>
          <w:tcPr>
            <w:tcW w:w="2010"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18"/>
              </w:rPr>
            </w:pPr>
          </w:p>
        </w:tc>
        <w:tc>
          <w:tcPr>
            <w:tcW w:w="2135"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18"/>
              </w:rPr>
            </w:pPr>
          </w:p>
        </w:tc>
        <w:tc>
          <w:tcPr>
            <w:tcW w:w="2556" w:type="dxa"/>
            <w:tcBorders>
              <w:top w:val="single" w:color="auto" w:sz="6" w:space="0"/>
              <w:left w:val="single" w:color="auto" w:sz="6" w:space="0"/>
              <w:bottom w:val="single" w:color="auto" w:sz="6" w:space="0"/>
              <w:right w:val="single" w:color="auto" w:sz="12" w:space="0"/>
            </w:tcBorders>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18"/>
              </w:rPr>
            </w:pPr>
          </w:p>
        </w:tc>
      </w:tr>
    </w:tbl>
    <w:p>
      <w:pPr>
        <w:ind w:firstLine="640" w:firstLineChars="200"/>
        <w:rPr>
          <w:rFonts w:ascii="宋体" w:hAnsi="宋体"/>
          <w:szCs w:val="21"/>
        </w:rPr>
      </w:pPr>
      <w:r>
        <w:rPr>
          <w:rFonts w:hint="eastAsia" w:ascii="宋体" w:hAnsi="宋体" w:cs="宋体"/>
          <w:sz w:val="32"/>
        </w:rPr>
        <w:t xml:space="preserve"> </w:t>
      </w:r>
      <w:r>
        <w:rPr>
          <w:rFonts w:hint="eastAsia" w:ascii="宋体" w:hAnsi="宋体"/>
          <w:szCs w:val="21"/>
        </w:rPr>
        <w:t>注：投标人须对照招标文件技术规格，将自己所投的所有货物的功能、技术性能、配置等内容按照上表格式与招标文件要求逐条填写，</w:t>
      </w:r>
      <w:r>
        <w:rPr>
          <w:rFonts w:hint="eastAsia" w:ascii="宋体" w:hAnsi="宋体"/>
          <w:b/>
          <w:bCs/>
          <w:szCs w:val="21"/>
        </w:rPr>
        <w:t>供应商必须提供所投设备的具体参数值，并在偏离说明栏中标明技术及配置的实际响应情况</w:t>
      </w:r>
      <w:r>
        <w:rPr>
          <w:rFonts w:hint="eastAsia" w:ascii="宋体" w:hAnsi="宋体"/>
          <w:szCs w:val="21"/>
        </w:rPr>
        <w:t>：</w:t>
      </w:r>
    </w:p>
    <w:p>
      <w:pPr>
        <w:ind w:firstLine="420" w:firstLineChars="200"/>
        <w:rPr>
          <w:rFonts w:ascii="宋体" w:hAnsi="宋体"/>
          <w:szCs w:val="21"/>
        </w:rPr>
      </w:pPr>
      <w:r>
        <w:rPr>
          <w:rFonts w:hint="eastAsia" w:ascii="宋体" w:hAnsi="宋体"/>
          <w:szCs w:val="21"/>
        </w:rPr>
        <w:t>1、偏离说明栏中必须标明技术及配置的响应情况，整项货物及该项货物各部分相应情况须按下列要求填写，任何不真实响应都将按无效投标处理：</w:t>
      </w:r>
    </w:p>
    <w:p>
      <w:pPr>
        <w:numPr>
          <w:ilvl w:val="0"/>
          <w:numId w:val="13"/>
        </w:numPr>
        <w:ind w:firstLine="420" w:firstLineChars="200"/>
        <w:rPr>
          <w:rFonts w:ascii="宋体" w:hAnsi="宋体"/>
          <w:szCs w:val="21"/>
        </w:rPr>
      </w:pPr>
      <w:r>
        <w:rPr>
          <w:rFonts w:hint="eastAsia" w:ascii="宋体" w:hAnsi="宋体"/>
          <w:szCs w:val="21"/>
        </w:rPr>
        <w:t>对应项中的所有技术参数、性能和配置全部符合招标文件要求的才能填写“符合”；</w:t>
      </w:r>
    </w:p>
    <w:p>
      <w:pPr>
        <w:numPr>
          <w:ilvl w:val="0"/>
          <w:numId w:val="13"/>
        </w:numPr>
        <w:ind w:firstLine="420" w:firstLineChars="200"/>
        <w:rPr>
          <w:rFonts w:ascii="宋体" w:hAnsi="宋体"/>
          <w:szCs w:val="21"/>
        </w:rPr>
      </w:pPr>
      <w:r>
        <w:rPr>
          <w:rFonts w:hint="eastAsia" w:ascii="宋体" w:hAnsi="宋体"/>
          <w:szCs w:val="21"/>
        </w:rPr>
        <w:t>对应项中的所有技术参数、性能和配置全部符合招标文件要求并且其中有一个或以上指标优于招标文件要求的，可填写“正偏离”；</w:t>
      </w:r>
    </w:p>
    <w:p>
      <w:pPr>
        <w:spacing w:line="600" w:lineRule="exact"/>
        <w:rPr>
          <w:rFonts w:ascii="宋体" w:hAnsi="宋体" w:eastAsia="宋体" w:cs="宋体"/>
          <w:sz w:val="24"/>
        </w:rPr>
      </w:pPr>
    </w:p>
    <w:p>
      <w:pPr>
        <w:spacing w:line="600" w:lineRule="exact"/>
        <w:rPr>
          <w:rFonts w:ascii="宋体" w:hAnsi="宋体" w:eastAsia="宋体" w:cs="宋体"/>
          <w:sz w:val="24"/>
          <w:u w:val="single"/>
        </w:rPr>
      </w:pPr>
      <w:r>
        <w:rPr>
          <w:rFonts w:hint="eastAsia" w:ascii="宋体" w:hAnsi="宋体" w:eastAsia="宋体" w:cs="宋体"/>
          <w:sz w:val="24"/>
        </w:rPr>
        <w:t>投标单位名称（盖章）：</w:t>
      </w:r>
      <w:r>
        <w:rPr>
          <w:rFonts w:hint="eastAsia" w:ascii="宋体" w:hAnsi="宋体" w:eastAsia="宋体" w:cs="宋体"/>
          <w:sz w:val="24"/>
          <w:u w:val="single"/>
        </w:rPr>
        <w:t xml:space="preserve">                              </w:t>
      </w:r>
    </w:p>
    <w:p>
      <w:pPr>
        <w:spacing w:line="600" w:lineRule="exact"/>
        <w:rPr>
          <w:rFonts w:ascii="宋体" w:hAnsi="宋体" w:eastAsia="宋体" w:cs="宋体"/>
          <w:sz w:val="24"/>
        </w:rPr>
      </w:pPr>
      <w:r>
        <w:rPr>
          <w:rFonts w:hint="eastAsia" w:ascii="宋体" w:hAnsi="宋体" w:eastAsia="宋体" w:cs="宋体"/>
          <w:sz w:val="24"/>
        </w:rPr>
        <w:t>法人代表或授权委托人（签字或盖章）：</w:t>
      </w:r>
      <w:r>
        <w:rPr>
          <w:rFonts w:hint="eastAsia" w:ascii="宋体" w:hAnsi="宋体" w:eastAsia="宋体" w:cs="宋体"/>
          <w:sz w:val="24"/>
          <w:u w:val="single"/>
        </w:rPr>
        <w:t xml:space="preserve">                 </w:t>
      </w:r>
    </w:p>
    <w:p>
      <w:pPr>
        <w:ind w:firstLine="480"/>
        <w:rPr>
          <w:rFonts w:ascii="宋体" w:hAnsi="宋体" w:eastAsia="宋体" w:cs="宋体"/>
        </w:rPr>
      </w:pPr>
      <w:r>
        <w:rPr>
          <w:rFonts w:hint="eastAsia" w:ascii="宋体" w:hAnsi="宋体" w:eastAsia="宋体" w:cs="宋体"/>
          <w:sz w:val="24"/>
        </w:rPr>
        <w:t xml:space="preserve">                                         年    月    日  </w:t>
      </w:r>
    </w:p>
    <w:p>
      <w:pPr>
        <w:pStyle w:val="5"/>
        <w:rPr>
          <w:rFonts w:asciiTheme="minorEastAsia" w:hAnsiTheme="minorEastAsia" w:eastAsiaTheme="minorEastAsia" w:cstheme="minorEastAsia"/>
          <w:sz w:val="24"/>
        </w:rPr>
      </w:pPr>
    </w:p>
    <w:p>
      <w:pPr>
        <w:pStyle w:val="5"/>
        <w:rPr>
          <w:rFonts w:asciiTheme="minorEastAsia" w:hAnsiTheme="minorEastAsia" w:eastAsiaTheme="minorEastAsia" w:cstheme="minorEastAsia"/>
          <w:sz w:val="24"/>
        </w:rPr>
      </w:pPr>
    </w:p>
    <w:p>
      <w:pPr>
        <w:pStyle w:val="5"/>
        <w:rPr>
          <w:rFonts w:asciiTheme="minorEastAsia" w:hAnsiTheme="minorEastAsia" w:eastAsiaTheme="minorEastAsia" w:cstheme="minorEastAsia"/>
          <w:sz w:val="24"/>
        </w:rPr>
      </w:pPr>
    </w:p>
    <w:p>
      <w:pPr>
        <w:pStyle w:val="5"/>
        <w:rPr>
          <w:rFonts w:asciiTheme="minorEastAsia" w:hAnsiTheme="minorEastAsia" w:eastAsiaTheme="minorEastAsia" w:cstheme="minorEastAsia"/>
          <w:sz w:val="24"/>
        </w:rPr>
      </w:pPr>
    </w:p>
    <w:p>
      <w:pPr>
        <w:pStyle w:val="5"/>
        <w:rPr>
          <w:rFonts w:asciiTheme="minorEastAsia" w:hAnsiTheme="minorEastAsia" w:eastAsiaTheme="minorEastAsia" w:cstheme="minorEastAsia"/>
          <w:sz w:val="24"/>
        </w:rPr>
      </w:pPr>
    </w:p>
    <w:p>
      <w:pPr>
        <w:pStyle w:val="5"/>
        <w:rPr>
          <w:rFonts w:asciiTheme="minorEastAsia" w:hAnsiTheme="minorEastAsia" w:eastAsiaTheme="minorEastAsia" w:cstheme="minorEastAsia"/>
          <w:sz w:val="24"/>
        </w:rPr>
      </w:pPr>
    </w:p>
    <w:p>
      <w:pPr>
        <w:pStyle w:val="5"/>
        <w:rPr>
          <w:rFonts w:asciiTheme="minorEastAsia" w:hAnsiTheme="minorEastAsia" w:eastAsiaTheme="minorEastAsia" w:cstheme="minorEastAsia"/>
          <w:sz w:val="24"/>
        </w:rPr>
      </w:pPr>
    </w:p>
    <w:p>
      <w:pPr>
        <w:pStyle w:val="5"/>
        <w:rPr>
          <w:rFonts w:asciiTheme="minorEastAsia" w:hAnsiTheme="minorEastAsia" w:eastAsiaTheme="minorEastAsia" w:cstheme="minorEastAsia"/>
          <w:sz w:val="24"/>
        </w:rPr>
      </w:pPr>
    </w:p>
    <w:p>
      <w:pPr>
        <w:pStyle w:val="5"/>
        <w:rPr>
          <w:rFonts w:asciiTheme="minorEastAsia" w:hAnsiTheme="minorEastAsia" w:eastAsiaTheme="minorEastAsia" w:cstheme="minorEastAsia"/>
          <w:sz w:val="24"/>
        </w:rPr>
      </w:pPr>
    </w:p>
    <w:p>
      <w:pPr>
        <w:pStyle w:val="5"/>
        <w:rPr>
          <w:rFonts w:asciiTheme="minorEastAsia" w:hAnsiTheme="minorEastAsia" w:eastAsiaTheme="minorEastAsia" w:cstheme="minorEastAsia"/>
          <w:sz w:val="24"/>
        </w:rPr>
      </w:pPr>
    </w:p>
    <w:p>
      <w:pPr>
        <w:pStyle w:val="38"/>
        <w:spacing w:before="120" w:after="120" w:line="500" w:lineRule="exact"/>
        <w:ind w:right="29" w:rightChars="14"/>
        <w:outlineLvl w:val="1"/>
        <w:rPr>
          <w:rFonts w:asciiTheme="minorEastAsia" w:hAnsiTheme="minorEastAsia" w:eastAsiaTheme="minorEastAsia" w:cstheme="minorEastAsia"/>
          <w:sz w:val="30"/>
          <w:szCs w:val="30"/>
        </w:rPr>
      </w:pPr>
      <w:bookmarkStart w:id="265" w:name="_Toc2213"/>
      <w:bookmarkStart w:id="266" w:name="_Toc5614"/>
      <w:r>
        <w:rPr>
          <w:rFonts w:hint="eastAsia" w:asciiTheme="minorEastAsia" w:hAnsiTheme="minorEastAsia" w:eastAsiaTheme="minorEastAsia" w:cstheme="minorEastAsia"/>
          <w:sz w:val="30"/>
          <w:szCs w:val="30"/>
        </w:rPr>
        <w:t>二、法定代表人身份证明书</w:t>
      </w:r>
      <w:bookmarkEnd w:id="265"/>
      <w:bookmarkEnd w:id="266"/>
    </w:p>
    <w:p>
      <w:pPr>
        <w:spacing w:line="440" w:lineRule="exact"/>
        <w:jc w:val="center"/>
        <w:rPr>
          <w:rFonts w:asciiTheme="minorEastAsia" w:hAnsiTheme="minorEastAsia" w:eastAsiaTheme="minorEastAsia" w:cstheme="minorEastAsia"/>
          <w:sz w:val="24"/>
        </w:rPr>
      </w:pPr>
    </w:p>
    <w:p>
      <w:pPr>
        <w:spacing w:line="560" w:lineRule="exact"/>
        <w:ind w:left="718" w:leftChars="34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供应商名称：________________________________                                               </w:t>
      </w:r>
    </w:p>
    <w:p>
      <w:pPr>
        <w:spacing w:line="560" w:lineRule="exact"/>
        <w:ind w:left="718" w:leftChars="34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单位性质：__________________________________                                 </w:t>
      </w:r>
    </w:p>
    <w:p>
      <w:pPr>
        <w:spacing w:line="560" w:lineRule="exact"/>
        <w:ind w:left="718" w:leftChars="34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地    址：________________________________ </w:t>
      </w:r>
    </w:p>
    <w:p>
      <w:pPr>
        <w:spacing w:line="560" w:lineRule="exact"/>
        <w:ind w:left="718" w:leftChars="34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成立时间：年月日</w:t>
      </w:r>
    </w:p>
    <w:p>
      <w:pPr>
        <w:spacing w:line="560" w:lineRule="exact"/>
        <w:ind w:left="718" w:leftChars="34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经营期限：</w:t>
      </w:r>
    </w:p>
    <w:p>
      <w:pPr>
        <w:spacing w:line="560" w:lineRule="exact"/>
        <w:ind w:left="718" w:leftChars="34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姓名：性别：年龄：职务：</w:t>
      </w:r>
    </w:p>
    <w:p>
      <w:pPr>
        <w:spacing w:line="560" w:lineRule="exact"/>
        <w:ind w:left="718" w:leftChars="34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系（供应商单位名称）的法定代表人。</w:t>
      </w:r>
    </w:p>
    <w:p>
      <w:pPr>
        <w:spacing w:line="440" w:lineRule="exact"/>
        <w:ind w:left="718" w:leftChars="342"/>
        <w:rPr>
          <w:rFonts w:asciiTheme="minorEastAsia" w:hAnsiTheme="minorEastAsia" w:eastAsiaTheme="minorEastAsia" w:cstheme="minorEastAsia"/>
          <w:sz w:val="24"/>
        </w:rPr>
      </w:pPr>
    </w:p>
    <w:p>
      <w:pPr>
        <w:spacing w:line="440" w:lineRule="exact"/>
        <w:ind w:left="718" w:leftChars="342"/>
        <w:rPr>
          <w:rFonts w:asciiTheme="minorEastAsia" w:hAnsiTheme="minorEastAsia" w:eastAsiaTheme="minorEastAsia" w:cstheme="minorEastAsia"/>
          <w:sz w:val="24"/>
        </w:rPr>
      </w:pPr>
    </w:p>
    <w:p>
      <w:pPr>
        <w:spacing w:line="440" w:lineRule="exact"/>
        <w:ind w:left="718" w:leftChars="34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特此证明。</w:t>
      </w:r>
    </w:p>
    <w:p>
      <w:pPr>
        <w:spacing w:line="440" w:lineRule="exact"/>
        <w:rPr>
          <w:rFonts w:asciiTheme="minorEastAsia" w:hAnsiTheme="minorEastAsia" w:eastAsiaTheme="minorEastAsia" w:cstheme="minorEastAsia"/>
          <w:sz w:val="24"/>
        </w:rPr>
      </w:pPr>
    </w:p>
    <w:p>
      <w:pPr>
        <w:spacing w:line="440" w:lineRule="exact"/>
        <w:rPr>
          <w:rFonts w:asciiTheme="minorEastAsia" w:hAnsiTheme="minorEastAsia" w:eastAsiaTheme="minorEastAsia" w:cstheme="minorEastAsia"/>
          <w:sz w:val="24"/>
        </w:rPr>
      </w:pPr>
    </w:p>
    <w:p>
      <w:pPr>
        <w:spacing w:line="44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供应商：（盖单位公章）</w:t>
      </w:r>
    </w:p>
    <w:p>
      <w:pPr>
        <w:spacing w:line="440" w:lineRule="exact"/>
        <w:rPr>
          <w:rFonts w:asciiTheme="minorEastAsia" w:hAnsiTheme="minorEastAsia" w:eastAsiaTheme="minorEastAsia" w:cstheme="minorEastAsia"/>
          <w:sz w:val="24"/>
        </w:rPr>
      </w:pPr>
    </w:p>
    <w:p>
      <w:pPr>
        <w:spacing w:line="44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年月日</w:t>
      </w:r>
    </w:p>
    <w:p>
      <w:pPr>
        <w:spacing w:line="440" w:lineRule="exact"/>
        <w:rPr>
          <w:rFonts w:asciiTheme="minorEastAsia" w:hAnsiTheme="minorEastAsia" w:eastAsiaTheme="minorEastAsia" w:cstheme="minorEastAsia"/>
        </w:rPr>
      </w:pPr>
    </w:p>
    <w:p>
      <w:pPr>
        <w:spacing w:line="440" w:lineRule="exact"/>
        <w:rPr>
          <w:rFonts w:asciiTheme="minorEastAsia" w:hAnsiTheme="minorEastAsia" w:eastAsiaTheme="minorEastAsia" w:cstheme="minorEastAsia"/>
        </w:rPr>
      </w:pPr>
    </w:p>
    <w:p>
      <w:pPr>
        <w:spacing w:line="440" w:lineRule="exact"/>
        <w:rPr>
          <w:rFonts w:asciiTheme="minorEastAsia" w:hAnsiTheme="minorEastAsia" w:eastAsiaTheme="minorEastAsia" w:cstheme="minorEastAsia"/>
        </w:rPr>
      </w:pPr>
    </w:p>
    <w:p>
      <w:pPr>
        <w:spacing w:line="440" w:lineRule="exact"/>
        <w:rPr>
          <w:rFonts w:asciiTheme="minorEastAsia" w:hAnsiTheme="minorEastAsia" w:eastAsiaTheme="minorEastAsia" w:cstheme="minorEastAsia"/>
        </w:rPr>
      </w:pPr>
    </w:p>
    <w:p>
      <w:pPr>
        <w:spacing w:line="440" w:lineRule="exact"/>
        <w:rPr>
          <w:rFonts w:asciiTheme="minorEastAsia" w:hAnsiTheme="minorEastAsia" w:eastAsiaTheme="minorEastAsia" w:cstheme="minorEastAsia"/>
        </w:rPr>
      </w:pPr>
    </w:p>
    <w:p>
      <w:pPr>
        <w:spacing w:line="440" w:lineRule="exact"/>
        <w:rPr>
          <w:rFonts w:asciiTheme="minorEastAsia" w:hAnsiTheme="minorEastAsia" w:eastAsiaTheme="minorEastAsia" w:cstheme="minorEastAsia"/>
        </w:rPr>
      </w:pPr>
    </w:p>
    <w:p>
      <w:pPr>
        <w:spacing w:line="440" w:lineRule="exact"/>
        <w:rPr>
          <w:rFonts w:asciiTheme="minorEastAsia" w:hAnsiTheme="minorEastAsia" w:eastAsiaTheme="minorEastAsia" w:cstheme="minorEastAsia"/>
        </w:rPr>
      </w:pPr>
    </w:p>
    <w:p>
      <w:pPr>
        <w:spacing w:line="440" w:lineRule="exact"/>
        <w:rPr>
          <w:rFonts w:asciiTheme="minorEastAsia" w:hAnsiTheme="minorEastAsia" w:eastAsiaTheme="minorEastAsia" w:cstheme="minorEastAsia"/>
        </w:rPr>
      </w:pPr>
    </w:p>
    <w:p>
      <w:pPr>
        <w:spacing w:line="440" w:lineRule="exact"/>
        <w:rPr>
          <w:rFonts w:asciiTheme="minorEastAsia" w:hAnsiTheme="minorEastAsia" w:eastAsiaTheme="minorEastAsia" w:cstheme="minorEastAsia"/>
        </w:rPr>
      </w:pPr>
    </w:p>
    <w:p>
      <w:pPr>
        <w:spacing w:line="440" w:lineRule="exact"/>
        <w:rPr>
          <w:rFonts w:asciiTheme="minorEastAsia" w:hAnsiTheme="minorEastAsia" w:eastAsiaTheme="minorEastAsia" w:cstheme="minorEastAsia"/>
        </w:rPr>
      </w:pPr>
    </w:p>
    <w:p>
      <w:pPr>
        <w:pStyle w:val="38"/>
        <w:spacing w:before="120" w:after="120" w:line="500" w:lineRule="exact"/>
        <w:ind w:right="29" w:rightChars="14"/>
        <w:outlineLvl w:val="9"/>
        <w:rPr>
          <w:rFonts w:asciiTheme="minorEastAsia" w:hAnsiTheme="minorEastAsia" w:eastAsiaTheme="minorEastAsia" w:cstheme="minorEastAsia"/>
          <w:sz w:val="30"/>
          <w:szCs w:val="30"/>
        </w:rPr>
      </w:pPr>
      <w:bookmarkStart w:id="267" w:name="_Toc6009"/>
    </w:p>
    <w:p>
      <w:pPr>
        <w:pStyle w:val="38"/>
        <w:spacing w:before="120" w:after="120" w:line="500" w:lineRule="exact"/>
        <w:ind w:right="29" w:rightChars="14"/>
        <w:jc w:val="center"/>
        <w:outlineLvl w:val="1"/>
        <w:rPr>
          <w:rFonts w:asciiTheme="minorEastAsia" w:hAnsiTheme="minorEastAsia" w:eastAsiaTheme="minorEastAsia" w:cstheme="minorEastAsia"/>
          <w:sz w:val="30"/>
          <w:szCs w:val="30"/>
        </w:rPr>
      </w:pPr>
      <w:bookmarkStart w:id="268" w:name="_Toc15395"/>
      <w:r>
        <w:rPr>
          <w:rFonts w:hint="eastAsia" w:asciiTheme="minorEastAsia" w:hAnsiTheme="minorEastAsia" w:eastAsiaTheme="minorEastAsia" w:cstheme="minorEastAsia"/>
          <w:sz w:val="30"/>
          <w:szCs w:val="30"/>
        </w:rPr>
        <w:t>三、授权委托书</w:t>
      </w:r>
      <w:bookmarkEnd w:id="267"/>
      <w:bookmarkEnd w:id="268"/>
    </w:p>
    <w:p>
      <w:pPr>
        <w:spacing w:line="440" w:lineRule="exact"/>
        <w:ind w:left="-105"/>
        <w:rPr>
          <w:rFonts w:asciiTheme="minorEastAsia" w:hAnsiTheme="minorEastAsia" w:eastAsiaTheme="minorEastAsia" w:cstheme="minorEastAsia"/>
          <w:b/>
          <w:bCs/>
          <w:sz w:val="24"/>
        </w:rPr>
      </w:pPr>
    </w:p>
    <w:p>
      <w:pPr>
        <w:spacing w:line="500" w:lineRule="exact"/>
        <w:ind w:firstLine="720" w:firstLineChars="300"/>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 xml:space="preserve">本人（姓名）系（供应商名称）的法定代表人，现委托（姓名）为我方代理人。代理人根据授权，以我方名义签署、澄清、说明、补正、递交、撤回、修改（项目名称）投标文件、签订合同和处理有关事宜，其法律后果由我方承担。 </w:t>
      </w:r>
    </w:p>
    <w:p>
      <w:pPr>
        <w:spacing w:line="500" w:lineRule="exact"/>
        <w:ind w:left="-105"/>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 xml:space="preserve">    委托期限：。 </w:t>
      </w:r>
    </w:p>
    <w:p>
      <w:pPr>
        <w:spacing w:line="500" w:lineRule="exact"/>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 xml:space="preserve">   代理人无转委托权。 </w:t>
      </w:r>
    </w:p>
    <w:p>
      <w:pPr>
        <w:spacing w:line="500" w:lineRule="exact"/>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 xml:space="preserve">   附：法定代表人和代理人身份证</w:t>
      </w:r>
    </w:p>
    <w:p>
      <w:pPr>
        <w:spacing w:line="440" w:lineRule="exact"/>
        <w:ind w:left="840"/>
        <w:rPr>
          <w:rFonts w:asciiTheme="minorEastAsia" w:hAnsiTheme="minorEastAsia" w:eastAsiaTheme="minorEastAsia" w:cstheme="minorEastAsia"/>
          <w:bCs/>
          <w:sz w:val="24"/>
        </w:rPr>
      </w:pPr>
    </w:p>
    <w:p>
      <w:pPr>
        <w:spacing w:line="440" w:lineRule="exact"/>
        <w:ind w:left="840"/>
        <w:rPr>
          <w:rFonts w:asciiTheme="minorEastAsia" w:hAnsiTheme="minorEastAsia" w:eastAsiaTheme="minorEastAsia" w:cstheme="minorEastAsia"/>
          <w:bCs/>
          <w:sz w:val="24"/>
        </w:rPr>
      </w:pPr>
    </w:p>
    <w:p>
      <w:pPr>
        <w:spacing w:line="440" w:lineRule="exact"/>
        <w:ind w:left="840"/>
        <w:rPr>
          <w:rFonts w:asciiTheme="minorEastAsia" w:hAnsiTheme="minorEastAsia" w:eastAsiaTheme="minorEastAsia" w:cstheme="minorEastAsia"/>
          <w:bCs/>
          <w:sz w:val="24"/>
        </w:rPr>
      </w:pPr>
    </w:p>
    <w:p>
      <w:pPr>
        <w:spacing w:line="440" w:lineRule="exact"/>
        <w:ind w:left="840"/>
        <w:rPr>
          <w:rFonts w:asciiTheme="minorEastAsia" w:hAnsiTheme="minorEastAsia" w:eastAsiaTheme="minorEastAsia" w:cstheme="minorEastAsia"/>
          <w:bCs/>
          <w:sz w:val="24"/>
        </w:rPr>
      </w:pPr>
    </w:p>
    <w:p>
      <w:pPr>
        <w:spacing w:line="440" w:lineRule="exact"/>
        <w:ind w:firstLine="638" w:firstLineChars="266"/>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供应商：（盖单位公章）</w:t>
      </w:r>
    </w:p>
    <w:p>
      <w:pPr>
        <w:spacing w:line="440" w:lineRule="exact"/>
        <w:ind w:firstLine="638" w:firstLineChars="266"/>
        <w:rPr>
          <w:rFonts w:asciiTheme="minorEastAsia" w:hAnsiTheme="minorEastAsia" w:eastAsiaTheme="minorEastAsia" w:cstheme="minorEastAsia"/>
          <w:bCs/>
          <w:sz w:val="24"/>
        </w:rPr>
      </w:pPr>
    </w:p>
    <w:p>
      <w:pPr>
        <w:spacing w:line="440" w:lineRule="exact"/>
        <w:ind w:firstLine="638" w:firstLineChars="266"/>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 xml:space="preserve">法定代表人：（签字或盖章） </w:t>
      </w:r>
    </w:p>
    <w:p>
      <w:pPr>
        <w:spacing w:line="440" w:lineRule="exact"/>
        <w:ind w:firstLine="638" w:firstLineChars="266"/>
        <w:rPr>
          <w:rFonts w:asciiTheme="minorEastAsia" w:hAnsiTheme="minorEastAsia" w:eastAsiaTheme="minorEastAsia" w:cstheme="minorEastAsia"/>
          <w:bCs/>
          <w:sz w:val="24"/>
        </w:rPr>
      </w:pPr>
    </w:p>
    <w:p>
      <w:pPr>
        <w:spacing w:line="440" w:lineRule="exact"/>
        <w:ind w:firstLine="638" w:firstLineChars="266"/>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身份证号码：</w:t>
      </w:r>
    </w:p>
    <w:p>
      <w:pPr>
        <w:spacing w:line="440" w:lineRule="exact"/>
        <w:ind w:firstLine="638" w:firstLineChars="266"/>
        <w:rPr>
          <w:rFonts w:asciiTheme="minorEastAsia" w:hAnsiTheme="minorEastAsia" w:eastAsiaTheme="minorEastAsia" w:cstheme="minorEastAsia"/>
          <w:bCs/>
          <w:sz w:val="24"/>
        </w:rPr>
      </w:pPr>
    </w:p>
    <w:p>
      <w:pPr>
        <w:spacing w:line="440" w:lineRule="exact"/>
        <w:ind w:firstLine="638" w:firstLineChars="266"/>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委托代理人：（签字或盖章）</w:t>
      </w:r>
    </w:p>
    <w:p>
      <w:pPr>
        <w:spacing w:line="440" w:lineRule="exact"/>
        <w:ind w:firstLine="638" w:firstLineChars="266"/>
        <w:rPr>
          <w:rFonts w:asciiTheme="minorEastAsia" w:hAnsiTheme="minorEastAsia" w:eastAsiaTheme="minorEastAsia" w:cstheme="minorEastAsia"/>
          <w:bCs/>
          <w:sz w:val="24"/>
        </w:rPr>
      </w:pPr>
    </w:p>
    <w:p>
      <w:pPr>
        <w:tabs>
          <w:tab w:val="left" w:pos="6510"/>
        </w:tabs>
        <w:spacing w:line="440" w:lineRule="exact"/>
        <w:ind w:firstLine="638" w:firstLineChars="266"/>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身份证号码：</w:t>
      </w:r>
    </w:p>
    <w:p>
      <w:pPr>
        <w:spacing w:line="440" w:lineRule="exact"/>
        <w:ind w:left="3570"/>
        <w:rPr>
          <w:rFonts w:asciiTheme="minorEastAsia" w:hAnsiTheme="minorEastAsia" w:eastAsiaTheme="minorEastAsia" w:cstheme="minorEastAsia"/>
          <w:bCs/>
          <w:sz w:val="24"/>
        </w:rPr>
      </w:pPr>
    </w:p>
    <w:p>
      <w:pPr>
        <w:spacing w:line="440" w:lineRule="exact"/>
        <w:ind w:left="840"/>
        <w:rPr>
          <w:rFonts w:asciiTheme="minorEastAsia" w:hAnsiTheme="minorEastAsia" w:eastAsiaTheme="minorEastAsia" w:cstheme="minorEastAsia"/>
          <w:bCs/>
          <w:sz w:val="24"/>
        </w:rPr>
      </w:pPr>
    </w:p>
    <w:p>
      <w:pPr>
        <w:spacing w:line="440" w:lineRule="exact"/>
        <w:ind w:left="840"/>
        <w:jc w:val="right"/>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年月日</w:t>
      </w:r>
    </w:p>
    <w:p>
      <w:pPr>
        <w:spacing w:line="440" w:lineRule="exact"/>
        <w:ind w:left="840"/>
        <w:rPr>
          <w:rFonts w:asciiTheme="minorEastAsia" w:hAnsiTheme="minorEastAsia" w:eastAsiaTheme="minorEastAsia" w:cstheme="minorEastAsia"/>
          <w:bCs/>
          <w:sz w:val="24"/>
        </w:rPr>
      </w:pPr>
    </w:p>
    <w:p>
      <w:pPr>
        <w:spacing w:line="440" w:lineRule="exact"/>
        <w:ind w:left="840"/>
        <w:rPr>
          <w:rFonts w:asciiTheme="minorEastAsia" w:hAnsiTheme="minorEastAsia" w:eastAsiaTheme="minorEastAsia" w:cstheme="minorEastAsia"/>
          <w:b/>
          <w:bCs/>
          <w:sz w:val="24"/>
        </w:rPr>
      </w:pPr>
    </w:p>
    <w:p>
      <w:pPr>
        <w:pStyle w:val="38"/>
        <w:spacing w:before="120" w:after="120" w:line="500" w:lineRule="exact"/>
        <w:ind w:right="29" w:rightChars="14"/>
        <w:outlineLvl w:val="9"/>
        <w:rPr>
          <w:rFonts w:asciiTheme="minorEastAsia" w:hAnsiTheme="minorEastAsia" w:eastAsiaTheme="minorEastAsia" w:cstheme="minorEastAsia"/>
          <w:sz w:val="30"/>
          <w:szCs w:val="30"/>
        </w:rPr>
      </w:pPr>
    </w:p>
    <w:bookmarkEnd w:id="217"/>
    <w:p>
      <w:pPr>
        <w:pageBreakBefore/>
        <w:spacing w:line="600" w:lineRule="exact"/>
        <w:jc w:val="center"/>
        <w:outlineLvl w:val="0"/>
        <w:rPr>
          <w:rFonts w:asciiTheme="minorEastAsia" w:hAnsiTheme="minorEastAsia" w:eastAsiaTheme="minorEastAsia" w:cstheme="minorEastAsia"/>
          <w:b/>
          <w:sz w:val="32"/>
          <w:szCs w:val="32"/>
        </w:rPr>
      </w:pPr>
      <w:bookmarkStart w:id="269" w:name="_Toc19057"/>
      <w:r>
        <w:rPr>
          <w:rFonts w:hint="eastAsia" w:asciiTheme="minorEastAsia" w:hAnsiTheme="minorEastAsia" w:eastAsiaTheme="minorEastAsia" w:cstheme="minorEastAsia"/>
          <w:b/>
          <w:sz w:val="32"/>
          <w:szCs w:val="32"/>
        </w:rPr>
        <w:t>四、投标承诺函</w:t>
      </w:r>
      <w:bookmarkEnd w:id="269"/>
    </w:p>
    <w:p>
      <w:pPr>
        <w:ind w:firstLine="883"/>
        <w:jc w:val="center"/>
        <w:rPr>
          <w:rFonts w:asciiTheme="minorEastAsia" w:hAnsiTheme="minorEastAsia" w:eastAsiaTheme="minorEastAsia" w:cstheme="minorEastAsia"/>
          <w:b/>
          <w:sz w:val="44"/>
          <w:szCs w:val="44"/>
        </w:rPr>
      </w:pPr>
    </w:p>
    <w:p>
      <w:pPr>
        <w:spacing w:line="600" w:lineRule="exact"/>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我单位对</w:t>
      </w:r>
      <w:r>
        <w:rPr>
          <w:rFonts w:hint="eastAsia" w:asciiTheme="minorEastAsia" w:hAnsiTheme="minorEastAsia" w:eastAsiaTheme="minorEastAsia" w:cstheme="minorEastAsia"/>
          <w:sz w:val="24"/>
          <w:u w:val="single"/>
        </w:rPr>
        <w:t xml:space="preserve">                                   项目</w:t>
      </w:r>
      <w:r>
        <w:rPr>
          <w:rFonts w:hint="eastAsia" w:asciiTheme="minorEastAsia" w:hAnsiTheme="minorEastAsia" w:eastAsiaTheme="minorEastAsia" w:cstheme="minorEastAsia"/>
          <w:sz w:val="24"/>
        </w:rPr>
        <w:t>（采购编号：）投标行为做出承诺，保证所提交材料的真实性。</w:t>
      </w:r>
    </w:p>
    <w:p>
      <w:pPr>
        <w:spacing w:line="600" w:lineRule="exact"/>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我单位承诺：</w:t>
      </w:r>
    </w:p>
    <w:p>
      <w:pPr>
        <w:spacing w:line="600" w:lineRule="exact"/>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1、在投标文件递交截止时间后至确定中标人的</w:t>
      </w:r>
      <w:r>
        <w:fldChar w:fldCharType="begin"/>
      </w:r>
      <w:r>
        <w:instrText xml:space="preserve"> HYPERLINK "https://baike.so.com/doc/5394983-5632135.html" \t "https://baike.so.com/doc/_blank" </w:instrText>
      </w:r>
      <w:r>
        <w:fldChar w:fldCharType="separate"/>
      </w:r>
      <w:r>
        <w:rPr>
          <w:rFonts w:hint="eastAsia" w:asciiTheme="minorEastAsia" w:hAnsiTheme="minorEastAsia" w:eastAsiaTheme="minorEastAsia" w:cstheme="minorEastAsia"/>
          <w:sz w:val="24"/>
        </w:rPr>
        <w:t>投标有效期</w:t>
      </w:r>
      <w:r>
        <w:rPr>
          <w:rFonts w:hint="eastAsia" w:asciiTheme="minorEastAsia" w:hAnsiTheme="minorEastAsia" w:eastAsiaTheme="minorEastAsia" w:cstheme="minorEastAsia"/>
          <w:sz w:val="24"/>
        </w:rPr>
        <w:fldChar w:fldCharType="end"/>
      </w:r>
      <w:r>
        <w:rPr>
          <w:rFonts w:hint="eastAsia" w:asciiTheme="minorEastAsia" w:hAnsiTheme="minorEastAsia" w:eastAsiaTheme="minorEastAsia" w:cstheme="minorEastAsia"/>
          <w:sz w:val="24"/>
        </w:rPr>
        <w:t>内，我单位不得要求退出竞标或者修改投标文件且对递交的投标文件负责，受其约束。</w:t>
      </w:r>
    </w:p>
    <w:p>
      <w:pPr>
        <w:spacing w:line="600" w:lineRule="exact"/>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2、若我单位中标，在接到中标通知书后，除不可抗力因素外，及时按规定与采购人签订合同并认真履约。</w:t>
      </w:r>
    </w:p>
    <w:p>
      <w:pPr>
        <w:spacing w:line="600" w:lineRule="exact"/>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3、非因不可抗力因素放弃中标的，或排名第一的中标人未按规定期限与采购人签订合同的，应赔偿采购人由此造成的损失，损失费的计算方法为该中标人的投标价与重新确定的中标人中标价的差额，还将取消其1年内在博爱县的投标资格，并给予通报的处罚。</w:t>
      </w:r>
    </w:p>
    <w:p>
      <w:pPr>
        <w:spacing w:line="600" w:lineRule="exact"/>
        <w:ind w:firstLine="480"/>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4、不存在法律法规规定的其他违法违规行为。</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xml:space="preserve">              投标单位名称（盖章）：</w:t>
      </w:r>
    </w:p>
    <w:p>
      <w:pPr>
        <w:spacing w:line="600" w:lineRule="exact"/>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法人代表或授权委托人（签字或盖章）：</w:t>
      </w:r>
    </w:p>
    <w:p>
      <w:pPr>
        <w:ind w:firstLine="480"/>
        <w:rPr>
          <w:rFonts w:asciiTheme="minorEastAsia" w:hAnsiTheme="minorEastAsia" w:eastAsiaTheme="minorEastAsia" w:cstheme="minorEastAsia"/>
        </w:rPr>
      </w:pPr>
      <w:r>
        <w:rPr>
          <w:rFonts w:hint="eastAsia" w:asciiTheme="minorEastAsia" w:hAnsiTheme="minorEastAsia" w:eastAsiaTheme="minorEastAsia" w:cstheme="minorEastAsia"/>
          <w:sz w:val="24"/>
        </w:rPr>
        <w:t xml:space="preserve">                                         年    月    日  </w:t>
      </w:r>
    </w:p>
    <w:p>
      <w:pPr>
        <w:pStyle w:val="37"/>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kern w:val="2"/>
          <w:sz w:val="30"/>
          <w:szCs w:val="30"/>
        </w:rPr>
      </w:pPr>
    </w:p>
    <w:p>
      <w:pPr>
        <w:pStyle w:val="37"/>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kern w:val="2"/>
          <w:sz w:val="30"/>
          <w:szCs w:val="30"/>
        </w:rPr>
      </w:pPr>
    </w:p>
    <w:p>
      <w:pPr>
        <w:pStyle w:val="37"/>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kern w:val="2"/>
          <w:sz w:val="30"/>
          <w:szCs w:val="30"/>
        </w:rPr>
      </w:pPr>
    </w:p>
    <w:p>
      <w:pPr>
        <w:pStyle w:val="37"/>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kern w:val="2"/>
          <w:sz w:val="30"/>
          <w:szCs w:val="30"/>
        </w:rPr>
      </w:pPr>
    </w:p>
    <w:p>
      <w:pPr>
        <w:pStyle w:val="37"/>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kern w:val="2"/>
          <w:sz w:val="30"/>
          <w:szCs w:val="30"/>
        </w:rPr>
      </w:pPr>
    </w:p>
    <w:p>
      <w:pPr>
        <w:pStyle w:val="37"/>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b/>
          <w:bCs/>
          <w:kern w:val="2"/>
          <w:sz w:val="30"/>
          <w:szCs w:val="30"/>
        </w:rPr>
      </w:pPr>
    </w:p>
    <w:p>
      <w:pPr>
        <w:pStyle w:val="37"/>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b/>
          <w:bCs w:val="0"/>
          <w:sz w:val="30"/>
          <w:szCs w:val="30"/>
        </w:rPr>
      </w:pPr>
      <w:bookmarkStart w:id="270" w:name="_Toc8304"/>
      <w:r>
        <w:rPr>
          <w:rFonts w:hint="eastAsia" w:asciiTheme="minorEastAsia" w:hAnsiTheme="minorEastAsia" w:eastAsiaTheme="minorEastAsia" w:cstheme="minorEastAsia"/>
          <w:b/>
          <w:bCs w:val="0"/>
          <w:kern w:val="2"/>
          <w:sz w:val="30"/>
          <w:szCs w:val="30"/>
        </w:rPr>
        <w:t>五、项目供货及安装保证措施、售后服务方案</w:t>
      </w:r>
      <w:bookmarkEnd w:id="270"/>
      <w:r>
        <w:rPr>
          <w:rFonts w:hint="eastAsia" w:asciiTheme="minorEastAsia" w:hAnsiTheme="minorEastAsia" w:eastAsiaTheme="minorEastAsia" w:cstheme="minorEastAsia"/>
          <w:b/>
          <w:bCs w:val="0"/>
          <w:kern w:val="2"/>
          <w:sz w:val="30"/>
          <w:szCs w:val="30"/>
        </w:rPr>
        <w:t>及应急方案等</w:t>
      </w: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rPr>
          <w:rFonts w:asciiTheme="minorEastAsia" w:hAnsiTheme="minorEastAsia" w:eastAsiaTheme="minorEastAsia" w:cstheme="minorEastAsia"/>
          <w:b/>
          <w:sz w:val="30"/>
          <w:szCs w:val="30"/>
        </w:rPr>
      </w:pPr>
    </w:p>
    <w:p>
      <w:pPr>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pStyle w:val="37"/>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bookmarkStart w:id="271" w:name="_Toc10043"/>
    </w:p>
    <w:p>
      <w:pPr>
        <w:pStyle w:val="37"/>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7"/>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autoSpaceDE w:val="0"/>
        <w:autoSpaceDN w:val="0"/>
        <w:adjustRightInd w:val="0"/>
        <w:spacing w:line="440" w:lineRule="exact"/>
        <w:jc w:val="center"/>
        <w:rPr>
          <w:rFonts w:ascii="宋体" w:hAnsi="宋体" w:cs="宋体"/>
          <w:b/>
          <w:sz w:val="30"/>
          <w:szCs w:val="30"/>
        </w:rPr>
      </w:pPr>
    </w:p>
    <w:p>
      <w:pPr>
        <w:autoSpaceDE w:val="0"/>
        <w:autoSpaceDN w:val="0"/>
        <w:adjustRightInd w:val="0"/>
        <w:spacing w:line="440" w:lineRule="exact"/>
        <w:jc w:val="center"/>
        <w:rPr>
          <w:rFonts w:ascii="宋体" w:hAnsi="宋体" w:cs="宋体"/>
          <w:b/>
          <w:sz w:val="30"/>
          <w:szCs w:val="30"/>
        </w:rPr>
      </w:pPr>
    </w:p>
    <w:p>
      <w:pPr>
        <w:pStyle w:val="37"/>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sz w:val="30"/>
          <w:szCs w:val="30"/>
        </w:rPr>
      </w:pPr>
      <w:bookmarkStart w:id="272" w:name="_Toc20650"/>
      <w:bookmarkStart w:id="273" w:name="_Toc29492"/>
      <w:r>
        <w:rPr>
          <w:rFonts w:hint="eastAsia" w:asciiTheme="minorEastAsia" w:hAnsiTheme="minorEastAsia" w:eastAsiaTheme="minorEastAsia" w:cstheme="minorEastAsia"/>
          <w:b/>
          <w:kern w:val="2"/>
          <w:sz w:val="30"/>
          <w:szCs w:val="30"/>
        </w:rPr>
        <w:t>六、资格证明文件</w:t>
      </w:r>
      <w:bookmarkEnd w:id="271"/>
      <w:bookmarkEnd w:id="272"/>
      <w:bookmarkEnd w:id="273"/>
    </w:p>
    <w:p>
      <w:pPr>
        <w:spacing w:line="400" w:lineRule="exact"/>
        <w:jc w:val="left"/>
        <w:rPr>
          <w:rFonts w:asciiTheme="minorEastAsia" w:hAnsiTheme="minorEastAsia" w:eastAsiaTheme="minorEastAsia" w:cstheme="minorEastAsia"/>
          <w:bCs/>
          <w:sz w:val="24"/>
        </w:rPr>
      </w:pPr>
    </w:p>
    <w:p>
      <w:pPr>
        <w:spacing w:line="400" w:lineRule="exact"/>
        <w:jc w:val="left"/>
        <w:rPr>
          <w:sz w:val="24"/>
        </w:rPr>
      </w:pPr>
    </w:p>
    <w:p>
      <w:pPr>
        <w:spacing w:line="400" w:lineRule="exact"/>
        <w:jc w:val="left"/>
        <w:rPr>
          <w:sz w:val="24"/>
        </w:rPr>
      </w:pPr>
      <w:r>
        <w:rPr>
          <w:rFonts w:hint="eastAsia"/>
          <w:sz w:val="24"/>
        </w:rPr>
        <w:t>一、 供应商营业执照副本（三证合一）；</w:t>
      </w:r>
    </w:p>
    <w:p>
      <w:pPr>
        <w:spacing w:line="400" w:lineRule="exact"/>
        <w:jc w:val="left"/>
        <w:rPr>
          <w:sz w:val="24"/>
        </w:rPr>
      </w:pPr>
      <w:r>
        <w:rPr>
          <w:rFonts w:hint="eastAsia"/>
          <w:sz w:val="24"/>
        </w:rPr>
        <w:t>二、符合《中华人民共和国政府采购法》第二十二条规定:</w:t>
      </w:r>
    </w:p>
    <w:p>
      <w:pPr>
        <w:spacing w:line="400" w:lineRule="exact"/>
        <w:ind w:firstLine="480" w:firstLineChars="200"/>
        <w:jc w:val="left"/>
        <w:rPr>
          <w:sz w:val="24"/>
        </w:rPr>
      </w:pPr>
      <w:r>
        <w:rPr>
          <w:rFonts w:hint="eastAsia"/>
          <w:sz w:val="24"/>
        </w:rPr>
        <w:t>2.1.开标日前六个月内任一个月的依法缴纳税收的相关证明、开标日前六个月内任一个月的依法缴纳社会保障资金的相关证明、开标日前六个月内任一个月的资产负债表或损益表或年度财务会计报表或上年度会计事务所出具的审计报告；</w:t>
      </w:r>
    </w:p>
    <w:p>
      <w:pPr>
        <w:spacing w:line="400" w:lineRule="exact"/>
        <w:ind w:firstLine="480" w:firstLineChars="200"/>
        <w:jc w:val="left"/>
        <w:rPr>
          <w:sz w:val="24"/>
        </w:rPr>
      </w:pPr>
      <w:r>
        <w:rPr>
          <w:rFonts w:hint="eastAsia"/>
          <w:sz w:val="24"/>
        </w:rPr>
        <w:t>2.2.参加政府采购活动前三年内无重大违法记录的书面声明；</w:t>
      </w:r>
    </w:p>
    <w:p>
      <w:pPr>
        <w:spacing w:line="400" w:lineRule="exact"/>
        <w:jc w:val="left"/>
        <w:rPr>
          <w:sz w:val="24"/>
        </w:rPr>
      </w:pPr>
      <w:r>
        <w:rPr>
          <w:rFonts w:hint="eastAsia"/>
          <w:sz w:val="24"/>
        </w:rPr>
        <w:t>三、招标文件中要求的其他资格证明材料。</w:t>
      </w:r>
    </w:p>
    <w:p>
      <w:pPr>
        <w:pStyle w:val="5"/>
        <w:ind w:firstLine="482"/>
        <w:jc w:val="left"/>
        <w:rPr>
          <w:b/>
          <w:bCs/>
        </w:rPr>
      </w:pPr>
      <w:r>
        <w:rPr>
          <w:rFonts w:hint="eastAsia"/>
          <w:b/>
          <w:bCs/>
          <w:sz w:val="24"/>
        </w:rPr>
        <w:t>备注：以上资格证明文件须提供原件的扫描件。</w:t>
      </w:r>
    </w:p>
    <w:p>
      <w:pPr>
        <w:pStyle w:val="5"/>
      </w:pPr>
    </w:p>
    <w:p>
      <w:pPr>
        <w:autoSpaceDE w:val="0"/>
        <w:autoSpaceDN w:val="0"/>
        <w:adjustRightInd w:val="0"/>
        <w:spacing w:line="440" w:lineRule="exact"/>
        <w:rPr>
          <w:rFonts w:asciiTheme="minorEastAsia" w:hAnsiTheme="minorEastAsia" w:eastAsiaTheme="minorEastAsia" w:cstheme="minorEastAsia"/>
          <w:b/>
          <w:sz w:val="28"/>
        </w:rPr>
      </w:pPr>
    </w:p>
    <w:p>
      <w:pPr>
        <w:autoSpaceDE w:val="0"/>
        <w:autoSpaceDN w:val="0"/>
        <w:adjustRightInd w:val="0"/>
        <w:spacing w:line="440" w:lineRule="exact"/>
        <w:jc w:val="center"/>
        <w:rPr>
          <w:rFonts w:asciiTheme="minorEastAsia" w:hAnsiTheme="minorEastAsia" w:eastAsiaTheme="minorEastAsia" w:cstheme="minorEastAsia"/>
          <w:b/>
          <w:sz w:val="28"/>
        </w:rPr>
      </w:pPr>
    </w:p>
    <w:p>
      <w:pPr>
        <w:pStyle w:val="2"/>
        <w:ind w:firstLine="281"/>
        <w:rPr>
          <w:rFonts w:hint="default" w:asciiTheme="minorEastAsia" w:hAnsiTheme="minorEastAsia" w:eastAsiaTheme="minorEastAsia" w:cstheme="minorEastAsia"/>
          <w:b/>
          <w:sz w:val="28"/>
        </w:rPr>
      </w:pPr>
    </w:p>
    <w:p>
      <w:pPr>
        <w:pStyle w:val="5"/>
        <w:ind w:firstLine="562"/>
        <w:rPr>
          <w:rFonts w:asciiTheme="minorEastAsia" w:hAnsiTheme="minorEastAsia" w:eastAsiaTheme="minorEastAsia" w:cstheme="minorEastAsia"/>
          <w:b/>
          <w:sz w:val="28"/>
        </w:rPr>
      </w:pPr>
    </w:p>
    <w:p>
      <w:pPr>
        <w:pStyle w:val="5"/>
        <w:ind w:firstLine="562"/>
        <w:rPr>
          <w:rFonts w:asciiTheme="minorEastAsia" w:hAnsiTheme="minorEastAsia" w:eastAsiaTheme="minorEastAsia" w:cstheme="minorEastAsia"/>
          <w:b/>
          <w:sz w:val="28"/>
        </w:rPr>
      </w:pPr>
    </w:p>
    <w:p>
      <w:pPr>
        <w:autoSpaceDE w:val="0"/>
        <w:autoSpaceDN w:val="0"/>
        <w:adjustRightInd w:val="0"/>
        <w:spacing w:line="440" w:lineRule="exact"/>
        <w:jc w:val="center"/>
        <w:rPr>
          <w:rFonts w:asciiTheme="minorEastAsia" w:hAnsiTheme="minorEastAsia" w:eastAsiaTheme="minorEastAsia" w:cstheme="minorEastAsia"/>
          <w:b/>
          <w:sz w:val="28"/>
        </w:rPr>
      </w:pPr>
    </w:p>
    <w:p>
      <w:pPr>
        <w:autoSpaceDE w:val="0"/>
        <w:autoSpaceDN w:val="0"/>
        <w:adjustRightInd w:val="0"/>
        <w:spacing w:line="440" w:lineRule="exact"/>
        <w:jc w:val="center"/>
        <w:rPr>
          <w:rFonts w:asciiTheme="minorEastAsia" w:hAnsiTheme="minorEastAsia" w:eastAsiaTheme="minorEastAsia" w:cstheme="minorEastAsia"/>
          <w:b/>
          <w:sz w:val="28"/>
        </w:rPr>
      </w:pPr>
    </w:p>
    <w:p>
      <w:pPr>
        <w:autoSpaceDE w:val="0"/>
        <w:autoSpaceDN w:val="0"/>
        <w:adjustRightInd w:val="0"/>
        <w:spacing w:line="440" w:lineRule="exact"/>
        <w:jc w:val="center"/>
        <w:rPr>
          <w:rFonts w:asciiTheme="minorEastAsia" w:hAnsiTheme="minorEastAsia" w:eastAsiaTheme="minorEastAsia" w:cstheme="minorEastAsia"/>
          <w:b/>
          <w:sz w:val="28"/>
        </w:rPr>
      </w:pPr>
    </w:p>
    <w:p>
      <w:pPr>
        <w:widowControl/>
        <w:rPr>
          <w:rFonts w:asciiTheme="minorEastAsia" w:hAnsiTheme="minorEastAsia" w:eastAsiaTheme="minorEastAsia" w:cstheme="minorEastAsia"/>
        </w:rPr>
      </w:pPr>
    </w:p>
    <w:p>
      <w:pPr>
        <w:autoSpaceDE w:val="0"/>
        <w:autoSpaceDN w:val="0"/>
        <w:adjustRightInd w:val="0"/>
        <w:spacing w:line="440" w:lineRule="exact"/>
        <w:jc w:val="center"/>
        <w:rPr>
          <w:rFonts w:asciiTheme="minorEastAsia" w:hAnsiTheme="minorEastAsia" w:eastAsiaTheme="minorEastAsia" w:cstheme="minorEastAsia"/>
          <w:b/>
          <w:sz w:val="28"/>
        </w:rPr>
      </w:pPr>
    </w:p>
    <w:p>
      <w:pPr>
        <w:autoSpaceDE w:val="0"/>
        <w:autoSpaceDN w:val="0"/>
        <w:adjustRightInd w:val="0"/>
        <w:spacing w:line="440" w:lineRule="exact"/>
        <w:jc w:val="center"/>
        <w:rPr>
          <w:rFonts w:asciiTheme="minorEastAsia" w:hAnsiTheme="minorEastAsia" w:eastAsiaTheme="minorEastAsia" w:cstheme="minorEastAsia"/>
          <w:b/>
          <w:sz w:val="28"/>
        </w:rPr>
      </w:pPr>
    </w:p>
    <w:p>
      <w:pPr>
        <w:widowControl/>
        <w:rPr>
          <w:rFonts w:asciiTheme="minorEastAsia" w:hAnsiTheme="minorEastAsia" w:eastAsiaTheme="minorEastAsia" w:cstheme="minorEastAsia"/>
        </w:rPr>
      </w:pPr>
    </w:p>
    <w:p>
      <w:pPr>
        <w:rPr>
          <w:rFonts w:asciiTheme="minorEastAsia" w:hAnsiTheme="minorEastAsia" w:eastAsiaTheme="minorEastAsia" w:cstheme="minorEastAsia"/>
        </w:rPr>
      </w:pPr>
    </w:p>
    <w:p>
      <w:pPr>
        <w:autoSpaceDE w:val="0"/>
        <w:autoSpaceDN w:val="0"/>
        <w:adjustRightInd w:val="0"/>
        <w:spacing w:line="440" w:lineRule="exact"/>
        <w:jc w:val="center"/>
        <w:rPr>
          <w:rFonts w:asciiTheme="minorEastAsia" w:hAnsiTheme="minorEastAsia" w:eastAsiaTheme="minorEastAsia" w:cstheme="minorEastAsia"/>
          <w:b/>
          <w:sz w:val="28"/>
        </w:rPr>
      </w:pPr>
    </w:p>
    <w:p>
      <w:pPr>
        <w:pStyle w:val="37"/>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b/>
          <w:kern w:val="2"/>
          <w:sz w:val="30"/>
          <w:szCs w:val="30"/>
        </w:rPr>
      </w:pPr>
      <w:bookmarkStart w:id="274" w:name="_Toc8330"/>
      <w:bookmarkStart w:id="275" w:name="_Toc6465"/>
      <w:bookmarkStart w:id="276" w:name="_Toc31553"/>
    </w:p>
    <w:p>
      <w:pPr>
        <w:pStyle w:val="37"/>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b/>
          <w:kern w:val="2"/>
          <w:sz w:val="30"/>
          <w:szCs w:val="30"/>
        </w:rPr>
      </w:pPr>
    </w:p>
    <w:p>
      <w:pPr>
        <w:pStyle w:val="37"/>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b/>
          <w:kern w:val="2"/>
          <w:sz w:val="30"/>
          <w:szCs w:val="30"/>
        </w:rPr>
      </w:pPr>
    </w:p>
    <w:p>
      <w:pPr>
        <w:pStyle w:val="37"/>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b/>
          <w:kern w:val="2"/>
          <w:sz w:val="30"/>
          <w:szCs w:val="30"/>
        </w:rPr>
      </w:pPr>
    </w:p>
    <w:p>
      <w:pPr>
        <w:pStyle w:val="37"/>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b/>
          <w:kern w:val="2"/>
          <w:sz w:val="30"/>
          <w:szCs w:val="30"/>
        </w:rPr>
      </w:pPr>
    </w:p>
    <w:p>
      <w:pPr>
        <w:pStyle w:val="37"/>
        <w:widowControl w:val="0"/>
        <w:numPr>
          <w:ilvl w:val="0"/>
          <w:numId w:val="14"/>
        </w:numPr>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r>
        <w:rPr>
          <w:rFonts w:hint="eastAsia" w:asciiTheme="minorEastAsia" w:hAnsiTheme="minorEastAsia" w:eastAsiaTheme="minorEastAsia" w:cstheme="minorEastAsia"/>
          <w:b/>
          <w:kern w:val="2"/>
          <w:sz w:val="30"/>
          <w:szCs w:val="30"/>
        </w:rPr>
        <w:t>供应商服务承诺和优惠承诺</w:t>
      </w:r>
    </w:p>
    <w:p>
      <w:pPr>
        <w:pStyle w:val="37"/>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7"/>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7"/>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7"/>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7"/>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7"/>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7"/>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7"/>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7"/>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7"/>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7"/>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7"/>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7"/>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7"/>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7"/>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7"/>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7"/>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7"/>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7"/>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7"/>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7"/>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7"/>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37"/>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sz w:val="30"/>
          <w:szCs w:val="30"/>
        </w:rPr>
      </w:pPr>
      <w:r>
        <w:rPr>
          <w:rFonts w:hint="eastAsia" w:asciiTheme="minorEastAsia" w:hAnsiTheme="minorEastAsia" w:eastAsiaTheme="minorEastAsia" w:cstheme="minorEastAsia"/>
          <w:b/>
          <w:kern w:val="2"/>
          <w:sz w:val="30"/>
          <w:szCs w:val="30"/>
        </w:rPr>
        <w:t>八、供应商所投产品属于当期政府采购清单规定的节能环保产品的</w:t>
      </w:r>
      <w:bookmarkEnd w:id="274"/>
    </w:p>
    <w:p>
      <w:pPr>
        <w:pStyle w:val="37"/>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sz w:val="30"/>
          <w:szCs w:val="30"/>
        </w:rPr>
      </w:pPr>
      <w:bookmarkStart w:id="277" w:name="_Toc24210"/>
      <w:bookmarkStart w:id="278" w:name="_Toc18925"/>
      <w:bookmarkStart w:id="279" w:name="_Toc28422"/>
      <w:r>
        <w:rPr>
          <w:rFonts w:hint="eastAsia" w:asciiTheme="minorEastAsia" w:hAnsiTheme="minorEastAsia" w:eastAsiaTheme="minorEastAsia" w:cstheme="minorEastAsia"/>
          <w:b/>
          <w:kern w:val="2"/>
          <w:sz w:val="30"/>
          <w:szCs w:val="30"/>
        </w:rPr>
        <w:t>证明材料</w:t>
      </w:r>
      <w:bookmarkEnd w:id="275"/>
      <w:bookmarkEnd w:id="277"/>
      <w:bookmarkEnd w:id="278"/>
      <w:bookmarkEnd w:id="279"/>
      <w:r>
        <w:rPr>
          <w:rFonts w:hint="eastAsia" w:asciiTheme="minorEastAsia" w:hAnsiTheme="minorEastAsia" w:eastAsiaTheme="minorEastAsia" w:cstheme="minorEastAsia"/>
          <w:b/>
          <w:kern w:val="2"/>
          <w:sz w:val="30"/>
          <w:szCs w:val="30"/>
        </w:rPr>
        <w:t>（如有）</w:t>
      </w:r>
    </w:p>
    <w:p>
      <w:pPr>
        <w:pStyle w:val="37"/>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7"/>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7"/>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7"/>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7"/>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7"/>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7"/>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7"/>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7"/>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7"/>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7"/>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7"/>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7"/>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7"/>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7"/>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7"/>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7"/>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7"/>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7"/>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7"/>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7"/>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37"/>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sz w:val="30"/>
          <w:szCs w:val="30"/>
        </w:rPr>
      </w:pPr>
      <w:bookmarkStart w:id="280" w:name="_Toc23227"/>
      <w:bookmarkStart w:id="281" w:name="_Toc10717"/>
      <w:r>
        <w:rPr>
          <w:rFonts w:hint="eastAsia" w:asciiTheme="minorEastAsia" w:hAnsiTheme="minorEastAsia" w:eastAsiaTheme="minorEastAsia" w:cstheme="minorEastAsia"/>
          <w:b/>
          <w:kern w:val="2"/>
          <w:sz w:val="30"/>
          <w:szCs w:val="30"/>
        </w:rPr>
        <w:t>九、中小企业声明函（如有）</w:t>
      </w:r>
      <w:bookmarkEnd w:id="280"/>
      <w:bookmarkEnd w:id="281"/>
    </w:p>
    <w:p>
      <w:pPr>
        <w:pStyle w:val="37"/>
        <w:shd w:val="clear" w:color="auto" w:fill="FFFFFF"/>
        <w:spacing w:line="315" w:lineRule="atLeast"/>
        <w:ind w:firstLine="420"/>
        <w:rPr>
          <w:rFonts w:asciiTheme="minorEastAsia" w:hAnsiTheme="minorEastAsia" w:eastAsiaTheme="minorEastAsia" w:cstheme="minorEastAsia"/>
          <w:shd w:val="clear" w:color="auto" w:fill="FFFFFF"/>
        </w:rPr>
      </w:pPr>
      <w:r>
        <w:rPr>
          <w:rFonts w:hint="eastAsia" w:asciiTheme="minorEastAsia" w:hAnsiTheme="minorEastAsia" w:eastAsiaTheme="minorEastAsia" w:cstheme="minorEastAsia"/>
          <w:shd w:val="clear" w:color="auto" w:fill="FFFFFF"/>
        </w:rPr>
        <w:t>本公司郑重声明，根据《政府采购促进中小企业发展暂行办法》（财库[2011]181号）的规定，本公司为______（请填写：中型、小型、微型）企业。即，本公司同时满足以下条件：</w:t>
      </w: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r>
        <w:rPr>
          <w:rFonts w:hint="eastAsia" w:asciiTheme="minorEastAsia" w:hAnsiTheme="minorEastAsia" w:eastAsiaTheme="minorEastAsia" w:cstheme="minorEastAsia"/>
          <w:kern w:val="0"/>
          <w:sz w:val="24"/>
          <w:shd w:val="clear" w:color="auto" w:fill="FFFFFF"/>
        </w:rPr>
        <w:t>1.根据《工业和信息化部、国家统计局、国家发展和改革委员会、财政部关于印发中小企业划型标准规定的通知》（工信部联企业[2011]300号）规定的划分标准，本公司为______（请填写：中型、小型、微型）企业。</w:t>
      </w: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r>
        <w:rPr>
          <w:rFonts w:hint="eastAsia" w:asciiTheme="minorEastAsia" w:hAnsiTheme="minorEastAsia" w:eastAsiaTheme="minorEastAsia" w:cstheme="minorEastAsia"/>
          <w:kern w:val="0"/>
          <w:sz w:val="24"/>
          <w:shd w:val="clear" w:color="auto" w:fill="FFFFFF"/>
        </w:rPr>
        <w:t>2.本公司参加______单位的______项目采购活动提供本企业制造的货物，由本企业承担工程、提供服务，或者提供其他______（请填写：中型、小型、微型）企业制造的货物。本条所称货物不包括使用大型企业注册商标的货物。</w:t>
      </w: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r>
        <w:rPr>
          <w:rFonts w:hint="eastAsia" w:asciiTheme="minorEastAsia" w:hAnsiTheme="minorEastAsia" w:eastAsiaTheme="minorEastAsia" w:cstheme="minorEastAsia"/>
          <w:kern w:val="0"/>
          <w:sz w:val="24"/>
          <w:shd w:val="clear" w:color="auto" w:fill="FFFFFF"/>
        </w:rPr>
        <w:t>本公司对上述声明的真实性负责。如有虚假，将依法承担相应责任。</w:t>
      </w: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r>
        <w:rPr>
          <w:rFonts w:hint="eastAsia" w:asciiTheme="minorEastAsia" w:hAnsiTheme="minorEastAsia" w:eastAsiaTheme="minorEastAsia" w:cstheme="minorEastAsia"/>
          <w:kern w:val="0"/>
          <w:sz w:val="24"/>
          <w:shd w:val="clear" w:color="auto" w:fill="FFFFFF"/>
        </w:rPr>
        <w:t>　　　　　　　　　　　　　　　企业名称（</w:t>
      </w:r>
      <w:r>
        <w:rPr>
          <w:rFonts w:hint="eastAsia" w:asciiTheme="minorEastAsia" w:hAnsiTheme="minorEastAsia" w:eastAsiaTheme="minorEastAsia" w:cstheme="minorEastAsia"/>
          <w:bCs/>
          <w:sz w:val="24"/>
        </w:rPr>
        <w:t>盖单位公章</w:t>
      </w:r>
      <w:r>
        <w:rPr>
          <w:rFonts w:hint="eastAsia" w:asciiTheme="minorEastAsia" w:hAnsiTheme="minorEastAsia" w:eastAsiaTheme="minorEastAsia" w:cstheme="minorEastAsia"/>
          <w:kern w:val="0"/>
          <w:sz w:val="24"/>
          <w:shd w:val="clear" w:color="auto" w:fill="FFFFFF"/>
        </w:rPr>
        <w:t>）：</w:t>
      </w: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r>
        <w:rPr>
          <w:rFonts w:hint="eastAsia" w:asciiTheme="minorEastAsia" w:hAnsiTheme="minorEastAsia" w:eastAsiaTheme="minorEastAsia" w:cstheme="minorEastAsia"/>
          <w:kern w:val="0"/>
          <w:sz w:val="24"/>
          <w:shd w:val="clear" w:color="auto" w:fill="FFFFFF"/>
        </w:rPr>
        <w:t>　　　　　　　　　　　　　　　　　　日期：</w:t>
      </w:r>
    </w:p>
    <w:p>
      <w:pPr>
        <w:spacing w:line="600" w:lineRule="exact"/>
        <w:rPr>
          <w:rFonts w:asciiTheme="minorEastAsia" w:hAnsiTheme="minorEastAsia" w:eastAsiaTheme="minorEastAsia" w:cstheme="minorEastAsia"/>
          <w:sz w:val="30"/>
          <w:szCs w:val="30"/>
        </w:rPr>
      </w:pPr>
    </w:p>
    <w:p>
      <w:pPr>
        <w:pStyle w:val="37"/>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r>
        <w:rPr>
          <w:rFonts w:hint="eastAsia" w:asciiTheme="minorEastAsia" w:hAnsiTheme="minorEastAsia" w:eastAsiaTheme="minorEastAsia" w:cstheme="minorEastAsia"/>
          <w:b/>
          <w:kern w:val="2"/>
          <w:sz w:val="30"/>
          <w:szCs w:val="30"/>
        </w:rPr>
        <w:br w:type="page"/>
      </w:r>
      <w:bookmarkStart w:id="282" w:name="_Toc20881"/>
      <w:bookmarkStart w:id="283" w:name="_Toc14292"/>
      <w:bookmarkStart w:id="284" w:name="_Toc30170"/>
      <w:r>
        <w:rPr>
          <w:rFonts w:hint="eastAsia" w:asciiTheme="minorEastAsia" w:hAnsiTheme="minorEastAsia" w:eastAsiaTheme="minorEastAsia" w:cstheme="minorEastAsia"/>
          <w:b/>
          <w:kern w:val="2"/>
          <w:sz w:val="30"/>
          <w:szCs w:val="30"/>
        </w:rPr>
        <w:t>十、残疾人福利性单位声明函（如有）</w:t>
      </w:r>
      <w:bookmarkEnd w:id="282"/>
    </w:p>
    <w:p>
      <w:pPr>
        <w:spacing w:afterLines="200"/>
        <w:ind w:firstLine="2259" w:firstLineChars="750"/>
        <w:rPr>
          <w:rFonts w:asciiTheme="minorEastAsia" w:hAnsiTheme="minorEastAsia" w:eastAsiaTheme="minorEastAsia" w:cstheme="minorEastAsia"/>
          <w:b/>
          <w:sz w:val="30"/>
          <w:szCs w:val="30"/>
        </w:rPr>
      </w:pPr>
    </w:p>
    <w:p>
      <w:pPr>
        <w:spacing w:afterLines="200"/>
        <w:ind w:firstLine="2259" w:firstLineChars="750"/>
        <w:rPr>
          <w:rFonts w:asciiTheme="minorEastAsia" w:hAnsiTheme="minorEastAsia" w:eastAsiaTheme="minorEastAsia" w:cstheme="minorEastAsia"/>
          <w:b/>
          <w:sz w:val="30"/>
          <w:szCs w:val="30"/>
        </w:rPr>
      </w:pPr>
    </w:p>
    <w:p>
      <w:pPr>
        <w:spacing w:afterLines="200"/>
        <w:ind w:firstLine="2259" w:firstLineChars="750"/>
        <w:rPr>
          <w:rFonts w:asciiTheme="minorEastAsia" w:hAnsiTheme="minorEastAsia" w:eastAsiaTheme="minorEastAsia" w:cstheme="minorEastAsia"/>
          <w:b/>
          <w:sz w:val="30"/>
          <w:szCs w:val="30"/>
        </w:rPr>
      </w:pPr>
    </w:p>
    <w:p>
      <w:pPr>
        <w:spacing w:afterLines="200"/>
        <w:ind w:firstLine="2259" w:firstLineChars="750"/>
        <w:rPr>
          <w:rFonts w:asciiTheme="minorEastAsia" w:hAnsiTheme="minorEastAsia" w:eastAsiaTheme="minorEastAsia" w:cstheme="minorEastAsia"/>
          <w:b/>
          <w:sz w:val="30"/>
          <w:szCs w:val="30"/>
        </w:rPr>
      </w:pPr>
    </w:p>
    <w:p>
      <w:pPr>
        <w:spacing w:afterLines="200"/>
        <w:ind w:firstLine="2259" w:firstLineChars="750"/>
        <w:rPr>
          <w:rFonts w:asciiTheme="minorEastAsia" w:hAnsiTheme="minorEastAsia" w:eastAsiaTheme="minorEastAsia" w:cstheme="minorEastAsia"/>
          <w:b/>
          <w:sz w:val="30"/>
          <w:szCs w:val="30"/>
        </w:rPr>
      </w:pPr>
    </w:p>
    <w:p>
      <w:pPr>
        <w:spacing w:afterLines="200"/>
        <w:ind w:firstLine="2259" w:firstLineChars="750"/>
        <w:rPr>
          <w:rFonts w:asciiTheme="minorEastAsia" w:hAnsiTheme="minorEastAsia" w:eastAsiaTheme="minorEastAsia" w:cstheme="minorEastAsia"/>
          <w:b/>
          <w:sz w:val="30"/>
          <w:szCs w:val="30"/>
        </w:rPr>
      </w:pPr>
    </w:p>
    <w:p>
      <w:pPr>
        <w:spacing w:afterLines="200"/>
        <w:ind w:firstLine="2259" w:firstLineChars="750"/>
        <w:rPr>
          <w:rFonts w:asciiTheme="minorEastAsia" w:hAnsiTheme="minorEastAsia" w:eastAsiaTheme="minorEastAsia" w:cstheme="minorEastAsia"/>
          <w:b/>
          <w:sz w:val="30"/>
          <w:szCs w:val="30"/>
        </w:rPr>
      </w:pPr>
    </w:p>
    <w:p>
      <w:pPr>
        <w:spacing w:afterLines="200"/>
        <w:ind w:firstLine="2259" w:firstLineChars="750"/>
        <w:rPr>
          <w:rFonts w:asciiTheme="minorEastAsia" w:hAnsiTheme="minorEastAsia" w:eastAsiaTheme="minorEastAsia" w:cstheme="minorEastAsia"/>
          <w:b/>
          <w:sz w:val="30"/>
          <w:szCs w:val="30"/>
        </w:rPr>
      </w:pPr>
    </w:p>
    <w:p>
      <w:pPr>
        <w:spacing w:afterLines="200"/>
        <w:ind w:firstLine="2259" w:firstLineChars="750"/>
        <w:rPr>
          <w:rFonts w:asciiTheme="minorEastAsia" w:hAnsiTheme="minorEastAsia" w:eastAsiaTheme="minorEastAsia" w:cstheme="minorEastAsia"/>
          <w:b/>
          <w:sz w:val="30"/>
          <w:szCs w:val="30"/>
        </w:rPr>
      </w:pPr>
    </w:p>
    <w:bookmarkEnd w:id="276"/>
    <w:bookmarkEnd w:id="283"/>
    <w:bookmarkEnd w:id="284"/>
    <w:p>
      <w:pPr>
        <w:rPr>
          <w:rFonts w:ascii="Times New Roman" w:hAnsi="Times New Roman" w:eastAsia="仿宋"/>
          <w:sz w:val="32"/>
          <w:szCs w:val="32"/>
          <w:shd w:val="clear" w:color="FFFFFF" w:fill="D9D9D9"/>
        </w:rPr>
      </w:pPr>
    </w:p>
    <w:p>
      <w:pPr>
        <w:pStyle w:val="12"/>
        <w:rPr>
          <w:shd w:val="clear" w:color="FFFFFF" w:fill="D9D9D9"/>
        </w:rPr>
      </w:pPr>
    </w:p>
    <w:p>
      <w:pPr>
        <w:pStyle w:val="37"/>
        <w:widowControl w:val="0"/>
        <w:spacing w:before="120" w:beforeAutospacing="0" w:after="120" w:afterAutospacing="0" w:line="500" w:lineRule="exact"/>
        <w:ind w:right="29" w:rightChars="14" w:firstLine="602" w:firstLineChars="200"/>
        <w:jc w:val="both"/>
        <w:outlineLvl w:val="1"/>
        <w:rPr>
          <w:rFonts w:asciiTheme="minorEastAsia" w:hAnsiTheme="minorEastAsia" w:eastAsiaTheme="minorEastAsia" w:cstheme="minorEastAsia"/>
          <w:b/>
          <w:kern w:val="2"/>
          <w:sz w:val="30"/>
          <w:szCs w:val="30"/>
          <w:shd w:val="clear" w:color="FFFFFF" w:fill="D9D9D9"/>
        </w:rPr>
      </w:pPr>
    </w:p>
    <w:p>
      <w:pPr>
        <w:pStyle w:val="37"/>
        <w:widowControl w:val="0"/>
        <w:spacing w:before="120" w:beforeAutospacing="0" w:after="120" w:afterAutospacing="0" w:line="500" w:lineRule="exact"/>
        <w:ind w:right="29" w:rightChars="14" w:firstLine="602" w:firstLineChars="200"/>
        <w:jc w:val="center"/>
        <w:outlineLvl w:val="1"/>
        <w:rPr>
          <w:rFonts w:asciiTheme="minorEastAsia" w:hAnsiTheme="minorEastAsia" w:eastAsiaTheme="minorEastAsia" w:cstheme="minorEastAsia"/>
          <w:b/>
          <w:kern w:val="2"/>
          <w:sz w:val="30"/>
          <w:szCs w:val="30"/>
        </w:rPr>
      </w:pPr>
      <w:bookmarkStart w:id="285" w:name="_Toc16608"/>
      <w:r>
        <w:rPr>
          <w:rFonts w:hint="eastAsia" w:asciiTheme="minorEastAsia" w:hAnsiTheme="minorEastAsia" w:eastAsiaTheme="minorEastAsia" w:cstheme="minorEastAsia"/>
          <w:b/>
          <w:kern w:val="2"/>
          <w:sz w:val="30"/>
          <w:szCs w:val="30"/>
        </w:rPr>
        <w:t>十一、招标文件要求的或供应商认为须提交的其他材料</w:t>
      </w:r>
      <w:bookmarkEnd w:id="285"/>
    </w:p>
    <w:p>
      <w:pPr>
        <w:spacing w:line="360" w:lineRule="auto"/>
        <w:rPr>
          <w:rFonts w:asciiTheme="minorEastAsia" w:hAnsiTheme="minorEastAsia" w:eastAsiaTheme="minorEastAsia" w:cstheme="minorEastAsia"/>
          <w:sz w:val="24"/>
          <w:shd w:val="clear" w:color="FFFFFF" w:fill="D9D9D9"/>
        </w:rPr>
      </w:pPr>
    </w:p>
    <w:p>
      <w:pPr>
        <w:spacing w:line="600" w:lineRule="exact"/>
        <w:ind w:firstLine="600" w:firstLineChars="200"/>
        <w:rPr>
          <w:rFonts w:ascii="仿宋" w:hAnsi="仿宋" w:eastAsia="仿宋" w:cs="仿宋"/>
          <w:sz w:val="30"/>
          <w:szCs w:val="30"/>
        </w:rPr>
      </w:pPr>
      <w:r>
        <w:rPr>
          <w:rFonts w:hint="eastAsia" w:ascii="仿宋" w:hAnsi="仿宋" w:eastAsia="仿宋" w:cs="仿宋"/>
          <w:sz w:val="30"/>
          <w:szCs w:val="30"/>
        </w:rPr>
        <w:t>招标文件规定的其他资料及供应商认为需要提交的其他材料。</w:t>
      </w:r>
    </w:p>
    <w:p>
      <w:pPr>
        <w:spacing w:line="600" w:lineRule="exact"/>
        <w:ind w:firstLine="600" w:firstLineChars="200"/>
        <w:rPr>
          <w:rFonts w:ascii="仿宋" w:hAnsi="仿宋" w:eastAsia="仿宋" w:cs="仿宋"/>
          <w:sz w:val="30"/>
          <w:szCs w:val="30"/>
        </w:rPr>
      </w:pPr>
    </w:p>
    <w:p>
      <w:pPr>
        <w:widowControl/>
        <w:spacing w:line="580" w:lineRule="atLeast"/>
        <w:jc w:val="center"/>
        <w:rPr>
          <w:rFonts w:asciiTheme="minorEastAsia" w:hAnsiTheme="minorEastAsia" w:eastAsiaTheme="minorEastAsia" w:cstheme="minorEastAsia"/>
          <w:b/>
          <w:kern w:val="0"/>
          <w:sz w:val="32"/>
          <w:szCs w:val="32"/>
        </w:rPr>
      </w:pPr>
    </w:p>
    <w:p>
      <w:pPr>
        <w:widowControl/>
        <w:spacing w:line="580" w:lineRule="atLeast"/>
        <w:jc w:val="center"/>
        <w:rPr>
          <w:rFonts w:asciiTheme="minorEastAsia" w:hAnsiTheme="minorEastAsia" w:eastAsiaTheme="minorEastAsia" w:cstheme="minorEastAsia"/>
          <w:b/>
          <w:bCs/>
          <w:kern w:val="0"/>
          <w:sz w:val="32"/>
          <w:szCs w:val="32"/>
        </w:rPr>
      </w:pPr>
    </w:p>
    <w:p>
      <w:pPr>
        <w:widowControl/>
        <w:spacing w:line="580" w:lineRule="atLeast"/>
        <w:jc w:val="center"/>
        <w:rPr>
          <w:rFonts w:asciiTheme="minorEastAsia" w:hAnsiTheme="minorEastAsia" w:eastAsiaTheme="minorEastAsia" w:cstheme="minorEastAsia"/>
          <w:b/>
          <w:bCs/>
          <w:kern w:val="0"/>
          <w:sz w:val="32"/>
          <w:szCs w:val="32"/>
        </w:rPr>
      </w:pPr>
    </w:p>
    <w:p>
      <w:pPr>
        <w:pStyle w:val="120"/>
        <w:rPr>
          <w:rFonts w:asciiTheme="minorEastAsia" w:hAnsiTheme="minorEastAsia" w:eastAsiaTheme="minorEastAsia" w:cstheme="minorEastAsia"/>
          <w:b/>
          <w:bCs/>
          <w:kern w:val="0"/>
          <w:sz w:val="32"/>
          <w:szCs w:val="32"/>
        </w:rPr>
      </w:pPr>
    </w:p>
    <w:p>
      <w:pPr>
        <w:rPr>
          <w:rFonts w:asciiTheme="minorEastAsia" w:hAnsiTheme="minorEastAsia" w:eastAsiaTheme="minorEastAsia" w:cstheme="minorEastAsia"/>
          <w:b/>
          <w:bCs/>
          <w:kern w:val="0"/>
          <w:sz w:val="32"/>
          <w:szCs w:val="32"/>
        </w:rPr>
      </w:pPr>
    </w:p>
    <w:p>
      <w:pPr>
        <w:pStyle w:val="120"/>
        <w:rPr>
          <w:rFonts w:asciiTheme="minorEastAsia" w:hAnsiTheme="minorEastAsia" w:eastAsiaTheme="minorEastAsia" w:cstheme="minorEastAsia"/>
          <w:b/>
          <w:bCs/>
          <w:kern w:val="0"/>
          <w:sz w:val="32"/>
          <w:szCs w:val="32"/>
        </w:rPr>
      </w:pPr>
    </w:p>
    <w:p>
      <w:pPr>
        <w:rPr>
          <w:rFonts w:asciiTheme="minorEastAsia" w:hAnsiTheme="minorEastAsia" w:eastAsiaTheme="minorEastAsia" w:cstheme="minorEastAsia"/>
          <w:b/>
          <w:bCs/>
          <w:kern w:val="0"/>
          <w:sz w:val="32"/>
          <w:szCs w:val="32"/>
        </w:rPr>
      </w:pPr>
    </w:p>
    <w:p>
      <w:pPr>
        <w:pStyle w:val="120"/>
        <w:rPr>
          <w:rFonts w:asciiTheme="minorEastAsia" w:hAnsiTheme="minorEastAsia" w:eastAsiaTheme="minorEastAsia" w:cstheme="minorEastAsia"/>
          <w:b/>
          <w:bCs/>
          <w:kern w:val="0"/>
          <w:sz w:val="32"/>
          <w:szCs w:val="32"/>
        </w:rPr>
      </w:pPr>
    </w:p>
    <w:p>
      <w:pPr>
        <w:rPr>
          <w:rFonts w:asciiTheme="minorEastAsia" w:hAnsiTheme="minorEastAsia" w:eastAsiaTheme="minorEastAsia" w:cstheme="minorEastAsia"/>
          <w:b/>
          <w:bCs/>
          <w:kern w:val="0"/>
          <w:sz w:val="32"/>
          <w:szCs w:val="32"/>
        </w:rPr>
      </w:pPr>
    </w:p>
    <w:p>
      <w:pPr>
        <w:pStyle w:val="120"/>
        <w:rPr>
          <w:rFonts w:asciiTheme="minorEastAsia" w:hAnsiTheme="minorEastAsia" w:eastAsiaTheme="minorEastAsia" w:cstheme="minorEastAsia"/>
          <w:b/>
          <w:bCs/>
          <w:kern w:val="0"/>
          <w:sz w:val="32"/>
          <w:szCs w:val="32"/>
        </w:rPr>
      </w:pPr>
    </w:p>
    <w:p>
      <w:pPr>
        <w:rPr>
          <w:rFonts w:asciiTheme="minorEastAsia" w:hAnsiTheme="minorEastAsia" w:eastAsiaTheme="minorEastAsia" w:cstheme="minorEastAsia"/>
          <w:b/>
          <w:bCs/>
          <w:kern w:val="0"/>
          <w:sz w:val="32"/>
          <w:szCs w:val="32"/>
        </w:rPr>
      </w:pPr>
    </w:p>
    <w:p>
      <w:pPr>
        <w:pStyle w:val="120"/>
        <w:rPr>
          <w:rFonts w:asciiTheme="minorEastAsia" w:hAnsiTheme="minorEastAsia" w:eastAsiaTheme="minorEastAsia" w:cstheme="minorEastAsia"/>
          <w:b/>
          <w:bCs/>
          <w:kern w:val="0"/>
          <w:sz w:val="32"/>
          <w:szCs w:val="32"/>
        </w:rPr>
      </w:pPr>
    </w:p>
    <w:p>
      <w:pPr>
        <w:spacing w:line="440" w:lineRule="exact"/>
        <w:jc w:val="center"/>
        <w:rPr>
          <w:rFonts w:ascii="宋体" w:hAnsi="宋体" w:cs="宋体"/>
          <w:b/>
          <w:sz w:val="36"/>
          <w:szCs w:val="36"/>
        </w:rPr>
      </w:pPr>
      <w:r>
        <w:rPr>
          <w:rFonts w:hint="eastAsia" w:ascii="宋体" w:hAnsi="宋体" w:cs="宋体"/>
          <w:b/>
          <w:sz w:val="36"/>
          <w:szCs w:val="36"/>
        </w:rPr>
        <w:t>河南省政府采购合同融资政策告知函</w:t>
      </w:r>
    </w:p>
    <w:p>
      <w:pPr>
        <w:spacing w:line="420" w:lineRule="exact"/>
        <w:ind w:firstLine="367" w:firstLineChars="175"/>
        <w:rPr>
          <w:rFonts w:ascii="宋体" w:hAnsi="宋体" w:cs="宋体"/>
          <w:bCs/>
          <w:szCs w:val="21"/>
        </w:rPr>
      </w:pPr>
      <w:r>
        <w:rPr>
          <w:rFonts w:hint="eastAsia" w:ascii="宋体" w:hAnsi="宋体" w:cs="宋体"/>
          <w:bCs/>
          <w:szCs w:val="21"/>
        </w:rPr>
        <w:t>各供应商：</w:t>
      </w:r>
    </w:p>
    <w:p>
      <w:pPr>
        <w:spacing w:line="420" w:lineRule="exact"/>
        <w:ind w:firstLine="367" w:firstLineChars="175"/>
        <w:rPr>
          <w:rFonts w:ascii="宋体" w:hAnsi="宋体" w:cs="宋体"/>
          <w:bCs/>
          <w:szCs w:val="21"/>
        </w:rPr>
      </w:pPr>
      <w:r>
        <w:rPr>
          <w:rFonts w:hint="eastAsia" w:ascii="宋体" w:hAnsi="宋体" w:cs="宋体"/>
          <w:bCs/>
          <w:szCs w:val="21"/>
        </w:rPr>
        <w:t xml:space="preserve">   欢迎贵公司参与河南省政府采购活动！</w:t>
      </w:r>
    </w:p>
    <w:p>
      <w:pPr>
        <w:spacing w:line="420" w:lineRule="exact"/>
        <w:ind w:firstLine="367" w:firstLineChars="175"/>
        <w:rPr>
          <w:rFonts w:ascii="宋体" w:hAnsi="宋体" w:cs="宋体"/>
          <w:bCs/>
          <w:szCs w:val="21"/>
        </w:rPr>
      </w:pPr>
      <w:r>
        <w:rPr>
          <w:rFonts w:hint="eastAsia" w:ascii="宋体" w:hAnsi="宋体" w:cs="宋体"/>
          <w:bCs/>
          <w:szCs w:val="21"/>
        </w:rPr>
        <w:t xml:space="preserve">   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依据《河南省采购合同融资工作实施方案》（豫财购[2017]10号），按照双方自愿的原则提供便捷、优惠的贷款服务。</w:t>
      </w:r>
    </w:p>
    <w:p>
      <w:pPr>
        <w:spacing w:line="420" w:lineRule="exact"/>
        <w:ind w:firstLine="367" w:firstLineChars="175"/>
        <w:rPr>
          <w:rFonts w:ascii="宋体" w:hAnsi="宋体" w:cs="宋体"/>
          <w:bCs/>
          <w:szCs w:val="21"/>
        </w:rPr>
      </w:pPr>
      <w:r>
        <w:rPr>
          <w:rFonts w:hint="eastAsia" w:ascii="宋体" w:hAnsi="宋体" w:cs="宋体"/>
          <w:bCs/>
          <w:szCs w:val="21"/>
        </w:rPr>
        <w:t xml:space="preserve"> 贷款渠道和提供贷款的金融机构，可在河南省政府采购网“河南省政府采购合同融资平台”查询联系。</w:t>
      </w:r>
    </w:p>
    <w:p>
      <w:pPr>
        <w:jc w:val="center"/>
        <w:rPr>
          <w:rFonts w:ascii="宋体" w:hAnsi="宋体"/>
          <w:b/>
          <w:sz w:val="32"/>
          <w:szCs w:val="32"/>
        </w:rPr>
      </w:pPr>
      <w:r>
        <w:rPr>
          <w:rFonts w:hint="eastAsia" w:ascii="宋体" w:hAnsi="宋体"/>
          <w:b/>
          <w:sz w:val="32"/>
          <w:szCs w:val="32"/>
        </w:rPr>
        <w:t>焦作市政府采购合同融资合作企业</w:t>
      </w:r>
    </w:p>
    <w:tbl>
      <w:tblPr>
        <w:tblStyle w:val="40"/>
        <w:tblW w:w="90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1230"/>
        <w:gridCol w:w="1876"/>
        <w:gridCol w:w="2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3656" w:type="dxa"/>
            <w:vAlign w:val="center"/>
          </w:tcPr>
          <w:p>
            <w:pPr>
              <w:widowControl/>
              <w:tabs>
                <w:tab w:val="left" w:pos="0"/>
              </w:tabs>
              <w:jc w:val="center"/>
              <w:rPr>
                <w:rFonts w:ascii="黑体" w:hAnsi="黑体" w:eastAsia="黑体"/>
                <w:sz w:val="30"/>
                <w:szCs w:val="30"/>
              </w:rPr>
            </w:pPr>
            <w:r>
              <w:rPr>
                <w:rFonts w:hint="eastAsia" w:ascii="黑体" w:hAnsi="黑体" w:eastAsia="黑体"/>
                <w:sz w:val="30"/>
                <w:szCs w:val="30"/>
              </w:rPr>
              <w:t>名称</w:t>
            </w:r>
          </w:p>
        </w:tc>
        <w:tc>
          <w:tcPr>
            <w:tcW w:w="1230" w:type="dxa"/>
            <w:vAlign w:val="center"/>
          </w:tcPr>
          <w:p>
            <w:pPr>
              <w:widowControl/>
              <w:tabs>
                <w:tab w:val="left" w:pos="0"/>
              </w:tabs>
              <w:jc w:val="center"/>
              <w:rPr>
                <w:rFonts w:ascii="黑体" w:hAnsi="黑体" w:eastAsia="黑体"/>
                <w:sz w:val="30"/>
                <w:szCs w:val="30"/>
              </w:rPr>
            </w:pPr>
            <w:r>
              <w:rPr>
                <w:rFonts w:hint="eastAsia" w:ascii="黑体" w:hAnsi="黑体" w:eastAsia="黑体"/>
                <w:sz w:val="30"/>
                <w:szCs w:val="30"/>
              </w:rPr>
              <w:t>联系人</w:t>
            </w:r>
          </w:p>
        </w:tc>
        <w:tc>
          <w:tcPr>
            <w:tcW w:w="1876" w:type="dxa"/>
            <w:vAlign w:val="center"/>
          </w:tcPr>
          <w:p>
            <w:pPr>
              <w:widowControl/>
              <w:tabs>
                <w:tab w:val="left" w:pos="0"/>
              </w:tabs>
              <w:jc w:val="center"/>
              <w:rPr>
                <w:rFonts w:ascii="黑体" w:hAnsi="黑体" w:eastAsia="黑体"/>
                <w:sz w:val="30"/>
                <w:szCs w:val="30"/>
              </w:rPr>
            </w:pPr>
            <w:r>
              <w:rPr>
                <w:rFonts w:hint="eastAsia" w:ascii="黑体" w:hAnsi="黑体" w:eastAsia="黑体"/>
                <w:sz w:val="30"/>
                <w:szCs w:val="30"/>
              </w:rPr>
              <w:t>联系电话</w:t>
            </w:r>
          </w:p>
        </w:tc>
        <w:tc>
          <w:tcPr>
            <w:tcW w:w="2325" w:type="dxa"/>
            <w:vAlign w:val="center"/>
          </w:tcPr>
          <w:p>
            <w:pPr>
              <w:widowControl/>
              <w:tabs>
                <w:tab w:val="left" w:pos="0"/>
              </w:tabs>
              <w:jc w:val="center"/>
              <w:rPr>
                <w:rFonts w:ascii="黑体" w:hAnsi="黑体" w:eastAsia="黑体"/>
                <w:sz w:val="30"/>
                <w:szCs w:val="30"/>
              </w:rPr>
            </w:pPr>
            <w:r>
              <w:rPr>
                <w:rFonts w:hint="eastAsia" w:ascii="黑体" w:hAnsi="黑体" w:eastAsia="黑体"/>
                <w:sz w:val="30"/>
                <w:szCs w:val="30"/>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trPr>
        <w:tc>
          <w:tcPr>
            <w:tcW w:w="3656"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中国农业银行股份有限公司</w:t>
            </w:r>
          </w:p>
          <w:p>
            <w:pPr>
              <w:widowControl/>
              <w:tabs>
                <w:tab w:val="left" w:pos="0"/>
              </w:tabs>
              <w:spacing w:line="360" w:lineRule="exact"/>
              <w:rPr>
                <w:rFonts w:ascii="宋体" w:hAnsi="宋体" w:cs="宋体"/>
                <w:sz w:val="24"/>
              </w:rPr>
            </w:pPr>
            <w:r>
              <w:rPr>
                <w:rFonts w:hint="eastAsia" w:ascii="宋体" w:hAnsi="宋体" w:cs="宋体"/>
                <w:sz w:val="24"/>
              </w:rPr>
              <w:t>焦作分行</w:t>
            </w:r>
          </w:p>
        </w:tc>
        <w:tc>
          <w:tcPr>
            <w:tcW w:w="1230"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color w:val="000000"/>
                <w:sz w:val="24"/>
                <w:shd w:val="clear" w:color="auto" w:fill="FFFFFF"/>
              </w:rPr>
              <w:t>薛国战</w:t>
            </w:r>
          </w:p>
        </w:tc>
        <w:tc>
          <w:tcPr>
            <w:tcW w:w="1876"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0391-2878039       13839109026</w:t>
            </w:r>
          </w:p>
        </w:tc>
        <w:tc>
          <w:tcPr>
            <w:tcW w:w="2325"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焦作市民主南路88号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6"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中国银行股份有限公司焦作分行</w:t>
            </w:r>
          </w:p>
        </w:tc>
        <w:tc>
          <w:tcPr>
            <w:tcW w:w="1230"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color w:val="000000"/>
                <w:sz w:val="24"/>
                <w:shd w:val="clear" w:color="auto" w:fill="FFFFFF"/>
              </w:rPr>
              <w:t>曹阳</w:t>
            </w:r>
          </w:p>
        </w:tc>
        <w:tc>
          <w:tcPr>
            <w:tcW w:w="1876"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0391-8825171  13839118160</w:t>
            </w:r>
          </w:p>
        </w:tc>
        <w:tc>
          <w:tcPr>
            <w:tcW w:w="2325"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焦作市丰收路159号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656"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中国建设银行股份有限公司焦作分行</w:t>
            </w:r>
          </w:p>
        </w:tc>
        <w:tc>
          <w:tcPr>
            <w:tcW w:w="1230" w:type="dxa"/>
            <w:shd w:val="clear" w:color="auto" w:fill="auto"/>
            <w:vAlign w:val="center"/>
          </w:tcPr>
          <w:p>
            <w:pPr>
              <w:widowControl/>
              <w:tabs>
                <w:tab w:val="left" w:pos="0"/>
              </w:tabs>
              <w:spacing w:line="360" w:lineRule="exact"/>
              <w:jc w:val="center"/>
              <w:rPr>
                <w:rFonts w:ascii="宋体" w:hAnsi="宋体" w:cs="宋体"/>
                <w:sz w:val="24"/>
              </w:rPr>
            </w:pPr>
            <w:r>
              <w:rPr>
                <w:rFonts w:hint="eastAsia" w:ascii="宋体" w:hAnsi="宋体" w:cs="宋体"/>
                <w:sz w:val="24"/>
              </w:rPr>
              <w:t>李华莹</w:t>
            </w:r>
          </w:p>
        </w:tc>
        <w:tc>
          <w:tcPr>
            <w:tcW w:w="1876" w:type="dxa"/>
            <w:shd w:val="clear" w:color="auto" w:fill="auto"/>
            <w:vAlign w:val="center"/>
          </w:tcPr>
          <w:p>
            <w:pPr>
              <w:widowControl/>
              <w:tabs>
                <w:tab w:val="left" w:pos="0"/>
              </w:tabs>
              <w:spacing w:line="360" w:lineRule="exact"/>
              <w:jc w:val="center"/>
              <w:rPr>
                <w:rFonts w:ascii="宋体" w:hAnsi="宋体" w:cs="宋体"/>
                <w:sz w:val="24"/>
              </w:rPr>
            </w:pPr>
            <w:r>
              <w:rPr>
                <w:rFonts w:hint="eastAsia" w:ascii="宋体" w:hAnsi="宋体" w:cs="宋体"/>
                <w:sz w:val="24"/>
              </w:rPr>
              <w:t>0391-3918471</w:t>
            </w:r>
          </w:p>
        </w:tc>
        <w:tc>
          <w:tcPr>
            <w:tcW w:w="2325" w:type="dxa"/>
            <w:shd w:val="solid" w:color="FFFFFF" w:fill="auto"/>
            <w:vAlign w:val="center"/>
          </w:tcPr>
          <w:p>
            <w:pPr>
              <w:widowControl/>
              <w:tabs>
                <w:tab w:val="left" w:pos="0"/>
              </w:tabs>
              <w:spacing w:line="360" w:lineRule="exact"/>
              <w:rPr>
                <w:rFonts w:ascii="宋体" w:hAnsi="宋体" w:cs="宋体"/>
                <w:sz w:val="24"/>
              </w:rPr>
            </w:pPr>
            <w:r>
              <w:rPr>
                <w:rFonts w:hint="eastAsia" w:ascii="宋体" w:hAnsi="宋体" w:cs="宋体"/>
                <w:sz w:val="24"/>
              </w:rPr>
              <w:t>焦作市建设东路152号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6"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中国邮政储蓄银行股份有限公司焦作市分行</w:t>
            </w:r>
          </w:p>
        </w:tc>
        <w:tc>
          <w:tcPr>
            <w:tcW w:w="1230"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color w:val="000000"/>
                <w:sz w:val="24"/>
                <w:shd w:val="clear" w:color="auto" w:fill="FFFFFF"/>
              </w:rPr>
              <w:t>李天祥</w:t>
            </w:r>
          </w:p>
        </w:tc>
        <w:tc>
          <w:tcPr>
            <w:tcW w:w="1876"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0391-2981968 13523359082</w:t>
            </w:r>
          </w:p>
        </w:tc>
        <w:tc>
          <w:tcPr>
            <w:tcW w:w="2325"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焦作市丰收中路2233号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3656"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焦作中旅银行股份有限公司</w:t>
            </w:r>
          </w:p>
        </w:tc>
        <w:tc>
          <w:tcPr>
            <w:tcW w:w="1230"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color w:val="000000"/>
                <w:sz w:val="24"/>
                <w:shd w:val="clear" w:color="auto" w:fill="FFFFFF"/>
              </w:rPr>
              <w:t>周建林</w:t>
            </w:r>
          </w:p>
        </w:tc>
        <w:tc>
          <w:tcPr>
            <w:tcW w:w="1876"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 xml:space="preserve">0391-2116963 15893053027 </w:t>
            </w:r>
          </w:p>
        </w:tc>
        <w:tc>
          <w:tcPr>
            <w:tcW w:w="2325"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焦作市山阳区迎宾路1号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3656"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中信银行股份有限公司焦作分行</w:t>
            </w:r>
          </w:p>
        </w:tc>
        <w:tc>
          <w:tcPr>
            <w:tcW w:w="1230" w:type="dxa"/>
            <w:shd w:val="clear" w:color="auto" w:fill="auto"/>
            <w:vAlign w:val="center"/>
          </w:tcPr>
          <w:p>
            <w:pPr>
              <w:widowControl/>
              <w:tabs>
                <w:tab w:val="left" w:pos="0"/>
              </w:tabs>
              <w:spacing w:line="360" w:lineRule="exact"/>
              <w:jc w:val="center"/>
              <w:rPr>
                <w:rFonts w:ascii="宋体" w:hAnsi="宋体" w:cs="宋体"/>
                <w:sz w:val="24"/>
              </w:rPr>
            </w:pPr>
            <w:r>
              <w:rPr>
                <w:rFonts w:hint="eastAsia" w:ascii="宋体" w:hAnsi="宋体" w:cs="宋体"/>
                <w:sz w:val="24"/>
              </w:rPr>
              <w:t>周江江</w:t>
            </w:r>
          </w:p>
        </w:tc>
        <w:tc>
          <w:tcPr>
            <w:tcW w:w="1876"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17639185001</w:t>
            </w:r>
          </w:p>
        </w:tc>
        <w:tc>
          <w:tcPr>
            <w:tcW w:w="2325" w:type="dxa"/>
            <w:shd w:val="solid" w:color="FFFFFF" w:fill="auto"/>
            <w:vAlign w:val="center"/>
          </w:tcPr>
          <w:p>
            <w:pPr>
              <w:widowControl/>
              <w:tabs>
                <w:tab w:val="left" w:pos="0"/>
              </w:tabs>
              <w:spacing w:line="360" w:lineRule="exact"/>
              <w:rPr>
                <w:rFonts w:ascii="宋体" w:hAnsi="宋体" w:cs="宋体"/>
                <w:sz w:val="24"/>
              </w:rPr>
            </w:pPr>
            <w:r>
              <w:rPr>
                <w:rFonts w:hint="eastAsia" w:ascii="宋体" w:hAnsi="宋体" w:cs="宋体"/>
                <w:sz w:val="24"/>
              </w:rPr>
              <w:t>焦作市塔南路1736号嘉隆国际中心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3656"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bCs/>
                <w:sz w:val="24"/>
              </w:rPr>
              <w:t>中国光大银行股份有限公司焦作分行</w:t>
            </w:r>
          </w:p>
        </w:tc>
        <w:tc>
          <w:tcPr>
            <w:tcW w:w="1230"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color w:val="000000"/>
                <w:sz w:val="24"/>
                <w:shd w:val="clear" w:color="auto" w:fill="FFFFFF"/>
              </w:rPr>
              <w:t>王海宾</w:t>
            </w:r>
          </w:p>
        </w:tc>
        <w:tc>
          <w:tcPr>
            <w:tcW w:w="1876"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0391-8787996 13598534626</w:t>
            </w:r>
          </w:p>
        </w:tc>
        <w:tc>
          <w:tcPr>
            <w:tcW w:w="2325"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焦作市塔南路1736号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trPr>
        <w:tc>
          <w:tcPr>
            <w:tcW w:w="3656"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中原银行股份有限公司焦作分行</w:t>
            </w:r>
          </w:p>
        </w:tc>
        <w:tc>
          <w:tcPr>
            <w:tcW w:w="1230"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color w:val="000000"/>
                <w:sz w:val="24"/>
                <w:shd w:val="clear" w:color="auto" w:fill="FFFFFF"/>
              </w:rPr>
              <w:t>赵伟</w:t>
            </w:r>
          </w:p>
        </w:tc>
        <w:tc>
          <w:tcPr>
            <w:tcW w:w="1876"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0391-8796520 15738533033</w:t>
            </w:r>
          </w:p>
        </w:tc>
        <w:tc>
          <w:tcPr>
            <w:tcW w:w="2325"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焦作市解放区人民路479号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3656"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广发银行股份有限公司焦作分行</w:t>
            </w:r>
          </w:p>
        </w:tc>
        <w:tc>
          <w:tcPr>
            <w:tcW w:w="1230"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color w:val="000000"/>
                <w:sz w:val="24"/>
                <w:shd w:val="clear" w:color="auto" w:fill="FFFFFF"/>
              </w:rPr>
              <w:t>张嘉强</w:t>
            </w:r>
          </w:p>
        </w:tc>
        <w:tc>
          <w:tcPr>
            <w:tcW w:w="1876"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0391-653785 13203910032</w:t>
            </w:r>
          </w:p>
        </w:tc>
        <w:tc>
          <w:tcPr>
            <w:tcW w:w="2325"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焦作市塔南路1736号嘉隆金融中心</w:t>
            </w:r>
          </w:p>
        </w:tc>
      </w:tr>
    </w:tbl>
    <w:p>
      <w:pPr>
        <w:rPr>
          <w:rFonts w:ascii="宋体" w:hAnsi="宋体" w:cs="宋体"/>
          <w:sz w:val="24"/>
          <w:highlight w:val="yellow"/>
        </w:rPr>
      </w:pPr>
      <w:r>
        <w:rPr>
          <w:rFonts w:hint="eastAsia" w:ascii="宋体" w:hAnsi="宋体" w:cs="宋体"/>
          <w:sz w:val="24"/>
        </w:rPr>
        <w:t>备注：融资服务机构名单和人员联系方式会随时变化。具体情况可登录“焦作市政府采购网”政府采购合同融资平台查询。</w:t>
      </w:r>
    </w:p>
    <w:p>
      <w:pPr>
        <w:rPr>
          <w:rFonts w:ascii="宋体" w:hAnsi="宋体" w:cs="宋体"/>
          <w:sz w:val="24"/>
          <w:highlight w:val="yellow"/>
        </w:rPr>
      </w:pPr>
    </w:p>
    <w:p>
      <w:pPr>
        <w:rPr>
          <w:highlight w:val="yellow"/>
        </w:rPr>
      </w:pPr>
    </w:p>
    <w:sectPr>
      <w:footerReference r:id="rId11" w:type="default"/>
      <w:pgSz w:w="11907" w:h="16840"/>
      <w:pgMar w:top="1276" w:right="1116" w:bottom="1417" w:left="911" w:header="850" w:footer="998" w:gutter="0"/>
      <w:pgNumType w:fmt="numberInDash"/>
      <w:cols w:space="720" w:num="1"/>
      <w:docGrid w:type="lines" w:linePitch="38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ook Antiqua">
    <w:altName w:val="Segoe Print"/>
    <w:panose1 w:val="02040602050305030304"/>
    <w:charset w:val="00"/>
    <w:family w:val="modern"/>
    <w:pitch w:val="default"/>
    <w:sig w:usb0="00000000" w:usb1="00000000" w:usb2="00000000" w:usb3="00000000" w:csb0="2000009F" w:csb1="DFD70000"/>
  </w:font>
  <w:font w:name="Segoe Print">
    <w:panose1 w:val="02000600000000000000"/>
    <w:charset w:val="00"/>
    <w:family w:val="auto"/>
    <w:pitch w:val="default"/>
    <w:sig w:usb0="0000028F" w:usb1="00000000" w:usb2="00000000" w:usb3="00000000" w:csb0="2000009F" w:csb1="4701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decorative"/>
    <w:pitch w:val="default"/>
    <w:sig w:usb0="A00002EF" w:usb1="4000207B" w:usb2="00000000" w:usb3="00000000" w:csb0="2000019F" w:csb1="00000000"/>
  </w:font>
  <w:font w:name="monospace">
    <w:altName w:val="Segoe Print"/>
    <w:panose1 w:val="00000000000000000000"/>
    <w:charset w:val="00"/>
    <w:family w:val="auto"/>
    <w:pitch w:val="default"/>
    <w:sig w:usb0="00000000" w:usb1="00000000" w:usb2="00000000" w:usb3="00000000" w:csb0="00040001" w:csb1="00000000"/>
  </w:font>
  <w:font w:name="_x000B__x000C_">
    <w:altName w:val="Times New Roman"/>
    <w:panose1 w:val="00000000000000000000"/>
    <w:charset w:val="00"/>
    <w:family w:val="auto"/>
    <w:pitch w:val="default"/>
    <w:sig w:usb0="00000000" w:usb1="00000000" w:usb2="00000000" w:usb3="00000000" w:csb0="00040001" w:csb1="00000000"/>
  </w:font>
  <w:font w:name="FZSSK--GBK1-0">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E-BZ">
    <w:altName w:val="微软雅黑"/>
    <w:panose1 w:val="00000000000000000000"/>
    <w:charset w:val="00"/>
    <w:family w:val="auto"/>
    <w:pitch w:val="default"/>
    <w:sig w:usb0="00000000" w:usb1="00000000" w:usb2="00000000" w:usb3="00000000" w:csb0="00040001" w:csb1="00000000"/>
  </w:font>
  <w:font w:name="仿宋_GB2312">
    <w:panose1 w:val="02010609030101010101"/>
    <w:charset w:val="86"/>
    <w:family w:val="swiss"/>
    <w:pitch w:val="default"/>
    <w:sig w:usb0="00000001" w:usb1="080E0000" w:usb2="00000000" w:usb3="00000000" w:csb0="00040000" w:csb1="00000000"/>
  </w:font>
  <w:font w:name="方正小标宋简体">
    <w:altName w:val="仿宋_GB2312"/>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28"/>
                          </w:pPr>
                          <w:r>
                            <w:fldChar w:fldCharType="begin"/>
                          </w:r>
                          <w:r>
                            <w:instrText xml:space="preserve"> PAGE  \* MERGEFORMAT </w:instrText>
                          </w:r>
                          <w:r>
                            <w:fldChar w:fldCharType="separate"/>
                          </w:r>
                          <w:r>
                            <w:t>- 23 -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jHpww4AgAAb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mMenDDgCAABvBAAADgAAAAAAAAABACAAAAAfAQAAZHJzL2Uyb0RvYy54&#10;bWxQSwUGAAAAAAYABgBZAQAAyQUAAAAA&#10;">
              <v:fill on="f" focussize="0,0"/>
              <v:stroke on="f" weight="0.5pt"/>
              <v:imagedata o:title=""/>
              <o:lock v:ext="edit" aspectratio="f"/>
              <v:textbox inset="0mm,0mm,0mm,0mm" style="mso-fit-shape-to-text:t;">
                <w:txbxContent>
                  <w:p>
                    <w:pPr>
                      <w:pStyle w:val="28"/>
                    </w:pPr>
                    <w:r>
                      <w:fldChar w:fldCharType="begin"/>
                    </w:r>
                    <w:r>
                      <w:instrText xml:space="preserve"> PAGE  \* MERGEFORMAT </w:instrText>
                    </w:r>
                    <w:r>
                      <w:fldChar w:fldCharType="separate"/>
                    </w:r>
                    <w:r>
                      <w:t>- 23 -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28"/>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niKxQ4AgAAb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Qfr6n3V&#10;PcAUWhY2emt5TBOl8nZ5CJA2KR4F6lRBp+IBc5h6dtmZOOh/nlPU0//E4h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OeIrFDgCAABvBAAADgAAAAAAAAABACAAAAAfAQAAZHJzL2Uyb0RvYy54&#10;bWxQSwUGAAAAAAYABgBZAQAAyQUAAAAA&#10;">
              <v:fill on="f" focussize="0,0"/>
              <v:stroke on="f" weight="0.5pt"/>
              <v:imagedata o:title=""/>
              <o:lock v:ext="edit" aspectratio="f"/>
              <v:textbox inset="0mm,0mm,0mm,0mm" style="mso-fit-shape-to-text:t;">
                <w:txbxContent>
                  <w:p>
                    <w:pPr>
                      <w:pStyle w:val="28"/>
                    </w:pPr>
                    <w:r>
                      <w:fldChar w:fldCharType="begin"/>
                    </w:r>
                    <w:r>
                      <w:instrText xml:space="preserve"> PAGE  \* MERGEFORMAT </w:instrText>
                    </w:r>
                    <w:r>
                      <w:fldChar w:fldCharType="separate"/>
                    </w:r>
                    <w:r>
                      <w:t>- 1 -</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posOffset>2403475</wp:posOffset>
              </wp:positionH>
              <wp:positionV relativeFrom="paragraph">
                <wp:posOffset>-276225</wp:posOffset>
              </wp:positionV>
              <wp:extent cx="1514475" cy="2105025"/>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514475" cy="2105025"/>
                      </a:xfrm>
                      <a:prstGeom prst="rect">
                        <a:avLst/>
                      </a:prstGeom>
                      <a:noFill/>
                      <a:ln>
                        <a:noFill/>
                      </a:ln>
                      <a:effectLst/>
                    </wps:spPr>
                    <wps:txbx>
                      <w:txbxContent>
                        <w:p>
                          <w:pPr>
                            <w:snapToGrid w:val="0"/>
                            <w:rPr>
                              <w:sz w:val="18"/>
                            </w:rPr>
                          </w:pPr>
                        </w:p>
                      </w:txbxContent>
                    </wps:txbx>
                    <wps:bodyPr upright="1"/>
                  </wps:wsp>
                </a:graphicData>
              </a:graphic>
            </wp:anchor>
          </w:drawing>
        </mc:Choice>
        <mc:Fallback>
          <w:pict>
            <v:shape id="文本框 1025" o:spid="_x0000_s1026" o:spt="202" type="#_x0000_t202" style="position:absolute;left:0pt;margin-left:189.25pt;margin-top:-21.75pt;height:165.75pt;width:119.25pt;mso-position-horizontal-relative:margin;z-index:251659264;mso-width-relative:page;mso-height-relative:page;" filled="f" stroked="f" coordsize="21600,21600" o:gfxdata="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I49&#10;/6bYAAAACwEAAA8AAAAAAAAAAQAgAAAAIgAAAGRycy9kb3ducmV2LnhtbFBLAQIUABQAAAAIAIdO&#10;4kDdlaH3sQEAAGADAAAOAAAAAAAAAAEAIAAAACcBAABkcnMvZTJvRG9jLnhtbFBLBQYAAAAABgAG&#10;AFkBAABKBQAAAAA=&#10;">
              <v:fill on="f" focussize="0,0"/>
              <v:stroke on="f"/>
              <v:imagedata o:title=""/>
              <o:lock v:ext="edit" aspectratio="f"/>
              <v:textbox>
                <w:txbxContent>
                  <w:p>
                    <w:pPr>
                      <w:snapToGrid w:val="0"/>
                      <w:rPr>
                        <w:sz w:val="18"/>
                      </w:rPr>
                    </w:pP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mc:AlternateContent>
        <mc:Choice Requires="wps">
          <w:drawing>
            <wp:anchor distT="0" distB="0" distL="114300" distR="114300" simplePos="0" relativeHeight="251663360" behindDoc="0" locked="0" layoutInCell="1" allowOverlap="1">
              <wp:simplePos x="0" y="0"/>
              <wp:positionH relativeFrom="margin">
                <wp:posOffset>2551430</wp:posOffset>
              </wp:positionH>
              <wp:positionV relativeFrom="paragraph">
                <wp:posOffset>-180340</wp:posOffset>
              </wp:positionV>
              <wp:extent cx="742950" cy="423545"/>
              <wp:effectExtent l="0" t="0" r="0" b="0"/>
              <wp:wrapNone/>
              <wp:docPr id="2" name="Text Box 3"/>
              <wp:cNvGraphicFramePr/>
              <a:graphic xmlns:a="http://schemas.openxmlformats.org/drawingml/2006/main">
                <a:graphicData uri="http://schemas.microsoft.com/office/word/2010/wordprocessingShape">
                  <wps:wsp>
                    <wps:cNvSpPr txBox="1">
                      <a:spLocks noChangeArrowheads="1"/>
                    </wps:cNvSpPr>
                    <wps:spPr bwMode="auto">
                      <a:xfrm>
                        <a:off x="0" y="0"/>
                        <a:ext cx="742950" cy="423545"/>
                      </a:xfrm>
                      <a:prstGeom prst="rect">
                        <a:avLst/>
                      </a:prstGeom>
                      <a:noFill/>
                      <a:ln>
                        <a:noFill/>
                      </a:ln>
                      <a:effectLst/>
                    </wps:spPr>
                    <wps:txbx>
                      <w:txbxContent>
                        <w:p>
                          <w:pPr>
                            <w:pStyle w:val="28"/>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- 3 -</w:t>
                          </w:r>
                          <w:r>
                            <w:rPr>
                              <w:sz w:val="28"/>
                              <w:szCs w:val="28"/>
                            </w:rP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left:200.9pt;margin-top:-14.2pt;height:33.35pt;width:58.5pt;mso-position-horizontal-relative:margin;z-index:251663360;mso-width-relative:page;mso-height-relative:page;" filled="f" stroked="f" coordsize="21600,21600" o:gfxdata="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5RQ+FNoAAAAKAQAADwAAAAAAAAABACAAAAAiAAAAZHJz&#10;L2Rvd25yZXYueG1sUEsBAhQAFAAAAAgAh07iQAwH3vgCAgAAEQQAAA4AAAAAAAAAAQAgAAAAKQEA&#10;AGRycy9lMm9Eb2MueG1sUEsFBgAAAAAGAAYAWQEAAJ0FAAAAAA==&#10;">
              <v:fill on="f" focussize="0,0"/>
              <v:stroke on="f"/>
              <v:imagedata o:title=""/>
              <o:lock v:ext="edit" aspectratio="f"/>
              <v:textbox inset="0mm,0mm,0mm,0mm">
                <w:txbxContent>
                  <w:p>
                    <w:pPr>
                      <w:pStyle w:val="28"/>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- 3 -</w:t>
                    </w:r>
                    <w:r>
                      <w:rPr>
                        <w:sz w:val="28"/>
                        <w:szCs w:val="28"/>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Text Box 4"/>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a:effectLst/>
                    </wps:spPr>
                    <wps:txbx>
                      <w:txbxContent>
                        <w:p>
                          <w:pPr>
                            <w:pStyle w:val="28"/>
                          </w:pPr>
                          <w:r>
                            <w:fldChar w:fldCharType="begin"/>
                          </w:r>
                          <w:r>
                            <w:instrText xml:space="preserve"> PAGE  \* MERGEFORMAT </w:instrText>
                          </w:r>
                          <w:r>
                            <w:fldChar w:fldCharType="separate"/>
                          </w:r>
                          <w:r>
                            <w:t>- 1 -</w:t>
                          </w:r>
                          <w:r>
                            <w:fldChar w:fldCharType="end"/>
                          </w:r>
                        </w:p>
                      </w:txbxContent>
                    </wps:txbx>
                    <wps:bodyPr rot="0" vert="horz" wrap="none" lIns="0" tIns="0" rIns="0" bIns="0" anchor="t" anchorCtr="0" upright="1">
                      <a:spAutoFit/>
                    </wps:bodyPr>
                  </wps:wsp>
                </a:graphicData>
              </a:graphic>
            </wp:anchor>
          </w:drawing>
        </mc:Choice>
        <mc:Fallback>
          <w:pict>
            <v:shape id="Text Box 4"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M6pebnPAAAABQEAAA8AAAAAAAAAAQAgAAAAIgAAAGRycy9kb3ducmV2LnhtbFBLAQIUABQA&#10;AAAIAIdO4kAx1vjx+QEAABEEAAAOAAAAAAAAAAEAIAAAAB4BAABkcnMvZTJvRG9jLnhtbFBLBQYA&#10;AAAABgAGAFkBAACJBQAAAAA=&#10;">
              <v:fill on="f" focussize="0,0"/>
              <v:stroke on="f"/>
              <v:imagedata o:title=""/>
              <o:lock v:ext="edit" aspectratio="f"/>
              <v:textbox inset="0mm,0mm,0mm,0mm" style="mso-fit-shape-to-text:t;">
                <w:txbxContent>
                  <w:p>
                    <w:pPr>
                      <w:pStyle w:val="28"/>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sz w:val="16"/>
        <w:szCs w:val="22"/>
      </w:rPr>
    </w:pPr>
    <w:r>
      <w:rPr>
        <w:sz w:val="20"/>
        <w:szCs w:val="2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90500" cy="131445"/>
              <wp:effectExtent l="0" t="0" r="0" b="0"/>
              <wp:wrapNone/>
              <wp:docPr id="3" name="文本框 4"/>
              <wp:cNvGraphicFramePr/>
              <a:graphic xmlns:a="http://schemas.openxmlformats.org/drawingml/2006/main">
                <a:graphicData uri="http://schemas.microsoft.com/office/word/2010/wordprocessingShape">
                  <wps:wsp>
                    <wps:cNvSpPr txBox="1"/>
                    <wps:spPr>
                      <a:xfrm>
                        <a:off x="0" y="0"/>
                        <a:ext cx="190500" cy="131445"/>
                      </a:xfrm>
                      <a:prstGeom prst="rect">
                        <a:avLst/>
                      </a:prstGeom>
                      <a:noFill/>
                      <a:ln>
                        <a:noFill/>
                      </a:ln>
                      <a:effectLst/>
                    </wps:spPr>
                    <wps:txbx>
                      <w:txbxContent>
                        <w:p>
                          <w:pPr>
                            <w:pStyle w:val="28"/>
                          </w:pPr>
                          <w:r>
                            <w:fldChar w:fldCharType="begin"/>
                          </w:r>
                          <w:r>
                            <w:instrText xml:space="preserve"> PAGE  \* MERGEFORMAT </w:instrText>
                          </w:r>
                          <w:r>
                            <w:fldChar w:fldCharType="separate"/>
                          </w:r>
                          <w:r>
                            <w:t>- 34 -</w:t>
                          </w:r>
                          <w:r>
                            <w:fldChar w:fldCharType="end"/>
                          </w:r>
                        </w:p>
                      </w:txbxContent>
                    </wps:txbx>
                    <wps:bodyPr wrap="none" lIns="0" tIns="0" rIns="0" bIns="0" upright="1">
                      <a:spAutoFit/>
                    </wps:bodyPr>
                  </wps:wsp>
                </a:graphicData>
              </a:graphic>
            </wp:anchor>
          </w:drawing>
        </mc:Choice>
        <mc:Fallback>
          <w:pict>
            <v:shape id="文本框 4" o:spid="_x0000_s1026" o:spt="202" type="#_x0000_t202" style="position:absolute;left:0pt;margin-top:0pt;height:10.35pt;width:15pt;mso-position-horizontal:center;mso-position-horizontal-relative:margin;mso-wrap-style:none;z-index:251660288;mso-width-relative:page;mso-height-relative:page;" filled="f" stroked="f" coordsize="21600,21600" o:gfxdata="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ipFLs0AAAAAMBAAAPAAAAAAAAAAEAIAAAACIAAABkcnMv&#10;ZG93bnJldi54bWxQSwECFAAUAAAACACHTuJAP/NPQ9IBAAClAwAADgAAAAAAAAABACAAAAAfAQAA&#10;ZHJzL2Uyb0RvYy54bWxQSwUGAAAAAAYABgBZAQAAYwUAAAAA&#10;">
              <v:fill on="f" focussize="0,0"/>
              <v:stroke on="f"/>
              <v:imagedata o:title=""/>
              <o:lock v:ext="edit" aspectratio="f"/>
              <v:textbox inset="0mm,0mm,0mm,0mm" style="mso-fit-shape-to-text:t;">
                <w:txbxContent>
                  <w:p>
                    <w:pPr>
                      <w:pStyle w:val="28"/>
                    </w:pPr>
                    <w:r>
                      <w:fldChar w:fldCharType="begin"/>
                    </w:r>
                    <w:r>
                      <w:instrText xml:space="preserve"> PAGE  \* MERGEFORMAT </w:instrText>
                    </w:r>
                    <w:r>
                      <w:fldChar w:fldCharType="separate"/>
                    </w:r>
                    <w:r>
                      <w:t>- 34 -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6131D5"/>
    <w:multiLevelType w:val="singleLevel"/>
    <w:tmpl w:val="806131D5"/>
    <w:lvl w:ilvl="0" w:tentative="0">
      <w:start w:val="7"/>
      <w:numFmt w:val="chineseCounting"/>
      <w:suff w:val="nothing"/>
      <w:lvlText w:val="%1、"/>
      <w:lvlJc w:val="left"/>
      <w:rPr>
        <w:rFonts w:hint="eastAsia"/>
      </w:rPr>
    </w:lvl>
  </w:abstractNum>
  <w:abstractNum w:abstractNumId="1">
    <w:nsid w:val="89205907"/>
    <w:multiLevelType w:val="singleLevel"/>
    <w:tmpl w:val="89205907"/>
    <w:lvl w:ilvl="0" w:tentative="0">
      <w:start w:val="1"/>
      <w:numFmt w:val="decimal"/>
      <w:suff w:val="space"/>
      <w:lvlText w:val="%1."/>
      <w:lvlJc w:val="left"/>
    </w:lvl>
  </w:abstractNum>
  <w:abstractNum w:abstractNumId="2">
    <w:nsid w:val="991C7613"/>
    <w:multiLevelType w:val="multilevel"/>
    <w:tmpl w:val="991C7613"/>
    <w:lvl w:ilvl="0" w:tentative="0">
      <w:start w:val="1"/>
      <w:numFmt w:val="decimal"/>
      <w:lvlText w:val="%1."/>
      <w:lvlJc w:val="left"/>
      <w:pPr>
        <w:ind w:left="567" w:hanging="567"/>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
    <w:nsid w:val="D6A8FD69"/>
    <w:multiLevelType w:val="singleLevel"/>
    <w:tmpl w:val="D6A8FD69"/>
    <w:lvl w:ilvl="0" w:tentative="0">
      <w:start w:val="7"/>
      <w:numFmt w:val="chineseCounting"/>
      <w:suff w:val="nothing"/>
      <w:lvlText w:val="%1、"/>
      <w:lvlJc w:val="left"/>
      <w:rPr>
        <w:rFonts w:hint="eastAsia"/>
      </w:rPr>
    </w:lvl>
  </w:abstractNum>
  <w:abstractNum w:abstractNumId="4">
    <w:nsid w:val="E25B3C03"/>
    <w:multiLevelType w:val="singleLevel"/>
    <w:tmpl w:val="E25B3C03"/>
    <w:lvl w:ilvl="0" w:tentative="0">
      <w:start w:val="1"/>
      <w:numFmt w:val="decimal"/>
      <w:suff w:val="nothing"/>
      <w:lvlText w:val="（%1）"/>
      <w:lvlJc w:val="left"/>
    </w:lvl>
  </w:abstractNum>
  <w:abstractNum w:abstractNumId="5">
    <w:nsid w:val="00000001"/>
    <w:multiLevelType w:val="multilevel"/>
    <w:tmpl w:val="00000001"/>
    <w:lvl w:ilvl="0" w:tentative="0">
      <w:start w:val="1"/>
      <w:numFmt w:val="decimal"/>
      <w:lvlText w:val="%1．"/>
      <w:lvlJc w:val="left"/>
      <w:pPr>
        <w:tabs>
          <w:tab w:val="left" w:pos="825"/>
        </w:tabs>
        <w:ind w:left="332" w:hanging="227"/>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0000002"/>
    <w:multiLevelType w:val="multilevel"/>
    <w:tmpl w:val="00000002"/>
    <w:lvl w:ilvl="0" w:tentative="0">
      <w:start w:val="1"/>
      <w:numFmt w:val="decimal"/>
      <w:lvlText w:val="（%1）"/>
      <w:lvlJc w:val="left"/>
      <w:pPr>
        <w:tabs>
          <w:tab w:val="left" w:pos="0"/>
        </w:tabs>
        <w:ind w:left="0" w:firstLine="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0000004"/>
    <w:multiLevelType w:val="multilevel"/>
    <w:tmpl w:val="00000004"/>
    <w:lvl w:ilvl="0" w:tentative="0">
      <w:start w:val="1"/>
      <w:numFmt w:val="decimal"/>
      <w:pStyle w:val="110"/>
      <w:lvlText w:val="%1."/>
      <w:lvlJc w:val="left"/>
      <w:pPr>
        <w:tabs>
          <w:tab w:val="left" w:pos="425"/>
        </w:tabs>
        <w:ind w:left="425" w:hanging="425"/>
      </w:pPr>
      <w:rPr>
        <w:rFonts w:hint="eastAsia"/>
        <w:b/>
        <w:i w:val="0"/>
      </w:rPr>
    </w:lvl>
    <w:lvl w:ilvl="1" w:tentative="0">
      <w:start w:val="1"/>
      <w:numFmt w:val="decimal"/>
      <w:lvlText w:val="%1.%2."/>
      <w:lvlJc w:val="left"/>
      <w:pPr>
        <w:tabs>
          <w:tab w:val="left" w:pos="170"/>
        </w:tabs>
        <w:ind w:left="170" w:hanging="170"/>
      </w:pPr>
      <w:rPr>
        <w:rFonts w:hint="eastAsia"/>
      </w:rPr>
    </w:lvl>
    <w:lvl w:ilvl="2" w:tentative="0">
      <w:start w:val="1"/>
      <w:numFmt w:val="decimal"/>
      <w:lvlText w:val="%1.%2.%3."/>
      <w:lvlJc w:val="left"/>
      <w:pPr>
        <w:tabs>
          <w:tab w:val="left" w:pos="340"/>
        </w:tabs>
        <w:ind w:left="340" w:hanging="170"/>
      </w:pPr>
      <w:rPr>
        <w:rFonts w:hint="eastAsia"/>
        <w:color w:val="auto"/>
      </w:rPr>
    </w:lvl>
    <w:lvl w:ilvl="3" w:tentative="0">
      <w:start w:val="1"/>
      <w:numFmt w:val="decimal"/>
      <w:lvlText w:val="%1.%2.%3.%4."/>
      <w:lvlJc w:val="left"/>
      <w:pPr>
        <w:tabs>
          <w:tab w:val="left" w:pos="510"/>
        </w:tabs>
        <w:ind w:left="510" w:hanging="170"/>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8">
    <w:nsid w:val="0B4CEF91"/>
    <w:multiLevelType w:val="singleLevel"/>
    <w:tmpl w:val="0B4CEF91"/>
    <w:lvl w:ilvl="0" w:tentative="0">
      <w:start w:val="1"/>
      <w:numFmt w:val="decimal"/>
      <w:lvlText w:val="%1."/>
      <w:lvlJc w:val="left"/>
      <w:pPr>
        <w:tabs>
          <w:tab w:val="left" w:pos="312"/>
        </w:tabs>
      </w:pPr>
    </w:lvl>
  </w:abstractNum>
  <w:abstractNum w:abstractNumId="9">
    <w:nsid w:val="1C58BAF0"/>
    <w:multiLevelType w:val="singleLevel"/>
    <w:tmpl w:val="1C58BAF0"/>
    <w:lvl w:ilvl="0" w:tentative="0">
      <w:start w:val="1"/>
      <w:numFmt w:val="decimal"/>
      <w:suff w:val="nothing"/>
      <w:lvlText w:val="（%1）"/>
      <w:lvlJc w:val="left"/>
    </w:lvl>
  </w:abstractNum>
  <w:abstractNum w:abstractNumId="10">
    <w:nsid w:val="3372C185"/>
    <w:multiLevelType w:val="singleLevel"/>
    <w:tmpl w:val="3372C185"/>
    <w:lvl w:ilvl="0" w:tentative="0">
      <w:start w:val="7"/>
      <w:numFmt w:val="decimal"/>
      <w:suff w:val="nothing"/>
      <w:lvlText w:val="%1、"/>
      <w:lvlJc w:val="left"/>
      <w:rPr>
        <w:rFonts w:hint="default"/>
        <w:b/>
        <w:bCs/>
      </w:rPr>
    </w:lvl>
  </w:abstractNum>
  <w:abstractNum w:abstractNumId="11">
    <w:nsid w:val="59CCA2E1"/>
    <w:multiLevelType w:val="singleLevel"/>
    <w:tmpl w:val="59CCA2E1"/>
    <w:lvl w:ilvl="0" w:tentative="0">
      <w:start w:val="1"/>
      <w:numFmt w:val="decimal"/>
      <w:suff w:val="nothing"/>
      <w:lvlText w:val="（%1）"/>
      <w:lvlJc w:val="left"/>
    </w:lvl>
  </w:abstractNum>
  <w:abstractNum w:abstractNumId="12">
    <w:nsid w:val="5A693C2F"/>
    <w:multiLevelType w:val="singleLevel"/>
    <w:tmpl w:val="5A693C2F"/>
    <w:lvl w:ilvl="0" w:tentative="0">
      <w:start w:val="3"/>
      <w:numFmt w:val="chineseCounting"/>
      <w:suff w:val="space"/>
      <w:lvlText w:val="第%1章"/>
      <w:lvlJc w:val="left"/>
    </w:lvl>
  </w:abstractNum>
  <w:abstractNum w:abstractNumId="13">
    <w:nsid w:val="75324FB0"/>
    <w:multiLevelType w:val="singleLevel"/>
    <w:tmpl w:val="75324FB0"/>
    <w:lvl w:ilvl="0" w:tentative="0">
      <w:start w:val="1"/>
      <w:numFmt w:val="chineseCounting"/>
      <w:suff w:val="space"/>
      <w:lvlText w:val="第%1章"/>
      <w:lvlJc w:val="left"/>
      <w:pPr>
        <w:ind w:left="630"/>
      </w:pPr>
      <w:rPr>
        <w:rFonts w:hint="eastAsia"/>
      </w:rPr>
    </w:lvl>
  </w:abstractNum>
  <w:num w:numId="1">
    <w:abstractNumId w:val="7"/>
  </w:num>
  <w:num w:numId="2">
    <w:abstractNumId w:val="13"/>
  </w:num>
  <w:num w:numId="3">
    <w:abstractNumId w:val="0"/>
  </w:num>
  <w:num w:numId="4">
    <w:abstractNumId w:val="6"/>
  </w:num>
  <w:num w:numId="5">
    <w:abstractNumId w:val="12"/>
  </w:num>
  <w:num w:numId="6">
    <w:abstractNumId w:val="2"/>
  </w:num>
  <w:num w:numId="7">
    <w:abstractNumId w:val="9"/>
  </w:num>
  <w:num w:numId="8">
    <w:abstractNumId w:val="4"/>
  </w:num>
  <w:num w:numId="9">
    <w:abstractNumId w:val="1"/>
  </w:num>
  <w:num w:numId="10">
    <w:abstractNumId w:val="8"/>
  </w:num>
  <w:num w:numId="11">
    <w:abstractNumId w:val="10"/>
  </w:num>
  <w:num w:numId="12">
    <w:abstractNumId w:val="5"/>
  </w:num>
  <w:num w:numId="13">
    <w:abstractNumId w:val="1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oNotShadeFormData w:val="1"/>
  <w:noPunctuationKerning w:val="1"/>
  <w:characterSpacingControl w:val="compressPunctuation"/>
  <w:doNotValidateAgainstSchema/>
  <w:doNotDemarcateInvalidXml/>
  <w:hdrShapeDefaults>
    <o:shapelayout v:ext="edit">
      <o:idmap v:ext="edit" data="1,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07F7"/>
    <w:rsid w:val="0001346A"/>
    <w:rsid w:val="00063AF6"/>
    <w:rsid w:val="00076BE7"/>
    <w:rsid w:val="000A6C62"/>
    <w:rsid w:val="000B39BA"/>
    <w:rsid w:val="00107925"/>
    <w:rsid w:val="00166522"/>
    <w:rsid w:val="00216421"/>
    <w:rsid w:val="00221091"/>
    <w:rsid w:val="00225CFB"/>
    <w:rsid w:val="00253C5A"/>
    <w:rsid w:val="00284820"/>
    <w:rsid w:val="002A2493"/>
    <w:rsid w:val="002A615E"/>
    <w:rsid w:val="002C1302"/>
    <w:rsid w:val="002C2B66"/>
    <w:rsid w:val="00323857"/>
    <w:rsid w:val="00361BC5"/>
    <w:rsid w:val="0036575F"/>
    <w:rsid w:val="00367F1D"/>
    <w:rsid w:val="003D7AE1"/>
    <w:rsid w:val="00402E99"/>
    <w:rsid w:val="00407805"/>
    <w:rsid w:val="004406E3"/>
    <w:rsid w:val="00455C00"/>
    <w:rsid w:val="00462D90"/>
    <w:rsid w:val="004A0AB5"/>
    <w:rsid w:val="004A2465"/>
    <w:rsid w:val="004B5D60"/>
    <w:rsid w:val="004C597B"/>
    <w:rsid w:val="004F7D2F"/>
    <w:rsid w:val="0054352A"/>
    <w:rsid w:val="005673A3"/>
    <w:rsid w:val="005A353E"/>
    <w:rsid w:val="005F7ECF"/>
    <w:rsid w:val="00627B00"/>
    <w:rsid w:val="00661C96"/>
    <w:rsid w:val="006C19CE"/>
    <w:rsid w:val="006D0538"/>
    <w:rsid w:val="006E30FC"/>
    <w:rsid w:val="006F5C16"/>
    <w:rsid w:val="007017D0"/>
    <w:rsid w:val="007278C0"/>
    <w:rsid w:val="00793577"/>
    <w:rsid w:val="007B73C5"/>
    <w:rsid w:val="007F2A90"/>
    <w:rsid w:val="008135DE"/>
    <w:rsid w:val="008622AE"/>
    <w:rsid w:val="008849BB"/>
    <w:rsid w:val="008A0147"/>
    <w:rsid w:val="008A46C7"/>
    <w:rsid w:val="008C7300"/>
    <w:rsid w:val="00910B21"/>
    <w:rsid w:val="00935B6C"/>
    <w:rsid w:val="00956B37"/>
    <w:rsid w:val="009E601D"/>
    <w:rsid w:val="009F3EFB"/>
    <w:rsid w:val="009F60AB"/>
    <w:rsid w:val="00A101A6"/>
    <w:rsid w:val="00A218F8"/>
    <w:rsid w:val="00A83E98"/>
    <w:rsid w:val="00A85F8B"/>
    <w:rsid w:val="00A86084"/>
    <w:rsid w:val="00A912D2"/>
    <w:rsid w:val="00AE0C96"/>
    <w:rsid w:val="00B14CBE"/>
    <w:rsid w:val="00BF0334"/>
    <w:rsid w:val="00C0226B"/>
    <w:rsid w:val="00C2010F"/>
    <w:rsid w:val="00C56912"/>
    <w:rsid w:val="00C825EA"/>
    <w:rsid w:val="00C95C47"/>
    <w:rsid w:val="00C96A00"/>
    <w:rsid w:val="00D0289A"/>
    <w:rsid w:val="00D67F58"/>
    <w:rsid w:val="00DB1EFC"/>
    <w:rsid w:val="00DE5275"/>
    <w:rsid w:val="00DE5B2F"/>
    <w:rsid w:val="00E00402"/>
    <w:rsid w:val="00E216F9"/>
    <w:rsid w:val="00E325EF"/>
    <w:rsid w:val="00EA50CB"/>
    <w:rsid w:val="00F1461D"/>
    <w:rsid w:val="00F826BC"/>
    <w:rsid w:val="00FC07F7"/>
    <w:rsid w:val="01DB6127"/>
    <w:rsid w:val="02AE1565"/>
    <w:rsid w:val="02EE394E"/>
    <w:rsid w:val="04445A6F"/>
    <w:rsid w:val="047143D2"/>
    <w:rsid w:val="04B50786"/>
    <w:rsid w:val="0576381C"/>
    <w:rsid w:val="058218A3"/>
    <w:rsid w:val="05D003A1"/>
    <w:rsid w:val="05F652DD"/>
    <w:rsid w:val="06334F8C"/>
    <w:rsid w:val="069065B0"/>
    <w:rsid w:val="06ED1FEA"/>
    <w:rsid w:val="081E0A3F"/>
    <w:rsid w:val="08A21808"/>
    <w:rsid w:val="08D35DAA"/>
    <w:rsid w:val="09652EA6"/>
    <w:rsid w:val="09BC72E8"/>
    <w:rsid w:val="0A5E12A9"/>
    <w:rsid w:val="0ADD2DCB"/>
    <w:rsid w:val="0AE978F9"/>
    <w:rsid w:val="0B04224A"/>
    <w:rsid w:val="0B0A2060"/>
    <w:rsid w:val="0B2951FF"/>
    <w:rsid w:val="0B4170A8"/>
    <w:rsid w:val="0B4E0653"/>
    <w:rsid w:val="0B73403D"/>
    <w:rsid w:val="0C8F4EFE"/>
    <w:rsid w:val="0CD86A66"/>
    <w:rsid w:val="0CFE1D49"/>
    <w:rsid w:val="0D7F4A6C"/>
    <w:rsid w:val="0D9C0264"/>
    <w:rsid w:val="0DB43078"/>
    <w:rsid w:val="0E0C2192"/>
    <w:rsid w:val="0F0D7248"/>
    <w:rsid w:val="0F11475A"/>
    <w:rsid w:val="0F1B3720"/>
    <w:rsid w:val="0F5B7462"/>
    <w:rsid w:val="10953E1F"/>
    <w:rsid w:val="114E7AAC"/>
    <w:rsid w:val="11562B0A"/>
    <w:rsid w:val="11A42091"/>
    <w:rsid w:val="12763E2B"/>
    <w:rsid w:val="12C42210"/>
    <w:rsid w:val="13092A1A"/>
    <w:rsid w:val="133E2C29"/>
    <w:rsid w:val="135A2F84"/>
    <w:rsid w:val="13A93528"/>
    <w:rsid w:val="13C77543"/>
    <w:rsid w:val="14290222"/>
    <w:rsid w:val="15283D98"/>
    <w:rsid w:val="15463B6C"/>
    <w:rsid w:val="15E3035A"/>
    <w:rsid w:val="16937591"/>
    <w:rsid w:val="16B03348"/>
    <w:rsid w:val="16EF159D"/>
    <w:rsid w:val="172209D0"/>
    <w:rsid w:val="1820744D"/>
    <w:rsid w:val="18B93B6E"/>
    <w:rsid w:val="19631FB6"/>
    <w:rsid w:val="197C682C"/>
    <w:rsid w:val="1A006299"/>
    <w:rsid w:val="1A1F7191"/>
    <w:rsid w:val="1A2510C9"/>
    <w:rsid w:val="1ADE5238"/>
    <w:rsid w:val="1B4562C1"/>
    <w:rsid w:val="1B700604"/>
    <w:rsid w:val="1B7D6D4E"/>
    <w:rsid w:val="1C562EDE"/>
    <w:rsid w:val="1CF95EE9"/>
    <w:rsid w:val="1E2F2D92"/>
    <w:rsid w:val="1EF94C8B"/>
    <w:rsid w:val="1F3A1336"/>
    <w:rsid w:val="1F523D26"/>
    <w:rsid w:val="1F847E78"/>
    <w:rsid w:val="20AD2DAB"/>
    <w:rsid w:val="20AF1CC3"/>
    <w:rsid w:val="225E003A"/>
    <w:rsid w:val="23EC33B3"/>
    <w:rsid w:val="245F009A"/>
    <w:rsid w:val="24680923"/>
    <w:rsid w:val="253C7BA7"/>
    <w:rsid w:val="25F614A6"/>
    <w:rsid w:val="268C5940"/>
    <w:rsid w:val="26AB105A"/>
    <w:rsid w:val="271E36CB"/>
    <w:rsid w:val="27D402D6"/>
    <w:rsid w:val="29026BDF"/>
    <w:rsid w:val="291C5FBB"/>
    <w:rsid w:val="292E546E"/>
    <w:rsid w:val="29496A52"/>
    <w:rsid w:val="2A9071FF"/>
    <w:rsid w:val="2AA24B72"/>
    <w:rsid w:val="2AC17834"/>
    <w:rsid w:val="2B092000"/>
    <w:rsid w:val="2B0D5125"/>
    <w:rsid w:val="2B2A1401"/>
    <w:rsid w:val="2B9920E3"/>
    <w:rsid w:val="2BE5451B"/>
    <w:rsid w:val="2D0D1776"/>
    <w:rsid w:val="2D114C8E"/>
    <w:rsid w:val="2D152317"/>
    <w:rsid w:val="2D65425F"/>
    <w:rsid w:val="2D8C768E"/>
    <w:rsid w:val="2E9056A7"/>
    <w:rsid w:val="2EC20184"/>
    <w:rsid w:val="2EE50335"/>
    <w:rsid w:val="2F550E93"/>
    <w:rsid w:val="2FE8185A"/>
    <w:rsid w:val="30387C7D"/>
    <w:rsid w:val="313F54DB"/>
    <w:rsid w:val="314431C2"/>
    <w:rsid w:val="317F2F66"/>
    <w:rsid w:val="31A250D5"/>
    <w:rsid w:val="3201312E"/>
    <w:rsid w:val="32737303"/>
    <w:rsid w:val="32C24E2D"/>
    <w:rsid w:val="338D077F"/>
    <w:rsid w:val="33EB7154"/>
    <w:rsid w:val="33F15DD4"/>
    <w:rsid w:val="348D1324"/>
    <w:rsid w:val="34AA319E"/>
    <w:rsid w:val="34B83298"/>
    <w:rsid w:val="34BD2B9F"/>
    <w:rsid w:val="353D694F"/>
    <w:rsid w:val="361F2A08"/>
    <w:rsid w:val="36374EF3"/>
    <w:rsid w:val="36972C30"/>
    <w:rsid w:val="377D2C70"/>
    <w:rsid w:val="37FD624C"/>
    <w:rsid w:val="38422D98"/>
    <w:rsid w:val="38495F7C"/>
    <w:rsid w:val="38AD2459"/>
    <w:rsid w:val="38C459D3"/>
    <w:rsid w:val="39DC423E"/>
    <w:rsid w:val="39E32A71"/>
    <w:rsid w:val="3AB46B78"/>
    <w:rsid w:val="3B2E25BB"/>
    <w:rsid w:val="3BDE757E"/>
    <w:rsid w:val="3BE67BDB"/>
    <w:rsid w:val="3C312620"/>
    <w:rsid w:val="3C425AC0"/>
    <w:rsid w:val="3C521F1F"/>
    <w:rsid w:val="3C972765"/>
    <w:rsid w:val="3D3D120C"/>
    <w:rsid w:val="3D693636"/>
    <w:rsid w:val="3D9028E8"/>
    <w:rsid w:val="3DA90777"/>
    <w:rsid w:val="3DF020B6"/>
    <w:rsid w:val="3E44484D"/>
    <w:rsid w:val="3E4A5E23"/>
    <w:rsid w:val="3E7C2BFA"/>
    <w:rsid w:val="3F057D0A"/>
    <w:rsid w:val="3F266A69"/>
    <w:rsid w:val="3F80118C"/>
    <w:rsid w:val="3F830615"/>
    <w:rsid w:val="3FCD30FD"/>
    <w:rsid w:val="3FE204BF"/>
    <w:rsid w:val="40490F85"/>
    <w:rsid w:val="40C56269"/>
    <w:rsid w:val="41897C56"/>
    <w:rsid w:val="419C3B9D"/>
    <w:rsid w:val="41A34B74"/>
    <w:rsid w:val="41C302E1"/>
    <w:rsid w:val="42BA1E87"/>
    <w:rsid w:val="42C70355"/>
    <w:rsid w:val="43317379"/>
    <w:rsid w:val="43443E7F"/>
    <w:rsid w:val="44A936AB"/>
    <w:rsid w:val="44DC2CEC"/>
    <w:rsid w:val="44DC435C"/>
    <w:rsid w:val="44FC3702"/>
    <w:rsid w:val="454E447C"/>
    <w:rsid w:val="45FA2757"/>
    <w:rsid w:val="461F68EC"/>
    <w:rsid w:val="46357A2A"/>
    <w:rsid w:val="46401681"/>
    <w:rsid w:val="470962D2"/>
    <w:rsid w:val="4777736C"/>
    <w:rsid w:val="48103D33"/>
    <w:rsid w:val="48165964"/>
    <w:rsid w:val="48227F5A"/>
    <w:rsid w:val="498673D2"/>
    <w:rsid w:val="49C90449"/>
    <w:rsid w:val="4B096F1D"/>
    <w:rsid w:val="4BB72008"/>
    <w:rsid w:val="4BDA1D7E"/>
    <w:rsid w:val="4BF3412D"/>
    <w:rsid w:val="4C39729F"/>
    <w:rsid w:val="4C4923B9"/>
    <w:rsid w:val="4CD84652"/>
    <w:rsid w:val="4D9A55F4"/>
    <w:rsid w:val="4DE8259F"/>
    <w:rsid w:val="4EEC23A6"/>
    <w:rsid w:val="50215CD4"/>
    <w:rsid w:val="505607A6"/>
    <w:rsid w:val="50982AAA"/>
    <w:rsid w:val="50F72D1E"/>
    <w:rsid w:val="50F814D6"/>
    <w:rsid w:val="511A77AA"/>
    <w:rsid w:val="5170331B"/>
    <w:rsid w:val="526E16F1"/>
    <w:rsid w:val="52CD2504"/>
    <w:rsid w:val="532B5264"/>
    <w:rsid w:val="535D34C4"/>
    <w:rsid w:val="53791202"/>
    <w:rsid w:val="53802A3B"/>
    <w:rsid w:val="53A73B65"/>
    <w:rsid w:val="53B05F34"/>
    <w:rsid w:val="546A6089"/>
    <w:rsid w:val="54720DB2"/>
    <w:rsid w:val="551B6C77"/>
    <w:rsid w:val="55C55D4B"/>
    <w:rsid w:val="56483449"/>
    <w:rsid w:val="564F0B7D"/>
    <w:rsid w:val="56694C24"/>
    <w:rsid w:val="567C55B4"/>
    <w:rsid w:val="57215150"/>
    <w:rsid w:val="57F56734"/>
    <w:rsid w:val="57FE699C"/>
    <w:rsid w:val="583E24A9"/>
    <w:rsid w:val="59391C7F"/>
    <w:rsid w:val="59830E9E"/>
    <w:rsid w:val="59BA5D29"/>
    <w:rsid w:val="5AD6734C"/>
    <w:rsid w:val="5B294FC7"/>
    <w:rsid w:val="5B8B46C1"/>
    <w:rsid w:val="5C6C0FCA"/>
    <w:rsid w:val="5CFF1E3E"/>
    <w:rsid w:val="5E25434C"/>
    <w:rsid w:val="5E7E0E34"/>
    <w:rsid w:val="5E8C7702"/>
    <w:rsid w:val="5F794779"/>
    <w:rsid w:val="60327E35"/>
    <w:rsid w:val="606C1599"/>
    <w:rsid w:val="614E0E3D"/>
    <w:rsid w:val="615333D3"/>
    <w:rsid w:val="61772E14"/>
    <w:rsid w:val="61883013"/>
    <w:rsid w:val="61E11D31"/>
    <w:rsid w:val="61F53810"/>
    <w:rsid w:val="62401092"/>
    <w:rsid w:val="62B362AA"/>
    <w:rsid w:val="631F289D"/>
    <w:rsid w:val="63A63B3F"/>
    <w:rsid w:val="64D94D23"/>
    <w:rsid w:val="65A036E9"/>
    <w:rsid w:val="65F06C9F"/>
    <w:rsid w:val="6699467E"/>
    <w:rsid w:val="66CA4FB7"/>
    <w:rsid w:val="66D90EB9"/>
    <w:rsid w:val="66E622F4"/>
    <w:rsid w:val="674457E3"/>
    <w:rsid w:val="6798197B"/>
    <w:rsid w:val="68310FA5"/>
    <w:rsid w:val="69BD2D3B"/>
    <w:rsid w:val="69F442AF"/>
    <w:rsid w:val="6A0E30DC"/>
    <w:rsid w:val="6A424CF1"/>
    <w:rsid w:val="6AB87832"/>
    <w:rsid w:val="6ADC5089"/>
    <w:rsid w:val="6B142F59"/>
    <w:rsid w:val="6B3B6738"/>
    <w:rsid w:val="6B7A07A7"/>
    <w:rsid w:val="6BA53A5A"/>
    <w:rsid w:val="6C014247"/>
    <w:rsid w:val="6C957CB4"/>
    <w:rsid w:val="6CA7784E"/>
    <w:rsid w:val="6CF62E72"/>
    <w:rsid w:val="6D0324C0"/>
    <w:rsid w:val="6D556A52"/>
    <w:rsid w:val="6D6444CB"/>
    <w:rsid w:val="6F5E2B52"/>
    <w:rsid w:val="70420AF8"/>
    <w:rsid w:val="70455963"/>
    <w:rsid w:val="71153B74"/>
    <w:rsid w:val="712216DB"/>
    <w:rsid w:val="7142073F"/>
    <w:rsid w:val="715E1779"/>
    <w:rsid w:val="72142713"/>
    <w:rsid w:val="726D5BAE"/>
    <w:rsid w:val="730200F1"/>
    <w:rsid w:val="739C06B8"/>
    <w:rsid w:val="75294A12"/>
    <w:rsid w:val="75820774"/>
    <w:rsid w:val="75DD55C7"/>
    <w:rsid w:val="76FB60A2"/>
    <w:rsid w:val="7770408A"/>
    <w:rsid w:val="78CF314E"/>
    <w:rsid w:val="78FB36EA"/>
    <w:rsid w:val="7BA24414"/>
    <w:rsid w:val="7BBB3515"/>
    <w:rsid w:val="7BC47911"/>
    <w:rsid w:val="7BDF7259"/>
    <w:rsid w:val="7C077878"/>
    <w:rsid w:val="7C991592"/>
    <w:rsid w:val="7CE3278B"/>
    <w:rsid w:val="7CF45685"/>
    <w:rsid w:val="7CF87660"/>
    <w:rsid w:val="7D4D3289"/>
    <w:rsid w:val="7DDA586C"/>
    <w:rsid w:val="7E16619A"/>
    <w:rsid w:val="7E282897"/>
    <w:rsid w:val="7FDF417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iPriority="99" w:semiHidden="0" w:name="Normal Indent"/>
    <w:lsdException w:uiPriority="99"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qFormat="1" w:unhideWhenUsed="0" w:uiPriority="99" w:semiHidden="0"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qFormat="1" w:uiPriority="0" w:semiHidden="0" w:name="Body Text First Indent"/>
    <w:lsdException w:qFormat="1" w:unhideWhenUsed="0" w:uiPriority="0" w:semiHidden="0" w:name="Body Text First Indent 2"/>
    <w:lsdException w:uiPriority="99" w:name="Note Heading"/>
    <w:lsdException w:qFormat="1" w:uiPriority="0" w:semiHidden="0" w:name="Body Text 2"/>
    <w:lsdException w:qFormat="1" w:uiPriority="0" w:semiHidden="0" w:name="Body Text 3"/>
    <w:lsdException w:qFormat="1"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0" w:semiHidden="0" w:name="Document Map"/>
    <w:lsdException w:qFormat="1" w:unhideWhenUsed="0" w:uiPriority="0" w:semiHidden="0" w:name="Plain Text"/>
    <w:lsdException w:uiPriority="99" w:name="E-mail Signature"/>
    <w:lsdException w:qFormat="1" w:unhideWhenUsed="0" w:uiPriority="0"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qFormat="1" w:uiPriority="99" w:semiHidden="0" w:name="HTML Keyboard"/>
    <w:lsdException w:qFormat="1" w:uiPriority="0" w:semiHidden="0" w:name="HTML Preformatted"/>
    <w:lsdException w:qFormat="1" w:uiPriority="99" w:semiHidden="0" w:name="HTML Sample"/>
    <w:lsdException w:qFormat="1" w:uiPriority="99" w:semiHidden="0" w:name="HTML Typewriter"/>
    <w:lsdException w:qFormat="1" w:uiPriority="99" w:semiHidden="0" w:name="HTML Variable"/>
    <w:lsdException w:qFormat="1" w:uiPriority="99" w:semiHidden="0"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0" w:semiHidden="0" w:name="Balloon Text"/>
    <w:lsdException w:qFormat="1" w:unhideWhenUsed="0" w:uiPriority="5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eastAsia="宋体" w:cs="Times New Roman"/>
      <w:kern w:val="2"/>
      <w:sz w:val="21"/>
      <w:szCs w:val="24"/>
      <w:lang w:val="en-US" w:eastAsia="zh-CN" w:bidi="ar-SA"/>
    </w:rPr>
  </w:style>
  <w:style w:type="paragraph" w:styleId="9">
    <w:name w:val="heading 1"/>
    <w:basedOn w:val="1"/>
    <w:next w:val="1"/>
    <w:link w:val="94"/>
    <w:qFormat/>
    <w:uiPriority w:val="0"/>
    <w:pPr>
      <w:keepNext/>
      <w:keepLines/>
      <w:spacing w:before="340" w:after="330" w:line="578" w:lineRule="auto"/>
      <w:outlineLvl w:val="0"/>
    </w:pPr>
    <w:rPr>
      <w:rFonts w:hint="eastAsia" w:ascii="楷体_GB2312" w:hAnsi="Times New Roman" w:eastAsia="楷体_GB2312"/>
      <w:b/>
      <w:kern w:val="44"/>
      <w:sz w:val="44"/>
      <w:szCs w:val="20"/>
    </w:rPr>
  </w:style>
  <w:style w:type="paragraph" w:styleId="10">
    <w:name w:val="heading 2"/>
    <w:basedOn w:val="1"/>
    <w:next w:val="1"/>
    <w:link w:val="99"/>
    <w:qFormat/>
    <w:uiPriority w:val="0"/>
    <w:pPr>
      <w:keepNext/>
      <w:keepLines/>
      <w:spacing w:before="260" w:after="260" w:line="416" w:lineRule="auto"/>
      <w:outlineLvl w:val="1"/>
    </w:pPr>
    <w:rPr>
      <w:rFonts w:ascii="Arial" w:hAnsi="Arial" w:eastAsia="黑体"/>
      <w:b/>
      <w:sz w:val="32"/>
      <w:szCs w:val="20"/>
    </w:rPr>
  </w:style>
  <w:style w:type="paragraph" w:styleId="11">
    <w:name w:val="heading 3"/>
    <w:basedOn w:val="1"/>
    <w:next w:val="1"/>
    <w:link w:val="100"/>
    <w:qFormat/>
    <w:uiPriority w:val="0"/>
    <w:pPr>
      <w:keepNext/>
      <w:keepLines/>
      <w:spacing w:line="360" w:lineRule="auto"/>
      <w:outlineLvl w:val="2"/>
    </w:pPr>
    <w:rPr>
      <w:rFonts w:ascii="Times New Roman" w:hAnsi="Times New Roman"/>
      <w:b/>
      <w:sz w:val="32"/>
      <w:szCs w:val="20"/>
    </w:rPr>
  </w:style>
  <w:style w:type="paragraph" w:styleId="12">
    <w:name w:val="heading 4"/>
    <w:basedOn w:val="1"/>
    <w:next w:val="1"/>
    <w:link w:val="86"/>
    <w:qFormat/>
    <w:uiPriority w:val="0"/>
    <w:pPr>
      <w:keepNext/>
      <w:keepLines/>
      <w:spacing w:before="280" w:after="290" w:line="376" w:lineRule="auto"/>
      <w:outlineLvl w:val="3"/>
    </w:pPr>
    <w:rPr>
      <w:rFonts w:ascii="Times New Roman" w:hAnsi="Times New Roman"/>
      <w:sz w:val="32"/>
      <w:szCs w:val="20"/>
    </w:rPr>
  </w:style>
  <w:style w:type="paragraph" w:styleId="13">
    <w:name w:val="heading 5"/>
    <w:basedOn w:val="1"/>
    <w:next w:val="1"/>
    <w:link w:val="65"/>
    <w:qFormat/>
    <w:uiPriority w:val="0"/>
    <w:pPr>
      <w:keepNext/>
      <w:keepLines/>
      <w:spacing w:before="280" w:after="290" w:line="372" w:lineRule="auto"/>
      <w:outlineLvl w:val="4"/>
    </w:pPr>
    <w:rPr>
      <w:rFonts w:ascii="Times New Roman" w:hAnsi="Times New Roman"/>
      <w:b/>
      <w:sz w:val="28"/>
      <w:szCs w:val="28"/>
    </w:rPr>
  </w:style>
  <w:style w:type="paragraph" w:styleId="14">
    <w:name w:val="heading 6"/>
    <w:basedOn w:val="1"/>
    <w:next w:val="1"/>
    <w:link w:val="89"/>
    <w:qFormat/>
    <w:uiPriority w:val="0"/>
    <w:pPr>
      <w:keepNext/>
      <w:keepLines/>
      <w:spacing w:before="240" w:after="64" w:line="317" w:lineRule="auto"/>
      <w:outlineLvl w:val="5"/>
    </w:pPr>
    <w:rPr>
      <w:rFonts w:hint="eastAsia" w:ascii="宋体" w:hAnsi="宋体"/>
      <w:b/>
      <w:kern w:val="0"/>
      <w:sz w:val="24"/>
      <w:lang w:eastAsia="en-US"/>
    </w:rPr>
  </w:style>
  <w:style w:type="paragraph" w:styleId="15">
    <w:name w:val="heading 7"/>
    <w:basedOn w:val="1"/>
    <w:next w:val="1"/>
    <w:link w:val="69"/>
    <w:qFormat/>
    <w:uiPriority w:val="0"/>
    <w:pPr>
      <w:keepNext/>
      <w:keepLines/>
      <w:spacing w:before="240" w:after="64" w:line="317" w:lineRule="auto"/>
      <w:outlineLvl w:val="6"/>
    </w:pPr>
    <w:rPr>
      <w:rFonts w:hint="eastAsia" w:ascii="宋体" w:hAnsi="宋体"/>
      <w:b/>
      <w:kern w:val="0"/>
      <w:szCs w:val="21"/>
      <w:lang w:eastAsia="en-US"/>
    </w:rPr>
  </w:style>
  <w:style w:type="character" w:default="1" w:styleId="42">
    <w:name w:val="Default Paragraph Font"/>
    <w:unhideWhenUsed/>
    <w:qFormat/>
    <w:uiPriority w:val="1"/>
  </w:style>
  <w:style w:type="table" w:default="1" w:styleId="40">
    <w:name w:val="Normal Table"/>
    <w:unhideWhenUsed/>
    <w:qFormat/>
    <w:uiPriority w:val="99"/>
    <w:tblPr>
      <w:tblCellMar>
        <w:top w:w="0" w:type="dxa"/>
        <w:left w:w="108" w:type="dxa"/>
        <w:bottom w:w="0" w:type="dxa"/>
        <w:right w:w="108" w:type="dxa"/>
      </w:tblCellMar>
    </w:tblPr>
  </w:style>
  <w:style w:type="paragraph" w:styleId="2">
    <w:name w:val="Body Text First Indent"/>
    <w:basedOn w:val="3"/>
    <w:next w:val="5"/>
    <w:link w:val="104"/>
    <w:unhideWhenUsed/>
    <w:qFormat/>
    <w:uiPriority w:val="0"/>
    <w:pPr>
      <w:ind w:firstLine="420" w:firstLineChars="100"/>
    </w:pPr>
    <w:rPr>
      <w:rFonts w:hint="eastAsia" w:ascii="楷体_GB2312" w:eastAsia="楷体_GB2312"/>
      <w:sz w:val="32"/>
    </w:rPr>
  </w:style>
  <w:style w:type="paragraph" w:styleId="3">
    <w:name w:val="Body Text"/>
    <w:basedOn w:val="1"/>
    <w:next w:val="4"/>
    <w:link w:val="68"/>
    <w:qFormat/>
    <w:uiPriority w:val="0"/>
    <w:rPr>
      <w:rFonts w:ascii="Times New Roman" w:hAnsi="Times New Roman"/>
    </w:rPr>
  </w:style>
  <w:style w:type="paragraph" w:styleId="4">
    <w:name w:val="Body Text 2"/>
    <w:basedOn w:val="1"/>
    <w:next w:val="3"/>
    <w:link w:val="84"/>
    <w:unhideWhenUsed/>
    <w:qFormat/>
    <w:uiPriority w:val="0"/>
    <w:pPr>
      <w:spacing w:after="120" w:line="480" w:lineRule="auto"/>
    </w:pPr>
    <w:rPr>
      <w:rFonts w:ascii="Times New Roman" w:hAnsi="Times New Roman"/>
    </w:rPr>
  </w:style>
  <w:style w:type="paragraph" w:styleId="5">
    <w:name w:val="Body Text First Indent 2"/>
    <w:basedOn w:val="6"/>
    <w:next w:val="8"/>
    <w:qFormat/>
    <w:uiPriority w:val="0"/>
    <w:pPr>
      <w:ind w:firstLine="420"/>
    </w:pPr>
  </w:style>
  <w:style w:type="paragraph" w:styleId="6">
    <w:name w:val="Body Text Indent"/>
    <w:basedOn w:val="1"/>
    <w:next w:val="7"/>
    <w:link w:val="103"/>
    <w:qFormat/>
    <w:uiPriority w:val="0"/>
    <w:pPr>
      <w:ind w:firstLine="560" w:firstLineChars="200"/>
    </w:pPr>
    <w:rPr>
      <w:rFonts w:ascii="Times New Roman" w:hAnsi="Times New Roman"/>
    </w:rPr>
  </w:style>
  <w:style w:type="paragraph" w:styleId="7">
    <w:name w:val="envelope return"/>
    <w:basedOn w:val="1"/>
    <w:qFormat/>
    <w:uiPriority w:val="99"/>
    <w:pPr>
      <w:snapToGrid w:val="0"/>
    </w:pPr>
    <w:rPr>
      <w:rFonts w:ascii="Arial" w:hAnsi="Arial" w:cs="Arial"/>
    </w:rPr>
  </w:style>
  <w:style w:type="paragraph" w:styleId="8">
    <w:name w:val="Normal Indent"/>
    <w:basedOn w:val="1"/>
    <w:unhideWhenUsed/>
    <w:qFormat/>
    <w:uiPriority w:val="99"/>
    <w:pPr>
      <w:ind w:firstLine="420"/>
    </w:pPr>
    <w:rPr>
      <w:rFonts w:ascii="Calibri" w:hAnsi="Calibri"/>
      <w:szCs w:val="20"/>
    </w:rPr>
  </w:style>
  <w:style w:type="paragraph" w:styleId="16">
    <w:name w:val="toc 7"/>
    <w:basedOn w:val="1"/>
    <w:next w:val="1"/>
    <w:qFormat/>
    <w:uiPriority w:val="0"/>
    <w:pPr>
      <w:ind w:left="2520" w:leftChars="1200"/>
    </w:pPr>
    <w:rPr>
      <w:rFonts w:ascii="Times New Roman" w:hAnsi="Times New Roman"/>
    </w:rPr>
  </w:style>
  <w:style w:type="paragraph" w:styleId="17">
    <w:name w:val="Document Map"/>
    <w:basedOn w:val="1"/>
    <w:link w:val="81"/>
    <w:unhideWhenUsed/>
    <w:qFormat/>
    <w:uiPriority w:val="0"/>
    <w:pPr>
      <w:shd w:val="clear" w:color="auto" w:fill="000080"/>
    </w:pPr>
    <w:rPr>
      <w:rFonts w:ascii="Times New Roman" w:hAnsi="Times New Roman"/>
    </w:rPr>
  </w:style>
  <w:style w:type="paragraph" w:styleId="18">
    <w:name w:val="toa heading"/>
    <w:basedOn w:val="1"/>
    <w:next w:val="1"/>
    <w:unhideWhenUsed/>
    <w:qFormat/>
    <w:uiPriority w:val="99"/>
    <w:pPr>
      <w:spacing w:before="120"/>
    </w:pPr>
    <w:rPr>
      <w:rFonts w:ascii="Arial" w:hAnsi="Arial" w:cs="Arial"/>
      <w:sz w:val="24"/>
    </w:rPr>
  </w:style>
  <w:style w:type="paragraph" w:styleId="19">
    <w:name w:val="annotation text"/>
    <w:basedOn w:val="1"/>
    <w:link w:val="80"/>
    <w:unhideWhenUsed/>
    <w:qFormat/>
    <w:uiPriority w:val="0"/>
    <w:pPr>
      <w:jc w:val="left"/>
    </w:pPr>
    <w:rPr>
      <w:rFonts w:ascii="Times New Roman" w:hAnsi="Times New Roman"/>
    </w:rPr>
  </w:style>
  <w:style w:type="paragraph" w:styleId="20">
    <w:name w:val="Body Text 3"/>
    <w:basedOn w:val="1"/>
    <w:link w:val="59"/>
    <w:unhideWhenUsed/>
    <w:qFormat/>
    <w:uiPriority w:val="0"/>
    <w:pPr>
      <w:spacing w:after="120"/>
    </w:pPr>
    <w:rPr>
      <w:rFonts w:ascii="Times New Roman" w:hAnsi="Times New Roman"/>
      <w:sz w:val="16"/>
      <w:szCs w:val="16"/>
    </w:rPr>
  </w:style>
  <w:style w:type="paragraph" w:styleId="21">
    <w:name w:val="toc 5"/>
    <w:basedOn w:val="1"/>
    <w:next w:val="1"/>
    <w:qFormat/>
    <w:uiPriority w:val="0"/>
    <w:pPr>
      <w:ind w:left="1680" w:leftChars="800"/>
    </w:pPr>
    <w:rPr>
      <w:rFonts w:ascii="Times New Roman" w:hAnsi="Times New Roman"/>
    </w:rPr>
  </w:style>
  <w:style w:type="paragraph" w:styleId="22">
    <w:name w:val="toc 3"/>
    <w:basedOn w:val="1"/>
    <w:next w:val="1"/>
    <w:qFormat/>
    <w:uiPriority w:val="0"/>
    <w:pPr>
      <w:ind w:left="840" w:leftChars="400"/>
    </w:pPr>
    <w:rPr>
      <w:rFonts w:ascii="Times New Roman" w:hAnsi="Times New Roman"/>
    </w:rPr>
  </w:style>
  <w:style w:type="paragraph" w:styleId="23">
    <w:name w:val="Plain Text"/>
    <w:basedOn w:val="1"/>
    <w:link w:val="61"/>
    <w:qFormat/>
    <w:uiPriority w:val="0"/>
    <w:rPr>
      <w:rFonts w:hint="eastAsia" w:ascii="宋体" w:hAnsi="Courier New"/>
      <w:szCs w:val="21"/>
    </w:rPr>
  </w:style>
  <w:style w:type="paragraph" w:styleId="24">
    <w:name w:val="toc 8"/>
    <w:basedOn w:val="1"/>
    <w:next w:val="1"/>
    <w:qFormat/>
    <w:uiPriority w:val="0"/>
    <w:pPr>
      <w:ind w:left="2940" w:leftChars="1400"/>
    </w:pPr>
    <w:rPr>
      <w:rFonts w:ascii="Times New Roman" w:hAnsi="Times New Roman"/>
    </w:rPr>
  </w:style>
  <w:style w:type="paragraph" w:styleId="25">
    <w:name w:val="Date"/>
    <w:basedOn w:val="1"/>
    <w:next w:val="1"/>
    <w:link w:val="74"/>
    <w:unhideWhenUsed/>
    <w:qFormat/>
    <w:uiPriority w:val="0"/>
    <w:pPr>
      <w:ind w:left="100" w:leftChars="2500"/>
    </w:pPr>
    <w:rPr>
      <w:rFonts w:ascii="Times New Roman" w:hAnsi="Times New Roman"/>
      <w:kern w:val="0"/>
      <w:sz w:val="28"/>
      <w:szCs w:val="20"/>
    </w:rPr>
  </w:style>
  <w:style w:type="paragraph" w:styleId="26">
    <w:name w:val="Body Text Indent 2"/>
    <w:basedOn w:val="1"/>
    <w:link w:val="83"/>
    <w:unhideWhenUsed/>
    <w:qFormat/>
    <w:uiPriority w:val="0"/>
    <w:pPr>
      <w:spacing w:after="120" w:line="480" w:lineRule="auto"/>
      <w:ind w:left="420" w:leftChars="200"/>
    </w:pPr>
    <w:rPr>
      <w:rFonts w:ascii="Times New Roman" w:hAnsi="Times New Roman"/>
    </w:rPr>
  </w:style>
  <w:style w:type="paragraph" w:styleId="27">
    <w:name w:val="Balloon Text"/>
    <w:basedOn w:val="1"/>
    <w:link w:val="91"/>
    <w:unhideWhenUsed/>
    <w:qFormat/>
    <w:uiPriority w:val="0"/>
    <w:rPr>
      <w:rFonts w:ascii="Times New Roman" w:hAnsi="Times New Roman"/>
      <w:sz w:val="18"/>
      <w:szCs w:val="18"/>
    </w:rPr>
  </w:style>
  <w:style w:type="paragraph" w:styleId="28">
    <w:name w:val="footer"/>
    <w:basedOn w:val="1"/>
    <w:link w:val="97"/>
    <w:qFormat/>
    <w:uiPriority w:val="0"/>
    <w:pPr>
      <w:tabs>
        <w:tab w:val="center" w:pos="4153"/>
        <w:tab w:val="right" w:pos="8306"/>
      </w:tabs>
      <w:snapToGrid w:val="0"/>
      <w:jc w:val="left"/>
    </w:pPr>
    <w:rPr>
      <w:rFonts w:ascii="Times New Roman" w:hAnsi="Times New Roman"/>
      <w:sz w:val="18"/>
      <w:szCs w:val="18"/>
    </w:rPr>
  </w:style>
  <w:style w:type="paragraph" w:styleId="29">
    <w:name w:val="header"/>
    <w:basedOn w:val="1"/>
    <w:link w:val="95"/>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szCs w:val="18"/>
    </w:rPr>
  </w:style>
  <w:style w:type="paragraph" w:styleId="30">
    <w:name w:val="toc 1"/>
    <w:basedOn w:val="1"/>
    <w:next w:val="1"/>
    <w:qFormat/>
    <w:uiPriority w:val="0"/>
    <w:rPr>
      <w:rFonts w:ascii="Times New Roman" w:hAnsi="Times New Roman"/>
    </w:rPr>
  </w:style>
  <w:style w:type="paragraph" w:styleId="31">
    <w:name w:val="toc 4"/>
    <w:basedOn w:val="1"/>
    <w:next w:val="1"/>
    <w:qFormat/>
    <w:uiPriority w:val="0"/>
    <w:pPr>
      <w:ind w:left="1260" w:leftChars="600"/>
    </w:pPr>
    <w:rPr>
      <w:rFonts w:ascii="Times New Roman" w:hAnsi="Times New Roman"/>
    </w:rPr>
  </w:style>
  <w:style w:type="paragraph" w:styleId="32">
    <w:name w:val="toc 6"/>
    <w:basedOn w:val="1"/>
    <w:next w:val="1"/>
    <w:qFormat/>
    <w:uiPriority w:val="0"/>
    <w:pPr>
      <w:ind w:left="2100" w:leftChars="1000"/>
    </w:pPr>
    <w:rPr>
      <w:rFonts w:ascii="Times New Roman" w:hAnsi="Times New Roman"/>
    </w:rPr>
  </w:style>
  <w:style w:type="paragraph" w:styleId="33">
    <w:name w:val="Body Text Indent 3"/>
    <w:basedOn w:val="1"/>
    <w:link w:val="73"/>
    <w:qFormat/>
    <w:uiPriority w:val="0"/>
    <w:pPr>
      <w:ind w:firstLine="420" w:firstLineChars="200"/>
    </w:pPr>
    <w:rPr>
      <w:rFonts w:ascii="Times New Roman" w:hAnsi="Times New Roman"/>
      <w:sz w:val="16"/>
      <w:szCs w:val="16"/>
    </w:rPr>
  </w:style>
  <w:style w:type="paragraph" w:styleId="34">
    <w:name w:val="toc 2"/>
    <w:basedOn w:val="1"/>
    <w:next w:val="1"/>
    <w:qFormat/>
    <w:uiPriority w:val="0"/>
    <w:pPr>
      <w:ind w:left="420" w:leftChars="200"/>
    </w:pPr>
    <w:rPr>
      <w:rFonts w:ascii="Times New Roman" w:hAnsi="Times New Roman"/>
    </w:rPr>
  </w:style>
  <w:style w:type="paragraph" w:styleId="35">
    <w:name w:val="toc 9"/>
    <w:basedOn w:val="1"/>
    <w:next w:val="1"/>
    <w:qFormat/>
    <w:uiPriority w:val="0"/>
    <w:pPr>
      <w:ind w:left="3360" w:leftChars="1600"/>
    </w:pPr>
    <w:rPr>
      <w:rFonts w:ascii="Times New Roman" w:hAnsi="Times New Roman"/>
    </w:rPr>
  </w:style>
  <w:style w:type="paragraph" w:styleId="36">
    <w:name w:val="HTML Preformatted"/>
    <w:basedOn w:val="1"/>
    <w:link w:val="79"/>
    <w:unhideWhenUsed/>
    <w:qFormat/>
    <w:uiPriority w:val="0"/>
    <w:rPr>
      <w:rFonts w:ascii="Arial" w:hAnsi="Arial"/>
      <w:kern w:val="0"/>
      <w:sz w:val="24"/>
    </w:rPr>
  </w:style>
  <w:style w:type="paragraph" w:styleId="37">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38">
    <w:name w:val="Title"/>
    <w:basedOn w:val="1"/>
    <w:next w:val="1"/>
    <w:link w:val="67"/>
    <w:qFormat/>
    <w:uiPriority w:val="0"/>
    <w:pPr>
      <w:spacing w:before="240" w:after="60"/>
      <w:jc w:val="center"/>
      <w:outlineLvl w:val="0"/>
    </w:pPr>
    <w:rPr>
      <w:rFonts w:ascii="Calibri Light" w:hAnsi="Calibri Light" w:eastAsia="Calibri Light"/>
      <w:b/>
      <w:sz w:val="32"/>
      <w:szCs w:val="32"/>
    </w:rPr>
  </w:style>
  <w:style w:type="paragraph" w:styleId="39">
    <w:name w:val="annotation subject"/>
    <w:basedOn w:val="19"/>
    <w:next w:val="19"/>
    <w:link w:val="71"/>
    <w:unhideWhenUsed/>
    <w:qFormat/>
    <w:uiPriority w:val="0"/>
    <w:rPr>
      <w:b/>
    </w:rPr>
  </w:style>
  <w:style w:type="table" w:styleId="41">
    <w:name w:val="Table Grid"/>
    <w:basedOn w:val="4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3">
    <w:name w:val="page number"/>
    <w:qFormat/>
    <w:uiPriority w:val="0"/>
    <w:rPr>
      <w:rFonts w:ascii="Times New Roman" w:hAnsi="Times New Roman" w:eastAsia="宋体" w:cs="Times New Roman"/>
    </w:rPr>
  </w:style>
  <w:style w:type="character" w:styleId="44">
    <w:name w:val="FollowedHyperlink"/>
    <w:unhideWhenUsed/>
    <w:qFormat/>
    <w:uiPriority w:val="99"/>
    <w:rPr>
      <w:rFonts w:ascii="Times New Roman" w:hAnsi="Times New Roman" w:eastAsia="宋体" w:cs="Times New Roman"/>
      <w:color w:val="333333"/>
      <w:u w:val="none"/>
    </w:rPr>
  </w:style>
  <w:style w:type="character" w:styleId="45">
    <w:name w:val="HTML Definition"/>
    <w:basedOn w:val="42"/>
    <w:unhideWhenUsed/>
    <w:qFormat/>
    <w:uiPriority w:val="99"/>
  </w:style>
  <w:style w:type="character" w:styleId="46">
    <w:name w:val="HTML Typewriter"/>
    <w:basedOn w:val="42"/>
    <w:unhideWhenUsed/>
    <w:qFormat/>
    <w:uiPriority w:val="99"/>
    <w:rPr>
      <w:rFonts w:hint="default" w:ascii="monospace" w:hAnsi="monospace" w:eastAsia="monospace" w:cs="monospace"/>
      <w:sz w:val="20"/>
    </w:rPr>
  </w:style>
  <w:style w:type="character" w:styleId="47">
    <w:name w:val="HTML Acronym"/>
    <w:basedOn w:val="42"/>
    <w:unhideWhenUsed/>
    <w:qFormat/>
    <w:uiPriority w:val="99"/>
  </w:style>
  <w:style w:type="character" w:styleId="48">
    <w:name w:val="HTML Variable"/>
    <w:basedOn w:val="42"/>
    <w:unhideWhenUsed/>
    <w:qFormat/>
    <w:uiPriority w:val="99"/>
  </w:style>
  <w:style w:type="character" w:styleId="49">
    <w:name w:val="Hyperlink"/>
    <w:qFormat/>
    <w:uiPriority w:val="0"/>
    <w:rPr>
      <w:rFonts w:ascii="Times New Roman" w:hAnsi="Times New Roman" w:eastAsia="宋体" w:cs="Times New Roman"/>
      <w:color w:val="0000FF"/>
      <w:u w:val="single"/>
    </w:rPr>
  </w:style>
  <w:style w:type="character" w:styleId="50">
    <w:name w:val="HTML Code"/>
    <w:basedOn w:val="42"/>
    <w:unhideWhenUsed/>
    <w:qFormat/>
    <w:uiPriority w:val="99"/>
    <w:rPr>
      <w:rFonts w:ascii="monospace" w:hAnsi="monospace" w:eastAsia="monospace" w:cs="monospace"/>
      <w:sz w:val="20"/>
    </w:rPr>
  </w:style>
  <w:style w:type="character" w:styleId="51">
    <w:name w:val="annotation reference"/>
    <w:unhideWhenUsed/>
    <w:qFormat/>
    <w:uiPriority w:val="99"/>
    <w:rPr>
      <w:rFonts w:ascii="Times New Roman" w:hAnsi="Times New Roman" w:eastAsia="宋体" w:cs="Times New Roman"/>
      <w:sz w:val="21"/>
      <w:szCs w:val="21"/>
    </w:rPr>
  </w:style>
  <w:style w:type="character" w:styleId="52">
    <w:name w:val="HTML Cite"/>
    <w:basedOn w:val="42"/>
    <w:unhideWhenUsed/>
    <w:qFormat/>
    <w:uiPriority w:val="99"/>
    <w:rPr>
      <w:vanish/>
    </w:rPr>
  </w:style>
  <w:style w:type="character" w:styleId="53">
    <w:name w:val="HTML Keyboard"/>
    <w:basedOn w:val="42"/>
    <w:unhideWhenUsed/>
    <w:qFormat/>
    <w:uiPriority w:val="99"/>
    <w:rPr>
      <w:rFonts w:hint="default" w:ascii="monospace" w:hAnsi="monospace" w:eastAsia="monospace" w:cs="monospace"/>
      <w:sz w:val="20"/>
    </w:rPr>
  </w:style>
  <w:style w:type="character" w:styleId="54">
    <w:name w:val="HTML Sample"/>
    <w:basedOn w:val="42"/>
    <w:unhideWhenUsed/>
    <w:qFormat/>
    <w:uiPriority w:val="99"/>
    <w:rPr>
      <w:rFonts w:hint="default" w:ascii="monospace" w:hAnsi="monospace" w:eastAsia="monospace" w:cs="monospace"/>
    </w:rPr>
  </w:style>
  <w:style w:type="paragraph" w:customStyle="1" w:styleId="55">
    <w:name w:val="Default"/>
    <w:basedOn w:val="1"/>
    <w:next w:val="1"/>
    <w:qFormat/>
    <w:uiPriority w:val="0"/>
    <w:pPr>
      <w:autoSpaceDE w:val="0"/>
      <w:autoSpaceDN w:val="0"/>
      <w:adjustRightInd w:val="0"/>
      <w:jc w:val="left"/>
    </w:pPr>
    <w:rPr>
      <w:rFonts w:hint="eastAsia" w:ascii="宋体" w:hAnsi="Calibri"/>
      <w:color w:val="000000"/>
      <w:kern w:val="0"/>
      <w:sz w:val="24"/>
    </w:rPr>
  </w:style>
  <w:style w:type="paragraph" w:customStyle="1" w:styleId="56">
    <w:name w:val="表格文字"/>
    <w:basedOn w:val="1"/>
    <w:next w:val="3"/>
    <w:qFormat/>
    <w:uiPriority w:val="0"/>
    <w:pPr>
      <w:adjustRightInd w:val="0"/>
      <w:spacing w:line="420" w:lineRule="atLeast"/>
      <w:jc w:val="left"/>
      <w:textAlignment w:val="baseline"/>
    </w:pPr>
    <w:rPr>
      <w:kern w:val="0"/>
    </w:rPr>
  </w:style>
  <w:style w:type="paragraph" w:customStyle="1" w:styleId="57">
    <w:name w:val="无间隔1"/>
    <w:qFormat/>
    <w:uiPriority w:val="1"/>
    <w:pPr>
      <w:widowControl w:val="0"/>
      <w:jc w:val="both"/>
    </w:pPr>
    <w:rPr>
      <w:rFonts w:ascii="Calibri" w:hAnsi="Calibri" w:eastAsia="宋体" w:cs="Times New Roman"/>
      <w:kern w:val="2"/>
      <w:sz w:val="24"/>
      <w:szCs w:val="22"/>
      <w:lang w:val="en-US" w:eastAsia="zh-CN" w:bidi="ar-SA"/>
    </w:rPr>
  </w:style>
  <w:style w:type="character" w:customStyle="1" w:styleId="58">
    <w:name w:val="font1"/>
    <w:qFormat/>
    <w:uiPriority w:val="0"/>
    <w:rPr>
      <w:rFonts w:ascii="Times New Roman" w:hAnsi="Times New Roman" w:eastAsia="宋体" w:cs="Times New Roman"/>
      <w:color w:val="999999"/>
      <w:sz w:val="18"/>
      <w:szCs w:val="18"/>
      <w:u w:val="none"/>
    </w:rPr>
  </w:style>
  <w:style w:type="character" w:customStyle="1" w:styleId="59">
    <w:name w:val="正文文本 3 Char"/>
    <w:link w:val="20"/>
    <w:qFormat/>
    <w:uiPriority w:val="0"/>
    <w:rPr>
      <w:rFonts w:ascii="Times New Roman" w:hAnsi="Times New Roman" w:eastAsia="宋体" w:cs="Times New Roman"/>
      <w:kern w:val="2"/>
      <w:sz w:val="16"/>
      <w:szCs w:val="16"/>
    </w:rPr>
  </w:style>
  <w:style w:type="character" w:customStyle="1" w:styleId="60">
    <w:name w:val="pt91"/>
    <w:qFormat/>
    <w:uiPriority w:val="0"/>
    <w:rPr>
      <w:rFonts w:hint="default" w:ascii="_x000B__x000C_" w:hAnsi="_x000B__x000C_" w:eastAsia="_x000B__x000C_" w:cs="_x000B__x000C_"/>
      <w:color w:val="333333"/>
      <w:sz w:val="18"/>
      <w:szCs w:val="18"/>
    </w:rPr>
  </w:style>
  <w:style w:type="character" w:customStyle="1" w:styleId="61">
    <w:name w:val="纯文本 Char"/>
    <w:link w:val="23"/>
    <w:qFormat/>
    <w:uiPriority w:val="0"/>
    <w:rPr>
      <w:rFonts w:hint="eastAsia" w:ascii="宋体" w:hAnsi="Courier New" w:eastAsia="宋体" w:cs="Courier New"/>
      <w:kern w:val="2"/>
      <w:sz w:val="21"/>
      <w:szCs w:val="21"/>
    </w:rPr>
  </w:style>
  <w:style w:type="character" w:customStyle="1" w:styleId="62">
    <w:name w:val="fontstyle01"/>
    <w:qFormat/>
    <w:uiPriority w:val="0"/>
    <w:rPr>
      <w:rFonts w:hint="default" w:ascii="FZSSK--GBK1-0" w:hAnsi="FZSSK--GBK1-0" w:eastAsia="FZSSK--GBK1-0" w:cs="FZSSK--GBK1-0"/>
      <w:color w:val="000000"/>
      <w:sz w:val="20"/>
      <w:szCs w:val="20"/>
    </w:rPr>
  </w:style>
  <w:style w:type="character" w:customStyle="1" w:styleId="63">
    <w:name w:val="Char Char15"/>
    <w:qFormat/>
    <w:uiPriority w:val="0"/>
    <w:rPr>
      <w:rFonts w:ascii="Times New Roman" w:hAnsi="Times New Roman" w:eastAsia="宋体" w:cs="Times New Roman"/>
      <w:kern w:val="2"/>
      <w:sz w:val="32"/>
    </w:rPr>
  </w:style>
  <w:style w:type="character" w:customStyle="1" w:styleId="64">
    <w:name w:val="纯文本 Char1"/>
    <w:qFormat/>
    <w:uiPriority w:val="0"/>
    <w:rPr>
      <w:rFonts w:hint="eastAsia" w:ascii="宋体" w:hAnsi="Courier New" w:eastAsia="宋体" w:cs="宋体"/>
      <w:kern w:val="2"/>
      <w:sz w:val="21"/>
      <w:lang w:eastAsia="zh-CN"/>
    </w:rPr>
  </w:style>
  <w:style w:type="character" w:customStyle="1" w:styleId="65">
    <w:name w:val="标题 5 Char"/>
    <w:link w:val="13"/>
    <w:qFormat/>
    <w:uiPriority w:val="0"/>
    <w:rPr>
      <w:rFonts w:ascii="Times New Roman" w:hAnsi="Times New Roman" w:eastAsia="宋体" w:cs="Times New Roman"/>
      <w:b/>
      <w:kern w:val="2"/>
      <w:sz w:val="28"/>
      <w:szCs w:val="28"/>
    </w:rPr>
  </w:style>
  <w:style w:type="character" w:customStyle="1" w:styleId="66">
    <w:name w:val="wen11"/>
    <w:qFormat/>
    <w:uiPriority w:val="0"/>
    <w:rPr>
      <w:rFonts w:ascii="Times New Roman" w:hAnsi="Times New Roman" w:eastAsia="宋体" w:cs="Times New Roman"/>
      <w:color w:val="000000"/>
      <w:sz w:val="21"/>
      <w:szCs w:val="21"/>
    </w:rPr>
  </w:style>
  <w:style w:type="character" w:customStyle="1" w:styleId="67">
    <w:name w:val="标题 Char"/>
    <w:link w:val="38"/>
    <w:qFormat/>
    <w:uiPriority w:val="0"/>
    <w:rPr>
      <w:rFonts w:hint="default" w:ascii="Calibri Light" w:hAnsi="Calibri Light" w:eastAsia="Calibri Light" w:cs="Calibri Light"/>
      <w:b/>
      <w:kern w:val="2"/>
      <w:sz w:val="32"/>
      <w:szCs w:val="32"/>
    </w:rPr>
  </w:style>
  <w:style w:type="character" w:customStyle="1" w:styleId="68">
    <w:name w:val="正文文本 Char"/>
    <w:link w:val="3"/>
    <w:qFormat/>
    <w:uiPriority w:val="0"/>
    <w:rPr>
      <w:rFonts w:ascii="Times New Roman" w:hAnsi="Times New Roman" w:eastAsia="宋体" w:cs="Times New Roman"/>
      <w:kern w:val="2"/>
      <w:sz w:val="21"/>
      <w:szCs w:val="24"/>
    </w:rPr>
  </w:style>
  <w:style w:type="character" w:customStyle="1" w:styleId="69">
    <w:name w:val="标题 7 Char"/>
    <w:link w:val="15"/>
    <w:qFormat/>
    <w:uiPriority w:val="0"/>
    <w:rPr>
      <w:rFonts w:hint="eastAsia" w:ascii="宋体" w:hAnsi="宋体" w:eastAsia="宋体" w:cs="宋体"/>
      <w:b/>
      <w:sz w:val="21"/>
      <w:szCs w:val="21"/>
      <w:lang w:eastAsia="en-US"/>
    </w:rPr>
  </w:style>
  <w:style w:type="character" w:customStyle="1" w:styleId="70">
    <w:name w:val="displayarti"/>
    <w:qFormat/>
    <w:uiPriority w:val="0"/>
    <w:rPr>
      <w:rFonts w:ascii="Times New Roman" w:hAnsi="Times New Roman" w:eastAsia="宋体" w:cs="Times New Roman"/>
      <w:color w:val="FFFFFF"/>
      <w:shd w:val="clear" w:color="auto" w:fill="A00000"/>
    </w:rPr>
  </w:style>
  <w:style w:type="character" w:customStyle="1" w:styleId="71">
    <w:name w:val="批注主题 Char"/>
    <w:link w:val="39"/>
    <w:qFormat/>
    <w:uiPriority w:val="0"/>
    <w:rPr>
      <w:rFonts w:ascii="Times New Roman" w:hAnsi="Times New Roman" w:eastAsia="宋体" w:cs="Times New Roman"/>
      <w:b/>
      <w:kern w:val="2"/>
      <w:sz w:val="21"/>
      <w:szCs w:val="24"/>
    </w:rPr>
  </w:style>
  <w:style w:type="character" w:customStyle="1" w:styleId="72">
    <w:name w:val="Table Text Char1"/>
    <w:qFormat/>
    <w:uiPriority w:val="0"/>
    <w:rPr>
      <w:rFonts w:hint="default" w:ascii="Arial" w:hAnsi="Arial" w:eastAsia="宋体" w:cs="Arial"/>
      <w:kern w:val="2"/>
      <w:sz w:val="18"/>
      <w:szCs w:val="24"/>
    </w:rPr>
  </w:style>
  <w:style w:type="character" w:customStyle="1" w:styleId="73">
    <w:name w:val="正文文本缩进 3 Char"/>
    <w:link w:val="33"/>
    <w:qFormat/>
    <w:uiPriority w:val="0"/>
    <w:rPr>
      <w:rFonts w:ascii="Times New Roman" w:hAnsi="Times New Roman" w:eastAsia="宋体" w:cs="Times New Roman"/>
      <w:kern w:val="2"/>
      <w:sz w:val="16"/>
      <w:szCs w:val="16"/>
    </w:rPr>
  </w:style>
  <w:style w:type="character" w:customStyle="1" w:styleId="74">
    <w:name w:val="日期 Char"/>
    <w:link w:val="25"/>
    <w:qFormat/>
    <w:uiPriority w:val="0"/>
    <w:rPr>
      <w:rFonts w:ascii="Times New Roman" w:hAnsi="Times New Roman" w:eastAsia="宋体" w:cs="Times New Roman"/>
      <w:sz w:val="28"/>
    </w:rPr>
  </w:style>
  <w:style w:type="character" w:customStyle="1" w:styleId="75">
    <w:name w:val="Char Char16"/>
    <w:qFormat/>
    <w:uiPriority w:val="0"/>
    <w:rPr>
      <w:rFonts w:ascii="Times New Roman" w:hAnsi="Times New Roman" w:eastAsia="宋体" w:cs="Times New Roman"/>
      <w:b/>
      <w:kern w:val="2"/>
      <w:sz w:val="32"/>
    </w:rPr>
  </w:style>
  <w:style w:type="character" w:customStyle="1" w:styleId="76">
    <w:name w:val="gpa"/>
    <w:qFormat/>
    <w:uiPriority w:val="0"/>
    <w:rPr>
      <w:rFonts w:hint="default" w:ascii="Arial" w:hAnsi="Arial" w:eastAsia="宋体" w:cs="Arial"/>
      <w:sz w:val="15"/>
      <w:szCs w:val="15"/>
    </w:rPr>
  </w:style>
  <w:style w:type="character" w:customStyle="1" w:styleId="77">
    <w:name w:val="p12h15"/>
    <w:basedOn w:val="42"/>
    <w:qFormat/>
    <w:uiPriority w:val="0"/>
  </w:style>
  <w:style w:type="character" w:customStyle="1" w:styleId="78">
    <w:name w:val="Char Char17"/>
    <w:qFormat/>
    <w:uiPriority w:val="0"/>
    <w:rPr>
      <w:rFonts w:hint="eastAsia" w:ascii="楷体_GB2312" w:hAnsi="Times New Roman" w:eastAsia="楷体_GB2312" w:cs="楷体_GB2312"/>
      <w:b/>
      <w:kern w:val="44"/>
      <w:sz w:val="44"/>
    </w:rPr>
  </w:style>
  <w:style w:type="character" w:customStyle="1" w:styleId="79">
    <w:name w:val="HTML 预设格式 Char"/>
    <w:link w:val="36"/>
    <w:qFormat/>
    <w:uiPriority w:val="0"/>
    <w:rPr>
      <w:rFonts w:hint="default" w:ascii="Arial" w:hAnsi="Arial" w:eastAsia="宋体" w:cs="Arial"/>
      <w:sz w:val="24"/>
      <w:szCs w:val="24"/>
    </w:rPr>
  </w:style>
  <w:style w:type="character" w:customStyle="1" w:styleId="80">
    <w:name w:val="批注文字 Char"/>
    <w:link w:val="19"/>
    <w:qFormat/>
    <w:uiPriority w:val="0"/>
    <w:rPr>
      <w:rFonts w:ascii="Times New Roman" w:hAnsi="Times New Roman" w:eastAsia="宋体" w:cs="Times New Roman"/>
      <w:kern w:val="2"/>
      <w:sz w:val="21"/>
      <w:szCs w:val="24"/>
    </w:rPr>
  </w:style>
  <w:style w:type="character" w:customStyle="1" w:styleId="81">
    <w:name w:val="文档结构图 Char"/>
    <w:link w:val="17"/>
    <w:qFormat/>
    <w:uiPriority w:val="0"/>
    <w:rPr>
      <w:rFonts w:ascii="Times New Roman" w:hAnsi="Times New Roman" w:eastAsia="宋体" w:cs="Times New Roman"/>
      <w:kern w:val="2"/>
      <w:sz w:val="21"/>
      <w:szCs w:val="24"/>
      <w:shd w:val="clear" w:color="auto" w:fill="000080"/>
    </w:rPr>
  </w:style>
  <w:style w:type="character" w:customStyle="1" w:styleId="82">
    <w:name w:val="Comment Text Char"/>
    <w:qFormat/>
    <w:uiPriority w:val="0"/>
    <w:rPr>
      <w:rFonts w:hint="default" w:ascii="Times New Roman" w:hAnsi="Times New Roman" w:eastAsia="宋体" w:cs="Times New Roman"/>
      <w:sz w:val="24"/>
    </w:rPr>
  </w:style>
  <w:style w:type="character" w:customStyle="1" w:styleId="83">
    <w:name w:val="正文文本缩进 2 Char"/>
    <w:link w:val="26"/>
    <w:qFormat/>
    <w:uiPriority w:val="0"/>
    <w:rPr>
      <w:rFonts w:ascii="Times New Roman" w:hAnsi="Times New Roman" w:eastAsia="宋体" w:cs="Times New Roman"/>
      <w:kern w:val="2"/>
      <w:sz w:val="21"/>
      <w:szCs w:val="24"/>
    </w:rPr>
  </w:style>
  <w:style w:type="character" w:customStyle="1" w:styleId="84">
    <w:name w:val="正文文本 2 Char"/>
    <w:link w:val="4"/>
    <w:qFormat/>
    <w:uiPriority w:val="0"/>
    <w:rPr>
      <w:rFonts w:ascii="Times New Roman" w:hAnsi="Times New Roman" w:eastAsia="宋体" w:cs="Times New Roman"/>
      <w:kern w:val="2"/>
      <w:sz w:val="21"/>
      <w:szCs w:val="24"/>
    </w:rPr>
  </w:style>
  <w:style w:type="character" w:customStyle="1" w:styleId="85">
    <w:name w:val="selected"/>
    <w:qFormat/>
    <w:uiPriority w:val="0"/>
    <w:rPr>
      <w:rFonts w:ascii="Times New Roman" w:hAnsi="Times New Roman" w:eastAsia="宋体" w:cs="Times New Roman"/>
      <w:shd w:val="clear" w:color="auto" w:fill="B00006"/>
    </w:rPr>
  </w:style>
  <w:style w:type="character" w:customStyle="1" w:styleId="86">
    <w:name w:val="标题 4 Char"/>
    <w:link w:val="12"/>
    <w:qFormat/>
    <w:uiPriority w:val="0"/>
    <w:rPr>
      <w:rFonts w:ascii="Times New Roman" w:hAnsi="Times New Roman" w:eastAsia="宋体" w:cs="Times New Roman"/>
      <w:kern w:val="2"/>
      <w:sz w:val="32"/>
    </w:rPr>
  </w:style>
  <w:style w:type="character" w:customStyle="1" w:styleId="87">
    <w:name w:val="Item List in Table Char Char"/>
    <w:qFormat/>
    <w:uiPriority w:val="0"/>
    <w:rPr>
      <w:rFonts w:hint="default" w:ascii="Arial" w:hAnsi="Arial" w:eastAsia="宋体" w:cs="Arial"/>
      <w:sz w:val="18"/>
      <w:szCs w:val="18"/>
    </w:rPr>
  </w:style>
  <w:style w:type="character" w:customStyle="1" w:styleId="88">
    <w:name w:val="标题 2 Char Char Char"/>
    <w:qFormat/>
    <w:uiPriority w:val="0"/>
    <w:rPr>
      <w:rFonts w:hint="default" w:ascii="Arial" w:hAnsi="Arial" w:eastAsia="黑体" w:cs="Arial"/>
      <w:b/>
      <w:kern w:val="2"/>
      <w:sz w:val="32"/>
      <w:szCs w:val="32"/>
      <w:lang w:val="en-US" w:eastAsia="zh-CN"/>
    </w:rPr>
  </w:style>
  <w:style w:type="character" w:customStyle="1" w:styleId="89">
    <w:name w:val="标题 6 Char"/>
    <w:link w:val="14"/>
    <w:qFormat/>
    <w:uiPriority w:val="0"/>
    <w:rPr>
      <w:rFonts w:hint="eastAsia" w:ascii="宋体" w:hAnsi="宋体" w:eastAsia="宋体" w:cs="宋体"/>
      <w:b/>
      <w:sz w:val="24"/>
      <w:szCs w:val="24"/>
      <w:lang w:eastAsia="en-US"/>
    </w:rPr>
  </w:style>
  <w:style w:type="character" w:customStyle="1" w:styleId="90">
    <w:name w:val="普通文字 Char Char Char Char"/>
    <w:qFormat/>
    <w:uiPriority w:val="0"/>
    <w:rPr>
      <w:rFonts w:hint="eastAsia" w:ascii="宋体" w:hAnsi="Courier New" w:eastAsia="宋体" w:cs="宋体"/>
      <w:color w:val="000080"/>
      <w:sz w:val="21"/>
      <w:szCs w:val="21"/>
      <w:lang w:val="en-US" w:eastAsia="zh-CN"/>
    </w:rPr>
  </w:style>
  <w:style w:type="character" w:customStyle="1" w:styleId="91">
    <w:name w:val="批注框文本 Char"/>
    <w:link w:val="27"/>
    <w:qFormat/>
    <w:uiPriority w:val="0"/>
    <w:rPr>
      <w:rFonts w:ascii="Times New Roman" w:hAnsi="Times New Roman" w:eastAsia="宋体" w:cs="Times New Roman"/>
      <w:kern w:val="2"/>
      <w:sz w:val="18"/>
      <w:szCs w:val="18"/>
    </w:rPr>
  </w:style>
  <w:style w:type="character" w:customStyle="1" w:styleId="92">
    <w:name w:val="Balloon Text Char"/>
    <w:qFormat/>
    <w:uiPriority w:val="0"/>
    <w:rPr>
      <w:rFonts w:ascii="Times New Roman" w:hAnsi="Times New Roman" w:eastAsia="宋体" w:cs="Times New Roman"/>
      <w:sz w:val="18"/>
    </w:rPr>
  </w:style>
  <w:style w:type="character" w:customStyle="1" w:styleId="93">
    <w:name w:val="overfont"/>
    <w:basedOn w:val="42"/>
    <w:qFormat/>
    <w:uiPriority w:val="0"/>
  </w:style>
  <w:style w:type="character" w:customStyle="1" w:styleId="94">
    <w:name w:val="标题 1 Char"/>
    <w:link w:val="9"/>
    <w:qFormat/>
    <w:uiPriority w:val="0"/>
    <w:rPr>
      <w:rFonts w:hint="eastAsia" w:ascii="楷体_GB2312" w:hAnsi="Times New Roman" w:eastAsia="楷体_GB2312" w:cs="楷体_GB2312"/>
      <w:b/>
      <w:kern w:val="44"/>
      <w:sz w:val="44"/>
    </w:rPr>
  </w:style>
  <w:style w:type="character" w:customStyle="1" w:styleId="95">
    <w:name w:val="页眉 Char"/>
    <w:link w:val="29"/>
    <w:qFormat/>
    <w:uiPriority w:val="0"/>
    <w:rPr>
      <w:rFonts w:ascii="Times New Roman" w:hAnsi="Times New Roman" w:eastAsia="宋体" w:cs="Times New Roman"/>
      <w:kern w:val="2"/>
      <w:sz w:val="18"/>
      <w:szCs w:val="18"/>
    </w:rPr>
  </w:style>
  <w:style w:type="character" w:customStyle="1" w:styleId="96">
    <w:name w:val="Char Char11"/>
    <w:qFormat/>
    <w:uiPriority w:val="0"/>
    <w:rPr>
      <w:rFonts w:ascii="Times New Roman" w:hAnsi="Times New Roman" w:eastAsia="宋体" w:cs="Times New Roman"/>
      <w:kern w:val="2"/>
      <w:sz w:val="18"/>
      <w:szCs w:val="18"/>
    </w:rPr>
  </w:style>
  <w:style w:type="character" w:customStyle="1" w:styleId="97">
    <w:name w:val="页脚 Char"/>
    <w:link w:val="28"/>
    <w:qFormat/>
    <w:uiPriority w:val="0"/>
    <w:rPr>
      <w:rFonts w:ascii="Times New Roman" w:hAnsi="Times New Roman" w:eastAsia="宋体" w:cs="Times New Roman"/>
      <w:kern w:val="2"/>
      <w:sz w:val="18"/>
      <w:szCs w:val="18"/>
    </w:rPr>
  </w:style>
  <w:style w:type="character" w:customStyle="1" w:styleId="98">
    <w:name w:val="Char Char Char"/>
    <w:qFormat/>
    <w:uiPriority w:val="0"/>
    <w:rPr>
      <w:rFonts w:hint="eastAsia" w:ascii="宋体" w:hAnsi="Courier New" w:eastAsia="宋体" w:cs="宋体"/>
      <w:kern w:val="2"/>
      <w:sz w:val="21"/>
      <w:lang w:val="en-US" w:eastAsia="zh-CN"/>
    </w:rPr>
  </w:style>
  <w:style w:type="character" w:customStyle="1" w:styleId="99">
    <w:name w:val="标题 2 Char"/>
    <w:link w:val="10"/>
    <w:qFormat/>
    <w:uiPriority w:val="0"/>
    <w:rPr>
      <w:rFonts w:ascii="Arial" w:hAnsi="Arial" w:eastAsia="黑体" w:cs="Arial"/>
      <w:b/>
      <w:kern w:val="2"/>
      <w:sz w:val="32"/>
    </w:rPr>
  </w:style>
  <w:style w:type="character" w:customStyle="1" w:styleId="100">
    <w:name w:val="标题 3 Char"/>
    <w:link w:val="11"/>
    <w:qFormat/>
    <w:uiPriority w:val="0"/>
    <w:rPr>
      <w:rFonts w:ascii="Times New Roman" w:hAnsi="Times New Roman" w:eastAsia="宋体" w:cs="Times New Roman"/>
      <w:b/>
      <w:kern w:val="2"/>
      <w:sz w:val="32"/>
    </w:rPr>
  </w:style>
  <w:style w:type="character" w:customStyle="1" w:styleId="101">
    <w:name w:val="p0 Char Char"/>
    <w:qFormat/>
    <w:uiPriority w:val="0"/>
    <w:rPr>
      <w:rFonts w:ascii="Times New Roman" w:hAnsi="Times New Roman" w:eastAsia="宋体" w:cs="Times New Roman"/>
      <w:kern w:val="2"/>
      <w:sz w:val="21"/>
    </w:rPr>
  </w:style>
  <w:style w:type="character" w:customStyle="1" w:styleId="102">
    <w:name w:val="fontstyle11"/>
    <w:qFormat/>
    <w:uiPriority w:val="0"/>
    <w:rPr>
      <w:rFonts w:hint="default" w:ascii="E-BZ" w:hAnsi="E-BZ" w:eastAsia="E-BZ" w:cs="E-BZ"/>
      <w:color w:val="000000"/>
      <w:sz w:val="20"/>
      <w:szCs w:val="20"/>
    </w:rPr>
  </w:style>
  <w:style w:type="character" w:customStyle="1" w:styleId="103">
    <w:name w:val="正文文本缩进 Char"/>
    <w:link w:val="6"/>
    <w:qFormat/>
    <w:uiPriority w:val="0"/>
    <w:rPr>
      <w:rFonts w:ascii="Times New Roman" w:hAnsi="Times New Roman" w:eastAsia="宋体" w:cs="Times New Roman"/>
      <w:kern w:val="2"/>
      <w:sz w:val="21"/>
      <w:szCs w:val="24"/>
    </w:rPr>
  </w:style>
  <w:style w:type="character" w:customStyle="1" w:styleId="104">
    <w:name w:val="正文首行缩进 Char"/>
    <w:link w:val="2"/>
    <w:qFormat/>
    <w:uiPriority w:val="0"/>
    <w:rPr>
      <w:rFonts w:hint="eastAsia" w:ascii="楷体_GB2312" w:hAnsi="Times New Roman" w:eastAsia="楷体_GB2312" w:cs="楷体_GB2312"/>
      <w:kern w:val="2"/>
      <w:sz w:val="32"/>
      <w:szCs w:val="24"/>
    </w:rPr>
  </w:style>
  <w:style w:type="character" w:customStyle="1" w:styleId="105">
    <w:name w:val="font61"/>
    <w:basedOn w:val="42"/>
    <w:qFormat/>
    <w:uiPriority w:val="0"/>
    <w:rPr>
      <w:rFonts w:hint="eastAsia" w:ascii="宋体" w:hAnsi="宋体" w:eastAsia="宋体" w:cs="宋体"/>
      <w:color w:val="000000"/>
      <w:sz w:val="21"/>
      <w:szCs w:val="21"/>
      <w:u w:val="none"/>
    </w:rPr>
  </w:style>
  <w:style w:type="paragraph" w:customStyle="1" w:styleId="106">
    <w:name w:val="Body Text First Indent1"/>
    <w:basedOn w:val="3"/>
    <w:qFormat/>
    <w:uiPriority w:val="0"/>
    <w:pPr>
      <w:ind w:firstLine="420" w:firstLineChars="100"/>
    </w:pPr>
  </w:style>
  <w:style w:type="paragraph" w:customStyle="1" w:styleId="107">
    <w:name w:val="p0"/>
    <w:basedOn w:val="1"/>
    <w:qFormat/>
    <w:uiPriority w:val="0"/>
    <w:pPr>
      <w:widowControl/>
    </w:pPr>
    <w:rPr>
      <w:rFonts w:ascii="Times New Roman" w:hAnsi="Times New Roman"/>
      <w:kern w:val="0"/>
      <w:szCs w:val="21"/>
    </w:rPr>
  </w:style>
  <w:style w:type="paragraph" w:customStyle="1" w:styleId="108">
    <w:name w:val="a2"/>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109">
    <w:name w:val="Char"/>
    <w:basedOn w:val="1"/>
    <w:qFormat/>
    <w:uiPriority w:val="0"/>
    <w:pPr>
      <w:snapToGrid w:val="0"/>
      <w:spacing w:line="360" w:lineRule="auto"/>
      <w:ind w:firstLine="200" w:firstLineChars="200"/>
    </w:pPr>
    <w:rPr>
      <w:rFonts w:ascii="Times New Roman" w:hAnsi="Times New Roman"/>
    </w:rPr>
  </w:style>
  <w:style w:type="paragraph" w:customStyle="1" w:styleId="110">
    <w:name w:val="标题3-1"/>
    <w:basedOn w:val="11"/>
    <w:qFormat/>
    <w:uiPriority w:val="0"/>
    <w:pPr>
      <w:numPr>
        <w:ilvl w:val="0"/>
        <w:numId w:val="1"/>
      </w:numPr>
    </w:pPr>
    <w:rPr>
      <w:sz w:val="24"/>
    </w:rPr>
  </w:style>
  <w:style w:type="paragraph" w:customStyle="1" w:styleId="111">
    <w:name w:val="a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112">
    <w:name w:val="列出段落1"/>
    <w:basedOn w:val="1"/>
    <w:qFormat/>
    <w:uiPriority w:val="0"/>
    <w:pPr>
      <w:ind w:firstLine="420" w:firstLineChars="200"/>
    </w:pPr>
    <w:rPr>
      <w:rFonts w:ascii="Times New Roman" w:hAnsi="Times New Roman"/>
    </w:rPr>
  </w:style>
  <w:style w:type="paragraph" w:customStyle="1" w:styleId="113">
    <w:name w:val="列出段落2"/>
    <w:basedOn w:val="1"/>
    <w:qFormat/>
    <w:uiPriority w:val="34"/>
    <w:pPr>
      <w:autoSpaceDE w:val="0"/>
      <w:autoSpaceDN w:val="0"/>
      <w:ind w:left="111" w:firstLine="420"/>
      <w:jc w:val="left"/>
    </w:pPr>
    <w:rPr>
      <w:rFonts w:ascii="宋体" w:hAnsi="宋体" w:cs="宋体"/>
      <w:kern w:val="0"/>
      <w:sz w:val="22"/>
      <w:szCs w:val="22"/>
      <w:lang w:eastAsia="en-US"/>
    </w:rPr>
  </w:style>
  <w:style w:type="paragraph" w:customStyle="1" w:styleId="114">
    <w:name w:val="文档正文"/>
    <w:basedOn w:val="1"/>
    <w:qFormat/>
    <w:uiPriority w:val="0"/>
    <w:pPr>
      <w:adjustRightInd w:val="0"/>
      <w:spacing w:line="480" w:lineRule="atLeast"/>
      <w:ind w:firstLine="567"/>
    </w:pPr>
    <w:rPr>
      <w:rFonts w:ascii="仿宋_GB2312" w:hAnsi="Times New Roman" w:eastAsia="仿宋_GB2312"/>
      <w:kern w:val="0"/>
      <w:sz w:val="28"/>
      <w:szCs w:val="20"/>
    </w:rPr>
  </w:style>
  <w:style w:type="paragraph" w:customStyle="1" w:styleId="115">
    <w:name w:val="正文_13_0"/>
    <w:basedOn w:val="1"/>
    <w:qFormat/>
    <w:uiPriority w:val="0"/>
    <w:rPr>
      <w:rFonts w:ascii="Calibri" w:hAnsi="Calibri"/>
    </w:rPr>
  </w:style>
  <w:style w:type="paragraph" w:customStyle="1" w:styleId="116">
    <w:name w:val="xl41"/>
    <w:basedOn w:val="1"/>
    <w:qFormat/>
    <w:uiPriority w:val="0"/>
    <w:pPr>
      <w:widowControl/>
      <w:pBdr>
        <w:bottom w:val="single" w:color="auto" w:sz="4" w:space="0"/>
      </w:pBdr>
      <w:spacing w:before="100" w:beforeAutospacing="1" w:after="100" w:afterAutospacing="1"/>
      <w:jc w:val="center"/>
      <w:textAlignment w:val="center"/>
    </w:pPr>
    <w:rPr>
      <w:rFonts w:hint="eastAsia" w:ascii="黑体" w:hAnsi="宋体" w:eastAsia="黑体"/>
      <w:b/>
      <w:kern w:val="0"/>
      <w:sz w:val="32"/>
      <w:szCs w:val="20"/>
    </w:rPr>
  </w:style>
  <w:style w:type="paragraph" w:customStyle="1" w:styleId="117">
    <w:name w:val="Table Paragraph"/>
    <w:basedOn w:val="1"/>
    <w:unhideWhenUsed/>
    <w:qFormat/>
    <w:uiPriority w:val="1"/>
    <w:rPr>
      <w:sz w:val="24"/>
    </w:rPr>
  </w:style>
  <w:style w:type="paragraph" w:customStyle="1" w:styleId="118">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9">
    <w:name w:val="p15"/>
    <w:basedOn w:val="1"/>
    <w:qFormat/>
    <w:uiPriority w:val="0"/>
    <w:pPr>
      <w:widowControl/>
      <w:spacing w:line="365" w:lineRule="atLeast"/>
      <w:ind w:left="1"/>
    </w:pPr>
    <w:rPr>
      <w:rFonts w:ascii="Times New Roman" w:hAnsi="Times New Roman"/>
      <w:kern w:val="0"/>
      <w:sz w:val="20"/>
    </w:rPr>
  </w:style>
  <w:style w:type="paragraph" w:customStyle="1" w:styleId="120">
    <w:name w:val="TOAHeading"/>
    <w:basedOn w:val="1"/>
    <w:next w:val="1"/>
    <w:qFormat/>
    <w:uiPriority w:val="0"/>
    <w:pPr>
      <w:spacing w:before="120"/>
      <w:textAlignment w:val="baseline"/>
    </w:pPr>
    <w:rPr>
      <w:rFonts w:ascii="Arial" w:hAnsi="Arial"/>
      <w:sz w:val="24"/>
      <w:szCs w:val="22"/>
    </w:rPr>
  </w:style>
  <w:style w:type="character" w:customStyle="1" w:styleId="121">
    <w:name w:val="NormalCharacter"/>
    <w:qFormat/>
    <w:uiPriority w:val="0"/>
    <w:rPr>
      <w:rFonts w:ascii="Book Antiqua" w:hAnsi="Book Antiqua" w:eastAsia="宋体" w:cs="Times New Roman"/>
      <w:kern w:val="2"/>
      <w:sz w:val="21"/>
      <w:szCs w:val="24"/>
      <w:lang w:val="en-US" w:eastAsia="zh-CN" w:bidi="ar-SA"/>
    </w:rPr>
  </w:style>
  <w:style w:type="paragraph" w:customStyle="1" w:styleId="122">
    <w:name w:val="BodyText1I"/>
    <w:basedOn w:val="123"/>
    <w:next w:val="125"/>
    <w:qFormat/>
    <w:uiPriority w:val="0"/>
    <w:pPr>
      <w:ind w:firstLine="420" w:firstLineChars="100"/>
    </w:pPr>
    <w:rPr>
      <w:rFonts w:ascii="楷体_GB2312"/>
      <w:sz w:val="32"/>
    </w:rPr>
  </w:style>
  <w:style w:type="paragraph" w:customStyle="1" w:styleId="123">
    <w:name w:val="BodyText"/>
    <w:basedOn w:val="1"/>
    <w:next w:val="124"/>
    <w:qFormat/>
    <w:uiPriority w:val="0"/>
    <w:pPr>
      <w:textAlignment w:val="baseline"/>
    </w:pPr>
    <w:rPr>
      <w:rFonts w:ascii="Calibri" w:hAnsi="Calibri" w:eastAsia="楷体_GB2312"/>
      <w:kern w:val="0"/>
      <w:sz w:val="28"/>
    </w:rPr>
  </w:style>
  <w:style w:type="paragraph" w:customStyle="1" w:styleId="124">
    <w:name w:val="BodyText2"/>
    <w:basedOn w:val="1"/>
    <w:next w:val="123"/>
    <w:qFormat/>
    <w:uiPriority w:val="0"/>
    <w:pPr>
      <w:spacing w:after="120" w:line="480" w:lineRule="auto"/>
      <w:textAlignment w:val="baseline"/>
    </w:pPr>
  </w:style>
  <w:style w:type="paragraph" w:customStyle="1" w:styleId="125">
    <w:name w:val="BodyText1I2"/>
    <w:basedOn w:val="126"/>
    <w:qFormat/>
    <w:uiPriority w:val="0"/>
    <w:pPr>
      <w:ind w:firstLine="420" w:firstLineChars="200"/>
    </w:pPr>
  </w:style>
  <w:style w:type="paragraph" w:customStyle="1" w:styleId="126">
    <w:name w:val="BodyTextIndent"/>
    <w:basedOn w:val="1"/>
    <w:qFormat/>
    <w:uiPriority w:val="0"/>
    <w:pPr>
      <w:spacing w:after="120"/>
      <w:ind w:left="420" w:leftChars="200"/>
      <w:textAlignment w:val="baseline"/>
    </w:pPr>
  </w:style>
  <w:style w:type="paragraph" w:customStyle="1" w:styleId="127">
    <w:name w:val="正文首行缩进 21"/>
    <w:basedOn w:val="1"/>
    <w:qFormat/>
    <w:uiPriority w:val="0"/>
    <w:pPr>
      <w:tabs>
        <w:tab w:val="left" w:pos="945"/>
        <w:tab w:val="left" w:pos="1155"/>
      </w:tabs>
      <w:ind w:firstLine="420" w:firstLineChars="200"/>
    </w:pPr>
    <w:rPr>
      <w:rFonts w:ascii="宋体"/>
      <w:sz w:val="24"/>
      <w:szCs w:val="20"/>
    </w:rPr>
  </w:style>
  <w:style w:type="paragraph" w:customStyle="1" w:styleId="128">
    <w:name w:val="正文 A"/>
    <w:qFormat/>
    <w:uiPriority w:val="0"/>
    <w:pPr>
      <w:framePr w:wrap="around" w:vAnchor="margin" w:hAnchor="text" w:y="1"/>
      <w:widowControl w:val="0"/>
      <w:jc w:val="both"/>
    </w:pPr>
    <w:rPr>
      <w:rFonts w:ascii="Times New Roman" w:hAnsi="Times New Roman" w:eastAsia="Times New Roman" w:cs="Times New Roman"/>
      <w:color w:val="000000"/>
      <w:kern w:val="2"/>
      <w:sz w:val="21"/>
      <w:szCs w:val="21"/>
      <w:u w:color="000000"/>
      <w:lang w:val="en-US" w:eastAsia="zh-CN" w:bidi="ar-SA"/>
    </w:rPr>
  </w:style>
  <w:style w:type="character" w:customStyle="1" w:styleId="129">
    <w:name w:val="font31"/>
    <w:basedOn w:val="42"/>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832EA3-D59A-4A73-A1FB-6FC3A6D0E553}">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46</Pages>
  <Words>3594</Words>
  <Characters>20489</Characters>
  <Lines>170</Lines>
  <Paragraphs>48</Paragraphs>
  <TotalTime>4</TotalTime>
  <ScaleCrop>false</ScaleCrop>
  <LinksUpToDate>false</LinksUpToDate>
  <CharactersWithSpaces>24035</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2021-08-31T07:37:00Z</dcterms:created>
  <dc:creator>Administrator</dc:creator>
  <cp:lastModifiedBy>Trumen</cp:lastModifiedBy>
  <cp:lastPrinted>2021-08-06T00:56:00Z</cp:lastPrinted>
  <dcterms:modified xsi:type="dcterms:W3CDTF">2021-12-21T01:31:15Z</dcterms:modified>
  <dc:title>博爱县磨头镇际村小学新建教学楼、厕所项目</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62DDF8DDFE464661A9EFE2F35BD77A22</vt:lpwstr>
  </property>
</Properties>
</file>