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7"/>
        <w:rPr>
          <w:rFonts w:asciiTheme="minorEastAsia" w:hAnsiTheme="minorEastAsia" w:eastAsiaTheme="minorEastAsia" w:cstheme="minorEastAsia"/>
        </w:rPr>
      </w:pPr>
      <w:bookmarkStart w:id="0" w:name="_Toc281574833"/>
    </w:p>
    <w:p>
      <w:pPr>
        <w:pStyle w:val="18"/>
        <w:rPr>
          <w:rFonts w:asciiTheme="minorEastAsia" w:hAnsiTheme="minorEastAsia" w:eastAsiaTheme="minorEastAsia" w:cstheme="minorEastAsia"/>
        </w:rPr>
      </w:pPr>
    </w:p>
    <w:p>
      <w:pPr>
        <w:spacing w:line="560" w:lineRule="exact"/>
        <w:ind w:right="-330" w:rightChars="-157"/>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博爱县垃圾处理场新增渗滤液应急处理</w:t>
      </w:r>
    </w:p>
    <w:p>
      <w:pPr>
        <w:spacing w:line="560" w:lineRule="exact"/>
        <w:ind w:right="-330" w:rightChars="-157"/>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设备及运行项目</w:t>
      </w:r>
    </w:p>
    <w:p>
      <w:pPr>
        <w:spacing w:line="360" w:lineRule="auto"/>
        <w:jc w:val="center"/>
        <w:rPr>
          <w:rFonts w:asciiTheme="minorEastAsia" w:hAnsiTheme="minorEastAsia" w:eastAsiaTheme="minorEastAsia" w:cstheme="minorEastAsia"/>
          <w:sz w:val="28"/>
        </w:rPr>
      </w:pPr>
      <w:r>
        <w:rPr>
          <w:rFonts w:hint="eastAsia" w:eastAsia="方正小标宋简体"/>
          <w:sz w:val="44"/>
          <w:szCs w:val="44"/>
          <w:lang w:val="en-US" w:eastAsia="zh-CN"/>
        </w:rPr>
        <w:t xml:space="preserve"> </w:t>
      </w:r>
    </w:p>
    <w:p>
      <w:pPr>
        <w:pStyle w:val="108"/>
        <w:ind w:firstLine="210"/>
        <w:rPr>
          <w:rFonts w:asciiTheme="minorEastAsia" w:hAnsiTheme="minorEastAsia" w:eastAsiaTheme="minorEastAsia" w:cstheme="minorEastAsia"/>
          <w:highlight w:val="yellow"/>
        </w:rPr>
      </w:pPr>
    </w:p>
    <w:p>
      <w:pPr>
        <w:spacing w:line="360" w:lineRule="auto"/>
        <w:jc w:val="center"/>
        <w:rPr>
          <w:rFonts w:asciiTheme="minorEastAsia" w:hAnsiTheme="minorEastAsia" w:eastAsiaTheme="minorEastAsia" w:cstheme="minorEastAsia"/>
          <w:b/>
          <w:sz w:val="84"/>
          <w:szCs w:val="84"/>
        </w:rPr>
      </w:pPr>
    </w:p>
    <w:p>
      <w:pPr>
        <w:pStyle w:val="7"/>
      </w:pPr>
    </w:p>
    <w:p>
      <w:pPr>
        <w:spacing w:line="360" w:lineRule="auto"/>
        <w:jc w:val="center"/>
        <w:rPr>
          <w:rFonts w:asciiTheme="minorEastAsia" w:hAnsiTheme="minorEastAsia" w:eastAsiaTheme="minorEastAsia" w:cstheme="minorEastAsia"/>
          <w:b/>
          <w:sz w:val="120"/>
          <w:szCs w:val="120"/>
        </w:rPr>
      </w:pPr>
      <w:r>
        <w:rPr>
          <w:rFonts w:hint="eastAsia" w:asciiTheme="minorEastAsia" w:hAnsiTheme="minorEastAsia" w:eastAsiaTheme="minorEastAsia" w:cstheme="minorEastAsia"/>
          <w:b/>
          <w:sz w:val="120"/>
          <w:szCs w:val="120"/>
        </w:rPr>
        <w:t>招 标 文 件</w:t>
      </w:r>
    </w:p>
    <w:p>
      <w:pPr>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rPr>
        <w:t>采购编号：</w:t>
      </w:r>
      <w:r>
        <w:rPr>
          <w:rFonts w:hint="eastAsia" w:asciiTheme="minorEastAsia" w:hAnsiTheme="minorEastAsia" w:eastAsiaTheme="minorEastAsia" w:cstheme="minorEastAsia"/>
          <w:b/>
          <w:bCs/>
          <w:sz w:val="36"/>
          <w:szCs w:val="36"/>
          <w:lang w:eastAsia="zh-CN"/>
        </w:rPr>
        <w:t>博政采购〔2022〕6号</w:t>
      </w:r>
    </w:p>
    <w:p>
      <w:pPr>
        <w:jc w:val="center"/>
        <w:rPr>
          <w:rFonts w:asciiTheme="minorEastAsia" w:hAnsiTheme="minorEastAsia" w:eastAsiaTheme="minorEastAsia" w:cstheme="minorEastAsia"/>
          <w:sz w:val="30"/>
        </w:rPr>
      </w:pPr>
    </w:p>
    <w:p>
      <w:pPr>
        <w:rPr>
          <w:rFonts w:asciiTheme="minorEastAsia" w:hAnsiTheme="minorEastAsia" w:eastAsiaTheme="minorEastAsia" w:cstheme="minorEastAsia"/>
          <w:sz w:val="30"/>
        </w:rPr>
      </w:pPr>
      <w:r>
        <w:rPr>
          <w:rFonts w:hint="eastAsia" w:asciiTheme="minorEastAsia" w:hAnsiTheme="minorEastAsia" w:eastAsiaTheme="minorEastAsia" w:cstheme="minorEastAsia"/>
          <w:sz w:val="30"/>
        </w:rPr>
        <w:t xml:space="preserve"> </w:t>
      </w:r>
    </w:p>
    <w:p>
      <w:pPr>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ind w:firstLine="1928" w:firstLineChars="600"/>
        <w:rPr>
          <w:rFonts w:asciiTheme="minorEastAsia" w:hAnsiTheme="minorEastAsia" w:eastAsiaTheme="minorEastAsia" w:cstheme="minorEastAsia"/>
          <w:b/>
          <w:bCs/>
          <w:sz w:val="32"/>
          <w:szCs w:val="32"/>
        </w:rPr>
      </w:pPr>
    </w:p>
    <w:p>
      <w:pPr>
        <w:ind w:firstLine="1928" w:firstLineChars="600"/>
        <w:rPr>
          <w:rFonts w:asciiTheme="minorEastAsia" w:hAnsiTheme="minorEastAsia" w:eastAsiaTheme="minorEastAsia" w:cstheme="minorEastAsia"/>
          <w:b/>
          <w:bCs/>
          <w:sz w:val="32"/>
          <w:szCs w:val="32"/>
        </w:rPr>
      </w:pPr>
    </w:p>
    <w:p>
      <w:pPr>
        <w:ind w:firstLine="1928" w:firstLineChars="60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采 购 人：</w:t>
      </w:r>
      <w:r>
        <w:rPr>
          <w:rFonts w:hint="eastAsia" w:asciiTheme="minorEastAsia" w:hAnsiTheme="minorEastAsia" w:eastAsiaTheme="minorEastAsia" w:cstheme="minorEastAsia"/>
          <w:b/>
          <w:bCs/>
          <w:sz w:val="32"/>
          <w:szCs w:val="32"/>
          <w:lang w:eastAsia="zh-CN"/>
        </w:rPr>
        <w:t>博爱县城市管理局</w:t>
      </w:r>
    </w:p>
    <w:p>
      <w:pPr>
        <w:ind w:firstLine="1928" w:firstLineChars="6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代理机构：博爱县城市建设项目管理有限公司</w:t>
      </w:r>
    </w:p>
    <w:p>
      <w:pPr>
        <w:ind w:firstLine="1928" w:firstLineChars="600"/>
        <w:rPr>
          <w:rFonts w:asciiTheme="minorEastAsia" w:hAnsiTheme="minorEastAsia" w:eastAsiaTheme="minorEastAsia" w:cstheme="minorEastAsia"/>
          <w:b/>
          <w:bCs/>
          <w:sz w:val="32"/>
          <w:szCs w:val="32"/>
        </w:rPr>
        <w:sectPr>
          <w:footerReference r:id="rId4" w:type="first"/>
          <w:footerReference r:id="rId3" w:type="default"/>
          <w:pgSz w:w="11907" w:h="16840"/>
          <w:pgMar w:top="597"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sz w:val="32"/>
          <w:szCs w:val="32"/>
        </w:rPr>
        <w:t>日    期：202</w:t>
      </w:r>
      <w:r>
        <w:rPr>
          <w:rFonts w:hint="eastAsia" w:asciiTheme="minorEastAsia" w:hAnsiTheme="minorEastAsia" w:eastAsiaTheme="minorEastAsia" w:cstheme="minorEastAsia"/>
          <w:b/>
          <w:bCs/>
          <w:sz w:val="32"/>
          <w:szCs w:val="32"/>
          <w:lang w:val="en-US" w:eastAsia="zh-CN"/>
        </w:rPr>
        <w:t>2</w:t>
      </w:r>
      <w:r>
        <w:rPr>
          <w:rFonts w:hint="eastAsia" w:asciiTheme="minorEastAsia" w:hAnsiTheme="minorEastAsia" w:eastAsiaTheme="minorEastAsia" w:cstheme="minorEastAsia"/>
          <w:b/>
          <w:bCs/>
          <w:sz w:val="32"/>
          <w:szCs w:val="32"/>
        </w:rPr>
        <w:t>年</w:t>
      </w:r>
      <w:r>
        <w:rPr>
          <w:rFonts w:hint="eastAsia" w:asciiTheme="minorEastAsia" w:hAnsiTheme="minorEastAsia" w:eastAsiaTheme="minorEastAsia" w:cstheme="minorEastAsia"/>
          <w:b/>
          <w:bCs/>
          <w:sz w:val="32"/>
          <w:szCs w:val="32"/>
          <w:lang w:val="en-US" w:eastAsia="zh-CN"/>
        </w:rPr>
        <w:t>2</w:t>
      </w:r>
      <w:r>
        <w:rPr>
          <w:rFonts w:hint="eastAsia" w:asciiTheme="minorEastAsia" w:hAnsiTheme="minorEastAsia" w:eastAsiaTheme="minorEastAsia" w:cstheme="minorEastAsia"/>
          <w:b/>
          <w:bCs/>
          <w:sz w:val="32"/>
          <w:szCs w:val="32"/>
        </w:rPr>
        <w:t>月</w:t>
      </w:r>
    </w:p>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目     录</w:t>
      </w:r>
    </w:p>
    <w:p>
      <w:pPr>
        <w:pStyle w:val="30"/>
        <w:tabs>
          <w:tab w:val="right" w:leader="dot" w:pos="9460"/>
        </w:tabs>
        <w:spacing w:line="520" w:lineRule="exact"/>
        <w:rPr>
          <w:b/>
          <w:bCs/>
        </w:rPr>
      </w:pPr>
      <w:r>
        <w:rPr>
          <w:rFonts w:hint="eastAsia" w:asciiTheme="minorEastAsia" w:hAnsiTheme="minorEastAsia" w:eastAsiaTheme="minorEastAsia" w:cstheme="minorEastAsia"/>
          <w:b/>
          <w:bCs/>
          <w:szCs w:val="21"/>
          <w:lang w:val="zh-CN"/>
        </w:rPr>
        <w:fldChar w:fldCharType="begin"/>
      </w:r>
      <w:r>
        <w:rPr>
          <w:rFonts w:hint="eastAsia" w:asciiTheme="minorEastAsia" w:hAnsiTheme="minorEastAsia" w:eastAsiaTheme="minorEastAsia" w:cstheme="minorEastAsia"/>
          <w:b/>
          <w:bCs/>
          <w:szCs w:val="21"/>
          <w:lang w:val="zh-CN"/>
        </w:rPr>
        <w:instrText xml:space="preserve"> TOC \o "1-3" \h \z \u </w:instrText>
      </w:r>
      <w:r>
        <w:rPr>
          <w:rFonts w:hint="eastAsia" w:asciiTheme="minorEastAsia" w:hAnsiTheme="minorEastAsia" w:eastAsiaTheme="minorEastAsia" w:cstheme="minorEastAsia"/>
          <w:b/>
          <w:bCs/>
          <w:szCs w:val="21"/>
          <w:lang w:val="zh-CN"/>
        </w:rPr>
        <w:fldChar w:fldCharType="separate"/>
      </w:r>
      <w:r>
        <w:fldChar w:fldCharType="begin"/>
      </w:r>
      <w:r>
        <w:instrText xml:space="preserve"> HYPERLINK \l "_Toc9243" </w:instrText>
      </w:r>
      <w:r>
        <w:fldChar w:fldCharType="separate"/>
      </w:r>
      <w:r>
        <w:rPr>
          <w:rFonts w:hint="eastAsia" w:asciiTheme="minorEastAsia" w:hAnsiTheme="minorEastAsia" w:eastAsiaTheme="minorEastAsia" w:cstheme="minorEastAsia"/>
          <w:b/>
          <w:bCs/>
        </w:rPr>
        <w:t>第一章   招标公告</w:t>
      </w:r>
      <w:r>
        <w:rPr>
          <w:b/>
          <w:bCs/>
        </w:rPr>
        <w:tab/>
      </w:r>
      <w:r>
        <w:rPr>
          <w:b/>
          <w:bCs/>
        </w:rPr>
        <w:fldChar w:fldCharType="begin"/>
      </w:r>
      <w:r>
        <w:rPr>
          <w:b/>
          <w:bCs/>
        </w:rPr>
        <w:instrText xml:space="preserve"> PAGEREF _Toc9243 </w:instrText>
      </w:r>
      <w:r>
        <w:rPr>
          <w:b/>
          <w:bCs/>
        </w:rPr>
        <w:fldChar w:fldCharType="separate"/>
      </w:r>
      <w:r>
        <w:rPr>
          <w:b/>
          <w:bCs/>
        </w:rPr>
        <w:t>- 3 -</w:t>
      </w:r>
      <w:r>
        <w:rPr>
          <w:b/>
          <w:bCs/>
        </w:rPr>
        <w:fldChar w:fldCharType="end"/>
      </w:r>
      <w:r>
        <w:rPr>
          <w:b/>
          <w:bCs/>
        </w:rPr>
        <w:fldChar w:fldCharType="end"/>
      </w:r>
    </w:p>
    <w:p>
      <w:pPr>
        <w:pStyle w:val="30"/>
        <w:tabs>
          <w:tab w:val="right" w:leader="dot" w:pos="9460"/>
        </w:tabs>
        <w:spacing w:line="520" w:lineRule="exact"/>
        <w:rPr>
          <w:b/>
          <w:bCs/>
        </w:rPr>
      </w:pPr>
      <w:r>
        <w:fldChar w:fldCharType="begin"/>
      </w:r>
      <w:r>
        <w:instrText xml:space="preserve"> HYPERLINK \l "_Toc25354" </w:instrText>
      </w:r>
      <w:r>
        <w:fldChar w:fldCharType="separate"/>
      </w:r>
      <w:r>
        <w:rPr>
          <w:rFonts w:hint="eastAsia" w:asciiTheme="minorEastAsia" w:hAnsiTheme="minorEastAsia" w:eastAsiaTheme="minorEastAsia" w:cstheme="minorEastAsia"/>
          <w:b/>
          <w:bCs/>
          <w:szCs w:val="32"/>
        </w:rPr>
        <w:t>第二章  供应商须知</w:t>
      </w:r>
      <w:r>
        <w:rPr>
          <w:b/>
          <w:bCs/>
        </w:rPr>
        <w:tab/>
      </w:r>
      <w:r>
        <w:rPr>
          <w:b/>
          <w:bCs/>
        </w:rPr>
        <w:fldChar w:fldCharType="begin"/>
      </w:r>
      <w:r>
        <w:rPr>
          <w:b/>
          <w:bCs/>
        </w:rPr>
        <w:instrText xml:space="preserve"> PAGEREF _Toc25354 </w:instrText>
      </w:r>
      <w:r>
        <w:rPr>
          <w:b/>
          <w:bCs/>
        </w:rPr>
        <w:fldChar w:fldCharType="separate"/>
      </w:r>
      <w:r>
        <w:rPr>
          <w:b/>
          <w:bCs/>
        </w:rPr>
        <w:t>- 6 -</w:t>
      </w:r>
      <w:r>
        <w:rPr>
          <w:b/>
          <w:bCs/>
        </w:rPr>
        <w:fldChar w:fldCharType="end"/>
      </w:r>
      <w:r>
        <w:rPr>
          <w:b/>
          <w:bCs/>
        </w:rPr>
        <w:fldChar w:fldCharType="end"/>
      </w:r>
    </w:p>
    <w:p>
      <w:pPr>
        <w:pStyle w:val="30"/>
        <w:tabs>
          <w:tab w:val="right" w:leader="dot" w:pos="9460"/>
        </w:tabs>
        <w:spacing w:line="520" w:lineRule="exact"/>
        <w:rPr>
          <w:b/>
          <w:bCs/>
        </w:rPr>
      </w:pPr>
      <w:r>
        <w:fldChar w:fldCharType="begin"/>
      </w:r>
      <w:r>
        <w:instrText xml:space="preserve"> HYPERLINK \l "_Toc1253" </w:instrText>
      </w:r>
      <w:r>
        <w:fldChar w:fldCharType="separate"/>
      </w:r>
      <w:r>
        <w:rPr>
          <w:rFonts w:asciiTheme="minorEastAsia" w:hAnsiTheme="minorEastAsia" w:eastAsiaTheme="minorEastAsia" w:cstheme="minorEastAsia"/>
          <w:b/>
          <w:bCs/>
          <w:szCs w:val="36"/>
        </w:rPr>
        <w:t xml:space="preserve">第三章 </w:t>
      </w:r>
      <w:r>
        <w:rPr>
          <w:rFonts w:hint="eastAsia" w:asciiTheme="minorEastAsia" w:hAnsiTheme="minorEastAsia" w:eastAsiaTheme="minorEastAsia" w:cstheme="minorEastAsia"/>
          <w:b/>
          <w:bCs/>
          <w:szCs w:val="36"/>
        </w:rPr>
        <w:t>评标办法（综合评分法）</w:t>
      </w:r>
      <w:r>
        <w:rPr>
          <w:b/>
          <w:bCs/>
        </w:rPr>
        <w:tab/>
      </w:r>
      <w:r>
        <w:rPr>
          <w:b/>
          <w:bCs/>
        </w:rPr>
        <w:fldChar w:fldCharType="begin"/>
      </w:r>
      <w:r>
        <w:rPr>
          <w:b/>
          <w:bCs/>
        </w:rPr>
        <w:instrText xml:space="preserve"> PAGEREF _Toc1253 </w:instrText>
      </w:r>
      <w:r>
        <w:rPr>
          <w:b/>
          <w:bCs/>
        </w:rPr>
        <w:fldChar w:fldCharType="separate"/>
      </w:r>
      <w:r>
        <w:rPr>
          <w:b/>
          <w:bCs/>
        </w:rPr>
        <w:t>- 18 -</w:t>
      </w:r>
      <w:r>
        <w:rPr>
          <w:b/>
          <w:bCs/>
        </w:rPr>
        <w:fldChar w:fldCharType="end"/>
      </w:r>
      <w:r>
        <w:rPr>
          <w:b/>
          <w:bCs/>
        </w:rPr>
        <w:fldChar w:fldCharType="end"/>
      </w:r>
    </w:p>
    <w:p>
      <w:pPr>
        <w:pStyle w:val="30"/>
        <w:tabs>
          <w:tab w:val="right" w:leader="dot" w:pos="9460"/>
        </w:tabs>
        <w:spacing w:line="520" w:lineRule="exact"/>
        <w:rPr>
          <w:b/>
          <w:bCs/>
        </w:rPr>
      </w:pPr>
      <w:r>
        <w:fldChar w:fldCharType="begin"/>
      </w:r>
      <w:r>
        <w:instrText xml:space="preserve"> HYPERLINK \l "_Toc955" </w:instrText>
      </w:r>
      <w:r>
        <w:fldChar w:fldCharType="separate"/>
      </w:r>
      <w:r>
        <w:rPr>
          <w:rFonts w:hint="eastAsia" w:asciiTheme="minorEastAsia" w:hAnsiTheme="minorEastAsia" w:eastAsiaTheme="minorEastAsia" w:cstheme="minorEastAsia"/>
          <w:b/>
          <w:bCs/>
          <w:szCs w:val="36"/>
        </w:rPr>
        <w:t>第四章  合同条款及格式</w:t>
      </w:r>
      <w:r>
        <w:rPr>
          <w:b/>
          <w:bCs/>
        </w:rPr>
        <w:tab/>
      </w:r>
      <w:r>
        <w:rPr>
          <w:b/>
          <w:bCs/>
        </w:rPr>
        <w:fldChar w:fldCharType="begin"/>
      </w:r>
      <w:r>
        <w:rPr>
          <w:b/>
          <w:bCs/>
        </w:rPr>
        <w:instrText xml:space="preserve"> PAGEREF _Toc955 </w:instrText>
      </w:r>
      <w:r>
        <w:rPr>
          <w:b/>
          <w:bCs/>
        </w:rPr>
        <w:fldChar w:fldCharType="separate"/>
      </w:r>
      <w:r>
        <w:rPr>
          <w:b/>
          <w:bCs/>
        </w:rPr>
        <w:t>- 23 -</w:t>
      </w:r>
      <w:r>
        <w:rPr>
          <w:b/>
          <w:bCs/>
        </w:rPr>
        <w:fldChar w:fldCharType="end"/>
      </w:r>
      <w:r>
        <w:rPr>
          <w:b/>
          <w:bCs/>
        </w:rPr>
        <w:fldChar w:fldCharType="end"/>
      </w:r>
    </w:p>
    <w:p>
      <w:pPr>
        <w:pStyle w:val="30"/>
        <w:tabs>
          <w:tab w:val="right" w:leader="dot" w:pos="9460"/>
        </w:tabs>
        <w:spacing w:line="520" w:lineRule="exact"/>
        <w:rPr>
          <w:rFonts w:asciiTheme="minorEastAsia" w:hAnsiTheme="minorEastAsia" w:eastAsiaTheme="minorEastAsia" w:cstheme="minorEastAsia"/>
          <w:b/>
          <w:bCs/>
          <w:caps/>
          <w:szCs w:val="21"/>
          <w:lang w:val="zh-CN"/>
        </w:rPr>
      </w:pPr>
      <w:r>
        <w:fldChar w:fldCharType="begin"/>
      </w:r>
      <w:r>
        <w:instrText xml:space="preserve"> HYPERLINK \l "_Toc26235" </w:instrText>
      </w:r>
      <w:r>
        <w:fldChar w:fldCharType="separate"/>
      </w:r>
      <w:r>
        <w:rPr>
          <w:rFonts w:hint="eastAsia" w:asciiTheme="minorEastAsia" w:hAnsiTheme="minorEastAsia" w:eastAsiaTheme="minorEastAsia" w:cstheme="minorEastAsia"/>
          <w:b/>
          <w:bCs/>
          <w:szCs w:val="36"/>
        </w:rPr>
        <w:t>第五章  服务内容及要求</w:t>
      </w:r>
      <w:r>
        <w:rPr>
          <w:b/>
          <w:bCs/>
        </w:rPr>
        <w:tab/>
      </w:r>
      <w:r>
        <w:rPr>
          <w:b/>
          <w:bCs/>
        </w:rPr>
        <w:fldChar w:fldCharType="begin"/>
      </w:r>
      <w:r>
        <w:rPr>
          <w:b/>
          <w:bCs/>
        </w:rPr>
        <w:instrText xml:space="preserve"> PAGEREF _Toc26235 </w:instrText>
      </w:r>
      <w:r>
        <w:rPr>
          <w:b/>
          <w:bCs/>
        </w:rPr>
        <w:fldChar w:fldCharType="separate"/>
      </w:r>
      <w:r>
        <w:rPr>
          <w:b/>
          <w:bCs/>
        </w:rPr>
        <w:t>- 26 -</w:t>
      </w:r>
      <w:r>
        <w:rPr>
          <w:b/>
          <w:bCs/>
        </w:rPr>
        <w:fldChar w:fldCharType="end"/>
      </w:r>
      <w:r>
        <w:rPr>
          <w:b/>
          <w:bCs/>
        </w:rPr>
        <w:fldChar w:fldCharType="end"/>
      </w:r>
    </w:p>
    <w:p>
      <w:pPr>
        <w:pStyle w:val="30"/>
        <w:tabs>
          <w:tab w:val="right" w:leader="dot" w:pos="9460"/>
        </w:tabs>
        <w:spacing w:line="520" w:lineRule="exact"/>
        <w:rPr>
          <w:b/>
          <w:bCs/>
        </w:rPr>
      </w:pPr>
      <w:r>
        <w:fldChar w:fldCharType="begin"/>
      </w:r>
      <w:r>
        <w:instrText xml:space="preserve"> HYPERLINK \l "_Toc26235" </w:instrText>
      </w:r>
      <w:r>
        <w:fldChar w:fldCharType="separate"/>
      </w:r>
      <w:r>
        <w:rPr>
          <w:rFonts w:hint="eastAsia" w:asciiTheme="minorEastAsia" w:hAnsiTheme="minorEastAsia" w:eastAsiaTheme="minorEastAsia" w:cstheme="minorEastAsia"/>
          <w:b/>
          <w:bCs/>
          <w:szCs w:val="36"/>
        </w:rPr>
        <w:t>第六章  投标文件格式</w:t>
      </w:r>
      <w:r>
        <w:rPr>
          <w:b/>
          <w:bCs/>
        </w:rPr>
        <w:tab/>
      </w:r>
      <w:r>
        <w:rPr>
          <w:b/>
          <w:bCs/>
        </w:rPr>
        <w:fldChar w:fldCharType="begin"/>
      </w:r>
      <w:r>
        <w:rPr>
          <w:b/>
          <w:bCs/>
        </w:rPr>
        <w:instrText xml:space="preserve"> PAGEREF _Toc26235 </w:instrText>
      </w:r>
      <w:r>
        <w:rPr>
          <w:b/>
          <w:bCs/>
        </w:rPr>
        <w:fldChar w:fldCharType="separate"/>
      </w:r>
      <w:r>
        <w:rPr>
          <w:b/>
          <w:bCs/>
        </w:rPr>
        <w:t>- 26 -</w:t>
      </w:r>
      <w:r>
        <w:rPr>
          <w:b/>
          <w:bCs/>
        </w:rPr>
        <w:fldChar w:fldCharType="end"/>
      </w:r>
      <w:r>
        <w:rPr>
          <w:b/>
          <w:bCs/>
        </w:rPr>
        <w:fldChar w:fldCharType="end"/>
      </w:r>
    </w:p>
    <w:p>
      <w:pPr>
        <w:spacing w:line="520" w:lineRule="exact"/>
        <w:rPr>
          <w:b/>
          <w:bCs/>
        </w:rPr>
      </w:pPr>
    </w:p>
    <w:p>
      <w:pPr>
        <w:spacing w:line="520" w:lineRule="exact"/>
        <w:ind w:right="-273" w:rightChars="-130"/>
        <w:rPr>
          <w:rFonts w:asciiTheme="minorEastAsia" w:hAnsiTheme="minorEastAsia" w:eastAsiaTheme="minorEastAsia" w:cstheme="minorEastAsia"/>
          <w:bCs/>
        </w:rPr>
      </w:pPr>
      <w:r>
        <w:rPr>
          <w:rFonts w:hint="eastAsia" w:asciiTheme="minorEastAsia" w:hAnsiTheme="minorEastAsia" w:eastAsiaTheme="minorEastAsia" w:cstheme="minorEastAsia"/>
          <w:b/>
          <w:bCs/>
          <w:caps/>
          <w:szCs w:val="21"/>
          <w:lang w:val="zh-CN"/>
        </w:rPr>
        <w:fldChar w:fldCharType="end"/>
      </w:r>
    </w:p>
    <w:p>
      <w:pPr>
        <w:pStyle w:val="38"/>
        <w:spacing w:line="360" w:lineRule="auto"/>
        <w:ind w:right="-63" w:rightChars="-30"/>
        <w:rPr>
          <w:rFonts w:asciiTheme="minorEastAsia" w:hAnsiTheme="minorEastAsia" w:eastAsiaTheme="minorEastAsia" w:cstheme="minorEastAsia"/>
          <w:bCs/>
        </w:rPr>
      </w:pPr>
      <w:bookmarkStart w:id="1" w:name="_Toc9243"/>
    </w:p>
    <w:p>
      <w:pPr>
        <w:pStyle w:val="38"/>
        <w:spacing w:line="360" w:lineRule="auto"/>
        <w:ind w:right="-63" w:rightChars="-30"/>
        <w:rPr>
          <w:rFonts w:asciiTheme="minorEastAsia" w:hAnsiTheme="minorEastAsia" w:eastAsiaTheme="minorEastAsia" w:cstheme="minorEastAsia"/>
          <w:bCs/>
        </w:rPr>
      </w:pPr>
    </w:p>
    <w:p>
      <w:pPr>
        <w:pStyle w:val="38"/>
        <w:spacing w:line="360" w:lineRule="auto"/>
        <w:ind w:right="-63" w:rightChars="-30"/>
        <w:rPr>
          <w:rFonts w:asciiTheme="minorEastAsia" w:hAnsiTheme="minorEastAsia" w:eastAsiaTheme="minorEastAsia" w:cstheme="minorEastAsia"/>
          <w:bCs/>
        </w:rPr>
      </w:pPr>
    </w:p>
    <w:p>
      <w:pPr>
        <w:pStyle w:val="38"/>
        <w:spacing w:line="360" w:lineRule="auto"/>
        <w:ind w:right="-63" w:rightChars="-30"/>
        <w:rPr>
          <w:rFonts w:asciiTheme="minorEastAsia" w:hAnsiTheme="minorEastAsia" w:eastAsiaTheme="minorEastAsia" w:cstheme="minorEastAsia"/>
          <w:bCs/>
        </w:rPr>
      </w:pPr>
    </w:p>
    <w:p>
      <w:pPr>
        <w:pStyle w:val="38"/>
        <w:spacing w:line="360" w:lineRule="auto"/>
        <w:ind w:right="-63" w:rightChars="-30"/>
        <w:rPr>
          <w:rFonts w:asciiTheme="minorEastAsia" w:hAnsiTheme="minorEastAsia" w:eastAsiaTheme="minorEastAsia" w:cstheme="minorEastAsia"/>
          <w:bCs/>
        </w:rPr>
      </w:pPr>
    </w:p>
    <w:p>
      <w:pPr>
        <w:pStyle w:val="38"/>
        <w:spacing w:line="360" w:lineRule="auto"/>
        <w:ind w:right="-63" w:rightChars="-30"/>
        <w:rPr>
          <w:rFonts w:asciiTheme="minorEastAsia" w:hAnsiTheme="minorEastAsia" w:eastAsiaTheme="minorEastAsia" w:cstheme="minorEastAsia"/>
          <w:bCs/>
        </w:rPr>
      </w:pPr>
    </w:p>
    <w:p>
      <w:pPr>
        <w:pStyle w:val="38"/>
        <w:spacing w:line="360" w:lineRule="auto"/>
        <w:ind w:right="-63" w:rightChars="-30"/>
        <w:rPr>
          <w:rFonts w:asciiTheme="minorEastAsia" w:hAnsiTheme="minorEastAsia" w:eastAsiaTheme="minorEastAsia" w:cstheme="minorEastAsia"/>
          <w:bCs/>
        </w:rPr>
      </w:pPr>
    </w:p>
    <w:p>
      <w:pPr>
        <w:pStyle w:val="38"/>
        <w:spacing w:line="360" w:lineRule="auto"/>
        <w:ind w:right="-63" w:rightChars="-30"/>
        <w:rPr>
          <w:rFonts w:asciiTheme="minorEastAsia" w:hAnsiTheme="minorEastAsia" w:eastAsiaTheme="minorEastAsia" w:cstheme="minorEastAsia"/>
          <w:bCs/>
        </w:rPr>
      </w:pPr>
    </w:p>
    <w:p>
      <w:pPr>
        <w:pStyle w:val="38"/>
        <w:spacing w:line="360" w:lineRule="auto"/>
        <w:ind w:right="-63" w:rightChars="-30"/>
        <w:jc w:val="both"/>
        <w:rPr>
          <w:rFonts w:asciiTheme="minorEastAsia" w:hAnsiTheme="minorEastAsia" w:eastAsiaTheme="minorEastAsia" w:cstheme="minorEastAsia"/>
          <w:bCs/>
        </w:rPr>
      </w:pPr>
    </w:p>
    <w:p>
      <w:pPr>
        <w:pStyle w:val="38"/>
        <w:keepNext w:val="0"/>
        <w:keepLines w:val="0"/>
        <w:pageBreakBefore w:val="0"/>
        <w:widowControl w:val="0"/>
        <w:numPr>
          <w:ilvl w:val="0"/>
          <w:numId w:val="2"/>
        </w:numPr>
        <w:kinsoku/>
        <w:wordWrap/>
        <w:overflowPunct/>
        <w:topLinePunct w:val="0"/>
        <w:autoSpaceDE/>
        <w:autoSpaceDN/>
        <w:bidi w:val="0"/>
        <w:adjustRightInd/>
        <w:snapToGrid/>
        <w:spacing w:line="440" w:lineRule="exact"/>
        <w:ind w:left="630" w:leftChars="0" w:right="-63" w:rightChars="-30" w:firstLineChars="0"/>
        <w:textAlignment w:val="auto"/>
      </w:pPr>
      <w:r>
        <w:rPr>
          <w:rFonts w:hint="eastAsia" w:asciiTheme="minorEastAsia" w:hAnsiTheme="minorEastAsia" w:eastAsiaTheme="minorEastAsia" w:cstheme="minorEastAsia"/>
          <w:bCs/>
        </w:rPr>
        <w:t xml:space="preserve">  招标公告</w:t>
      </w:r>
      <w:bookmarkEnd w:id="1"/>
    </w:p>
    <w:p>
      <w:pPr>
        <w:keepNext w:val="0"/>
        <w:keepLines w:val="0"/>
        <w:pageBreakBefore w:val="0"/>
        <w:widowControl w:val="0"/>
        <w:kinsoku/>
        <w:wordWrap/>
        <w:overflowPunct/>
        <w:topLinePunct w:val="0"/>
        <w:autoSpaceDE/>
        <w:autoSpaceDN/>
        <w:bidi w:val="0"/>
        <w:adjustRightInd/>
        <w:snapToGrid/>
        <w:spacing w:line="440" w:lineRule="exact"/>
        <w:ind w:right="-330" w:rightChars="-157"/>
        <w:jc w:val="center"/>
        <w:textAlignment w:val="auto"/>
        <w:rPr>
          <w:rFonts w:hint="eastAsia" w:asciiTheme="majorEastAsia" w:hAnsiTheme="majorEastAsia" w:eastAsiaTheme="majorEastAsia" w:cstheme="majorEastAsia"/>
          <w:b/>
          <w:bCs/>
          <w:sz w:val="32"/>
          <w:szCs w:val="32"/>
          <w:lang w:eastAsia="zh-CN"/>
        </w:rPr>
      </w:pPr>
      <w:bookmarkStart w:id="2" w:name="_Toc25354"/>
      <w:r>
        <w:rPr>
          <w:rFonts w:hint="eastAsia" w:asciiTheme="majorEastAsia" w:hAnsiTheme="majorEastAsia" w:eastAsiaTheme="majorEastAsia" w:cstheme="majorEastAsia"/>
          <w:b/>
          <w:bCs/>
          <w:sz w:val="32"/>
          <w:szCs w:val="32"/>
          <w:lang w:eastAsia="zh-CN"/>
        </w:rPr>
        <w:t>博爱县垃圾处理场新增渗滤液应急处理设备及运行项目</w:t>
      </w:r>
    </w:p>
    <w:p>
      <w:pPr>
        <w:keepNext w:val="0"/>
        <w:keepLines w:val="0"/>
        <w:pageBreakBefore w:val="0"/>
        <w:widowControl w:val="0"/>
        <w:kinsoku/>
        <w:wordWrap/>
        <w:overflowPunct/>
        <w:topLinePunct w:val="0"/>
        <w:autoSpaceDE/>
        <w:autoSpaceDN/>
        <w:bidi w:val="0"/>
        <w:adjustRightInd/>
        <w:snapToGrid/>
        <w:spacing w:line="440" w:lineRule="exact"/>
        <w:ind w:right="-330" w:rightChars="-157"/>
        <w:jc w:val="center"/>
        <w:textAlignment w:val="auto"/>
      </w:pPr>
      <w:r>
        <w:rPr>
          <w:rFonts w:hint="eastAsia" w:asciiTheme="majorEastAsia" w:hAnsiTheme="majorEastAsia" w:eastAsiaTheme="majorEastAsia" w:cstheme="majorEastAsia"/>
          <w:b/>
          <w:bCs/>
          <w:sz w:val="32"/>
          <w:szCs w:val="32"/>
          <w:lang w:eastAsia="zh-CN"/>
        </w:rPr>
        <w:t>招标公告（</w:t>
      </w:r>
      <w:r>
        <w:rPr>
          <w:rFonts w:hint="eastAsia" w:asciiTheme="majorEastAsia" w:hAnsiTheme="majorEastAsia" w:eastAsiaTheme="majorEastAsia" w:cstheme="majorEastAsia"/>
          <w:b/>
          <w:bCs/>
          <w:sz w:val="32"/>
          <w:szCs w:val="32"/>
          <w:lang w:val="en-US" w:eastAsia="zh-CN"/>
        </w:rPr>
        <w:t>不见面开标</w:t>
      </w:r>
      <w:r>
        <w:rPr>
          <w:rFonts w:hint="eastAsia" w:asciiTheme="majorEastAsia" w:hAnsiTheme="majorEastAsia" w:eastAsiaTheme="majorEastAsia" w:cstheme="majorEastAsia"/>
          <w:b/>
          <w:bCs/>
          <w:sz w:val="32"/>
          <w:szCs w:val="32"/>
          <w:lang w:eastAsia="zh-CN"/>
        </w:rPr>
        <w:t>）</w:t>
      </w:r>
    </w:p>
    <w:tbl>
      <w:tblPr>
        <w:tblStyle w:val="42"/>
        <w:tblW w:w="10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5" w:hRule="atLeast"/>
          <w:jc w:val="center"/>
        </w:trPr>
        <w:tc>
          <w:tcPr>
            <w:tcW w:w="10000" w:type="dxa"/>
          </w:tcPr>
          <w:p>
            <w:pPr>
              <w:pStyle w:val="41"/>
              <w:spacing w:line="440" w:lineRule="exact"/>
              <w:ind w:firstLine="480"/>
              <w:rPr>
                <w:rFonts w:ascii="宋体" w:hAnsi="宋体" w:cs="宋体"/>
                <w:color w:val="auto"/>
                <w:sz w:val="24"/>
              </w:rPr>
            </w:pPr>
            <w:r>
              <w:rPr>
                <w:rFonts w:hint="eastAsia" w:ascii="宋体" w:hAnsi="宋体" w:cs="宋体"/>
                <w:color w:val="auto"/>
                <w:sz w:val="24"/>
              </w:rPr>
              <w:t>项目概况：</w:t>
            </w:r>
            <w:r>
              <w:rPr>
                <w:rFonts w:hint="eastAsia" w:ascii="宋体" w:hAnsi="宋体" w:cs="宋体"/>
                <w:color w:val="auto"/>
                <w:sz w:val="24"/>
                <w:lang w:eastAsia="zh-CN"/>
              </w:rPr>
              <w:t>博爱县垃圾处理场新增渗滤液应急处理设备及运行项目</w:t>
            </w:r>
            <w:r>
              <w:rPr>
                <w:rFonts w:hint="eastAsia" w:ascii="宋体" w:hAnsi="宋体" w:cs="宋体"/>
                <w:color w:val="auto"/>
                <w:sz w:val="24"/>
              </w:rPr>
              <w:t>的潜在供应商应在焦作市公共资源交易中心网站获取采购文件，并于</w:t>
            </w:r>
            <w:r>
              <w:rPr>
                <w:rFonts w:hint="eastAsia" w:ascii="宋体" w:hAnsi="宋体" w:cs="宋体"/>
                <w:b/>
                <w:bCs/>
                <w:color w:val="auto"/>
                <w:sz w:val="24"/>
                <w:u w:val="single"/>
              </w:rPr>
              <w:t>202</w:t>
            </w:r>
            <w:r>
              <w:rPr>
                <w:rFonts w:hint="eastAsia" w:ascii="宋体" w:hAnsi="宋体" w:cs="宋体"/>
                <w:b/>
                <w:bCs/>
                <w:color w:val="auto"/>
                <w:sz w:val="24"/>
                <w:u w:val="single"/>
                <w:lang w:val="en-US" w:eastAsia="zh-CN"/>
              </w:rPr>
              <w:t>2</w:t>
            </w:r>
            <w:r>
              <w:rPr>
                <w:rFonts w:hint="eastAsia" w:ascii="宋体" w:hAnsi="宋体" w:cs="宋体"/>
                <w:b/>
                <w:bCs/>
                <w:color w:val="auto"/>
                <w:sz w:val="24"/>
                <w:u w:val="single"/>
              </w:rPr>
              <w:t>年</w:t>
            </w:r>
            <w:r>
              <w:rPr>
                <w:rFonts w:hint="eastAsia" w:ascii="宋体" w:hAnsi="宋体" w:cs="宋体"/>
                <w:b/>
                <w:bCs/>
                <w:color w:val="auto"/>
                <w:sz w:val="24"/>
                <w:u w:val="single"/>
                <w:lang w:val="en-US" w:eastAsia="zh-CN"/>
              </w:rPr>
              <w:t>3</w:t>
            </w:r>
            <w:r>
              <w:rPr>
                <w:rFonts w:hint="eastAsia" w:ascii="宋体" w:hAnsi="宋体" w:cs="宋体"/>
                <w:b/>
                <w:bCs/>
                <w:color w:val="auto"/>
                <w:sz w:val="24"/>
                <w:u w:val="single"/>
              </w:rPr>
              <w:t>月</w:t>
            </w:r>
            <w:r>
              <w:rPr>
                <w:rFonts w:hint="eastAsia" w:ascii="宋体" w:hAnsi="宋体" w:cs="宋体"/>
                <w:b/>
                <w:bCs/>
                <w:color w:val="auto"/>
                <w:sz w:val="24"/>
                <w:u w:val="single"/>
                <w:lang w:val="en-US" w:eastAsia="zh-CN"/>
              </w:rPr>
              <w:t>15</w:t>
            </w:r>
            <w:r>
              <w:rPr>
                <w:rFonts w:hint="eastAsia" w:ascii="宋体" w:hAnsi="宋体" w:cs="宋体"/>
                <w:b/>
                <w:bCs/>
                <w:color w:val="auto"/>
                <w:sz w:val="24"/>
                <w:u w:val="single"/>
              </w:rPr>
              <w:t>日上午</w:t>
            </w:r>
            <w:r>
              <w:rPr>
                <w:rFonts w:hint="eastAsia" w:ascii="宋体" w:hAnsi="宋体" w:cs="宋体"/>
                <w:b/>
                <w:bCs/>
                <w:color w:val="auto"/>
                <w:sz w:val="24"/>
                <w:u w:val="single"/>
                <w:lang w:val="en-US" w:eastAsia="zh-CN"/>
              </w:rPr>
              <w:t>9</w:t>
            </w:r>
            <w:r>
              <w:rPr>
                <w:rFonts w:hint="eastAsia" w:ascii="宋体" w:hAnsi="宋体" w:cs="宋体"/>
                <w:b/>
                <w:bCs/>
                <w:color w:val="auto"/>
                <w:sz w:val="24"/>
                <w:u w:val="single"/>
              </w:rPr>
              <w:t>点</w:t>
            </w:r>
            <w:r>
              <w:rPr>
                <w:rFonts w:hint="eastAsia" w:ascii="宋体" w:hAnsi="宋体" w:cs="宋体"/>
                <w:b/>
                <w:bCs/>
                <w:color w:val="auto"/>
                <w:sz w:val="24"/>
                <w:u w:val="single"/>
                <w:lang w:val="en-US" w:eastAsia="zh-CN"/>
              </w:rPr>
              <w:t>00</w:t>
            </w:r>
            <w:r>
              <w:rPr>
                <w:rFonts w:hint="eastAsia" w:ascii="宋体" w:hAnsi="宋体" w:cs="宋体"/>
                <w:b/>
                <w:bCs/>
                <w:color w:val="auto"/>
                <w:sz w:val="24"/>
                <w:u w:val="single"/>
              </w:rPr>
              <w:t>分</w:t>
            </w:r>
            <w:r>
              <w:rPr>
                <w:rFonts w:hint="eastAsia" w:ascii="宋体" w:hAnsi="宋体" w:cs="宋体"/>
                <w:color w:val="auto"/>
                <w:sz w:val="24"/>
                <w:u w:val="single"/>
              </w:rPr>
              <w:t>（北京时间）</w:t>
            </w:r>
            <w:r>
              <w:rPr>
                <w:rFonts w:hint="eastAsia" w:ascii="宋体" w:hAnsi="宋体" w:cs="宋体"/>
                <w:color w:val="auto"/>
                <w:sz w:val="24"/>
              </w:rPr>
              <w:t>前提交响应文件。</w:t>
            </w:r>
          </w:p>
        </w:tc>
      </w:tr>
    </w:tbl>
    <w:p>
      <w:pPr>
        <w:pStyle w:val="115"/>
        <w:spacing w:line="440" w:lineRule="exact"/>
        <w:ind w:left="0" w:firstLine="0"/>
        <w:rPr>
          <w:b/>
          <w:bCs/>
          <w:color w:val="auto"/>
          <w:sz w:val="24"/>
          <w:lang w:eastAsia="zh-CN"/>
        </w:rPr>
      </w:pPr>
      <w:r>
        <w:rPr>
          <w:rFonts w:hint="eastAsia"/>
          <w:b/>
          <w:bCs/>
          <w:color w:val="auto"/>
          <w:sz w:val="24"/>
          <w:lang w:eastAsia="zh-CN"/>
        </w:rPr>
        <w:t>一、项目基本情况</w:t>
      </w:r>
    </w:p>
    <w:p>
      <w:pPr>
        <w:pStyle w:val="115"/>
        <w:spacing w:line="440" w:lineRule="exact"/>
        <w:ind w:left="0" w:firstLine="480" w:firstLineChars="200"/>
        <w:rPr>
          <w:color w:val="auto"/>
          <w:sz w:val="24"/>
          <w:lang w:eastAsia="zh-CN"/>
        </w:rPr>
      </w:pPr>
      <w:r>
        <w:rPr>
          <w:rFonts w:hint="eastAsia"/>
          <w:color w:val="auto"/>
          <w:sz w:val="24"/>
          <w:lang w:eastAsia="zh-CN"/>
        </w:rPr>
        <w:t>项目编号：博政采购〔2022〕6号</w:t>
      </w:r>
    </w:p>
    <w:p>
      <w:pPr>
        <w:pStyle w:val="115"/>
        <w:spacing w:line="440" w:lineRule="exact"/>
        <w:ind w:left="0" w:firstLine="480" w:firstLineChars="200"/>
        <w:rPr>
          <w:color w:val="auto"/>
          <w:sz w:val="24"/>
          <w:lang w:eastAsia="zh-CN"/>
        </w:rPr>
      </w:pPr>
      <w:r>
        <w:rPr>
          <w:rFonts w:hint="eastAsia"/>
          <w:color w:val="auto"/>
          <w:sz w:val="24"/>
          <w:lang w:eastAsia="zh-CN"/>
        </w:rPr>
        <w:t>项目名称：博爱县垃圾处理场新增渗滤液应急处理设备及运行项目</w:t>
      </w:r>
    </w:p>
    <w:p>
      <w:pPr>
        <w:pStyle w:val="115"/>
        <w:spacing w:line="440" w:lineRule="exact"/>
        <w:ind w:left="0" w:firstLine="480" w:firstLineChars="200"/>
        <w:rPr>
          <w:color w:val="auto"/>
          <w:sz w:val="24"/>
          <w:lang w:eastAsia="zh-CN"/>
        </w:rPr>
      </w:pPr>
      <w:r>
        <w:rPr>
          <w:rFonts w:hint="eastAsia"/>
          <w:color w:val="auto"/>
          <w:sz w:val="24"/>
          <w:lang w:eastAsia="zh-CN"/>
        </w:rPr>
        <w:t>采购方式：公开招标</w:t>
      </w:r>
    </w:p>
    <w:p>
      <w:pPr>
        <w:widowControl/>
        <w:spacing w:line="440" w:lineRule="exact"/>
        <w:ind w:firstLine="480" w:firstLineChars="200"/>
        <w:jc w:val="left"/>
        <w:rPr>
          <w:rFonts w:hint="eastAsia" w:ascii="宋体" w:hAnsi="宋体" w:cs="宋体"/>
          <w:color w:val="auto"/>
          <w:kern w:val="0"/>
          <w:sz w:val="24"/>
          <w:lang w:eastAsia="zh-CN"/>
        </w:rPr>
      </w:pPr>
      <w:r>
        <w:rPr>
          <w:rFonts w:hint="eastAsia" w:ascii="宋体" w:hAnsi="宋体" w:cs="宋体"/>
          <w:color w:val="auto"/>
          <w:kern w:val="0"/>
          <w:sz w:val="24"/>
        </w:rPr>
        <w:t>预算金额：</w:t>
      </w:r>
      <w:r>
        <w:rPr>
          <w:rFonts w:hint="eastAsia" w:ascii="宋体" w:hAnsi="宋体" w:cs="宋体"/>
          <w:color w:val="auto"/>
          <w:kern w:val="0"/>
          <w:sz w:val="24"/>
          <w:lang w:val="en-US" w:eastAsia="zh-CN"/>
        </w:rPr>
        <w:t>170元/吨（出水）</w:t>
      </w:r>
    </w:p>
    <w:p>
      <w:pPr>
        <w:widowControl/>
        <w:spacing w:line="44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采购内容</w:t>
      </w:r>
      <w:r>
        <w:rPr>
          <w:rFonts w:hint="eastAsia" w:ascii="宋体" w:hAnsi="宋体" w:cs="宋体"/>
          <w:color w:val="auto"/>
          <w:kern w:val="0"/>
          <w:sz w:val="24"/>
        </w:rPr>
        <w:t>：博爱县城管局通过公开招标选定博爱县垃圾处理场</w:t>
      </w:r>
      <w:r>
        <w:rPr>
          <w:rFonts w:hint="eastAsia" w:ascii="宋体" w:hAnsi="宋体" w:cs="宋体"/>
          <w:color w:val="auto"/>
          <w:kern w:val="0"/>
          <w:sz w:val="24"/>
          <w:lang w:eastAsia="zh-CN"/>
        </w:rPr>
        <w:t>新增</w:t>
      </w:r>
      <w:r>
        <w:rPr>
          <w:rFonts w:hint="eastAsia" w:ascii="宋体" w:hAnsi="宋体" w:cs="宋体"/>
          <w:color w:val="auto"/>
          <w:kern w:val="0"/>
          <w:sz w:val="24"/>
        </w:rPr>
        <w:t>渗滤液</w:t>
      </w:r>
      <w:r>
        <w:rPr>
          <w:rFonts w:hint="eastAsia" w:ascii="宋体" w:hAnsi="宋体" w:cs="宋体"/>
          <w:color w:val="auto"/>
          <w:kern w:val="0"/>
          <w:sz w:val="24"/>
          <w:lang w:eastAsia="zh-CN"/>
        </w:rPr>
        <w:t>应急</w:t>
      </w:r>
      <w:r>
        <w:rPr>
          <w:rFonts w:hint="eastAsia" w:ascii="宋体" w:hAnsi="宋体" w:cs="宋体"/>
          <w:color w:val="auto"/>
          <w:kern w:val="0"/>
          <w:sz w:val="24"/>
        </w:rPr>
        <w:t>处理设备及运行项目的中标人，由中标人</w:t>
      </w:r>
      <w:r>
        <w:rPr>
          <w:rFonts w:hint="eastAsia" w:ascii="宋体" w:hAnsi="宋体" w:cs="宋体"/>
          <w:color w:val="auto"/>
          <w:kern w:val="0"/>
          <w:sz w:val="24"/>
          <w:lang w:eastAsia="zh-CN"/>
        </w:rPr>
        <w:t>提供</w:t>
      </w:r>
      <w:r>
        <w:rPr>
          <w:rFonts w:hint="eastAsia" w:ascii="宋体" w:hAnsi="宋体" w:cs="宋体"/>
          <w:color w:val="auto"/>
          <w:kern w:val="0"/>
          <w:sz w:val="24"/>
        </w:rPr>
        <w:t>渗滤液</w:t>
      </w:r>
      <w:r>
        <w:rPr>
          <w:rFonts w:hint="eastAsia" w:ascii="宋体" w:hAnsi="宋体" w:cs="宋体"/>
          <w:color w:val="auto"/>
          <w:kern w:val="0"/>
          <w:sz w:val="24"/>
          <w:lang w:eastAsia="zh-CN"/>
        </w:rPr>
        <w:t>应急</w:t>
      </w:r>
      <w:r>
        <w:rPr>
          <w:rFonts w:hint="eastAsia" w:ascii="宋体" w:hAnsi="宋体" w:cs="宋体"/>
          <w:color w:val="auto"/>
          <w:kern w:val="0"/>
          <w:sz w:val="24"/>
        </w:rPr>
        <w:t>处理设备</w:t>
      </w:r>
      <w:r>
        <w:rPr>
          <w:rFonts w:hint="eastAsia" w:ascii="宋体" w:hAnsi="宋体" w:cs="宋体"/>
          <w:color w:val="auto"/>
          <w:kern w:val="0"/>
          <w:sz w:val="24"/>
          <w:lang w:eastAsia="zh-CN"/>
        </w:rPr>
        <w:t>，在</w:t>
      </w:r>
      <w:r>
        <w:rPr>
          <w:rFonts w:hint="eastAsia" w:ascii="宋体" w:hAnsi="宋体" w:cs="宋体"/>
          <w:color w:val="auto"/>
          <w:kern w:val="0"/>
          <w:sz w:val="24"/>
          <w:lang w:val="en-US" w:eastAsia="zh-CN"/>
        </w:rPr>
        <w:t>2022年12月底前处理50000吨</w:t>
      </w:r>
      <w:r>
        <w:rPr>
          <w:rFonts w:hint="eastAsia" w:ascii="宋体" w:hAnsi="宋体" w:cs="宋体"/>
          <w:color w:val="auto"/>
          <w:kern w:val="0"/>
          <w:sz w:val="24"/>
        </w:rPr>
        <w:t>垃圾渗滤液，并负责运行、维护等工作，按照《城市生活垃圾卫生填埋处理技术规范》（GB 50869-2013）渗滤液处理相关技术要求进行处理，</w:t>
      </w:r>
      <w:r>
        <w:rPr>
          <w:rFonts w:hint="eastAsia" w:ascii="宋体" w:hAnsi="宋体" w:cs="宋体"/>
          <w:color w:val="auto"/>
          <w:kern w:val="0"/>
          <w:sz w:val="24"/>
          <w:lang w:eastAsia="zh-CN"/>
        </w:rPr>
        <w:t>出水满足生活垃圾填埋场污染控制标准（</w:t>
      </w:r>
      <w:r>
        <w:rPr>
          <w:rFonts w:hint="eastAsia" w:ascii="宋体" w:hAnsi="宋体" w:cs="宋体"/>
          <w:color w:val="auto"/>
          <w:kern w:val="0"/>
          <w:sz w:val="24"/>
          <w:lang w:val="en-US" w:eastAsia="zh-CN"/>
        </w:rPr>
        <w:t>GB 16889-2008</w:t>
      </w:r>
      <w:r>
        <w:rPr>
          <w:rFonts w:hint="eastAsia" w:ascii="宋体" w:hAnsi="宋体" w:cs="宋体"/>
          <w:color w:val="auto"/>
          <w:kern w:val="0"/>
          <w:sz w:val="24"/>
          <w:lang w:eastAsia="zh-CN"/>
        </w:rPr>
        <w:t>）表二标准后</w:t>
      </w:r>
      <w:r>
        <w:rPr>
          <w:rFonts w:hint="eastAsia" w:ascii="宋体" w:hAnsi="宋体" w:cs="宋体"/>
          <w:color w:val="auto"/>
          <w:kern w:val="0"/>
          <w:sz w:val="24"/>
        </w:rPr>
        <w:t>排放。</w:t>
      </w:r>
    </w:p>
    <w:p>
      <w:pPr>
        <w:widowControl/>
        <w:spacing w:line="440" w:lineRule="exact"/>
        <w:ind w:firstLine="480" w:firstLineChars="200"/>
        <w:jc w:val="left"/>
        <w:rPr>
          <w:rFonts w:hint="eastAsia" w:ascii="宋体" w:hAnsi="宋体" w:cs="宋体"/>
          <w:color w:val="auto"/>
          <w:kern w:val="0"/>
          <w:sz w:val="24"/>
          <w:lang w:eastAsia="zh-CN"/>
        </w:rPr>
      </w:pPr>
      <w:r>
        <w:rPr>
          <w:rFonts w:hint="eastAsia" w:ascii="宋体" w:hAnsi="宋体" w:cs="宋体"/>
          <w:color w:val="auto"/>
          <w:kern w:val="0"/>
          <w:sz w:val="24"/>
        </w:rPr>
        <w:t>本次拟招标的博爱县垃圾处理场</w:t>
      </w:r>
      <w:r>
        <w:rPr>
          <w:rFonts w:hint="eastAsia" w:ascii="宋体" w:hAnsi="宋体" w:cs="宋体"/>
          <w:color w:val="auto"/>
          <w:kern w:val="0"/>
          <w:sz w:val="24"/>
          <w:lang w:eastAsia="zh-CN"/>
        </w:rPr>
        <w:t>新增</w:t>
      </w:r>
      <w:r>
        <w:rPr>
          <w:rFonts w:hint="eastAsia" w:ascii="宋体" w:hAnsi="宋体" w:cs="宋体"/>
          <w:color w:val="auto"/>
          <w:kern w:val="0"/>
          <w:sz w:val="24"/>
        </w:rPr>
        <w:t>渗滤液</w:t>
      </w:r>
      <w:r>
        <w:rPr>
          <w:rFonts w:hint="eastAsia" w:ascii="宋体" w:hAnsi="宋体" w:cs="宋体"/>
          <w:color w:val="auto"/>
          <w:kern w:val="0"/>
          <w:sz w:val="24"/>
          <w:lang w:eastAsia="zh-CN"/>
        </w:rPr>
        <w:t>应急</w:t>
      </w:r>
      <w:r>
        <w:rPr>
          <w:rFonts w:hint="eastAsia" w:ascii="宋体" w:hAnsi="宋体" w:cs="宋体"/>
          <w:color w:val="auto"/>
          <w:kern w:val="0"/>
          <w:sz w:val="24"/>
        </w:rPr>
        <w:t>处理设备及运行项目</w:t>
      </w:r>
      <w:r>
        <w:rPr>
          <w:rFonts w:hint="eastAsia" w:ascii="宋体" w:hAnsi="宋体" w:cs="宋体"/>
          <w:color w:val="auto"/>
          <w:kern w:val="0"/>
          <w:sz w:val="24"/>
          <w:lang w:eastAsia="zh-CN"/>
        </w:rPr>
        <w:t>，总处理量为</w:t>
      </w:r>
      <w:r>
        <w:rPr>
          <w:rFonts w:hint="eastAsia" w:ascii="宋体" w:hAnsi="宋体" w:cs="宋体"/>
          <w:color w:val="auto"/>
          <w:kern w:val="0"/>
          <w:sz w:val="24"/>
          <w:lang w:val="en-US" w:eastAsia="zh-CN"/>
        </w:rPr>
        <w:t>50000吨(进水)，</w:t>
      </w:r>
      <w:r>
        <w:rPr>
          <w:rFonts w:hint="eastAsia" w:ascii="宋体" w:hAnsi="宋体" w:cs="宋体"/>
          <w:color w:val="auto"/>
          <w:kern w:val="0"/>
          <w:sz w:val="24"/>
          <w:lang w:eastAsia="zh-CN"/>
        </w:rPr>
        <w:t>出水率</w:t>
      </w:r>
      <w:r>
        <w:rPr>
          <w:rFonts w:hint="eastAsia" w:ascii="宋体" w:hAnsi="宋体" w:cs="宋体"/>
          <w:color w:val="auto"/>
          <w:kern w:val="0"/>
          <w:sz w:val="24"/>
        </w:rPr>
        <w:t>不低于</w:t>
      </w:r>
      <w:r>
        <w:rPr>
          <w:rFonts w:hint="eastAsia" w:ascii="宋体" w:hAnsi="宋体" w:cs="宋体"/>
          <w:color w:val="auto"/>
          <w:kern w:val="0"/>
          <w:sz w:val="24"/>
          <w:lang w:val="en-US" w:eastAsia="zh-CN"/>
        </w:rPr>
        <w:t>7</w:t>
      </w:r>
      <w:r>
        <w:rPr>
          <w:rFonts w:hint="eastAsia" w:ascii="宋体" w:hAnsi="宋体" w:cs="宋体"/>
          <w:color w:val="auto"/>
          <w:kern w:val="0"/>
          <w:sz w:val="24"/>
        </w:rPr>
        <w:t>0%，</w:t>
      </w:r>
      <w:r>
        <w:rPr>
          <w:rFonts w:hint="eastAsia" w:ascii="宋体" w:hAnsi="宋体" w:cs="宋体"/>
          <w:color w:val="auto"/>
          <w:kern w:val="0"/>
          <w:sz w:val="24"/>
          <w:lang w:eastAsia="zh-CN"/>
        </w:rPr>
        <w:t>总出水量不低于</w:t>
      </w:r>
      <w:r>
        <w:rPr>
          <w:rFonts w:hint="eastAsia" w:ascii="宋体" w:hAnsi="宋体" w:cs="宋体"/>
          <w:color w:val="auto"/>
          <w:kern w:val="0"/>
          <w:sz w:val="24"/>
          <w:lang w:val="en-US" w:eastAsia="zh-CN"/>
        </w:rPr>
        <w:t>35000吨，</w:t>
      </w:r>
      <w:r>
        <w:rPr>
          <w:rFonts w:hint="eastAsia" w:ascii="宋体" w:hAnsi="宋体" w:cs="宋体"/>
          <w:color w:val="auto"/>
          <w:kern w:val="0"/>
          <w:sz w:val="24"/>
          <w:lang w:eastAsia="zh-CN"/>
        </w:rPr>
        <w:t>渗滤液处理费按出水结算。</w:t>
      </w:r>
      <w:r>
        <w:rPr>
          <w:rFonts w:hint="eastAsia" w:ascii="宋体" w:hAnsi="宋体" w:cs="宋体"/>
          <w:color w:val="auto"/>
          <w:kern w:val="0"/>
          <w:sz w:val="24"/>
        </w:rPr>
        <w:t>运行期限为</w:t>
      </w:r>
      <w:r>
        <w:rPr>
          <w:rFonts w:hint="eastAsia" w:ascii="宋体" w:hAnsi="宋体" w:cs="宋体"/>
          <w:color w:val="auto"/>
          <w:kern w:val="0"/>
          <w:sz w:val="24"/>
          <w:lang w:eastAsia="zh-CN"/>
        </w:rPr>
        <w:t>十个月（自设备正常运行，达标排放开始计算日期）</w:t>
      </w:r>
      <w:r>
        <w:rPr>
          <w:rFonts w:hint="eastAsia" w:ascii="宋体" w:hAnsi="宋体" w:cs="宋体"/>
          <w:color w:val="auto"/>
          <w:kern w:val="0"/>
          <w:sz w:val="24"/>
        </w:rPr>
        <w:t>，</w:t>
      </w:r>
      <w:r>
        <w:rPr>
          <w:rFonts w:hint="eastAsia" w:ascii="宋体" w:hAnsi="宋体" w:cs="宋体"/>
          <w:color w:val="auto"/>
          <w:kern w:val="0"/>
          <w:sz w:val="24"/>
          <w:lang w:eastAsia="zh-CN"/>
        </w:rPr>
        <w:t>预计</w:t>
      </w:r>
      <w:r>
        <w:rPr>
          <w:rFonts w:hint="eastAsia" w:ascii="宋体" w:hAnsi="宋体" w:cs="宋体"/>
          <w:color w:val="auto"/>
          <w:kern w:val="0"/>
          <w:sz w:val="24"/>
        </w:rPr>
        <w:t>从202</w:t>
      </w:r>
      <w:r>
        <w:rPr>
          <w:rFonts w:hint="eastAsia" w:ascii="宋体" w:hAnsi="宋体" w:cs="宋体"/>
          <w:color w:val="auto"/>
          <w:kern w:val="0"/>
          <w:sz w:val="24"/>
          <w:lang w:val="en-US" w:eastAsia="zh-CN"/>
        </w:rPr>
        <w:t>2</w:t>
      </w:r>
      <w:r>
        <w:rPr>
          <w:rFonts w:hint="eastAsia" w:ascii="宋体" w:hAnsi="宋体" w:cs="宋体"/>
          <w:color w:val="auto"/>
          <w:kern w:val="0"/>
          <w:sz w:val="24"/>
        </w:rPr>
        <w:t>年</w:t>
      </w:r>
      <w:r>
        <w:rPr>
          <w:rFonts w:hint="eastAsia" w:ascii="宋体" w:hAnsi="宋体" w:cs="宋体"/>
          <w:color w:val="auto"/>
          <w:kern w:val="0"/>
          <w:sz w:val="24"/>
          <w:lang w:val="en-US" w:eastAsia="zh-CN"/>
        </w:rPr>
        <w:t>3</w:t>
      </w:r>
      <w:r>
        <w:rPr>
          <w:rFonts w:hint="eastAsia" w:ascii="宋体" w:hAnsi="宋体" w:cs="宋体"/>
          <w:color w:val="auto"/>
          <w:kern w:val="0"/>
          <w:sz w:val="24"/>
        </w:rPr>
        <w:t>月开始至202</w:t>
      </w:r>
      <w:r>
        <w:rPr>
          <w:rFonts w:hint="eastAsia" w:ascii="宋体" w:hAnsi="宋体" w:cs="宋体"/>
          <w:color w:val="auto"/>
          <w:kern w:val="0"/>
          <w:sz w:val="24"/>
          <w:lang w:val="en-US" w:eastAsia="zh-CN"/>
        </w:rPr>
        <w:t>2</w:t>
      </w:r>
      <w:r>
        <w:rPr>
          <w:rFonts w:hint="eastAsia" w:ascii="宋体" w:hAnsi="宋体" w:cs="宋体"/>
          <w:color w:val="auto"/>
          <w:kern w:val="0"/>
          <w:sz w:val="24"/>
        </w:rPr>
        <w:t>年</w:t>
      </w:r>
      <w:r>
        <w:rPr>
          <w:rFonts w:hint="eastAsia" w:ascii="宋体" w:hAnsi="宋体" w:cs="宋体"/>
          <w:color w:val="auto"/>
          <w:kern w:val="0"/>
          <w:sz w:val="24"/>
          <w:lang w:val="en-US" w:eastAsia="zh-CN"/>
        </w:rPr>
        <w:t>12月</w:t>
      </w:r>
      <w:r>
        <w:rPr>
          <w:rFonts w:hint="eastAsia" w:ascii="宋体" w:hAnsi="宋体" w:cs="宋体"/>
          <w:color w:val="auto"/>
          <w:kern w:val="0"/>
          <w:sz w:val="24"/>
        </w:rPr>
        <w:t>结束</w:t>
      </w:r>
      <w:r>
        <w:rPr>
          <w:rFonts w:hint="eastAsia" w:ascii="宋体" w:hAnsi="宋体" w:cs="宋体"/>
          <w:color w:val="auto"/>
          <w:kern w:val="0"/>
          <w:sz w:val="24"/>
          <w:lang w:eastAsia="zh-CN"/>
        </w:rPr>
        <w:t>，</w:t>
      </w:r>
      <w:r>
        <w:rPr>
          <w:rFonts w:hint="eastAsia" w:ascii="宋体" w:hAnsi="宋体" w:cs="宋体"/>
          <w:color w:val="auto"/>
          <w:kern w:val="0"/>
          <w:sz w:val="24"/>
        </w:rPr>
        <w:t>运行期间所有费用及责任由中标人负责。项目建设用地位于现垃圾处理场内，中标人无偿使用</w:t>
      </w:r>
      <w:r>
        <w:rPr>
          <w:rFonts w:hint="eastAsia" w:ascii="宋体" w:hAnsi="宋体" w:cs="宋体"/>
          <w:color w:val="auto"/>
          <w:kern w:val="0"/>
          <w:sz w:val="24"/>
          <w:lang w:eastAsia="zh-CN"/>
        </w:rPr>
        <w:t>，</w:t>
      </w:r>
      <w:r>
        <w:rPr>
          <w:rFonts w:hint="eastAsia" w:ascii="宋体" w:hAnsi="宋体" w:cs="宋体"/>
          <w:color w:val="auto"/>
          <w:kern w:val="0"/>
          <w:sz w:val="24"/>
        </w:rPr>
        <w:t>设备土建及安装工程由中标人负责。</w:t>
      </w:r>
    </w:p>
    <w:p>
      <w:pPr>
        <w:pStyle w:val="109"/>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质量标准：</w:t>
      </w:r>
      <w:r>
        <w:rPr>
          <w:rFonts w:hint="eastAsia" w:ascii="宋体" w:hAnsi="宋体" w:eastAsia="宋体" w:cs="宋体"/>
          <w:color w:val="auto"/>
          <w:kern w:val="0"/>
          <w:sz w:val="24"/>
          <w:szCs w:val="24"/>
          <w:lang w:val="en-US" w:eastAsia="zh-CN" w:bidi="ar-SA"/>
        </w:rPr>
        <w:t>按照《城市生活垃圾卫生填埋处理技术规范》（GB 50869-2013）渗滤液处理相关技术要求进行处理，出水满足生活垃圾填埋场污染控制标准（GB 16889-2008）表二标准后排放。</w:t>
      </w:r>
    </w:p>
    <w:p>
      <w:pPr>
        <w:pStyle w:val="109"/>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highlight w:val="none"/>
          <w:lang w:val="en-US" w:eastAsia="zh-CN" w:bidi="ar-SA"/>
        </w:rPr>
        <w:t>运行</w:t>
      </w:r>
      <w:r>
        <w:rPr>
          <w:rFonts w:hint="eastAsia" w:ascii="宋体" w:hAnsi="宋体" w:eastAsia="宋体" w:cs="宋体"/>
          <w:color w:val="auto"/>
          <w:kern w:val="0"/>
          <w:sz w:val="24"/>
          <w:szCs w:val="24"/>
          <w:lang w:val="en-US" w:eastAsia="zh-CN" w:bidi="ar-SA"/>
        </w:rPr>
        <w:t>期限：运行期限为十月（自设备正常运行，达标排放开始计算日期），预计从2022年3月开始至2022年12月结束</w:t>
      </w:r>
      <w:r>
        <w:rPr>
          <w:rFonts w:hint="default" w:ascii="宋体" w:hAnsi="宋体" w:eastAsia="宋体" w:cs="宋体"/>
          <w:color w:val="auto"/>
          <w:kern w:val="0"/>
          <w:sz w:val="24"/>
          <w:szCs w:val="24"/>
          <w:lang w:val="en-US" w:eastAsia="zh-CN" w:bidi="ar-SA"/>
        </w:rPr>
        <w:t>。</w:t>
      </w:r>
    </w:p>
    <w:p>
      <w:pPr>
        <w:adjustRightInd w:val="0"/>
        <w:snapToGrid w:val="0"/>
        <w:spacing w:line="440" w:lineRule="exact"/>
        <w:rPr>
          <w:rFonts w:ascii="宋体" w:hAnsi="宋体" w:cs="宋体"/>
          <w:color w:val="auto"/>
          <w:kern w:val="0"/>
          <w:sz w:val="24"/>
        </w:rPr>
      </w:pPr>
      <w:r>
        <w:rPr>
          <w:rFonts w:hint="eastAsia" w:ascii="宋体" w:hAnsi="宋体" w:cs="宋体"/>
          <w:b/>
          <w:bCs/>
          <w:color w:val="auto"/>
          <w:kern w:val="0"/>
          <w:sz w:val="24"/>
        </w:rPr>
        <w:t>二、申请人资格要求：</w:t>
      </w:r>
    </w:p>
    <w:p>
      <w:pPr>
        <w:widowControl/>
        <w:spacing w:line="440" w:lineRule="exact"/>
        <w:ind w:firstLine="480" w:firstLineChars="200"/>
        <w:jc w:val="left"/>
        <w:rPr>
          <w:rFonts w:hint="eastAsia" w:ascii="宋体" w:hAnsi="宋体" w:cs="宋体"/>
          <w:color w:val="auto"/>
          <w:sz w:val="24"/>
          <w:shd w:val="clear" w:color="auto" w:fill="FFFFFF"/>
        </w:rPr>
      </w:pPr>
      <w:r>
        <w:rPr>
          <w:rFonts w:hint="eastAsia" w:ascii="宋体" w:hAnsi="宋体" w:cs="宋体"/>
          <w:color w:val="auto"/>
          <w:sz w:val="24"/>
          <w:shd w:val="clear" w:color="auto" w:fill="FFFFFF"/>
        </w:rPr>
        <w:t>1、符合《中华人民共和国政府采购法》第二十二条之规定；</w:t>
      </w:r>
    </w:p>
    <w:p>
      <w:pPr>
        <w:widowControl/>
        <w:spacing w:line="440" w:lineRule="exact"/>
        <w:ind w:firstLine="480" w:firstLineChars="200"/>
        <w:jc w:val="left"/>
        <w:rPr>
          <w:rFonts w:hint="eastAsia" w:ascii="宋体" w:hAnsi="宋体" w:cs="宋体"/>
          <w:color w:val="auto"/>
          <w:sz w:val="24"/>
          <w:shd w:val="clear" w:color="auto" w:fill="FFFFFF"/>
        </w:rPr>
      </w:pPr>
      <w:r>
        <w:rPr>
          <w:rFonts w:hint="eastAsia" w:ascii="宋体" w:hAnsi="宋体" w:cs="宋体"/>
          <w:color w:val="auto"/>
          <w:sz w:val="24"/>
          <w:shd w:val="clear" w:color="auto" w:fill="FFFFFF"/>
        </w:rPr>
        <w:t>2、落实政府采购政策需满足的资格要求：促进中小企业和监狱企业发展扶持政策、政府强制采购节能产品、节能产品及环境标志产品优先采购。</w:t>
      </w:r>
    </w:p>
    <w:p>
      <w:pPr>
        <w:widowControl/>
        <w:spacing w:line="440" w:lineRule="exact"/>
        <w:ind w:firstLine="480" w:firstLineChars="200"/>
        <w:jc w:val="left"/>
        <w:rPr>
          <w:rFonts w:hint="eastAsia" w:ascii="宋体" w:hAnsi="宋体" w:cs="宋体"/>
          <w:color w:val="auto"/>
          <w:sz w:val="24"/>
          <w:shd w:val="clear" w:color="auto" w:fill="FFFFFF"/>
        </w:rPr>
      </w:pPr>
      <w:r>
        <w:rPr>
          <w:rFonts w:hint="eastAsia" w:ascii="宋体" w:hAnsi="宋体" w:cs="宋体"/>
          <w:color w:val="auto"/>
          <w:sz w:val="24"/>
          <w:shd w:val="clear" w:color="auto" w:fill="FFFFFF"/>
        </w:rPr>
        <w:t>3、本项目的特定资格要求：</w:t>
      </w:r>
    </w:p>
    <w:p>
      <w:pPr>
        <w:widowControl/>
        <w:spacing w:line="440" w:lineRule="exact"/>
        <w:ind w:firstLine="480" w:firstLineChars="200"/>
        <w:jc w:val="left"/>
        <w:rPr>
          <w:rFonts w:hint="eastAsia" w:ascii="宋体" w:hAnsi="宋体" w:cs="宋体"/>
          <w:color w:val="auto"/>
          <w:sz w:val="24"/>
          <w:shd w:val="clear" w:color="auto" w:fill="FFFFFF"/>
          <w:lang w:eastAsia="zh-CN"/>
        </w:rPr>
      </w:pPr>
      <w:r>
        <w:rPr>
          <w:rFonts w:hint="eastAsia" w:ascii="宋体" w:hAnsi="宋体" w:cs="宋体"/>
          <w:color w:val="auto"/>
          <w:sz w:val="24"/>
          <w:shd w:val="clear" w:color="auto" w:fill="FFFFFF"/>
        </w:rPr>
        <w:t>3.1供应商须具有有效的营业执照，并具有实施完成本项目的</w:t>
      </w:r>
      <w:r>
        <w:rPr>
          <w:rFonts w:hint="eastAsia" w:ascii="宋体" w:hAnsi="宋体" w:cs="宋体"/>
          <w:color w:val="auto"/>
          <w:sz w:val="24"/>
          <w:shd w:val="clear" w:color="auto" w:fill="FFFFFF"/>
          <w:lang w:val="en-US" w:eastAsia="zh-CN"/>
        </w:rPr>
        <w:t>建设、运营能力</w:t>
      </w:r>
      <w:r>
        <w:rPr>
          <w:rFonts w:hint="eastAsia" w:ascii="宋体" w:hAnsi="宋体" w:cs="宋体"/>
          <w:color w:val="auto"/>
          <w:sz w:val="24"/>
          <w:shd w:val="clear" w:color="auto" w:fill="FFFFFF"/>
          <w:lang w:eastAsia="zh-CN"/>
        </w:rPr>
        <w:t>；</w:t>
      </w:r>
    </w:p>
    <w:p>
      <w:pPr>
        <w:widowControl/>
        <w:spacing w:line="440" w:lineRule="exact"/>
        <w:ind w:firstLine="480" w:firstLineChars="200"/>
        <w:jc w:val="left"/>
        <w:rPr>
          <w:rFonts w:hint="eastAsia" w:ascii="宋体" w:hAnsi="宋体" w:cs="宋体"/>
          <w:color w:val="auto"/>
          <w:sz w:val="24"/>
          <w:shd w:val="clear" w:color="auto" w:fill="FFFFFF"/>
        </w:rPr>
      </w:pPr>
      <w:r>
        <w:rPr>
          <w:rFonts w:hint="eastAsia" w:ascii="宋体" w:hAnsi="宋体" w:cs="宋体"/>
          <w:color w:val="auto"/>
          <w:sz w:val="24"/>
          <w:shd w:val="clear" w:color="auto" w:fill="FFFFFF"/>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pPr>
        <w:widowControl/>
        <w:spacing w:line="440" w:lineRule="exact"/>
        <w:ind w:firstLine="480" w:firstLineChars="200"/>
        <w:jc w:val="left"/>
        <w:rPr>
          <w:rFonts w:hint="eastAsia" w:ascii="宋体" w:hAnsi="宋体" w:cs="宋体"/>
          <w:color w:val="auto"/>
          <w:sz w:val="24"/>
          <w:shd w:val="clear" w:color="auto" w:fill="FFFFFF"/>
        </w:rPr>
      </w:pPr>
      <w:r>
        <w:rPr>
          <w:rFonts w:hint="eastAsia" w:ascii="宋体" w:hAnsi="宋体" w:cs="宋体"/>
          <w:color w:val="auto"/>
          <w:sz w:val="24"/>
          <w:shd w:val="clear" w:color="auto" w:fill="FFFFFF"/>
        </w:rPr>
        <w:t>3.3投标人提供近三年（2018 年、2019 年、2020 年）完整的财务审计报告（成立不足三年的企业，以现有年份提供）；</w:t>
      </w:r>
    </w:p>
    <w:p>
      <w:pPr>
        <w:widowControl/>
        <w:spacing w:line="440" w:lineRule="exact"/>
        <w:ind w:firstLine="480" w:firstLineChars="200"/>
        <w:jc w:val="left"/>
        <w:rPr>
          <w:rFonts w:hint="eastAsia" w:ascii="宋体" w:hAnsi="宋体" w:cs="宋体"/>
          <w:color w:val="auto"/>
          <w:sz w:val="24"/>
          <w:shd w:val="clear" w:color="auto" w:fill="FFFFFF"/>
        </w:rPr>
      </w:pPr>
      <w:r>
        <w:rPr>
          <w:rFonts w:hint="eastAsia" w:ascii="宋体" w:hAnsi="宋体" w:cs="宋体"/>
          <w:color w:val="auto"/>
          <w:sz w:val="24"/>
          <w:shd w:val="clear" w:color="auto" w:fill="FFFFFF"/>
        </w:rPr>
        <w:t>3.</w:t>
      </w:r>
      <w:r>
        <w:rPr>
          <w:rFonts w:hint="eastAsia" w:ascii="宋体" w:hAnsi="宋体" w:cs="宋体"/>
          <w:color w:val="auto"/>
          <w:sz w:val="24"/>
          <w:shd w:val="clear" w:color="auto" w:fill="FFFFFF"/>
          <w:lang w:val="en-US" w:eastAsia="zh-CN"/>
        </w:rPr>
        <w:t>4</w:t>
      </w:r>
      <w:r>
        <w:rPr>
          <w:rFonts w:hint="eastAsia" w:ascii="宋体" w:hAnsi="宋体" w:cs="宋体"/>
          <w:color w:val="auto"/>
          <w:sz w:val="24"/>
          <w:shd w:val="clear" w:color="auto" w:fill="FFFFFF"/>
        </w:rPr>
        <w:t>本项目不接受联合体投标；</w:t>
      </w:r>
    </w:p>
    <w:p>
      <w:pPr>
        <w:widowControl/>
        <w:spacing w:line="440" w:lineRule="exact"/>
        <w:ind w:firstLine="480" w:firstLineChars="200"/>
        <w:jc w:val="left"/>
        <w:rPr>
          <w:rFonts w:hint="eastAsia" w:ascii="宋体" w:hAnsi="宋体" w:cs="宋体"/>
          <w:color w:val="auto"/>
          <w:sz w:val="24"/>
          <w:shd w:val="clear" w:color="auto" w:fill="FFFFFF"/>
        </w:rPr>
      </w:pPr>
      <w:r>
        <w:rPr>
          <w:rFonts w:hint="eastAsia" w:ascii="宋体" w:hAnsi="宋体" w:cs="宋体"/>
          <w:color w:val="auto"/>
          <w:sz w:val="24"/>
          <w:shd w:val="clear" w:color="auto" w:fill="FFFFFF"/>
        </w:rPr>
        <w:t>3.</w:t>
      </w:r>
      <w:r>
        <w:rPr>
          <w:rFonts w:hint="eastAsia" w:ascii="宋体" w:hAnsi="宋体" w:cs="宋体"/>
          <w:color w:val="auto"/>
          <w:sz w:val="24"/>
          <w:shd w:val="clear" w:color="auto" w:fill="FFFFFF"/>
          <w:lang w:val="en-US" w:eastAsia="zh-CN"/>
        </w:rPr>
        <w:t>5</w:t>
      </w:r>
      <w:r>
        <w:rPr>
          <w:rFonts w:hint="eastAsia" w:ascii="宋体" w:hAnsi="宋体" w:cs="宋体"/>
          <w:color w:val="auto"/>
          <w:sz w:val="24"/>
          <w:shd w:val="clear" w:color="auto" w:fill="FFFFFF"/>
        </w:rPr>
        <w:t>资格审查方式：资格后审。</w:t>
      </w:r>
    </w:p>
    <w:p>
      <w:pPr>
        <w:widowControl/>
        <w:spacing w:line="440" w:lineRule="exact"/>
        <w:jc w:val="left"/>
        <w:rPr>
          <w:rFonts w:ascii="宋体" w:hAnsi="宋体" w:cs="宋体"/>
          <w:b/>
          <w:bCs/>
          <w:color w:val="auto"/>
          <w:kern w:val="0"/>
          <w:sz w:val="24"/>
        </w:rPr>
      </w:pPr>
      <w:r>
        <w:rPr>
          <w:rFonts w:hint="eastAsia" w:ascii="宋体" w:hAnsi="宋体" w:cs="宋体"/>
          <w:b/>
          <w:bCs/>
          <w:color w:val="auto"/>
          <w:kern w:val="0"/>
          <w:sz w:val="24"/>
        </w:rPr>
        <w:t>三、获取采购文件</w:t>
      </w:r>
    </w:p>
    <w:p>
      <w:pPr>
        <w:pStyle w:val="37"/>
        <w:shd w:val="clear" w:color="auto" w:fill="FFFFFF"/>
        <w:autoSpaceDE w:val="0"/>
        <w:spacing w:before="0" w:beforeAutospacing="0" w:after="0" w:afterAutospacing="0" w:line="440" w:lineRule="atLeast"/>
        <w:ind w:firstLine="482" w:firstLineChars="200"/>
        <w:rPr>
          <w:color w:val="auto"/>
        </w:rPr>
      </w:pPr>
      <w:r>
        <w:rPr>
          <w:rFonts w:hint="eastAsia"/>
          <w:b/>
          <w:bCs/>
          <w:color w:val="auto"/>
          <w:u w:val="none"/>
        </w:rPr>
        <w:t>1.时</w:t>
      </w:r>
      <w:r>
        <w:rPr>
          <w:rFonts w:hint="eastAsia"/>
          <w:b/>
          <w:bCs/>
          <w:color w:val="auto"/>
          <w:highlight w:val="none"/>
          <w:u w:val="none"/>
        </w:rPr>
        <w:t>间：</w:t>
      </w:r>
      <w:r>
        <w:rPr>
          <w:rFonts w:hint="eastAsia"/>
          <w:b/>
          <w:bCs/>
          <w:color w:val="auto"/>
          <w:highlight w:val="none"/>
          <w:u w:val="single"/>
        </w:rPr>
        <w:t>202</w:t>
      </w:r>
      <w:r>
        <w:rPr>
          <w:rFonts w:hint="eastAsia"/>
          <w:b/>
          <w:bCs/>
          <w:color w:val="auto"/>
          <w:highlight w:val="none"/>
          <w:u w:val="single"/>
          <w:lang w:val="en-US" w:eastAsia="zh-CN"/>
        </w:rPr>
        <w:t>2</w:t>
      </w:r>
      <w:r>
        <w:rPr>
          <w:rFonts w:hint="eastAsia"/>
          <w:b/>
          <w:bCs/>
          <w:color w:val="auto"/>
          <w:highlight w:val="none"/>
          <w:u w:val="single"/>
        </w:rPr>
        <w:t>年</w:t>
      </w:r>
      <w:r>
        <w:rPr>
          <w:rFonts w:hint="eastAsia"/>
          <w:b/>
          <w:bCs/>
          <w:color w:val="auto"/>
          <w:highlight w:val="none"/>
          <w:u w:val="single"/>
          <w:lang w:val="en-US" w:eastAsia="zh-CN"/>
        </w:rPr>
        <w:t>2</w:t>
      </w:r>
      <w:r>
        <w:rPr>
          <w:rFonts w:hint="eastAsia"/>
          <w:b/>
          <w:bCs/>
          <w:color w:val="auto"/>
          <w:highlight w:val="none"/>
          <w:u w:val="single"/>
        </w:rPr>
        <w:t>月</w:t>
      </w:r>
      <w:r>
        <w:rPr>
          <w:rFonts w:hint="eastAsia"/>
          <w:b/>
          <w:bCs/>
          <w:color w:val="auto"/>
          <w:highlight w:val="none"/>
          <w:u w:val="single"/>
          <w:lang w:val="en-US" w:eastAsia="zh-CN"/>
        </w:rPr>
        <w:t>21</w:t>
      </w:r>
      <w:r>
        <w:rPr>
          <w:rFonts w:hint="eastAsia"/>
          <w:b/>
          <w:bCs/>
          <w:color w:val="auto"/>
          <w:highlight w:val="none"/>
          <w:u w:val="single"/>
        </w:rPr>
        <w:t>日至202</w:t>
      </w:r>
      <w:r>
        <w:rPr>
          <w:rFonts w:hint="eastAsia"/>
          <w:b/>
          <w:bCs/>
          <w:color w:val="auto"/>
          <w:highlight w:val="none"/>
          <w:u w:val="single"/>
          <w:lang w:val="en-US" w:eastAsia="zh-CN"/>
        </w:rPr>
        <w:t>2</w:t>
      </w:r>
      <w:r>
        <w:rPr>
          <w:rFonts w:hint="eastAsia"/>
          <w:b/>
          <w:bCs/>
          <w:color w:val="auto"/>
          <w:highlight w:val="none"/>
          <w:u w:val="single"/>
        </w:rPr>
        <w:t>年</w:t>
      </w:r>
      <w:r>
        <w:rPr>
          <w:rFonts w:hint="eastAsia"/>
          <w:b/>
          <w:bCs/>
          <w:color w:val="auto"/>
          <w:highlight w:val="none"/>
          <w:u w:val="single"/>
          <w:lang w:val="en-US" w:eastAsia="zh-CN"/>
        </w:rPr>
        <w:t>2</w:t>
      </w:r>
      <w:r>
        <w:rPr>
          <w:rFonts w:hint="eastAsia"/>
          <w:b/>
          <w:bCs/>
          <w:color w:val="auto"/>
          <w:highlight w:val="none"/>
          <w:u w:val="single"/>
        </w:rPr>
        <w:t>月</w:t>
      </w:r>
      <w:r>
        <w:rPr>
          <w:rFonts w:hint="eastAsia"/>
          <w:b/>
          <w:bCs/>
          <w:color w:val="auto"/>
          <w:highlight w:val="none"/>
          <w:u w:val="single"/>
          <w:lang w:val="en-US" w:eastAsia="zh-CN"/>
        </w:rPr>
        <w:t>25</w:t>
      </w:r>
      <w:r>
        <w:rPr>
          <w:rFonts w:hint="eastAsia"/>
          <w:b/>
          <w:bCs/>
          <w:color w:val="auto"/>
          <w:highlight w:val="none"/>
          <w:u w:val="single"/>
        </w:rPr>
        <w:t>日</w:t>
      </w:r>
      <w:r>
        <w:rPr>
          <w:rFonts w:hint="eastAsia"/>
          <w:b/>
          <w:bCs/>
          <w:color w:val="auto"/>
          <w:highlight w:val="none"/>
          <w:u w:val="none"/>
        </w:rPr>
        <w:t>（北京时间）；</w:t>
      </w:r>
      <w:r>
        <w:rPr>
          <w:rFonts w:hint="eastAsia"/>
          <w:color w:val="auto"/>
        </w:rPr>
        <w:br w:type="textWrapping"/>
      </w:r>
      <w:r>
        <w:rPr>
          <w:rFonts w:hint="eastAsia"/>
          <w:color w:val="auto"/>
        </w:rPr>
        <w:t>  2.地点：</w:t>
      </w:r>
      <w:r>
        <w:rPr>
          <w:rFonts w:hint="eastAsia"/>
          <w:color w:val="auto"/>
          <w:shd w:val="clear" w:color="auto" w:fill="FFFFFF"/>
        </w:rPr>
        <w:t>凡有意参加投标者，请登</w:t>
      </w:r>
      <w:r>
        <w:rPr>
          <w:rFonts w:hint="eastAsia"/>
          <w:color w:val="auto"/>
          <w:shd w:val="clear" w:color="auto" w:fill="FFFFFF"/>
          <w:lang w:eastAsia="zh-CN"/>
        </w:rPr>
        <w:t>录</w:t>
      </w:r>
      <w:r>
        <w:rPr>
          <w:rFonts w:hint="eastAsia"/>
          <w:color w:val="auto"/>
          <w:shd w:val="clear" w:color="auto" w:fill="FFFFFF"/>
        </w:rPr>
        <w:t>焦作市公共资源交易中心网站会员系统进行网上下载。</w:t>
      </w:r>
    </w:p>
    <w:p>
      <w:pPr>
        <w:pStyle w:val="37"/>
        <w:shd w:val="clear" w:color="auto" w:fill="FFFFFF"/>
        <w:autoSpaceDE w:val="0"/>
        <w:spacing w:before="0" w:beforeAutospacing="0" w:after="0" w:afterAutospacing="0" w:line="440" w:lineRule="atLeast"/>
        <w:rPr>
          <w:color w:val="auto"/>
        </w:rPr>
      </w:pPr>
      <w:r>
        <w:rPr>
          <w:rFonts w:hint="eastAsia"/>
          <w:color w:val="auto"/>
        </w:rPr>
        <w:t>  3.方式：本项目采用电子开评标（不见面开标），凡有意参加投标者，请登</w:t>
      </w:r>
      <w:r>
        <w:rPr>
          <w:rFonts w:hint="eastAsia"/>
          <w:color w:val="auto"/>
          <w:lang w:eastAsia="zh-CN"/>
        </w:rPr>
        <w:t>录</w:t>
      </w:r>
      <w:r>
        <w:rPr>
          <w:rFonts w:hint="eastAsia"/>
          <w:color w:val="auto"/>
        </w:rPr>
        <w:t>焦作市公共资源交易中心网站“交易主体登录”栏目下载招标文件；</w:t>
      </w:r>
    </w:p>
    <w:p>
      <w:pPr>
        <w:adjustRightInd w:val="0"/>
        <w:snapToGrid w:val="0"/>
        <w:spacing w:line="440" w:lineRule="exact"/>
        <w:rPr>
          <w:rFonts w:ascii="宋体" w:hAnsi="宋体" w:cs="宋体"/>
          <w:b/>
          <w:color w:val="auto"/>
          <w:kern w:val="0"/>
          <w:sz w:val="24"/>
        </w:rPr>
      </w:pPr>
      <w:r>
        <w:rPr>
          <w:rFonts w:hint="eastAsia" w:ascii="宋体" w:hAnsi="宋体" w:cs="宋体"/>
          <w:b/>
          <w:color w:val="auto"/>
          <w:kern w:val="0"/>
          <w:sz w:val="24"/>
        </w:rPr>
        <w:t>四、响应文件提交</w:t>
      </w:r>
    </w:p>
    <w:p>
      <w:pPr>
        <w:adjustRightInd w:val="0"/>
        <w:snapToGrid w:val="0"/>
        <w:spacing w:line="440" w:lineRule="exact"/>
        <w:ind w:firstLine="482" w:firstLineChars="200"/>
        <w:rPr>
          <w:rFonts w:ascii="宋体" w:hAnsi="宋体" w:cs="宋体"/>
          <w:b/>
          <w:bCs/>
          <w:color w:val="auto"/>
          <w:kern w:val="0"/>
          <w:sz w:val="24"/>
        </w:rPr>
      </w:pPr>
      <w:r>
        <w:rPr>
          <w:rFonts w:hint="eastAsia" w:ascii="宋体" w:hAnsi="宋体" w:cs="宋体"/>
          <w:b/>
          <w:bCs/>
          <w:color w:val="auto"/>
          <w:kern w:val="0"/>
          <w:sz w:val="24"/>
        </w:rPr>
        <w:t>1、截止时间：</w:t>
      </w:r>
      <w:r>
        <w:rPr>
          <w:rFonts w:hint="eastAsia" w:ascii="宋体" w:hAnsi="宋体" w:cs="宋体"/>
          <w:b/>
          <w:bCs/>
          <w:color w:val="auto"/>
          <w:sz w:val="24"/>
          <w:u w:val="single"/>
        </w:rPr>
        <w:t>202</w:t>
      </w:r>
      <w:r>
        <w:rPr>
          <w:rFonts w:hint="eastAsia" w:ascii="宋体" w:hAnsi="宋体" w:cs="宋体"/>
          <w:b/>
          <w:bCs/>
          <w:color w:val="auto"/>
          <w:sz w:val="24"/>
          <w:u w:val="single"/>
          <w:lang w:val="en-US" w:eastAsia="zh-CN"/>
        </w:rPr>
        <w:t>2</w:t>
      </w:r>
      <w:r>
        <w:rPr>
          <w:rFonts w:hint="eastAsia" w:ascii="宋体" w:hAnsi="宋体" w:cs="宋体"/>
          <w:b/>
          <w:bCs/>
          <w:color w:val="auto"/>
          <w:sz w:val="24"/>
          <w:u w:val="single"/>
        </w:rPr>
        <w:t>年</w:t>
      </w:r>
      <w:r>
        <w:rPr>
          <w:rFonts w:hint="eastAsia" w:ascii="宋体" w:hAnsi="宋体" w:cs="宋体"/>
          <w:b/>
          <w:bCs/>
          <w:color w:val="auto"/>
          <w:sz w:val="24"/>
          <w:u w:val="single"/>
          <w:lang w:val="en-US" w:eastAsia="zh-CN"/>
        </w:rPr>
        <w:t>3</w:t>
      </w:r>
      <w:r>
        <w:rPr>
          <w:rFonts w:hint="eastAsia" w:ascii="宋体" w:hAnsi="宋体" w:cs="宋体"/>
          <w:b/>
          <w:bCs/>
          <w:color w:val="auto"/>
          <w:sz w:val="24"/>
          <w:u w:val="single"/>
        </w:rPr>
        <w:t>月</w:t>
      </w:r>
      <w:r>
        <w:rPr>
          <w:rFonts w:hint="eastAsia" w:ascii="宋体" w:hAnsi="宋体" w:cs="宋体"/>
          <w:b/>
          <w:bCs/>
          <w:color w:val="auto"/>
          <w:sz w:val="24"/>
          <w:u w:val="single"/>
          <w:lang w:val="en-US" w:eastAsia="zh-CN"/>
        </w:rPr>
        <w:t>15</w:t>
      </w:r>
      <w:r>
        <w:rPr>
          <w:rFonts w:hint="eastAsia" w:ascii="宋体" w:hAnsi="宋体" w:cs="宋体"/>
          <w:b/>
          <w:bCs/>
          <w:color w:val="auto"/>
          <w:sz w:val="24"/>
          <w:u w:val="single"/>
        </w:rPr>
        <w:t>日上午</w:t>
      </w:r>
      <w:r>
        <w:rPr>
          <w:rFonts w:hint="eastAsia" w:ascii="宋体" w:hAnsi="宋体" w:cs="宋体"/>
          <w:b/>
          <w:bCs/>
          <w:color w:val="auto"/>
          <w:sz w:val="24"/>
          <w:u w:val="single"/>
          <w:lang w:val="en-US" w:eastAsia="zh-CN"/>
        </w:rPr>
        <w:t>9</w:t>
      </w:r>
      <w:r>
        <w:rPr>
          <w:rFonts w:hint="eastAsia" w:ascii="宋体" w:hAnsi="宋体" w:cs="宋体"/>
          <w:b/>
          <w:bCs/>
          <w:color w:val="auto"/>
          <w:sz w:val="24"/>
          <w:u w:val="single"/>
        </w:rPr>
        <w:t>点</w:t>
      </w:r>
      <w:r>
        <w:rPr>
          <w:rFonts w:hint="eastAsia" w:ascii="宋体" w:hAnsi="宋体" w:cs="宋体"/>
          <w:b/>
          <w:bCs/>
          <w:color w:val="auto"/>
          <w:sz w:val="24"/>
          <w:u w:val="single"/>
          <w:lang w:val="en-US" w:eastAsia="zh-CN"/>
        </w:rPr>
        <w:t>00</w:t>
      </w:r>
      <w:r>
        <w:rPr>
          <w:rFonts w:hint="eastAsia" w:ascii="宋体" w:hAnsi="宋体" w:cs="宋体"/>
          <w:b/>
          <w:bCs/>
          <w:color w:val="auto"/>
          <w:sz w:val="24"/>
          <w:u w:val="single"/>
        </w:rPr>
        <w:t>分</w:t>
      </w:r>
      <w:r>
        <w:rPr>
          <w:rFonts w:hint="eastAsia" w:ascii="宋体" w:hAnsi="宋体" w:cs="宋体"/>
          <w:b/>
          <w:bCs/>
          <w:color w:val="auto"/>
          <w:kern w:val="0"/>
          <w:sz w:val="24"/>
        </w:rPr>
        <w:t>（北京时间）；</w:t>
      </w:r>
    </w:p>
    <w:p>
      <w:pPr>
        <w:adjustRightInd w:val="0"/>
        <w:snapToGrid w:val="0"/>
        <w:spacing w:line="440" w:lineRule="exact"/>
        <w:ind w:firstLine="480" w:firstLineChars="200"/>
        <w:rPr>
          <w:rFonts w:hint="eastAsia" w:ascii="宋体" w:hAnsi="宋体" w:eastAsia="宋体" w:cs="宋体"/>
          <w:color w:val="auto"/>
          <w:kern w:val="0"/>
          <w:sz w:val="24"/>
          <w:lang w:val="en-US" w:eastAsia="zh-CN"/>
        </w:rPr>
      </w:pPr>
      <w:r>
        <w:rPr>
          <w:rFonts w:hint="eastAsia" w:ascii="宋体" w:hAnsi="宋体" w:cs="宋体"/>
          <w:color w:val="auto"/>
          <w:kern w:val="0"/>
          <w:sz w:val="24"/>
        </w:rPr>
        <w:t>2、地点：博爱县公共资源交易中心二楼不见面开标一</w:t>
      </w:r>
      <w:r>
        <w:rPr>
          <w:rFonts w:hint="eastAsia" w:ascii="宋体" w:hAnsi="宋体" w:cs="宋体"/>
          <w:color w:val="auto"/>
          <w:kern w:val="0"/>
          <w:sz w:val="24"/>
          <w:lang w:val="en-US" w:eastAsia="zh-CN"/>
        </w:rPr>
        <w:t>室；</w:t>
      </w:r>
    </w:p>
    <w:p>
      <w:pPr>
        <w:adjustRightInd w:val="0"/>
        <w:snapToGrid w:val="0"/>
        <w:spacing w:line="440" w:lineRule="exact"/>
        <w:rPr>
          <w:rFonts w:ascii="宋体" w:hAnsi="宋体" w:cs="宋体"/>
          <w:b/>
          <w:color w:val="auto"/>
          <w:kern w:val="0"/>
          <w:sz w:val="24"/>
        </w:rPr>
      </w:pPr>
      <w:r>
        <w:rPr>
          <w:rFonts w:hint="eastAsia" w:ascii="宋体" w:hAnsi="宋体" w:cs="宋体"/>
          <w:b/>
          <w:color w:val="auto"/>
          <w:kern w:val="0"/>
          <w:sz w:val="24"/>
        </w:rPr>
        <w:t>五、开启</w:t>
      </w:r>
    </w:p>
    <w:p>
      <w:pPr>
        <w:adjustRightInd w:val="0"/>
        <w:snapToGrid w:val="0"/>
        <w:spacing w:line="440" w:lineRule="exact"/>
        <w:ind w:firstLine="482" w:firstLineChars="200"/>
        <w:rPr>
          <w:rFonts w:ascii="宋体" w:hAnsi="宋体" w:cs="宋体"/>
          <w:b/>
          <w:bCs/>
          <w:color w:val="auto"/>
          <w:kern w:val="0"/>
          <w:sz w:val="24"/>
        </w:rPr>
      </w:pPr>
      <w:r>
        <w:rPr>
          <w:rFonts w:hint="eastAsia" w:ascii="宋体" w:hAnsi="宋体" w:cs="宋体"/>
          <w:b/>
          <w:bCs/>
          <w:color w:val="auto"/>
          <w:kern w:val="0"/>
          <w:sz w:val="24"/>
        </w:rPr>
        <w:t>1、时间：</w:t>
      </w:r>
      <w:r>
        <w:rPr>
          <w:rFonts w:hint="eastAsia" w:ascii="宋体" w:hAnsi="宋体" w:cs="宋体"/>
          <w:b/>
          <w:bCs/>
          <w:color w:val="auto"/>
          <w:sz w:val="24"/>
          <w:u w:val="single"/>
        </w:rPr>
        <w:t>202</w:t>
      </w:r>
      <w:r>
        <w:rPr>
          <w:rFonts w:hint="eastAsia" w:ascii="宋体" w:hAnsi="宋体" w:cs="宋体"/>
          <w:b/>
          <w:bCs/>
          <w:color w:val="auto"/>
          <w:sz w:val="24"/>
          <w:u w:val="single"/>
          <w:lang w:val="en-US" w:eastAsia="zh-CN"/>
        </w:rPr>
        <w:t>2</w:t>
      </w:r>
      <w:r>
        <w:rPr>
          <w:rFonts w:hint="eastAsia" w:ascii="宋体" w:hAnsi="宋体" w:cs="宋体"/>
          <w:b/>
          <w:bCs/>
          <w:color w:val="auto"/>
          <w:sz w:val="24"/>
          <w:u w:val="single"/>
        </w:rPr>
        <w:t>年</w:t>
      </w:r>
      <w:r>
        <w:rPr>
          <w:rFonts w:hint="eastAsia" w:ascii="宋体" w:hAnsi="宋体" w:cs="宋体"/>
          <w:b/>
          <w:bCs/>
          <w:color w:val="auto"/>
          <w:sz w:val="24"/>
          <w:u w:val="single"/>
          <w:lang w:val="en-US" w:eastAsia="zh-CN"/>
        </w:rPr>
        <w:t>3</w:t>
      </w:r>
      <w:r>
        <w:rPr>
          <w:rFonts w:hint="eastAsia" w:ascii="宋体" w:hAnsi="宋体" w:cs="宋体"/>
          <w:b/>
          <w:bCs/>
          <w:color w:val="auto"/>
          <w:sz w:val="24"/>
          <w:u w:val="single"/>
        </w:rPr>
        <w:t>月</w:t>
      </w:r>
      <w:r>
        <w:rPr>
          <w:rFonts w:hint="eastAsia" w:ascii="宋体" w:hAnsi="宋体" w:cs="宋体"/>
          <w:b/>
          <w:bCs/>
          <w:color w:val="auto"/>
          <w:sz w:val="24"/>
          <w:u w:val="single"/>
          <w:lang w:val="en-US" w:eastAsia="zh-CN"/>
        </w:rPr>
        <w:t>15</w:t>
      </w:r>
      <w:r>
        <w:rPr>
          <w:rFonts w:hint="eastAsia" w:ascii="宋体" w:hAnsi="宋体" w:cs="宋体"/>
          <w:b/>
          <w:bCs/>
          <w:color w:val="auto"/>
          <w:sz w:val="24"/>
          <w:u w:val="single"/>
        </w:rPr>
        <w:t>日上午</w:t>
      </w:r>
      <w:r>
        <w:rPr>
          <w:rFonts w:hint="eastAsia" w:ascii="宋体" w:hAnsi="宋体" w:cs="宋体"/>
          <w:b/>
          <w:bCs/>
          <w:color w:val="auto"/>
          <w:sz w:val="24"/>
          <w:u w:val="single"/>
          <w:lang w:val="en-US" w:eastAsia="zh-CN"/>
        </w:rPr>
        <w:t>9</w:t>
      </w:r>
      <w:r>
        <w:rPr>
          <w:rFonts w:hint="eastAsia" w:ascii="宋体" w:hAnsi="宋体" w:cs="宋体"/>
          <w:b/>
          <w:bCs/>
          <w:color w:val="auto"/>
          <w:sz w:val="24"/>
          <w:u w:val="single"/>
        </w:rPr>
        <w:t>点</w:t>
      </w:r>
      <w:r>
        <w:rPr>
          <w:rFonts w:hint="eastAsia" w:ascii="宋体" w:hAnsi="宋体" w:cs="宋体"/>
          <w:b/>
          <w:bCs/>
          <w:color w:val="auto"/>
          <w:sz w:val="24"/>
          <w:u w:val="single"/>
          <w:lang w:val="en-US" w:eastAsia="zh-CN"/>
        </w:rPr>
        <w:t>00</w:t>
      </w:r>
      <w:r>
        <w:rPr>
          <w:rFonts w:hint="eastAsia" w:ascii="宋体" w:hAnsi="宋体" w:cs="宋体"/>
          <w:b/>
          <w:bCs/>
          <w:color w:val="auto"/>
          <w:sz w:val="24"/>
          <w:u w:val="single"/>
        </w:rPr>
        <w:t>分</w:t>
      </w:r>
      <w:r>
        <w:rPr>
          <w:rFonts w:hint="eastAsia" w:ascii="宋体" w:hAnsi="宋体" w:cs="宋体"/>
          <w:b/>
          <w:bCs/>
          <w:color w:val="auto"/>
          <w:kern w:val="0"/>
          <w:sz w:val="24"/>
        </w:rPr>
        <w:t>（北京时间）；</w:t>
      </w:r>
    </w:p>
    <w:p>
      <w:pPr>
        <w:adjustRightInd w:val="0"/>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2、地点：博爱县公共资源交易中心二楼不见面开标一</w:t>
      </w:r>
      <w:r>
        <w:rPr>
          <w:rFonts w:hint="eastAsia" w:ascii="宋体" w:hAnsi="宋体" w:cs="宋体"/>
          <w:color w:val="auto"/>
          <w:kern w:val="0"/>
          <w:sz w:val="24"/>
          <w:lang w:val="en-US" w:eastAsia="zh-CN"/>
        </w:rPr>
        <w:t>室；</w:t>
      </w:r>
    </w:p>
    <w:p>
      <w:pPr>
        <w:adjustRightInd w:val="0"/>
        <w:snapToGrid w:val="0"/>
        <w:spacing w:line="440" w:lineRule="exact"/>
        <w:rPr>
          <w:rFonts w:ascii="宋体" w:hAnsi="宋体" w:cs="宋体"/>
          <w:b/>
          <w:bCs/>
          <w:color w:val="auto"/>
          <w:sz w:val="24"/>
        </w:rPr>
      </w:pPr>
      <w:r>
        <w:rPr>
          <w:rFonts w:hint="eastAsia" w:ascii="宋体" w:hAnsi="宋体" w:cs="宋体"/>
          <w:b/>
          <w:bCs/>
          <w:color w:val="auto"/>
          <w:sz w:val="24"/>
        </w:rPr>
        <w:t>六、公告期限</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sz w:val="24"/>
        </w:rPr>
        <w:t>自本公告发布之</w:t>
      </w:r>
      <w:r>
        <w:rPr>
          <w:rFonts w:hint="eastAsia" w:ascii="宋体" w:hAnsi="宋体" w:cs="宋体"/>
          <w:color w:val="auto"/>
          <w:kern w:val="0"/>
          <w:sz w:val="24"/>
        </w:rPr>
        <w:t>日起5个工作日。</w:t>
      </w:r>
    </w:p>
    <w:p>
      <w:pPr>
        <w:pStyle w:val="37"/>
        <w:numPr>
          <w:ilvl w:val="0"/>
          <w:numId w:val="3"/>
        </w:numPr>
        <w:shd w:val="clear" w:color="auto" w:fill="FFFFFF"/>
        <w:autoSpaceDE w:val="0"/>
        <w:spacing w:before="0" w:beforeAutospacing="0" w:after="0" w:afterAutospacing="0" w:line="440" w:lineRule="exact"/>
        <w:rPr>
          <w:rFonts w:hint="eastAsia"/>
          <w:b/>
          <w:color w:val="auto"/>
          <w:shd w:val="clear" w:color="auto" w:fill="FFFFFF"/>
        </w:rPr>
      </w:pPr>
      <w:r>
        <w:rPr>
          <w:rFonts w:hint="eastAsia"/>
          <w:b/>
          <w:color w:val="auto"/>
          <w:shd w:val="clear" w:color="auto" w:fill="FFFFFF"/>
        </w:rPr>
        <w:t>其他补充事宜</w:t>
      </w:r>
    </w:p>
    <w:p>
      <w:pPr>
        <w:pStyle w:val="37"/>
        <w:shd w:val="clear" w:color="auto" w:fill="FFFFFF"/>
        <w:autoSpaceDE w:val="0"/>
        <w:spacing w:before="0" w:beforeAutospacing="0" w:after="0" w:afterAutospacing="0" w:line="440" w:lineRule="exact"/>
        <w:ind w:firstLine="480" w:firstLineChars="200"/>
        <w:rPr>
          <w:rFonts w:hint="eastAsia" w:eastAsia="宋体"/>
          <w:color w:val="auto"/>
          <w:shd w:val="clear" w:color="auto" w:fill="FFFFFF"/>
          <w:lang w:eastAsia="zh-CN"/>
        </w:rPr>
      </w:pPr>
      <w:r>
        <w:rPr>
          <w:rFonts w:hint="eastAsia"/>
          <w:color w:val="auto"/>
          <w:highlight w:val="none"/>
          <w:shd w:val="clear" w:color="auto" w:fill="FFFFFF"/>
          <w:lang w:val="en-US" w:eastAsia="zh-CN"/>
        </w:rPr>
        <w:t>7.1、</w:t>
      </w:r>
      <w:r>
        <w:rPr>
          <w:rFonts w:hint="eastAsia"/>
          <w:color w:val="auto"/>
          <w:highlight w:val="none"/>
          <w:shd w:val="clear" w:color="auto" w:fill="FFFFFF"/>
        </w:rPr>
        <w:t>本</w:t>
      </w:r>
      <w:r>
        <w:rPr>
          <w:rFonts w:hint="eastAsia"/>
          <w:color w:val="auto"/>
          <w:shd w:val="clear" w:color="auto" w:fill="FFFFFF"/>
        </w:rPr>
        <w:t>公告在河南省政府采购网、焦作市政府采购网、焦作市公共资源交易中心网、博爱县人民政府网、博爱县公共资源交易中心网上发布</w:t>
      </w:r>
      <w:r>
        <w:rPr>
          <w:rFonts w:hint="eastAsia"/>
          <w:color w:val="auto"/>
          <w:shd w:val="clear" w:color="auto" w:fill="FFFFFF"/>
          <w:lang w:eastAsia="zh-CN"/>
        </w:rPr>
        <w:t>。</w:t>
      </w:r>
    </w:p>
    <w:p>
      <w:pPr>
        <w:pStyle w:val="37"/>
        <w:spacing w:beforeAutospacing="0" w:afterAutospacing="0" w:line="440" w:lineRule="exact"/>
        <w:ind w:firstLine="468" w:firstLineChars="195"/>
        <w:jc w:val="both"/>
        <w:rPr>
          <w:color w:val="auto"/>
        </w:rPr>
      </w:pPr>
      <w:r>
        <w:rPr>
          <w:rFonts w:hint="eastAsia"/>
          <w:color w:val="auto"/>
          <w:lang w:val="en-US" w:eastAsia="zh-CN"/>
        </w:rPr>
        <w:t>7.2、</w:t>
      </w:r>
      <w:r>
        <w:rPr>
          <w:rFonts w:hint="eastAsia"/>
          <w:color w:val="auto"/>
        </w:rPr>
        <w:t>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pStyle w:val="37"/>
        <w:spacing w:beforeAutospacing="0" w:afterAutospacing="0" w:line="440" w:lineRule="exact"/>
        <w:ind w:firstLine="468" w:firstLineChars="195"/>
        <w:jc w:val="both"/>
        <w:rPr>
          <w:color w:val="auto"/>
        </w:rPr>
      </w:pPr>
      <w:r>
        <w:rPr>
          <w:rFonts w:hint="eastAsia"/>
          <w:color w:val="auto"/>
        </w:rPr>
        <w:t>（http://122.112.246.33/BidOpening/bidopeninghallaction/hall/login ）进行签到，按要求解密投标文件。因文件未及时上传导致投标失败的责任由投标人自行承担，具体要求详见招标文件。 平台统一技术服务电话：400-998-0000，服务 QQ：4008503300，服务时间：周一至周日 8：00-17：30。</w:t>
      </w:r>
    </w:p>
    <w:p>
      <w:pPr>
        <w:pStyle w:val="37"/>
        <w:spacing w:beforeAutospacing="0" w:afterAutospacing="0" w:line="440" w:lineRule="exact"/>
        <w:ind w:firstLine="468" w:firstLineChars="195"/>
        <w:jc w:val="both"/>
        <w:rPr>
          <w:color w:val="auto"/>
        </w:rPr>
      </w:pPr>
      <w:r>
        <w:rPr>
          <w:rFonts w:hint="eastAsia"/>
          <w:color w:val="auto"/>
          <w:highlight w:val="none"/>
          <w:lang w:val="en-US" w:eastAsia="zh-CN"/>
        </w:rPr>
        <w:t>7.3、</w:t>
      </w:r>
      <w:r>
        <w:rPr>
          <w:rFonts w:hint="eastAsia"/>
          <w:color w:val="auto"/>
          <w:highlight w:val="none"/>
        </w:rPr>
        <w:t>投标</w:t>
      </w:r>
      <w:r>
        <w:rPr>
          <w:rFonts w:hint="eastAsia"/>
          <w:color w:val="auto"/>
        </w:rPr>
        <w:t>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adjustRightInd w:val="0"/>
        <w:snapToGrid w:val="0"/>
        <w:spacing w:line="440" w:lineRule="exact"/>
        <w:rPr>
          <w:rFonts w:ascii="宋体" w:hAnsi="宋体" w:cs="宋体"/>
          <w:b/>
          <w:color w:val="auto"/>
          <w:kern w:val="0"/>
          <w:sz w:val="24"/>
        </w:rPr>
      </w:pPr>
      <w:r>
        <w:rPr>
          <w:rFonts w:hint="eastAsia" w:ascii="宋体" w:hAnsi="宋体" w:cs="宋体"/>
          <w:b/>
          <w:color w:val="auto"/>
          <w:kern w:val="0"/>
          <w:sz w:val="24"/>
        </w:rPr>
        <w:t>八、</w:t>
      </w:r>
      <w:r>
        <w:rPr>
          <w:rFonts w:hint="eastAsia" w:ascii="宋体" w:hAnsi="宋体" w:cs="宋体"/>
          <w:b/>
          <w:color w:val="auto"/>
          <w:sz w:val="24"/>
          <w:shd w:val="clear" w:color="auto" w:fill="FFFFFF"/>
        </w:rPr>
        <w:t>凡对本次采购提出询问，请按以下方式联系</w:t>
      </w:r>
    </w:p>
    <w:p>
      <w:pPr>
        <w:widowControl/>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1、采购人信息：</w:t>
      </w:r>
    </w:p>
    <w:p>
      <w:pPr>
        <w:widowControl/>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采购人：</w:t>
      </w:r>
      <w:r>
        <w:rPr>
          <w:rFonts w:hint="eastAsia" w:ascii="宋体" w:hAnsi="宋体" w:cs="宋体"/>
          <w:color w:val="auto"/>
          <w:kern w:val="0"/>
          <w:sz w:val="24"/>
          <w:lang w:eastAsia="zh-CN"/>
        </w:rPr>
        <w:t>博爱县城市管理局</w:t>
      </w:r>
      <w:r>
        <w:rPr>
          <w:rFonts w:hint="eastAsia" w:ascii="宋体" w:hAnsi="宋体" w:cs="宋体"/>
          <w:color w:val="auto"/>
          <w:kern w:val="0"/>
          <w:sz w:val="24"/>
        </w:rPr>
        <w:t xml:space="preserve">   </w:t>
      </w:r>
    </w:p>
    <w:p>
      <w:pPr>
        <w:adjustRightInd w:val="0"/>
        <w:snapToGrid w:val="0"/>
        <w:spacing w:line="440" w:lineRule="exact"/>
        <w:ind w:firstLine="480" w:firstLineChars="200"/>
        <w:rPr>
          <w:rFonts w:hint="eastAsia" w:ascii="宋体" w:hAnsi="宋体" w:eastAsia="宋体" w:cs="宋体"/>
          <w:color w:val="auto"/>
          <w:kern w:val="0"/>
          <w:sz w:val="24"/>
          <w:lang w:val="en-US" w:eastAsia="zh-CN"/>
        </w:rPr>
      </w:pPr>
      <w:r>
        <w:rPr>
          <w:rFonts w:hint="eastAsia" w:ascii="宋体" w:hAnsi="宋体" w:cs="宋体"/>
          <w:color w:val="auto"/>
          <w:kern w:val="0"/>
          <w:sz w:val="24"/>
        </w:rPr>
        <w:t>地址：</w:t>
      </w:r>
      <w:r>
        <w:rPr>
          <w:rFonts w:hint="eastAsia" w:ascii="宋体" w:hAnsi="宋体" w:cs="宋体"/>
          <w:color w:val="auto"/>
          <w:kern w:val="0"/>
          <w:sz w:val="24"/>
          <w:lang w:eastAsia="zh-CN"/>
        </w:rPr>
        <w:t>博爱县团结路中段</w:t>
      </w:r>
    </w:p>
    <w:p>
      <w:pPr>
        <w:adjustRightInd w:val="0"/>
        <w:snapToGrid w:val="0"/>
        <w:spacing w:line="440" w:lineRule="exact"/>
        <w:ind w:firstLine="480" w:firstLineChars="200"/>
        <w:rPr>
          <w:rFonts w:hint="default" w:ascii="宋体" w:hAnsi="宋体" w:eastAsia="宋体" w:cs="宋体"/>
          <w:color w:val="auto"/>
          <w:sz w:val="24"/>
          <w:lang w:val="en-US" w:eastAsia="zh-CN"/>
        </w:rPr>
      </w:pPr>
      <w:r>
        <w:rPr>
          <w:rFonts w:hint="eastAsia" w:ascii="宋体" w:hAnsi="宋体" w:cs="宋体"/>
          <w:color w:val="auto"/>
          <w:kern w:val="0"/>
          <w:sz w:val="24"/>
        </w:rPr>
        <w:t>电话：</w:t>
      </w:r>
      <w:r>
        <w:rPr>
          <w:rFonts w:hint="eastAsia" w:ascii="宋体" w:hAnsi="宋体" w:cs="宋体"/>
          <w:color w:val="auto"/>
          <w:sz w:val="24"/>
          <w:shd w:val="clear" w:color="auto" w:fill="FFFFFF"/>
          <w:lang w:val="en-US" w:eastAsia="zh-CN"/>
        </w:rPr>
        <w:t>13462455300</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2、采购代理机构信息：</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 xml:space="preserve">名称：博爱县城市建设项目管理有限公司 </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shd w:val="clear" w:color="auto" w:fill="FFFFFF"/>
        </w:rPr>
        <w:t>博爱县中山路东段</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电话：0391-8690958</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3、项目联系方式</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项目联系人：</w:t>
      </w:r>
      <w:r>
        <w:rPr>
          <w:rFonts w:hint="eastAsia" w:ascii="宋体" w:hAnsi="宋体" w:cs="宋体"/>
          <w:color w:val="auto"/>
          <w:sz w:val="24"/>
          <w:lang w:val="en-US" w:eastAsia="zh-CN"/>
        </w:rPr>
        <w:t>赵先生</w:t>
      </w:r>
    </w:p>
    <w:p>
      <w:pPr>
        <w:adjustRightInd w:val="0"/>
        <w:snapToGrid w:val="0"/>
        <w:spacing w:line="440" w:lineRule="exact"/>
        <w:ind w:firstLine="480" w:firstLineChars="200"/>
        <w:rPr>
          <w:rFonts w:hint="default" w:ascii="宋体" w:hAnsi="宋体" w:eastAsia="宋体" w:cs="宋体"/>
          <w:color w:val="auto"/>
          <w:kern w:val="0"/>
          <w:sz w:val="24"/>
          <w:lang w:val="en-US" w:eastAsia="zh-CN"/>
        </w:rPr>
      </w:pPr>
      <w:r>
        <w:rPr>
          <w:rFonts w:hint="eastAsia" w:ascii="宋体" w:hAnsi="宋体" w:cs="宋体"/>
          <w:color w:val="auto"/>
          <w:sz w:val="24"/>
        </w:rPr>
        <w:t>电话：</w:t>
      </w:r>
      <w:r>
        <w:rPr>
          <w:rFonts w:hint="eastAsia" w:ascii="宋体" w:hAnsi="宋体" w:cs="宋体"/>
          <w:color w:val="auto"/>
          <w:sz w:val="24"/>
          <w:shd w:val="clear" w:color="auto" w:fill="FFFFFF"/>
          <w:lang w:val="en-US" w:eastAsia="zh-CN"/>
        </w:rPr>
        <w:t>13462455300</w:t>
      </w:r>
    </w:p>
    <w:p>
      <w:pPr>
        <w:pStyle w:val="14"/>
        <w:rPr>
          <w:color w:val="auto"/>
        </w:rPr>
      </w:pPr>
    </w:p>
    <w:p>
      <w:pPr>
        <w:widowControl/>
        <w:spacing w:line="440" w:lineRule="exact"/>
        <w:ind w:left="2940" w:firstLine="420"/>
        <w:rPr>
          <w:rFonts w:hint="eastAsia" w:ascii="宋体" w:hAnsi="宋体" w:cs="宋体"/>
          <w:color w:val="auto"/>
          <w:sz w:val="24"/>
        </w:rPr>
      </w:pPr>
    </w:p>
    <w:p>
      <w:pPr>
        <w:widowControl/>
        <w:spacing w:line="440" w:lineRule="exact"/>
        <w:ind w:left="2940" w:firstLine="420"/>
        <w:rPr>
          <w:rFonts w:ascii="宋体" w:hAnsi="宋体" w:cs="宋体"/>
          <w:color w:val="auto"/>
          <w:sz w:val="24"/>
          <w:shd w:val="clear" w:color="auto" w:fill="FFFFFF"/>
        </w:rPr>
      </w:pPr>
      <w:r>
        <w:rPr>
          <w:rFonts w:hint="eastAsia" w:ascii="宋体" w:hAnsi="宋体" w:cs="宋体"/>
          <w:color w:val="auto"/>
          <w:sz w:val="24"/>
        </w:rPr>
        <w:t>采购人：</w:t>
      </w:r>
      <w:r>
        <w:rPr>
          <w:rFonts w:hint="eastAsia" w:ascii="宋体" w:hAnsi="宋体" w:cs="宋体"/>
          <w:color w:val="auto"/>
          <w:sz w:val="24"/>
          <w:shd w:val="clear" w:color="auto" w:fill="FFFFFF"/>
          <w:lang w:eastAsia="zh-CN"/>
        </w:rPr>
        <w:t>博爱县城市管理局</w:t>
      </w:r>
      <w:r>
        <w:rPr>
          <w:rFonts w:hint="eastAsia" w:ascii="宋体" w:hAnsi="宋体" w:cs="宋体"/>
          <w:color w:val="auto"/>
          <w:sz w:val="24"/>
          <w:shd w:val="clear" w:color="auto" w:fill="FFFFFF"/>
        </w:rPr>
        <w:t xml:space="preserve">  </w:t>
      </w:r>
    </w:p>
    <w:p>
      <w:pPr>
        <w:widowControl/>
        <w:spacing w:line="440" w:lineRule="exact"/>
        <w:ind w:firstLine="3360" w:firstLineChars="1400"/>
        <w:jc w:val="left"/>
        <w:rPr>
          <w:rFonts w:ascii="宋体" w:hAnsi="宋体" w:cs="宋体"/>
          <w:color w:val="auto"/>
          <w:sz w:val="24"/>
          <w:shd w:val="clear" w:color="auto" w:fill="FFFFFF"/>
        </w:rPr>
      </w:pPr>
      <w:r>
        <w:rPr>
          <w:rFonts w:hint="eastAsia" w:ascii="宋体" w:hAnsi="宋体" w:cs="宋体"/>
          <w:color w:val="auto"/>
          <w:sz w:val="24"/>
          <w:shd w:val="clear" w:color="auto" w:fill="FFFFFF"/>
        </w:rPr>
        <w:t>采购代理机构：博爱县城市建设项目管理有限公司</w:t>
      </w:r>
    </w:p>
    <w:p>
      <w:pPr>
        <w:widowControl/>
        <w:spacing w:line="440" w:lineRule="exact"/>
        <w:ind w:left="2940" w:firstLine="420"/>
        <w:rPr>
          <w:color w:val="auto"/>
          <w:highlight w:val="red"/>
        </w:rPr>
      </w:pPr>
      <w:r>
        <w:rPr>
          <w:rFonts w:hint="eastAsia" w:ascii="宋体" w:hAnsi="宋体" w:cs="宋体"/>
          <w:color w:val="auto"/>
          <w:sz w:val="24"/>
        </w:rPr>
        <w:t>发布时间：</w:t>
      </w:r>
      <w:r>
        <w:rPr>
          <w:rFonts w:hint="eastAsia" w:ascii="宋体" w:hAnsi="宋体" w:cs="宋体"/>
          <w:color w:val="auto"/>
          <w:sz w:val="24"/>
          <w:shd w:val="clear" w:color="auto" w:fill="FFFFFF"/>
        </w:rPr>
        <w:t>202</w:t>
      </w:r>
      <w:r>
        <w:rPr>
          <w:rFonts w:hint="eastAsia" w:ascii="宋体" w:hAnsi="宋体" w:cs="宋体"/>
          <w:color w:val="auto"/>
          <w:sz w:val="24"/>
          <w:shd w:val="clear" w:color="auto" w:fill="FFFFFF"/>
          <w:lang w:val="en-US" w:eastAsia="zh-CN"/>
        </w:rPr>
        <w:t>2</w:t>
      </w:r>
      <w:r>
        <w:rPr>
          <w:rFonts w:hint="eastAsia" w:ascii="宋体" w:hAnsi="宋体" w:cs="宋体"/>
          <w:color w:val="auto"/>
          <w:sz w:val="24"/>
          <w:shd w:val="clear" w:color="auto" w:fill="FFFFFF"/>
        </w:rPr>
        <w:t>年</w:t>
      </w:r>
      <w:r>
        <w:rPr>
          <w:rFonts w:hint="eastAsia" w:ascii="宋体" w:hAnsi="宋体" w:cs="宋体"/>
          <w:color w:val="auto"/>
          <w:sz w:val="24"/>
          <w:shd w:val="clear" w:color="auto" w:fill="FFFFFF"/>
          <w:lang w:val="en-US" w:eastAsia="zh-CN"/>
        </w:rPr>
        <w:t>2</w:t>
      </w:r>
      <w:r>
        <w:rPr>
          <w:rFonts w:hint="eastAsia" w:ascii="宋体" w:hAnsi="宋体" w:cs="宋体"/>
          <w:color w:val="auto"/>
          <w:sz w:val="24"/>
          <w:shd w:val="clear" w:color="auto" w:fill="FFFFFF"/>
        </w:rPr>
        <w:t>月</w:t>
      </w:r>
      <w:r>
        <w:rPr>
          <w:rFonts w:hint="eastAsia" w:ascii="宋体" w:hAnsi="宋体" w:cs="宋体"/>
          <w:color w:val="auto"/>
          <w:sz w:val="24"/>
          <w:shd w:val="clear" w:color="auto" w:fill="FFFFFF"/>
          <w:lang w:val="en-US" w:eastAsia="zh-CN"/>
        </w:rPr>
        <w:t>18</w:t>
      </w:r>
      <w:r>
        <w:rPr>
          <w:rFonts w:hint="eastAsia" w:ascii="宋体" w:hAnsi="宋体" w:cs="宋体"/>
          <w:color w:val="auto"/>
          <w:sz w:val="24"/>
          <w:shd w:val="clear" w:color="auto" w:fill="FFFFFF"/>
        </w:rPr>
        <w:t>日</w:t>
      </w:r>
    </w:p>
    <w:p>
      <w:pPr>
        <w:autoSpaceDE w:val="0"/>
        <w:autoSpaceDN w:val="0"/>
        <w:adjustRightInd w:val="0"/>
        <w:spacing w:line="360" w:lineRule="auto"/>
        <w:jc w:val="center"/>
        <w:outlineLvl w:val="0"/>
        <w:rPr>
          <w:rFonts w:hint="eastAsia" w:asciiTheme="minorEastAsia" w:hAnsiTheme="minorEastAsia" w:eastAsiaTheme="minorEastAsia" w:cstheme="minorEastAsia"/>
          <w:b/>
          <w:sz w:val="32"/>
          <w:szCs w:val="32"/>
        </w:rPr>
      </w:pPr>
    </w:p>
    <w:p>
      <w:pPr>
        <w:autoSpaceDE w:val="0"/>
        <w:autoSpaceDN w:val="0"/>
        <w:adjustRightInd w:val="0"/>
        <w:spacing w:line="360" w:lineRule="auto"/>
        <w:jc w:val="center"/>
        <w:outlineLvl w:val="0"/>
        <w:rPr>
          <w:rFonts w:hint="eastAsia" w:asciiTheme="minorEastAsia" w:hAnsiTheme="minorEastAsia" w:eastAsiaTheme="minorEastAsia" w:cstheme="minorEastAsia"/>
          <w:b/>
          <w:sz w:val="32"/>
          <w:szCs w:val="32"/>
        </w:rPr>
      </w:pPr>
    </w:p>
    <w:p>
      <w:pPr>
        <w:pStyle w:val="2"/>
        <w:rPr>
          <w:rFonts w:hint="eastAsia"/>
        </w:rPr>
      </w:pPr>
    </w:p>
    <w:p>
      <w:pPr>
        <w:autoSpaceDE w:val="0"/>
        <w:autoSpaceDN w:val="0"/>
        <w:adjustRightInd w:val="0"/>
        <w:spacing w:line="360" w:lineRule="auto"/>
        <w:jc w:val="center"/>
        <w:outlineLvl w:val="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第二章  供应商须知</w:t>
      </w:r>
      <w:bookmarkEnd w:id="2"/>
    </w:p>
    <w:bookmarkEnd w:id="0"/>
    <w:p>
      <w:pPr>
        <w:pStyle w:val="38"/>
        <w:spacing w:before="0" w:after="0" w:line="360" w:lineRule="auto"/>
        <w:ind w:right="-23" w:rightChars="-11"/>
        <w:rPr>
          <w:rFonts w:asciiTheme="minorEastAsia" w:hAnsiTheme="minorEastAsia" w:eastAsiaTheme="minorEastAsia" w:cstheme="minorEastAsia"/>
          <w:sz w:val="30"/>
          <w:szCs w:val="30"/>
        </w:rPr>
      </w:pPr>
      <w:bookmarkStart w:id="3" w:name="_Toc403122490"/>
      <w:bookmarkStart w:id="4" w:name="_Toc9161"/>
      <w:bookmarkStart w:id="5" w:name="_Toc32497"/>
      <w:bookmarkStart w:id="6" w:name="_Toc426369478"/>
      <w:r>
        <w:rPr>
          <w:rFonts w:hint="eastAsia" w:asciiTheme="minorEastAsia" w:hAnsiTheme="minorEastAsia" w:eastAsiaTheme="minorEastAsia" w:cstheme="minorEastAsia"/>
          <w:sz w:val="30"/>
          <w:szCs w:val="30"/>
        </w:rPr>
        <w:t>供应商须知前附表</w:t>
      </w:r>
      <w:bookmarkEnd w:id="3"/>
      <w:bookmarkEnd w:id="4"/>
      <w:bookmarkEnd w:id="5"/>
      <w:bookmarkEnd w:id="6"/>
    </w:p>
    <w:tbl>
      <w:tblPr>
        <w:tblStyle w:val="42"/>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条款号</w:t>
            </w:r>
          </w:p>
        </w:tc>
        <w:tc>
          <w:tcPr>
            <w:tcW w:w="2318" w:type="dxa"/>
            <w:vAlign w:val="center"/>
          </w:tcPr>
          <w:p>
            <w:pPr>
              <w:pStyle w:val="23"/>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条款名称</w:t>
            </w:r>
          </w:p>
        </w:tc>
        <w:tc>
          <w:tcPr>
            <w:tcW w:w="6041" w:type="dxa"/>
            <w:vAlign w:val="center"/>
          </w:tcPr>
          <w:p>
            <w:pPr>
              <w:pStyle w:val="23"/>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1.1.2</w:t>
            </w:r>
          </w:p>
        </w:tc>
        <w:tc>
          <w:tcPr>
            <w:tcW w:w="2318"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采购人</w:t>
            </w:r>
          </w:p>
        </w:tc>
        <w:tc>
          <w:tcPr>
            <w:tcW w:w="6041" w:type="dxa"/>
            <w:vAlign w:val="center"/>
          </w:tcPr>
          <w:p>
            <w:pPr>
              <w:pStyle w:val="23"/>
              <w:spacing w:line="360" w:lineRule="exact"/>
              <w:rPr>
                <w:rFonts w:hint="eastAsia" w:asciiTheme="minorEastAsia" w:hAnsiTheme="minorEastAsia" w:eastAsiaTheme="minorEastAsia" w:cstheme="minorEastAsia"/>
                <w:lang w:eastAsia="zh-CN"/>
              </w:rPr>
            </w:pPr>
            <w:r>
              <w:rPr>
                <w:rFonts w:asciiTheme="minorEastAsia" w:hAnsiTheme="minorEastAsia" w:eastAsiaTheme="minorEastAsia" w:cstheme="minorEastAsia"/>
              </w:rPr>
              <w:t>名称：</w:t>
            </w:r>
            <w:r>
              <w:rPr>
                <w:rFonts w:hint="eastAsia" w:asciiTheme="minorEastAsia" w:hAnsiTheme="minorEastAsia" w:eastAsiaTheme="minorEastAsia" w:cstheme="minorEastAsia"/>
                <w:lang w:eastAsia="zh-CN"/>
              </w:rPr>
              <w:t>博爱县城市管理局</w:t>
            </w:r>
          </w:p>
          <w:p>
            <w:pPr>
              <w:pStyle w:val="23"/>
              <w:spacing w:line="360" w:lineRule="exact"/>
              <w:rPr>
                <w:rFonts w:asciiTheme="minorEastAsia" w:hAnsiTheme="minorEastAsia" w:eastAsiaTheme="minorEastAsia" w:cstheme="minorEastAsia"/>
                <w:szCs w:val="24"/>
              </w:rPr>
            </w:pPr>
            <w:r>
              <w:rPr>
                <w:rFonts w:asciiTheme="minorEastAsia" w:hAnsiTheme="minorEastAsia" w:eastAsiaTheme="minorEastAsia" w:cstheme="minorEastAsia"/>
              </w:rPr>
              <w:t>联系</w:t>
            </w:r>
            <w:r>
              <w:rPr>
                <w:rFonts w:asciiTheme="minorEastAsia" w:hAnsiTheme="minorEastAsia" w:eastAsiaTheme="minorEastAsia" w:cstheme="minorEastAsia"/>
                <w:szCs w:val="24"/>
              </w:rPr>
              <w:t>人：</w:t>
            </w:r>
            <w:r>
              <w:rPr>
                <w:rFonts w:hint="eastAsia" w:asciiTheme="minorEastAsia" w:hAnsiTheme="minorEastAsia" w:eastAsiaTheme="minorEastAsia" w:cstheme="minorEastAsia"/>
                <w:szCs w:val="24"/>
                <w:lang w:val="en-US" w:eastAsia="zh-CN"/>
              </w:rPr>
              <w:t>赵先生</w:t>
            </w:r>
          </w:p>
          <w:p>
            <w:pPr>
              <w:pStyle w:val="23"/>
              <w:spacing w:line="360" w:lineRule="exac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szCs w:val="24"/>
              </w:rPr>
              <w:t>电话：</w:t>
            </w:r>
            <w:r>
              <w:rPr>
                <w:rFonts w:hint="eastAsia" w:asciiTheme="minorEastAsia" w:hAnsiTheme="minorEastAsia" w:eastAsiaTheme="minorEastAsia" w:cstheme="minorEastAsia"/>
                <w:szCs w:val="24"/>
                <w:lang w:val="en-US" w:eastAsia="zh-CN"/>
              </w:rPr>
              <w:t>13462455300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1.1.3</w:t>
            </w:r>
          </w:p>
        </w:tc>
        <w:tc>
          <w:tcPr>
            <w:tcW w:w="2318"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采购代理机构</w:t>
            </w:r>
          </w:p>
        </w:tc>
        <w:tc>
          <w:tcPr>
            <w:tcW w:w="6041" w:type="dxa"/>
            <w:vAlign w:val="center"/>
          </w:tcPr>
          <w:p>
            <w:pPr>
              <w:pStyle w:val="23"/>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 xml:space="preserve">采购代理机构：博爱县城市建设项目管理有限公司  </w:t>
            </w:r>
          </w:p>
          <w:p>
            <w:pPr>
              <w:pStyle w:val="23"/>
              <w:spacing w:line="360" w:lineRule="exact"/>
              <w:rPr>
                <w:rFonts w:hint="default" w:asciiTheme="minorEastAsia" w:hAnsiTheme="minorEastAsia" w:eastAsiaTheme="minorEastAsia" w:cstheme="minorEastAsia"/>
                <w:bCs/>
                <w:iCs/>
              </w:rPr>
            </w:pPr>
            <w:r>
              <w:rPr>
                <w:rFonts w:asciiTheme="minorEastAsia" w:hAnsiTheme="minorEastAsia" w:eastAsiaTheme="minorEastAsia" w:cstheme="minorEastAsia"/>
              </w:rPr>
              <w:t>联</w:t>
            </w:r>
            <w:r>
              <w:rPr>
                <w:rFonts w:asciiTheme="minorEastAsia" w:hAnsiTheme="minorEastAsia" w:eastAsiaTheme="minorEastAsia" w:cstheme="minorEastAsia"/>
                <w:bCs/>
                <w:iCs/>
              </w:rPr>
              <w:t xml:space="preserve">系人：张先生      </w:t>
            </w:r>
          </w:p>
          <w:p>
            <w:pPr>
              <w:pStyle w:val="23"/>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bCs/>
                <w:iCs/>
              </w:rPr>
              <w:t>电话：0391-8690958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1.1.4</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6041" w:type="dxa"/>
            <w:vAlign w:val="center"/>
          </w:tcPr>
          <w:p>
            <w:pPr>
              <w:adjustRightInd w:val="0"/>
              <w:snapToGrid w:val="0"/>
              <w:spacing w:line="46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Cs/>
                <w:iCs/>
                <w:szCs w:val="21"/>
                <w:lang w:eastAsia="zh-CN"/>
              </w:rPr>
              <w:t>博爱县垃圾处理场新增渗滤液应急处理设备及运行项目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1.1.5</w:t>
            </w:r>
          </w:p>
        </w:tc>
        <w:tc>
          <w:tcPr>
            <w:tcW w:w="2318"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iCs/>
                <w:color w:val="auto"/>
                <w:szCs w:val="21"/>
              </w:rPr>
              <w:t>项目地点</w:t>
            </w:r>
          </w:p>
        </w:tc>
        <w:tc>
          <w:tcPr>
            <w:tcW w:w="6041" w:type="dxa"/>
            <w:vAlign w:val="center"/>
          </w:tcPr>
          <w:p>
            <w:pPr>
              <w:pStyle w:val="23"/>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1.2.1</w:t>
            </w:r>
          </w:p>
        </w:tc>
        <w:tc>
          <w:tcPr>
            <w:tcW w:w="2318"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资金来源</w:t>
            </w:r>
          </w:p>
        </w:tc>
        <w:tc>
          <w:tcPr>
            <w:tcW w:w="6041" w:type="dxa"/>
            <w:vAlign w:val="center"/>
          </w:tcPr>
          <w:p>
            <w:pPr>
              <w:pStyle w:val="23"/>
              <w:spacing w:line="360" w:lineRule="exact"/>
              <w:rPr>
                <w:rFonts w:hint="default" w:asciiTheme="minorEastAsia" w:hAnsiTheme="minorEastAsia" w:eastAsiaTheme="minorEastAsia" w:cstheme="minorEastAsia"/>
              </w:rPr>
            </w:pPr>
            <w:r>
              <w:rPr>
                <w:rFonts w:hint="default" w:asciiTheme="minorEastAsia" w:hAnsiTheme="minorEastAsia" w:eastAsiaTheme="minorEastAsia" w:cstheme="minorEastAsia"/>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1.2.2</w:t>
            </w:r>
          </w:p>
        </w:tc>
        <w:tc>
          <w:tcPr>
            <w:tcW w:w="2318"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资金落实情况</w:t>
            </w:r>
          </w:p>
        </w:tc>
        <w:tc>
          <w:tcPr>
            <w:tcW w:w="6041" w:type="dxa"/>
            <w:vAlign w:val="center"/>
          </w:tcPr>
          <w:p>
            <w:pPr>
              <w:pStyle w:val="23"/>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1.3.1</w:t>
            </w:r>
          </w:p>
        </w:tc>
        <w:tc>
          <w:tcPr>
            <w:tcW w:w="2318" w:type="dxa"/>
            <w:vAlign w:val="center"/>
          </w:tcPr>
          <w:p>
            <w:pPr>
              <w:spacing w:line="3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采购内容</w:t>
            </w:r>
          </w:p>
        </w:tc>
        <w:tc>
          <w:tcPr>
            <w:tcW w:w="6041" w:type="dxa"/>
          </w:tcPr>
          <w:p>
            <w:pPr>
              <w:widowControl/>
              <w:spacing w:line="44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博爱县城管局通过公开招标选定博爱县垃圾处理场</w:t>
            </w:r>
            <w:r>
              <w:rPr>
                <w:rFonts w:hint="eastAsia" w:ascii="宋体" w:hAnsi="宋体" w:cs="宋体"/>
                <w:kern w:val="0"/>
                <w:sz w:val="21"/>
                <w:szCs w:val="21"/>
                <w:lang w:eastAsia="zh-CN"/>
              </w:rPr>
              <w:t>新增</w:t>
            </w:r>
            <w:r>
              <w:rPr>
                <w:rFonts w:hint="eastAsia" w:ascii="宋体" w:hAnsi="宋体" w:cs="宋体"/>
                <w:kern w:val="0"/>
                <w:sz w:val="21"/>
                <w:szCs w:val="21"/>
              </w:rPr>
              <w:t>渗滤液</w:t>
            </w:r>
            <w:r>
              <w:rPr>
                <w:rFonts w:hint="eastAsia" w:ascii="宋体" w:hAnsi="宋体" w:cs="宋体"/>
                <w:kern w:val="0"/>
                <w:sz w:val="21"/>
                <w:szCs w:val="21"/>
                <w:lang w:eastAsia="zh-CN"/>
              </w:rPr>
              <w:t>应急</w:t>
            </w:r>
            <w:r>
              <w:rPr>
                <w:rFonts w:hint="eastAsia" w:ascii="宋体" w:hAnsi="宋体" w:cs="宋体"/>
                <w:kern w:val="0"/>
                <w:sz w:val="21"/>
                <w:szCs w:val="21"/>
              </w:rPr>
              <w:t>处理设备及运行项目的中标人，由中标人</w:t>
            </w:r>
            <w:r>
              <w:rPr>
                <w:rFonts w:hint="eastAsia" w:ascii="宋体" w:hAnsi="宋体" w:cs="宋体"/>
                <w:kern w:val="0"/>
                <w:sz w:val="21"/>
                <w:szCs w:val="21"/>
                <w:lang w:eastAsia="zh-CN"/>
              </w:rPr>
              <w:t>提供</w:t>
            </w:r>
            <w:r>
              <w:rPr>
                <w:rFonts w:hint="eastAsia" w:ascii="宋体" w:hAnsi="宋体" w:cs="宋体"/>
                <w:kern w:val="0"/>
                <w:sz w:val="21"/>
                <w:szCs w:val="21"/>
              </w:rPr>
              <w:t>渗滤液</w:t>
            </w:r>
            <w:r>
              <w:rPr>
                <w:rFonts w:hint="eastAsia" w:ascii="宋体" w:hAnsi="宋体" w:cs="宋体"/>
                <w:kern w:val="0"/>
                <w:sz w:val="21"/>
                <w:szCs w:val="21"/>
                <w:lang w:eastAsia="zh-CN"/>
              </w:rPr>
              <w:t>应急</w:t>
            </w:r>
            <w:r>
              <w:rPr>
                <w:rFonts w:hint="eastAsia" w:ascii="宋体" w:hAnsi="宋体" w:cs="宋体"/>
                <w:kern w:val="0"/>
                <w:sz w:val="21"/>
                <w:szCs w:val="21"/>
              </w:rPr>
              <w:t>处理设备</w:t>
            </w:r>
            <w:r>
              <w:rPr>
                <w:rFonts w:hint="eastAsia" w:ascii="宋体" w:hAnsi="宋体" w:cs="宋体"/>
                <w:kern w:val="0"/>
                <w:sz w:val="21"/>
                <w:szCs w:val="21"/>
                <w:lang w:eastAsia="zh-CN"/>
              </w:rPr>
              <w:t>，在</w:t>
            </w:r>
            <w:r>
              <w:rPr>
                <w:rFonts w:hint="eastAsia" w:ascii="宋体" w:hAnsi="宋体" w:cs="宋体"/>
                <w:kern w:val="0"/>
                <w:sz w:val="21"/>
                <w:szCs w:val="21"/>
                <w:lang w:val="en-US" w:eastAsia="zh-CN"/>
              </w:rPr>
              <w:t>2022年12月底前处理50000吨</w:t>
            </w:r>
            <w:r>
              <w:rPr>
                <w:rFonts w:hint="eastAsia" w:ascii="宋体" w:hAnsi="宋体" w:cs="宋体"/>
                <w:kern w:val="0"/>
                <w:sz w:val="21"/>
                <w:szCs w:val="21"/>
              </w:rPr>
              <w:t>垃圾渗滤液，并负责运行、维护等工作，按照《城市生活垃圾卫生填埋处理技术规范》（GB 50869-2013）渗滤液处理相关技术要求进行处理，</w:t>
            </w:r>
            <w:r>
              <w:rPr>
                <w:rFonts w:hint="eastAsia" w:ascii="宋体" w:hAnsi="宋体" w:cs="宋体"/>
                <w:kern w:val="0"/>
                <w:sz w:val="21"/>
                <w:szCs w:val="21"/>
                <w:lang w:eastAsia="zh-CN"/>
              </w:rPr>
              <w:t>出水满足生活垃圾填埋场污染控制标准（</w:t>
            </w:r>
            <w:r>
              <w:rPr>
                <w:rFonts w:hint="eastAsia" w:ascii="宋体" w:hAnsi="宋体" w:cs="宋体"/>
                <w:kern w:val="0"/>
                <w:sz w:val="21"/>
                <w:szCs w:val="21"/>
                <w:lang w:val="en-US" w:eastAsia="zh-CN"/>
              </w:rPr>
              <w:t>GB 16889-2008</w:t>
            </w:r>
            <w:r>
              <w:rPr>
                <w:rFonts w:hint="eastAsia" w:ascii="宋体" w:hAnsi="宋体" w:cs="宋体"/>
                <w:kern w:val="0"/>
                <w:sz w:val="21"/>
                <w:szCs w:val="21"/>
                <w:lang w:eastAsia="zh-CN"/>
              </w:rPr>
              <w:t>）表二标准后</w:t>
            </w:r>
            <w:r>
              <w:rPr>
                <w:rFonts w:hint="eastAsia" w:ascii="宋体" w:hAnsi="宋体" w:cs="宋体"/>
                <w:kern w:val="0"/>
                <w:sz w:val="21"/>
                <w:szCs w:val="21"/>
              </w:rPr>
              <w:t>排放。</w:t>
            </w:r>
          </w:p>
          <w:p>
            <w:pPr>
              <w:widowControl/>
              <w:spacing w:line="440" w:lineRule="exact"/>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kern w:val="0"/>
                <w:sz w:val="21"/>
                <w:szCs w:val="21"/>
              </w:rPr>
              <w:t>本次拟招标的博爱县垃圾处理场</w:t>
            </w:r>
            <w:r>
              <w:rPr>
                <w:rFonts w:hint="eastAsia" w:ascii="宋体" w:hAnsi="宋体" w:cs="宋体"/>
                <w:kern w:val="0"/>
                <w:sz w:val="21"/>
                <w:szCs w:val="21"/>
                <w:lang w:eastAsia="zh-CN"/>
              </w:rPr>
              <w:t>新增</w:t>
            </w:r>
            <w:r>
              <w:rPr>
                <w:rFonts w:hint="eastAsia" w:ascii="宋体" w:hAnsi="宋体" w:cs="宋体"/>
                <w:kern w:val="0"/>
                <w:sz w:val="21"/>
                <w:szCs w:val="21"/>
              </w:rPr>
              <w:t>渗滤液</w:t>
            </w:r>
            <w:r>
              <w:rPr>
                <w:rFonts w:hint="eastAsia" w:ascii="宋体" w:hAnsi="宋体" w:cs="宋体"/>
                <w:kern w:val="0"/>
                <w:sz w:val="21"/>
                <w:szCs w:val="21"/>
                <w:lang w:eastAsia="zh-CN"/>
              </w:rPr>
              <w:t>应急</w:t>
            </w:r>
            <w:r>
              <w:rPr>
                <w:rFonts w:hint="eastAsia" w:ascii="宋体" w:hAnsi="宋体" w:cs="宋体"/>
                <w:kern w:val="0"/>
                <w:sz w:val="21"/>
                <w:szCs w:val="21"/>
              </w:rPr>
              <w:t>处理设备及运行项目</w:t>
            </w:r>
            <w:r>
              <w:rPr>
                <w:rFonts w:hint="eastAsia" w:ascii="宋体" w:hAnsi="宋体" w:cs="宋体"/>
                <w:kern w:val="0"/>
                <w:sz w:val="21"/>
                <w:szCs w:val="21"/>
                <w:lang w:eastAsia="zh-CN"/>
              </w:rPr>
              <w:t>，总处理量为</w:t>
            </w:r>
            <w:r>
              <w:rPr>
                <w:rFonts w:hint="eastAsia" w:ascii="宋体" w:hAnsi="宋体" w:cs="宋体"/>
                <w:kern w:val="0"/>
                <w:sz w:val="21"/>
                <w:szCs w:val="21"/>
                <w:lang w:val="en-US" w:eastAsia="zh-CN"/>
              </w:rPr>
              <w:t>50000吨(进水)，</w:t>
            </w:r>
            <w:r>
              <w:rPr>
                <w:rFonts w:hint="eastAsia" w:ascii="宋体" w:hAnsi="宋体" w:cs="宋体"/>
                <w:kern w:val="0"/>
                <w:sz w:val="21"/>
                <w:szCs w:val="21"/>
                <w:lang w:eastAsia="zh-CN"/>
              </w:rPr>
              <w:t>出水率</w:t>
            </w:r>
            <w:r>
              <w:rPr>
                <w:rFonts w:hint="eastAsia" w:ascii="宋体" w:hAnsi="宋体" w:cs="宋体"/>
                <w:kern w:val="0"/>
                <w:sz w:val="21"/>
                <w:szCs w:val="21"/>
              </w:rPr>
              <w:t>不低于</w:t>
            </w:r>
            <w:r>
              <w:rPr>
                <w:rFonts w:hint="eastAsia" w:ascii="宋体" w:hAnsi="宋体" w:cs="宋体"/>
                <w:kern w:val="0"/>
                <w:sz w:val="21"/>
                <w:szCs w:val="21"/>
                <w:lang w:val="en-US" w:eastAsia="zh-CN"/>
              </w:rPr>
              <w:t>7</w:t>
            </w:r>
            <w:r>
              <w:rPr>
                <w:rFonts w:hint="eastAsia" w:ascii="宋体" w:hAnsi="宋体" w:cs="宋体"/>
                <w:kern w:val="0"/>
                <w:sz w:val="21"/>
                <w:szCs w:val="21"/>
              </w:rPr>
              <w:t>0%，</w:t>
            </w:r>
            <w:r>
              <w:rPr>
                <w:rFonts w:hint="eastAsia" w:ascii="宋体" w:hAnsi="宋体" w:cs="宋体"/>
                <w:kern w:val="0"/>
                <w:sz w:val="21"/>
                <w:szCs w:val="21"/>
                <w:lang w:eastAsia="zh-CN"/>
              </w:rPr>
              <w:t>总出水量不低于</w:t>
            </w:r>
            <w:r>
              <w:rPr>
                <w:rFonts w:hint="eastAsia" w:ascii="宋体" w:hAnsi="宋体" w:cs="宋体"/>
                <w:kern w:val="0"/>
                <w:sz w:val="21"/>
                <w:szCs w:val="21"/>
                <w:lang w:val="en-US" w:eastAsia="zh-CN"/>
              </w:rPr>
              <w:t>35000吨，</w:t>
            </w:r>
            <w:r>
              <w:rPr>
                <w:rFonts w:hint="eastAsia" w:ascii="宋体" w:hAnsi="宋体" w:cs="宋体"/>
                <w:kern w:val="0"/>
                <w:sz w:val="21"/>
                <w:szCs w:val="21"/>
                <w:lang w:eastAsia="zh-CN"/>
              </w:rPr>
              <w:t>渗滤液处理费按出水结算。</w:t>
            </w:r>
            <w:r>
              <w:rPr>
                <w:rFonts w:hint="eastAsia" w:ascii="宋体" w:hAnsi="宋体" w:cs="宋体"/>
                <w:kern w:val="0"/>
                <w:sz w:val="21"/>
                <w:szCs w:val="21"/>
              </w:rPr>
              <w:t>运行期限为</w:t>
            </w:r>
            <w:r>
              <w:rPr>
                <w:rFonts w:hint="eastAsia" w:ascii="宋体" w:hAnsi="宋体" w:cs="宋体"/>
                <w:kern w:val="0"/>
                <w:sz w:val="21"/>
                <w:szCs w:val="21"/>
                <w:lang w:eastAsia="zh-CN"/>
              </w:rPr>
              <w:t>十个月（自设备正常运行，达标排放开始计算日期）</w:t>
            </w:r>
            <w:r>
              <w:rPr>
                <w:rFonts w:hint="eastAsia" w:ascii="宋体" w:hAnsi="宋体" w:cs="宋体"/>
                <w:kern w:val="0"/>
                <w:sz w:val="21"/>
                <w:szCs w:val="21"/>
              </w:rPr>
              <w:t>，</w:t>
            </w:r>
            <w:r>
              <w:rPr>
                <w:rFonts w:hint="eastAsia" w:ascii="宋体" w:hAnsi="宋体" w:cs="宋体"/>
                <w:kern w:val="0"/>
                <w:sz w:val="21"/>
                <w:szCs w:val="21"/>
                <w:lang w:eastAsia="zh-CN"/>
              </w:rPr>
              <w:t>预计</w:t>
            </w:r>
            <w:r>
              <w:rPr>
                <w:rFonts w:hint="eastAsia" w:ascii="宋体" w:hAnsi="宋体" w:cs="宋体"/>
                <w:kern w:val="0"/>
                <w:sz w:val="21"/>
                <w:szCs w:val="21"/>
              </w:rPr>
              <w:t>从202</w:t>
            </w:r>
            <w:r>
              <w:rPr>
                <w:rFonts w:hint="eastAsia" w:ascii="宋体" w:hAnsi="宋体" w:cs="宋体"/>
                <w:kern w:val="0"/>
                <w:sz w:val="21"/>
                <w:szCs w:val="21"/>
                <w:lang w:val="en-US" w:eastAsia="zh-CN"/>
              </w:rPr>
              <w:t>2</w:t>
            </w:r>
            <w:r>
              <w:rPr>
                <w:rFonts w:hint="eastAsia" w:ascii="宋体" w:hAnsi="宋体" w:cs="宋体"/>
                <w:kern w:val="0"/>
                <w:sz w:val="21"/>
                <w:szCs w:val="21"/>
              </w:rPr>
              <w:t>年</w:t>
            </w:r>
            <w:r>
              <w:rPr>
                <w:rFonts w:hint="eastAsia" w:ascii="宋体" w:hAnsi="宋体" w:cs="宋体"/>
                <w:kern w:val="0"/>
                <w:sz w:val="21"/>
                <w:szCs w:val="21"/>
                <w:lang w:val="en-US" w:eastAsia="zh-CN"/>
              </w:rPr>
              <w:t>3</w:t>
            </w:r>
            <w:r>
              <w:rPr>
                <w:rFonts w:hint="eastAsia" w:ascii="宋体" w:hAnsi="宋体" w:cs="宋体"/>
                <w:kern w:val="0"/>
                <w:sz w:val="21"/>
                <w:szCs w:val="21"/>
              </w:rPr>
              <w:t>月开始至202</w:t>
            </w:r>
            <w:r>
              <w:rPr>
                <w:rFonts w:hint="eastAsia" w:ascii="宋体" w:hAnsi="宋体" w:cs="宋体"/>
                <w:kern w:val="0"/>
                <w:sz w:val="21"/>
                <w:szCs w:val="21"/>
                <w:lang w:val="en-US" w:eastAsia="zh-CN"/>
              </w:rPr>
              <w:t>2</w:t>
            </w:r>
            <w:r>
              <w:rPr>
                <w:rFonts w:hint="eastAsia" w:ascii="宋体" w:hAnsi="宋体" w:cs="宋体"/>
                <w:kern w:val="0"/>
                <w:sz w:val="21"/>
                <w:szCs w:val="21"/>
              </w:rPr>
              <w:t>年</w:t>
            </w:r>
            <w:r>
              <w:rPr>
                <w:rFonts w:hint="eastAsia" w:ascii="宋体" w:hAnsi="宋体" w:cs="宋体"/>
                <w:kern w:val="0"/>
                <w:sz w:val="21"/>
                <w:szCs w:val="21"/>
                <w:lang w:val="en-US" w:eastAsia="zh-CN"/>
              </w:rPr>
              <w:t>12月</w:t>
            </w:r>
            <w:r>
              <w:rPr>
                <w:rFonts w:hint="eastAsia" w:ascii="宋体" w:hAnsi="宋体" w:cs="宋体"/>
                <w:kern w:val="0"/>
                <w:sz w:val="21"/>
                <w:szCs w:val="21"/>
              </w:rPr>
              <w:t>结束</w:t>
            </w:r>
            <w:r>
              <w:rPr>
                <w:rFonts w:hint="eastAsia" w:ascii="宋体" w:hAnsi="宋体" w:cs="宋体"/>
                <w:kern w:val="0"/>
                <w:sz w:val="21"/>
                <w:szCs w:val="21"/>
                <w:lang w:eastAsia="zh-CN"/>
              </w:rPr>
              <w:t>，</w:t>
            </w:r>
            <w:r>
              <w:rPr>
                <w:rFonts w:hint="eastAsia" w:ascii="宋体" w:hAnsi="宋体" w:cs="宋体"/>
                <w:kern w:val="0"/>
                <w:sz w:val="21"/>
                <w:szCs w:val="21"/>
              </w:rPr>
              <w:t>运行期间所有费用及责任由中标人负责。项目建设用地位于现垃圾处理场内，中标人无偿使用</w:t>
            </w:r>
            <w:r>
              <w:rPr>
                <w:rFonts w:hint="eastAsia" w:ascii="宋体" w:hAnsi="宋体" w:cs="宋体"/>
                <w:kern w:val="0"/>
                <w:sz w:val="21"/>
                <w:szCs w:val="21"/>
                <w:lang w:eastAsia="zh-CN"/>
              </w:rPr>
              <w:t>，</w:t>
            </w:r>
            <w:r>
              <w:rPr>
                <w:rFonts w:hint="eastAsia" w:ascii="宋体" w:hAnsi="宋体" w:cs="宋体"/>
                <w:kern w:val="0"/>
                <w:sz w:val="21"/>
                <w:szCs w:val="21"/>
              </w:rPr>
              <w:t>设备土建及安装工程由中标人负责。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1.3.2</w:t>
            </w:r>
          </w:p>
        </w:tc>
        <w:tc>
          <w:tcPr>
            <w:tcW w:w="2318" w:type="dxa"/>
            <w:vAlign w:val="center"/>
          </w:tcPr>
          <w:p>
            <w:pPr>
              <w:pStyle w:val="23"/>
              <w:spacing w:line="360" w:lineRule="exact"/>
              <w:jc w:val="center"/>
              <w:rPr>
                <w:rFonts w:hint="default" w:asciiTheme="minorEastAsia" w:hAnsiTheme="minorEastAsia" w:eastAsiaTheme="minorEastAsia" w:cstheme="minorEastAsia"/>
                <w:color w:val="FF0000"/>
              </w:rPr>
            </w:pPr>
            <w:r>
              <w:rPr>
                <w:rFonts w:hint="eastAsia" w:ascii="宋体" w:hAnsi="宋体" w:cs="宋体"/>
                <w:color w:val="000000" w:themeColor="text1"/>
                <w:kern w:val="0"/>
                <w:sz w:val="24"/>
                <w:szCs w:val="24"/>
                <w:highlight w:val="none"/>
                <w:lang w:val="en-US" w:eastAsia="zh-CN" w:bidi="ar-SA"/>
              </w:rPr>
              <w:t>运行</w:t>
            </w:r>
            <w:r>
              <w:rPr>
                <w:rFonts w:hint="eastAsia" w:ascii="宋体" w:hAnsi="宋体" w:eastAsia="宋体" w:cs="宋体"/>
                <w:color w:val="000000" w:themeColor="text1"/>
                <w:kern w:val="0"/>
                <w:sz w:val="24"/>
                <w:szCs w:val="24"/>
                <w:lang w:val="en-US" w:eastAsia="zh-CN" w:bidi="ar-SA"/>
              </w:rPr>
              <w:t>期</w:t>
            </w:r>
            <w:r>
              <w:rPr>
                <w:rFonts w:hint="eastAsia" w:ascii="宋体" w:hAnsi="宋体" w:eastAsia="宋体" w:cs="宋体"/>
                <w:kern w:val="0"/>
                <w:sz w:val="24"/>
                <w:szCs w:val="24"/>
                <w:lang w:val="en-US" w:eastAsia="zh-CN" w:bidi="ar-SA"/>
              </w:rPr>
              <w:t>限</w:t>
            </w:r>
          </w:p>
        </w:tc>
        <w:tc>
          <w:tcPr>
            <w:tcW w:w="6041" w:type="dxa"/>
            <w:vAlign w:val="center"/>
          </w:tcPr>
          <w:p>
            <w:pPr>
              <w:adjustRightInd w:val="0"/>
              <w:snapToGrid w:val="0"/>
              <w:spacing w:line="560" w:lineRule="exact"/>
              <w:ind w:firstLine="420" w:firstLineChars="200"/>
              <w:rPr>
                <w:rFonts w:hint="default" w:asciiTheme="minorEastAsia" w:hAnsiTheme="minorEastAsia" w:eastAsiaTheme="minorEastAsia" w:cstheme="minorEastAsia"/>
                <w:b/>
                <w:color w:val="FF0000"/>
                <w:sz w:val="21"/>
                <w:szCs w:val="21"/>
                <w:lang w:val="en-US" w:eastAsia="zh-CN"/>
              </w:rPr>
            </w:pPr>
            <w:r>
              <w:rPr>
                <w:rFonts w:hint="eastAsia" w:ascii="宋体" w:hAnsi="宋体" w:cs="宋体"/>
                <w:kern w:val="0"/>
                <w:sz w:val="21"/>
                <w:szCs w:val="21"/>
                <w:lang w:val="en-US" w:eastAsia="zh-CN"/>
              </w:rPr>
              <w:t>运行期限为十月（自设备正常运行，达标排放开始计算日期），预计从2022年3月开始至2022年12月结束</w:t>
            </w:r>
            <w:r>
              <w:rPr>
                <w:rFonts w:hint="default" w:ascii="宋体" w:hAnsi="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1.3.3</w:t>
            </w:r>
          </w:p>
        </w:tc>
        <w:tc>
          <w:tcPr>
            <w:tcW w:w="2318" w:type="dxa"/>
            <w:vAlign w:val="center"/>
          </w:tcPr>
          <w:p>
            <w:pPr>
              <w:pStyle w:val="23"/>
              <w:spacing w:line="360" w:lineRule="exact"/>
              <w:jc w:val="center"/>
              <w:rPr>
                <w:rFonts w:hint="default" w:asciiTheme="minorEastAsia" w:hAnsiTheme="minorEastAsia" w:eastAsiaTheme="minorEastAsia" w:cstheme="minorEastAsia"/>
              </w:rPr>
            </w:pPr>
            <w:r>
              <w:rPr>
                <w:rFonts w:hint="eastAsia" w:asciiTheme="minorEastAsia" w:hAnsiTheme="minorEastAsia" w:eastAsiaTheme="minorEastAsia" w:cstheme="minorEastAsia"/>
                <w:color w:val="auto"/>
                <w:kern w:val="2"/>
                <w:sz w:val="21"/>
                <w:szCs w:val="21"/>
                <w:highlight w:val="none"/>
                <w:lang w:val="en-US" w:eastAsia="zh-CN" w:bidi="ar-SA"/>
              </w:rPr>
              <w:t>质量标准</w:t>
            </w:r>
          </w:p>
        </w:tc>
        <w:tc>
          <w:tcPr>
            <w:tcW w:w="6041" w:type="dxa"/>
            <w:vAlign w:val="center"/>
          </w:tcPr>
          <w:p>
            <w:pPr>
              <w:spacing w:line="400" w:lineRule="exac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按照</w:t>
            </w:r>
            <w:r>
              <w:rPr>
                <w:rFonts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rPr>
              <w:t>城市生活垃圾卫生填埋处理技术规范</w:t>
            </w:r>
            <w:r>
              <w:rPr>
                <w:rFonts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rPr>
              <w:t>（GB 50869-2013）渗滤液处理相关技术要求进行处理，</w:t>
            </w:r>
            <w:r>
              <w:rPr>
                <w:rFonts w:hint="eastAsia" w:asciiTheme="minorEastAsia" w:hAnsiTheme="minorEastAsia" w:eastAsiaTheme="minorEastAsia" w:cstheme="minorEastAsia"/>
                <w:kern w:val="0"/>
                <w:szCs w:val="21"/>
                <w:lang w:eastAsia="zh-CN"/>
              </w:rPr>
              <w:t>出水满足生活垃圾填埋场污染控制标准（</w:t>
            </w:r>
            <w:r>
              <w:rPr>
                <w:rFonts w:hint="eastAsia" w:asciiTheme="minorEastAsia" w:hAnsiTheme="minorEastAsia" w:eastAsiaTheme="minorEastAsia" w:cstheme="minorEastAsia"/>
                <w:kern w:val="0"/>
                <w:szCs w:val="21"/>
                <w:lang w:val="en-US" w:eastAsia="zh-CN"/>
              </w:rPr>
              <w:t>GB 16889-2008</w:t>
            </w:r>
            <w:r>
              <w:rPr>
                <w:rFonts w:hint="eastAsia" w:asciiTheme="minorEastAsia" w:hAnsiTheme="minorEastAsia" w:eastAsiaTheme="minorEastAsia" w:cstheme="minorEastAsia"/>
                <w:kern w:val="0"/>
                <w:szCs w:val="21"/>
                <w:lang w:eastAsia="zh-CN"/>
              </w:rPr>
              <w:t>）表二标准后</w:t>
            </w:r>
            <w:r>
              <w:rPr>
                <w:rFonts w:hint="eastAsia" w:asciiTheme="minorEastAsia" w:hAnsiTheme="minorEastAsia" w:eastAsiaTheme="minorEastAsia" w:cstheme="minorEastAsia"/>
                <w:kern w:val="0"/>
                <w:szCs w:val="21"/>
              </w:rPr>
              <w:t>排放</w:t>
            </w:r>
            <w:r>
              <w:rPr>
                <w:rFonts w:hint="eastAsia" w:asciiTheme="minorEastAsia" w:hAnsiTheme="minorEastAsia" w:eastAsiaTheme="minorEastAsia" w:cstheme="minorEastAsia"/>
                <w:kern w:val="0"/>
                <w:szCs w:val="21"/>
                <w:lang w:eastAsia="zh-CN"/>
              </w:rPr>
              <w:t>。</w:t>
            </w:r>
          </w:p>
          <w:p>
            <w:pPr>
              <w:spacing w:line="400" w:lineRule="exact"/>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3"/>
              <w:spacing w:line="360" w:lineRule="exact"/>
              <w:jc w:val="center"/>
              <w:rPr>
                <w:rFonts w:asciiTheme="minorEastAsia" w:hAnsiTheme="minorEastAsia" w:eastAsiaTheme="minorEastAsia" w:cstheme="minorEastAsia"/>
              </w:rPr>
            </w:pPr>
          </w:p>
        </w:tc>
        <w:tc>
          <w:tcPr>
            <w:tcW w:w="2318" w:type="dxa"/>
            <w:vAlign w:val="center"/>
          </w:tcPr>
          <w:p>
            <w:pPr>
              <w:pStyle w:val="23"/>
              <w:spacing w:line="360" w:lineRule="exact"/>
              <w:jc w:val="center"/>
              <w:rPr>
                <w:rFonts w:hint="eastAsia" w:ascii="宋体" w:hAnsi="宋体" w:cs="宋体"/>
                <w:kern w:val="0"/>
                <w:sz w:val="24"/>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付款方式</w:t>
            </w:r>
          </w:p>
        </w:tc>
        <w:tc>
          <w:tcPr>
            <w:tcW w:w="6041" w:type="dxa"/>
            <w:vAlign w:val="center"/>
          </w:tcPr>
          <w:p>
            <w:pPr>
              <w:spacing w:line="40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1"/>
                <w:szCs w:val="21"/>
                <w:lang w:val="en-US" w:eastAsia="zh-CN" w:bidi="ar-SA"/>
              </w:rPr>
              <w:t>运行费用依据运行记录，检测结果等确定达标处理量，每季度支付一次</w:t>
            </w:r>
            <w:r>
              <w:rPr>
                <w:rFonts w:hint="default" w:asciiTheme="minorEastAsia" w:hAnsiTheme="minorEastAsia" w:eastAsiaTheme="minorEastAsia" w:cstheme="minorEastAsia"/>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1.4.1</w:t>
            </w:r>
          </w:p>
        </w:tc>
        <w:tc>
          <w:tcPr>
            <w:tcW w:w="2318" w:type="dxa"/>
            <w:vAlign w:val="center"/>
          </w:tcPr>
          <w:p>
            <w:pPr>
              <w:pStyle w:val="23"/>
              <w:spacing w:line="360" w:lineRule="exact"/>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供应商资质条件</w:t>
            </w:r>
          </w:p>
        </w:tc>
        <w:tc>
          <w:tcPr>
            <w:tcW w:w="6041" w:type="dxa"/>
            <w:vAlign w:val="center"/>
          </w:tcPr>
          <w:p>
            <w:pPr>
              <w:pStyle w:val="37"/>
              <w:shd w:val="clear" w:color="auto" w:fill="FFFFFF"/>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1、符合《中华人民共和国政府采购法》第二十二条之规定；</w:t>
            </w:r>
          </w:p>
          <w:p>
            <w:pPr>
              <w:pStyle w:val="37"/>
              <w:shd w:val="clear" w:color="auto" w:fill="FFFFFF"/>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2、落实政府采购政策需满足的资格要求：促进中小企业和监狱企业发展扶持政策、政府强制采购节能产品、节能产品及环境标志产品优先采购。</w:t>
            </w:r>
          </w:p>
          <w:p>
            <w:pPr>
              <w:pStyle w:val="37"/>
              <w:shd w:val="clear" w:color="auto" w:fill="FFFFFF"/>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3、本项目的特定资格要求：</w:t>
            </w:r>
          </w:p>
          <w:p>
            <w:pPr>
              <w:pStyle w:val="37"/>
              <w:shd w:val="clear" w:color="auto" w:fill="FFFFFF"/>
              <w:spacing w:before="0" w:beforeAutospacing="0" w:after="0" w:afterAutospacing="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3.1供应商须具有有效的营业执照，</w:t>
            </w:r>
            <w:r>
              <w:rPr>
                <w:rFonts w:asciiTheme="minorEastAsia" w:hAnsiTheme="minorEastAsia" w:eastAsiaTheme="minorEastAsia" w:cstheme="minorEastAsia"/>
                <w:sz w:val="21"/>
                <w:szCs w:val="21"/>
              </w:rPr>
              <w:t>并具有实施完成本项目的</w:t>
            </w:r>
            <w:r>
              <w:rPr>
                <w:rFonts w:hint="eastAsia" w:asciiTheme="minorEastAsia" w:hAnsiTheme="minorEastAsia" w:eastAsiaTheme="minorEastAsia" w:cstheme="minorEastAsia"/>
                <w:sz w:val="21"/>
                <w:szCs w:val="21"/>
                <w:lang w:val="en-US" w:eastAsia="zh-CN"/>
              </w:rPr>
              <w:t>建设、运营能力</w:t>
            </w:r>
            <w:r>
              <w:rPr>
                <w:rFonts w:hint="eastAsia" w:asciiTheme="minorEastAsia" w:hAnsiTheme="minorEastAsia" w:eastAsiaTheme="minorEastAsia" w:cstheme="minorEastAsia"/>
                <w:sz w:val="21"/>
                <w:szCs w:val="21"/>
                <w:lang w:eastAsia="zh-CN"/>
              </w:rPr>
              <w:t>；</w:t>
            </w:r>
          </w:p>
          <w:p>
            <w:pPr>
              <w:pStyle w:val="37"/>
              <w:shd w:val="clear" w:color="auto" w:fill="FFFFFF"/>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pPr>
              <w:pStyle w:val="37"/>
              <w:shd w:val="clear" w:color="auto" w:fill="FFFFFF"/>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3.3投标人提供近三年（2018 年、2019 年、2020 年）完整的财务审计报告（成立不足三年的企业，以现有年份提供）；</w:t>
            </w:r>
          </w:p>
          <w:p>
            <w:pPr>
              <w:pStyle w:val="37"/>
              <w:shd w:val="clear" w:color="auto" w:fill="FFFFFF"/>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本项目不接受联合体投标；</w:t>
            </w:r>
          </w:p>
          <w:p>
            <w:pPr>
              <w:pStyle w:val="37"/>
              <w:shd w:val="clear" w:color="auto" w:fill="FFFFFF"/>
              <w:spacing w:before="0" w:beforeAutospacing="0" w:after="0" w:afterAutospacing="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资格审查方式：资格后审</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1.4.2</w:t>
            </w:r>
          </w:p>
        </w:tc>
        <w:tc>
          <w:tcPr>
            <w:tcW w:w="2318"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是否接受联合体</w:t>
            </w:r>
          </w:p>
        </w:tc>
        <w:tc>
          <w:tcPr>
            <w:tcW w:w="6041" w:type="dxa"/>
            <w:vAlign w:val="center"/>
          </w:tcPr>
          <w:p>
            <w:pPr>
              <w:pStyle w:val="23"/>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1.10.1</w:t>
            </w:r>
          </w:p>
        </w:tc>
        <w:tc>
          <w:tcPr>
            <w:tcW w:w="2318"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投标预备会</w:t>
            </w:r>
          </w:p>
        </w:tc>
        <w:tc>
          <w:tcPr>
            <w:tcW w:w="6041" w:type="dxa"/>
            <w:vAlign w:val="center"/>
          </w:tcPr>
          <w:p>
            <w:pPr>
              <w:pStyle w:val="23"/>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1.10.2</w:t>
            </w:r>
          </w:p>
        </w:tc>
        <w:tc>
          <w:tcPr>
            <w:tcW w:w="2318"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供应商提出问题的</w:t>
            </w:r>
          </w:p>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截止时间</w:t>
            </w:r>
          </w:p>
        </w:tc>
        <w:tc>
          <w:tcPr>
            <w:tcW w:w="6041" w:type="dxa"/>
            <w:vAlign w:val="center"/>
          </w:tcPr>
          <w:p>
            <w:pPr>
              <w:pStyle w:val="23"/>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1.10.3</w:t>
            </w:r>
          </w:p>
        </w:tc>
        <w:tc>
          <w:tcPr>
            <w:tcW w:w="2318"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采购人说明澄清的时间</w:t>
            </w:r>
          </w:p>
        </w:tc>
        <w:tc>
          <w:tcPr>
            <w:tcW w:w="6041" w:type="dxa"/>
            <w:vAlign w:val="center"/>
          </w:tcPr>
          <w:p>
            <w:pPr>
              <w:pStyle w:val="23"/>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1.11</w:t>
            </w:r>
          </w:p>
        </w:tc>
        <w:tc>
          <w:tcPr>
            <w:tcW w:w="2318"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分包</w:t>
            </w:r>
          </w:p>
        </w:tc>
        <w:tc>
          <w:tcPr>
            <w:tcW w:w="6041" w:type="dxa"/>
            <w:vAlign w:val="center"/>
          </w:tcPr>
          <w:p>
            <w:pPr>
              <w:pStyle w:val="23"/>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w:t>
            </w:r>
          </w:p>
        </w:tc>
        <w:tc>
          <w:tcPr>
            <w:tcW w:w="6041"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2.2.1</w:t>
            </w:r>
          </w:p>
        </w:tc>
        <w:tc>
          <w:tcPr>
            <w:tcW w:w="2318" w:type="dxa"/>
            <w:vAlign w:val="center"/>
          </w:tcPr>
          <w:p>
            <w:pPr>
              <w:pStyle w:val="23"/>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供应商要求澄清招标文件的截止时间</w:t>
            </w:r>
          </w:p>
        </w:tc>
        <w:tc>
          <w:tcPr>
            <w:tcW w:w="6041" w:type="dxa"/>
            <w:vAlign w:val="center"/>
          </w:tcPr>
          <w:p>
            <w:pPr>
              <w:pStyle w:val="23"/>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2.2.2</w:t>
            </w:r>
          </w:p>
        </w:tc>
        <w:tc>
          <w:tcPr>
            <w:tcW w:w="2318" w:type="dxa"/>
            <w:vAlign w:val="center"/>
          </w:tcPr>
          <w:p>
            <w:pPr>
              <w:pStyle w:val="23"/>
              <w:spacing w:line="360" w:lineRule="exact"/>
              <w:jc w:val="center"/>
              <w:rPr>
                <w:rFonts w:hint="default" w:asciiTheme="minorEastAsia" w:hAnsiTheme="minorEastAsia" w:eastAsiaTheme="minorEastAsia" w:cstheme="minorEastAsia"/>
                <w:b/>
                <w:bCs/>
                <w:color w:val="auto"/>
              </w:rPr>
            </w:pPr>
            <w:r>
              <w:rPr>
                <w:rFonts w:asciiTheme="minorEastAsia" w:hAnsiTheme="minorEastAsia" w:eastAsiaTheme="minorEastAsia" w:cstheme="minorEastAsia"/>
                <w:color w:val="auto"/>
              </w:rPr>
              <w:t>投标截止时间</w:t>
            </w:r>
          </w:p>
        </w:tc>
        <w:tc>
          <w:tcPr>
            <w:tcW w:w="6041" w:type="dxa"/>
            <w:vAlign w:val="center"/>
          </w:tcPr>
          <w:p>
            <w:pPr>
              <w:spacing w:line="360" w:lineRule="exact"/>
              <w:jc w:val="left"/>
              <w:rPr>
                <w:rFonts w:hint="default" w:asciiTheme="minorEastAsia" w:hAnsiTheme="minorEastAsia" w:eastAsiaTheme="minorEastAsia" w:cstheme="minorEastAsia"/>
                <w:b/>
                <w:bCs/>
                <w:color w:val="auto"/>
              </w:rPr>
            </w:pPr>
            <w:r>
              <w:rPr>
                <w:rFonts w:hint="default" w:asciiTheme="minorEastAsia" w:hAnsiTheme="minorEastAsia" w:eastAsiaTheme="minorEastAsia" w:cstheme="minorEastAsia"/>
                <w:b/>
                <w:bCs/>
                <w:color w:val="auto"/>
              </w:rPr>
              <w:t>202</w:t>
            </w:r>
            <w:r>
              <w:rPr>
                <w:rFonts w:hint="default" w:asciiTheme="minorEastAsia" w:hAnsiTheme="minorEastAsia" w:eastAsiaTheme="minorEastAsia" w:cstheme="minorEastAsia"/>
                <w:b/>
                <w:bCs/>
                <w:color w:val="auto"/>
                <w:lang w:val="en-US" w:eastAsia="zh-CN"/>
              </w:rPr>
              <w:t>2</w:t>
            </w:r>
            <w:r>
              <w:rPr>
                <w:rFonts w:hint="default" w:asciiTheme="minorEastAsia" w:hAnsiTheme="minorEastAsia" w:eastAsiaTheme="minorEastAsia" w:cstheme="minorEastAsia"/>
                <w:b/>
                <w:bCs/>
                <w:color w:val="auto"/>
              </w:rPr>
              <w:t>年</w:t>
            </w:r>
            <w:r>
              <w:rPr>
                <w:rFonts w:hint="default" w:asciiTheme="minorEastAsia" w:hAnsiTheme="minorEastAsia" w:eastAsiaTheme="minorEastAsia" w:cstheme="minorEastAsia"/>
                <w:b/>
                <w:bCs/>
                <w:color w:val="auto"/>
                <w:lang w:val="en-US" w:eastAsia="zh-CN"/>
              </w:rPr>
              <w:t>3</w:t>
            </w:r>
            <w:r>
              <w:rPr>
                <w:rFonts w:hint="default" w:asciiTheme="minorEastAsia" w:hAnsiTheme="minorEastAsia" w:eastAsiaTheme="minorEastAsia" w:cstheme="minorEastAsia"/>
                <w:b/>
                <w:bCs/>
                <w:color w:val="auto"/>
              </w:rPr>
              <w:t>月</w:t>
            </w:r>
            <w:r>
              <w:rPr>
                <w:rFonts w:hint="default" w:asciiTheme="minorEastAsia" w:hAnsiTheme="minorEastAsia" w:eastAsiaTheme="minorEastAsia" w:cstheme="minorEastAsia"/>
                <w:b/>
                <w:bCs/>
                <w:color w:val="auto"/>
                <w:lang w:val="en-US" w:eastAsia="zh-CN"/>
              </w:rPr>
              <w:t>1</w:t>
            </w:r>
            <w:r>
              <w:rPr>
                <w:rFonts w:hint="eastAsia" w:asciiTheme="minorEastAsia" w:hAnsiTheme="minorEastAsia" w:eastAsiaTheme="minorEastAsia" w:cstheme="minorEastAsia"/>
                <w:b/>
                <w:bCs/>
                <w:color w:val="auto"/>
                <w:lang w:val="en-US" w:eastAsia="zh-CN"/>
              </w:rPr>
              <w:t>5</w:t>
            </w:r>
            <w:r>
              <w:rPr>
                <w:rFonts w:hint="default" w:asciiTheme="minorEastAsia" w:hAnsiTheme="minorEastAsia" w:eastAsiaTheme="minorEastAsia" w:cstheme="minorEastAsia"/>
                <w:b/>
                <w:bCs/>
                <w:color w:val="auto"/>
              </w:rPr>
              <w:t>日上午</w:t>
            </w:r>
            <w:r>
              <w:rPr>
                <w:rFonts w:hint="default" w:asciiTheme="minorEastAsia" w:hAnsiTheme="minorEastAsia" w:eastAsiaTheme="minorEastAsia" w:cstheme="minorEastAsia"/>
                <w:b/>
                <w:bCs/>
                <w:color w:val="auto"/>
                <w:lang w:val="en-US" w:eastAsia="zh-CN"/>
              </w:rPr>
              <w:t>9</w:t>
            </w:r>
            <w:r>
              <w:rPr>
                <w:rFonts w:hint="default" w:asciiTheme="minorEastAsia" w:hAnsiTheme="minorEastAsia" w:eastAsiaTheme="minorEastAsia" w:cstheme="minorEastAsia"/>
                <w:b/>
                <w:bCs/>
                <w:color w:val="auto"/>
              </w:rPr>
              <w:t>点</w:t>
            </w:r>
            <w:r>
              <w:rPr>
                <w:rFonts w:hint="default" w:asciiTheme="minorEastAsia" w:hAnsiTheme="minorEastAsia" w:eastAsiaTheme="minorEastAsia" w:cstheme="minorEastAsia"/>
                <w:b/>
                <w:bCs/>
                <w:color w:val="auto"/>
                <w:lang w:val="en-US" w:eastAsia="zh-CN"/>
              </w:rPr>
              <w:t>00</w:t>
            </w:r>
            <w:r>
              <w:rPr>
                <w:rFonts w:hint="default" w:asciiTheme="minorEastAsia" w:hAnsiTheme="minorEastAsia" w:eastAsiaTheme="minorEastAsia" w:cstheme="minorEastAsia"/>
                <w:b/>
                <w:bCs/>
                <w:color w:val="auto"/>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2.2.3</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供应商确认收到招标文件澄清的时间</w:t>
            </w:r>
          </w:p>
        </w:tc>
        <w:tc>
          <w:tcPr>
            <w:tcW w:w="6041"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招标文件澄清文件发出后4小时内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供应商确认收到招标文件修改的时间</w:t>
            </w:r>
          </w:p>
        </w:tc>
        <w:tc>
          <w:tcPr>
            <w:tcW w:w="6041"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招标文件修改文件发出后4小时内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构成投标文件的</w:t>
            </w:r>
          </w:p>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其他材料</w:t>
            </w:r>
          </w:p>
        </w:tc>
        <w:tc>
          <w:tcPr>
            <w:tcW w:w="6041"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3.3.1</w:t>
            </w:r>
          </w:p>
        </w:tc>
        <w:tc>
          <w:tcPr>
            <w:tcW w:w="2318"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投标有效期</w:t>
            </w:r>
          </w:p>
        </w:tc>
        <w:tc>
          <w:tcPr>
            <w:tcW w:w="6041" w:type="dxa"/>
            <w:vAlign w:val="center"/>
          </w:tcPr>
          <w:p>
            <w:pPr>
              <w:pStyle w:val="23"/>
              <w:spacing w:line="360" w:lineRule="exact"/>
              <w:rPr>
                <w:rFonts w:hint="default" w:asciiTheme="minorEastAsia" w:hAnsiTheme="minorEastAsia" w:eastAsiaTheme="minorEastAsia" w:cstheme="minorEastAsia"/>
                <w:color w:val="FF0000"/>
              </w:rPr>
            </w:pPr>
            <w:r>
              <w:rPr>
                <w:rFonts w:asciiTheme="minorEastAsia" w:hAnsiTheme="minorEastAsia" w:eastAsiaTheme="minorEastAsia" w:cstheme="minorEastAsia"/>
                <w:color w:val="000000" w:themeColor="text1"/>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3.6</w:t>
            </w:r>
          </w:p>
        </w:tc>
        <w:tc>
          <w:tcPr>
            <w:tcW w:w="2318"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是否允许递交备选</w:t>
            </w:r>
          </w:p>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投标方案</w:t>
            </w:r>
          </w:p>
        </w:tc>
        <w:tc>
          <w:tcPr>
            <w:tcW w:w="6041" w:type="dxa"/>
            <w:vAlign w:val="center"/>
          </w:tcPr>
          <w:p>
            <w:pPr>
              <w:pStyle w:val="23"/>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3.7.3</w:t>
            </w:r>
          </w:p>
        </w:tc>
        <w:tc>
          <w:tcPr>
            <w:tcW w:w="2318"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签字盖章要求</w:t>
            </w:r>
          </w:p>
        </w:tc>
        <w:tc>
          <w:tcPr>
            <w:tcW w:w="6041" w:type="dxa"/>
            <w:shd w:val="clear" w:color="auto" w:fill="auto"/>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（1）所有要求投标人加盖公章的地方都须加盖投标人单位的 CA 印章。</w:t>
            </w:r>
          </w:p>
          <w:p>
            <w:pPr>
              <w:pStyle w:val="23"/>
              <w:spacing w:line="360" w:lineRule="exact"/>
              <w:rPr>
                <w:rFonts w:hint="default" w:asciiTheme="minorEastAsia" w:hAnsiTheme="minorEastAsia" w:eastAsiaTheme="minorEastAsia" w:cstheme="minorEastAsia"/>
                <w:color w:val="auto"/>
                <w:highlight w:val="none"/>
              </w:rPr>
            </w:pPr>
            <w:r>
              <w:rPr>
                <w:rFonts w:hint="eastAsia" w:ascii="宋体" w:hAnsi="宋体" w:cs="宋体"/>
                <w:color w:val="auto"/>
                <w:szCs w:val="21"/>
                <w:highlight w:val="none"/>
              </w:rPr>
              <w:t>（2）所有要求法定代表人或其委托代理人签字的地方都须加盖法定代表人CA 印章或其委托代理人签字。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3.7.4</w:t>
            </w:r>
          </w:p>
        </w:tc>
        <w:tc>
          <w:tcPr>
            <w:tcW w:w="2318"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投标文件份数</w:t>
            </w:r>
          </w:p>
        </w:tc>
        <w:tc>
          <w:tcPr>
            <w:tcW w:w="6041" w:type="dxa"/>
            <w:vAlign w:val="center"/>
          </w:tcPr>
          <w:p>
            <w:pPr>
              <w:pStyle w:val="23"/>
              <w:spacing w:line="360" w:lineRule="exact"/>
              <w:rPr>
                <w:rFonts w:hint="eastAsia" w:eastAsia="宋体" w:asciiTheme="minorEastAsia" w:hAnsiTheme="minorEastAsia" w:cstheme="minorEastAsia"/>
                <w:lang w:eastAsia="zh-CN"/>
              </w:rPr>
            </w:pPr>
            <w:r>
              <w:rPr>
                <w:rFonts w:hint="eastAsia"/>
                <w:szCs w:val="21"/>
              </w:rP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4.2.2</w:t>
            </w:r>
          </w:p>
        </w:tc>
        <w:tc>
          <w:tcPr>
            <w:tcW w:w="2318" w:type="dxa"/>
            <w:vAlign w:val="center"/>
          </w:tcPr>
          <w:p>
            <w:pPr>
              <w:pStyle w:val="23"/>
              <w:spacing w:line="360" w:lineRule="exact"/>
              <w:jc w:val="center"/>
              <w:rPr>
                <w:rFonts w:hint="eastAsia" w:asciiTheme="minorEastAsia" w:hAnsiTheme="minorEastAsia" w:eastAsiaTheme="minorEastAsia" w:cstheme="minorEastAsia"/>
                <w:highlight w:val="none"/>
                <w:lang w:eastAsia="zh-CN"/>
              </w:rPr>
            </w:pPr>
            <w:r>
              <w:rPr>
                <w:rFonts w:asciiTheme="minorEastAsia" w:hAnsiTheme="minorEastAsia" w:eastAsiaTheme="minorEastAsia" w:cstheme="minorEastAsia"/>
                <w:highlight w:val="none"/>
              </w:rPr>
              <w:t>递交投标文件</w:t>
            </w:r>
            <w:r>
              <w:rPr>
                <w:rFonts w:hint="eastAsia" w:asciiTheme="minorEastAsia" w:hAnsiTheme="minorEastAsia" w:eastAsiaTheme="minorEastAsia" w:cstheme="minorEastAsia"/>
                <w:highlight w:val="none"/>
                <w:lang w:eastAsia="zh-CN"/>
              </w:rPr>
              <w:t>方式和</w:t>
            </w:r>
          </w:p>
          <w:p>
            <w:pPr>
              <w:pStyle w:val="23"/>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地点</w:t>
            </w:r>
          </w:p>
        </w:tc>
        <w:tc>
          <w:tcPr>
            <w:tcW w:w="6041" w:type="dxa"/>
            <w:vAlign w:val="center"/>
          </w:tcPr>
          <w:p>
            <w:pPr>
              <w:pStyle w:val="23"/>
              <w:spacing w:line="400" w:lineRule="exact"/>
              <w:rPr>
                <w:rFonts w:hint="eastAsia" w:ascii="宋体" w:hAnsi="宋体"/>
                <w:szCs w:val="21"/>
                <w:highlight w:val="none"/>
              </w:rPr>
            </w:pPr>
            <w:r>
              <w:rPr>
                <w:rFonts w:hint="eastAsia" w:asciiTheme="minorEastAsia" w:hAnsiTheme="minorEastAsia" w:eastAsiaTheme="minorEastAsia" w:cstheme="minorEastAsia"/>
                <w:bCs/>
                <w:highlight w:val="none"/>
                <w:lang w:val="en-US" w:eastAsia="zh-CN"/>
              </w:rPr>
              <w:t xml:space="preserve"> </w:t>
            </w:r>
            <w:r>
              <w:rPr>
                <w:rFonts w:hint="eastAsia" w:ascii="宋体" w:hAnsi="宋体"/>
                <w:szCs w:val="21"/>
                <w:highlight w:val="none"/>
              </w:rPr>
              <w:t xml:space="preserve">本项目采用“远程不见面”开标方式，远程开标大厅网址为http://122.112.246.33/BidOpening/bidopeninghallaction/hall/login。投标人不需到开标现场参加开标会议，不需提交原件资料等。 </w:t>
            </w:r>
          </w:p>
          <w:p>
            <w:pPr>
              <w:pStyle w:val="23"/>
              <w:spacing w:line="400" w:lineRule="exact"/>
              <w:rPr>
                <w:rFonts w:hint="eastAsia" w:ascii="宋体" w:hAnsi="宋体"/>
                <w:szCs w:val="21"/>
                <w:highlight w:val="none"/>
              </w:rPr>
            </w:pPr>
            <w:r>
              <w:rPr>
                <w:rFonts w:hint="eastAsia" w:ascii="宋体" w:hAnsi="宋体"/>
                <w:szCs w:val="21"/>
                <w:highlight w:val="none"/>
              </w:rPr>
              <w:t>（1）电子投标文件的递交</w:t>
            </w:r>
          </w:p>
          <w:p>
            <w:pPr>
              <w:pStyle w:val="23"/>
              <w:spacing w:line="400" w:lineRule="exact"/>
              <w:rPr>
                <w:rFonts w:hint="eastAsia" w:ascii="宋体" w:hAnsi="宋体"/>
                <w:szCs w:val="21"/>
                <w:highlight w:val="none"/>
              </w:rPr>
            </w:pPr>
            <w:r>
              <w:rPr>
                <w:rFonts w:hint="eastAsia" w:ascii="宋体" w:hAnsi="宋体"/>
                <w:szCs w:val="21"/>
                <w:highlight w:val="none"/>
              </w:rPr>
              <w:t>a、各投标人应在投标截</w:t>
            </w:r>
            <w:r>
              <w:rPr>
                <w:rFonts w:hint="eastAsia" w:hAnsi="宋体"/>
                <w:szCs w:val="21"/>
                <w:highlight w:val="none"/>
                <w:lang w:val="en-US" w:eastAsia="zh-CN"/>
              </w:rPr>
              <w:t>止</w:t>
            </w:r>
            <w:r>
              <w:rPr>
                <w:rFonts w:hint="eastAsia" w:ascii="宋体" w:hAnsi="宋体"/>
                <w:szCs w:val="21"/>
                <w:highlight w:val="none"/>
              </w:rPr>
              <w:t>时间前上传加密的电子投标文件</w:t>
            </w:r>
          </w:p>
          <w:p>
            <w:pPr>
              <w:pStyle w:val="23"/>
              <w:spacing w:line="400" w:lineRule="exact"/>
              <w:rPr>
                <w:rFonts w:hint="eastAsia" w:ascii="宋体" w:hAnsi="宋体"/>
                <w:szCs w:val="21"/>
                <w:highlight w:val="none"/>
              </w:rPr>
            </w:pPr>
            <w:r>
              <w:rPr>
                <w:rFonts w:hint="eastAsia" w:ascii="宋体" w:hAnsi="宋体"/>
                <w:szCs w:val="21"/>
                <w:highlight w:val="none"/>
              </w:rPr>
              <w:t>（.jztf 格式）到会员系统的指定位置。上传时必须得到电脑“上传成功”的确认回复。请投标人在上传时认真检查上传投标文件是否完整、正确。</w:t>
            </w:r>
          </w:p>
          <w:p>
            <w:pPr>
              <w:pStyle w:val="23"/>
              <w:spacing w:line="400" w:lineRule="exact"/>
              <w:rPr>
                <w:rFonts w:hint="eastAsia" w:ascii="宋体" w:hAnsi="宋体"/>
                <w:szCs w:val="21"/>
                <w:highlight w:val="none"/>
              </w:rPr>
            </w:pPr>
            <w:r>
              <w:rPr>
                <w:rFonts w:hint="eastAsia" w:ascii="宋体" w:hAnsi="宋体"/>
                <w:szCs w:val="21"/>
                <w:highlight w:val="none"/>
              </w:rPr>
              <w:t>b、如系统故故障需上传非加密文件时，投标人应按照</w:t>
            </w:r>
            <w:r>
              <w:rPr>
                <w:rFonts w:hint="eastAsia" w:hAnsi="宋体"/>
                <w:szCs w:val="21"/>
                <w:highlight w:val="none"/>
                <w:lang w:eastAsia="zh-CN"/>
              </w:rPr>
              <w:t>采购</w:t>
            </w:r>
            <w:r>
              <w:rPr>
                <w:rFonts w:hint="eastAsia" w:ascii="宋体" w:hAnsi="宋体"/>
                <w:szCs w:val="21"/>
                <w:highlight w:val="none"/>
              </w:rPr>
              <w:t>人指示将非加密文件递交给</w:t>
            </w:r>
            <w:r>
              <w:rPr>
                <w:rFonts w:hint="eastAsia" w:hAnsi="宋体"/>
                <w:szCs w:val="21"/>
                <w:highlight w:val="none"/>
                <w:lang w:eastAsia="zh-CN"/>
              </w:rPr>
              <w:t>采购</w:t>
            </w:r>
            <w:r>
              <w:rPr>
                <w:rFonts w:hint="eastAsia" w:ascii="宋体" w:hAnsi="宋体"/>
                <w:szCs w:val="21"/>
                <w:highlight w:val="none"/>
              </w:rPr>
              <w:t>人。</w:t>
            </w:r>
          </w:p>
          <w:p>
            <w:pPr>
              <w:pStyle w:val="23"/>
              <w:spacing w:line="360" w:lineRule="exact"/>
              <w:rPr>
                <w:rFonts w:hint="eastAsia"/>
                <w:color w:val="0000FF"/>
                <w:sz w:val="21"/>
                <w:szCs w:val="21"/>
                <w:highlight w:val="none"/>
                <w:lang w:eastAsia="zh-CN"/>
              </w:rPr>
            </w:pPr>
            <w:r>
              <w:rPr>
                <w:rFonts w:hint="eastAsia" w:ascii="宋体" w:hAnsi="宋体"/>
                <w:szCs w:val="21"/>
                <w:highlight w:val="none"/>
              </w:rPr>
              <w:t>C、投标人因交易中心投标系统无法上传电子投标文件时， 请在工作时间与</w:t>
            </w:r>
            <w:r>
              <w:rPr>
                <w:rFonts w:hint="eastAsia" w:ascii="宋体" w:hAnsi="宋体"/>
                <w:color w:val="auto"/>
                <w:szCs w:val="21"/>
                <w:highlight w:val="none"/>
              </w:rPr>
              <w:t>博爱县公共资源交易中心</w:t>
            </w:r>
            <w:r>
              <w:rPr>
                <w:rFonts w:hint="eastAsia" w:ascii="宋体" w:hAnsi="宋体"/>
                <w:szCs w:val="21"/>
                <w:highlight w:val="none"/>
              </w:rPr>
              <w:t>联系，联系电话：03</w:t>
            </w:r>
            <w:r>
              <w:rPr>
                <w:rFonts w:hint="eastAsia" w:ascii="宋体" w:hAnsi="宋体"/>
                <w:color w:val="auto"/>
                <w:szCs w:val="21"/>
                <w:highlight w:val="none"/>
              </w:rPr>
              <w:t>91-</w:t>
            </w:r>
            <w:r>
              <w:rPr>
                <w:rFonts w:hint="eastAsia" w:hAnsi="宋体"/>
                <w:color w:val="auto"/>
                <w:szCs w:val="21"/>
                <w:highlight w:val="none"/>
                <w:lang w:val="en-US" w:eastAsia="zh-CN"/>
              </w:rPr>
              <w:t>8301661</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4.2.3</w:t>
            </w:r>
          </w:p>
        </w:tc>
        <w:tc>
          <w:tcPr>
            <w:tcW w:w="2318"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是否退还投标文件</w:t>
            </w:r>
          </w:p>
        </w:tc>
        <w:tc>
          <w:tcPr>
            <w:tcW w:w="6041" w:type="dxa"/>
            <w:vAlign w:val="center"/>
          </w:tcPr>
          <w:p>
            <w:pPr>
              <w:pStyle w:val="23"/>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5.1</w:t>
            </w:r>
          </w:p>
        </w:tc>
        <w:tc>
          <w:tcPr>
            <w:tcW w:w="2318" w:type="dxa"/>
            <w:vAlign w:val="center"/>
          </w:tcPr>
          <w:p>
            <w:pPr>
              <w:pStyle w:val="23"/>
              <w:spacing w:line="360" w:lineRule="exact"/>
              <w:jc w:val="center"/>
              <w:rPr>
                <w:rFonts w:hint="default" w:asciiTheme="minorEastAsia" w:hAnsiTheme="minorEastAsia" w:eastAsiaTheme="minorEastAsia" w:cstheme="minorEastAsia"/>
                <w:color w:val="auto"/>
                <w:highlight w:val="none"/>
                <w:lang w:val="en-US" w:eastAsia="zh-CN"/>
              </w:rPr>
            </w:pPr>
            <w:r>
              <w:rPr>
                <w:rFonts w:asciiTheme="minorEastAsia" w:hAnsiTheme="minorEastAsia" w:eastAsiaTheme="minorEastAsia" w:cstheme="minorEastAsia"/>
                <w:color w:val="auto"/>
                <w:highlight w:val="none"/>
              </w:rPr>
              <w:t>开标时间</w:t>
            </w:r>
            <w:r>
              <w:rPr>
                <w:rFonts w:hint="eastAsia" w:asciiTheme="minorEastAsia" w:hAnsiTheme="minorEastAsia" w:eastAsiaTheme="minorEastAsia" w:cstheme="minorEastAsia"/>
                <w:color w:val="auto"/>
                <w:highlight w:val="none"/>
                <w:lang w:val="en-US" w:eastAsia="zh-CN"/>
              </w:rPr>
              <w:t>和地点</w:t>
            </w:r>
          </w:p>
        </w:tc>
        <w:tc>
          <w:tcPr>
            <w:tcW w:w="6041" w:type="dxa"/>
            <w:vAlign w:val="center"/>
          </w:tcPr>
          <w:p>
            <w:pPr>
              <w:adjustRightInd w:val="0"/>
              <w:snapToGrid w:val="0"/>
              <w:spacing w:line="400" w:lineRule="exact"/>
              <w:ind w:firstLine="0" w:firstLineChars="0"/>
              <w:rPr>
                <w:rFonts w:hint="eastAsia" w:ascii="宋体" w:hAnsi="宋体"/>
                <w:color w:val="auto"/>
                <w:szCs w:val="21"/>
                <w:highlight w:val="none"/>
              </w:rPr>
            </w:pPr>
            <w:r>
              <w:rPr>
                <w:rFonts w:hint="eastAsia" w:ascii="宋体" w:hAnsi="宋体"/>
                <w:color w:val="auto"/>
                <w:szCs w:val="21"/>
                <w:highlight w:val="none"/>
              </w:rPr>
              <w:t>开标时间：同投标截止时间。投标人应当在投标截止时间前，登录远程开标大厅，凭制作投标文件所用的企业 CA 密匙在线签到、解密文件等，解密时间为投标截止时后30分钟内。</w:t>
            </w:r>
          </w:p>
          <w:p>
            <w:pPr>
              <w:spacing w:line="360" w:lineRule="exact"/>
              <w:ind w:left="700" w:hanging="700"/>
              <w:jc w:val="left"/>
              <w:rPr>
                <w:rFonts w:asciiTheme="minorEastAsia" w:hAnsiTheme="minorEastAsia" w:eastAsiaTheme="minorEastAsia" w:cstheme="minorEastAsia"/>
                <w:color w:val="auto"/>
                <w:highlight w:val="none"/>
              </w:rPr>
            </w:pPr>
            <w:r>
              <w:rPr>
                <w:rFonts w:hint="eastAsia" w:ascii="宋体" w:hAnsi="宋体"/>
                <w:color w:val="auto"/>
                <w:szCs w:val="21"/>
                <w:highlight w:val="none"/>
              </w:rPr>
              <w:t>现场开标地点：博爱县公共资源交易中心二楼第</w:t>
            </w:r>
            <w:r>
              <w:rPr>
                <w:rFonts w:hint="eastAsia" w:ascii="宋体" w:hAnsi="宋体"/>
                <w:color w:val="auto"/>
                <w:szCs w:val="21"/>
                <w:highlight w:val="none"/>
                <w:lang w:val="en-US" w:eastAsia="zh-CN"/>
              </w:rPr>
              <w:t>一</w:t>
            </w:r>
            <w:r>
              <w:rPr>
                <w:rFonts w:hint="eastAsia" w:ascii="宋体" w:hAnsi="宋体"/>
                <w:color w:val="auto"/>
                <w:szCs w:val="21"/>
                <w:highlight w:val="none"/>
              </w:rPr>
              <w:t>开标室</w:t>
            </w:r>
            <w:r>
              <w:rPr>
                <w:rFonts w:hint="eastAsia" w:hAnsi="宋体"/>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w:t>
            </w:r>
          </w:p>
        </w:tc>
        <w:tc>
          <w:tcPr>
            <w:tcW w:w="2318" w:type="dxa"/>
            <w:vAlign w:val="center"/>
          </w:tcPr>
          <w:p>
            <w:pPr>
              <w:adjustRightInd w:val="0"/>
              <w:snapToGrid w:val="0"/>
              <w:spacing w:line="400" w:lineRule="exact"/>
              <w:ind w:firstLine="0" w:firstLineChars="0"/>
              <w:rPr>
                <w:rFonts w:hint="eastAsia" w:ascii="宋体" w:hAnsi="宋体" w:eastAsia="宋体"/>
                <w:color w:val="auto"/>
                <w:szCs w:val="21"/>
                <w:highlight w:val="none"/>
              </w:rPr>
            </w:pPr>
            <w:r>
              <w:rPr>
                <w:rFonts w:hint="eastAsia" w:ascii="宋体" w:hAnsi="宋体" w:eastAsia="宋体"/>
                <w:color w:val="auto"/>
                <w:szCs w:val="21"/>
                <w:highlight w:val="none"/>
              </w:rPr>
              <w:t>评标委员会的组建</w:t>
            </w:r>
          </w:p>
        </w:tc>
        <w:tc>
          <w:tcPr>
            <w:tcW w:w="6041" w:type="dxa"/>
            <w:vAlign w:val="center"/>
          </w:tcPr>
          <w:p>
            <w:pPr>
              <w:adjustRightInd w:val="0"/>
              <w:snapToGrid w:val="0"/>
              <w:spacing w:line="400" w:lineRule="exact"/>
              <w:ind w:firstLine="0" w:firstLineChars="0"/>
              <w:rPr>
                <w:rFonts w:hint="eastAsia" w:ascii="宋体" w:hAnsi="宋体" w:eastAsia="宋体"/>
                <w:color w:val="auto"/>
                <w:szCs w:val="21"/>
                <w:highlight w:val="none"/>
              </w:rPr>
            </w:pPr>
            <w:r>
              <w:rPr>
                <w:rFonts w:hint="eastAsia" w:ascii="宋体" w:hAnsi="宋体" w:eastAsia="宋体"/>
                <w:color w:val="auto"/>
                <w:szCs w:val="21"/>
                <w:highlight w:val="none"/>
              </w:rPr>
              <w:t>评标委员会构成：评标委员会由</w:t>
            </w:r>
            <w:r>
              <w:rPr>
                <w:rFonts w:hint="eastAsia" w:ascii="宋体" w:hAnsi="宋体" w:eastAsia="宋体"/>
                <w:color w:val="auto"/>
                <w:szCs w:val="21"/>
                <w:highlight w:val="none"/>
                <w:lang w:eastAsia="zh-CN"/>
              </w:rPr>
              <w:t>采购人</w:t>
            </w:r>
            <w:r>
              <w:rPr>
                <w:rFonts w:hint="eastAsia" w:ascii="宋体" w:hAnsi="宋体" w:eastAsia="宋体"/>
                <w:color w:val="auto"/>
                <w:szCs w:val="21"/>
                <w:highlight w:val="none"/>
              </w:rPr>
              <w:t>在开标前按照有关法律法规规定组建，人数共</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人，由采购人代表</w:t>
            </w:r>
            <w:r>
              <w:rPr>
                <w:rFonts w:hint="eastAsia" w:ascii="宋体" w:hAnsi="宋体" w:eastAsia="宋体"/>
                <w:color w:val="auto"/>
                <w:szCs w:val="21"/>
                <w:highlight w:val="none"/>
                <w:lang w:val="en-US" w:eastAsia="zh-CN"/>
              </w:rPr>
              <w:t>1人</w:t>
            </w:r>
            <w:r>
              <w:rPr>
                <w:rFonts w:hint="eastAsia" w:ascii="宋体" w:hAnsi="宋体" w:eastAsia="宋体"/>
                <w:color w:val="auto"/>
                <w:szCs w:val="21"/>
                <w:highlight w:val="none"/>
              </w:rPr>
              <w:t>和</w:t>
            </w:r>
            <w:r>
              <w:rPr>
                <w:rFonts w:hint="eastAsia" w:ascii="宋体" w:hAnsi="宋体" w:eastAsia="宋体"/>
                <w:color w:val="auto"/>
                <w:szCs w:val="21"/>
                <w:highlight w:val="none"/>
                <w:lang w:val="en-US" w:eastAsia="zh-CN"/>
              </w:rPr>
              <w:t>政府采购专家库中随机抽取</w:t>
            </w:r>
            <w:r>
              <w:rPr>
                <w:rFonts w:hint="eastAsia" w:ascii="宋体" w:hAnsi="宋体" w:eastAsia="宋体"/>
                <w:color w:val="auto"/>
                <w:szCs w:val="21"/>
                <w:highlight w:val="none"/>
              </w:rPr>
              <w:t>的</w:t>
            </w:r>
            <w:r>
              <w:rPr>
                <w:rFonts w:hint="eastAsia" w:ascii="宋体" w:hAnsi="宋体" w:eastAsia="宋体"/>
                <w:color w:val="auto"/>
                <w:szCs w:val="21"/>
                <w:highlight w:val="none"/>
                <w:lang w:eastAsia="zh-CN"/>
              </w:rPr>
              <w:t>评审</w:t>
            </w:r>
            <w:r>
              <w:rPr>
                <w:rFonts w:hint="eastAsia" w:ascii="宋体" w:hAnsi="宋体" w:eastAsia="宋体"/>
                <w:color w:val="auto"/>
                <w:szCs w:val="21"/>
                <w:highlight w:val="none"/>
              </w:rPr>
              <w:t>专家</w:t>
            </w:r>
            <w:r>
              <w:rPr>
                <w:rFonts w:hint="eastAsia" w:ascii="宋体" w:hAnsi="宋体" w:eastAsia="宋体"/>
                <w:color w:val="auto"/>
                <w:szCs w:val="21"/>
                <w:highlight w:val="none"/>
                <w:lang w:val="en-US" w:eastAsia="zh-CN"/>
              </w:rPr>
              <w:t>4人</w:t>
            </w:r>
            <w:r>
              <w:rPr>
                <w:rFonts w:hint="eastAsia" w:ascii="宋体" w:hAnsi="宋体" w:eastAsia="宋体"/>
                <w:color w:val="auto"/>
                <w:szCs w:val="21"/>
                <w:highlight w:val="none"/>
              </w:rPr>
              <w:t>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是否授权评标委员会确定中标人</w:t>
            </w:r>
          </w:p>
        </w:tc>
        <w:tc>
          <w:tcPr>
            <w:tcW w:w="6041" w:type="dxa"/>
            <w:vAlign w:val="center"/>
          </w:tcPr>
          <w:p>
            <w:pPr>
              <w:spacing w:line="38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否，由评标委员会从认定的合理报价中，按得分由</w:t>
            </w:r>
            <w:r>
              <w:rPr>
                <w:rFonts w:hint="eastAsia" w:asciiTheme="minorEastAsia" w:hAnsiTheme="minorEastAsia" w:eastAsiaTheme="minorEastAsia" w:cstheme="minorEastAsia"/>
                <w:color w:val="auto"/>
                <w:szCs w:val="21"/>
                <w:highlight w:val="none"/>
              </w:rPr>
              <w:t>高到</w:t>
            </w:r>
            <w:r>
              <w:rPr>
                <w:rFonts w:hint="eastAsia" w:asciiTheme="minorEastAsia" w:hAnsiTheme="minorEastAsia" w:eastAsiaTheme="minorEastAsia" w:cstheme="minorEastAsia"/>
                <w:color w:val="auto"/>
                <w:szCs w:val="21"/>
                <w:highlight w:val="none"/>
                <w:lang w:val="en-US" w:eastAsia="zh-CN"/>
              </w:rPr>
              <w:t>低</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szCs w:val="21"/>
              </w:rPr>
              <w:t>顺序，依次推荐1～3名中标候选人。</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w:t>
            </w:r>
          </w:p>
          <w:p>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非因不可抗力因素放弃中标的，或排名第一的中标候选人未按规定期限与招标人签订合同的，</w:t>
            </w:r>
            <w:r>
              <w:rPr>
                <w:rFonts w:hint="eastAsia" w:asciiTheme="minorEastAsia" w:hAnsiTheme="minorEastAsia" w:eastAsiaTheme="minorEastAsia" w:cstheme="minorEastAsia"/>
                <w:szCs w:val="21"/>
                <w:lang w:eastAsia="zh-CN"/>
              </w:rPr>
              <w:t>将由相关行政监督部门按规定处理。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7.2</w:t>
            </w:r>
          </w:p>
        </w:tc>
        <w:tc>
          <w:tcPr>
            <w:tcW w:w="2318" w:type="dxa"/>
            <w:vAlign w:val="center"/>
          </w:tcPr>
          <w:p>
            <w:pPr>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投标保证金</w:t>
            </w:r>
          </w:p>
        </w:tc>
        <w:tc>
          <w:tcPr>
            <w:tcW w:w="6041" w:type="dxa"/>
            <w:vAlign w:val="center"/>
          </w:tcPr>
          <w:p>
            <w:pPr>
              <w:spacing w:line="380" w:lineRule="exact"/>
              <w:ind w:firstLine="420" w:firstLine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23"/>
              <w:spacing w:line="360" w:lineRule="exact"/>
              <w:jc w:val="center"/>
              <w:rPr>
                <w:rFonts w:hint="eastAsia" w:asciiTheme="minorEastAsia" w:hAnsiTheme="minorEastAsia" w:eastAsiaTheme="minorEastAsia" w:cstheme="minorEastAsia"/>
                <w:highlight w:val="none"/>
                <w:lang w:val="en-US" w:eastAsia="zh-CN"/>
              </w:rPr>
            </w:pPr>
            <w:r>
              <w:rPr>
                <w:rFonts w:asciiTheme="minorEastAsia" w:hAnsiTheme="minorEastAsia" w:eastAsiaTheme="minorEastAsia" w:cstheme="minorEastAsia"/>
                <w:highlight w:val="none"/>
              </w:rPr>
              <w:t>7.</w:t>
            </w:r>
            <w:r>
              <w:rPr>
                <w:rFonts w:hint="eastAsia" w:asciiTheme="minorEastAsia" w:hAnsiTheme="minorEastAsia" w:eastAsiaTheme="minorEastAsia" w:cstheme="minorEastAsia"/>
                <w:highlight w:val="none"/>
                <w:lang w:val="en-US" w:eastAsia="zh-CN"/>
              </w:rPr>
              <w:t>3</w:t>
            </w:r>
          </w:p>
        </w:tc>
        <w:tc>
          <w:tcPr>
            <w:tcW w:w="2318" w:type="dxa"/>
            <w:shd w:val="clear" w:color="auto" w:fill="auto"/>
            <w:vAlign w:val="center"/>
          </w:tcPr>
          <w:p>
            <w:pPr>
              <w:spacing w:line="360" w:lineRule="exact"/>
              <w:jc w:val="center"/>
              <w:rPr>
                <w:rFonts w:hint="eastAsia" w:asciiTheme="minorEastAsia" w:hAnsiTheme="minorEastAsia" w:eastAsiaTheme="minorEastAsia" w:cstheme="minorEastAsia"/>
                <w:color w:val="auto"/>
                <w:szCs w:val="21"/>
                <w:highlight w:val="none"/>
                <w:lang w:eastAsia="zh-CN"/>
              </w:rPr>
            </w:pPr>
            <w:r>
              <w:rPr>
                <w:rFonts w:hint="eastAsia" w:ascii="宋体" w:hAnsi="Courier New"/>
                <w:color w:val="auto"/>
                <w:szCs w:val="21"/>
                <w:highlight w:val="none"/>
              </w:rPr>
              <w:t>履约保证金</w:t>
            </w:r>
          </w:p>
        </w:tc>
        <w:tc>
          <w:tcPr>
            <w:tcW w:w="6041" w:type="dxa"/>
            <w:shd w:val="clear" w:color="auto" w:fill="auto"/>
            <w:vAlign w:val="center"/>
          </w:tcPr>
          <w:p>
            <w:pPr>
              <w:spacing w:line="400" w:lineRule="exact"/>
              <w:rPr>
                <w:rFonts w:hint="eastAsia"/>
                <w:color w:val="auto"/>
                <w:highlight w:val="none"/>
              </w:rPr>
            </w:pPr>
            <w:r>
              <w:rPr>
                <w:rFonts w:hint="eastAsia"/>
                <w:color w:val="auto"/>
                <w:highlight w:val="none"/>
              </w:rPr>
              <w:t>履约担保的金额：中标价的</w:t>
            </w:r>
            <w:r>
              <w:rPr>
                <w:rFonts w:hint="eastAsia"/>
                <w:color w:val="auto"/>
                <w:highlight w:val="none"/>
                <w:lang w:val="en-US" w:eastAsia="zh-CN"/>
              </w:rPr>
              <w:t>10</w:t>
            </w:r>
            <w:r>
              <w:rPr>
                <w:rFonts w:hint="eastAsia"/>
                <w:color w:val="auto"/>
                <w:highlight w:val="none"/>
              </w:rPr>
              <w:t>%</w:t>
            </w:r>
          </w:p>
          <w:p>
            <w:pPr>
              <w:spacing w:line="380" w:lineRule="exac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履约保证金的形式包括：转账或银行保函（自设备正常运行，达标排放后退还）。履约保证金在合同签订后一周内交到采购人指定账户，由采购人负责监督。如发现中标企业有挂靠、不按期供货、中途退场、违规分包转包等情况，将全额扣除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hint="eastAsia" w:asciiTheme="minorEastAsia" w:hAnsiTheme="minorEastAsia" w:eastAsiaTheme="minorEastAsia" w:cstheme="minorEastAsia"/>
                <w:b/>
                <w:szCs w:val="21"/>
                <w:lang w:eastAsia="zh-CN"/>
              </w:rPr>
            </w:pPr>
            <w:r>
              <w:rPr>
                <w:rFonts w:hint="eastAsia" w:asciiTheme="minorEastAsia" w:hAnsiTheme="minorEastAsia" w:eastAsiaTheme="minorEastAsia" w:cstheme="minorEastAsia"/>
                <w:bCs/>
                <w:szCs w:val="21"/>
                <w:lang w:val="en-US" w:eastAsia="zh-CN"/>
              </w:rPr>
              <w:t>8</w:t>
            </w:r>
          </w:p>
        </w:tc>
        <w:tc>
          <w:tcPr>
            <w:tcW w:w="8359" w:type="dxa"/>
            <w:gridSpan w:val="2"/>
            <w:vAlign w:val="bottom"/>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.1</w:t>
            </w:r>
          </w:p>
        </w:tc>
        <w:tc>
          <w:tcPr>
            <w:tcW w:w="2318" w:type="dxa"/>
            <w:vAlign w:val="center"/>
          </w:tcPr>
          <w:p>
            <w:pPr>
              <w:spacing w:line="360" w:lineRule="exact"/>
              <w:jc w:val="center"/>
              <w:rPr>
                <w:rFonts w:hint="eastAsia" w:asciiTheme="minorEastAsia" w:hAnsiTheme="minorEastAsia" w:eastAsiaTheme="minorEastAsia" w:cstheme="minorEastAsia"/>
                <w:szCs w:val="21"/>
                <w:highlight w:val="yellow"/>
                <w:lang w:eastAsia="zh-CN"/>
              </w:rPr>
            </w:pPr>
            <w:r>
              <w:rPr>
                <w:rFonts w:hint="eastAsia" w:asciiTheme="minorEastAsia" w:hAnsiTheme="minorEastAsia" w:eastAsiaTheme="minorEastAsia" w:cstheme="minorEastAsia"/>
                <w:szCs w:val="21"/>
                <w:highlight w:val="none"/>
                <w:lang w:val="en-US" w:eastAsia="zh-CN"/>
              </w:rPr>
              <w:t>预算金额</w:t>
            </w:r>
          </w:p>
        </w:tc>
        <w:tc>
          <w:tcPr>
            <w:tcW w:w="6041" w:type="dxa"/>
            <w:vAlign w:val="bottom"/>
          </w:tcPr>
          <w:p>
            <w:pPr>
              <w:numPr>
                <w:ilvl w:val="0"/>
                <w:numId w:val="0"/>
              </w:numPr>
              <w:spacing w:line="440" w:lineRule="exact"/>
              <w:rPr>
                <w:rFonts w:hint="eastAsia"/>
                <w:lang w:val="en-US" w:eastAsia="zh-CN"/>
              </w:rPr>
            </w:pPr>
            <w:r>
              <w:rPr>
                <w:rFonts w:hint="eastAsia"/>
                <w:lang w:val="en-US" w:eastAsia="zh-CN"/>
              </w:rPr>
              <w:t>1、预算金额：170元/吨（出水）</w:t>
            </w:r>
          </w:p>
          <w:p>
            <w:pPr>
              <w:numPr>
                <w:ilvl w:val="0"/>
                <w:numId w:val="0"/>
              </w:numPr>
              <w:spacing w:line="440" w:lineRule="exact"/>
              <w:rPr>
                <w:rFonts w:hint="eastAsia"/>
                <w:lang w:val="en-US" w:eastAsia="zh-CN"/>
              </w:rPr>
            </w:pPr>
            <w:r>
              <w:rPr>
                <w:rFonts w:hint="eastAsia"/>
                <w:lang w:val="en-US" w:eastAsia="zh-CN"/>
              </w:rPr>
              <w:t>2、超过预算金额的投标报价，采购人将不予接受。</w:t>
            </w:r>
          </w:p>
          <w:p>
            <w:pPr>
              <w:spacing w:line="380" w:lineRule="exact"/>
            </w:pPr>
            <w:r>
              <w:rPr>
                <w:rFonts w:hint="eastAsia" w:asciiTheme="minorEastAsia" w:hAnsiTheme="minorEastAsia" w:eastAsiaTheme="minorEastAsia" w:cstheme="minorEastAsia"/>
                <w:szCs w:val="21"/>
                <w:lang w:val="en-US" w:eastAsia="zh-CN"/>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小型或微型企业（含监狱企业）</w:t>
            </w:r>
          </w:p>
        </w:tc>
        <w:tc>
          <w:tcPr>
            <w:tcW w:w="6041" w:type="dxa"/>
            <w:vAlign w:val="center"/>
          </w:tcPr>
          <w:p>
            <w:pPr>
              <w:autoSpaceDE w:val="0"/>
              <w:autoSpaceDN w:val="0"/>
              <w:adjustRightInd w:val="0"/>
              <w:spacing w:line="50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1、对小型或微型企业投标的扶持：(如有）</w:t>
            </w:r>
          </w:p>
          <w:p>
            <w:pPr>
              <w:autoSpaceDE w:val="0"/>
              <w:autoSpaceDN w:val="0"/>
              <w:adjustRightInd w:val="0"/>
              <w:spacing w:line="50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1.1投标供应商为小型或微型企业时，报价给予C1的价格扣除（C1的取值为6%），即：评标价＝投标报价（最后报价）×(1－C1）；</w:t>
            </w:r>
          </w:p>
          <w:p>
            <w:pPr>
              <w:autoSpaceDE w:val="0"/>
              <w:autoSpaceDN w:val="0"/>
              <w:adjustRightInd w:val="0"/>
              <w:spacing w:line="50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小微企业应当提供《中小企业声明函》（见格式）。</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1.2按照</w:t>
            </w:r>
            <w:r>
              <w:rPr>
                <w:rFonts w:hint="eastAsia" w:ascii="宋体" w:hAnsi="宋体" w:cs="宋体"/>
                <w:color w:val="000000" w:themeColor="text1"/>
                <w:kern w:val="0"/>
                <w:sz w:val="24"/>
                <w:szCs w:val="22"/>
              </w:rPr>
              <w:t>《</w:t>
            </w:r>
            <w:r>
              <w:rPr>
                <w:rFonts w:hint="eastAsia" w:ascii="宋体" w:hAnsi="宋体" w:cs="宋体"/>
                <w:color w:val="000000" w:themeColor="text1"/>
                <w:kern w:val="0"/>
                <w:szCs w:val="21"/>
              </w:rPr>
              <w:t>政府采购促进中小企业发展管理办法》有关规定，中小企业的标准为：</w:t>
            </w:r>
          </w:p>
          <w:p>
            <w:pPr>
              <w:autoSpaceDE w:val="0"/>
              <w:autoSpaceDN w:val="0"/>
              <w:adjustRightInd w:val="0"/>
              <w:spacing w:line="50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1.2.1提供本企业制造的货物、承担的工程或者服务，或者提供其他中小企业制造的货物，不包括提供或使用大型企业注册商标的货物；</w:t>
            </w:r>
          </w:p>
          <w:p>
            <w:pPr>
              <w:autoSpaceDE w:val="0"/>
              <w:autoSpaceDN w:val="0"/>
              <w:adjustRightInd w:val="0"/>
              <w:spacing w:line="50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1.2.2本规定所称中小企业划分标准，是指国务院有关部门根据企业从业人员、营业收入、资产总额等指标制定的中小企业划型标准（工信部联企业[2011]300号）；</w:t>
            </w:r>
          </w:p>
          <w:p>
            <w:pPr>
              <w:autoSpaceDE w:val="0"/>
              <w:autoSpaceDN w:val="0"/>
              <w:adjustRightInd w:val="0"/>
              <w:spacing w:line="50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1.2.3小型、微型企业提供有中型企业制造的货物的，视同为中型企业；小型、微型、中型企业提供有大型企业制造的货物的，视同为大型企业。</w:t>
            </w:r>
          </w:p>
          <w:p>
            <w:pPr>
              <w:spacing w:line="440" w:lineRule="exact"/>
              <w:rPr>
                <w:rFonts w:ascii="宋体" w:hAnsi="宋体" w:cs="宋体"/>
                <w:bCs/>
                <w:color w:val="000000" w:themeColor="text1"/>
              </w:rPr>
            </w:pPr>
            <w:r>
              <w:rPr>
                <w:rFonts w:hint="eastAsia" w:ascii="宋体" w:hAnsi="宋体" w:cs="宋体"/>
                <w:bCs/>
                <w:color w:val="000000" w:themeColor="text1"/>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6%的扣除。</w:t>
            </w:r>
          </w:p>
          <w:p>
            <w:pPr>
              <w:spacing w:line="440" w:lineRule="exact"/>
              <w:ind w:firstLine="420" w:firstLineChars="200"/>
              <w:rPr>
                <w:rFonts w:asciiTheme="minorEastAsia" w:hAnsiTheme="minorEastAsia" w:eastAsiaTheme="minorEastAsia" w:cstheme="minorEastAsia"/>
                <w:szCs w:val="21"/>
              </w:rPr>
            </w:pPr>
            <w:r>
              <w:rPr>
                <w:rFonts w:hint="eastAsia" w:ascii="宋体" w:hAnsi="宋体" w:cs="宋体"/>
                <w:bCs/>
                <w:color w:val="000000" w:themeColor="text1"/>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spacing w:line="36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3</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招标代理服务费</w:t>
            </w:r>
          </w:p>
        </w:tc>
        <w:tc>
          <w:tcPr>
            <w:tcW w:w="6041" w:type="dxa"/>
            <w:vAlign w:val="center"/>
          </w:tcPr>
          <w:p>
            <w:pPr>
              <w:spacing w:line="440" w:lineRule="exact"/>
              <w:rPr>
                <w:rFonts w:hint="eastAsia" w:ascii="宋体" w:hAnsi="宋体" w:eastAsia="宋体" w:cs="宋体"/>
                <w:bCs/>
                <w:color w:val="000000" w:themeColor="text1"/>
              </w:rPr>
            </w:pPr>
            <w:r>
              <w:rPr>
                <w:rFonts w:hint="eastAsia" w:ascii="宋体" w:hAnsi="宋体" w:eastAsia="宋体" w:cs="宋体"/>
                <w:bCs/>
                <w:color w:val="000000" w:themeColor="text1"/>
                <w:lang w:val="en-US" w:eastAsia="zh-CN"/>
              </w:rPr>
              <w:t>1、</w:t>
            </w:r>
            <w:r>
              <w:rPr>
                <w:rFonts w:hint="eastAsia" w:ascii="宋体" w:hAnsi="宋体" w:eastAsia="宋体" w:cs="宋体"/>
                <w:bCs/>
                <w:color w:val="000000" w:themeColor="text1"/>
              </w:rPr>
              <w:t>参照原国家计委《招标代理服务收费管理暂行办法》（计价格【2002】1980号）和《国家发展和改革委员会办公厅关于招标代理服务费有关问题的通知》（发改办价格【2003】857号）以及《国家发展改革委关于降低部分建设项目收费标准规范收费行为等有关问题的通知》（发改价格[2011]534号）</w:t>
            </w:r>
            <w:r>
              <w:rPr>
                <w:rFonts w:hint="eastAsia" w:ascii="宋体" w:hAnsi="宋体" w:eastAsia="宋体" w:cs="宋体"/>
                <w:bCs/>
                <w:color w:val="000000" w:themeColor="text1"/>
                <w:lang w:eastAsia="zh-CN"/>
              </w:rPr>
              <w:t>，</w:t>
            </w:r>
            <w:r>
              <w:rPr>
                <w:rFonts w:hint="eastAsia" w:ascii="宋体" w:hAnsi="宋体" w:eastAsia="宋体" w:cs="宋体"/>
                <w:bCs/>
                <w:color w:val="000000" w:themeColor="text1"/>
                <w:lang w:val="en-US" w:eastAsia="zh-CN"/>
              </w:rPr>
              <w:t>由中标人支付。</w:t>
            </w:r>
          </w:p>
          <w:p>
            <w:pPr>
              <w:spacing w:line="440" w:lineRule="exact"/>
            </w:pPr>
            <w:r>
              <w:rPr>
                <w:rFonts w:hint="eastAsia" w:ascii="宋体" w:hAnsi="宋体" w:eastAsia="宋体" w:cs="宋体"/>
                <w:bCs/>
                <w:color w:val="000000" w:themeColor="text1"/>
                <w:lang w:val="en-US" w:eastAsia="zh-CN"/>
              </w:rPr>
              <w:t>2、</w:t>
            </w:r>
            <w:r>
              <w:rPr>
                <w:rFonts w:hint="default" w:ascii="宋体" w:hAnsi="宋体" w:eastAsia="宋体" w:cs="宋体"/>
                <w:bCs/>
                <w:color w:val="000000" w:themeColor="text1"/>
                <w:lang w:val="en-US" w:eastAsia="zh-CN"/>
              </w:rPr>
              <w:t>中标人在</w:t>
            </w:r>
            <w:r>
              <w:rPr>
                <w:rFonts w:hint="eastAsia" w:ascii="宋体" w:hAnsi="宋体" w:eastAsia="宋体" w:cs="宋体"/>
                <w:bCs/>
                <w:color w:val="000000" w:themeColor="text1"/>
                <w:lang w:val="en-US" w:eastAsia="zh-CN"/>
              </w:rPr>
              <w:t>领取中标通知书时，将</w:t>
            </w:r>
            <w:r>
              <w:rPr>
                <w:rFonts w:hint="default" w:ascii="宋体" w:hAnsi="宋体" w:eastAsia="宋体" w:cs="宋体"/>
                <w:bCs/>
                <w:color w:val="000000" w:themeColor="text1"/>
                <w:lang w:val="en-US" w:eastAsia="zh-CN"/>
              </w:rPr>
              <w:t>投标文件纸质版</w:t>
            </w:r>
            <w:r>
              <w:rPr>
                <w:rFonts w:hint="eastAsia" w:ascii="宋体" w:hAnsi="宋体" w:eastAsia="宋体" w:cs="宋体"/>
                <w:bCs/>
                <w:color w:val="000000" w:themeColor="text1"/>
                <w:lang w:val="en-US" w:eastAsia="zh-CN"/>
              </w:rPr>
              <w:t>打印</w:t>
            </w:r>
            <w:r>
              <w:rPr>
                <w:rFonts w:hint="eastAsia" w:ascii="宋体" w:hAnsi="宋体" w:eastAsia="宋体" w:cs="宋体"/>
                <w:bCs/>
                <w:color w:val="000000" w:themeColor="text1"/>
              </w:rPr>
              <w:t>装订</w:t>
            </w:r>
            <w:r>
              <w:rPr>
                <w:rFonts w:hint="eastAsia" w:ascii="宋体" w:hAnsi="宋体" w:eastAsia="宋体" w:cs="宋体"/>
                <w:bCs/>
                <w:color w:val="000000" w:themeColor="text1"/>
                <w:lang w:eastAsia="zh-CN"/>
              </w:rPr>
              <w:t>（</w:t>
            </w:r>
            <w:r>
              <w:rPr>
                <w:rFonts w:hint="eastAsia" w:ascii="宋体" w:hAnsi="宋体" w:eastAsia="宋体" w:cs="宋体"/>
                <w:bCs/>
                <w:color w:val="000000" w:themeColor="text1"/>
              </w:rPr>
              <w:t>投标文件正本</w:t>
            </w:r>
            <w:r>
              <w:rPr>
                <w:rFonts w:hint="eastAsia" w:ascii="宋体" w:hAnsi="宋体" w:eastAsia="宋体" w:cs="宋体"/>
                <w:bCs/>
                <w:color w:val="000000" w:themeColor="text1"/>
                <w:lang w:val="en-US" w:eastAsia="zh-CN"/>
              </w:rPr>
              <w:t>壹份和</w:t>
            </w:r>
            <w:r>
              <w:rPr>
                <w:rFonts w:hint="eastAsia" w:ascii="宋体" w:hAnsi="宋体" w:eastAsia="宋体" w:cs="宋体"/>
                <w:bCs/>
                <w:color w:val="000000" w:themeColor="text1"/>
              </w:rPr>
              <w:t>副本</w:t>
            </w:r>
            <w:r>
              <w:rPr>
                <w:rFonts w:hint="eastAsia" w:ascii="宋体" w:hAnsi="宋体" w:eastAsia="宋体" w:cs="宋体"/>
                <w:bCs/>
                <w:color w:val="000000" w:themeColor="text1"/>
                <w:lang w:val="en-US" w:eastAsia="zh-CN"/>
              </w:rPr>
              <w:t>肆份，</w:t>
            </w:r>
            <w:r>
              <w:rPr>
                <w:rFonts w:hint="eastAsia" w:ascii="宋体" w:hAnsi="宋体" w:eastAsia="宋体" w:cs="宋体"/>
                <w:bCs/>
                <w:color w:val="000000" w:themeColor="text1"/>
              </w:rPr>
              <w:t>每册应采用左侧粘贴方式</w:t>
            </w:r>
            <w:r>
              <w:rPr>
                <w:rFonts w:hint="eastAsia" w:ascii="宋体" w:hAnsi="宋体" w:eastAsia="宋体" w:cs="宋体"/>
                <w:bCs/>
                <w:color w:val="000000" w:themeColor="text1"/>
                <w:lang w:eastAsia="zh-CN"/>
              </w:rPr>
              <w:t>，</w:t>
            </w:r>
            <w:r>
              <w:rPr>
                <w:rFonts w:hint="eastAsia" w:ascii="宋体" w:hAnsi="宋体" w:eastAsia="宋体" w:cs="宋体"/>
                <w:bCs/>
                <w:color w:val="000000" w:themeColor="text1"/>
              </w:rPr>
              <w:t>不得采用活页装订</w:t>
            </w:r>
            <w:r>
              <w:rPr>
                <w:rFonts w:hint="eastAsia" w:ascii="宋体" w:hAnsi="宋体" w:eastAsia="宋体" w:cs="宋体"/>
                <w:bCs/>
                <w:color w:val="000000" w:themeColor="text1"/>
                <w:lang w:eastAsia="zh-CN"/>
              </w:rPr>
              <w:t>）递交采购人</w:t>
            </w:r>
            <w:r>
              <w:rPr>
                <w:rFonts w:hint="eastAsia" w:ascii="宋体" w:hAnsi="宋体" w:eastAsia="宋体" w:cs="宋体"/>
                <w:bCs/>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65" w:type="dxa"/>
            <w:vAlign w:val="center"/>
          </w:tcPr>
          <w:p>
            <w:pPr>
              <w:spacing w:line="36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4</w:t>
            </w:r>
          </w:p>
        </w:tc>
        <w:tc>
          <w:tcPr>
            <w:tcW w:w="231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认定为不响应招标文件的其它条件</w:t>
            </w:r>
          </w:p>
        </w:tc>
        <w:tc>
          <w:tcPr>
            <w:tcW w:w="6041" w:type="dxa"/>
            <w:vAlign w:val="center"/>
          </w:tcPr>
          <w:p>
            <w:pPr>
              <w:pStyle w:val="41"/>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1、未按招标文件明示的规定签字盖章的；</w:t>
            </w:r>
          </w:p>
          <w:p>
            <w:pPr>
              <w:pStyle w:val="41"/>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2、投标文件的关键内容（投标报价、供货及安装期、质量等）未填写或填写字迹模糊、达不到采购要求的；</w:t>
            </w:r>
          </w:p>
          <w:p>
            <w:pPr>
              <w:pStyle w:val="41"/>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3、投标报价超出招标控制价的；</w:t>
            </w:r>
          </w:p>
          <w:p>
            <w:pPr>
              <w:pStyle w:val="41"/>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4、供应商递交两份或多份内容不同的投标文件，或在一份投标文件中对同一招标项目有两个或多个报价，且未声明哪一个有效的；</w:t>
            </w:r>
          </w:p>
          <w:p>
            <w:pPr>
              <w:pStyle w:val="41"/>
              <w:ind w:left="0" w:leftChars="0" w:firstLine="0" w:firstLineChars="0"/>
              <w:rPr>
                <w:rFonts w:hint="eastAsia" w:asciiTheme="minorEastAsia" w:hAnsiTheme="minorEastAsia" w:eastAsiaTheme="minorEastAsia" w:cstheme="minorEastAsia"/>
                <w:color w:val="0000FF"/>
                <w:szCs w:val="21"/>
              </w:rPr>
            </w:pPr>
            <w:r>
              <w:rPr>
                <w:rFonts w:hint="eastAsia" w:asciiTheme="minorEastAsia" w:hAnsiTheme="minorEastAsia" w:eastAsiaTheme="minorEastAsia" w:cstheme="minorEastAsia"/>
                <w:szCs w:val="21"/>
              </w:rPr>
              <w:t>5、相关资格证明文件不合格的；</w:t>
            </w:r>
          </w:p>
          <w:p>
            <w:pPr>
              <w:pStyle w:val="41"/>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、附有采购人不能接受的条件的；</w:t>
            </w:r>
          </w:p>
          <w:p>
            <w:pPr>
              <w:pStyle w:val="41"/>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、有投标人存在“投标文件制作机器码一致”，则视其投标无效，并按照相关规定进行处理。</w:t>
            </w:r>
          </w:p>
          <w:p>
            <w:pPr>
              <w:adjustRightInd w:val="0"/>
              <w:snapToGrid w:val="0"/>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5" w:type="dxa"/>
            <w:vAlign w:val="center"/>
          </w:tcPr>
          <w:p>
            <w:pPr>
              <w:spacing w:line="36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5</w:t>
            </w:r>
          </w:p>
        </w:tc>
        <w:tc>
          <w:tcPr>
            <w:tcW w:w="8359" w:type="dxa"/>
            <w:gridSpan w:val="2"/>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本招标文件解释权归采购人</w:t>
            </w:r>
          </w:p>
        </w:tc>
      </w:tr>
    </w:tbl>
    <w:p>
      <w:pPr>
        <w:pStyle w:val="38"/>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7" w:name="_Toc403122491"/>
      <w:bookmarkStart w:id="8" w:name="_Toc23576"/>
      <w:bookmarkStart w:id="9" w:name="_Toc9048"/>
      <w:bookmarkStart w:id="10" w:name="_Toc426369479"/>
      <w:bookmarkStart w:id="11" w:name="_Toc426369491"/>
      <w:bookmarkStart w:id="12" w:name="_Toc403122503"/>
      <w:bookmarkStart w:id="13" w:name="_Toc26894"/>
      <w:r>
        <w:rPr>
          <w:rFonts w:hint="eastAsia" w:asciiTheme="minorEastAsia" w:hAnsiTheme="minorEastAsia" w:eastAsiaTheme="minorEastAsia" w:cstheme="minorEastAsia"/>
          <w:sz w:val="24"/>
          <w:szCs w:val="24"/>
        </w:rPr>
        <w:t>1. 总则</w:t>
      </w:r>
      <w:bookmarkEnd w:id="7"/>
      <w:bookmarkEnd w:id="8"/>
      <w:bookmarkEnd w:id="9"/>
      <w:bookmarkEnd w:id="10"/>
      <w:r>
        <w:rPr>
          <w:rFonts w:hint="eastAsia" w:asciiTheme="minorEastAsia" w:hAnsiTheme="minorEastAsia" w:eastAsiaTheme="minorEastAsia" w:cstheme="minorEastAsia"/>
          <w:sz w:val="24"/>
          <w:szCs w:val="24"/>
        </w:rPr>
        <w:t xml:space="preserve"> </w:t>
      </w:r>
    </w:p>
    <w:p>
      <w:pPr>
        <w:spacing w:line="500" w:lineRule="exact"/>
        <w:ind w:firstLine="482" w:firstLineChars="200"/>
        <w:rPr>
          <w:rFonts w:asciiTheme="minorEastAsia" w:hAnsiTheme="minorEastAsia" w:eastAsiaTheme="minorEastAsia" w:cstheme="minorEastAsia"/>
          <w:b/>
          <w:bCs/>
          <w:sz w:val="24"/>
        </w:rPr>
      </w:pPr>
      <w:bookmarkStart w:id="14" w:name="_Toc426369480"/>
      <w:bookmarkStart w:id="15" w:name="_Toc403122492"/>
      <w:bookmarkStart w:id="16" w:name="_Toc279599771"/>
      <w:bookmarkStart w:id="17" w:name="_Toc274249575"/>
      <w:r>
        <w:rPr>
          <w:rFonts w:hint="eastAsia" w:asciiTheme="minorEastAsia" w:hAnsiTheme="minorEastAsia" w:eastAsiaTheme="minorEastAsia" w:cstheme="minorEastAsia"/>
          <w:b/>
          <w:bCs/>
          <w:sz w:val="24"/>
        </w:rPr>
        <w:t>1.1 项目概况</w:t>
      </w:r>
      <w:bookmarkEnd w:id="14"/>
      <w:bookmarkEnd w:id="15"/>
      <w:bookmarkEnd w:id="16"/>
      <w:bookmarkEnd w:id="17"/>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 根据</w:t>
      </w:r>
      <w:r>
        <w:rPr>
          <w:rFonts w:hint="eastAsia" w:asciiTheme="minorEastAsia" w:hAnsiTheme="minorEastAsia" w:eastAsiaTheme="minorEastAsia" w:cstheme="minorEastAsia"/>
          <w:bCs/>
          <w:szCs w:val="21"/>
        </w:rPr>
        <w:t>《中华人民共和国政府采购法》</w:t>
      </w:r>
      <w:r>
        <w:rPr>
          <w:rFonts w:hint="eastAsia" w:asciiTheme="minorEastAsia" w:hAnsiTheme="minorEastAsia" w:eastAsiaTheme="minorEastAsia" w:cstheme="minorEastAsia"/>
          <w:szCs w:val="21"/>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1.1.2  本招标项目采购人：见供应商须知前附表。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1.1.3  本招标项目采购代理机构：见供应商须知前附表。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1.1.4  本招标项目名称：见供应商须知前附表。 </w:t>
      </w:r>
    </w:p>
    <w:p>
      <w:pPr>
        <w:spacing w:line="500" w:lineRule="exact"/>
        <w:ind w:firstLine="482" w:firstLineChars="200"/>
        <w:rPr>
          <w:rFonts w:asciiTheme="minorEastAsia" w:hAnsiTheme="minorEastAsia" w:eastAsiaTheme="minorEastAsia" w:cstheme="minorEastAsia"/>
          <w:b/>
          <w:bCs/>
          <w:sz w:val="24"/>
        </w:rPr>
      </w:pPr>
      <w:bookmarkStart w:id="18" w:name="_Toc403122493"/>
      <w:bookmarkStart w:id="19" w:name="_Toc426369481"/>
      <w:bookmarkStart w:id="20" w:name="_Toc279599772"/>
      <w:bookmarkStart w:id="21" w:name="_Toc274249576"/>
      <w:r>
        <w:rPr>
          <w:rFonts w:hint="eastAsia" w:asciiTheme="minorEastAsia" w:hAnsiTheme="minorEastAsia" w:eastAsiaTheme="minorEastAsia" w:cstheme="minorEastAsia"/>
          <w:b/>
          <w:bCs/>
          <w:sz w:val="24"/>
        </w:rPr>
        <w:t>1.2 资金来源和落实情况</w:t>
      </w:r>
      <w:bookmarkEnd w:id="18"/>
      <w:bookmarkEnd w:id="19"/>
      <w:bookmarkEnd w:id="20"/>
      <w:bookmarkEnd w:id="21"/>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1.2.1  本招标项目的资金来源：见供应商须知前附表。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1.2.2  本招标项目的资金落实情况：见供应商须知前附表。 </w:t>
      </w:r>
    </w:p>
    <w:p>
      <w:pPr>
        <w:spacing w:line="500" w:lineRule="exact"/>
        <w:ind w:firstLine="482" w:firstLineChars="200"/>
        <w:rPr>
          <w:rFonts w:asciiTheme="minorEastAsia" w:hAnsiTheme="minorEastAsia" w:eastAsiaTheme="minorEastAsia" w:cstheme="minorEastAsia"/>
          <w:b/>
          <w:bCs/>
          <w:sz w:val="24"/>
        </w:rPr>
      </w:pPr>
      <w:bookmarkStart w:id="22" w:name="_Toc274249577"/>
      <w:bookmarkStart w:id="23" w:name="_Toc403122494"/>
      <w:bookmarkStart w:id="24" w:name="_Toc426369482"/>
      <w:bookmarkStart w:id="25" w:name="_Toc279599773"/>
      <w:r>
        <w:rPr>
          <w:rFonts w:hint="eastAsia" w:asciiTheme="minorEastAsia" w:hAnsiTheme="minorEastAsia" w:eastAsiaTheme="minorEastAsia" w:cstheme="minorEastAsia"/>
          <w:b/>
          <w:bCs/>
          <w:sz w:val="24"/>
        </w:rPr>
        <w:t>1.3 采购内容、项目完成期和质量要求</w:t>
      </w:r>
      <w:bookmarkEnd w:id="22"/>
      <w:bookmarkEnd w:id="23"/>
      <w:bookmarkEnd w:id="24"/>
      <w:bookmarkEnd w:id="25"/>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1.3.1  本次招标采购内容：见供应商须知前附表。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1.3.2  本次招标的项目完成期：见供应商须知前附表。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1.3.3  本次招标的质量要求：见供应商须知前附表。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1.3.4  本次招标的质保期要求：见供应商须知前附表。 </w:t>
      </w:r>
      <w:r>
        <w:rPr>
          <w:rFonts w:hint="eastAsia" w:asciiTheme="minorEastAsia" w:hAnsiTheme="minorEastAsia" w:eastAsiaTheme="minorEastAsia" w:cstheme="minorEastAsia"/>
          <w:szCs w:val="21"/>
        </w:rPr>
        <w:tab/>
      </w:r>
    </w:p>
    <w:p>
      <w:pPr>
        <w:spacing w:line="500" w:lineRule="exact"/>
        <w:ind w:firstLine="482" w:firstLineChars="200"/>
        <w:rPr>
          <w:rFonts w:asciiTheme="minorEastAsia" w:hAnsiTheme="minorEastAsia" w:eastAsiaTheme="minorEastAsia" w:cstheme="minorEastAsia"/>
          <w:b/>
          <w:bCs/>
          <w:sz w:val="24"/>
        </w:rPr>
      </w:pPr>
      <w:bookmarkStart w:id="26" w:name="_Toc274249578"/>
      <w:bookmarkStart w:id="27" w:name="_Toc403122495"/>
      <w:bookmarkStart w:id="28" w:name="_Toc279599774"/>
      <w:bookmarkStart w:id="29" w:name="_Toc426369483"/>
      <w:r>
        <w:rPr>
          <w:rFonts w:hint="eastAsia" w:asciiTheme="minorEastAsia" w:hAnsiTheme="minorEastAsia" w:eastAsiaTheme="minorEastAsia" w:cstheme="minorEastAsia"/>
          <w:b/>
          <w:bCs/>
          <w:sz w:val="24"/>
        </w:rPr>
        <w:t>1.4 供应商资格要求</w:t>
      </w:r>
      <w:bookmarkEnd w:id="26"/>
      <w:bookmarkEnd w:id="27"/>
      <w:bookmarkEnd w:id="28"/>
      <w:bookmarkEnd w:id="2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1.4.1 供应商应具备承担本招标项目的资质条件。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（1）供应商资质条件：见供应商须知前附表； </w:t>
      </w:r>
    </w:p>
    <w:p>
      <w:pPr>
        <w:spacing w:line="440" w:lineRule="exact"/>
        <w:ind w:firstLine="420" w:firstLineChars="200"/>
        <w:rPr>
          <w:rFonts w:asciiTheme="minorEastAsia" w:hAnsiTheme="minorEastAsia" w:eastAsiaTheme="minorEastAsia" w:cstheme="minorEastAsia"/>
          <w:szCs w:val="21"/>
        </w:rPr>
      </w:pPr>
      <w:bookmarkStart w:id="30" w:name="_Toc274249579"/>
      <w:bookmarkStart w:id="31" w:name="_Toc403122496"/>
      <w:bookmarkStart w:id="32" w:name="_Toc279599775"/>
      <w:r>
        <w:rPr>
          <w:rFonts w:hint="eastAsia" w:asciiTheme="minorEastAsia" w:hAnsiTheme="minorEastAsia" w:eastAsiaTheme="minorEastAsia" w:cstheme="minorEastAsia"/>
          <w:szCs w:val="21"/>
        </w:rPr>
        <w:t>1.4.2 本次招标不接受联合体投标。</w:t>
      </w:r>
    </w:p>
    <w:p>
      <w:pPr>
        <w:spacing w:line="500" w:lineRule="exact"/>
        <w:ind w:firstLine="482" w:firstLineChars="200"/>
        <w:rPr>
          <w:rFonts w:asciiTheme="minorEastAsia" w:hAnsiTheme="minorEastAsia" w:eastAsiaTheme="minorEastAsia" w:cstheme="minorEastAsia"/>
          <w:b/>
          <w:bCs/>
          <w:sz w:val="24"/>
        </w:rPr>
      </w:pPr>
      <w:bookmarkStart w:id="33" w:name="_Toc426369484"/>
      <w:r>
        <w:rPr>
          <w:rFonts w:hint="eastAsia" w:asciiTheme="minorEastAsia" w:hAnsiTheme="minorEastAsia" w:eastAsiaTheme="minorEastAsia" w:cstheme="minorEastAsia"/>
          <w:b/>
          <w:bCs/>
          <w:sz w:val="24"/>
        </w:rPr>
        <w:t>1.5 费用承担</w:t>
      </w:r>
      <w:bookmarkEnd w:id="30"/>
      <w:bookmarkEnd w:id="31"/>
      <w:bookmarkEnd w:id="32"/>
      <w:bookmarkEnd w:id="33"/>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供应商准备和参加投标活动发生的费用自理。 </w:t>
      </w:r>
    </w:p>
    <w:p>
      <w:pPr>
        <w:spacing w:line="500" w:lineRule="exact"/>
        <w:ind w:firstLine="482" w:firstLineChars="200"/>
        <w:rPr>
          <w:rFonts w:asciiTheme="minorEastAsia" w:hAnsiTheme="minorEastAsia" w:eastAsiaTheme="minorEastAsia" w:cstheme="minorEastAsia"/>
          <w:b/>
          <w:bCs/>
          <w:sz w:val="24"/>
        </w:rPr>
      </w:pPr>
      <w:bookmarkStart w:id="34" w:name="_Toc403122497"/>
      <w:bookmarkStart w:id="35" w:name="_Toc426369485"/>
      <w:r>
        <w:rPr>
          <w:rFonts w:hint="eastAsia" w:asciiTheme="minorEastAsia" w:hAnsiTheme="minorEastAsia" w:eastAsiaTheme="minorEastAsia" w:cstheme="minorEastAsia"/>
          <w:b/>
          <w:bCs/>
          <w:sz w:val="24"/>
        </w:rPr>
        <w:t>1.6 保密</w:t>
      </w:r>
      <w:bookmarkEnd w:id="34"/>
      <w:bookmarkEnd w:id="3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参与招标投标活动的各方应对招标文件和投标文件中的商业和技术等秘密保密，违者应对由此造成的后果承担法律责任。</w:t>
      </w:r>
    </w:p>
    <w:p>
      <w:pPr>
        <w:spacing w:line="500" w:lineRule="exact"/>
        <w:ind w:firstLine="482" w:firstLineChars="200"/>
        <w:rPr>
          <w:rFonts w:asciiTheme="minorEastAsia" w:hAnsiTheme="minorEastAsia" w:eastAsiaTheme="minorEastAsia" w:cstheme="minorEastAsia"/>
          <w:b/>
          <w:bCs/>
          <w:sz w:val="24"/>
        </w:rPr>
      </w:pPr>
      <w:bookmarkStart w:id="36" w:name="_Toc274249581"/>
      <w:bookmarkStart w:id="37" w:name="_Toc426369486"/>
      <w:bookmarkStart w:id="38" w:name="_Toc403122498"/>
      <w:bookmarkStart w:id="39" w:name="_Toc279599777"/>
      <w:r>
        <w:rPr>
          <w:rFonts w:hint="eastAsia" w:asciiTheme="minorEastAsia" w:hAnsiTheme="minorEastAsia" w:eastAsiaTheme="minorEastAsia" w:cstheme="minorEastAsia"/>
          <w:b/>
          <w:bCs/>
          <w:sz w:val="24"/>
        </w:rPr>
        <w:t>1.7 语言文字</w:t>
      </w:r>
      <w:bookmarkEnd w:id="36"/>
      <w:bookmarkEnd w:id="37"/>
      <w:bookmarkEnd w:id="38"/>
      <w:bookmarkEnd w:id="39"/>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除专用术语外，与招标投标有关的语言均使用中文。必要时专用术语应附有中文注释。 </w:t>
      </w:r>
    </w:p>
    <w:p>
      <w:pPr>
        <w:spacing w:line="500" w:lineRule="exact"/>
        <w:ind w:firstLine="482" w:firstLineChars="200"/>
        <w:rPr>
          <w:rFonts w:asciiTheme="minorEastAsia" w:hAnsiTheme="minorEastAsia" w:eastAsiaTheme="minorEastAsia" w:cstheme="minorEastAsia"/>
          <w:b/>
          <w:bCs/>
          <w:sz w:val="24"/>
        </w:rPr>
      </w:pPr>
      <w:bookmarkStart w:id="40" w:name="_Toc426369487"/>
      <w:bookmarkStart w:id="41" w:name="_Toc403122499"/>
      <w:r>
        <w:rPr>
          <w:rFonts w:hint="eastAsia" w:asciiTheme="minorEastAsia" w:hAnsiTheme="minorEastAsia" w:eastAsiaTheme="minorEastAsia" w:cstheme="minorEastAsia"/>
          <w:b/>
          <w:bCs/>
          <w:sz w:val="24"/>
        </w:rPr>
        <w:t>1.8 计量单位</w:t>
      </w:r>
      <w:bookmarkEnd w:id="40"/>
      <w:bookmarkEnd w:id="41"/>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所有计量均采用中华人民共和国法定计量单位。</w:t>
      </w:r>
    </w:p>
    <w:p>
      <w:pPr>
        <w:spacing w:line="500" w:lineRule="exact"/>
        <w:ind w:firstLine="482" w:firstLineChars="200"/>
        <w:rPr>
          <w:rFonts w:asciiTheme="minorEastAsia" w:hAnsiTheme="minorEastAsia" w:eastAsiaTheme="minorEastAsia" w:cstheme="minorEastAsia"/>
          <w:b/>
          <w:bCs/>
          <w:sz w:val="24"/>
        </w:rPr>
      </w:pPr>
      <w:bookmarkStart w:id="42" w:name="_Toc274249583"/>
      <w:bookmarkStart w:id="43" w:name="_Toc279599779"/>
      <w:bookmarkStart w:id="44" w:name="_Toc426369488"/>
      <w:bookmarkStart w:id="45" w:name="_Toc403122500"/>
      <w:r>
        <w:rPr>
          <w:rFonts w:hint="eastAsia" w:asciiTheme="minorEastAsia" w:hAnsiTheme="minorEastAsia" w:eastAsiaTheme="minorEastAsia" w:cstheme="minorEastAsia"/>
          <w:b/>
          <w:bCs/>
          <w:sz w:val="24"/>
        </w:rPr>
        <w:t>1.9 踏勘现场</w:t>
      </w:r>
      <w:bookmarkEnd w:id="42"/>
      <w:bookmarkEnd w:id="43"/>
      <w:bookmarkEnd w:id="44"/>
      <w:bookmarkEnd w:id="45"/>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1.9.1  由于项目特殊性，本次招标需供应商自行勘查。 </w:t>
      </w:r>
    </w:p>
    <w:p>
      <w:pPr>
        <w:spacing w:line="500" w:lineRule="exact"/>
        <w:ind w:firstLine="482" w:firstLineChars="200"/>
        <w:rPr>
          <w:rFonts w:asciiTheme="minorEastAsia" w:hAnsiTheme="minorEastAsia" w:eastAsiaTheme="minorEastAsia" w:cstheme="minorEastAsia"/>
          <w:b/>
          <w:bCs/>
          <w:sz w:val="24"/>
        </w:rPr>
      </w:pPr>
      <w:bookmarkStart w:id="46" w:name="_Toc274249584"/>
      <w:bookmarkStart w:id="47" w:name="_Toc279599780"/>
      <w:bookmarkStart w:id="48" w:name="_Toc426369489"/>
      <w:bookmarkStart w:id="49" w:name="_Toc403122501"/>
      <w:r>
        <w:rPr>
          <w:rFonts w:hint="eastAsia" w:asciiTheme="minorEastAsia" w:hAnsiTheme="minorEastAsia" w:eastAsiaTheme="minorEastAsia" w:cstheme="minorEastAsia"/>
          <w:b/>
          <w:bCs/>
          <w:sz w:val="24"/>
        </w:rPr>
        <w:t>1.10 投标预备会</w:t>
      </w:r>
      <w:bookmarkEnd w:id="46"/>
      <w:bookmarkEnd w:id="47"/>
      <w:bookmarkEnd w:id="48"/>
      <w:bookmarkEnd w:id="49"/>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1.10.1 本次招标不召开投标预备会。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1.10.2 供应商应在供应商须知前附表规定的时间前，以书面形式将提出的问题送达招标代理人。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Theme="minorEastAsia" w:hAnsiTheme="minorEastAsia" w:eastAsiaTheme="minorEastAsia" w:cstheme="minorEastAsia"/>
          <w:b/>
          <w:bCs/>
          <w:sz w:val="24"/>
        </w:rPr>
      </w:pPr>
      <w:bookmarkStart w:id="50" w:name="_Toc403122502"/>
      <w:bookmarkStart w:id="51" w:name="_Toc426369490"/>
      <w:bookmarkStart w:id="52" w:name="_Toc279599781"/>
      <w:bookmarkStart w:id="53" w:name="_Toc274249585"/>
      <w:r>
        <w:rPr>
          <w:rFonts w:hint="eastAsia" w:asciiTheme="minorEastAsia" w:hAnsiTheme="minorEastAsia" w:eastAsiaTheme="minorEastAsia" w:cstheme="minorEastAsia"/>
          <w:b/>
          <w:bCs/>
          <w:sz w:val="24"/>
        </w:rPr>
        <w:t>1.11 分包</w:t>
      </w:r>
      <w:bookmarkEnd w:id="50"/>
      <w:bookmarkEnd w:id="51"/>
      <w:bookmarkEnd w:id="52"/>
      <w:bookmarkEnd w:id="53"/>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本次招标项目不允许分包。 </w:t>
      </w:r>
    </w:p>
    <w:p>
      <w:pPr>
        <w:pStyle w:val="38"/>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54" w:name="_Toc28663"/>
      <w:r>
        <w:rPr>
          <w:rFonts w:hint="eastAsia" w:asciiTheme="minorEastAsia" w:hAnsiTheme="minorEastAsia" w:eastAsiaTheme="minorEastAsia" w:cstheme="minorEastAsia"/>
          <w:sz w:val="24"/>
          <w:szCs w:val="24"/>
        </w:rPr>
        <w:t>2. 招标文件</w:t>
      </w:r>
      <w:bookmarkEnd w:id="11"/>
      <w:bookmarkEnd w:id="12"/>
      <w:bookmarkEnd w:id="13"/>
      <w:bookmarkEnd w:id="54"/>
      <w:r>
        <w:rPr>
          <w:rFonts w:hint="eastAsia" w:asciiTheme="minorEastAsia" w:hAnsiTheme="minorEastAsia" w:eastAsiaTheme="minorEastAsia" w:cstheme="minorEastAsia"/>
          <w:sz w:val="24"/>
          <w:szCs w:val="24"/>
        </w:rPr>
        <w:t xml:space="preserve"> </w:t>
      </w:r>
    </w:p>
    <w:p>
      <w:pPr>
        <w:spacing w:line="500" w:lineRule="exact"/>
        <w:ind w:firstLine="482" w:firstLineChars="200"/>
        <w:rPr>
          <w:rFonts w:asciiTheme="minorEastAsia" w:hAnsiTheme="minorEastAsia" w:eastAsiaTheme="minorEastAsia" w:cstheme="minorEastAsia"/>
          <w:b/>
          <w:bCs/>
          <w:sz w:val="24"/>
        </w:rPr>
      </w:pPr>
      <w:bookmarkStart w:id="55" w:name="_Toc426369492"/>
      <w:bookmarkStart w:id="56" w:name="_Toc274249587"/>
      <w:bookmarkStart w:id="57" w:name="_Toc279599783"/>
      <w:bookmarkStart w:id="58" w:name="_Toc403122504"/>
      <w:r>
        <w:rPr>
          <w:rFonts w:hint="eastAsia" w:asciiTheme="minorEastAsia" w:hAnsiTheme="minorEastAsia" w:eastAsiaTheme="minorEastAsia" w:cstheme="minorEastAsia"/>
          <w:b/>
          <w:bCs/>
          <w:sz w:val="24"/>
        </w:rPr>
        <w:t>2.1 招标文件的组成</w:t>
      </w:r>
      <w:bookmarkEnd w:id="55"/>
      <w:bookmarkEnd w:id="56"/>
      <w:bookmarkEnd w:id="57"/>
      <w:bookmarkEnd w:id="58"/>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本招标文件包括：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招标公告；</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供应商须知；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评标办法（综合评分法）；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合同条款及格式；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服务内容及要求</w:t>
      </w:r>
      <w:r>
        <w:rPr>
          <w:rFonts w:hint="eastAsia" w:asciiTheme="minorEastAsia" w:hAnsiTheme="minorEastAsia" w:eastAsiaTheme="minorEastAsia" w:cstheme="minorEastAsia"/>
          <w:szCs w:val="21"/>
          <w:highlight w:val="none"/>
        </w:rPr>
        <w:t xml:space="preserve">；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投标文件格式；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sz w:val="24"/>
        </w:rPr>
      </w:pPr>
      <w:bookmarkStart w:id="59" w:name="_Toc279599784"/>
      <w:bookmarkStart w:id="60" w:name="_Toc426369493"/>
      <w:bookmarkStart w:id="61" w:name="_Toc274249588"/>
      <w:bookmarkStart w:id="62" w:name="_Toc403122505"/>
      <w:r>
        <w:rPr>
          <w:rFonts w:hint="eastAsia" w:asciiTheme="minorEastAsia" w:hAnsiTheme="minorEastAsia" w:eastAsiaTheme="minorEastAsia" w:cstheme="minorEastAsia"/>
          <w:b/>
          <w:bCs/>
          <w:sz w:val="24"/>
        </w:rPr>
        <w:t>2.2 招标文件的澄清</w:t>
      </w:r>
      <w:bookmarkEnd w:id="59"/>
      <w:bookmarkEnd w:id="60"/>
      <w:bookmarkEnd w:id="61"/>
      <w:bookmarkEnd w:id="62"/>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2.2.1 供应商应仔细阅读和检查招标文件的全部内容。如发现缺页或附件不全，应及时向采购人提出，以便补齐。如有疑问，应在供应商须知前附表规定的时间前以书面形式（包括信函、电报、传真等可以有形地表现所载内容的形式，下同），要求采购人对招标文件予以澄清。 </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t xml:space="preserve">2.2.2 招标文件的澄清将在供应商须知前附表规定的投标截止时间15天前以书面形式发给所有购买招标文件的供应商，但不指明澄清问题的来源。如果澄清发出的时间距投标截止时间不足 </w:t>
      </w:r>
      <w:r>
        <w:rPr>
          <w:rFonts w:hint="eastAsia" w:asciiTheme="minorEastAsia" w:hAnsiTheme="minorEastAsia" w:eastAsiaTheme="minorEastAsia" w:cstheme="minorEastAsia"/>
          <w:color w:val="auto"/>
          <w:szCs w:val="21"/>
        </w:rPr>
        <w:t xml:space="preserve">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2.2.3 供应商在收到澄清后，应在供应商须知前附表规定的时间内以书面形式通知采购人，确认已收到该澄清。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sz w:val="24"/>
        </w:rPr>
      </w:pPr>
      <w:bookmarkStart w:id="63" w:name="_Toc403122506"/>
      <w:bookmarkStart w:id="64" w:name="_Toc279599785"/>
      <w:bookmarkStart w:id="65" w:name="_Toc274249589"/>
      <w:bookmarkStart w:id="66" w:name="_Toc426369494"/>
      <w:r>
        <w:rPr>
          <w:rFonts w:hint="eastAsia" w:asciiTheme="minorEastAsia" w:hAnsiTheme="minorEastAsia" w:eastAsiaTheme="minorEastAsia" w:cstheme="minorEastAsia"/>
          <w:b/>
          <w:bCs/>
          <w:sz w:val="24"/>
        </w:rPr>
        <w:t>2.3 招标文件的修改</w:t>
      </w:r>
      <w:bookmarkEnd w:id="63"/>
      <w:bookmarkEnd w:id="64"/>
      <w:bookmarkEnd w:id="65"/>
      <w:bookmarkEnd w:id="66"/>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供应商收到修改内容后，应在供应商须知前附表规定的时间内以书面形式通知采购人，确认已收到该修改。 </w:t>
      </w:r>
      <w:bookmarkStart w:id="67" w:name="_Toc426369495"/>
      <w:bookmarkStart w:id="68" w:name="_Toc23265"/>
      <w:bookmarkStart w:id="69" w:name="_Toc403122507"/>
    </w:p>
    <w:p>
      <w:pPr>
        <w:pStyle w:val="38"/>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70" w:name="_Toc13865"/>
      <w:r>
        <w:rPr>
          <w:rFonts w:hint="eastAsia" w:asciiTheme="minorEastAsia" w:hAnsiTheme="minorEastAsia" w:eastAsiaTheme="minorEastAsia" w:cstheme="minorEastAsia"/>
          <w:sz w:val="24"/>
          <w:szCs w:val="24"/>
        </w:rPr>
        <w:t>3. 投标文件</w:t>
      </w:r>
      <w:bookmarkEnd w:id="67"/>
      <w:bookmarkEnd w:id="68"/>
      <w:bookmarkEnd w:id="69"/>
      <w:bookmarkEnd w:id="70"/>
      <w:r>
        <w:rPr>
          <w:rFonts w:hint="eastAsia" w:asciiTheme="minorEastAsia" w:hAnsiTheme="minorEastAsia" w:eastAsiaTheme="minorEastAsia" w:cstheme="minorEastAsia"/>
          <w:sz w:val="24"/>
          <w:szCs w:val="24"/>
        </w:rPr>
        <w:t xml:space="preserve"> </w:t>
      </w:r>
    </w:p>
    <w:p>
      <w:pPr>
        <w:spacing w:line="500" w:lineRule="exact"/>
        <w:ind w:firstLine="482" w:firstLineChars="200"/>
        <w:rPr>
          <w:rFonts w:asciiTheme="minorEastAsia" w:hAnsiTheme="minorEastAsia" w:eastAsiaTheme="minorEastAsia" w:cstheme="minorEastAsia"/>
          <w:b/>
          <w:bCs/>
          <w:sz w:val="24"/>
        </w:rPr>
      </w:pPr>
      <w:bookmarkStart w:id="71" w:name="_Toc274249591"/>
      <w:bookmarkStart w:id="72" w:name="_Toc403122508"/>
      <w:bookmarkStart w:id="73" w:name="_Toc279599787"/>
      <w:bookmarkStart w:id="74" w:name="_Toc426369496"/>
      <w:r>
        <w:rPr>
          <w:rFonts w:hint="eastAsia" w:asciiTheme="minorEastAsia" w:hAnsiTheme="minorEastAsia" w:eastAsiaTheme="minorEastAsia" w:cstheme="minorEastAsia"/>
          <w:b/>
          <w:bCs/>
          <w:sz w:val="24"/>
        </w:rPr>
        <w:t>3.1 投标文件的组成</w:t>
      </w:r>
      <w:bookmarkEnd w:id="71"/>
      <w:bookmarkEnd w:id="72"/>
      <w:bookmarkEnd w:id="73"/>
      <w:bookmarkEnd w:id="74"/>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3.1.1 投标文件应包括下列内容： </w:t>
      </w:r>
    </w:p>
    <w:p>
      <w:pPr>
        <w:spacing w:line="440" w:lineRule="exact"/>
        <w:ind w:firstLine="420" w:firstLineChars="200"/>
        <w:rPr>
          <w:rFonts w:ascii="宋体" w:hAnsi="宋体" w:cs="宋体"/>
          <w:szCs w:val="21"/>
        </w:rPr>
      </w:pPr>
      <w:bookmarkStart w:id="75" w:name="_Toc403122509"/>
      <w:bookmarkStart w:id="76" w:name="_Toc279599788"/>
      <w:bookmarkStart w:id="77" w:name="_Toc426369497"/>
      <w:bookmarkStart w:id="78" w:name="_Toc274249592"/>
      <w:r>
        <w:rPr>
          <w:rFonts w:hint="eastAsia" w:ascii="宋体" w:hAnsi="宋体" w:cs="宋体"/>
          <w:szCs w:val="21"/>
        </w:rPr>
        <w:t>一、投标函及开标一览表</w:t>
      </w:r>
    </w:p>
    <w:p>
      <w:pPr>
        <w:spacing w:line="440" w:lineRule="exact"/>
        <w:ind w:firstLine="420" w:firstLineChars="200"/>
        <w:rPr>
          <w:rFonts w:ascii="宋体" w:hAnsi="宋体" w:cs="宋体"/>
          <w:szCs w:val="21"/>
        </w:rPr>
      </w:pPr>
      <w:r>
        <w:rPr>
          <w:rFonts w:hint="eastAsia" w:ascii="宋体" w:hAnsi="宋体" w:cs="宋体"/>
          <w:szCs w:val="21"/>
        </w:rPr>
        <w:t>（一）投标函</w:t>
      </w:r>
    </w:p>
    <w:p>
      <w:pPr>
        <w:spacing w:line="440" w:lineRule="exact"/>
        <w:ind w:firstLine="420" w:firstLineChars="200"/>
        <w:rPr>
          <w:rFonts w:ascii="宋体" w:hAnsi="宋体" w:cs="宋体"/>
          <w:szCs w:val="21"/>
        </w:rPr>
      </w:pPr>
      <w:r>
        <w:rPr>
          <w:rFonts w:hint="eastAsia" w:ascii="宋体" w:hAnsi="宋体" w:cs="宋体"/>
          <w:szCs w:val="21"/>
        </w:rPr>
        <w:t>（二）开标一览表</w:t>
      </w:r>
    </w:p>
    <w:p>
      <w:pPr>
        <w:spacing w:line="440" w:lineRule="exact"/>
        <w:ind w:firstLine="420" w:firstLineChars="200"/>
        <w:rPr>
          <w:rFonts w:ascii="宋体" w:hAnsi="宋体" w:cs="宋体"/>
          <w:szCs w:val="21"/>
        </w:rPr>
      </w:pPr>
      <w:r>
        <w:rPr>
          <w:rFonts w:hint="eastAsia" w:ascii="宋体" w:hAnsi="宋体" w:cs="宋体"/>
          <w:szCs w:val="21"/>
        </w:rPr>
        <w:t>（三）报价明细表</w:t>
      </w:r>
    </w:p>
    <w:p>
      <w:pPr>
        <w:spacing w:line="440" w:lineRule="exact"/>
        <w:ind w:firstLine="420" w:firstLineChars="200"/>
        <w:rPr>
          <w:rFonts w:ascii="宋体" w:hAnsi="宋体" w:cs="宋体"/>
          <w:szCs w:val="21"/>
        </w:rPr>
      </w:pPr>
      <w:r>
        <w:rPr>
          <w:rFonts w:hint="eastAsia" w:ascii="宋体" w:hAnsi="宋体" w:cs="宋体"/>
          <w:szCs w:val="21"/>
        </w:rPr>
        <w:t>二、法定代表人身份证明书</w:t>
      </w:r>
    </w:p>
    <w:p>
      <w:pPr>
        <w:spacing w:line="440" w:lineRule="exact"/>
        <w:ind w:firstLine="420" w:firstLineChars="200"/>
        <w:rPr>
          <w:rFonts w:ascii="宋体" w:hAnsi="宋体" w:cs="宋体"/>
          <w:szCs w:val="21"/>
        </w:rPr>
      </w:pPr>
      <w:r>
        <w:rPr>
          <w:rFonts w:hint="eastAsia" w:ascii="宋体" w:hAnsi="宋体" w:cs="宋体"/>
          <w:szCs w:val="21"/>
        </w:rPr>
        <w:t>三、授权委托书</w:t>
      </w:r>
    </w:p>
    <w:p>
      <w:pPr>
        <w:spacing w:line="440" w:lineRule="exact"/>
        <w:ind w:firstLine="420" w:firstLineChars="200"/>
        <w:rPr>
          <w:rFonts w:ascii="宋体" w:hAnsi="宋体" w:cs="宋体"/>
          <w:szCs w:val="21"/>
        </w:rPr>
      </w:pPr>
      <w:r>
        <w:rPr>
          <w:rFonts w:hint="eastAsia" w:ascii="宋体" w:hAnsi="宋体" w:cs="宋体"/>
          <w:szCs w:val="21"/>
        </w:rPr>
        <w:t>四、 投标承诺函</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五、项目实施方案</w:t>
      </w:r>
    </w:p>
    <w:p>
      <w:pPr>
        <w:spacing w:line="440" w:lineRule="exact"/>
        <w:ind w:firstLine="420" w:firstLineChars="200"/>
        <w:rPr>
          <w:rFonts w:ascii="宋体" w:hAnsi="宋体" w:cs="宋体"/>
          <w:szCs w:val="21"/>
        </w:rPr>
      </w:pPr>
      <w:r>
        <w:rPr>
          <w:rFonts w:hint="eastAsia" w:ascii="宋体" w:hAnsi="宋体" w:cs="宋体"/>
          <w:szCs w:val="21"/>
        </w:rPr>
        <w:t>六、资格证明文件；</w:t>
      </w:r>
    </w:p>
    <w:p>
      <w:pPr>
        <w:pStyle w:val="40"/>
        <w:spacing w:line="440" w:lineRule="exact"/>
        <w:ind w:firstLineChars="200"/>
        <w:rPr>
          <w:rFonts w:hint="default" w:ascii="宋体" w:hAnsi="宋体" w:eastAsia="宋体" w:cs="宋体"/>
          <w:sz w:val="21"/>
          <w:szCs w:val="21"/>
        </w:rPr>
      </w:pPr>
      <w:r>
        <w:rPr>
          <w:rFonts w:ascii="宋体" w:hAnsi="宋体" w:eastAsia="宋体" w:cs="宋体"/>
          <w:sz w:val="21"/>
          <w:szCs w:val="21"/>
        </w:rPr>
        <w:t>七、供应商服务承诺和优惠承诺</w:t>
      </w:r>
    </w:p>
    <w:p>
      <w:pPr>
        <w:spacing w:line="440" w:lineRule="exact"/>
        <w:ind w:firstLine="420" w:firstLineChars="200"/>
        <w:rPr>
          <w:rFonts w:ascii="宋体" w:hAnsi="宋体" w:cs="宋体"/>
          <w:szCs w:val="21"/>
        </w:rPr>
      </w:pPr>
      <w:r>
        <w:rPr>
          <w:rFonts w:hint="eastAsia" w:ascii="宋体" w:hAnsi="宋体" w:cs="宋体"/>
          <w:szCs w:val="21"/>
        </w:rPr>
        <w:t>八、供应商所投产品属于当期政府采购清单规定的节能环保产品的证明材料</w:t>
      </w:r>
      <w:r>
        <w:rPr>
          <w:rFonts w:hint="eastAsia" w:ascii="宋体" w:hAnsi="宋体" w:cs="宋体"/>
          <w:szCs w:val="21"/>
          <w:lang w:eastAsia="zh-CN"/>
        </w:rPr>
        <w:t>（如有）</w:t>
      </w:r>
      <w:r>
        <w:rPr>
          <w:rFonts w:hint="eastAsia"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九、中小企业声明函（如为中小企业）；</w:t>
      </w:r>
    </w:p>
    <w:p>
      <w:pPr>
        <w:spacing w:line="440" w:lineRule="exact"/>
        <w:ind w:firstLine="420" w:firstLineChars="200"/>
        <w:rPr>
          <w:rFonts w:ascii="宋体" w:hAnsi="宋体" w:cs="宋体"/>
          <w:szCs w:val="21"/>
        </w:rPr>
      </w:pPr>
      <w:r>
        <w:rPr>
          <w:rFonts w:hint="eastAsia" w:ascii="宋体" w:hAnsi="宋体" w:cs="宋体"/>
          <w:szCs w:val="21"/>
        </w:rPr>
        <w:t>十、残疾人福利性单位声明函（如有）；</w:t>
      </w:r>
    </w:p>
    <w:p>
      <w:pPr>
        <w:spacing w:line="440" w:lineRule="exact"/>
        <w:ind w:firstLine="420" w:firstLineChars="200"/>
        <w:rPr>
          <w:rFonts w:ascii="宋体" w:hAnsi="宋体" w:cs="宋体"/>
          <w:szCs w:val="21"/>
        </w:rPr>
      </w:pPr>
      <w:r>
        <w:rPr>
          <w:rFonts w:hint="eastAsia" w:ascii="宋体" w:hAnsi="宋体" w:cs="宋体"/>
          <w:szCs w:val="21"/>
        </w:rPr>
        <w:t>十</w:t>
      </w:r>
      <w:r>
        <w:rPr>
          <w:rFonts w:hint="eastAsia" w:ascii="宋体" w:hAnsi="宋体" w:cs="宋体"/>
          <w:szCs w:val="21"/>
          <w:lang w:val="en-US" w:eastAsia="zh-CN"/>
        </w:rPr>
        <w:t>一</w:t>
      </w:r>
      <w:r>
        <w:rPr>
          <w:rFonts w:hint="eastAsia" w:ascii="宋体" w:hAnsi="宋体" w:cs="宋体"/>
          <w:szCs w:val="21"/>
        </w:rPr>
        <w:t>、招标文件要求的或投标人认为需要加以说明的其他内容。</w:t>
      </w:r>
    </w:p>
    <w:p>
      <w:pPr>
        <w:spacing w:line="50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bookmarkEnd w:id="75"/>
      <w:bookmarkEnd w:id="76"/>
      <w:bookmarkEnd w:id="77"/>
      <w:bookmarkEnd w:id="78"/>
      <w:r>
        <w:rPr>
          <w:rFonts w:hint="eastAsia" w:asciiTheme="minorEastAsia" w:hAnsiTheme="minorEastAsia" w:eastAsiaTheme="minorEastAsia" w:cstheme="minorEastAsia"/>
          <w:b/>
          <w:bCs/>
          <w:sz w:val="24"/>
        </w:rPr>
        <w:t xml:space="preserve"> </w:t>
      </w:r>
    </w:p>
    <w:p>
      <w:pPr>
        <w:spacing w:line="420" w:lineRule="exact"/>
        <w:ind w:firstLine="420" w:firstLineChars="200"/>
        <w:rPr>
          <w:rFonts w:hint="eastAsia" w:asciiTheme="minorEastAsia" w:hAnsiTheme="minorEastAsia" w:eastAsiaTheme="minorEastAsia" w:cstheme="minorEastAsia"/>
          <w:color w:val="C00000"/>
          <w:szCs w:val="21"/>
          <w:lang w:eastAsia="zh-CN"/>
        </w:rPr>
      </w:pPr>
      <w:r>
        <w:rPr>
          <w:rFonts w:hint="eastAsia" w:asciiTheme="minorEastAsia" w:hAnsiTheme="minorEastAsia" w:eastAsiaTheme="minorEastAsia" w:cstheme="minorEastAsia"/>
          <w:szCs w:val="21"/>
        </w:rPr>
        <w:t>3.2</w:t>
      </w:r>
      <w:r>
        <w:rPr>
          <w:rFonts w:hint="eastAsia" w:asciiTheme="minorEastAsia" w:hAnsiTheme="minorEastAsia" w:eastAsiaTheme="minorEastAsia" w:cstheme="minorEastAsia"/>
          <w:b w:val="0"/>
          <w:bCs w:val="0"/>
          <w:szCs w:val="21"/>
        </w:rPr>
        <w:t>.1投标报价包括：供应商的投标报价应包括设备、劳务、材料、管理、利润、税金、政策性规费等所有费用。 投标价不是唯一的或不是固定不变的响应文件将被作为非响应性投标而予以拒绝</w:t>
      </w:r>
      <w:r>
        <w:rPr>
          <w:rFonts w:hint="eastAsia" w:asciiTheme="minorEastAsia" w:hAnsiTheme="minorEastAsia" w:eastAsiaTheme="minorEastAsia" w:cstheme="minorEastAsia"/>
          <w:b w:val="0"/>
          <w:bCs w:val="0"/>
          <w:szCs w:val="21"/>
          <w:lang w:eastAsia="zh-CN"/>
        </w:rPr>
        <w:t>。</w:t>
      </w:r>
    </w:p>
    <w:p>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3.2.2投标报价在中标后不得修改。</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3.2.3供应商只能提出一个不变价格，采购人不接受任何选择价。</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3.2.4供应商必须对招标范围内的所有货物投标，不允许只对其中一种或几种货物投标。</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3.2.6投标报价原则是各供应商依据自身实力、管理水平，结合企业所在地区的人工工资标准，在确保项目质量，确保项目成本的基础上，自主报价、自负盈亏。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sz w:val="24"/>
        </w:rPr>
      </w:pPr>
      <w:bookmarkStart w:id="79" w:name="_Toc279599789"/>
      <w:bookmarkStart w:id="80" w:name="_Toc403122510"/>
      <w:bookmarkStart w:id="81" w:name="_Toc274249593"/>
      <w:bookmarkStart w:id="82" w:name="_Toc426369498"/>
      <w:r>
        <w:rPr>
          <w:rFonts w:hint="eastAsia" w:asciiTheme="minorEastAsia" w:hAnsiTheme="minorEastAsia" w:eastAsiaTheme="minorEastAsia" w:cstheme="minorEastAsia"/>
          <w:b/>
          <w:bCs/>
          <w:sz w:val="24"/>
        </w:rPr>
        <w:t>3.3 投标有效期</w:t>
      </w:r>
      <w:bookmarkEnd w:id="79"/>
      <w:bookmarkEnd w:id="80"/>
      <w:bookmarkEnd w:id="81"/>
      <w:bookmarkEnd w:id="82"/>
      <w:r>
        <w:rPr>
          <w:rFonts w:hint="eastAsia" w:asciiTheme="minorEastAsia" w:hAnsiTheme="minorEastAsia" w:eastAsiaTheme="minorEastAsia" w:cstheme="minorEastAsia"/>
          <w:b/>
          <w:bCs/>
          <w:sz w:val="24"/>
        </w:rPr>
        <w:t xml:space="preserve"> </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3.3.1在供应商须知前附表规定的投标有效期内，供应商不得要求撤销或修改其投标文件。 </w:t>
      </w:r>
    </w:p>
    <w:p>
      <w:pPr>
        <w:spacing w:line="500" w:lineRule="exact"/>
        <w:ind w:firstLine="482" w:firstLineChars="200"/>
        <w:rPr>
          <w:rFonts w:asciiTheme="minorEastAsia" w:hAnsiTheme="minorEastAsia" w:eastAsiaTheme="minorEastAsia" w:cstheme="minorEastAsia"/>
          <w:b/>
          <w:bCs/>
          <w:sz w:val="24"/>
        </w:rPr>
      </w:pPr>
      <w:bookmarkStart w:id="83" w:name="_Toc274249595"/>
      <w:bookmarkStart w:id="84" w:name="_Toc279599791"/>
      <w:bookmarkStart w:id="85" w:name="_Toc403122512"/>
      <w:bookmarkStart w:id="86" w:name="_Toc426369501"/>
      <w:r>
        <w:rPr>
          <w:rFonts w:hint="eastAsia" w:asciiTheme="minorEastAsia" w:hAnsiTheme="minorEastAsia" w:eastAsiaTheme="minorEastAsia" w:cstheme="minorEastAsia"/>
          <w:b/>
          <w:bCs/>
          <w:sz w:val="24"/>
        </w:rPr>
        <w:t>3.5 资格审查资料</w:t>
      </w:r>
      <w:bookmarkEnd w:id="83"/>
      <w:bookmarkEnd w:id="84"/>
      <w:bookmarkEnd w:id="85"/>
      <w:bookmarkEnd w:id="86"/>
      <w:r>
        <w:rPr>
          <w:rFonts w:hint="eastAsia" w:asciiTheme="minorEastAsia" w:hAnsiTheme="minorEastAsia" w:eastAsiaTheme="minorEastAsia" w:cstheme="minorEastAsia"/>
          <w:b/>
          <w:bCs/>
          <w:sz w:val="24"/>
        </w:rPr>
        <w:t xml:space="preserve"> </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3.5.1</w:t>
      </w:r>
      <w:r>
        <w:rPr>
          <w:rFonts w:hint="eastAsia" w:ascii="宋体" w:hAnsi="宋体" w:cs="宋体"/>
          <w:kern w:val="0"/>
          <w:szCs w:val="21"/>
        </w:rPr>
        <w:t>依据“投标人须知前附表”中的要求提交相应的资格证明文件，作为投标文件的一部分，以证明其有资格进行投标和有能力履行合同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szCs w:val="21"/>
        </w:rPr>
        <w:t xml:space="preserve">。 </w:t>
      </w:r>
    </w:p>
    <w:p>
      <w:pPr>
        <w:spacing w:line="420" w:lineRule="exact"/>
        <w:ind w:firstLine="420" w:firstLineChars="200"/>
        <w:rPr>
          <w:rFonts w:asciiTheme="minorEastAsia" w:hAnsiTheme="minorEastAsia" w:eastAsiaTheme="minorEastAsia" w:cstheme="minorEastAsia"/>
          <w:szCs w:val="21"/>
        </w:rPr>
      </w:pPr>
      <w:r>
        <w:rPr>
          <w:rFonts w:hint="eastAsia" w:ascii="宋体" w:hAnsi="宋体" w:cs="宋体"/>
          <w:szCs w:val="21"/>
        </w:rPr>
        <w:t>3.5.2招标文件规定的供应商资格条件。</w:t>
      </w:r>
      <w:r>
        <w:rPr>
          <w:rFonts w:hint="eastAsia" w:asciiTheme="minorEastAsia" w:hAnsiTheme="minorEastAsia" w:eastAsiaTheme="minorEastAsia" w:cstheme="minorEastAsia"/>
          <w:szCs w:val="21"/>
        </w:rPr>
        <w:t xml:space="preserve">  </w:t>
      </w:r>
    </w:p>
    <w:p>
      <w:pPr>
        <w:spacing w:line="500" w:lineRule="exact"/>
        <w:ind w:firstLine="482" w:firstLineChars="200"/>
        <w:rPr>
          <w:rFonts w:asciiTheme="minorEastAsia" w:hAnsiTheme="minorEastAsia" w:eastAsiaTheme="minorEastAsia" w:cstheme="minorEastAsia"/>
          <w:b/>
          <w:bCs/>
          <w:sz w:val="24"/>
        </w:rPr>
      </w:pPr>
      <w:bookmarkStart w:id="87" w:name="_Toc279599792"/>
      <w:bookmarkStart w:id="88" w:name="_Toc403122513"/>
      <w:bookmarkStart w:id="89" w:name="_Toc426369502"/>
      <w:bookmarkStart w:id="90" w:name="_Toc274249596"/>
      <w:r>
        <w:rPr>
          <w:rFonts w:hint="eastAsia" w:asciiTheme="minorEastAsia" w:hAnsiTheme="minorEastAsia" w:eastAsiaTheme="minorEastAsia" w:cstheme="minorEastAsia"/>
          <w:b/>
          <w:bCs/>
          <w:sz w:val="24"/>
        </w:rPr>
        <w:t>3.6 备选投标方案</w:t>
      </w:r>
      <w:bookmarkEnd w:id="87"/>
      <w:bookmarkEnd w:id="88"/>
      <w:bookmarkEnd w:id="89"/>
      <w:bookmarkEnd w:id="90"/>
      <w:r>
        <w:rPr>
          <w:rFonts w:hint="eastAsia" w:asciiTheme="minorEastAsia" w:hAnsiTheme="minorEastAsia" w:eastAsiaTheme="minorEastAsia" w:cstheme="minorEastAsia"/>
          <w:b/>
          <w:bCs/>
          <w:sz w:val="24"/>
        </w:rPr>
        <w:t xml:space="preserve">    </w:t>
      </w:r>
    </w:p>
    <w:p>
      <w:pPr>
        <w:tabs>
          <w:tab w:val="left" w:pos="3570"/>
        </w:tabs>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供应商不得递交备选投标方案。 </w:t>
      </w:r>
    </w:p>
    <w:p>
      <w:pPr>
        <w:spacing w:line="500" w:lineRule="exact"/>
        <w:ind w:firstLine="482" w:firstLineChars="200"/>
        <w:rPr>
          <w:rFonts w:asciiTheme="minorEastAsia" w:hAnsiTheme="minorEastAsia" w:eastAsiaTheme="minorEastAsia" w:cstheme="minorEastAsia"/>
          <w:b/>
          <w:bCs/>
          <w:sz w:val="24"/>
        </w:rPr>
      </w:pPr>
      <w:bookmarkStart w:id="91" w:name="_Toc426369503"/>
      <w:bookmarkStart w:id="92" w:name="_Toc279599793"/>
      <w:bookmarkStart w:id="93" w:name="_Toc403122514"/>
      <w:bookmarkStart w:id="94" w:name="_Toc274249597"/>
      <w:r>
        <w:rPr>
          <w:rFonts w:hint="eastAsia" w:asciiTheme="minorEastAsia" w:hAnsiTheme="minorEastAsia" w:eastAsiaTheme="minorEastAsia" w:cstheme="minorEastAsia"/>
          <w:b/>
          <w:bCs/>
          <w:sz w:val="24"/>
        </w:rPr>
        <w:t>3.7 投标文件的编制</w:t>
      </w:r>
      <w:bookmarkEnd w:id="91"/>
      <w:bookmarkEnd w:id="92"/>
      <w:bookmarkEnd w:id="93"/>
      <w:bookmarkEnd w:id="94"/>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3.7.1 投标文件应按招标文件中要求</w:t>
      </w:r>
      <w:r>
        <w:rPr>
          <w:rFonts w:hint="eastAsia" w:ascii="宋体" w:hAnsi="宋体" w:cs="宋体"/>
          <w:color w:val="auto"/>
          <w:kern w:val="0"/>
          <w:szCs w:val="21"/>
        </w:rPr>
        <w:t>使用焦作市公共资源交易系统投标文件制作专用工具软件编制</w:t>
      </w:r>
      <w:r>
        <w:rPr>
          <w:rFonts w:hint="eastAsia" w:asciiTheme="minorEastAsia" w:hAnsiTheme="minorEastAsia" w:eastAsiaTheme="minorEastAsia" w:cstheme="minorEastAsia"/>
          <w:color w:val="auto"/>
          <w:szCs w:val="21"/>
        </w:rPr>
        <w:t xml:space="preserve">。 </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3.7.2  投标文件应当对招标文件有关项目完成期、投标有效期、质量要求、采购</w:t>
      </w:r>
      <w:r>
        <w:rPr>
          <w:rFonts w:hint="eastAsia" w:asciiTheme="minorEastAsia" w:hAnsiTheme="minorEastAsia" w:eastAsiaTheme="minorEastAsia" w:cstheme="minorEastAsia"/>
          <w:color w:val="auto"/>
          <w:szCs w:val="21"/>
          <w:lang w:val="en-US" w:eastAsia="zh-CN"/>
        </w:rPr>
        <w:t>要求</w:t>
      </w:r>
      <w:r>
        <w:rPr>
          <w:rFonts w:hint="eastAsia" w:asciiTheme="minorEastAsia" w:hAnsiTheme="minorEastAsia" w:eastAsiaTheme="minorEastAsia" w:cstheme="minorEastAsia"/>
          <w:color w:val="auto"/>
          <w:szCs w:val="21"/>
        </w:rPr>
        <w:t>及</w:t>
      </w:r>
      <w:r>
        <w:rPr>
          <w:rFonts w:hint="eastAsia" w:asciiTheme="minorEastAsia" w:hAnsiTheme="minorEastAsia" w:eastAsiaTheme="minorEastAsia" w:cstheme="minorEastAsia"/>
          <w:color w:val="auto"/>
          <w:szCs w:val="21"/>
          <w:lang w:val="en-US" w:eastAsia="zh-CN"/>
        </w:rPr>
        <w:t>服务内容</w:t>
      </w:r>
      <w:r>
        <w:rPr>
          <w:rFonts w:hint="eastAsia" w:asciiTheme="minorEastAsia" w:hAnsiTheme="minorEastAsia" w:eastAsiaTheme="minorEastAsia" w:cstheme="minorEastAsia"/>
          <w:color w:val="auto"/>
          <w:szCs w:val="21"/>
        </w:rPr>
        <w:t>、等实质性内容作出响应。</w:t>
      </w:r>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3.7.3 </w:t>
      </w:r>
      <w:r>
        <w:rPr>
          <w:rFonts w:hint="eastAsia" w:ascii="宋体" w:hAnsi="宋体" w:cs="宋体"/>
          <w:color w:val="auto"/>
          <w:kern w:val="0"/>
          <w:szCs w:val="21"/>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w:t>
      </w:r>
    </w:p>
    <w:p>
      <w:pPr>
        <w:pStyle w:val="38"/>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rPr>
      </w:pPr>
      <w:bookmarkStart w:id="95" w:name="_Toc403122515"/>
      <w:bookmarkStart w:id="96" w:name="_Toc30100"/>
      <w:bookmarkStart w:id="97" w:name="_Toc426369504"/>
      <w:bookmarkStart w:id="98" w:name="_Toc26998"/>
      <w:r>
        <w:rPr>
          <w:rFonts w:hint="eastAsia" w:asciiTheme="minorEastAsia" w:hAnsiTheme="minorEastAsia" w:eastAsiaTheme="minorEastAsia" w:cstheme="minorEastAsia"/>
          <w:color w:val="auto"/>
          <w:sz w:val="24"/>
          <w:szCs w:val="24"/>
        </w:rPr>
        <w:t>4. 投标</w:t>
      </w:r>
      <w:bookmarkEnd w:id="95"/>
      <w:bookmarkEnd w:id="96"/>
      <w:bookmarkEnd w:id="97"/>
      <w:bookmarkEnd w:id="98"/>
      <w:r>
        <w:rPr>
          <w:rFonts w:hint="eastAsia" w:asciiTheme="minorEastAsia" w:hAnsiTheme="minorEastAsia" w:eastAsiaTheme="minorEastAsia" w:cstheme="minorEastAsia"/>
          <w:color w:val="auto"/>
          <w:sz w:val="24"/>
          <w:szCs w:val="24"/>
        </w:rPr>
        <w:t xml:space="preserve"> </w:t>
      </w:r>
    </w:p>
    <w:p>
      <w:pPr>
        <w:spacing w:line="500" w:lineRule="exact"/>
        <w:ind w:firstLine="482" w:firstLineChars="200"/>
        <w:rPr>
          <w:rFonts w:asciiTheme="minorEastAsia" w:hAnsiTheme="minorEastAsia" w:eastAsiaTheme="minorEastAsia" w:cstheme="minorEastAsia"/>
          <w:b/>
          <w:bCs/>
          <w:sz w:val="24"/>
          <w:highlight w:val="none"/>
        </w:rPr>
      </w:pPr>
      <w:bookmarkStart w:id="99" w:name="_Toc426369505"/>
      <w:bookmarkStart w:id="100" w:name="_Toc274249599"/>
      <w:bookmarkStart w:id="101" w:name="_Toc403122516"/>
      <w:bookmarkStart w:id="102" w:name="_Toc279599795"/>
      <w:r>
        <w:rPr>
          <w:rFonts w:hint="eastAsia" w:asciiTheme="minorEastAsia" w:hAnsiTheme="minorEastAsia" w:eastAsiaTheme="minorEastAsia" w:cstheme="minorEastAsia"/>
          <w:b/>
          <w:bCs/>
          <w:sz w:val="24"/>
          <w:highlight w:val="none"/>
        </w:rPr>
        <w:t>4.1 投标文件的密封和标记</w:t>
      </w:r>
      <w:bookmarkEnd w:id="99"/>
      <w:bookmarkEnd w:id="100"/>
      <w:bookmarkEnd w:id="101"/>
      <w:bookmarkEnd w:id="102"/>
      <w:r>
        <w:rPr>
          <w:rFonts w:hint="eastAsia" w:asciiTheme="minorEastAsia" w:hAnsiTheme="minorEastAsia" w:eastAsiaTheme="minorEastAsia" w:cstheme="minorEastAsia"/>
          <w:b/>
          <w:bCs/>
          <w:sz w:val="24"/>
          <w:highlight w:val="none"/>
        </w:rPr>
        <w:t xml:space="preserve"> </w:t>
      </w:r>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r>
        <w:rPr>
          <w:rFonts w:hint="eastAsia" w:ascii="宋体" w:hAnsi="宋体" w:cs="宋体"/>
          <w:color w:val="auto"/>
          <w:kern w:val="0"/>
          <w:szCs w:val="21"/>
          <w:highlight w:val="none"/>
        </w:rPr>
        <w:t>4.1.1.</w:t>
      </w:r>
      <w:r>
        <w:rPr>
          <w:rFonts w:hint="eastAsia" w:ascii="宋体" w:hAnsi="宋体" w:cs="宋体"/>
          <w:color w:val="auto"/>
          <w:kern w:val="0"/>
          <w:szCs w:val="21"/>
          <w:highlight w:val="none"/>
          <w:lang w:val="en-US" w:eastAsia="zh-CN"/>
        </w:rPr>
        <w:t>本项目采用</w:t>
      </w:r>
      <w:r>
        <w:rPr>
          <w:rFonts w:hint="eastAsia" w:ascii="宋体" w:hAnsi="宋体" w:cs="宋体"/>
          <w:color w:val="auto"/>
          <w:kern w:val="0"/>
          <w:szCs w:val="21"/>
          <w:highlight w:val="none"/>
          <w:lang w:val="zh-CN"/>
        </w:rPr>
        <w:t>网上上传的电子投标文件</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lang w:val="zh-CN"/>
        </w:rPr>
        <w:t>应使用数字证书认证并加密。</w:t>
      </w:r>
    </w:p>
    <w:p>
      <w:pPr>
        <w:spacing w:line="500" w:lineRule="exact"/>
        <w:ind w:firstLine="482" w:firstLineChars="200"/>
        <w:rPr>
          <w:rFonts w:asciiTheme="minorEastAsia" w:hAnsiTheme="minorEastAsia" w:eastAsiaTheme="minorEastAsia" w:cstheme="minorEastAsia"/>
          <w:b/>
          <w:bCs/>
          <w:sz w:val="24"/>
        </w:rPr>
      </w:pPr>
      <w:bookmarkStart w:id="103" w:name="_Toc279599796"/>
      <w:bookmarkStart w:id="104" w:name="_Toc274249600"/>
      <w:bookmarkStart w:id="105" w:name="_Toc426369506"/>
      <w:bookmarkStart w:id="106" w:name="_Toc403122517"/>
      <w:r>
        <w:rPr>
          <w:rFonts w:hint="eastAsia" w:asciiTheme="minorEastAsia" w:hAnsiTheme="minorEastAsia" w:eastAsiaTheme="minorEastAsia" w:cstheme="minorEastAsia"/>
          <w:b/>
          <w:bCs/>
          <w:sz w:val="24"/>
        </w:rPr>
        <w:t>4.2 投标文件的递交</w:t>
      </w:r>
      <w:bookmarkEnd w:id="103"/>
      <w:bookmarkEnd w:id="104"/>
      <w:bookmarkEnd w:id="105"/>
      <w:bookmarkEnd w:id="106"/>
      <w:r>
        <w:rPr>
          <w:rFonts w:hint="eastAsia" w:asciiTheme="minorEastAsia" w:hAnsiTheme="minorEastAsia" w:eastAsiaTheme="minorEastAsia" w:cstheme="minorEastAsia"/>
          <w:b/>
          <w:bCs/>
          <w:sz w:val="24"/>
        </w:rPr>
        <w:t xml:space="preserve"> </w:t>
      </w:r>
    </w:p>
    <w:p>
      <w:pPr>
        <w:autoSpaceDE w:val="0"/>
        <w:autoSpaceDN w:val="0"/>
        <w:adjustRightInd w:val="0"/>
        <w:spacing w:line="44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en-US" w:eastAsia="zh-CN"/>
        </w:rPr>
        <w:t>4.2.1</w:t>
      </w:r>
      <w:r>
        <w:rPr>
          <w:rFonts w:hint="eastAsia" w:ascii="宋体" w:hAnsi="宋体" w:cs="宋体"/>
          <w:color w:val="auto"/>
          <w:kern w:val="0"/>
          <w:szCs w:val="21"/>
          <w:highlight w:val="none"/>
          <w:lang w:val="zh-CN"/>
        </w:rPr>
        <w:t>所有投标文件必须在本招标文件中规定的投标截止时间之前</w:t>
      </w:r>
      <w:r>
        <w:rPr>
          <w:rFonts w:hint="eastAsia" w:ascii="宋体" w:hAnsi="宋体" w:cs="宋体"/>
          <w:color w:val="auto"/>
          <w:kern w:val="0"/>
          <w:szCs w:val="21"/>
          <w:highlight w:val="none"/>
        </w:rPr>
        <w:t>提前上传，并在开标截止时间前登录不见面开标大厅，按要求</w:t>
      </w:r>
      <w:r>
        <w:rPr>
          <w:rFonts w:hint="eastAsia" w:ascii="宋体" w:hAnsi="宋体"/>
          <w:color w:val="auto"/>
          <w:szCs w:val="21"/>
          <w:highlight w:val="none"/>
        </w:rPr>
        <w:t>在线签到、解密文件等，解密时间为投标截止时后30分钟内</w:t>
      </w:r>
      <w:r>
        <w:rPr>
          <w:rFonts w:hint="eastAsia" w:ascii="宋体" w:hAnsi="宋体"/>
          <w:color w:val="auto"/>
          <w:szCs w:val="21"/>
          <w:highlight w:val="none"/>
          <w:lang w:eastAsia="zh-CN"/>
        </w:rPr>
        <w:t>，</w:t>
      </w:r>
      <w:r>
        <w:rPr>
          <w:rFonts w:hint="eastAsia" w:ascii="宋体" w:hAnsi="宋体" w:cs="宋体"/>
          <w:color w:val="auto"/>
          <w:kern w:val="0"/>
          <w:szCs w:val="21"/>
          <w:highlight w:val="none"/>
        </w:rPr>
        <w:t>不能按时上传、签到、解密者视为自动放弃投标。</w:t>
      </w:r>
    </w:p>
    <w:p>
      <w:pPr>
        <w:autoSpaceDE w:val="0"/>
        <w:autoSpaceDN w:val="0"/>
        <w:adjustRightInd w:val="0"/>
        <w:spacing w:line="44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4.2.</w:t>
      </w:r>
      <w:r>
        <w:rPr>
          <w:rFonts w:hint="eastAsia" w:ascii="宋体" w:hAnsi="宋体" w:cs="宋体"/>
          <w:color w:val="auto"/>
          <w:kern w:val="0"/>
          <w:szCs w:val="21"/>
          <w:highlight w:val="none"/>
          <w:lang w:val="zh-CN"/>
        </w:rPr>
        <w:t>2.采购人拒绝接收在投标文件递交截止时间后上传的投标文件。</w:t>
      </w:r>
      <w:bookmarkStart w:id="107" w:name="_Hlt26954862"/>
      <w:bookmarkEnd w:id="107"/>
      <w:bookmarkStart w:id="108" w:name="_Hlt26954754"/>
      <w:bookmarkEnd w:id="108"/>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spacing w:line="500" w:lineRule="exact"/>
        <w:ind w:firstLine="482" w:firstLineChars="200"/>
        <w:rPr>
          <w:rFonts w:asciiTheme="minorEastAsia" w:hAnsiTheme="minorEastAsia" w:eastAsiaTheme="minorEastAsia" w:cstheme="minorEastAsia"/>
          <w:b/>
          <w:bCs/>
          <w:sz w:val="24"/>
          <w:highlight w:val="yellow"/>
        </w:rPr>
      </w:pPr>
      <w:bookmarkStart w:id="109" w:name="_Toc403122518"/>
      <w:bookmarkStart w:id="110" w:name="_Toc426369507"/>
      <w:bookmarkStart w:id="111" w:name="_Toc274249601"/>
      <w:bookmarkStart w:id="112" w:name="_Toc279599797"/>
      <w:r>
        <w:rPr>
          <w:rFonts w:hint="eastAsia" w:asciiTheme="minorEastAsia" w:hAnsiTheme="minorEastAsia" w:eastAsiaTheme="minorEastAsia" w:cstheme="minorEastAsia"/>
          <w:b/>
          <w:bCs/>
          <w:sz w:val="24"/>
        </w:rPr>
        <w:t xml:space="preserve">4.3 </w:t>
      </w:r>
      <w:r>
        <w:rPr>
          <w:rFonts w:hint="eastAsia" w:asciiTheme="minorEastAsia" w:hAnsiTheme="minorEastAsia" w:eastAsiaTheme="minorEastAsia" w:cstheme="minorEastAsia"/>
          <w:b/>
          <w:bCs/>
          <w:sz w:val="24"/>
          <w:highlight w:val="none"/>
        </w:rPr>
        <w:t>投标文件的修改与撤回</w:t>
      </w:r>
      <w:bookmarkEnd w:id="109"/>
      <w:bookmarkEnd w:id="110"/>
      <w:bookmarkEnd w:id="111"/>
      <w:bookmarkEnd w:id="112"/>
      <w:r>
        <w:rPr>
          <w:rFonts w:hint="eastAsia" w:asciiTheme="minorEastAsia" w:hAnsiTheme="minorEastAsia" w:eastAsiaTheme="minorEastAsia" w:cstheme="minorEastAsia"/>
          <w:b/>
          <w:bCs/>
          <w:sz w:val="24"/>
          <w:highlight w:val="none"/>
        </w:rPr>
        <w:t xml:space="preserve"> </w:t>
      </w:r>
    </w:p>
    <w:p>
      <w:pPr>
        <w:spacing w:line="400" w:lineRule="exact"/>
        <w:ind w:firstLine="420" w:firstLineChars="200"/>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4.3.1  在本章第 2.2.2 项规定的投标截止时间前，供应商可以修改或撤回已递交的投标文件</w:t>
      </w:r>
      <w:r>
        <w:rPr>
          <w:rFonts w:hint="eastAsia" w:asciiTheme="minorEastAsia" w:hAnsiTheme="minorEastAsia" w:eastAsiaTheme="minorEastAsia" w:cstheme="minorEastAsia"/>
          <w:szCs w:val="21"/>
          <w:highlight w:val="none"/>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4.3.2  供应商修改或撤回已递交投标文件的书面通知应按照本章第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4.3.3  修改的内容为投标文件的组成部分。修改的投标文件应按照本章第 3 条、第 4 条规定进行编制、密封、标记和递交，并标明“修改”字样。 </w:t>
      </w:r>
    </w:p>
    <w:p>
      <w:pPr>
        <w:pStyle w:val="38"/>
        <w:spacing w:before="120" w:after="120" w:line="500" w:lineRule="exact"/>
        <w:ind w:right="-1029" w:rightChars="-490" w:firstLine="482" w:firstLineChars="200"/>
        <w:jc w:val="left"/>
        <w:rPr>
          <w:rFonts w:hint="eastAsia" w:asciiTheme="minorEastAsia" w:hAnsiTheme="minorEastAsia" w:eastAsiaTheme="minorEastAsia" w:cstheme="minorEastAsia"/>
          <w:sz w:val="24"/>
          <w:szCs w:val="24"/>
        </w:rPr>
      </w:pPr>
      <w:bookmarkStart w:id="113" w:name="_Toc32449"/>
      <w:bookmarkStart w:id="114" w:name="_Toc426369508"/>
      <w:bookmarkStart w:id="115" w:name="_Toc403122519"/>
      <w:bookmarkStart w:id="116" w:name="_Toc18170"/>
      <w:r>
        <w:rPr>
          <w:rFonts w:hint="eastAsia" w:asciiTheme="minorEastAsia" w:hAnsiTheme="minorEastAsia" w:eastAsiaTheme="minorEastAsia" w:cstheme="minorEastAsia"/>
          <w:sz w:val="24"/>
          <w:szCs w:val="24"/>
        </w:rPr>
        <w:t>5. 开标</w:t>
      </w:r>
      <w:bookmarkEnd w:id="113"/>
      <w:bookmarkEnd w:id="114"/>
      <w:bookmarkEnd w:id="115"/>
      <w:bookmarkEnd w:id="116"/>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5.1 </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投标截止前，登录远程开标大厅，在线准时参加开标活动并进行文件解密、答疑澄清等。在规定时间内投标文件未解密的投标人，视为放弃投标。</w:t>
      </w:r>
    </w:p>
    <w:p>
      <w:pPr>
        <w:spacing w:line="400" w:lineRule="exact"/>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所有投标文件必须在本招标文件中规定的投标截止时间之前提前上传投标文件，并在开标截止时间前登录不见面开标大厅进行签到，按要求解密投标文件，不能按时上传、签到、解密者视为自动放弃投标。</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5.1.2</w:t>
      </w:r>
      <w:r>
        <w:rPr>
          <w:rFonts w:hint="eastAsia" w:asciiTheme="minorEastAsia" w:hAnsiTheme="minorEastAsia" w:eastAsiaTheme="minorEastAsia" w:cstheme="minorEastAsia"/>
          <w:szCs w:val="21"/>
        </w:rPr>
        <w:t xml:space="preserve">投标人不足3家的，不得开标。  </w:t>
      </w:r>
    </w:p>
    <w:p>
      <w:pPr>
        <w:spacing w:line="500" w:lineRule="exact"/>
        <w:ind w:firstLine="482" w:firstLineChars="200"/>
        <w:rPr>
          <w:rFonts w:asciiTheme="minorEastAsia" w:hAnsiTheme="minorEastAsia" w:eastAsiaTheme="minorEastAsia" w:cstheme="minorEastAsia"/>
          <w:b/>
          <w:bCs/>
          <w:sz w:val="24"/>
        </w:rPr>
      </w:pPr>
      <w:bookmarkStart w:id="117" w:name="_Toc403122520"/>
      <w:bookmarkStart w:id="118" w:name="_Toc274249603"/>
      <w:bookmarkStart w:id="119" w:name="_Toc426369509"/>
      <w:bookmarkStart w:id="120" w:name="_Toc279599799"/>
      <w:r>
        <w:rPr>
          <w:rFonts w:hint="eastAsia" w:asciiTheme="minorEastAsia" w:hAnsiTheme="minorEastAsia" w:eastAsiaTheme="minorEastAsia" w:cstheme="minorEastAsia"/>
          <w:b/>
          <w:bCs/>
          <w:sz w:val="24"/>
        </w:rPr>
        <w:t>5.</w:t>
      </w:r>
      <w:r>
        <w:rPr>
          <w:rFonts w:hint="eastAsia" w:asciiTheme="minorEastAsia" w:hAnsiTheme="minorEastAsia" w:eastAsiaTheme="minorEastAsia" w:cstheme="minorEastAsia"/>
          <w:b/>
          <w:bCs/>
          <w:sz w:val="24"/>
          <w:lang w:val="en-US" w:eastAsia="zh-CN"/>
        </w:rPr>
        <w:t>2</w:t>
      </w:r>
      <w:r>
        <w:rPr>
          <w:rFonts w:hint="eastAsia" w:asciiTheme="minorEastAsia" w:hAnsiTheme="minorEastAsia" w:eastAsiaTheme="minorEastAsia" w:cstheme="minorEastAsia"/>
          <w:b/>
          <w:bCs/>
          <w:sz w:val="24"/>
        </w:rPr>
        <w:t xml:space="preserve"> 开标时间和地点</w:t>
      </w:r>
      <w:bookmarkEnd w:id="117"/>
      <w:bookmarkEnd w:id="118"/>
      <w:bookmarkEnd w:id="119"/>
      <w:bookmarkEnd w:id="120"/>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采购人在本章第 2.2.2 项规定的投标截止时间（开标时间）和供应商须知前附表规定的地点公开开标。</w:t>
      </w:r>
    </w:p>
    <w:p>
      <w:pPr>
        <w:spacing w:line="500" w:lineRule="exact"/>
        <w:ind w:firstLine="482" w:firstLineChars="200"/>
        <w:rPr>
          <w:rFonts w:asciiTheme="minorEastAsia" w:hAnsiTheme="minorEastAsia" w:eastAsiaTheme="minorEastAsia" w:cstheme="minorEastAsia"/>
          <w:b/>
          <w:bCs/>
          <w:sz w:val="24"/>
        </w:rPr>
      </w:pPr>
      <w:bookmarkStart w:id="121" w:name="_Toc274249604"/>
      <w:bookmarkStart w:id="122" w:name="_Toc426369510"/>
      <w:bookmarkStart w:id="123" w:name="_Toc279599800"/>
      <w:bookmarkStart w:id="124" w:name="_Toc403122521"/>
      <w:r>
        <w:rPr>
          <w:rFonts w:hint="eastAsia" w:asciiTheme="minorEastAsia" w:hAnsiTheme="minorEastAsia" w:eastAsiaTheme="minorEastAsia" w:cstheme="minorEastAsia"/>
          <w:b/>
          <w:bCs/>
          <w:sz w:val="24"/>
        </w:rPr>
        <w:t>5.</w:t>
      </w:r>
      <w:r>
        <w:rPr>
          <w:rFonts w:hint="eastAsia" w:asciiTheme="minorEastAsia" w:hAnsiTheme="minorEastAsia" w:eastAsiaTheme="minorEastAsia" w:cstheme="minorEastAsia"/>
          <w:b/>
          <w:bCs/>
          <w:sz w:val="24"/>
          <w:lang w:val="en-US" w:eastAsia="zh-CN"/>
        </w:rPr>
        <w:t>3</w:t>
      </w:r>
      <w:r>
        <w:rPr>
          <w:rFonts w:hint="eastAsia" w:asciiTheme="minorEastAsia" w:hAnsiTheme="minorEastAsia" w:eastAsiaTheme="minorEastAsia" w:cstheme="minorEastAsia"/>
          <w:b/>
          <w:bCs/>
          <w:sz w:val="24"/>
        </w:rPr>
        <w:t>开标程序</w:t>
      </w:r>
      <w:bookmarkEnd w:id="121"/>
      <w:bookmarkEnd w:id="122"/>
      <w:bookmarkEnd w:id="123"/>
      <w:bookmarkEnd w:id="124"/>
      <w:r>
        <w:rPr>
          <w:rFonts w:hint="eastAsia" w:asciiTheme="minorEastAsia" w:hAnsiTheme="minorEastAsia" w:eastAsiaTheme="minorEastAsia" w:cstheme="minorEastAsia"/>
          <w:b/>
          <w:bCs/>
          <w:sz w:val="24"/>
        </w:rPr>
        <w:t xml:space="preserve"> </w:t>
      </w:r>
    </w:p>
    <w:p>
      <w:pPr>
        <w:spacing w:line="400" w:lineRule="exact"/>
        <w:ind w:firstLine="420" w:firstLineChars="200"/>
        <w:rPr>
          <w:rFonts w:hint="eastAsia" w:asciiTheme="minorEastAsia" w:hAnsiTheme="minorEastAsia" w:eastAsiaTheme="minorEastAsia" w:cstheme="minorEastAsia"/>
          <w:szCs w:val="21"/>
          <w:lang w:val="zh-CN"/>
        </w:rPr>
      </w:pPr>
      <w:bookmarkStart w:id="125" w:name="_Toc426369511"/>
      <w:r>
        <w:rPr>
          <w:rFonts w:hint="eastAsia" w:asciiTheme="minorEastAsia" w:hAnsiTheme="minorEastAsia" w:eastAsiaTheme="minorEastAsia" w:cstheme="minorEastAsia"/>
          <w:szCs w:val="21"/>
          <w:lang w:val="en-US" w:eastAsia="zh-CN"/>
        </w:rPr>
        <w:t>5.3</w:t>
      </w:r>
      <w:r>
        <w:rPr>
          <w:rFonts w:hint="eastAsia" w:asciiTheme="minorEastAsia" w:hAnsiTheme="minorEastAsia" w:eastAsiaTheme="minorEastAsia" w:cstheme="minorEastAsia"/>
          <w:szCs w:val="21"/>
          <w:lang w:val="zh-CN"/>
        </w:rPr>
        <w:t>.1本</w:t>
      </w:r>
      <w:r>
        <w:rPr>
          <w:rFonts w:hint="eastAsia" w:asciiTheme="minorEastAsia" w:hAnsiTheme="minorEastAsia" w:eastAsiaTheme="minorEastAsia" w:cstheme="minorEastAsia"/>
          <w:szCs w:val="21"/>
          <w:lang w:val="en-US" w:eastAsia="zh-CN"/>
        </w:rPr>
        <w:t>项目</w:t>
      </w:r>
      <w:r>
        <w:rPr>
          <w:rFonts w:hint="eastAsia" w:asciiTheme="minorEastAsia" w:hAnsiTheme="minorEastAsia" w:eastAsiaTheme="minorEastAsia" w:cstheme="minorEastAsia"/>
          <w:szCs w:val="21"/>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主持人按下列程序进行开标：</w:t>
      </w:r>
    </w:p>
    <w:p>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(l）宣布投标截止时间已到，不再接收投标文件；</w:t>
      </w:r>
    </w:p>
    <w:p>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（2）宣布开标纪律；</w:t>
      </w:r>
    </w:p>
    <w:p>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(3）宣布开标人、唱标人、记录人、监标人等有关人员姓名；</w:t>
      </w:r>
    </w:p>
    <w:p>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(4）电子投标文件解密；</w:t>
      </w:r>
    </w:p>
    <w:p>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（5）宣布投标文件开标顺序，电子唱标并记录在案；</w:t>
      </w:r>
    </w:p>
    <w:p>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（6）投标人代表</w:t>
      </w:r>
      <w:r>
        <w:rPr>
          <w:rFonts w:hint="eastAsia" w:asciiTheme="minorEastAsia" w:hAnsiTheme="minorEastAsia" w:eastAsiaTheme="minorEastAsia" w:cstheme="minorEastAsia"/>
          <w:szCs w:val="21"/>
          <w:highlight w:val="none"/>
          <w:lang w:val="zh-CN"/>
        </w:rPr>
        <w:t>、</w:t>
      </w:r>
      <w:r>
        <w:rPr>
          <w:rFonts w:hint="eastAsia" w:asciiTheme="minorEastAsia" w:hAnsiTheme="minorEastAsia" w:eastAsiaTheme="minorEastAsia" w:cstheme="minorEastAsia"/>
          <w:szCs w:val="21"/>
          <w:highlight w:val="none"/>
          <w:lang w:val="en-US" w:eastAsia="zh-CN"/>
        </w:rPr>
        <w:t>采购</w:t>
      </w:r>
      <w:r>
        <w:rPr>
          <w:rFonts w:hint="eastAsia" w:asciiTheme="minorEastAsia" w:hAnsiTheme="minorEastAsia" w:eastAsiaTheme="minorEastAsia" w:cstheme="minorEastAsia"/>
          <w:szCs w:val="21"/>
          <w:highlight w:val="none"/>
          <w:lang w:val="zh-CN"/>
        </w:rPr>
        <w:t>人、</w:t>
      </w:r>
      <w:r>
        <w:rPr>
          <w:rFonts w:hint="eastAsia" w:asciiTheme="minorEastAsia" w:hAnsiTheme="minorEastAsia" w:eastAsiaTheme="minorEastAsia" w:cstheme="minorEastAsia"/>
          <w:szCs w:val="21"/>
          <w:lang w:val="zh-CN"/>
        </w:rPr>
        <w:t>监标人等有关人员在开标记录上签字确认；</w:t>
      </w:r>
    </w:p>
    <w:p>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(7）开标结束。</w:t>
      </w:r>
    </w:p>
    <w:p>
      <w:pPr>
        <w:spacing w:line="500" w:lineRule="exact"/>
        <w:ind w:firstLine="482" w:firstLineChars="200"/>
        <w:rPr>
          <w:rFonts w:hint="eastAsia" w:asciiTheme="minorEastAsia" w:hAnsiTheme="minorEastAsia" w:eastAsiaTheme="minorEastAsia" w:cstheme="minorEastAsia"/>
          <w:b/>
          <w:bCs/>
          <w:color w:val="auto"/>
          <w:sz w:val="24"/>
          <w:lang w:val="zh-CN"/>
        </w:rPr>
      </w:pPr>
      <w:r>
        <w:rPr>
          <w:rFonts w:hint="eastAsia" w:asciiTheme="minorEastAsia" w:hAnsiTheme="minorEastAsia" w:eastAsiaTheme="minorEastAsia" w:cstheme="minorEastAsia"/>
          <w:b/>
          <w:bCs/>
          <w:color w:val="auto"/>
          <w:sz w:val="24"/>
          <w:lang w:val="en-US" w:eastAsia="zh-CN"/>
        </w:rPr>
        <w:t>5.3</w:t>
      </w:r>
      <w:r>
        <w:rPr>
          <w:rFonts w:hint="eastAsia" w:asciiTheme="minorEastAsia" w:hAnsiTheme="minorEastAsia" w:eastAsiaTheme="minorEastAsia" w:cstheme="minorEastAsia"/>
          <w:b/>
          <w:bCs/>
          <w:color w:val="auto"/>
          <w:sz w:val="24"/>
          <w:lang w:val="zh-CN"/>
        </w:rPr>
        <w:t>.2开标时出现下列情况的，采购人将拒绝其投标文件。</w:t>
      </w:r>
    </w:p>
    <w:p>
      <w:pPr>
        <w:spacing w:line="400" w:lineRule="exact"/>
        <w:ind w:firstLine="420" w:firstLineChars="200"/>
        <w:rPr>
          <w:rFonts w:hint="eastAsia" w:asciiTheme="minorEastAsia" w:hAnsiTheme="minorEastAsia" w:eastAsiaTheme="minorEastAsia" w:cstheme="minorEastAsia"/>
          <w:szCs w:val="21"/>
          <w:lang w:val="zh-CN" w:eastAsia="zh-CN"/>
        </w:rPr>
      </w:pPr>
      <w:r>
        <w:rPr>
          <w:rFonts w:hint="eastAsia" w:asciiTheme="minorEastAsia" w:hAnsiTheme="minorEastAsia" w:eastAsiaTheme="minorEastAsia" w:cstheme="minorEastAsia"/>
          <w:szCs w:val="21"/>
          <w:lang w:val="zh-CN" w:eastAsia="zh-CN"/>
        </w:rPr>
        <w:t>（1）经检查数字证书无效的投标文件；</w:t>
      </w:r>
    </w:p>
    <w:p>
      <w:pPr>
        <w:spacing w:line="400" w:lineRule="exact"/>
        <w:ind w:firstLine="420" w:firstLineChars="200"/>
        <w:rPr>
          <w:rFonts w:hint="eastAsia" w:asciiTheme="minorEastAsia" w:hAnsiTheme="minorEastAsia" w:eastAsiaTheme="minorEastAsia" w:cstheme="minorEastAsia"/>
          <w:szCs w:val="21"/>
          <w:lang w:val="zh-CN" w:eastAsia="zh-CN"/>
        </w:rPr>
      </w:pPr>
      <w:r>
        <w:rPr>
          <w:rFonts w:hint="eastAsia" w:asciiTheme="minorEastAsia" w:hAnsiTheme="minorEastAsia" w:eastAsiaTheme="minorEastAsia" w:cstheme="minorEastAsia"/>
          <w:szCs w:val="21"/>
          <w:lang w:val="zh-CN" w:eastAsia="zh-CN"/>
        </w:rPr>
        <w:t>（2）投标人未按</w:t>
      </w:r>
      <w:r>
        <w:rPr>
          <w:rFonts w:hint="eastAsia" w:asciiTheme="minorEastAsia" w:hAnsiTheme="minorEastAsia" w:eastAsiaTheme="minorEastAsia" w:cstheme="minorEastAsia"/>
          <w:szCs w:val="21"/>
          <w:highlight w:val="none"/>
          <w:lang w:val="zh-CN" w:eastAsia="zh-CN"/>
        </w:rPr>
        <w:t>投标人须知前附表规定的</w:t>
      </w:r>
      <w:r>
        <w:rPr>
          <w:rFonts w:hint="eastAsia" w:asciiTheme="minorEastAsia" w:hAnsiTheme="minorEastAsia" w:eastAsiaTheme="minorEastAsia" w:cstheme="minorEastAsia"/>
          <w:szCs w:val="21"/>
          <w:lang w:val="zh-CN" w:eastAsia="zh-CN"/>
        </w:rPr>
        <w:t>时间内解密投标文件的；</w:t>
      </w:r>
    </w:p>
    <w:p>
      <w:pPr>
        <w:spacing w:line="400" w:lineRule="exact"/>
        <w:ind w:firstLine="420" w:firstLineChars="200"/>
        <w:rPr>
          <w:rFonts w:hint="eastAsia" w:asciiTheme="minorEastAsia" w:hAnsiTheme="minorEastAsia" w:eastAsiaTheme="minorEastAsia" w:cstheme="minorEastAsia"/>
          <w:szCs w:val="21"/>
          <w:lang w:val="zh-CN" w:eastAsia="zh-CN"/>
        </w:rPr>
      </w:pPr>
      <w:r>
        <w:rPr>
          <w:rFonts w:hint="eastAsia" w:asciiTheme="minorEastAsia" w:hAnsiTheme="minorEastAsia" w:eastAsiaTheme="minorEastAsia" w:cstheme="minorEastAsia"/>
          <w:szCs w:val="21"/>
          <w:lang w:val="en-US" w:eastAsia="zh-CN"/>
        </w:rPr>
        <w:t xml:space="preserve"> </w:t>
      </w:r>
    </w:p>
    <w:p>
      <w:pPr>
        <w:spacing w:line="400" w:lineRule="exact"/>
        <w:ind w:firstLine="422" w:firstLineChars="200"/>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5.4开标异议</w:t>
      </w:r>
      <w:bookmarkEnd w:id="125"/>
    </w:p>
    <w:p>
      <w:pPr>
        <w:spacing w:line="400" w:lineRule="exact"/>
        <w:ind w:firstLine="420" w:firstLineChars="200"/>
        <w:rPr>
          <w:rFonts w:hint="eastAsia" w:asciiTheme="minorEastAsia" w:hAnsiTheme="minorEastAsia" w:eastAsiaTheme="minorEastAsia" w:cstheme="minorEastAsia"/>
          <w:szCs w:val="21"/>
          <w:lang w:val="en-US" w:eastAsia="zh-CN"/>
        </w:rPr>
      </w:pPr>
      <w:bookmarkStart w:id="126" w:name="_Toc12881"/>
      <w:bookmarkStart w:id="127" w:name="_Toc21662"/>
      <w:bookmarkStart w:id="128" w:name="_Toc426369512"/>
      <w:bookmarkStart w:id="129" w:name="_Toc403122522"/>
      <w:r>
        <w:rPr>
          <w:rFonts w:hint="eastAsia" w:asciiTheme="minorEastAsia" w:hAnsiTheme="minorEastAsia" w:eastAsiaTheme="minorEastAsia" w:cstheme="minorEastAsia"/>
          <w:szCs w:val="21"/>
          <w:lang w:val="en-US" w:eastAsia="zh-CN"/>
        </w:rPr>
        <w:t>投标人对开标有异议的，应当在开标现场提出，采购人当场作出答复，并制作记录。</w:t>
      </w:r>
    </w:p>
    <w:p>
      <w:pPr>
        <w:spacing w:line="400" w:lineRule="exact"/>
        <w:ind w:firstLine="422" w:firstLineChars="200"/>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5.</w:t>
      </w:r>
      <w:bookmarkStart w:id="130" w:name="_Toc13445"/>
      <w:bookmarkStart w:id="131" w:name="_Toc9927"/>
      <w:r>
        <w:rPr>
          <w:rFonts w:hint="eastAsia" w:asciiTheme="minorEastAsia" w:hAnsiTheme="minorEastAsia" w:eastAsiaTheme="minorEastAsia" w:cstheme="minorEastAsia"/>
          <w:b/>
          <w:bCs/>
          <w:szCs w:val="21"/>
          <w:lang w:val="en-US" w:eastAsia="zh-CN"/>
        </w:rPr>
        <w:t>5.资格审查工作</w:t>
      </w:r>
      <w:bookmarkEnd w:id="130"/>
      <w:bookmarkEnd w:id="131"/>
    </w:p>
    <w:p>
      <w:pPr>
        <w:spacing w:line="400" w:lineRule="exact"/>
        <w:ind w:firstLine="420" w:firstLineChars="200"/>
        <w:rPr>
          <w:rFonts w:hint="eastAsia" w:asciiTheme="minorEastAsia" w:hAnsiTheme="minorEastAsia" w:eastAsiaTheme="minorEastAsia" w:cstheme="minorEastAsia"/>
          <w:szCs w:val="21"/>
          <w:lang w:val="en-US" w:eastAsia="zh-CN"/>
        </w:rPr>
      </w:pPr>
      <w:bookmarkStart w:id="132" w:name="_Toc25448"/>
      <w:bookmarkStart w:id="133" w:name="_Toc15919"/>
      <w:bookmarkStart w:id="134" w:name="_Toc18888"/>
      <w:bookmarkStart w:id="135" w:name="_Toc25275"/>
      <w:bookmarkStart w:id="136" w:name="_Toc22488"/>
      <w:bookmarkStart w:id="137" w:name="_Toc18803"/>
      <w:bookmarkStart w:id="138" w:name="_Toc18806"/>
      <w:r>
        <w:rPr>
          <w:rFonts w:hint="eastAsia" w:asciiTheme="minorEastAsia" w:hAnsiTheme="minorEastAsia" w:eastAsiaTheme="minorEastAsia" w:cstheme="minorEastAsia"/>
          <w:szCs w:val="21"/>
          <w:lang w:val="zh-CN" w:eastAsia="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32"/>
      <w:bookmarkEnd w:id="133"/>
      <w:bookmarkEnd w:id="134"/>
      <w:bookmarkEnd w:id="135"/>
      <w:bookmarkEnd w:id="136"/>
      <w:bookmarkEnd w:id="137"/>
      <w:bookmarkEnd w:id="138"/>
    </w:p>
    <w:p>
      <w:pPr>
        <w:pStyle w:val="38"/>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评标</w:t>
      </w:r>
      <w:bookmarkEnd w:id="126"/>
      <w:bookmarkEnd w:id="127"/>
      <w:bookmarkEnd w:id="128"/>
      <w:bookmarkEnd w:id="129"/>
      <w:r>
        <w:rPr>
          <w:rFonts w:hint="eastAsia" w:asciiTheme="minorEastAsia" w:hAnsiTheme="minorEastAsia" w:eastAsiaTheme="minorEastAsia" w:cstheme="minorEastAsia"/>
          <w:sz w:val="24"/>
          <w:szCs w:val="24"/>
        </w:rPr>
        <w:t xml:space="preserve"> </w:t>
      </w:r>
    </w:p>
    <w:p>
      <w:pPr>
        <w:spacing w:line="500" w:lineRule="exact"/>
        <w:ind w:firstLine="482" w:firstLineChars="200"/>
        <w:rPr>
          <w:rFonts w:asciiTheme="minorEastAsia" w:hAnsiTheme="minorEastAsia" w:eastAsiaTheme="minorEastAsia" w:cstheme="minorEastAsia"/>
          <w:b/>
          <w:bCs/>
          <w:sz w:val="24"/>
        </w:rPr>
      </w:pPr>
      <w:bookmarkStart w:id="139" w:name="_Toc426369513"/>
      <w:bookmarkStart w:id="140" w:name="_Toc274249606"/>
      <w:bookmarkStart w:id="141" w:name="_Toc403122523"/>
      <w:bookmarkStart w:id="142" w:name="_Toc279599802"/>
      <w:r>
        <w:rPr>
          <w:rFonts w:hint="eastAsia" w:asciiTheme="minorEastAsia" w:hAnsiTheme="minorEastAsia" w:eastAsiaTheme="minorEastAsia" w:cstheme="minorEastAsia"/>
          <w:b/>
          <w:bCs/>
          <w:sz w:val="24"/>
        </w:rPr>
        <w:t>6.1 评标委员会</w:t>
      </w:r>
      <w:bookmarkEnd w:id="139"/>
      <w:bookmarkEnd w:id="140"/>
      <w:bookmarkEnd w:id="141"/>
      <w:bookmarkEnd w:id="142"/>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  评标由采购人依法组建的评标委员会负责。评标委员会由采购人代表和评审专家组成。评标委员会成员人数以及评审专家的确定方式见供应商须知前附表。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（1）采购人或供应商的主要负责人的近亲属；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（3）与供应商有经济利益关系，可能影响对投标公正评审的；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sz w:val="24"/>
        </w:rPr>
      </w:pPr>
      <w:bookmarkStart w:id="143" w:name="_Toc426369514"/>
      <w:bookmarkStart w:id="144" w:name="_Toc403122524"/>
      <w:bookmarkStart w:id="145" w:name="_Toc279599803"/>
      <w:bookmarkStart w:id="146" w:name="_Toc274249607"/>
      <w:r>
        <w:rPr>
          <w:rFonts w:hint="eastAsia" w:asciiTheme="minorEastAsia" w:hAnsiTheme="minorEastAsia" w:eastAsiaTheme="minorEastAsia" w:cstheme="minorEastAsia"/>
          <w:b/>
          <w:bCs/>
          <w:sz w:val="24"/>
        </w:rPr>
        <w:t>6.2 评标原则</w:t>
      </w:r>
      <w:bookmarkEnd w:id="143"/>
      <w:bookmarkEnd w:id="144"/>
      <w:bookmarkEnd w:id="145"/>
      <w:bookmarkEnd w:id="146"/>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评标活动遵循公平、公正、科学和择优的原则。 </w:t>
      </w:r>
    </w:p>
    <w:p>
      <w:pPr>
        <w:spacing w:line="500" w:lineRule="exact"/>
        <w:ind w:firstLine="482" w:firstLineChars="200"/>
        <w:rPr>
          <w:rFonts w:asciiTheme="minorEastAsia" w:hAnsiTheme="minorEastAsia" w:eastAsiaTheme="minorEastAsia" w:cstheme="minorEastAsia"/>
          <w:b/>
          <w:bCs/>
          <w:sz w:val="24"/>
        </w:rPr>
      </w:pPr>
      <w:bookmarkStart w:id="147" w:name="_Toc403122525"/>
      <w:bookmarkStart w:id="148" w:name="_Toc279599804"/>
      <w:bookmarkStart w:id="149" w:name="_Toc274249608"/>
      <w:bookmarkStart w:id="150" w:name="_Toc426369515"/>
      <w:r>
        <w:rPr>
          <w:rFonts w:hint="eastAsia" w:asciiTheme="minorEastAsia" w:hAnsiTheme="minorEastAsia" w:eastAsiaTheme="minorEastAsia" w:cstheme="minorEastAsia"/>
          <w:b/>
          <w:bCs/>
          <w:sz w:val="24"/>
        </w:rPr>
        <w:t>6.3 评标</w:t>
      </w:r>
      <w:bookmarkEnd w:id="147"/>
      <w:bookmarkEnd w:id="148"/>
      <w:bookmarkEnd w:id="149"/>
      <w:bookmarkEnd w:id="150"/>
      <w:r>
        <w:rPr>
          <w:rFonts w:hint="eastAsia" w:asciiTheme="minorEastAsia" w:hAnsiTheme="minorEastAsia" w:eastAsiaTheme="minorEastAsia" w:cstheme="minorEastAsia"/>
          <w:b/>
          <w:bCs/>
          <w:sz w:val="24"/>
        </w:rPr>
        <w:t xml:space="preserve"> </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.3.1评标委员会应当按照招标文件中规定的评标方法和标准，对符合性审查合格的投标文件进行商务和技术评估，综合比较与评价。招标文件没有规定的评标方法、评审因素和标准，不作为评标依据。</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.3.2评标时，评标委员会各成员应当独立对每个投标人的投标文件进行评价，并汇总每个投标人的得分。</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评标完成后，评标委员会应当向采购人提交书面评标报告和中标候选人名单。评标委员会推荐中标候选人的人数见投标人须知前附表。</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.3.3 评标委员会负责具体评标事务，并独立履行下列职责：</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）审查、评价投标文件是否符合招标文件的实质性要求；</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）要求投标人对投标文件有关事项作出澄清或者说明；</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）对投标文件进行比较和评价；</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）确定中标候选人名单；</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）向采购人、采购代理机构或者有关部门报告评标中发现的违法行为。</w:t>
      </w:r>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lang w:val="en-US" w:eastAsia="zh-CN"/>
        </w:rPr>
        <w:t>6</w:t>
      </w:r>
      <w:r>
        <w:rPr>
          <w:rFonts w:hint="eastAsia" w:ascii="宋体" w:hAnsi="宋体" w:cs="宋体"/>
          <w:b/>
          <w:bCs/>
          <w:spacing w:val="1"/>
          <w:kern w:val="0"/>
          <w:szCs w:val="21"/>
        </w:rPr>
        <w:t>.4  废标</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招标采购中，出现下列情形之一的，应予废标：</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）符合专业条件的投标人或者对招标文件作实质响应的投标人不足三家的；</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）出现影响采购公正的违法、违规行为的；</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）投标人的报价均超过了采购预算，采购人不能支付的；</w:t>
      </w:r>
    </w:p>
    <w:p>
      <w:pPr>
        <w:spacing w:line="400" w:lineRule="exact"/>
        <w:ind w:firstLine="420" w:firstLineChars="200"/>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）因重大变故，采购任务取消的。废标后，采购人应当将废标理由通知所有投标人。</w:t>
      </w:r>
    </w:p>
    <w:p>
      <w:pPr>
        <w:pStyle w:val="38"/>
        <w:spacing w:before="120" w:after="120" w:line="500" w:lineRule="exact"/>
        <w:ind w:right="-1029" w:rightChars="-490" w:firstLine="482" w:firstLineChars="200"/>
        <w:jc w:val="both"/>
      </w:pPr>
      <w:bookmarkStart w:id="151" w:name="_Toc26569"/>
      <w:bookmarkStart w:id="152" w:name="_Toc426369516"/>
      <w:bookmarkStart w:id="153" w:name="_Toc403122526"/>
      <w:bookmarkStart w:id="154" w:name="_Toc17811"/>
      <w:r>
        <w:rPr>
          <w:rFonts w:hint="eastAsia" w:asciiTheme="minorEastAsia" w:hAnsiTheme="minorEastAsia" w:eastAsiaTheme="minorEastAsia" w:cstheme="minorEastAsia"/>
          <w:sz w:val="24"/>
          <w:szCs w:val="24"/>
        </w:rPr>
        <w:t>7. 合同授予</w:t>
      </w:r>
      <w:bookmarkEnd w:id="151"/>
      <w:bookmarkEnd w:id="152"/>
      <w:bookmarkEnd w:id="153"/>
      <w:bookmarkEnd w:id="154"/>
      <w:r>
        <w:rPr>
          <w:rFonts w:hint="eastAsia" w:asciiTheme="minorEastAsia" w:hAnsiTheme="minorEastAsia" w:eastAsiaTheme="minorEastAsia" w:cstheme="minorEastAsia"/>
          <w:sz w:val="24"/>
          <w:szCs w:val="24"/>
        </w:rPr>
        <w:t xml:space="preserve"> </w:t>
      </w:r>
    </w:p>
    <w:p>
      <w:pPr>
        <w:spacing w:line="500" w:lineRule="exact"/>
        <w:ind w:firstLine="482" w:firstLineChars="200"/>
        <w:rPr>
          <w:rFonts w:asciiTheme="minorEastAsia" w:hAnsiTheme="minorEastAsia" w:eastAsiaTheme="minorEastAsia" w:cstheme="minorEastAsia"/>
          <w:b/>
          <w:bCs/>
          <w:sz w:val="24"/>
        </w:rPr>
      </w:pPr>
      <w:bookmarkStart w:id="155" w:name="_Toc403122527"/>
      <w:bookmarkStart w:id="156" w:name="_Toc279599806"/>
      <w:bookmarkStart w:id="157" w:name="_Toc426369517"/>
      <w:bookmarkStart w:id="158" w:name="_Toc274249610"/>
      <w:r>
        <w:rPr>
          <w:rFonts w:hint="eastAsia" w:asciiTheme="minorEastAsia" w:hAnsiTheme="minorEastAsia" w:eastAsiaTheme="minorEastAsia" w:cstheme="minorEastAsia"/>
          <w:b/>
          <w:bCs/>
          <w:sz w:val="24"/>
        </w:rPr>
        <w:t>7.1 定标方式</w:t>
      </w:r>
      <w:bookmarkEnd w:id="155"/>
      <w:bookmarkEnd w:id="156"/>
      <w:bookmarkEnd w:id="157"/>
      <w:bookmarkEnd w:id="158"/>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highlight w:val="none"/>
        </w:rPr>
        <w:t>1.1采购人依据评标委员会推荐的中标候选人确定中标人，评标委员会推荐中标人候选人的人数见供应商须知前附表。</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.1.2 中标或者成交投标人拒绝与采购人签订合同的，采购人可以按照评审报告推荐的中标或者成交候选人名单排序，确定下一候选人为中标或者成交投标人，也可以重新开展政府采购活动。</w:t>
      </w:r>
    </w:p>
    <w:p>
      <w:pPr>
        <w:spacing w:line="500" w:lineRule="exact"/>
        <w:ind w:firstLine="482" w:firstLineChars="200"/>
        <w:rPr>
          <w:rFonts w:asciiTheme="minorEastAsia" w:hAnsiTheme="minorEastAsia" w:eastAsiaTheme="minorEastAsia" w:cstheme="minorEastAsia"/>
          <w:b/>
          <w:bCs/>
          <w:sz w:val="24"/>
        </w:rPr>
      </w:pPr>
      <w:bookmarkStart w:id="159" w:name="_Toc274249611"/>
      <w:bookmarkStart w:id="160" w:name="_Toc279599807"/>
      <w:bookmarkStart w:id="161" w:name="_Toc403122528"/>
      <w:bookmarkStart w:id="162" w:name="_Toc426369518"/>
      <w:r>
        <w:rPr>
          <w:rFonts w:hint="eastAsia" w:asciiTheme="minorEastAsia" w:hAnsiTheme="minorEastAsia" w:eastAsiaTheme="minorEastAsia" w:cstheme="minorEastAsia"/>
          <w:b/>
          <w:bCs/>
          <w:sz w:val="24"/>
        </w:rPr>
        <w:t>7.2 中标通知</w:t>
      </w:r>
      <w:bookmarkEnd w:id="159"/>
      <w:bookmarkEnd w:id="160"/>
      <w:bookmarkEnd w:id="161"/>
      <w:bookmarkEnd w:id="162"/>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7.2.1 在本章第3.3款规定的投标有效期内，采购人以书面形式向中标人发出中标通知书，同时将中标结果通知未中标的投标人。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7.2.2中标人在领取中标通知书后应及时到相关部门办理中标后的备案手续。</w:t>
      </w:r>
    </w:p>
    <w:p>
      <w:pPr>
        <w:spacing w:line="500" w:lineRule="exact"/>
        <w:ind w:firstLine="482" w:firstLineChars="200"/>
        <w:rPr>
          <w:rFonts w:hint="eastAsia" w:asciiTheme="minorEastAsia" w:hAnsiTheme="minorEastAsia" w:eastAsiaTheme="minorEastAsia" w:cstheme="minorEastAsia"/>
          <w:b/>
          <w:bCs/>
          <w:sz w:val="24"/>
          <w:highlight w:val="none"/>
        </w:rPr>
      </w:pPr>
      <w:bookmarkStart w:id="163" w:name="_Toc311550376"/>
      <w:bookmarkStart w:id="164" w:name="_Toc274249612"/>
      <w:bookmarkStart w:id="165" w:name="_Toc279599808"/>
      <w:bookmarkStart w:id="166" w:name="_Toc426369519"/>
      <w:bookmarkStart w:id="167" w:name="_Toc403122529"/>
      <w:r>
        <w:rPr>
          <w:rFonts w:hint="eastAsia" w:asciiTheme="minorEastAsia" w:hAnsiTheme="minorEastAsia" w:eastAsiaTheme="minorEastAsia" w:cstheme="minorEastAsia"/>
          <w:b/>
          <w:bCs/>
          <w:sz w:val="24"/>
          <w:highlight w:val="none"/>
        </w:rPr>
        <w:t>7.3履约</w:t>
      </w:r>
      <w:bookmarkEnd w:id="163"/>
      <w:bookmarkEnd w:id="164"/>
      <w:bookmarkEnd w:id="165"/>
      <w:r>
        <w:rPr>
          <w:rFonts w:hint="eastAsia" w:asciiTheme="minorEastAsia" w:hAnsiTheme="minorEastAsia" w:eastAsiaTheme="minorEastAsia" w:cstheme="minorEastAsia"/>
          <w:b/>
          <w:bCs/>
          <w:sz w:val="24"/>
          <w:highlight w:val="none"/>
        </w:rPr>
        <w:t>保证金</w:t>
      </w:r>
      <w:bookmarkEnd w:id="166"/>
      <w:bookmarkEnd w:id="167"/>
    </w:p>
    <w:p>
      <w:pPr>
        <w:spacing w:line="400" w:lineRule="exact"/>
        <w:ind w:firstLine="420" w:firstLineChars="200"/>
        <w:rPr>
          <w:rFonts w:hint="eastAsia" w:asciiTheme="minorEastAsia" w:hAnsiTheme="minorEastAsia" w:eastAsiaTheme="minorEastAsia" w:cstheme="minorEastAsia"/>
          <w:szCs w:val="21"/>
          <w:highlight w:val="none"/>
          <w:lang w:val="en-US" w:eastAsia="zh-CN"/>
        </w:rPr>
      </w:pPr>
      <w:bookmarkStart w:id="168" w:name="_Toc279599809"/>
      <w:bookmarkStart w:id="169" w:name="_Toc426369520"/>
      <w:bookmarkStart w:id="170" w:name="_Toc403122530"/>
      <w:bookmarkStart w:id="171" w:name="_Toc274249613"/>
      <w:r>
        <w:rPr>
          <w:rFonts w:hint="eastAsia" w:asciiTheme="minorEastAsia" w:hAnsiTheme="minorEastAsia" w:eastAsiaTheme="minorEastAsia" w:cstheme="minorEastAsia"/>
          <w:szCs w:val="21"/>
          <w:highlight w:val="none"/>
          <w:lang w:val="en-US" w:eastAsia="zh-CN"/>
        </w:rPr>
        <w:t xml:space="preserve">在签订合同前，中标人应按投标人须知前附表规定的金额、形式向采购人提交履约担保。 </w:t>
      </w:r>
    </w:p>
    <w:p>
      <w:pPr>
        <w:spacing w:line="500" w:lineRule="exact"/>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rPr>
        <w:t>7.4 签订合同</w:t>
      </w:r>
      <w:bookmarkEnd w:id="168"/>
      <w:bookmarkEnd w:id="169"/>
      <w:bookmarkEnd w:id="170"/>
      <w:bookmarkEnd w:id="171"/>
      <w:r>
        <w:rPr>
          <w:rFonts w:hint="eastAsia" w:asciiTheme="minorEastAsia" w:hAnsiTheme="minorEastAsia" w:eastAsiaTheme="minorEastAsia" w:cstheme="minorEastAsia"/>
          <w:b/>
          <w:bCs/>
          <w:sz w:val="24"/>
        </w:rPr>
        <w:t xml:space="preserve"> </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highlight w:val="none"/>
        </w:rPr>
        <w:t>7.4.1  中标人的投标报价为中标价，采购人和中标人应当自中标通知书发出之日起15日内，根据招标文件和中标人的投标文件订立书面合同。非因</w:t>
      </w:r>
      <w:r>
        <w:rPr>
          <w:rFonts w:hint="eastAsia" w:asciiTheme="minorEastAsia" w:hAnsiTheme="minorEastAsia" w:eastAsiaTheme="minorEastAsia" w:cstheme="minorEastAsia"/>
          <w:szCs w:val="21"/>
        </w:rPr>
        <w:t>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7.4.2  发出中标通知书后，采购人无正当理由拒签合同的，给中标人造成损失的，还应当赔偿损失。</w:t>
      </w:r>
    </w:p>
    <w:p>
      <w:pPr>
        <w:pStyle w:val="38"/>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72" w:name="_Toc403122531"/>
      <w:bookmarkStart w:id="173" w:name="_Toc426369521"/>
      <w:bookmarkStart w:id="174" w:name="_Toc10541"/>
      <w:bookmarkStart w:id="175" w:name="_Toc30009"/>
      <w:r>
        <w:rPr>
          <w:rFonts w:hint="eastAsia" w:asciiTheme="minorEastAsia" w:hAnsiTheme="minorEastAsia" w:eastAsiaTheme="minorEastAsia" w:cstheme="minorEastAsia"/>
          <w:sz w:val="24"/>
          <w:szCs w:val="24"/>
        </w:rPr>
        <w:t>8. 重新招标</w:t>
      </w:r>
      <w:bookmarkEnd w:id="172"/>
      <w:bookmarkEnd w:id="173"/>
      <w:bookmarkEnd w:id="174"/>
      <w:bookmarkEnd w:id="175"/>
    </w:p>
    <w:p>
      <w:pPr>
        <w:spacing w:line="500" w:lineRule="exact"/>
        <w:ind w:firstLine="482" w:firstLineChars="200"/>
        <w:rPr>
          <w:rFonts w:asciiTheme="minorEastAsia" w:hAnsiTheme="minorEastAsia" w:eastAsiaTheme="minorEastAsia" w:cstheme="minorEastAsia"/>
          <w:b/>
          <w:bCs/>
          <w:sz w:val="24"/>
        </w:rPr>
      </w:pPr>
      <w:bookmarkStart w:id="176" w:name="_Toc426369522"/>
      <w:bookmarkStart w:id="177" w:name="_Toc274249615"/>
      <w:bookmarkStart w:id="178" w:name="_Toc403122532"/>
      <w:bookmarkStart w:id="179" w:name="_Toc279599811"/>
      <w:r>
        <w:rPr>
          <w:rFonts w:hint="eastAsia" w:asciiTheme="minorEastAsia" w:hAnsiTheme="minorEastAsia" w:eastAsiaTheme="minorEastAsia" w:cstheme="minorEastAsia"/>
          <w:b/>
          <w:bCs/>
          <w:sz w:val="24"/>
        </w:rPr>
        <w:t>8.1 重新招标</w:t>
      </w:r>
      <w:bookmarkEnd w:id="176"/>
      <w:bookmarkEnd w:id="177"/>
      <w:bookmarkEnd w:id="178"/>
      <w:bookmarkEnd w:id="179"/>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有下列情形之一的，采购人将重新招标：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（1）投标截止时间止，供应商少于3个的；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（2）经评标委员会评审后否决所有投标的。 </w:t>
      </w:r>
    </w:p>
    <w:p>
      <w:pPr>
        <w:pStyle w:val="38"/>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80" w:name="_Toc403122533"/>
      <w:bookmarkStart w:id="181" w:name="_Toc426369523"/>
      <w:bookmarkStart w:id="182" w:name="_Toc10372"/>
      <w:bookmarkStart w:id="183" w:name="_Toc3760"/>
      <w:r>
        <w:rPr>
          <w:rFonts w:hint="eastAsia" w:asciiTheme="minorEastAsia" w:hAnsiTheme="minorEastAsia" w:eastAsiaTheme="minorEastAsia" w:cstheme="minorEastAsia"/>
          <w:sz w:val="24"/>
          <w:szCs w:val="24"/>
        </w:rPr>
        <w:t>9. 纪律和监督</w:t>
      </w:r>
      <w:bookmarkEnd w:id="180"/>
      <w:bookmarkEnd w:id="181"/>
      <w:bookmarkEnd w:id="182"/>
      <w:bookmarkEnd w:id="183"/>
      <w:r>
        <w:rPr>
          <w:rFonts w:hint="eastAsia" w:asciiTheme="minorEastAsia" w:hAnsiTheme="minorEastAsia" w:eastAsiaTheme="minorEastAsia" w:cstheme="minorEastAsia"/>
          <w:sz w:val="24"/>
          <w:szCs w:val="24"/>
        </w:rPr>
        <w:t xml:space="preserve"> </w:t>
      </w:r>
    </w:p>
    <w:p>
      <w:pPr>
        <w:spacing w:line="500" w:lineRule="exact"/>
        <w:ind w:firstLine="482" w:firstLineChars="200"/>
        <w:rPr>
          <w:rFonts w:asciiTheme="minorEastAsia" w:hAnsiTheme="minorEastAsia" w:eastAsiaTheme="minorEastAsia" w:cstheme="minorEastAsia"/>
          <w:b/>
          <w:bCs/>
          <w:sz w:val="24"/>
        </w:rPr>
      </w:pPr>
      <w:bookmarkStart w:id="184" w:name="_Toc426369524"/>
      <w:bookmarkStart w:id="185" w:name="_Toc274249618"/>
      <w:bookmarkStart w:id="186" w:name="_Toc279599814"/>
      <w:bookmarkStart w:id="187" w:name="_Toc403122534"/>
      <w:r>
        <w:rPr>
          <w:rFonts w:hint="eastAsia" w:asciiTheme="minorEastAsia" w:hAnsiTheme="minorEastAsia" w:eastAsiaTheme="minorEastAsia" w:cstheme="minorEastAsia"/>
          <w:b/>
          <w:bCs/>
          <w:sz w:val="24"/>
        </w:rPr>
        <w:t>9.1 对采购人的纪律要求</w:t>
      </w:r>
      <w:bookmarkEnd w:id="184"/>
      <w:bookmarkEnd w:id="185"/>
      <w:bookmarkEnd w:id="186"/>
      <w:bookmarkEnd w:id="187"/>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Theme="minorEastAsia" w:hAnsiTheme="minorEastAsia" w:eastAsiaTheme="minorEastAsia" w:cstheme="minorEastAsia"/>
          <w:b/>
          <w:bCs/>
          <w:sz w:val="24"/>
        </w:rPr>
      </w:pPr>
      <w:bookmarkStart w:id="188" w:name="_Toc403122535"/>
      <w:bookmarkStart w:id="189" w:name="_Toc279599815"/>
      <w:bookmarkStart w:id="190" w:name="_Toc274249619"/>
      <w:bookmarkStart w:id="191" w:name="_Toc426369525"/>
      <w:r>
        <w:rPr>
          <w:rFonts w:hint="eastAsia" w:asciiTheme="minorEastAsia" w:hAnsiTheme="minorEastAsia" w:eastAsiaTheme="minorEastAsia" w:cstheme="minorEastAsia"/>
          <w:b/>
          <w:bCs/>
          <w:sz w:val="24"/>
        </w:rPr>
        <w:t>9.2 对投标人的纪律要求</w:t>
      </w:r>
      <w:bookmarkEnd w:id="188"/>
      <w:bookmarkEnd w:id="189"/>
      <w:bookmarkEnd w:id="190"/>
      <w:bookmarkEnd w:id="191"/>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Theme="minorEastAsia" w:hAnsiTheme="minorEastAsia" w:eastAsiaTheme="minorEastAsia" w:cstheme="minorEastAsia"/>
          <w:b/>
          <w:bCs/>
          <w:sz w:val="24"/>
        </w:rPr>
      </w:pPr>
      <w:bookmarkStart w:id="192" w:name="_Toc279599816"/>
      <w:bookmarkStart w:id="193" w:name="_Toc274249620"/>
      <w:bookmarkStart w:id="194" w:name="_Toc403122536"/>
      <w:bookmarkStart w:id="195" w:name="_Toc426369526"/>
      <w:r>
        <w:rPr>
          <w:rFonts w:hint="eastAsia" w:asciiTheme="minorEastAsia" w:hAnsiTheme="minorEastAsia" w:eastAsiaTheme="minorEastAsia" w:cstheme="minorEastAsia"/>
          <w:b/>
          <w:bCs/>
          <w:sz w:val="24"/>
        </w:rPr>
        <w:t>9.3 对评标委员会成员的纪律要求</w:t>
      </w:r>
      <w:bookmarkEnd w:id="192"/>
      <w:bookmarkEnd w:id="193"/>
      <w:bookmarkEnd w:id="194"/>
      <w:bookmarkEnd w:id="195"/>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sz w:val="24"/>
        </w:rPr>
      </w:pPr>
      <w:bookmarkStart w:id="196" w:name="_Toc279599817"/>
      <w:bookmarkStart w:id="197" w:name="_Toc426369527"/>
      <w:bookmarkStart w:id="198" w:name="_Toc274249621"/>
      <w:bookmarkStart w:id="199" w:name="_Toc403122537"/>
      <w:r>
        <w:rPr>
          <w:rFonts w:hint="eastAsia" w:asciiTheme="minorEastAsia" w:hAnsiTheme="minorEastAsia" w:eastAsiaTheme="minorEastAsia" w:cstheme="minorEastAsia"/>
          <w:b/>
          <w:bCs/>
          <w:sz w:val="24"/>
        </w:rPr>
        <w:t>9.4 对与评标活动有关的工作人员的纪律要求</w:t>
      </w:r>
      <w:bookmarkEnd w:id="196"/>
      <w:bookmarkEnd w:id="197"/>
      <w:bookmarkEnd w:id="198"/>
      <w:bookmarkEnd w:id="199"/>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sz w:val="24"/>
        </w:rPr>
      </w:pPr>
      <w:bookmarkStart w:id="200" w:name="_Toc403122538"/>
      <w:bookmarkStart w:id="201" w:name="_Toc274249622"/>
      <w:bookmarkStart w:id="202" w:name="_Toc426369528"/>
      <w:bookmarkStart w:id="203" w:name="_Toc279599818"/>
      <w:r>
        <w:rPr>
          <w:rFonts w:hint="eastAsia" w:asciiTheme="minorEastAsia" w:hAnsiTheme="minorEastAsia" w:eastAsiaTheme="minorEastAsia" w:cstheme="minorEastAsia"/>
          <w:b/>
          <w:bCs/>
          <w:sz w:val="24"/>
        </w:rPr>
        <w:t>9.5 投诉</w:t>
      </w:r>
      <w:bookmarkEnd w:id="200"/>
      <w:bookmarkEnd w:id="201"/>
      <w:bookmarkEnd w:id="202"/>
      <w:bookmarkEnd w:id="203"/>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供应商和其他利害关系人认为本次招标活动违反法律、法规和规章规定的，有权向有关行政监督部门投诉。 </w:t>
      </w:r>
    </w:p>
    <w:p>
      <w:pPr>
        <w:pStyle w:val="38"/>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rPr>
      </w:pPr>
      <w:bookmarkStart w:id="204" w:name="_Toc10880"/>
      <w:bookmarkStart w:id="205" w:name="_Toc426369529"/>
      <w:bookmarkStart w:id="206" w:name="_Toc13281"/>
      <w:bookmarkStart w:id="207" w:name="_Toc403122539"/>
      <w:r>
        <w:rPr>
          <w:rFonts w:hint="eastAsia" w:asciiTheme="minorEastAsia" w:hAnsiTheme="minorEastAsia" w:eastAsiaTheme="minorEastAsia" w:cstheme="minorEastAsia"/>
          <w:color w:val="auto"/>
          <w:sz w:val="24"/>
          <w:szCs w:val="24"/>
        </w:rPr>
        <w:t>10. 需要补充的其他内容</w:t>
      </w:r>
      <w:bookmarkEnd w:id="204"/>
      <w:bookmarkEnd w:id="205"/>
      <w:bookmarkEnd w:id="206"/>
      <w:bookmarkEnd w:id="207"/>
      <w:r>
        <w:rPr>
          <w:rFonts w:hint="eastAsia" w:asciiTheme="minorEastAsia" w:hAnsiTheme="minorEastAsia" w:eastAsiaTheme="minorEastAsia" w:cstheme="minorEastAsia"/>
          <w:color w:val="auto"/>
          <w:sz w:val="24"/>
          <w:szCs w:val="24"/>
        </w:rPr>
        <w:t xml:space="preserve"> </w:t>
      </w:r>
    </w:p>
    <w:p>
      <w:pPr>
        <w:autoSpaceDE w:val="0"/>
        <w:autoSpaceDN w:val="0"/>
        <w:adjustRightInd w:val="0"/>
        <w:spacing w:line="440" w:lineRule="exact"/>
        <w:ind w:firstLine="482" w:firstLineChars="200"/>
        <w:rPr>
          <w:rFonts w:ascii="宋体" w:hAnsi="宋体" w:cs="宋体"/>
          <w:color w:val="auto"/>
          <w:kern w:val="0"/>
          <w:sz w:val="24"/>
        </w:rPr>
      </w:pPr>
      <w:r>
        <w:rPr>
          <w:rFonts w:hint="eastAsia" w:ascii="宋体" w:hAnsi="宋体" w:cs="宋体"/>
          <w:b/>
          <w:color w:val="auto"/>
          <w:kern w:val="0"/>
          <w:sz w:val="24"/>
        </w:rPr>
        <w:t>10.1 费用承担</w:t>
      </w:r>
    </w:p>
    <w:p>
      <w:pPr>
        <w:autoSpaceDE w:val="0"/>
        <w:autoSpaceDN w:val="0"/>
        <w:adjustRightInd w:val="0"/>
        <w:spacing w:line="440" w:lineRule="exact"/>
        <w:ind w:left="17" w:leftChars="8" w:firstLine="420" w:firstLineChars="200"/>
        <w:jc w:val="left"/>
        <w:rPr>
          <w:rFonts w:ascii="宋体" w:hAnsi="宋体" w:cs="宋体"/>
          <w:color w:val="auto"/>
          <w:szCs w:val="21"/>
        </w:rPr>
      </w:pPr>
      <w:r>
        <w:rPr>
          <w:rFonts w:hint="eastAsia" w:ascii="宋体" w:hAnsi="宋体" w:cs="宋体"/>
          <w:color w:val="auto"/>
          <w:szCs w:val="21"/>
        </w:rPr>
        <w:t>（1）无论投标结果如何，投标人应自行承担所有参与投标</w:t>
      </w:r>
      <w:r>
        <w:rPr>
          <w:rFonts w:hint="eastAsia" w:ascii="宋体" w:hAnsi="宋体" w:cs="宋体"/>
          <w:color w:val="auto"/>
          <w:szCs w:val="21"/>
          <w:lang w:val="en-US" w:eastAsia="zh-CN"/>
        </w:rPr>
        <w:t>的</w:t>
      </w:r>
      <w:r>
        <w:rPr>
          <w:rFonts w:hint="eastAsia" w:ascii="宋体" w:hAnsi="宋体" w:cs="宋体"/>
          <w:color w:val="auto"/>
          <w:szCs w:val="21"/>
        </w:rPr>
        <w:t>全部费用，采购人和采购代理机构在任何情况下均无义务和责任承担上述费用。</w:t>
      </w:r>
    </w:p>
    <w:p>
      <w:pPr>
        <w:autoSpaceDE w:val="0"/>
        <w:autoSpaceDN w:val="0"/>
        <w:adjustRightInd w:val="0"/>
        <w:spacing w:line="440" w:lineRule="exact"/>
        <w:ind w:firstLine="420"/>
        <w:jc w:val="left"/>
        <w:rPr>
          <w:rFonts w:ascii="宋体" w:hAnsi="宋体" w:cs="宋体"/>
          <w:color w:val="auto"/>
          <w:szCs w:val="21"/>
        </w:rPr>
      </w:pPr>
      <w:r>
        <w:rPr>
          <w:rFonts w:hint="eastAsia" w:ascii="宋体" w:hAnsi="宋体" w:cs="宋体"/>
          <w:color w:val="auto"/>
          <w:szCs w:val="21"/>
        </w:rPr>
        <w:t>（2）招标代理服务费由中标人支付。</w:t>
      </w:r>
    </w:p>
    <w:p>
      <w:pPr>
        <w:autoSpaceDE w:val="0"/>
        <w:autoSpaceDN w:val="0"/>
        <w:adjustRightInd w:val="0"/>
        <w:spacing w:line="500" w:lineRule="exact"/>
        <w:ind w:firstLine="420"/>
        <w:jc w:val="left"/>
        <w:rPr>
          <w:rFonts w:hint="eastAsia" w:ascii="宋体" w:hAnsi="宋体" w:cs="宋体"/>
          <w:color w:val="auto"/>
          <w:szCs w:val="21"/>
        </w:rPr>
      </w:pPr>
      <w:r>
        <w:rPr>
          <w:rFonts w:hint="eastAsia" w:ascii="宋体" w:hAnsi="宋体" w:cs="宋体"/>
          <w:color w:val="auto"/>
          <w:szCs w:val="21"/>
        </w:rPr>
        <w:t>（3）供应商与采购人签订合同后，将合同报采购代理机构备案。</w:t>
      </w:r>
    </w:p>
    <w:p>
      <w:pPr>
        <w:pStyle w:val="58"/>
        <w:ind w:firstLine="482" w:firstLineChars="200"/>
        <w:rPr>
          <w:color w:val="auto"/>
        </w:rPr>
      </w:pPr>
      <w:r>
        <w:rPr>
          <w:rFonts w:hint="eastAsia" w:ascii="宋体" w:hAnsi="宋体" w:cs="宋体"/>
          <w:b/>
          <w:color w:val="auto"/>
          <w:kern w:val="0"/>
          <w:sz w:val="24"/>
        </w:rPr>
        <w:t>10.</w:t>
      </w:r>
      <w:r>
        <w:rPr>
          <w:rFonts w:hint="eastAsia" w:ascii="宋体" w:hAnsi="宋体" w:cs="宋体"/>
          <w:b/>
          <w:color w:val="auto"/>
          <w:kern w:val="0"/>
          <w:sz w:val="24"/>
          <w:lang w:val="en-US" w:eastAsia="zh-CN"/>
        </w:rPr>
        <w:t>2</w:t>
      </w:r>
      <w:r>
        <w:rPr>
          <w:rFonts w:hint="eastAsia" w:ascii="宋体" w:hAnsi="宋体" w:cs="宋体"/>
          <w:b/>
          <w:color w:val="auto"/>
          <w:kern w:val="0"/>
          <w:sz w:val="24"/>
        </w:rPr>
        <w:t xml:space="preserve"> </w:t>
      </w:r>
      <w:r>
        <w:rPr>
          <w:rFonts w:hint="eastAsia" w:ascii="宋体" w:hAnsi="宋体" w:cs="宋体"/>
          <w:b/>
          <w:color w:val="auto"/>
          <w:kern w:val="0"/>
          <w:szCs w:val="21"/>
        </w:rPr>
        <w:t>本招标文件未尽事宜，按《中华人民共和国政府采购法》等法律法规的有关规定执行。</w:t>
      </w:r>
    </w:p>
    <w:p>
      <w:pPr>
        <w:pStyle w:val="17"/>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38"/>
        <w:numPr>
          <w:ilvl w:val="0"/>
          <w:numId w:val="5"/>
        </w:numPr>
        <w:spacing w:line="600" w:lineRule="exact"/>
        <w:ind w:right="-63" w:rightChars="-30"/>
        <w:rPr>
          <w:rFonts w:asciiTheme="minorEastAsia" w:hAnsiTheme="minorEastAsia" w:eastAsiaTheme="minorEastAsia" w:cstheme="minorEastAsia"/>
          <w:sz w:val="36"/>
          <w:szCs w:val="36"/>
        </w:rPr>
      </w:pPr>
      <w:bookmarkStart w:id="208" w:name="_Toc28433"/>
      <w:bookmarkStart w:id="209" w:name="_Toc403122540"/>
      <w:bookmarkStart w:id="210" w:name="_Toc426369530"/>
      <w:bookmarkStart w:id="211" w:name="_Toc1253"/>
      <w:r>
        <w:rPr>
          <w:rFonts w:hint="eastAsia" w:asciiTheme="minorEastAsia" w:hAnsiTheme="minorEastAsia" w:eastAsiaTheme="minorEastAsia" w:cstheme="minorEastAsia"/>
          <w:sz w:val="36"/>
          <w:szCs w:val="36"/>
        </w:rPr>
        <w:t>评标办法</w:t>
      </w:r>
      <w:bookmarkEnd w:id="208"/>
      <w:bookmarkEnd w:id="209"/>
      <w:bookmarkEnd w:id="210"/>
      <w:r>
        <w:rPr>
          <w:rFonts w:hint="eastAsia" w:asciiTheme="minorEastAsia" w:hAnsiTheme="minorEastAsia" w:eastAsiaTheme="minorEastAsia" w:cstheme="minorEastAsia"/>
          <w:sz w:val="36"/>
          <w:szCs w:val="36"/>
        </w:rPr>
        <w:t>（综合评分法）</w:t>
      </w:r>
      <w:bookmarkEnd w:id="211"/>
    </w:p>
    <w:p>
      <w:pPr>
        <w:pStyle w:val="109"/>
        <w:spacing w:line="540" w:lineRule="exact"/>
        <w:jc w:val="center"/>
        <w:outlineLvl w:val="2"/>
        <w:rPr>
          <w:rFonts w:asciiTheme="minorEastAsia" w:hAnsiTheme="minorEastAsia" w:eastAsiaTheme="minorEastAsia" w:cstheme="minorEastAsia"/>
          <w:b/>
          <w:bCs/>
          <w:sz w:val="28"/>
          <w:szCs w:val="28"/>
        </w:rPr>
      </w:pPr>
      <w:bookmarkStart w:id="212" w:name="_Toc29947"/>
      <w:bookmarkStart w:id="213" w:name="_Toc30933"/>
      <w:bookmarkStart w:id="214" w:name="_Toc17859"/>
      <w:bookmarkStart w:id="215" w:name="_Toc21885"/>
      <w:bookmarkStart w:id="216" w:name="_Toc16529"/>
      <w:bookmarkStart w:id="217" w:name="_Toc2761070"/>
      <w:r>
        <w:rPr>
          <w:rFonts w:hint="eastAsia" w:asciiTheme="minorEastAsia" w:hAnsiTheme="minorEastAsia" w:eastAsiaTheme="minorEastAsia" w:cstheme="minorEastAsia"/>
          <w:b/>
          <w:bCs/>
          <w:sz w:val="28"/>
          <w:szCs w:val="28"/>
        </w:rPr>
        <w:t>（一）评分办法前附表</w:t>
      </w:r>
      <w:bookmarkEnd w:id="212"/>
      <w:bookmarkEnd w:id="213"/>
      <w:bookmarkEnd w:id="214"/>
      <w:bookmarkEnd w:id="215"/>
    </w:p>
    <w:tbl>
      <w:tblPr>
        <w:tblStyle w:val="42"/>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529"/>
        <w:gridCol w:w="1924"/>
        <w:gridCol w:w="6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jc w:val="center"/>
        </w:trPr>
        <w:tc>
          <w:tcPr>
            <w:tcW w:w="3335" w:type="dxa"/>
            <w:gridSpan w:val="3"/>
            <w:vAlign w:val="center"/>
          </w:tcPr>
          <w:p>
            <w:pPr>
              <w:pStyle w:val="119"/>
              <w:spacing w:line="440" w:lineRule="exact"/>
              <w:ind w:left="105" w:leftChars="50" w:firstLine="402"/>
              <w:jc w:val="center"/>
              <w:rPr>
                <w:rFonts w:hint="default" w:ascii="Times New Roman" w:hAnsi="Times New Roman" w:cs="Times New Roman"/>
                <w:b/>
                <w:color w:val="auto"/>
                <w:szCs w:val="21"/>
                <w:highlight w:val="none"/>
              </w:rPr>
            </w:pPr>
            <w:bookmarkStart w:id="218" w:name="_Toc26394"/>
            <w:bookmarkStart w:id="219" w:name="_Toc13389"/>
            <w:bookmarkStart w:id="220" w:name="_Toc28874"/>
            <w:bookmarkStart w:id="221" w:name="_Toc471"/>
            <w:r>
              <w:rPr>
                <w:rFonts w:hint="default" w:ascii="Times New Roman" w:hAnsi="Times New Roman" w:cs="Times New Roman"/>
                <w:b/>
                <w:color w:val="auto"/>
                <w:szCs w:val="21"/>
                <w:highlight w:val="none"/>
              </w:rPr>
              <w:t>评审因素</w:t>
            </w:r>
          </w:p>
        </w:tc>
        <w:tc>
          <w:tcPr>
            <w:tcW w:w="6304" w:type="dxa"/>
            <w:vAlign w:val="center"/>
          </w:tcPr>
          <w:p>
            <w:pPr>
              <w:pStyle w:val="119"/>
              <w:spacing w:line="440" w:lineRule="exact"/>
              <w:ind w:left="105" w:leftChars="50" w:firstLine="402"/>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5" w:hRule="atLeast"/>
          <w:jc w:val="center"/>
        </w:trPr>
        <w:tc>
          <w:tcPr>
            <w:tcW w:w="1411" w:type="dxa"/>
            <w:gridSpan w:val="2"/>
            <w:vMerge w:val="restart"/>
            <w:vAlign w:val="center"/>
          </w:tcPr>
          <w:p>
            <w:pPr>
              <w:pStyle w:val="119"/>
              <w:spacing w:line="440" w:lineRule="exact"/>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资格评审标准</w:t>
            </w:r>
          </w:p>
        </w:tc>
        <w:tc>
          <w:tcPr>
            <w:tcW w:w="1924" w:type="dxa"/>
            <w:vAlign w:val="center"/>
          </w:tcPr>
          <w:p>
            <w:pPr>
              <w:pStyle w:val="119"/>
              <w:spacing w:line="44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营业执照、税务登记证、组织机构代</w:t>
            </w:r>
          </w:p>
        </w:tc>
        <w:tc>
          <w:tcPr>
            <w:tcW w:w="6304" w:type="dxa"/>
            <w:vAlign w:val="center"/>
          </w:tcPr>
          <w:p>
            <w:pPr>
              <w:pStyle w:val="119"/>
              <w:spacing w:line="440" w:lineRule="exact"/>
              <w:ind w:left="105" w:leftChars="50" w:firstLine="40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具备有效的营业执照（副本）、税务登记证（副本）、组织机构代码证（副本）（或三证合一的营业执照）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jc w:val="center"/>
        </w:trPr>
        <w:tc>
          <w:tcPr>
            <w:tcW w:w="1411" w:type="dxa"/>
            <w:gridSpan w:val="2"/>
            <w:vMerge w:val="continue"/>
            <w:vAlign w:val="center"/>
          </w:tcPr>
          <w:p>
            <w:pPr>
              <w:spacing w:line="440" w:lineRule="exact"/>
              <w:ind w:left="105" w:leftChars="50" w:firstLine="420"/>
              <w:jc w:val="center"/>
              <w:rPr>
                <w:rFonts w:hint="default" w:ascii="Times New Roman" w:hAnsi="Times New Roman" w:cs="Times New Roman"/>
                <w:color w:val="auto"/>
                <w:kern w:val="2"/>
                <w:sz w:val="21"/>
                <w:szCs w:val="21"/>
                <w:highlight w:val="none"/>
              </w:rPr>
            </w:pPr>
          </w:p>
        </w:tc>
        <w:tc>
          <w:tcPr>
            <w:tcW w:w="1924" w:type="dxa"/>
            <w:vAlign w:val="center"/>
          </w:tcPr>
          <w:p>
            <w:pPr>
              <w:pStyle w:val="119"/>
              <w:spacing w:line="240" w:lineRule="auto"/>
              <w:ind w:firstLine="0" w:firstLineChars="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法人代表证明或法人授权委托书</w:t>
            </w:r>
          </w:p>
        </w:tc>
        <w:tc>
          <w:tcPr>
            <w:tcW w:w="6304" w:type="dxa"/>
            <w:vAlign w:val="center"/>
          </w:tcPr>
          <w:p>
            <w:pPr>
              <w:pStyle w:val="119"/>
              <w:spacing w:line="240" w:lineRule="auto"/>
              <w:ind w:left="105" w:leftChars="50" w:firstLine="42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法人代表（负责人）证明或法人授权委托书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1411" w:type="dxa"/>
            <w:gridSpan w:val="2"/>
            <w:vMerge w:val="continue"/>
            <w:vAlign w:val="center"/>
          </w:tcPr>
          <w:p>
            <w:pPr>
              <w:spacing w:line="440" w:lineRule="exact"/>
              <w:ind w:left="105" w:leftChars="50" w:firstLine="420"/>
              <w:jc w:val="center"/>
              <w:rPr>
                <w:rFonts w:hint="default" w:ascii="Times New Roman" w:hAnsi="Times New Roman" w:cs="Times New Roman"/>
                <w:color w:val="auto"/>
                <w:kern w:val="2"/>
                <w:sz w:val="21"/>
                <w:szCs w:val="21"/>
                <w:highlight w:val="none"/>
              </w:rPr>
            </w:pPr>
          </w:p>
        </w:tc>
        <w:tc>
          <w:tcPr>
            <w:tcW w:w="1924" w:type="dxa"/>
            <w:vAlign w:val="center"/>
          </w:tcPr>
          <w:p>
            <w:pPr>
              <w:spacing w:line="360" w:lineRule="exact"/>
              <w:ind w:firstLine="420" w:firstLineChars="200"/>
              <w:jc w:val="center"/>
              <w:rPr>
                <w:rFonts w:hint="default"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rPr>
              <w:t>信誉要求</w:t>
            </w:r>
          </w:p>
        </w:tc>
        <w:tc>
          <w:tcPr>
            <w:tcW w:w="6304" w:type="dxa"/>
            <w:vAlign w:val="center"/>
          </w:tcPr>
          <w:p>
            <w:pPr>
              <w:spacing w:line="360" w:lineRule="exact"/>
              <w:ind w:firstLine="420" w:firstLineChars="200"/>
              <w:rPr>
                <w:rFonts w:hint="default"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rPr>
              <w:t>符合第二章“供应商须知”第1.4.1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1411" w:type="dxa"/>
            <w:gridSpan w:val="2"/>
            <w:vMerge w:val="continue"/>
            <w:vAlign w:val="center"/>
          </w:tcPr>
          <w:p>
            <w:pPr>
              <w:spacing w:line="440" w:lineRule="exact"/>
              <w:ind w:left="105" w:leftChars="50" w:firstLine="420"/>
              <w:jc w:val="center"/>
              <w:rPr>
                <w:rFonts w:hint="default" w:ascii="Times New Roman" w:hAnsi="Times New Roman" w:cs="Times New Roman"/>
                <w:color w:val="auto"/>
                <w:kern w:val="2"/>
                <w:sz w:val="21"/>
                <w:szCs w:val="21"/>
                <w:highlight w:val="none"/>
              </w:rPr>
            </w:pPr>
          </w:p>
        </w:tc>
        <w:tc>
          <w:tcPr>
            <w:tcW w:w="1924" w:type="dxa"/>
            <w:vAlign w:val="center"/>
          </w:tcPr>
          <w:p>
            <w:pPr>
              <w:spacing w:line="360" w:lineRule="exact"/>
              <w:ind w:firstLine="420" w:firstLineChars="20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其他要求</w:t>
            </w:r>
          </w:p>
        </w:tc>
        <w:tc>
          <w:tcPr>
            <w:tcW w:w="6304" w:type="dxa"/>
            <w:vAlign w:val="center"/>
          </w:tcPr>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符合第二章“供应商须知”第1.4.1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1411" w:type="dxa"/>
            <w:gridSpan w:val="2"/>
            <w:vMerge w:val="restart"/>
            <w:vAlign w:val="center"/>
          </w:tcPr>
          <w:p>
            <w:pPr>
              <w:pStyle w:val="119"/>
              <w:spacing w:line="440" w:lineRule="exact"/>
              <w:ind w:firstLine="40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形式评审标准</w:t>
            </w:r>
          </w:p>
        </w:tc>
        <w:tc>
          <w:tcPr>
            <w:tcW w:w="1924" w:type="dxa"/>
            <w:vAlign w:val="center"/>
          </w:tcPr>
          <w:p>
            <w:pPr>
              <w:pStyle w:val="119"/>
              <w:spacing w:line="44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供应商名称</w:t>
            </w:r>
          </w:p>
        </w:tc>
        <w:tc>
          <w:tcPr>
            <w:tcW w:w="6304" w:type="dxa"/>
            <w:vAlign w:val="center"/>
          </w:tcPr>
          <w:p>
            <w:pPr>
              <w:pStyle w:val="119"/>
              <w:spacing w:line="440" w:lineRule="exact"/>
              <w:ind w:left="105" w:leftChars="50" w:firstLine="609" w:firstLineChars="29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与营业执照等证件一致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jc w:val="center"/>
        </w:trPr>
        <w:tc>
          <w:tcPr>
            <w:tcW w:w="1411" w:type="dxa"/>
            <w:gridSpan w:val="2"/>
            <w:vMerge w:val="continue"/>
            <w:vAlign w:val="center"/>
          </w:tcPr>
          <w:p>
            <w:pPr>
              <w:spacing w:line="440" w:lineRule="exact"/>
              <w:ind w:left="105" w:leftChars="50" w:firstLine="400"/>
              <w:jc w:val="center"/>
              <w:rPr>
                <w:rFonts w:hint="default" w:ascii="Times New Roman" w:hAnsi="Times New Roman" w:cs="Times New Roman"/>
                <w:color w:val="auto"/>
                <w:sz w:val="21"/>
                <w:szCs w:val="21"/>
                <w:highlight w:val="none"/>
              </w:rPr>
            </w:pPr>
          </w:p>
        </w:tc>
        <w:tc>
          <w:tcPr>
            <w:tcW w:w="1924" w:type="dxa"/>
            <w:vAlign w:val="center"/>
          </w:tcPr>
          <w:p>
            <w:pPr>
              <w:pStyle w:val="119"/>
              <w:spacing w:line="44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投标函签字</w:t>
            </w:r>
          </w:p>
          <w:p>
            <w:pPr>
              <w:pStyle w:val="119"/>
              <w:spacing w:line="44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盖章</w:t>
            </w:r>
          </w:p>
        </w:tc>
        <w:tc>
          <w:tcPr>
            <w:tcW w:w="6304" w:type="dxa"/>
            <w:vAlign w:val="center"/>
          </w:tcPr>
          <w:p>
            <w:pPr>
              <w:pStyle w:val="119"/>
              <w:spacing w:line="440" w:lineRule="exact"/>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加盖企业公章并有法定代表人或其委托代理人签字或盖章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1411" w:type="dxa"/>
            <w:gridSpan w:val="2"/>
            <w:vMerge w:val="continue"/>
            <w:vAlign w:val="center"/>
          </w:tcPr>
          <w:p>
            <w:pPr>
              <w:spacing w:line="440" w:lineRule="exact"/>
              <w:ind w:left="105" w:leftChars="50" w:firstLine="400"/>
              <w:jc w:val="center"/>
              <w:rPr>
                <w:rFonts w:hint="default" w:ascii="Times New Roman" w:hAnsi="Times New Roman" w:cs="Times New Roman"/>
                <w:color w:val="auto"/>
                <w:sz w:val="21"/>
                <w:szCs w:val="21"/>
                <w:highlight w:val="none"/>
              </w:rPr>
            </w:pPr>
          </w:p>
        </w:tc>
        <w:tc>
          <w:tcPr>
            <w:tcW w:w="1924" w:type="dxa"/>
            <w:vAlign w:val="center"/>
          </w:tcPr>
          <w:p>
            <w:pPr>
              <w:pStyle w:val="119"/>
              <w:spacing w:line="44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投标文件格式</w:t>
            </w:r>
          </w:p>
        </w:tc>
        <w:tc>
          <w:tcPr>
            <w:tcW w:w="6304" w:type="dxa"/>
            <w:vAlign w:val="center"/>
          </w:tcPr>
          <w:p>
            <w:pPr>
              <w:pStyle w:val="119"/>
              <w:spacing w:line="440" w:lineRule="exact"/>
              <w:ind w:left="105" w:leftChars="50" w:firstLine="40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符合招标文件格式要求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1411" w:type="dxa"/>
            <w:gridSpan w:val="2"/>
            <w:vMerge w:val="continue"/>
            <w:vAlign w:val="center"/>
          </w:tcPr>
          <w:p>
            <w:pPr>
              <w:spacing w:line="440" w:lineRule="exact"/>
              <w:ind w:left="105" w:leftChars="50" w:firstLine="400"/>
              <w:jc w:val="center"/>
              <w:rPr>
                <w:rFonts w:hint="default" w:ascii="Times New Roman" w:hAnsi="Times New Roman" w:eastAsia="宋体" w:cs="Times New Roman"/>
                <w:color w:val="auto"/>
                <w:kern w:val="2"/>
                <w:sz w:val="21"/>
                <w:szCs w:val="21"/>
                <w:highlight w:val="none"/>
                <w:lang w:val="en-US" w:eastAsia="zh-CN" w:bidi="ar-SA"/>
              </w:rPr>
            </w:pPr>
          </w:p>
        </w:tc>
        <w:tc>
          <w:tcPr>
            <w:tcW w:w="1924" w:type="dxa"/>
            <w:vAlign w:val="center"/>
          </w:tcPr>
          <w:p>
            <w:pPr>
              <w:pStyle w:val="119"/>
              <w:spacing w:line="44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报价唯一</w:t>
            </w:r>
          </w:p>
        </w:tc>
        <w:tc>
          <w:tcPr>
            <w:tcW w:w="6304" w:type="dxa"/>
            <w:vAlign w:val="center"/>
          </w:tcPr>
          <w:p>
            <w:pPr>
              <w:pStyle w:val="119"/>
              <w:spacing w:line="440" w:lineRule="exact"/>
              <w:ind w:left="105" w:leftChars="50" w:firstLine="40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jc w:val="center"/>
        </w:trPr>
        <w:tc>
          <w:tcPr>
            <w:tcW w:w="1411" w:type="dxa"/>
            <w:gridSpan w:val="2"/>
            <w:vMerge w:val="restart"/>
            <w:vAlign w:val="center"/>
          </w:tcPr>
          <w:p>
            <w:pPr>
              <w:pStyle w:val="119"/>
              <w:spacing w:line="440" w:lineRule="exact"/>
              <w:ind w:left="105" w:leftChars="50" w:firstLine="400"/>
              <w:jc w:val="center"/>
              <w:rPr>
                <w:rFonts w:hint="default" w:ascii="Times New Roman" w:hAnsi="Times New Roman" w:cs="Times New Roman"/>
                <w:color w:val="auto"/>
                <w:sz w:val="21"/>
                <w:szCs w:val="21"/>
                <w:highlight w:val="none"/>
              </w:rPr>
            </w:pPr>
          </w:p>
          <w:p>
            <w:pPr>
              <w:pStyle w:val="119"/>
              <w:spacing w:line="440" w:lineRule="exact"/>
              <w:ind w:firstLine="40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响应性评审标准</w:t>
            </w:r>
          </w:p>
        </w:tc>
        <w:tc>
          <w:tcPr>
            <w:tcW w:w="1924" w:type="dxa"/>
            <w:vAlign w:val="center"/>
          </w:tcPr>
          <w:p>
            <w:pPr>
              <w:pStyle w:val="119"/>
              <w:spacing w:line="44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采购内容</w:t>
            </w:r>
          </w:p>
        </w:tc>
        <w:tc>
          <w:tcPr>
            <w:tcW w:w="6304" w:type="dxa"/>
            <w:vAlign w:val="center"/>
          </w:tcPr>
          <w:p>
            <w:pPr>
              <w:pStyle w:val="119"/>
              <w:spacing w:line="440" w:lineRule="exact"/>
              <w:ind w:left="105" w:leftChars="50" w:firstLine="40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符合第二章“投标人须知”第 1.3.1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1411" w:type="dxa"/>
            <w:gridSpan w:val="2"/>
            <w:vMerge w:val="continue"/>
            <w:tcBorders>
              <w:top w:val="nil"/>
            </w:tcBorders>
            <w:vAlign w:val="center"/>
          </w:tcPr>
          <w:p>
            <w:pPr>
              <w:spacing w:line="440" w:lineRule="exact"/>
              <w:ind w:left="105" w:leftChars="50" w:firstLine="400"/>
              <w:jc w:val="center"/>
              <w:rPr>
                <w:rFonts w:hint="default" w:ascii="Times New Roman" w:hAnsi="Times New Roman" w:cs="Times New Roman"/>
                <w:color w:val="auto"/>
                <w:sz w:val="21"/>
                <w:szCs w:val="21"/>
                <w:highlight w:val="none"/>
              </w:rPr>
            </w:pPr>
          </w:p>
        </w:tc>
        <w:tc>
          <w:tcPr>
            <w:tcW w:w="1924" w:type="dxa"/>
            <w:vAlign w:val="center"/>
          </w:tcPr>
          <w:p>
            <w:pPr>
              <w:pStyle w:val="119"/>
              <w:spacing w:line="440" w:lineRule="exact"/>
              <w:ind w:firstLine="0" w:firstLineChars="0"/>
              <w:jc w:val="center"/>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eastAsia="zh-CN"/>
              </w:rPr>
              <w:t>运行期限</w:t>
            </w:r>
          </w:p>
        </w:tc>
        <w:tc>
          <w:tcPr>
            <w:tcW w:w="6304" w:type="dxa"/>
            <w:vAlign w:val="center"/>
          </w:tcPr>
          <w:p>
            <w:pPr>
              <w:pStyle w:val="119"/>
              <w:spacing w:line="440" w:lineRule="exact"/>
              <w:ind w:left="105" w:leftChars="50" w:firstLine="40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符合第二章“投标人须知”第 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jc w:val="center"/>
        </w:trPr>
        <w:tc>
          <w:tcPr>
            <w:tcW w:w="1411" w:type="dxa"/>
            <w:gridSpan w:val="2"/>
            <w:vMerge w:val="continue"/>
            <w:tcBorders>
              <w:top w:val="nil"/>
            </w:tcBorders>
            <w:vAlign w:val="center"/>
          </w:tcPr>
          <w:p>
            <w:pPr>
              <w:spacing w:line="440" w:lineRule="exact"/>
              <w:ind w:left="105" w:leftChars="50" w:firstLine="400"/>
              <w:jc w:val="center"/>
              <w:rPr>
                <w:rFonts w:hint="default" w:ascii="Times New Roman" w:hAnsi="Times New Roman" w:cs="Times New Roman"/>
                <w:color w:val="auto"/>
                <w:sz w:val="21"/>
                <w:szCs w:val="21"/>
                <w:highlight w:val="none"/>
              </w:rPr>
            </w:pPr>
          </w:p>
        </w:tc>
        <w:tc>
          <w:tcPr>
            <w:tcW w:w="1924" w:type="dxa"/>
            <w:vAlign w:val="center"/>
          </w:tcPr>
          <w:p>
            <w:pPr>
              <w:pStyle w:val="119"/>
              <w:tabs>
                <w:tab w:val="left" w:pos="489"/>
              </w:tabs>
              <w:spacing w:line="440" w:lineRule="exact"/>
              <w:ind w:firstLine="4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质量标准</w:t>
            </w:r>
          </w:p>
        </w:tc>
        <w:tc>
          <w:tcPr>
            <w:tcW w:w="6304" w:type="dxa"/>
            <w:vAlign w:val="center"/>
          </w:tcPr>
          <w:p>
            <w:pPr>
              <w:pStyle w:val="119"/>
              <w:spacing w:line="440" w:lineRule="exact"/>
              <w:ind w:left="105" w:leftChars="50" w:firstLine="40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符合第二章“投标人须知”第 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1411" w:type="dxa"/>
            <w:gridSpan w:val="2"/>
            <w:vMerge w:val="continue"/>
            <w:tcBorders>
              <w:top w:val="nil"/>
            </w:tcBorders>
            <w:vAlign w:val="center"/>
          </w:tcPr>
          <w:p>
            <w:pPr>
              <w:spacing w:line="440" w:lineRule="exact"/>
              <w:ind w:left="105" w:leftChars="50" w:firstLine="400"/>
              <w:jc w:val="center"/>
              <w:rPr>
                <w:rFonts w:hint="default" w:ascii="Times New Roman" w:hAnsi="Times New Roman" w:cs="Times New Roman"/>
                <w:color w:val="auto"/>
                <w:sz w:val="21"/>
                <w:szCs w:val="21"/>
                <w:highlight w:val="none"/>
              </w:rPr>
            </w:pPr>
          </w:p>
        </w:tc>
        <w:tc>
          <w:tcPr>
            <w:tcW w:w="1924" w:type="dxa"/>
            <w:vAlign w:val="center"/>
          </w:tcPr>
          <w:p>
            <w:pPr>
              <w:pStyle w:val="119"/>
              <w:spacing w:line="44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投标有效期</w:t>
            </w:r>
          </w:p>
        </w:tc>
        <w:tc>
          <w:tcPr>
            <w:tcW w:w="6304" w:type="dxa"/>
            <w:vAlign w:val="center"/>
          </w:tcPr>
          <w:p>
            <w:pPr>
              <w:pStyle w:val="119"/>
              <w:spacing w:line="440" w:lineRule="exact"/>
              <w:ind w:left="105" w:leftChars="50" w:firstLine="40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符合第二章“投标人须知”第 3.3.1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jc w:val="center"/>
        </w:trPr>
        <w:tc>
          <w:tcPr>
            <w:tcW w:w="1411" w:type="dxa"/>
            <w:gridSpan w:val="2"/>
            <w:vMerge w:val="continue"/>
            <w:tcBorders>
              <w:top w:val="nil"/>
            </w:tcBorders>
            <w:vAlign w:val="center"/>
          </w:tcPr>
          <w:p>
            <w:pPr>
              <w:spacing w:line="440" w:lineRule="exact"/>
              <w:ind w:left="105" w:leftChars="50" w:firstLine="400"/>
              <w:jc w:val="center"/>
              <w:rPr>
                <w:rFonts w:hint="default" w:ascii="Times New Roman" w:hAnsi="Times New Roman" w:cs="Times New Roman"/>
                <w:color w:val="auto"/>
                <w:sz w:val="21"/>
                <w:szCs w:val="21"/>
                <w:highlight w:val="none"/>
              </w:rPr>
            </w:pPr>
          </w:p>
        </w:tc>
        <w:tc>
          <w:tcPr>
            <w:tcW w:w="1924" w:type="dxa"/>
            <w:vAlign w:val="center"/>
          </w:tcPr>
          <w:p>
            <w:pPr>
              <w:pStyle w:val="119"/>
              <w:spacing w:line="44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权利义务</w:t>
            </w:r>
          </w:p>
        </w:tc>
        <w:tc>
          <w:tcPr>
            <w:tcW w:w="6304" w:type="dxa"/>
            <w:vAlign w:val="center"/>
          </w:tcPr>
          <w:p>
            <w:pPr>
              <w:pStyle w:val="119"/>
              <w:spacing w:line="440" w:lineRule="exact"/>
              <w:ind w:left="105" w:leftChars="50" w:firstLine="40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符合第四章“合同条款及格式”规定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jc w:val="center"/>
        </w:trPr>
        <w:tc>
          <w:tcPr>
            <w:tcW w:w="1411" w:type="dxa"/>
            <w:gridSpan w:val="2"/>
            <w:vMerge w:val="continue"/>
            <w:tcBorders>
              <w:top w:val="nil"/>
            </w:tcBorders>
            <w:vAlign w:val="center"/>
          </w:tcPr>
          <w:p>
            <w:pPr>
              <w:spacing w:line="440" w:lineRule="exact"/>
              <w:ind w:left="105" w:leftChars="50" w:firstLine="400"/>
              <w:jc w:val="center"/>
              <w:rPr>
                <w:rFonts w:hint="default" w:ascii="Times New Roman" w:hAnsi="Times New Roman" w:cs="Times New Roman"/>
                <w:color w:val="auto"/>
                <w:sz w:val="21"/>
                <w:szCs w:val="21"/>
                <w:highlight w:val="none"/>
              </w:rPr>
            </w:pPr>
          </w:p>
        </w:tc>
        <w:tc>
          <w:tcPr>
            <w:tcW w:w="1924" w:type="dxa"/>
            <w:vAlign w:val="center"/>
          </w:tcPr>
          <w:p>
            <w:pPr>
              <w:pStyle w:val="119"/>
              <w:spacing w:line="44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技术标准和要求</w:t>
            </w:r>
          </w:p>
        </w:tc>
        <w:tc>
          <w:tcPr>
            <w:tcW w:w="6304" w:type="dxa"/>
            <w:vAlign w:val="center"/>
          </w:tcPr>
          <w:p>
            <w:pPr>
              <w:pStyle w:val="119"/>
              <w:spacing w:line="440" w:lineRule="exact"/>
              <w:ind w:left="105" w:leftChars="50" w:firstLine="40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符合第五章“招标项目技术要求”规定，若不符合第五章技术要求规定，将不再进行评审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jc w:val="center"/>
        </w:trPr>
        <w:tc>
          <w:tcPr>
            <w:tcW w:w="1411" w:type="dxa"/>
            <w:gridSpan w:val="2"/>
            <w:vMerge w:val="continue"/>
            <w:tcBorders>
              <w:top w:val="nil"/>
              <w:bottom w:val="single" w:color="000000" w:sz="4" w:space="0"/>
            </w:tcBorders>
            <w:vAlign w:val="center"/>
          </w:tcPr>
          <w:p>
            <w:pPr>
              <w:spacing w:line="440" w:lineRule="exact"/>
              <w:ind w:left="105" w:leftChars="50" w:firstLine="400"/>
              <w:jc w:val="center"/>
              <w:rPr>
                <w:rFonts w:hint="default" w:ascii="Times New Roman" w:hAnsi="Times New Roman" w:cs="Times New Roman"/>
                <w:color w:val="auto"/>
                <w:sz w:val="21"/>
                <w:szCs w:val="21"/>
                <w:highlight w:val="none"/>
              </w:rPr>
            </w:pPr>
          </w:p>
        </w:tc>
        <w:tc>
          <w:tcPr>
            <w:tcW w:w="1924" w:type="dxa"/>
            <w:tcBorders>
              <w:bottom w:val="single" w:color="000000" w:sz="4" w:space="0"/>
            </w:tcBorders>
            <w:vAlign w:val="center"/>
          </w:tcPr>
          <w:p>
            <w:pPr>
              <w:pStyle w:val="119"/>
              <w:spacing w:line="44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投标文件其他响应</w:t>
            </w:r>
          </w:p>
        </w:tc>
        <w:tc>
          <w:tcPr>
            <w:tcW w:w="6304" w:type="dxa"/>
            <w:tcBorders>
              <w:bottom w:val="single" w:color="000000" w:sz="4" w:space="0"/>
            </w:tcBorders>
            <w:vAlign w:val="center"/>
          </w:tcPr>
          <w:p>
            <w:pPr>
              <w:pStyle w:val="119"/>
              <w:spacing w:line="440" w:lineRule="exact"/>
              <w:ind w:left="105" w:leftChars="50" w:firstLine="40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符合法律、法规和招标文件中规定的其他实质性要求的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jc w:val="center"/>
        </w:trPr>
        <w:tc>
          <w:tcPr>
            <w:tcW w:w="3335" w:type="dxa"/>
            <w:gridSpan w:val="3"/>
            <w:tcBorders>
              <w:top w:val="single" w:color="000000" w:sz="4" w:space="0"/>
              <w:bottom w:val="single" w:color="000000" w:sz="4" w:space="0"/>
              <w:right w:val="single" w:color="000000" w:sz="4" w:space="0"/>
            </w:tcBorders>
            <w:vAlign w:val="center"/>
          </w:tcPr>
          <w:p>
            <w:pPr>
              <w:pStyle w:val="119"/>
              <w:spacing w:line="240" w:lineRule="auto"/>
              <w:ind w:left="105" w:leftChars="50" w:right="903" w:firstLine="40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分值构成</w:t>
            </w:r>
          </w:p>
        </w:tc>
        <w:tc>
          <w:tcPr>
            <w:tcW w:w="6304" w:type="dxa"/>
            <w:tcBorders>
              <w:top w:val="single" w:color="000000" w:sz="4" w:space="0"/>
              <w:left w:val="single" w:color="000000" w:sz="4" w:space="0"/>
              <w:bottom w:val="single" w:color="000000" w:sz="4" w:space="0"/>
            </w:tcBorders>
            <w:vAlign w:val="center"/>
          </w:tcPr>
          <w:p>
            <w:pPr>
              <w:pStyle w:val="119"/>
              <w:spacing w:line="240" w:lineRule="auto"/>
              <w:ind w:left="105" w:leftChars="50" w:right="903" w:firstLine="4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投标报价：</w:t>
            </w:r>
            <w:r>
              <w:rPr>
                <w:rFonts w:hint="default" w:ascii="Times New Roman" w:hAnsi="Times New Roman" w:cs="Times New Roman"/>
                <w:color w:val="auto"/>
                <w:sz w:val="21"/>
                <w:szCs w:val="21"/>
                <w:highlight w:val="none"/>
                <w:lang w:val="en-US" w:eastAsia="zh-CN"/>
              </w:rPr>
              <w:t>35</w:t>
            </w:r>
            <w:r>
              <w:rPr>
                <w:rFonts w:hint="default" w:ascii="Times New Roman" w:hAnsi="Times New Roman" w:cs="Times New Roman"/>
                <w:color w:val="auto"/>
                <w:sz w:val="21"/>
                <w:szCs w:val="21"/>
                <w:highlight w:val="none"/>
              </w:rPr>
              <w:t>分</w:t>
            </w:r>
          </w:p>
          <w:p>
            <w:pPr>
              <w:pStyle w:val="119"/>
              <w:spacing w:line="240" w:lineRule="auto"/>
              <w:ind w:left="105" w:leftChars="50" w:right="903" w:firstLine="4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技术部分</w:t>
            </w:r>
            <w:r>
              <w:rPr>
                <w:rFonts w:hint="default" w:ascii="Times New Roman" w:hAnsi="Times New Roman" w:cs="Times New Roman"/>
                <w:color w:val="auto"/>
                <w:sz w:val="21"/>
                <w:szCs w:val="21"/>
                <w:highlight w:val="none"/>
                <w:lang w:val="en-US" w:eastAsia="zh-CN"/>
              </w:rPr>
              <w:t>：35分</w:t>
            </w:r>
          </w:p>
          <w:p>
            <w:pPr>
              <w:pStyle w:val="119"/>
              <w:spacing w:line="240" w:lineRule="auto"/>
              <w:ind w:left="105" w:leftChars="50" w:right="903" w:firstLine="4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商务部分：30分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3335" w:type="dxa"/>
            <w:gridSpan w:val="3"/>
            <w:tcBorders>
              <w:top w:val="single" w:color="000000" w:sz="4" w:space="0"/>
              <w:bottom w:val="single" w:color="000000" w:sz="4" w:space="0"/>
              <w:right w:val="single" w:color="000000" w:sz="4" w:space="0"/>
            </w:tcBorders>
            <w:vAlign w:val="center"/>
          </w:tcPr>
          <w:p>
            <w:pPr>
              <w:pStyle w:val="119"/>
              <w:spacing w:line="240" w:lineRule="auto"/>
              <w:ind w:left="105" w:leftChars="50" w:firstLine="482"/>
              <w:jc w:val="center"/>
              <w:rPr>
                <w:rFonts w:hint="default" w:ascii="Times New Roman" w:hAnsi="Times New Roman" w:cs="Times New Roman"/>
                <w:color w:val="auto"/>
                <w:sz w:val="21"/>
                <w:szCs w:val="21"/>
                <w:highlight w:val="none"/>
              </w:rPr>
            </w:pPr>
            <w:r>
              <w:rPr>
                <w:rFonts w:hint="default" w:ascii="Times New Roman" w:hAnsi="Times New Roman" w:cs="Times New Roman"/>
                <w:b/>
                <w:color w:val="auto"/>
                <w:sz w:val="21"/>
                <w:szCs w:val="21"/>
                <w:highlight w:val="none"/>
              </w:rPr>
              <w:t>评分要素</w:t>
            </w:r>
          </w:p>
          <w:p>
            <w:pPr>
              <w:pStyle w:val="119"/>
              <w:spacing w:line="240" w:lineRule="auto"/>
              <w:ind w:right="87"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b/>
                <w:color w:val="auto"/>
                <w:sz w:val="21"/>
                <w:szCs w:val="21"/>
                <w:highlight w:val="none"/>
                <w:lang w:val="en-US" w:eastAsia="zh-CN"/>
              </w:rPr>
              <w:t xml:space="preserve"> </w:t>
            </w:r>
          </w:p>
        </w:tc>
        <w:tc>
          <w:tcPr>
            <w:tcW w:w="6304" w:type="dxa"/>
            <w:tcBorders>
              <w:top w:val="single" w:color="000000" w:sz="4" w:space="0"/>
              <w:left w:val="single" w:color="000000" w:sz="4" w:space="0"/>
              <w:bottom w:val="single" w:color="000000" w:sz="4" w:space="0"/>
            </w:tcBorders>
            <w:vAlign w:val="center"/>
          </w:tcPr>
          <w:p>
            <w:pPr>
              <w:pStyle w:val="119"/>
              <w:spacing w:line="240" w:lineRule="auto"/>
              <w:ind w:left="105" w:leftChars="50" w:right="14" w:firstLine="482"/>
              <w:jc w:val="center"/>
              <w:rPr>
                <w:rFonts w:hint="default" w:ascii="Times New Roman" w:hAnsi="Times New Roman" w:cs="Times New Roman"/>
                <w:color w:val="auto"/>
                <w:sz w:val="21"/>
                <w:szCs w:val="21"/>
                <w:highlight w:val="none"/>
              </w:rPr>
            </w:pPr>
            <w:r>
              <w:rPr>
                <w:rFonts w:hint="default" w:ascii="Times New Roman" w:hAnsi="Times New Roman" w:cs="Times New Roman"/>
                <w:b/>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3335" w:type="dxa"/>
            <w:gridSpan w:val="3"/>
            <w:noWrap w:val="0"/>
            <w:vAlign w:val="center"/>
          </w:tcPr>
          <w:p>
            <w:pPr>
              <w:pStyle w:val="57"/>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投标报价</w:t>
            </w:r>
          </w:p>
          <w:p>
            <w:pPr>
              <w:pStyle w:val="57"/>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（35</w:t>
            </w:r>
            <w:r>
              <w:rPr>
                <w:rFonts w:hint="eastAsia" w:asciiTheme="minorEastAsia" w:hAnsiTheme="minorEastAsia" w:eastAsiaTheme="minorEastAsia" w:cstheme="minorEastAsia"/>
                <w:color w:val="auto"/>
                <w:kern w:val="2"/>
                <w:sz w:val="21"/>
                <w:szCs w:val="21"/>
                <w:highlight w:val="none"/>
              </w:rPr>
              <w:t>分</w:t>
            </w:r>
            <w:r>
              <w:rPr>
                <w:rFonts w:hint="eastAsia" w:asciiTheme="minorEastAsia" w:hAnsiTheme="minorEastAsia" w:eastAsiaTheme="minorEastAsia" w:cstheme="minorEastAsia"/>
                <w:color w:val="auto"/>
                <w:kern w:val="2"/>
                <w:sz w:val="21"/>
                <w:szCs w:val="21"/>
                <w:highlight w:val="none"/>
                <w:lang w:val="en-US" w:eastAsia="zh-CN"/>
              </w:rPr>
              <w:t>）</w:t>
            </w:r>
          </w:p>
        </w:tc>
        <w:tc>
          <w:tcPr>
            <w:tcW w:w="6304" w:type="dxa"/>
            <w:noWrap w:val="0"/>
            <w:vAlign w:val="center"/>
          </w:tcPr>
          <w:p>
            <w:pPr>
              <w:pStyle w:val="119"/>
              <w:spacing w:before="22"/>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 xml:space="preserve">价格分采用低价优先法计算，满足招标文件要求且价格最低的报价为评标基准价，其价格分为满分（即 </w:t>
            </w:r>
            <w:r>
              <w:rPr>
                <w:rFonts w:hint="eastAsia" w:asciiTheme="minorEastAsia" w:hAnsiTheme="minorEastAsia" w:eastAsiaTheme="minorEastAsia" w:cstheme="minorEastAsia"/>
                <w:color w:val="auto"/>
                <w:spacing w:val="-7"/>
                <w:sz w:val="21"/>
                <w:szCs w:val="21"/>
                <w:highlight w:val="none"/>
                <w:lang w:val="en-US" w:eastAsia="zh-CN"/>
              </w:rPr>
              <w:t>3</w:t>
            </w:r>
            <w:r>
              <w:rPr>
                <w:rFonts w:hint="eastAsia" w:asciiTheme="minorEastAsia" w:hAnsiTheme="minorEastAsia" w:eastAsiaTheme="minorEastAsia" w:cstheme="minorEastAsia"/>
                <w:color w:val="auto"/>
                <w:spacing w:val="-7"/>
                <w:sz w:val="21"/>
                <w:szCs w:val="21"/>
                <w:highlight w:val="none"/>
              </w:rPr>
              <w:t xml:space="preserve">5 分）。其他供应商的价格分统一按照下列公式计算： </w:t>
            </w:r>
          </w:p>
          <w:p>
            <w:pPr>
              <w:pStyle w:val="119"/>
              <w:spacing w:before="22"/>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投标报价得分=(评标基准价／投标报价)×</w:t>
            </w:r>
            <w:r>
              <w:rPr>
                <w:rFonts w:hint="eastAsia" w:asciiTheme="minorEastAsia" w:hAnsiTheme="minorEastAsia" w:eastAsiaTheme="minorEastAsia" w:cstheme="minorEastAsia"/>
                <w:color w:val="auto"/>
                <w:spacing w:val="-7"/>
                <w:sz w:val="21"/>
                <w:szCs w:val="21"/>
                <w:highlight w:val="none"/>
                <w:lang w:val="en-US" w:eastAsia="zh-CN"/>
              </w:rPr>
              <w:t>3</w:t>
            </w:r>
            <w:r>
              <w:rPr>
                <w:rFonts w:hint="eastAsia" w:asciiTheme="minorEastAsia" w:hAnsiTheme="minorEastAsia" w:eastAsiaTheme="minorEastAsia" w:cstheme="minorEastAsia"/>
                <w:color w:val="auto"/>
                <w:spacing w:val="-7"/>
                <w:sz w:val="21"/>
                <w:szCs w:val="21"/>
                <w:highlight w:val="none"/>
              </w:rPr>
              <w:t xml:space="preserve">5 </w:t>
            </w:r>
          </w:p>
          <w:p>
            <w:pPr>
              <w:pStyle w:val="119"/>
              <w:spacing w:before="22"/>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以上计算过程中按四舍五入保留两位小数。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3335" w:type="dxa"/>
            <w:gridSpan w:val="3"/>
            <w:noWrap w:val="0"/>
            <w:vAlign w:val="center"/>
          </w:tcPr>
          <w:p>
            <w:pPr>
              <w:pStyle w:val="57"/>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lang w:eastAsia="zh-CN"/>
              </w:rPr>
              <w:t>技术部分</w:t>
            </w:r>
          </w:p>
          <w:p>
            <w:pPr>
              <w:pStyle w:val="57"/>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（35</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en-US" w:eastAsia="zh-CN"/>
              </w:rPr>
              <w:t>）</w:t>
            </w:r>
          </w:p>
        </w:tc>
        <w:tc>
          <w:tcPr>
            <w:tcW w:w="6304" w:type="dxa"/>
            <w:noWrap w:val="0"/>
            <w:vAlign w:val="center"/>
          </w:tcPr>
          <w:p>
            <w:pPr>
              <w:pStyle w:val="119"/>
              <w:spacing w:before="22"/>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1、根据供应商生活垃圾渗滤液处理方案（包括水质指标检测、工艺运行管理、设备运行管理、安全生产等）进行综合评审：方案完整、详细、专业、合理、可行的得</w:t>
            </w:r>
            <w:r>
              <w:rPr>
                <w:rFonts w:hint="eastAsia" w:asciiTheme="minorEastAsia" w:hAnsiTheme="minorEastAsia" w:eastAsiaTheme="minorEastAsia" w:cstheme="minorEastAsia"/>
                <w:color w:val="auto"/>
                <w:spacing w:val="-7"/>
                <w:sz w:val="21"/>
                <w:szCs w:val="21"/>
                <w:highlight w:val="none"/>
                <w:lang w:val="en-US" w:eastAsia="zh-CN"/>
              </w:rPr>
              <w:t>4-5</w:t>
            </w:r>
            <w:r>
              <w:rPr>
                <w:rFonts w:hint="eastAsia" w:asciiTheme="minorEastAsia" w:hAnsiTheme="minorEastAsia" w:eastAsiaTheme="minorEastAsia" w:cstheme="minorEastAsia"/>
                <w:color w:val="auto"/>
                <w:spacing w:val="-7"/>
                <w:sz w:val="21"/>
                <w:szCs w:val="21"/>
                <w:highlight w:val="none"/>
              </w:rPr>
              <w:t xml:space="preserve">分；方案较完整、详细、合理的得 </w:t>
            </w:r>
            <w:r>
              <w:rPr>
                <w:rFonts w:hint="eastAsia" w:asciiTheme="minorEastAsia" w:hAnsiTheme="minorEastAsia" w:eastAsiaTheme="minorEastAsia" w:cstheme="minorEastAsia"/>
                <w:color w:val="auto"/>
                <w:spacing w:val="-7"/>
                <w:sz w:val="21"/>
                <w:szCs w:val="21"/>
                <w:highlight w:val="none"/>
                <w:lang w:val="en-US" w:eastAsia="zh-CN"/>
              </w:rPr>
              <w:t>2-3</w:t>
            </w:r>
            <w:r>
              <w:rPr>
                <w:rFonts w:hint="eastAsia" w:asciiTheme="minorEastAsia" w:hAnsiTheme="minorEastAsia" w:eastAsiaTheme="minorEastAsia" w:cstheme="minorEastAsia"/>
                <w:color w:val="auto"/>
                <w:spacing w:val="-7"/>
                <w:sz w:val="21"/>
                <w:szCs w:val="21"/>
                <w:highlight w:val="none"/>
              </w:rPr>
              <w:t xml:space="preserve"> 分；方案一般，尚合理可行的得 </w:t>
            </w:r>
            <w:r>
              <w:rPr>
                <w:rFonts w:hint="eastAsia" w:asciiTheme="minorEastAsia" w:hAnsiTheme="minorEastAsia" w:eastAsiaTheme="minorEastAsia" w:cstheme="minorEastAsia"/>
                <w:color w:val="auto"/>
                <w:spacing w:val="-7"/>
                <w:sz w:val="21"/>
                <w:szCs w:val="21"/>
                <w:highlight w:val="none"/>
                <w:lang w:val="en-US" w:eastAsia="zh-CN"/>
              </w:rPr>
              <w:t>0-1</w:t>
            </w:r>
            <w:r>
              <w:rPr>
                <w:rFonts w:hint="eastAsia" w:asciiTheme="minorEastAsia" w:hAnsiTheme="minorEastAsia" w:eastAsiaTheme="minorEastAsia" w:cstheme="minorEastAsia"/>
                <w:color w:val="auto"/>
                <w:spacing w:val="-7"/>
                <w:sz w:val="21"/>
                <w:szCs w:val="21"/>
                <w:highlight w:val="none"/>
              </w:rPr>
              <w:t xml:space="preserve">分； </w:t>
            </w:r>
          </w:p>
          <w:p>
            <w:pPr>
              <w:pStyle w:val="119"/>
              <w:spacing w:before="22"/>
              <w:rPr>
                <w:rFonts w:hint="eastAsia" w:asciiTheme="minorEastAsia" w:hAnsiTheme="minorEastAsia" w:eastAsiaTheme="minorEastAsia" w:cstheme="minorEastAsia"/>
                <w:color w:val="auto"/>
                <w:spacing w:val="-7"/>
                <w:sz w:val="21"/>
                <w:szCs w:val="21"/>
                <w:highlight w:val="none"/>
                <w:lang w:val="en-US" w:eastAsia="zh-CN"/>
              </w:rPr>
            </w:pPr>
            <w:r>
              <w:rPr>
                <w:rFonts w:hint="eastAsia" w:asciiTheme="minorEastAsia" w:hAnsiTheme="minorEastAsia" w:eastAsiaTheme="minorEastAsia" w:cstheme="minorEastAsia"/>
                <w:color w:val="auto"/>
                <w:spacing w:val="-7"/>
                <w:sz w:val="21"/>
                <w:szCs w:val="21"/>
                <w:highlight w:val="none"/>
              </w:rPr>
              <w:t xml:space="preserve">2、渗滤液处理设备的先进性，并制定有详细安装调试方案，方案完整详细、专业、合理、可行的得 </w:t>
            </w:r>
            <w:r>
              <w:rPr>
                <w:rFonts w:hint="eastAsia" w:asciiTheme="minorEastAsia" w:hAnsiTheme="minorEastAsia" w:eastAsiaTheme="minorEastAsia" w:cstheme="minorEastAsia"/>
                <w:color w:val="auto"/>
                <w:spacing w:val="-7"/>
                <w:sz w:val="21"/>
                <w:szCs w:val="21"/>
                <w:highlight w:val="none"/>
                <w:lang w:val="en-US" w:eastAsia="zh-CN"/>
              </w:rPr>
              <w:t>4-5</w:t>
            </w:r>
            <w:r>
              <w:rPr>
                <w:rFonts w:hint="eastAsia" w:asciiTheme="minorEastAsia" w:hAnsiTheme="minorEastAsia" w:eastAsiaTheme="minorEastAsia" w:cstheme="minorEastAsia"/>
                <w:color w:val="auto"/>
                <w:spacing w:val="-7"/>
                <w:sz w:val="21"/>
                <w:szCs w:val="21"/>
                <w:highlight w:val="none"/>
              </w:rPr>
              <w:t xml:space="preserve"> 分，方案较完整、详细、合理的得 </w:t>
            </w:r>
            <w:r>
              <w:rPr>
                <w:rFonts w:hint="eastAsia" w:asciiTheme="minorEastAsia" w:hAnsiTheme="minorEastAsia" w:eastAsiaTheme="minorEastAsia" w:cstheme="minorEastAsia"/>
                <w:color w:val="auto"/>
                <w:spacing w:val="-7"/>
                <w:sz w:val="21"/>
                <w:szCs w:val="21"/>
                <w:highlight w:val="none"/>
                <w:lang w:val="en-US" w:eastAsia="zh-CN"/>
              </w:rPr>
              <w:t>2-3</w:t>
            </w:r>
            <w:r>
              <w:rPr>
                <w:rFonts w:hint="eastAsia" w:asciiTheme="minorEastAsia" w:hAnsiTheme="minorEastAsia" w:eastAsiaTheme="minorEastAsia" w:cstheme="minorEastAsia"/>
                <w:color w:val="auto"/>
                <w:spacing w:val="-7"/>
                <w:sz w:val="21"/>
                <w:szCs w:val="21"/>
                <w:highlight w:val="none"/>
              </w:rPr>
              <w:t xml:space="preserve">分，方案一般，尚合理可行 </w:t>
            </w:r>
            <w:r>
              <w:rPr>
                <w:rFonts w:hint="eastAsia" w:asciiTheme="minorEastAsia" w:hAnsiTheme="minorEastAsia" w:eastAsiaTheme="minorEastAsia" w:cstheme="minorEastAsia"/>
                <w:color w:val="auto"/>
                <w:spacing w:val="-7"/>
                <w:sz w:val="21"/>
                <w:szCs w:val="21"/>
                <w:highlight w:val="none"/>
                <w:lang w:val="en-US" w:eastAsia="zh-CN"/>
              </w:rPr>
              <w:t>0-1</w:t>
            </w:r>
            <w:r>
              <w:rPr>
                <w:rFonts w:hint="eastAsia" w:asciiTheme="minorEastAsia" w:hAnsiTheme="minorEastAsia" w:eastAsiaTheme="minorEastAsia" w:cstheme="minorEastAsia"/>
                <w:color w:val="auto"/>
                <w:spacing w:val="-7"/>
                <w:sz w:val="21"/>
                <w:szCs w:val="21"/>
                <w:highlight w:val="none"/>
              </w:rPr>
              <w:t xml:space="preserve"> 分； </w:t>
            </w:r>
          </w:p>
          <w:p>
            <w:pPr>
              <w:pStyle w:val="119"/>
              <w:spacing w:before="22"/>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3、运营组织机构人员配备合理、安排可行满足招标文件要求，优秀得</w:t>
            </w:r>
            <w:r>
              <w:rPr>
                <w:rFonts w:hint="eastAsia" w:asciiTheme="minorEastAsia" w:hAnsiTheme="minorEastAsia" w:eastAsiaTheme="minorEastAsia" w:cstheme="minorEastAsia"/>
                <w:color w:val="auto"/>
                <w:spacing w:val="-7"/>
                <w:sz w:val="21"/>
                <w:szCs w:val="21"/>
                <w:highlight w:val="none"/>
                <w:lang w:val="en-US" w:eastAsia="zh-CN"/>
              </w:rPr>
              <w:t>4-5</w:t>
            </w:r>
            <w:r>
              <w:rPr>
                <w:rFonts w:hint="eastAsia" w:asciiTheme="minorEastAsia" w:hAnsiTheme="minorEastAsia" w:eastAsiaTheme="minorEastAsia" w:cstheme="minorEastAsia"/>
                <w:color w:val="auto"/>
                <w:spacing w:val="-7"/>
                <w:sz w:val="21"/>
                <w:szCs w:val="21"/>
                <w:highlight w:val="none"/>
              </w:rPr>
              <w:t xml:space="preserve">分，良好得 </w:t>
            </w:r>
            <w:r>
              <w:rPr>
                <w:rFonts w:hint="eastAsia" w:asciiTheme="minorEastAsia" w:hAnsiTheme="minorEastAsia" w:eastAsiaTheme="minorEastAsia" w:cstheme="minorEastAsia"/>
                <w:color w:val="auto"/>
                <w:spacing w:val="-7"/>
                <w:sz w:val="21"/>
                <w:szCs w:val="21"/>
                <w:highlight w:val="none"/>
                <w:lang w:val="en-US" w:eastAsia="zh-CN"/>
              </w:rPr>
              <w:t>2-3</w:t>
            </w:r>
            <w:r>
              <w:rPr>
                <w:rFonts w:hint="eastAsia" w:asciiTheme="minorEastAsia" w:hAnsiTheme="minorEastAsia" w:eastAsiaTheme="minorEastAsia" w:cstheme="minorEastAsia"/>
                <w:color w:val="auto"/>
                <w:spacing w:val="-7"/>
                <w:sz w:val="21"/>
                <w:szCs w:val="21"/>
                <w:highlight w:val="none"/>
              </w:rPr>
              <w:t>分，一般得</w:t>
            </w:r>
            <w:r>
              <w:rPr>
                <w:rFonts w:hint="eastAsia" w:asciiTheme="minorEastAsia" w:hAnsiTheme="minorEastAsia" w:eastAsiaTheme="minorEastAsia" w:cstheme="minorEastAsia"/>
                <w:color w:val="auto"/>
                <w:spacing w:val="-7"/>
                <w:sz w:val="21"/>
                <w:szCs w:val="21"/>
                <w:highlight w:val="none"/>
                <w:lang w:val="en-US" w:eastAsia="zh-CN"/>
              </w:rPr>
              <w:t>0-</w:t>
            </w:r>
            <w:r>
              <w:rPr>
                <w:rFonts w:hint="eastAsia" w:asciiTheme="minorEastAsia" w:hAnsiTheme="minorEastAsia" w:eastAsiaTheme="minorEastAsia" w:cstheme="minorEastAsia"/>
                <w:color w:val="auto"/>
                <w:spacing w:val="-7"/>
                <w:sz w:val="21"/>
                <w:szCs w:val="21"/>
                <w:highlight w:val="none"/>
              </w:rPr>
              <w:t xml:space="preserve">1 分； </w:t>
            </w:r>
          </w:p>
          <w:p>
            <w:pPr>
              <w:pStyle w:val="119"/>
              <w:spacing w:before="22"/>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4、管理制度；建设运行资料、实施方案及保障措施。优秀得</w:t>
            </w:r>
            <w:r>
              <w:rPr>
                <w:rFonts w:hint="eastAsia" w:asciiTheme="minorEastAsia" w:hAnsiTheme="minorEastAsia" w:eastAsiaTheme="minorEastAsia" w:cstheme="minorEastAsia"/>
                <w:color w:val="auto"/>
                <w:spacing w:val="-7"/>
                <w:sz w:val="21"/>
                <w:szCs w:val="21"/>
                <w:highlight w:val="none"/>
                <w:lang w:val="en-US" w:eastAsia="zh-CN"/>
              </w:rPr>
              <w:t>4-5</w:t>
            </w:r>
            <w:r>
              <w:rPr>
                <w:rFonts w:hint="eastAsia" w:asciiTheme="minorEastAsia" w:hAnsiTheme="minorEastAsia" w:eastAsiaTheme="minorEastAsia" w:cstheme="minorEastAsia"/>
                <w:color w:val="auto"/>
                <w:spacing w:val="-7"/>
                <w:sz w:val="21"/>
                <w:szCs w:val="21"/>
                <w:highlight w:val="none"/>
              </w:rPr>
              <w:t xml:space="preserve"> 分，良好得 </w:t>
            </w:r>
            <w:r>
              <w:rPr>
                <w:rFonts w:hint="eastAsia" w:asciiTheme="minorEastAsia" w:hAnsiTheme="minorEastAsia" w:eastAsiaTheme="minorEastAsia" w:cstheme="minorEastAsia"/>
                <w:color w:val="auto"/>
                <w:spacing w:val="-7"/>
                <w:sz w:val="21"/>
                <w:szCs w:val="21"/>
                <w:highlight w:val="none"/>
                <w:lang w:val="en-US" w:eastAsia="zh-CN"/>
              </w:rPr>
              <w:t>2-3</w:t>
            </w:r>
            <w:r>
              <w:rPr>
                <w:rFonts w:hint="eastAsia" w:asciiTheme="minorEastAsia" w:hAnsiTheme="minorEastAsia" w:eastAsiaTheme="minorEastAsia" w:cstheme="minorEastAsia"/>
                <w:color w:val="auto"/>
                <w:spacing w:val="-7"/>
                <w:sz w:val="21"/>
                <w:szCs w:val="21"/>
                <w:highlight w:val="none"/>
              </w:rPr>
              <w:t>分，一般得</w:t>
            </w:r>
            <w:r>
              <w:rPr>
                <w:rFonts w:hint="eastAsia" w:asciiTheme="minorEastAsia" w:hAnsiTheme="minorEastAsia" w:eastAsiaTheme="minorEastAsia" w:cstheme="minorEastAsia"/>
                <w:color w:val="auto"/>
                <w:spacing w:val="-7"/>
                <w:sz w:val="21"/>
                <w:szCs w:val="21"/>
                <w:highlight w:val="none"/>
                <w:lang w:val="en-US" w:eastAsia="zh-CN"/>
              </w:rPr>
              <w:t>0-</w:t>
            </w:r>
            <w:r>
              <w:rPr>
                <w:rFonts w:hint="eastAsia" w:asciiTheme="minorEastAsia" w:hAnsiTheme="minorEastAsia" w:eastAsiaTheme="minorEastAsia" w:cstheme="minorEastAsia"/>
                <w:color w:val="auto"/>
                <w:spacing w:val="-7"/>
                <w:sz w:val="21"/>
                <w:szCs w:val="21"/>
                <w:highlight w:val="none"/>
              </w:rPr>
              <w:t xml:space="preserve">1 分； </w:t>
            </w:r>
          </w:p>
          <w:p>
            <w:pPr>
              <w:pStyle w:val="119"/>
              <w:spacing w:before="22"/>
              <w:rPr>
                <w:rFonts w:hint="eastAsia" w:asciiTheme="minorEastAsia" w:hAnsiTheme="minorEastAsia" w:eastAsiaTheme="minorEastAsia" w:cstheme="minorEastAsia"/>
                <w:color w:val="auto"/>
                <w:spacing w:val="-7"/>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rPr>
              <w:t>5、供应商对本项目水质变化及季节特点有解决方案，保障出水质量及冬季运行稳定。优秀得</w:t>
            </w:r>
            <w:r>
              <w:rPr>
                <w:rFonts w:hint="eastAsia" w:asciiTheme="minorEastAsia" w:hAnsiTheme="minorEastAsia" w:eastAsiaTheme="minorEastAsia" w:cstheme="minorEastAsia"/>
                <w:color w:val="auto"/>
                <w:spacing w:val="-7"/>
                <w:sz w:val="21"/>
                <w:szCs w:val="21"/>
                <w:highlight w:val="none"/>
                <w:lang w:val="en-US" w:eastAsia="zh-CN"/>
              </w:rPr>
              <w:t>4-5</w:t>
            </w:r>
            <w:r>
              <w:rPr>
                <w:rFonts w:hint="eastAsia" w:asciiTheme="minorEastAsia" w:hAnsiTheme="minorEastAsia" w:eastAsiaTheme="minorEastAsia" w:cstheme="minorEastAsia"/>
                <w:color w:val="auto"/>
                <w:spacing w:val="-7"/>
                <w:sz w:val="21"/>
                <w:szCs w:val="21"/>
                <w:highlight w:val="none"/>
              </w:rPr>
              <w:t xml:space="preserve"> 分，良好得</w:t>
            </w:r>
            <w:r>
              <w:rPr>
                <w:rFonts w:hint="eastAsia" w:asciiTheme="minorEastAsia" w:hAnsiTheme="minorEastAsia" w:eastAsiaTheme="minorEastAsia" w:cstheme="minorEastAsia"/>
                <w:color w:val="auto"/>
                <w:spacing w:val="-7"/>
                <w:sz w:val="21"/>
                <w:szCs w:val="21"/>
                <w:highlight w:val="none"/>
                <w:lang w:val="en-US" w:eastAsia="zh-CN"/>
              </w:rPr>
              <w:t>2-3</w:t>
            </w:r>
            <w:r>
              <w:rPr>
                <w:rFonts w:hint="eastAsia" w:asciiTheme="minorEastAsia" w:hAnsiTheme="minorEastAsia" w:eastAsiaTheme="minorEastAsia" w:cstheme="minorEastAsia"/>
                <w:color w:val="auto"/>
                <w:spacing w:val="-7"/>
                <w:sz w:val="21"/>
                <w:szCs w:val="21"/>
                <w:highlight w:val="none"/>
              </w:rPr>
              <w:t>分，一般得</w:t>
            </w:r>
            <w:r>
              <w:rPr>
                <w:rFonts w:hint="eastAsia" w:asciiTheme="minorEastAsia" w:hAnsiTheme="minorEastAsia" w:eastAsiaTheme="minorEastAsia" w:cstheme="minorEastAsia"/>
                <w:color w:val="auto"/>
                <w:spacing w:val="-7"/>
                <w:sz w:val="21"/>
                <w:szCs w:val="21"/>
                <w:highlight w:val="none"/>
                <w:lang w:val="en-US" w:eastAsia="zh-CN"/>
              </w:rPr>
              <w:t>0-</w:t>
            </w:r>
            <w:r>
              <w:rPr>
                <w:rFonts w:hint="eastAsia" w:asciiTheme="minorEastAsia" w:hAnsiTheme="minorEastAsia" w:eastAsiaTheme="minorEastAsia" w:cstheme="minorEastAsia"/>
                <w:color w:val="auto"/>
                <w:spacing w:val="-7"/>
                <w:sz w:val="21"/>
                <w:szCs w:val="21"/>
                <w:highlight w:val="none"/>
              </w:rPr>
              <w:t>1 分</w:t>
            </w:r>
            <w:r>
              <w:rPr>
                <w:rFonts w:hint="eastAsia" w:asciiTheme="minorEastAsia" w:hAnsiTheme="minorEastAsia" w:eastAsiaTheme="minorEastAsia" w:cstheme="minorEastAsia"/>
                <w:color w:val="auto"/>
                <w:spacing w:val="-7"/>
                <w:sz w:val="21"/>
                <w:szCs w:val="21"/>
                <w:highlight w:val="none"/>
                <w:lang w:eastAsia="zh-CN"/>
              </w:rPr>
              <w:t>；</w:t>
            </w:r>
          </w:p>
          <w:p>
            <w:pPr>
              <w:pStyle w:val="119"/>
              <w:spacing w:before="22"/>
              <w:rPr>
                <w:rFonts w:hint="eastAsia" w:asciiTheme="minorEastAsia" w:hAnsiTheme="minorEastAsia" w:eastAsiaTheme="minorEastAsia" w:cstheme="minorEastAsia"/>
                <w:color w:val="auto"/>
                <w:spacing w:val="-7"/>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rPr>
              <w:t>6、本项目日常巡检方案。优秀得</w:t>
            </w:r>
            <w:r>
              <w:rPr>
                <w:rFonts w:hint="eastAsia" w:asciiTheme="minorEastAsia" w:hAnsiTheme="minorEastAsia" w:eastAsiaTheme="minorEastAsia" w:cstheme="minorEastAsia"/>
                <w:color w:val="auto"/>
                <w:spacing w:val="-7"/>
                <w:sz w:val="21"/>
                <w:szCs w:val="21"/>
                <w:highlight w:val="none"/>
                <w:lang w:val="en-US" w:eastAsia="zh-CN"/>
              </w:rPr>
              <w:t>4-5</w:t>
            </w:r>
            <w:r>
              <w:rPr>
                <w:rFonts w:hint="eastAsia" w:asciiTheme="minorEastAsia" w:hAnsiTheme="minorEastAsia" w:eastAsiaTheme="minorEastAsia" w:cstheme="minorEastAsia"/>
                <w:color w:val="auto"/>
                <w:spacing w:val="-7"/>
                <w:sz w:val="21"/>
                <w:szCs w:val="21"/>
                <w:highlight w:val="none"/>
              </w:rPr>
              <w:t xml:space="preserve"> 分，良好得</w:t>
            </w:r>
            <w:r>
              <w:rPr>
                <w:rFonts w:hint="eastAsia" w:asciiTheme="minorEastAsia" w:hAnsiTheme="minorEastAsia" w:eastAsiaTheme="minorEastAsia" w:cstheme="minorEastAsia"/>
                <w:color w:val="auto"/>
                <w:spacing w:val="-7"/>
                <w:sz w:val="21"/>
                <w:szCs w:val="21"/>
                <w:highlight w:val="none"/>
                <w:lang w:val="en-US" w:eastAsia="zh-CN"/>
              </w:rPr>
              <w:t>2-3</w:t>
            </w:r>
            <w:r>
              <w:rPr>
                <w:rFonts w:hint="eastAsia" w:asciiTheme="minorEastAsia" w:hAnsiTheme="minorEastAsia" w:eastAsiaTheme="minorEastAsia" w:cstheme="minorEastAsia"/>
                <w:color w:val="auto"/>
                <w:spacing w:val="-7"/>
                <w:sz w:val="21"/>
                <w:szCs w:val="21"/>
                <w:highlight w:val="none"/>
              </w:rPr>
              <w:t>分，一般得</w:t>
            </w:r>
            <w:r>
              <w:rPr>
                <w:rFonts w:hint="eastAsia" w:asciiTheme="minorEastAsia" w:hAnsiTheme="minorEastAsia" w:eastAsiaTheme="minorEastAsia" w:cstheme="minorEastAsia"/>
                <w:color w:val="auto"/>
                <w:spacing w:val="-7"/>
                <w:sz w:val="21"/>
                <w:szCs w:val="21"/>
                <w:highlight w:val="none"/>
                <w:lang w:val="en-US" w:eastAsia="zh-CN"/>
              </w:rPr>
              <w:t>0-</w:t>
            </w:r>
            <w:r>
              <w:rPr>
                <w:rFonts w:hint="eastAsia" w:asciiTheme="minorEastAsia" w:hAnsiTheme="minorEastAsia" w:eastAsiaTheme="minorEastAsia" w:cstheme="minorEastAsia"/>
                <w:color w:val="auto"/>
                <w:spacing w:val="-7"/>
                <w:sz w:val="21"/>
                <w:szCs w:val="21"/>
                <w:highlight w:val="none"/>
              </w:rPr>
              <w:t>1分</w:t>
            </w:r>
            <w:r>
              <w:rPr>
                <w:rFonts w:hint="eastAsia" w:asciiTheme="minorEastAsia" w:hAnsiTheme="minorEastAsia" w:eastAsiaTheme="minorEastAsia" w:cstheme="minorEastAsia"/>
                <w:color w:val="auto"/>
                <w:spacing w:val="-7"/>
                <w:sz w:val="21"/>
                <w:szCs w:val="21"/>
                <w:highlight w:val="none"/>
                <w:lang w:eastAsia="zh-CN"/>
              </w:rPr>
              <w:t>；</w:t>
            </w:r>
          </w:p>
          <w:p>
            <w:pPr>
              <w:pStyle w:val="119"/>
              <w:spacing w:before="22"/>
              <w:rPr>
                <w:rFonts w:hint="eastAsia" w:asciiTheme="minorEastAsia" w:hAnsiTheme="minorEastAsia" w:eastAsiaTheme="minorEastAsia" w:cstheme="minorEastAsia"/>
                <w:color w:val="auto"/>
                <w:spacing w:val="-7"/>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rPr>
              <w:t>7、设备检修与维护管理措施及运营服务应急方案。</w:t>
            </w:r>
            <w:r>
              <w:rPr>
                <w:rFonts w:hint="eastAsia" w:asciiTheme="minorEastAsia" w:hAnsiTheme="minorEastAsia" w:eastAsiaTheme="minorEastAsia" w:cstheme="minorEastAsia"/>
                <w:color w:val="auto"/>
                <w:spacing w:val="-7"/>
                <w:sz w:val="21"/>
                <w:szCs w:val="21"/>
                <w:highlight w:val="none"/>
                <w:lang w:val="en-US" w:eastAsia="zh-CN"/>
              </w:rPr>
              <w:t>优秀</w:t>
            </w:r>
            <w:r>
              <w:rPr>
                <w:rFonts w:hint="eastAsia" w:asciiTheme="minorEastAsia" w:hAnsiTheme="minorEastAsia" w:eastAsiaTheme="minorEastAsia" w:cstheme="minorEastAsia"/>
                <w:color w:val="auto"/>
                <w:spacing w:val="-7"/>
                <w:sz w:val="21"/>
                <w:szCs w:val="21"/>
                <w:highlight w:val="none"/>
              </w:rPr>
              <w:t>得</w:t>
            </w:r>
            <w:r>
              <w:rPr>
                <w:rFonts w:hint="eastAsia" w:asciiTheme="minorEastAsia" w:hAnsiTheme="minorEastAsia" w:eastAsiaTheme="minorEastAsia" w:cstheme="minorEastAsia"/>
                <w:color w:val="auto"/>
                <w:spacing w:val="-7"/>
                <w:sz w:val="21"/>
                <w:szCs w:val="21"/>
                <w:highlight w:val="none"/>
                <w:lang w:val="en-US" w:eastAsia="zh-CN"/>
              </w:rPr>
              <w:t>2-3</w:t>
            </w:r>
            <w:r>
              <w:rPr>
                <w:rFonts w:hint="eastAsia" w:asciiTheme="minorEastAsia" w:hAnsiTheme="minorEastAsia" w:eastAsiaTheme="minorEastAsia" w:cstheme="minorEastAsia"/>
                <w:color w:val="auto"/>
                <w:spacing w:val="-7"/>
                <w:sz w:val="21"/>
                <w:szCs w:val="21"/>
                <w:highlight w:val="none"/>
              </w:rPr>
              <w:t>分，一般得</w:t>
            </w:r>
            <w:r>
              <w:rPr>
                <w:rFonts w:hint="eastAsia" w:asciiTheme="minorEastAsia" w:hAnsiTheme="minorEastAsia" w:eastAsiaTheme="minorEastAsia" w:cstheme="minorEastAsia"/>
                <w:color w:val="auto"/>
                <w:spacing w:val="-7"/>
                <w:sz w:val="21"/>
                <w:szCs w:val="21"/>
                <w:highlight w:val="none"/>
                <w:lang w:val="en-US" w:eastAsia="zh-CN"/>
              </w:rPr>
              <w:t>0-</w:t>
            </w:r>
            <w:r>
              <w:rPr>
                <w:rFonts w:hint="eastAsia" w:asciiTheme="minorEastAsia" w:hAnsiTheme="minorEastAsia" w:eastAsiaTheme="minorEastAsia" w:cstheme="minorEastAsia"/>
                <w:color w:val="auto"/>
                <w:spacing w:val="-7"/>
                <w:sz w:val="21"/>
                <w:szCs w:val="21"/>
                <w:highlight w:val="none"/>
              </w:rPr>
              <w:t>1 分</w:t>
            </w:r>
            <w:r>
              <w:rPr>
                <w:rFonts w:hint="eastAsia" w:asciiTheme="minorEastAsia" w:hAnsiTheme="minorEastAsia" w:eastAsiaTheme="minorEastAsia" w:cstheme="minorEastAsia"/>
                <w:color w:val="auto"/>
                <w:spacing w:val="-7"/>
                <w:sz w:val="21"/>
                <w:szCs w:val="21"/>
                <w:highlight w:val="none"/>
                <w:lang w:eastAsia="zh-CN"/>
              </w:rPr>
              <w:t>；</w:t>
            </w:r>
          </w:p>
          <w:p>
            <w:pPr>
              <w:pStyle w:val="119"/>
              <w:spacing w:before="22"/>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8、通风</w:t>
            </w:r>
            <w:r>
              <w:rPr>
                <w:rFonts w:hint="eastAsia" w:asciiTheme="minorEastAsia" w:hAnsiTheme="minorEastAsia" w:eastAsiaTheme="minorEastAsia" w:cstheme="minorEastAsia"/>
                <w:color w:val="auto"/>
                <w:spacing w:val="-7"/>
                <w:sz w:val="21"/>
                <w:szCs w:val="21"/>
                <w:highlight w:val="none"/>
                <w:lang w:eastAsia="zh-CN"/>
              </w:rPr>
              <w:t>、</w:t>
            </w:r>
            <w:r>
              <w:rPr>
                <w:rFonts w:hint="eastAsia" w:asciiTheme="minorEastAsia" w:hAnsiTheme="minorEastAsia" w:eastAsiaTheme="minorEastAsia" w:cstheme="minorEastAsia"/>
                <w:color w:val="auto"/>
                <w:spacing w:val="-7"/>
                <w:sz w:val="21"/>
                <w:szCs w:val="21"/>
                <w:highlight w:val="none"/>
              </w:rPr>
              <w:t xml:space="preserve">噪声、废液废渣控制处理措施、环境保护措施方案。 </w:t>
            </w:r>
            <w:r>
              <w:rPr>
                <w:rFonts w:hint="eastAsia" w:asciiTheme="minorEastAsia" w:hAnsiTheme="minorEastAsia" w:eastAsiaTheme="minorEastAsia" w:cstheme="minorEastAsia"/>
                <w:color w:val="auto"/>
                <w:spacing w:val="-7"/>
                <w:sz w:val="21"/>
                <w:szCs w:val="21"/>
                <w:highlight w:val="none"/>
                <w:lang w:val="en-US" w:eastAsia="zh-CN"/>
              </w:rPr>
              <w:t>0-2分</w:t>
            </w:r>
            <w:r>
              <w:rPr>
                <w:rFonts w:hint="eastAsia" w:asciiTheme="minorEastAsia" w:hAnsiTheme="minorEastAsia" w:eastAsiaTheme="minorEastAsia" w:cstheme="minorEastAsia"/>
                <w:color w:val="auto"/>
                <w:spacing w:val="-7"/>
                <w:sz w:val="21"/>
                <w:szCs w:val="21"/>
                <w:highlight w:val="none"/>
                <w:lang w:eastAsia="zh-CN"/>
              </w:rPr>
              <w:t>；</w:t>
            </w:r>
            <w:r>
              <w:rPr>
                <w:rFonts w:hint="eastAsia" w:asciiTheme="minorEastAsia" w:hAnsiTheme="minorEastAsia" w:eastAsiaTheme="minorEastAsia" w:cstheme="minorEastAsia"/>
                <w:color w:val="auto"/>
                <w:spacing w:val="-7"/>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82" w:type="dxa"/>
            <w:vMerge w:val="restart"/>
            <w:noWrap w:val="0"/>
            <w:vAlign w:val="center"/>
          </w:tcPr>
          <w:p>
            <w:pPr>
              <w:pStyle w:val="119"/>
              <w:spacing w:before="164"/>
              <w:ind w:left="11" w:right="-15"/>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商务部分</w:t>
            </w:r>
          </w:p>
          <w:p>
            <w:pPr>
              <w:pStyle w:val="119"/>
              <w:spacing w:before="164"/>
              <w:ind w:left="11" w:right="-15"/>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tc>
        <w:tc>
          <w:tcPr>
            <w:tcW w:w="2453" w:type="dxa"/>
            <w:gridSpan w:val="2"/>
            <w:noWrap w:val="0"/>
            <w:vAlign w:val="center"/>
          </w:tcPr>
          <w:p>
            <w:pPr>
              <w:pStyle w:val="119"/>
              <w:spacing w:before="164"/>
              <w:ind w:left="11" w:right="-15"/>
              <w:jc w:val="center"/>
              <w:rPr>
                <w:rFonts w:hint="eastAsia" w:asciiTheme="minorEastAsia" w:hAnsiTheme="minorEastAsia" w:eastAsiaTheme="minorEastAsia" w:cstheme="minorEastAsia"/>
                <w:color w:val="auto"/>
                <w:spacing w:val="28"/>
                <w:sz w:val="21"/>
                <w:szCs w:val="21"/>
                <w:highlight w:val="none"/>
                <w:lang w:eastAsia="zh-CN"/>
              </w:rPr>
            </w:pPr>
            <w:r>
              <w:rPr>
                <w:rFonts w:hint="eastAsia" w:asciiTheme="minorEastAsia" w:hAnsiTheme="minorEastAsia" w:eastAsiaTheme="minorEastAsia" w:cstheme="minorEastAsia"/>
                <w:color w:val="auto"/>
                <w:spacing w:val="28"/>
                <w:sz w:val="21"/>
                <w:szCs w:val="21"/>
                <w:highlight w:val="none"/>
              </w:rPr>
              <w:t>服务</w:t>
            </w:r>
            <w:r>
              <w:rPr>
                <w:rFonts w:hint="eastAsia" w:asciiTheme="minorEastAsia" w:hAnsiTheme="minorEastAsia" w:eastAsiaTheme="minorEastAsia" w:cstheme="minorEastAsia"/>
                <w:color w:val="auto"/>
                <w:spacing w:val="28"/>
                <w:sz w:val="21"/>
                <w:szCs w:val="21"/>
                <w:highlight w:val="none"/>
                <w:lang w:eastAsia="zh-CN"/>
              </w:rPr>
              <w:t>方案</w:t>
            </w:r>
          </w:p>
          <w:p>
            <w:pPr>
              <w:pStyle w:val="119"/>
              <w:spacing w:before="164"/>
              <w:ind w:left="11" w:right="-15"/>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tc>
        <w:tc>
          <w:tcPr>
            <w:tcW w:w="6304" w:type="dxa"/>
            <w:noWrap w:val="0"/>
            <w:vAlign w:val="top"/>
          </w:tcPr>
          <w:p>
            <w:pPr>
              <w:pStyle w:val="119"/>
              <w:spacing w:before="22"/>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1、针对本项目做出有利于项目实施的后续服务措施，优秀得</w:t>
            </w:r>
            <w:r>
              <w:rPr>
                <w:rFonts w:hint="eastAsia" w:asciiTheme="minorEastAsia" w:hAnsiTheme="minorEastAsia" w:eastAsiaTheme="minorEastAsia" w:cstheme="minorEastAsia"/>
                <w:color w:val="auto"/>
                <w:spacing w:val="-7"/>
                <w:sz w:val="21"/>
                <w:szCs w:val="21"/>
                <w:highlight w:val="none"/>
                <w:lang w:val="en-US" w:eastAsia="zh-CN"/>
              </w:rPr>
              <w:t>5-6</w:t>
            </w:r>
            <w:r>
              <w:rPr>
                <w:rFonts w:hint="eastAsia" w:asciiTheme="minorEastAsia" w:hAnsiTheme="minorEastAsia" w:eastAsiaTheme="minorEastAsia" w:cstheme="minorEastAsia"/>
                <w:color w:val="auto"/>
                <w:spacing w:val="-7"/>
                <w:sz w:val="21"/>
                <w:szCs w:val="21"/>
                <w:highlight w:val="none"/>
              </w:rPr>
              <w:t>分，良好得</w:t>
            </w:r>
            <w:r>
              <w:rPr>
                <w:rFonts w:hint="eastAsia" w:asciiTheme="minorEastAsia" w:hAnsiTheme="minorEastAsia" w:eastAsiaTheme="minorEastAsia" w:cstheme="minorEastAsia"/>
                <w:color w:val="auto"/>
                <w:spacing w:val="-7"/>
                <w:sz w:val="21"/>
                <w:szCs w:val="21"/>
                <w:highlight w:val="none"/>
                <w:lang w:val="en-US" w:eastAsia="zh-CN"/>
              </w:rPr>
              <w:t>3-4</w:t>
            </w:r>
            <w:r>
              <w:rPr>
                <w:rFonts w:hint="eastAsia" w:asciiTheme="minorEastAsia" w:hAnsiTheme="minorEastAsia" w:eastAsiaTheme="minorEastAsia" w:cstheme="minorEastAsia"/>
                <w:color w:val="auto"/>
                <w:spacing w:val="-7"/>
                <w:sz w:val="21"/>
                <w:szCs w:val="21"/>
                <w:highlight w:val="none"/>
              </w:rPr>
              <w:t>分，一般得</w:t>
            </w:r>
            <w:r>
              <w:rPr>
                <w:rFonts w:hint="eastAsia" w:asciiTheme="minorEastAsia" w:hAnsiTheme="minorEastAsia" w:eastAsiaTheme="minorEastAsia" w:cstheme="minorEastAsia"/>
                <w:color w:val="auto"/>
                <w:spacing w:val="-7"/>
                <w:sz w:val="21"/>
                <w:szCs w:val="21"/>
                <w:highlight w:val="none"/>
                <w:lang w:val="en-US" w:eastAsia="zh-CN"/>
              </w:rPr>
              <w:t>1-2</w:t>
            </w:r>
            <w:r>
              <w:rPr>
                <w:rFonts w:hint="eastAsia" w:asciiTheme="minorEastAsia" w:hAnsiTheme="minorEastAsia" w:eastAsiaTheme="minorEastAsia" w:cstheme="minorEastAsia"/>
                <w:color w:val="auto"/>
                <w:spacing w:val="-7"/>
                <w:sz w:val="21"/>
                <w:szCs w:val="21"/>
                <w:highlight w:val="none"/>
              </w:rPr>
              <w:t xml:space="preserve">分； </w:t>
            </w:r>
          </w:p>
          <w:p>
            <w:pPr>
              <w:pStyle w:val="57"/>
              <w:keepNext w:val="0"/>
              <w:keepLines w:val="0"/>
              <w:pageBreakBefore w:val="0"/>
              <w:widowControl w:val="0"/>
              <w:kinsoku/>
              <w:wordWrap/>
              <w:overflowPunct/>
              <w:topLinePunct w:val="0"/>
              <w:bidi w:val="0"/>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2、一般故障 2 小时修复，重大故障 24 小时内修复，保障性承诺措施详细、合理可行优秀得</w:t>
            </w:r>
            <w:r>
              <w:rPr>
                <w:rFonts w:hint="eastAsia" w:asciiTheme="minorEastAsia" w:hAnsiTheme="minorEastAsia" w:eastAsiaTheme="minorEastAsia" w:cstheme="minorEastAsia"/>
                <w:color w:val="auto"/>
                <w:spacing w:val="-7"/>
                <w:sz w:val="21"/>
                <w:szCs w:val="21"/>
                <w:highlight w:val="none"/>
                <w:lang w:val="en-US" w:eastAsia="zh-CN"/>
              </w:rPr>
              <w:t>5-6</w:t>
            </w:r>
            <w:r>
              <w:rPr>
                <w:rFonts w:hint="eastAsia" w:asciiTheme="minorEastAsia" w:hAnsiTheme="minorEastAsia" w:eastAsiaTheme="minorEastAsia" w:cstheme="minorEastAsia"/>
                <w:color w:val="auto"/>
                <w:spacing w:val="-7"/>
                <w:sz w:val="21"/>
                <w:szCs w:val="21"/>
                <w:highlight w:val="none"/>
              </w:rPr>
              <w:t>分，良好得</w:t>
            </w:r>
            <w:r>
              <w:rPr>
                <w:rFonts w:hint="eastAsia" w:asciiTheme="minorEastAsia" w:hAnsiTheme="minorEastAsia" w:eastAsiaTheme="minorEastAsia" w:cstheme="minorEastAsia"/>
                <w:color w:val="auto"/>
                <w:spacing w:val="-7"/>
                <w:sz w:val="21"/>
                <w:szCs w:val="21"/>
                <w:highlight w:val="none"/>
                <w:lang w:val="en-US" w:eastAsia="zh-CN"/>
              </w:rPr>
              <w:t>3-4</w:t>
            </w:r>
            <w:r>
              <w:rPr>
                <w:rFonts w:hint="eastAsia" w:asciiTheme="minorEastAsia" w:hAnsiTheme="minorEastAsia" w:eastAsiaTheme="minorEastAsia" w:cstheme="minorEastAsia"/>
                <w:color w:val="auto"/>
                <w:spacing w:val="-7"/>
                <w:sz w:val="21"/>
                <w:szCs w:val="21"/>
                <w:highlight w:val="none"/>
              </w:rPr>
              <w:t>分，一般得</w:t>
            </w:r>
            <w:r>
              <w:rPr>
                <w:rFonts w:hint="eastAsia" w:asciiTheme="minorEastAsia" w:hAnsiTheme="minorEastAsia" w:eastAsiaTheme="minorEastAsia" w:cstheme="minorEastAsia"/>
                <w:color w:val="auto"/>
                <w:spacing w:val="-7"/>
                <w:sz w:val="21"/>
                <w:szCs w:val="21"/>
                <w:highlight w:val="none"/>
                <w:lang w:val="en-US" w:eastAsia="zh-CN"/>
              </w:rPr>
              <w:t>1-2</w:t>
            </w:r>
            <w:r>
              <w:rPr>
                <w:rFonts w:hint="eastAsia" w:asciiTheme="minorEastAsia" w:hAnsiTheme="minorEastAsia" w:eastAsiaTheme="minorEastAsia" w:cstheme="minorEastAsia"/>
                <w:color w:val="auto"/>
                <w:spacing w:val="-7"/>
                <w:sz w:val="21"/>
                <w:szCs w:val="21"/>
                <w:highlight w:val="none"/>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9" w:hRule="atLeast"/>
          <w:jc w:val="center"/>
        </w:trPr>
        <w:tc>
          <w:tcPr>
            <w:tcW w:w="882" w:type="dxa"/>
            <w:vMerge w:val="continue"/>
            <w:noWrap w:val="0"/>
            <w:vAlign w:val="center"/>
          </w:tcPr>
          <w:p>
            <w:pPr>
              <w:pStyle w:val="119"/>
              <w:spacing w:before="164"/>
              <w:ind w:left="11" w:right="-15"/>
              <w:jc w:val="center"/>
              <w:rPr>
                <w:rFonts w:hint="eastAsia" w:asciiTheme="minorEastAsia" w:hAnsiTheme="minorEastAsia" w:eastAsiaTheme="minorEastAsia" w:cstheme="minorEastAsia"/>
                <w:color w:val="auto"/>
                <w:spacing w:val="28"/>
                <w:sz w:val="21"/>
                <w:szCs w:val="21"/>
                <w:highlight w:val="none"/>
              </w:rPr>
            </w:pPr>
          </w:p>
        </w:tc>
        <w:tc>
          <w:tcPr>
            <w:tcW w:w="2453" w:type="dxa"/>
            <w:gridSpan w:val="2"/>
            <w:noWrap w:val="0"/>
            <w:vAlign w:val="center"/>
          </w:tcPr>
          <w:p>
            <w:pPr>
              <w:pStyle w:val="57"/>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企业实力</w:t>
            </w:r>
          </w:p>
          <w:p>
            <w:pPr>
              <w:pStyle w:val="57"/>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pPr>
              <w:pStyle w:val="57"/>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1"/>
                <w:szCs w:val="21"/>
                <w:highlight w:val="none"/>
                <w:lang w:val="en-US" w:eastAsia="zh-CN"/>
              </w:rPr>
            </w:pPr>
          </w:p>
        </w:tc>
        <w:tc>
          <w:tcPr>
            <w:tcW w:w="6304" w:type="dxa"/>
            <w:noWrap w:val="0"/>
            <w:vAlign w:val="top"/>
          </w:tcPr>
          <w:p>
            <w:pPr>
              <w:pStyle w:val="119"/>
              <w:spacing w:before="22" w:line="276" w:lineRule="auto"/>
              <w:ind w:firstLine="0" w:firstLineChars="0"/>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1、投标人具有ISO900</w:t>
            </w:r>
            <w:r>
              <w:rPr>
                <w:rFonts w:hint="eastAsia" w:asciiTheme="minorEastAsia" w:hAnsiTheme="minorEastAsia" w:eastAsiaTheme="minorEastAsia" w:cstheme="minorEastAsia"/>
                <w:color w:val="auto"/>
                <w:spacing w:val="-7"/>
                <w:sz w:val="21"/>
                <w:szCs w:val="21"/>
                <w:highlight w:val="none"/>
                <w:lang w:val="en-US" w:eastAsia="zh-CN"/>
              </w:rPr>
              <w:t>1</w:t>
            </w:r>
            <w:r>
              <w:rPr>
                <w:rFonts w:hint="eastAsia" w:asciiTheme="minorEastAsia" w:hAnsiTheme="minorEastAsia" w:eastAsiaTheme="minorEastAsia" w:cstheme="minorEastAsia"/>
                <w:color w:val="auto"/>
                <w:spacing w:val="-7"/>
                <w:sz w:val="21"/>
                <w:szCs w:val="21"/>
                <w:highlight w:val="none"/>
              </w:rPr>
              <w:t xml:space="preserve">质量管理体系认证证书、ISO14001环境管理体系认证证书、ISO45001职业健康安全管理体系认证证书、GB/T31950-2015企业诚信管理体系认证证书，每有一项得一分，最高得4分。（注：须附证书扫描件，并加盖公章， 否则不得分。） </w:t>
            </w:r>
          </w:p>
          <w:p>
            <w:pPr>
              <w:pStyle w:val="119"/>
              <w:spacing w:before="22" w:line="276" w:lineRule="auto"/>
              <w:ind w:firstLine="0" w:firstLineChars="0"/>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2、投标人信用等级为AAA 级的得 2分。信用等级为AA级的得1分(提供原件扫描件或网页打印件加盖公章否则不得分）。</w:t>
            </w:r>
          </w:p>
          <w:p>
            <w:pPr>
              <w:pStyle w:val="119"/>
              <w:spacing w:before="22" w:line="276" w:lineRule="auto"/>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3、投标人或设备被列入市级及以上工业和信息化局公布的《重点工业企业名单》得</w:t>
            </w:r>
            <w:r>
              <w:rPr>
                <w:rFonts w:hint="eastAsia" w:asciiTheme="minorEastAsia" w:hAnsiTheme="minorEastAsia" w:eastAsiaTheme="minorEastAsia" w:cstheme="minorEastAsia"/>
                <w:color w:val="auto"/>
                <w:spacing w:val="-7"/>
                <w:sz w:val="21"/>
                <w:szCs w:val="21"/>
                <w:highlight w:val="none"/>
                <w:lang w:val="en-US" w:eastAsia="zh-CN"/>
              </w:rPr>
              <w:t>2</w:t>
            </w:r>
            <w:r>
              <w:rPr>
                <w:rFonts w:hint="eastAsia" w:asciiTheme="minorEastAsia" w:hAnsiTheme="minorEastAsia" w:eastAsiaTheme="minorEastAsia" w:cstheme="minorEastAsia"/>
                <w:color w:val="auto"/>
                <w:spacing w:val="-7"/>
                <w:sz w:val="21"/>
                <w:szCs w:val="21"/>
                <w:highlight w:val="none"/>
              </w:rPr>
              <w:t>分，其他情况不得分（需提供官方网站公告截图并加盖公章）。</w:t>
            </w:r>
          </w:p>
          <w:p>
            <w:pPr>
              <w:pStyle w:val="119"/>
              <w:spacing w:before="22" w:line="276" w:lineRule="auto"/>
              <w:rPr>
                <w:rFonts w:hint="eastAsia" w:asciiTheme="minorEastAsia" w:hAnsiTheme="minorEastAsia" w:eastAsiaTheme="minorEastAsia" w:cstheme="minorEastAsia"/>
                <w:color w:val="auto"/>
                <w:spacing w:val="-7"/>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rPr>
              <w:t>4、投标人或设备生产厂家具有市级及以上产品质量监督检验院出具的碟管式反渗透膜组件检测报告的得</w:t>
            </w:r>
            <w:r>
              <w:rPr>
                <w:rFonts w:hint="eastAsia" w:asciiTheme="minorEastAsia" w:hAnsiTheme="minorEastAsia" w:eastAsiaTheme="minorEastAsia" w:cstheme="minorEastAsia"/>
                <w:color w:val="auto"/>
                <w:spacing w:val="-7"/>
                <w:sz w:val="21"/>
                <w:szCs w:val="21"/>
                <w:highlight w:val="none"/>
                <w:lang w:val="en-US" w:eastAsia="zh-CN"/>
              </w:rPr>
              <w:t>2</w:t>
            </w:r>
            <w:r>
              <w:rPr>
                <w:rFonts w:hint="eastAsia" w:asciiTheme="minorEastAsia" w:hAnsiTheme="minorEastAsia" w:eastAsiaTheme="minorEastAsia" w:cstheme="minorEastAsia"/>
                <w:color w:val="auto"/>
                <w:spacing w:val="-7"/>
                <w:sz w:val="21"/>
                <w:szCs w:val="21"/>
                <w:highlight w:val="none"/>
              </w:rPr>
              <w:t>分</w:t>
            </w:r>
            <w:r>
              <w:rPr>
                <w:rFonts w:hint="eastAsia" w:asciiTheme="minorEastAsia" w:hAnsiTheme="minorEastAsia" w:eastAsiaTheme="minorEastAsia" w:cstheme="minorEastAsia"/>
                <w:color w:val="auto"/>
                <w:spacing w:val="-7"/>
                <w:sz w:val="21"/>
                <w:szCs w:val="21"/>
                <w:highlight w:val="none"/>
                <w:lang w:eastAsia="zh-CN"/>
              </w:rPr>
              <w:t>。</w:t>
            </w:r>
          </w:p>
          <w:p>
            <w:pPr>
              <w:pStyle w:val="119"/>
              <w:spacing w:before="22" w:line="276" w:lineRule="auto"/>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5、投标人或设备生产厂家被列入市级及以上重点实验室备案名单的得</w:t>
            </w:r>
            <w:r>
              <w:rPr>
                <w:rFonts w:hint="eastAsia" w:asciiTheme="minorEastAsia" w:hAnsiTheme="minorEastAsia" w:eastAsiaTheme="minorEastAsia" w:cstheme="minorEastAsia"/>
                <w:color w:val="auto"/>
                <w:spacing w:val="-7"/>
                <w:sz w:val="21"/>
                <w:szCs w:val="21"/>
                <w:highlight w:val="none"/>
                <w:lang w:val="en-US" w:eastAsia="zh-CN"/>
              </w:rPr>
              <w:t>2</w:t>
            </w:r>
            <w:r>
              <w:rPr>
                <w:rFonts w:hint="eastAsia" w:asciiTheme="minorEastAsia" w:hAnsiTheme="minorEastAsia" w:eastAsiaTheme="minorEastAsia" w:cstheme="minorEastAsia"/>
                <w:color w:val="auto"/>
                <w:spacing w:val="-7"/>
                <w:sz w:val="21"/>
                <w:szCs w:val="21"/>
                <w:highlight w:val="none"/>
              </w:rPr>
              <w:t>分。</w:t>
            </w:r>
          </w:p>
          <w:p>
            <w:pPr>
              <w:pStyle w:val="119"/>
              <w:spacing w:before="22" w:line="276" w:lineRule="auto"/>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6、投标人或设备生产厂家具有由第三方权威检测机构出具的针对投标设备关键部件碟管式反渗透（DTRO）膜柱抗腐蚀性能、耐压性能、抗拉性能及通量性能的检</w:t>
            </w:r>
            <w:r>
              <w:rPr>
                <w:rFonts w:hint="eastAsia" w:asciiTheme="minorEastAsia" w:hAnsiTheme="minorEastAsia" w:eastAsiaTheme="minorEastAsia" w:cstheme="minorEastAsia"/>
                <w:color w:val="auto"/>
                <w:spacing w:val="-7"/>
                <w:sz w:val="21"/>
                <w:szCs w:val="21"/>
                <w:highlight w:val="none"/>
                <w:lang w:val="en-US" w:eastAsia="zh-CN"/>
              </w:rPr>
              <w:t>.</w:t>
            </w:r>
            <w:r>
              <w:rPr>
                <w:rFonts w:hint="eastAsia" w:asciiTheme="minorEastAsia" w:hAnsiTheme="minorEastAsia" w:eastAsiaTheme="minorEastAsia" w:cstheme="minorEastAsia"/>
                <w:color w:val="auto"/>
                <w:spacing w:val="-7"/>
                <w:sz w:val="21"/>
                <w:szCs w:val="21"/>
                <w:highlight w:val="none"/>
              </w:rPr>
              <w:t>测报告，提供检测报告原件扫描件的得</w:t>
            </w:r>
            <w:r>
              <w:rPr>
                <w:rFonts w:hint="eastAsia" w:asciiTheme="minorEastAsia" w:hAnsiTheme="minorEastAsia" w:eastAsiaTheme="minorEastAsia" w:cstheme="minorEastAsia"/>
                <w:color w:val="auto"/>
                <w:spacing w:val="-7"/>
                <w:sz w:val="21"/>
                <w:szCs w:val="21"/>
                <w:highlight w:val="none"/>
                <w:lang w:val="en-US" w:eastAsia="zh-CN"/>
              </w:rPr>
              <w:t>2</w:t>
            </w:r>
            <w:r>
              <w:rPr>
                <w:rFonts w:hint="eastAsia" w:asciiTheme="minorEastAsia" w:hAnsiTheme="minorEastAsia" w:eastAsiaTheme="minorEastAsia" w:cstheme="minorEastAsia"/>
                <w:color w:val="auto"/>
                <w:spacing w:val="-7"/>
                <w:sz w:val="21"/>
                <w:szCs w:val="21"/>
                <w:highlight w:val="none"/>
              </w:rPr>
              <w:t>分。</w:t>
            </w:r>
          </w:p>
          <w:p>
            <w:pPr>
              <w:pStyle w:val="119"/>
              <w:spacing w:before="22" w:line="276" w:lineRule="auto"/>
              <w:rPr>
                <w:rFonts w:hint="eastAsia" w:asciiTheme="minorEastAsia" w:hAnsiTheme="minorEastAsia" w:eastAsiaTheme="minorEastAsia" w:cstheme="minorEastAsia"/>
                <w:color w:val="auto"/>
                <w:spacing w:val="-7"/>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rPr>
              <w:t>7、投标人或设备生产厂家具有国家环保产品质量监督检验中心检测报告的，得</w:t>
            </w:r>
            <w:r>
              <w:rPr>
                <w:rFonts w:hint="eastAsia" w:asciiTheme="minorEastAsia" w:hAnsiTheme="minorEastAsia" w:eastAsiaTheme="minorEastAsia" w:cstheme="minorEastAsia"/>
                <w:color w:val="auto"/>
                <w:spacing w:val="-7"/>
                <w:sz w:val="21"/>
                <w:szCs w:val="21"/>
                <w:highlight w:val="none"/>
                <w:lang w:val="en-US" w:eastAsia="zh-CN"/>
              </w:rPr>
              <w:t>2</w:t>
            </w:r>
            <w:r>
              <w:rPr>
                <w:rFonts w:hint="eastAsia" w:asciiTheme="minorEastAsia" w:hAnsiTheme="minorEastAsia" w:eastAsiaTheme="minorEastAsia" w:cstheme="minorEastAsia"/>
                <w:color w:val="auto"/>
                <w:spacing w:val="-7"/>
                <w:sz w:val="21"/>
                <w:szCs w:val="21"/>
                <w:highlight w:val="none"/>
              </w:rPr>
              <w:t>分</w:t>
            </w:r>
            <w:r>
              <w:rPr>
                <w:rFonts w:hint="eastAsia" w:asciiTheme="minorEastAsia" w:hAnsiTheme="minorEastAsia" w:eastAsiaTheme="minorEastAsia" w:cstheme="minorEastAsia"/>
                <w:color w:val="auto"/>
                <w:spacing w:val="-7"/>
                <w:sz w:val="21"/>
                <w:szCs w:val="21"/>
                <w:highlight w:val="none"/>
                <w:lang w:eastAsia="zh-CN"/>
              </w:rPr>
              <w:t>。</w:t>
            </w:r>
          </w:p>
          <w:p>
            <w:pPr>
              <w:pStyle w:val="119"/>
              <w:spacing w:before="22" w:line="276" w:lineRule="auto"/>
              <w:rPr>
                <w:rFonts w:hint="eastAsia" w:asciiTheme="minorEastAsia" w:hAnsiTheme="minorEastAsia" w:eastAsiaTheme="minorEastAsia" w:cstheme="minorEastAsia"/>
                <w:color w:val="auto"/>
                <w:spacing w:val="-7"/>
                <w:sz w:val="21"/>
                <w:szCs w:val="21"/>
                <w:highlight w:val="none"/>
                <w:lang w:val="en-US" w:eastAsia="zh-CN"/>
              </w:rPr>
            </w:pPr>
            <w:r>
              <w:rPr>
                <w:rFonts w:hint="eastAsia" w:asciiTheme="minorEastAsia" w:hAnsiTheme="minorEastAsia" w:eastAsiaTheme="minorEastAsia" w:cstheme="minorEastAsia"/>
                <w:color w:val="auto"/>
                <w:spacing w:val="-7"/>
                <w:sz w:val="21"/>
                <w:szCs w:val="21"/>
                <w:highlight w:val="none"/>
              </w:rPr>
              <w:t>8、投标人或设备生产厂家具有中国环境标志（Ⅱ型）产品认证证书的得</w:t>
            </w:r>
            <w:r>
              <w:rPr>
                <w:rFonts w:hint="eastAsia" w:asciiTheme="minorEastAsia" w:hAnsiTheme="minorEastAsia" w:eastAsiaTheme="minorEastAsia" w:cstheme="minorEastAsia"/>
                <w:color w:val="auto"/>
                <w:spacing w:val="-7"/>
                <w:sz w:val="21"/>
                <w:szCs w:val="21"/>
                <w:highlight w:val="none"/>
                <w:lang w:val="en-US" w:eastAsia="zh-CN"/>
              </w:rPr>
              <w:t>2</w:t>
            </w:r>
            <w:r>
              <w:rPr>
                <w:rFonts w:hint="eastAsia" w:asciiTheme="minorEastAsia" w:hAnsiTheme="minorEastAsia" w:eastAsiaTheme="minorEastAsia" w:cstheme="minorEastAsia"/>
                <w:color w:val="auto"/>
                <w:spacing w:val="-7"/>
                <w:sz w:val="21"/>
                <w:szCs w:val="21"/>
                <w:highlight w:val="none"/>
              </w:rPr>
              <w:t>分</w:t>
            </w:r>
            <w:r>
              <w:rPr>
                <w:rFonts w:hint="eastAsia" w:asciiTheme="minorEastAsia" w:hAnsiTheme="minorEastAsia" w:eastAsiaTheme="minorEastAsia" w:cstheme="minorEastAsia"/>
                <w:color w:val="auto"/>
                <w:spacing w:val="-7"/>
                <w:sz w:val="21"/>
                <w:szCs w:val="21"/>
                <w:highlight w:val="none"/>
                <w:lang w:eastAsia="zh-CN"/>
              </w:rPr>
              <w:t>。</w:t>
            </w:r>
          </w:p>
        </w:tc>
      </w:tr>
    </w:tbl>
    <w:p>
      <w:pPr>
        <w:pStyle w:val="109"/>
        <w:spacing w:line="540" w:lineRule="exact"/>
        <w:outlineLvl w:val="2"/>
        <w:rPr>
          <w:rFonts w:hint="eastAsia" w:asciiTheme="minorEastAsia" w:hAnsiTheme="minorEastAsia" w:eastAsiaTheme="minorEastAsia" w:cstheme="minorEastAsia"/>
          <w:b/>
          <w:bCs/>
          <w:sz w:val="21"/>
          <w:szCs w:val="21"/>
        </w:rPr>
      </w:pPr>
    </w:p>
    <w:bookmarkEnd w:id="216"/>
    <w:bookmarkEnd w:id="218"/>
    <w:bookmarkEnd w:id="219"/>
    <w:bookmarkEnd w:id="220"/>
    <w:bookmarkEnd w:id="221"/>
    <w:p>
      <w:pPr>
        <w:numPr>
          <w:ilvl w:val="0"/>
          <w:numId w:val="6"/>
        </w:numPr>
        <w:tabs>
          <w:tab w:val="left" w:pos="170"/>
          <w:tab w:val="left" w:pos="303"/>
          <w:tab w:val="left" w:pos="420"/>
        </w:tabs>
        <w:adjustRightInd w:val="0"/>
        <w:snapToGrid w:val="0"/>
        <w:spacing w:line="440" w:lineRule="exact"/>
        <w:ind w:left="0" w:firstLine="562"/>
        <w:outlineLvl w:val="1"/>
        <w:rPr>
          <w:rFonts w:hint="default" w:ascii="Times New Roman" w:hAnsi="Times New Roman" w:cs="Times New Roman"/>
          <w:b/>
          <w:sz w:val="28"/>
          <w:szCs w:val="28"/>
        </w:rPr>
      </w:pPr>
      <w:bookmarkStart w:id="222" w:name="_Toc31084"/>
      <w:bookmarkStart w:id="223" w:name="_Toc403122541"/>
      <w:bookmarkStart w:id="224" w:name="_Toc426369531"/>
      <w:r>
        <w:rPr>
          <w:rFonts w:hint="default" w:ascii="Times New Roman" w:hAnsi="Times New Roman" w:cs="Times New Roman"/>
          <w:b/>
          <w:sz w:val="28"/>
          <w:szCs w:val="28"/>
        </w:rPr>
        <w:t>评标准则和评标方法</w:t>
      </w:r>
    </w:p>
    <w:p>
      <w:pPr>
        <w:numPr>
          <w:ilvl w:val="1"/>
          <w:numId w:val="6"/>
        </w:numPr>
        <w:adjustRightInd w:val="0"/>
        <w:snapToGrid w:val="0"/>
        <w:spacing w:line="440" w:lineRule="exact"/>
        <w:ind w:left="0" w:firstLine="400"/>
        <w:rPr>
          <w:rFonts w:hint="default" w:ascii="Times New Roman" w:hAnsi="Times New Roman" w:cs="Times New Roman"/>
          <w:szCs w:val="21"/>
        </w:rPr>
      </w:pPr>
      <w:r>
        <w:rPr>
          <w:rFonts w:hint="default" w:ascii="Times New Roman" w:hAnsi="Times New Roman" w:cs="Times New Roman"/>
          <w:szCs w:val="21"/>
        </w:rPr>
        <w:t>评标过程将遵循“公平、公正、科学、择优”的原则进行。</w:t>
      </w:r>
    </w:p>
    <w:p>
      <w:pPr>
        <w:numPr>
          <w:ilvl w:val="1"/>
          <w:numId w:val="6"/>
        </w:numPr>
        <w:adjustRightInd w:val="0"/>
        <w:snapToGrid w:val="0"/>
        <w:spacing w:line="440" w:lineRule="exact"/>
        <w:ind w:left="0" w:firstLine="400"/>
        <w:rPr>
          <w:rFonts w:hint="default" w:ascii="Times New Roman" w:hAnsi="Times New Roman" w:cs="Times New Roman"/>
          <w:szCs w:val="21"/>
        </w:rPr>
      </w:pPr>
      <w:r>
        <w:rPr>
          <w:rFonts w:hint="default" w:ascii="Times New Roman" w:hAnsi="Times New Roman" w:cs="Times New Roman"/>
          <w:szCs w:val="21"/>
        </w:rPr>
        <w:t>评标将严格按照招标文件的要求和条件进行。</w:t>
      </w:r>
    </w:p>
    <w:p>
      <w:pPr>
        <w:numPr>
          <w:ilvl w:val="1"/>
          <w:numId w:val="6"/>
        </w:numPr>
        <w:adjustRightInd w:val="0"/>
        <w:snapToGrid w:val="0"/>
        <w:spacing w:line="440" w:lineRule="exact"/>
        <w:ind w:left="0" w:firstLine="400"/>
        <w:rPr>
          <w:rFonts w:hint="default" w:ascii="Times New Roman" w:hAnsi="Times New Roman" w:cs="Times New Roman"/>
          <w:szCs w:val="21"/>
        </w:rPr>
      </w:pPr>
      <w:r>
        <w:rPr>
          <w:rFonts w:hint="default" w:ascii="Times New Roman" w:hAnsi="Times New Roman" w:cs="Times New Roman"/>
          <w:szCs w:val="21"/>
        </w:rPr>
        <w:t>本次评标采用综合评分法。</w:t>
      </w:r>
    </w:p>
    <w:p>
      <w:pPr>
        <w:numPr>
          <w:ilvl w:val="0"/>
          <w:numId w:val="6"/>
        </w:numPr>
        <w:tabs>
          <w:tab w:val="left" w:pos="170"/>
          <w:tab w:val="left" w:pos="303"/>
          <w:tab w:val="left" w:pos="420"/>
        </w:tabs>
        <w:adjustRightInd w:val="0"/>
        <w:snapToGrid w:val="0"/>
        <w:spacing w:line="440" w:lineRule="exact"/>
        <w:ind w:left="0" w:firstLine="562"/>
        <w:outlineLvl w:val="1"/>
        <w:rPr>
          <w:rFonts w:hint="default" w:ascii="Times New Roman" w:hAnsi="Times New Roman" w:cs="Times New Roman"/>
          <w:b/>
          <w:sz w:val="28"/>
          <w:szCs w:val="28"/>
        </w:rPr>
      </w:pPr>
      <w:bookmarkStart w:id="225" w:name="_Toc454147539"/>
      <w:bookmarkStart w:id="226" w:name="_Toc466017208"/>
      <w:bookmarkStart w:id="227" w:name="_Toc15449"/>
      <w:bookmarkStart w:id="228" w:name="_Toc13195"/>
      <w:bookmarkStart w:id="229" w:name="_Toc465502580"/>
      <w:r>
        <w:rPr>
          <w:rFonts w:hint="default" w:ascii="Times New Roman" w:hAnsi="Times New Roman" w:cs="Times New Roman"/>
          <w:b/>
          <w:sz w:val="28"/>
          <w:szCs w:val="28"/>
        </w:rPr>
        <w:t>评审标准</w:t>
      </w:r>
      <w:bookmarkEnd w:id="225"/>
      <w:bookmarkEnd w:id="226"/>
      <w:bookmarkEnd w:id="227"/>
      <w:bookmarkEnd w:id="228"/>
      <w:bookmarkEnd w:id="229"/>
    </w:p>
    <w:p>
      <w:pPr>
        <w:numPr>
          <w:ilvl w:val="1"/>
          <w:numId w:val="6"/>
        </w:numPr>
        <w:adjustRightInd w:val="0"/>
        <w:snapToGrid w:val="0"/>
        <w:spacing w:line="440" w:lineRule="exact"/>
        <w:ind w:left="0" w:firstLine="400"/>
        <w:rPr>
          <w:rFonts w:hint="default" w:ascii="Times New Roman" w:hAnsi="Times New Roman" w:cs="Times New Roman"/>
          <w:szCs w:val="21"/>
        </w:rPr>
      </w:pPr>
      <w:r>
        <w:rPr>
          <w:rFonts w:hint="default" w:ascii="Times New Roman" w:hAnsi="Times New Roman" w:cs="Times New Roman"/>
          <w:szCs w:val="21"/>
        </w:rPr>
        <w:t>资格评审标准：详见《评分办法前附表》中资格评审标准。</w:t>
      </w:r>
    </w:p>
    <w:p>
      <w:pPr>
        <w:numPr>
          <w:ilvl w:val="1"/>
          <w:numId w:val="6"/>
        </w:numPr>
        <w:adjustRightInd w:val="0"/>
        <w:snapToGrid w:val="0"/>
        <w:spacing w:line="440" w:lineRule="exact"/>
        <w:ind w:left="0" w:firstLine="400"/>
        <w:rPr>
          <w:rFonts w:hint="default" w:ascii="Times New Roman" w:hAnsi="Times New Roman" w:cs="Times New Roman"/>
          <w:szCs w:val="21"/>
        </w:rPr>
      </w:pPr>
      <w:r>
        <w:rPr>
          <w:rFonts w:hint="default" w:ascii="Times New Roman" w:hAnsi="Times New Roman" w:cs="Times New Roman"/>
          <w:szCs w:val="21"/>
        </w:rPr>
        <w:t>评分标准：详见《评分办法前附表》报价部分、技术部分、商务部分评审因素。</w:t>
      </w:r>
    </w:p>
    <w:p>
      <w:pPr>
        <w:numPr>
          <w:ilvl w:val="0"/>
          <w:numId w:val="6"/>
        </w:numPr>
        <w:tabs>
          <w:tab w:val="left" w:pos="170"/>
          <w:tab w:val="left" w:pos="303"/>
          <w:tab w:val="left" w:pos="420"/>
        </w:tabs>
        <w:adjustRightInd w:val="0"/>
        <w:snapToGrid w:val="0"/>
        <w:spacing w:line="440" w:lineRule="exact"/>
        <w:ind w:left="0" w:firstLine="562"/>
        <w:outlineLvl w:val="1"/>
        <w:rPr>
          <w:rFonts w:hint="default" w:ascii="Times New Roman" w:hAnsi="Times New Roman" w:cs="Times New Roman"/>
          <w:b/>
          <w:sz w:val="28"/>
          <w:szCs w:val="28"/>
        </w:rPr>
      </w:pPr>
      <w:bookmarkStart w:id="230" w:name="_Toc11065"/>
      <w:r>
        <w:rPr>
          <w:rFonts w:hint="default" w:ascii="Times New Roman" w:hAnsi="Times New Roman" w:cs="Times New Roman"/>
          <w:b/>
          <w:sz w:val="28"/>
          <w:szCs w:val="28"/>
        </w:rPr>
        <w:t>评标程序</w:t>
      </w:r>
      <w:bookmarkEnd w:id="230"/>
    </w:p>
    <w:p>
      <w:pPr>
        <w:numPr>
          <w:ilvl w:val="1"/>
          <w:numId w:val="6"/>
        </w:numPr>
        <w:adjustRightInd w:val="0"/>
        <w:snapToGrid w:val="0"/>
        <w:spacing w:line="440" w:lineRule="exact"/>
        <w:ind w:left="0" w:firstLine="482"/>
        <w:rPr>
          <w:rFonts w:hint="default" w:ascii="Times New Roman" w:hAnsi="Times New Roman" w:cs="Times New Roman"/>
          <w:b/>
          <w:bCs/>
          <w:sz w:val="24"/>
        </w:rPr>
      </w:pPr>
      <w:r>
        <w:rPr>
          <w:rFonts w:hint="default" w:ascii="Times New Roman" w:hAnsi="Times New Roman" w:cs="Times New Roman"/>
          <w:b/>
          <w:bCs/>
          <w:sz w:val="24"/>
        </w:rPr>
        <w:t>初步评审</w:t>
      </w:r>
    </w:p>
    <w:p>
      <w:pPr>
        <w:numPr>
          <w:ilvl w:val="2"/>
          <w:numId w:val="6"/>
        </w:numPr>
        <w:adjustRightInd w:val="0"/>
        <w:snapToGrid w:val="0"/>
        <w:spacing w:line="440" w:lineRule="exact"/>
        <w:ind w:left="0" w:firstLine="400"/>
        <w:rPr>
          <w:rFonts w:hint="default" w:ascii="Times New Roman" w:hAnsi="Times New Roman" w:cs="Times New Roman"/>
          <w:lang w:val="zh-CN"/>
        </w:rPr>
      </w:pPr>
      <w:r>
        <w:rPr>
          <w:rFonts w:hint="default" w:ascii="Times New Roman" w:hAnsi="Times New Roman" w:cs="Times New Roman"/>
          <w:lang w:val="zh-CN"/>
        </w:rPr>
        <w:t>采购人或代理机构可以要求投标人提交第二章“投标人须知”规定的有关证明和证件的原件，以便核验。采购人或代理机构依据本章第2.1款规定的标准对投标文件进行资格评审。有一项不符合资格评审标准的，作无效投标处理。</w:t>
      </w:r>
    </w:p>
    <w:p>
      <w:pPr>
        <w:numPr>
          <w:ilvl w:val="2"/>
          <w:numId w:val="6"/>
        </w:numPr>
        <w:adjustRightInd w:val="0"/>
        <w:snapToGrid w:val="0"/>
        <w:spacing w:line="440" w:lineRule="exact"/>
        <w:ind w:left="0" w:firstLine="400"/>
        <w:rPr>
          <w:rFonts w:hint="default" w:ascii="Times New Roman" w:hAnsi="Times New Roman" w:cs="Times New Roman"/>
          <w:lang w:val="zh-CN"/>
        </w:rPr>
      </w:pPr>
      <w:r>
        <w:rPr>
          <w:rFonts w:hint="default" w:ascii="Times New Roman" w:hAnsi="Times New Roman" w:cs="Times New Roman"/>
          <w:lang w:val="zh-CN"/>
        </w:rPr>
        <w:t>投标文件属下列情况之一的，应当在资格性、符合性检查时按照无效投标处理：</w:t>
      </w:r>
    </w:p>
    <w:p>
      <w:pPr>
        <w:numPr>
          <w:ilvl w:val="0"/>
          <w:numId w:val="7"/>
        </w:numPr>
        <w:autoSpaceDE w:val="0"/>
        <w:autoSpaceDN w:val="0"/>
        <w:adjustRightInd w:val="0"/>
        <w:spacing w:line="440" w:lineRule="exact"/>
        <w:ind w:firstLine="400"/>
        <w:rPr>
          <w:rFonts w:hint="default" w:ascii="Times New Roman" w:hAnsi="Times New Roman" w:cs="Times New Roman"/>
        </w:rPr>
      </w:pPr>
      <w:r>
        <w:rPr>
          <w:rFonts w:hint="default" w:ascii="Times New Roman" w:hAnsi="Times New Roman" w:cs="Times New Roman"/>
        </w:rPr>
        <w:t>未按照招标文件规定要求盖章的；</w:t>
      </w:r>
    </w:p>
    <w:p>
      <w:pPr>
        <w:numPr>
          <w:ilvl w:val="0"/>
          <w:numId w:val="7"/>
        </w:numPr>
        <w:autoSpaceDE w:val="0"/>
        <w:autoSpaceDN w:val="0"/>
        <w:adjustRightInd w:val="0"/>
        <w:spacing w:line="440" w:lineRule="exact"/>
        <w:ind w:firstLine="400"/>
        <w:rPr>
          <w:rFonts w:hint="default" w:ascii="Times New Roman" w:hAnsi="Times New Roman" w:cs="Times New Roman"/>
        </w:rPr>
      </w:pPr>
      <w:r>
        <w:rPr>
          <w:rFonts w:hint="default" w:ascii="Times New Roman" w:hAnsi="Times New Roman" w:cs="Times New Roman"/>
        </w:rPr>
        <w:t>不具备招标文件中规定资格要求的；</w:t>
      </w:r>
    </w:p>
    <w:p>
      <w:pPr>
        <w:numPr>
          <w:ilvl w:val="0"/>
          <w:numId w:val="7"/>
        </w:numPr>
        <w:autoSpaceDE w:val="0"/>
        <w:autoSpaceDN w:val="0"/>
        <w:adjustRightInd w:val="0"/>
        <w:spacing w:line="440" w:lineRule="exact"/>
        <w:ind w:firstLine="400"/>
        <w:rPr>
          <w:rFonts w:hint="default" w:ascii="Times New Roman" w:hAnsi="Times New Roman" w:cs="Times New Roman"/>
        </w:rPr>
      </w:pPr>
      <w:r>
        <w:rPr>
          <w:rFonts w:hint="default" w:ascii="Times New Roman" w:hAnsi="Times New Roman" w:cs="Times New Roman"/>
        </w:rPr>
        <w:t>不符合法律、法规和招标文件中规定的其他实质性要求的。</w:t>
      </w:r>
    </w:p>
    <w:p>
      <w:pPr>
        <w:numPr>
          <w:ilvl w:val="2"/>
          <w:numId w:val="6"/>
        </w:numPr>
        <w:adjustRightInd w:val="0"/>
        <w:snapToGrid w:val="0"/>
        <w:spacing w:line="440" w:lineRule="exact"/>
        <w:ind w:left="0" w:firstLine="400"/>
        <w:rPr>
          <w:rFonts w:hint="default" w:ascii="Times New Roman" w:hAnsi="Times New Roman" w:cs="Times New Roman"/>
          <w:lang w:val="zh-CN"/>
        </w:rPr>
      </w:pPr>
      <w:r>
        <w:rPr>
          <w:rFonts w:hint="default" w:ascii="Times New Roman" w:hAnsi="Times New Roman" w:cs="Times New Roman"/>
          <w:lang w:val="zh-CN"/>
        </w:rPr>
        <w:t>投标报价有算数错误的，评标委员会按以下原则对投标报价进行修正，修正的价格经投标人书面确认后具有约束力。投标人不接受修正价格的，其投标作无效投标处理。</w:t>
      </w:r>
    </w:p>
    <w:p>
      <w:pPr>
        <w:numPr>
          <w:ilvl w:val="0"/>
          <w:numId w:val="8"/>
        </w:numPr>
        <w:autoSpaceDE w:val="0"/>
        <w:autoSpaceDN w:val="0"/>
        <w:adjustRightInd w:val="0"/>
        <w:spacing w:line="440" w:lineRule="exact"/>
        <w:ind w:firstLine="400"/>
        <w:rPr>
          <w:rFonts w:hint="default" w:ascii="Times New Roman" w:hAnsi="Times New Roman" w:cs="Times New Roman"/>
        </w:rPr>
      </w:pPr>
      <w:r>
        <w:rPr>
          <w:rFonts w:hint="default" w:ascii="Times New Roman" w:hAnsi="Times New Roman" w:cs="Times New Roman"/>
        </w:rPr>
        <w:t>投标文件中的大写金额与小写金额不一致的，以大写金额为准；</w:t>
      </w:r>
    </w:p>
    <w:p>
      <w:pPr>
        <w:numPr>
          <w:ilvl w:val="0"/>
          <w:numId w:val="8"/>
        </w:numPr>
        <w:autoSpaceDE w:val="0"/>
        <w:autoSpaceDN w:val="0"/>
        <w:adjustRightInd w:val="0"/>
        <w:spacing w:line="440" w:lineRule="exact"/>
        <w:ind w:firstLine="400"/>
        <w:rPr>
          <w:rFonts w:hint="default" w:ascii="Times New Roman" w:hAnsi="Times New Roman" w:cs="Times New Roman"/>
        </w:rPr>
      </w:pPr>
      <w:r>
        <w:rPr>
          <w:rFonts w:hint="default" w:ascii="Times New Roman" w:hAnsi="Times New Roman" w:cs="Times New Roman"/>
        </w:rPr>
        <w:t>投标文件中开标一览表内容与投标文件中明细表内容不一致的，以开标一览表为准。</w:t>
      </w:r>
    </w:p>
    <w:p>
      <w:pPr>
        <w:numPr>
          <w:ilvl w:val="1"/>
          <w:numId w:val="6"/>
        </w:numPr>
        <w:adjustRightInd w:val="0"/>
        <w:snapToGrid w:val="0"/>
        <w:spacing w:line="440" w:lineRule="exact"/>
        <w:ind w:left="0" w:firstLine="482"/>
        <w:rPr>
          <w:rFonts w:hint="default" w:ascii="Times New Roman" w:hAnsi="Times New Roman" w:cs="Times New Roman"/>
          <w:b/>
          <w:bCs/>
          <w:sz w:val="24"/>
        </w:rPr>
      </w:pPr>
      <w:r>
        <w:rPr>
          <w:rFonts w:hint="default" w:ascii="Times New Roman" w:hAnsi="Times New Roman" w:cs="Times New Roman"/>
          <w:b/>
          <w:bCs/>
          <w:sz w:val="24"/>
        </w:rPr>
        <w:t>详细评审</w:t>
      </w:r>
    </w:p>
    <w:p>
      <w:pPr>
        <w:numPr>
          <w:ilvl w:val="2"/>
          <w:numId w:val="6"/>
        </w:numPr>
        <w:adjustRightInd w:val="0"/>
        <w:snapToGrid w:val="0"/>
        <w:spacing w:line="440" w:lineRule="exact"/>
        <w:ind w:left="0" w:firstLine="400"/>
        <w:rPr>
          <w:rFonts w:hint="default" w:ascii="Times New Roman" w:hAnsi="Times New Roman" w:cs="Times New Roman"/>
          <w:highlight w:val="none"/>
          <w:lang w:val="zh-CN"/>
        </w:rPr>
      </w:pPr>
      <w:r>
        <w:rPr>
          <w:rFonts w:hint="default" w:ascii="Times New Roman" w:hAnsi="Times New Roman" w:cs="Times New Roman"/>
          <w:highlight w:val="none"/>
          <w:lang w:val="zh-CN"/>
        </w:rPr>
        <w:t>评标委员会按本章第2.2款的评分标准进行打分，并计算出综合评审得分。</w:t>
      </w:r>
    </w:p>
    <w:p>
      <w:pPr>
        <w:numPr>
          <w:ilvl w:val="2"/>
          <w:numId w:val="6"/>
        </w:numPr>
        <w:adjustRightInd w:val="0"/>
        <w:snapToGrid w:val="0"/>
        <w:spacing w:line="440" w:lineRule="exact"/>
        <w:ind w:left="0" w:firstLine="400"/>
        <w:rPr>
          <w:rFonts w:hint="default"/>
          <w:highlight w:val="none"/>
          <w:lang w:val="zh-CN"/>
        </w:rPr>
      </w:pPr>
      <w:r>
        <w:rPr>
          <w:rFonts w:hint="default" w:ascii="Times New Roman" w:hAnsi="Times New Roman" w:cs="Times New Roman"/>
          <w:highlight w:val="none"/>
          <w:lang w:val="zh-CN"/>
        </w:rPr>
        <w:t>评标委员会发现投标人的投标报价低于</w:t>
      </w:r>
      <w:r>
        <w:rPr>
          <w:rFonts w:hint="default" w:ascii="Times New Roman" w:hAnsi="Times New Roman" w:cs="Times New Roman"/>
          <w:highlight w:val="none"/>
        </w:rPr>
        <w:t>招标文件规定的最低</w:t>
      </w:r>
      <w:r>
        <w:rPr>
          <w:rFonts w:hint="default" w:ascii="Times New Roman" w:hAnsi="Times New Roman" w:cs="Times New Roman"/>
          <w:highlight w:val="none"/>
          <w:lang w:val="zh-CN"/>
        </w:rPr>
        <w:t>投标报价，评标委员会应按无效投标处理。</w:t>
      </w:r>
    </w:p>
    <w:p>
      <w:pPr>
        <w:numPr>
          <w:ilvl w:val="0"/>
          <w:numId w:val="0"/>
        </w:numPr>
        <w:adjustRightInd w:val="0"/>
        <w:snapToGrid w:val="0"/>
        <w:spacing w:line="440" w:lineRule="exact"/>
        <w:ind w:left="482" w:leftChars="0"/>
        <w:rPr>
          <w:rFonts w:hint="default" w:ascii="Times New Roman" w:hAnsi="Times New Roman" w:cs="Times New Roman"/>
          <w:b/>
          <w:bCs/>
          <w:sz w:val="24"/>
          <w:highlight w:val="none"/>
        </w:rPr>
      </w:pPr>
      <w:r>
        <w:rPr>
          <w:rFonts w:hint="eastAsia" w:ascii="Times New Roman" w:hAnsi="Times New Roman" w:cs="Times New Roman"/>
          <w:b/>
          <w:bCs/>
          <w:sz w:val="24"/>
          <w:highlight w:val="none"/>
          <w:lang w:val="en-US" w:eastAsia="zh-CN"/>
        </w:rPr>
        <w:t>3.3</w:t>
      </w:r>
      <w:r>
        <w:rPr>
          <w:rFonts w:hint="default" w:ascii="Times New Roman" w:hAnsi="Times New Roman" w:cs="Times New Roman"/>
          <w:b/>
          <w:bCs/>
          <w:sz w:val="24"/>
          <w:highlight w:val="none"/>
        </w:rPr>
        <w:t>投标文件的澄清和补正</w:t>
      </w:r>
    </w:p>
    <w:p>
      <w:pPr>
        <w:numPr>
          <w:ilvl w:val="0"/>
          <w:numId w:val="0"/>
        </w:numPr>
        <w:adjustRightInd w:val="0"/>
        <w:snapToGrid w:val="0"/>
        <w:spacing w:line="440" w:lineRule="exact"/>
        <w:ind w:left="400" w:leftChars="0"/>
        <w:rPr>
          <w:rFonts w:hint="default" w:ascii="Times New Roman" w:hAnsi="Times New Roman" w:cs="Times New Roman"/>
          <w:lang w:val="zh-CN"/>
        </w:rPr>
      </w:pPr>
      <w:r>
        <w:rPr>
          <w:rFonts w:hint="eastAsia" w:ascii="Times New Roman" w:hAnsi="Times New Roman" w:cs="Times New Roman"/>
          <w:lang w:val="en-US" w:eastAsia="zh-CN"/>
        </w:rPr>
        <w:t>3.3.1</w:t>
      </w:r>
      <w:r>
        <w:rPr>
          <w:rFonts w:hint="default" w:ascii="Times New Roman" w:hAnsi="Times New Roman" w:cs="Times New Roman"/>
          <w:lang w:val="zh-CN"/>
        </w:rPr>
        <w:t>在评标过程中，评标委员会可以书面形式要求投标人对所提交投标文件中不明确的内容进行书面澄清或说明，或者对细微偏差进行补正。</w:t>
      </w:r>
    </w:p>
    <w:p>
      <w:pPr>
        <w:numPr>
          <w:ilvl w:val="0"/>
          <w:numId w:val="0"/>
        </w:numPr>
        <w:adjustRightInd w:val="0"/>
        <w:snapToGrid w:val="0"/>
        <w:spacing w:line="440" w:lineRule="exact"/>
        <w:ind w:left="400" w:leftChars="0"/>
        <w:rPr>
          <w:rFonts w:hint="default" w:ascii="Times New Roman" w:hAnsi="Times New Roman" w:cs="Times New Roman"/>
          <w:lang w:val="zh-CN"/>
        </w:rPr>
      </w:pPr>
      <w:r>
        <w:rPr>
          <w:rFonts w:hint="eastAsia" w:ascii="Times New Roman" w:hAnsi="Times New Roman" w:cs="Times New Roman"/>
          <w:lang w:val="en-US" w:eastAsia="zh-CN"/>
        </w:rPr>
        <w:t>3.3.2</w:t>
      </w:r>
      <w:r>
        <w:rPr>
          <w:rFonts w:hint="default" w:ascii="Times New Roman" w:hAnsi="Times New Roman" w:cs="Times New Roman"/>
          <w:lang w:val="zh-CN"/>
        </w:rPr>
        <w:t>澄清、说明和补正不得改变投标文件的实质性内容（算术性错误修正的除外）。投标人的书面澄清、说明和补正属于投标文件的组成部分。</w:t>
      </w:r>
    </w:p>
    <w:p>
      <w:pPr>
        <w:numPr>
          <w:ilvl w:val="0"/>
          <w:numId w:val="0"/>
        </w:numPr>
        <w:adjustRightInd w:val="0"/>
        <w:snapToGrid w:val="0"/>
        <w:spacing w:line="440" w:lineRule="exact"/>
        <w:ind w:left="482" w:leftChars="0"/>
        <w:rPr>
          <w:rFonts w:hint="default" w:ascii="Times New Roman" w:hAnsi="Times New Roman" w:cs="Times New Roman"/>
          <w:b/>
          <w:bCs/>
          <w:sz w:val="24"/>
        </w:rPr>
      </w:pPr>
      <w:r>
        <w:rPr>
          <w:rFonts w:hint="eastAsia" w:ascii="Times New Roman" w:hAnsi="Times New Roman" w:cs="Times New Roman"/>
          <w:b/>
          <w:bCs/>
          <w:sz w:val="24"/>
          <w:lang w:val="en-US" w:eastAsia="zh-CN"/>
        </w:rPr>
        <w:t>3.4</w:t>
      </w:r>
      <w:r>
        <w:rPr>
          <w:rFonts w:hint="default" w:ascii="Times New Roman" w:hAnsi="Times New Roman" w:cs="Times New Roman"/>
          <w:b/>
          <w:bCs/>
          <w:sz w:val="24"/>
        </w:rPr>
        <w:t>评标结果</w:t>
      </w:r>
    </w:p>
    <w:p>
      <w:pPr>
        <w:numPr>
          <w:ilvl w:val="0"/>
          <w:numId w:val="0"/>
        </w:numPr>
        <w:adjustRightInd w:val="0"/>
        <w:snapToGrid w:val="0"/>
        <w:spacing w:line="440" w:lineRule="exact"/>
        <w:ind w:left="400" w:leftChars="0"/>
        <w:rPr>
          <w:rFonts w:hint="default" w:ascii="Times New Roman" w:hAnsi="Times New Roman" w:cs="Times New Roman"/>
          <w:lang w:val="zh-CN"/>
        </w:rPr>
      </w:pPr>
      <w:r>
        <w:rPr>
          <w:rFonts w:hint="eastAsia" w:ascii="Times New Roman" w:hAnsi="Times New Roman" w:cs="Times New Roman"/>
          <w:lang w:val="en-US" w:eastAsia="zh-CN"/>
        </w:rPr>
        <w:t>3.4.1</w:t>
      </w:r>
      <w:r>
        <w:rPr>
          <w:rFonts w:hint="default" w:ascii="Times New Roman" w:hAnsi="Times New Roman" w:cs="Times New Roman"/>
          <w:lang w:val="zh-CN"/>
        </w:rPr>
        <w:t>投标人得分=投标报价得分+商务部分得分+技术部分得分</w:t>
      </w:r>
    </w:p>
    <w:p>
      <w:pPr>
        <w:numPr>
          <w:ilvl w:val="0"/>
          <w:numId w:val="0"/>
        </w:numPr>
        <w:adjustRightInd w:val="0"/>
        <w:snapToGrid w:val="0"/>
        <w:spacing w:line="440" w:lineRule="exact"/>
        <w:ind w:left="400" w:leftChars="0"/>
        <w:rPr>
          <w:rFonts w:hint="default" w:ascii="Times New Roman" w:hAnsi="Times New Roman" w:cs="Times New Roman"/>
          <w:lang w:val="zh-CN"/>
        </w:rPr>
      </w:pPr>
      <w:r>
        <w:rPr>
          <w:rFonts w:hint="eastAsia" w:ascii="Times New Roman" w:hAnsi="Times New Roman" w:cs="Times New Roman"/>
          <w:lang w:val="en-US" w:eastAsia="zh-CN"/>
        </w:rPr>
        <w:t>3.4.2</w:t>
      </w:r>
      <w:r>
        <w:rPr>
          <w:rFonts w:hint="default" w:ascii="Times New Roman" w:hAnsi="Times New Roman" w:cs="Times New Roman"/>
          <w:lang w:val="zh-CN"/>
        </w:rPr>
        <w:t>投标人最终得分为评标委员会完成评审后所有评分的算术平均值，作为该投标人最终得分。</w:t>
      </w:r>
    </w:p>
    <w:p>
      <w:pPr>
        <w:numPr>
          <w:ilvl w:val="0"/>
          <w:numId w:val="0"/>
        </w:numPr>
        <w:adjustRightInd w:val="0"/>
        <w:snapToGrid w:val="0"/>
        <w:spacing w:line="440" w:lineRule="exact"/>
        <w:ind w:left="400" w:leftChars="0"/>
        <w:rPr>
          <w:rFonts w:hint="eastAsia" w:ascii="Times New Roman" w:hAnsi="Times New Roman" w:cs="Times New Roman"/>
          <w:lang w:val="en-US" w:eastAsia="zh-CN"/>
        </w:rPr>
      </w:pPr>
      <w:r>
        <w:rPr>
          <w:rFonts w:hint="eastAsia" w:ascii="Times New Roman" w:hAnsi="Times New Roman" w:cs="Times New Roman"/>
          <w:lang w:val="en-US" w:eastAsia="zh-CN"/>
        </w:rPr>
        <w:t>3.4.3 投标人最终得分相同的，投标报价低的优先，投标报价也相同的以技术得分高的优先，技术得分也相同的由采购人自行确定。</w:t>
      </w:r>
    </w:p>
    <w:p>
      <w:pPr>
        <w:numPr>
          <w:ilvl w:val="0"/>
          <w:numId w:val="0"/>
        </w:numPr>
        <w:adjustRightInd w:val="0"/>
        <w:snapToGrid w:val="0"/>
        <w:spacing w:line="440" w:lineRule="exact"/>
        <w:ind w:left="400" w:leftChars="0"/>
        <w:rPr>
          <w:rFonts w:hint="default" w:ascii="Times New Roman" w:hAnsi="Times New Roman" w:cs="Times New Roman"/>
          <w:lang w:val="zh-CN"/>
        </w:rPr>
      </w:pPr>
      <w:r>
        <w:rPr>
          <w:rFonts w:hint="eastAsia" w:ascii="Times New Roman" w:hAnsi="Times New Roman" w:cs="Times New Roman"/>
          <w:lang w:val="en-US" w:eastAsia="zh-CN"/>
        </w:rPr>
        <w:t>3.4.5</w:t>
      </w:r>
      <w:r>
        <w:rPr>
          <w:rFonts w:hint="default" w:ascii="Times New Roman" w:hAnsi="Times New Roman" w:cs="Times New Roman"/>
          <w:lang w:val="zh-CN"/>
        </w:rPr>
        <w:t>计分过程中按四舍五入的法则，最终结果取至小数点后两位。</w:t>
      </w:r>
    </w:p>
    <w:p>
      <w:pPr>
        <w:numPr>
          <w:ilvl w:val="0"/>
          <w:numId w:val="0"/>
        </w:numPr>
        <w:adjustRightInd w:val="0"/>
        <w:snapToGrid w:val="0"/>
        <w:spacing w:line="440" w:lineRule="exact"/>
        <w:ind w:left="400" w:leftChars="0"/>
        <w:rPr>
          <w:rFonts w:hint="default" w:ascii="Times New Roman" w:hAnsi="Times New Roman" w:cs="Times New Roman"/>
          <w:lang w:val="zh-CN"/>
        </w:rPr>
      </w:pPr>
      <w:r>
        <w:rPr>
          <w:rFonts w:hint="eastAsia" w:ascii="Times New Roman" w:hAnsi="Times New Roman" w:cs="Times New Roman"/>
          <w:lang w:val="en-US" w:eastAsia="zh-CN"/>
        </w:rPr>
        <w:t>3.4.6</w:t>
      </w:r>
      <w:r>
        <w:rPr>
          <w:rFonts w:hint="default" w:ascii="Times New Roman" w:hAnsi="Times New Roman" w:cs="Times New Roman"/>
          <w:lang w:val="zh-CN"/>
        </w:rPr>
        <w:t>评标委员会按照得分由高到低的顺序推荐</w:t>
      </w:r>
      <w:r>
        <w:rPr>
          <w:rFonts w:hint="default" w:ascii="Times New Roman" w:hAnsi="Times New Roman" w:cs="Times New Roman"/>
        </w:rPr>
        <w:t>1-3名</w:t>
      </w:r>
      <w:r>
        <w:rPr>
          <w:rFonts w:hint="default" w:ascii="Times New Roman" w:hAnsi="Times New Roman" w:cs="Times New Roman"/>
          <w:lang w:val="zh-CN"/>
        </w:rPr>
        <w:t>中标候选人。</w:t>
      </w:r>
    </w:p>
    <w:p>
      <w:pPr>
        <w:numPr>
          <w:ilvl w:val="0"/>
          <w:numId w:val="0"/>
        </w:numPr>
        <w:adjustRightInd w:val="0"/>
        <w:snapToGrid w:val="0"/>
        <w:spacing w:line="440" w:lineRule="exact"/>
        <w:ind w:left="400" w:leftChars="0"/>
        <w:rPr>
          <w:rFonts w:hint="default" w:ascii="Times New Roman" w:hAnsi="Times New Roman" w:cs="Times New Roman"/>
          <w:lang w:val="zh-CN"/>
        </w:rPr>
      </w:pPr>
      <w:r>
        <w:rPr>
          <w:rFonts w:hint="eastAsia" w:ascii="Times New Roman" w:hAnsi="Times New Roman" w:cs="Times New Roman"/>
          <w:lang w:val="en-US" w:eastAsia="zh-CN"/>
        </w:rPr>
        <w:t>3.4.7</w:t>
      </w:r>
      <w:r>
        <w:rPr>
          <w:rFonts w:hint="default" w:ascii="Times New Roman" w:hAnsi="Times New Roman" w:cs="Times New Roman"/>
          <w:lang w:val="zh-CN"/>
        </w:rPr>
        <w:t>评标委员会完成评标后，应当向招标人提交书面评标报告。</w:t>
      </w:r>
    </w:p>
    <w:p>
      <w:pPr>
        <w:numPr>
          <w:ilvl w:val="0"/>
          <w:numId w:val="0"/>
        </w:numPr>
        <w:adjustRightInd w:val="0"/>
        <w:snapToGrid w:val="0"/>
        <w:spacing w:line="440" w:lineRule="exact"/>
        <w:ind w:left="482" w:leftChars="0"/>
        <w:rPr>
          <w:rFonts w:hint="default" w:ascii="Times New Roman" w:hAnsi="Times New Roman" w:cs="Times New Roman"/>
          <w:b/>
          <w:bCs/>
          <w:sz w:val="24"/>
          <w:lang w:val="zh-CN"/>
        </w:rPr>
      </w:pPr>
      <w:r>
        <w:rPr>
          <w:rFonts w:hint="eastAsia" w:ascii="Times New Roman" w:hAnsi="Times New Roman" w:cs="Times New Roman"/>
          <w:b/>
          <w:bCs/>
          <w:sz w:val="24"/>
          <w:lang w:val="en-US" w:eastAsia="zh-CN"/>
        </w:rPr>
        <w:t>3.5</w:t>
      </w:r>
      <w:r>
        <w:rPr>
          <w:rFonts w:hint="default" w:ascii="Times New Roman" w:hAnsi="Times New Roman" w:cs="Times New Roman"/>
          <w:b/>
          <w:bCs/>
          <w:sz w:val="24"/>
          <w:lang w:val="zh-CN"/>
        </w:rPr>
        <w:t>顺延中标人或重新招标</w:t>
      </w:r>
    </w:p>
    <w:p>
      <w:pPr>
        <w:adjustRightInd w:val="0"/>
        <w:snapToGrid w:val="0"/>
        <w:spacing w:line="440" w:lineRule="exact"/>
        <w:ind w:firstLine="400"/>
        <w:rPr>
          <w:rFonts w:hint="default" w:ascii="Times New Roman" w:hAnsi="Times New Roman" w:cs="Times New Roman"/>
          <w:lang w:val="zh-CN"/>
        </w:rPr>
      </w:pPr>
      <w:r>
        <w:rPr>
          <w:rFonts w:hint="default" w:ascii="Times New Roman" w:hAnsi="Times New Roman" w:cs="Times New Roman"/>
          <w:lang w:val="zh-CN"/>
        </w:rPr>
        <w:t>中标人因不可抗力不能履行政府采购合同的，招标人可以与排位在中标人之后第一位的中标候选人签订政府采购合同，或者重新招标。</w:t>
      </w:r>
    </w:p>
    <w:p>
      <w:pPr>
        <w:numPr>
          <w:ilvl w:val="0"/>
          <w:numId w:val="0"/>
        </w:numPr>
        <w:adjustRightInd w:val="0"/>
        <w:snapToGrid w:val="0"/>
        <w:spacing w:line="440" w:lineRule="exact"/>
        <w:ind w:left="482" w:leftChars="0"/>
        <w:rPr>
          <w:rFonts w:hint="default" w:ascii="Times New Roman" w:hAnsi="Times New Roman" w:cs="Times New Roman"/>
          <w:b/>
          <w:bCs/>
          <w:sz w:val="24"/>
        </w:rPr>
      </w:pPr>
      <w:bookmarkStart w:id="231" w:name="_Toc16293"/>
      <w:bookmarkStart w:id="232" w:name="_Toc54"/>
      <w:bookmarkStart w:id="233" w:name="_Toc28863"/>
      <w:bookmarkStart w:id="234" w:name="_Toc19590"/>
      <w:bookmarkStart w:id="235" w:name="_Toc17922"/>
      <w:bookmarkStart w:id="236" w:name="_Toc11630"/>
      <w:bookmarkStart w:id="237" w:name="_Toc7468"/>
      <w:r>
        <w:rPr>
          <w:rFonts w:hint="eastAsia" w:ascii="Times New Roman" w:hAnsi="Times New Roman" w:cs="Times New Roman"/>
          <w:b/>
          <w:bCs/>
          <w:sz w:val="24"/>
          <w:lang w:val="en-US" w:eastAsia="zh-CN"/>
        </w:rPr>
        <w:t>3.6</w:t>
      </w:r>
      <w:r>
        <w:rPr>
          <w:rFonts w:hint="default" w:ascii="Times New Roman" w:hAnsi="Times New Roman" w:cs="Times New Roman"/>
          <w:b/>
          <w:bCs/>
          <w:sz w:val="24"/>
        </w:rPr>
        <w:t>保密及其他注意事项</w:t>
      </w:r>
      <w:bookmarkEnd w:id="231"/>
      <w:bookmarkEnd w:id="232"/>
      <w:bookmarkEnd w:id="233"/>
      <w:bookmarkEnd w:id="234"/>
      <w:bookmarkEnd w:id="235"/>
      <w:bookmarkEnd w:id="236"/>
      <w:bookmarkEnd w:id="237"/>
    </w:p>
    <w:p>
      <w:pPr>
        <w:numPr>
          <w:ilvl w:val="0"/>
          <w:numId w:val="0"/>
        </w:numPr>
        <w:adjustRightInd w:val="0"/>
        <w:snapToGrid w:val="0"/>
        <w:spacing w:line="440" w:lineRule="exact"/>
        <w:ind w:left="400" w:leftChars="0"/>
        <w:rPr>
          <w:rFonts w:hint="default" w:ascii="Times New Roman" w:hAnsi="Times New Roman" w:cs="Times New Roman"/>
          <w:lang w:val="zh-CN"/>
        </w:rPr>
      </w:pPr>
      <w:r>
        <w:rPr>
          <w:rFonts w:hint="eastAsia" w:ascii="Times New Roman" w:hAnsi="Times New Roman" w:cs="Times New Roman"/>
          <w:lang w:val="en-US" w:eastAsia="zh-CN"/>
        </w:rPr>
        <w:t>3.6.1</w:t>
      </w:r>
      <w:r>
        <w:rPr>
          <w:rFonts w:hint="default" w:ascii="Times New Roman" w:hAnsi="Times New Roman" w:cs="Times New Roman"/>
          <w:lang w:val="zh-CN"/>
        </w:rPr>
        <w:t>在评标期间，投标企业不得向评标委员会成员询问评标情况，不得进行旨在影响成交结果的活动。</w:t>
      </w:r>
    </w:p>
    <w:p>
      <w:pPr>
        <w:numPr>
          <w:ilvl w:val="0"/>
          <w:numId w:val="0"/>
        </w:numPr>
        <w:adjustRightInd w:val="0"/>
        <w:snapToGrid w:val="0"/>
        <w:spacing w:line="440" w:lineRule="exact"/>
        <w:ind w:left="400" w:leftChars="0"/>
        <w:rPr>
          <w:rFonts w:hint="default" w:ascii="Times New Roman" w:hAnsi="Times New Roman" w:cs="Times New Roman"/>
          <w:lang w:val="zh-CN"/>
        </w:rPr>
      </w:pPr>
      <w:r>
        <w:rPr>
          <w:rFonts w:hint="eastAsia" w:ascii="Times New Roman" w:hAnsi="Times New Roman" w:cs="Times New Roman"/>
          <w:lang w:val="en-US" w:eastAsia="zh-CN"/>
        </w:rPr>
        <w:t>3.6.2</w:t>
      </w:r>
      <w:r>
        <w:rPr>
          <w:rFonts w:hint="default" w:ascii="Times New Roman" w:hAnsi="Times New Roman" w:cs="Times New Roman"/>
          <w:lang w:val="zh-CN"/>
        </w:rPr>
        <w:t>在评标结束后，凡与评标情况有接触的任何人不得也不应将评标情况扩散出评标委员会成员之外。</w:t>
      </w:r>
    </w:p>
    <w:p>
      <w:pPr>
        <w:numPr>
          <w:ilvl w:val="0"/>
          <w:numId w:val="0"/>
        </w:numPr>
        <w:adjustRightInd w:val="0"/>
        <w:snapToGrid w:val="0"/>
        <w:spacing w:line="440" w:lineRule="exact"/>
        <w:ind w:left="400" w:leftChars="0"/>
        <w:rPr>
          <w:rFonts w:hint="default" w:ascii="Times New Roman" w:hAnsi="Times New Roman" w:cs="Times New Roman"/>
          <w:szCs w:val="21"/>
        </w:rPr>
      </w:pPr>
      <w:r>
        <w:rPr>
          <w:rFonts w:hint="eastAsia" w:ascii="Times New Roman" w:hAnsi="Times New Roman" w:cs="Times New Roman"/>
          <w:lang w:val="en-US" w:eastAsia="zh-CN"/>
        </w:rPr>
        <w:t>3.6.3</w:t>
      </w:r>
      <w:r>
        <w:rPr>
          <w:rFonts w:hint="default" w:ascii="Times New Roman" w:hAnsi="Times New Roman" w:cs="Times New Roman"/>
          <w:lang w:val="zh-CN"/>
        </w:rPr>
        <w:t>招标代理机构不向落标方解释落标原因，不退还投标文件。</w:t>
      </w:r>
    </w:p>
    <w:p>
      <w:pPr>
        <w:ind w:firstLine="400"/>
        <w:rPr>
          <w:rFonts w:hint="default" w:ascii="Times New Roman" w:hAnsi="Times New Roman" w:eastAsia="宋体" w:cs="Times New Roman"/>
        </w:rPr>
      </w:pPr>
    </w:p>
    <w:p>
      <w:pPr>
        <w:tabs>
          <w:tab w:val="left" w:pos="720"/>
        </w:tabs>
        <w:spacing w:line="440" w:lineRule="exact"/>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bCs/>
          <w:kern w:val="0"/>
          <w:szCs w:val="21"/>
        </w:rPr>
        <w:br w:type="page"/>
      </w:r>
    </w:p>
    <w:p>
      <w:pPr>
        <w:pStyle w:val="38"/>
        <w:numPr>
          <w:ilvl w:val="0"/>
          <w:numId w:val="5"/>
        </w:numPr>
        <w:spacing w:line="600" w:lineRule="exact"/>
        <w:ind w:left="0" w:leftChars="0" w:right="-63" w:rightChars="-30" w:firstLine="0" w:firstLineChars="0"/>
        <w:rPr>
          <w:rFonts w:hint="eastAsia" w:asciiTheme="minorEastAsia" w:hAnsiTheme="minorEastAsia" w:eastAsiaTheme="minorEastAsia" w:cstheme="minorEastAsia"/>
          <w:sz w:val="36"/>
          <w:szCs w:val="36"/>
        </w:rPr>
      </w:pPr>
      <w:bookmarkStart w:id="238" w:name="_Toc955"/>
      <w:r>
        <w:rPr>
          <w:rFonts w:hint="eastAsia" w:asciiTheme="minorEastAsia" w:hAnsiTheme="minorEastAsia" w:eastAsiaTheme="minorEastAsia" w:cstheme="minorEastAsia"/>
          <w:sz w:val="36"/>
          <w:szCs w:val="36"/>
        </w:rPr>
        <w:t xml:space="preserve"> 合同条款及格式</w:t>
      </w:r>
      <w:bookmarkEnd w:id="222"/>
      <w:bookmarkEnd w:id="223"/>
      <w:bookmarkEnd w:id="224"/>
      <w:bookmarkEnd w:id="238"/>
    </w:p>
    <w:p>
      <w:pPr>
        <w:numPr>
          <w:ilvl w:val="0"/>
          <w:numId w:val="0"/>
        </w:numPr>
        <w:ind w:leftChars="0"/>
        <w:jc w:val="center"/>
        <w:rPr>
          <w:rFonts w:hint="eastAsia" w:eastAsia="宋体"/>
          <w:sz w:val="24"/>
          <w:szCs w:val="24"/>
          <w:lang w:eastAsia="zh-CN"/>
        </w:rPr>
      </w:pPr>
      <w:r>
        <w:rPr>
          <w:rFonts w:hint="eastAsia"/>
          <w:sz w:val="24"/>
          <w:szCs w:val="24"/>
          <w:lang w:eastAsia="zh-CN"/>
        </w:rPr>
        <w:t>（仅供参考）</w:t>
      </w:r>
    </w:p>
    <w:p>
      <w:pPr>
        <w:spacing w:line="440" w:lineRule="exact"/>
        <w:ind w:firstLine="482"/>
        <w:rPr>
          <w:rFonts w:asciiTheme="minorEastAsia" w:hAnsiTheme="minorEastAsia" w:eastAsiaTheme="minorEastAsia" w:cstheme="minorEastAsia"/>
          <w:sz w:val="24"/>
          <w:szCs w:val="24"/>
        </w:rPr>
      </w:pPr>
      <w:bookmarkStart w:id="239" w:name="_Toc12807"/>
      <w:r>
        <w:rPr>
          <w:rFonts w:hint="eastAsia" w:asciiTheme="minorEastAsia" w:hAnsiTheme="minorEastAsia" w:eastAsiaTheme="minorEastAsia" w:cstheme="minorEastAsia"/>
          <w:sz w:val="24"/>
          <w:szCs w:val="24"/>
        </w:rPr>
        <w:t xml:space="preserve">合同名称：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合同编号：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        （以下简称 “发包人” ） 与“承包人” ）于   年  月  日商定并签署。</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一、概述 </w:t>
      </w:r>
    </w:p>
    <w:p>
      <w:pPr>
        <w:spacing w:line="440" w:lineRule="exact"/>
        <w:ind w:firstLine="48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定义： 合同文本中以下的用词及词语除根据上下文另有</w:t>
      </w:r>
      <w:r>
        <w:rPr>
          <w:rFonts w:hint="eastAsia" w:asciiTheme="minorEastAsia" w:hAnsiTheme="minorEastAsia" w:eastAsiaTheme="minorEastAsia" w:cstheme="minorEastAsia"/>
          <w:kern w:val="0"/>
          <w:sz w:val="24"/>
          <w:szCs w:val="24"/>
        </w:rPr>
        <w:t xml:space="preserve">要求外， 应具有本条所赋予的含义： </w:t>
      </w:r>
    </w:p>
    <w:p>
      <w:pPr>
        <w:spacing w:line="440" w:lineRule="exact"/>
        <w:ind w:firstLine="48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(1)合同：指本合同条款、合同协议书以及其它明确列入或合同协议书中的文件； </w:t>
      </w:r>
    </w:p>
    <w:p>
      <w:pPr>
        <w:spacing w:line="440" w:lineRule="exact"/>
        <w:ind w:firstLine="48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(2)发包人：</w:t>
      </w:r>
      <w:r>
        <w:rPr>
          <w:rFonts w:hint="eastAsia" w:asciiTheme="minorEastAsia" w:hAnsiTheme="minorEastAsia" w:eastAsiaTheme="minorEastAsia" w:cstheme="minorEastAsia"/>
          <w:sz w:val="24"/>
          <w:szCs w:val="24"/>
        </w:rPr>
        <w:t xml:space="preserve">               </w:t>
      </w:r>
    </w:p>
    <w:p>
      <w:pPr>
        <w:spacing w:line="440" w:lineRule="exact"/>
        <w:ind w:firstLine="48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(3)承包人：具有承包主体资格并被发包人接受的当事人。 </w:t>
      </w:r>
    </w:p>
    <w:p>
      <w:pPr>
        <w:spacing w:line="440" w:lineRule="exact"/>
        <w:ind w:firstLine="48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(4)投标书：指承包人为项目向发包人提供的，为项目而作的有报价的投标文件。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(5)项目名称：</w:t>
      </w:r>
      <w:r>
        <w:rPr>
          <w:rFonts w:hint="eastAsia" w:asciiTheme="minorEastAsia" w:hAnsiTheme="minorEastAsia" w:eastAsiaTheme="minorEastAsia" w:cstheme="minorEastAsia"/>
          <w:sz w:val="24"/>
          <w:szCs w:val="24"/>
        </w:rPr>
        <w:t xml:space="preserve"> </w:t>
      </w:r>
    </w:p>
    <w:p>
      <w:pPr>
        <w:spacing w:line="440" w:lineRule="exact"/>
        <w:ind w:firstLine="48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(6)合同价款： 指根据合同条款， 用以支付承包人为完成本项目有关工作应付的总金额。 </w:t>
      </w:r>
    </w:p>
    <w:p>
      <w:pPr>
        <w:spacing w:line="440" w:lineRule="exact"/>
        <w:ind w:firstLine="48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(7)不可抗力：不能预见、无法避免又不能克服的客观强制力量。 </w:t>
      </w:r>
    </w:p>
    <w:p>
      <w:pPr>
        <w:spacing w:line="440" w:lineRule="exact"/>
        <w:ind w:firstLine="48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二、项目名称及技术要求 </w:t>
      </w:r>
    </w:p>
    <w:p>
      <w:pPr>
        <w:spacing w:line="440" w:lineRule="exact"/>
        <w:ind w:firstLine="48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（1）项目名称：</w:t>
      </w:r>
    </w:p>
    <w:p>
      <w:pPr>
        <w:spacing w:line="440" w:lineRule="exact"/>
        <w:ind w:firstLine="48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（2）技术要求： </w:t>
      </w:r>
    </w:p>
    <w:p>
      <w:pPr>
        <w:spacing w:line="440" w:lineRule="exact"/>
        <w:ind w:firstLine="482"/>
        <w:rPr>
          <w:rFonts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 xml:space="preserve">三、双方责任 </w:t>
      </w:r>
    </w:p>
    <w:p>
      <w:pPr>
        <w:spacing w:line="440" w:lineRule="exact"/>
        <w:ind w:firstLine="48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3.1 发包人责任 </w:t>
      </w:r>
    </w:p>
    <w:p>
      <w:pPr>
        <w:spacing w:line="440" w:lineRule="exact"/>
        <w:ind w:firstLine="48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(1)发包人向承包人提供开展本项目所需的有关基础资料，并对提供的时间、进度和资料的可靠性负责，时间为合同签订后 5天内。 </w:t>
      </w:r>
    </w:p>
    <w:p>
      <w:pPr>
        <w:spacing w:line="440" w:lineRule="exact"/>
        <w:ind w:firstLine="48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(2)发包人应按合同规定向承包人支付合同价款； </w:t>
      </w:r>
    </w:p>
    <w:p>
      <w:pPr>
        <w:spacing w:line="440" w:lineRule="exact"/>
        <w:ind w:firstLine="48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(3)发包人负责协调本项目工作过程中与有关部门的配合问题； </w:t>
      </w:r>
    </w:p>
    <w:p>
      <w:pPr>
        <w:spacing w:line="440" w:lineRule="exact"/>
        <w:ind w:firstLine="48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3.2 承包人责任 </w:t>
      </w:r>
    </w:p>
    <w:p>
      <w:pPr>
        <w:spacing w:line="440" w:lineRule="exact"/>
        <w:ind w:firstLine="48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(1)按照国家及行业现行的标准、规程、规范、技术条例进行工作；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(2)承包人应按照合同的规定和投标书中有关服务质量方面的承诺进行合同任务的 组织和具体实施，保证服务的质量；</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(4)承包人应依据合同，接受发包人的建议、检查、确认、同意、批准或类似行为， 并不因此变更或免除承包人的责任；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(5)承包人未经发包人同意不得向第三方转让， 或用于本合同以外的任何项目。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四、合同工期 </w:t>
      </w:r>
    </w:p>
    <w:p>
      <w:pPr>
        <w:spacing w:line="440" w:lineRule="exact"/>
        <w:ind w:firstLine="482"/>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服务</w:t>
      </w:r>
      <w:r>
        <w:rPr>
          <w:rFonts w:hint="eastAsia" w:asciiTheme="minorEastAsia" w:hAnsiTheme="minorEastAsia" w:eastAsiaTheme="minorEastAsia" w:cstheme="minorEastAsia"/>
          <w:sz w:val="24"/>
          <w:szCs w:val="24"/>
        </w:rPr>
        <w:t>期：</w:t>
      </w:r>
      <w:r>
        <w:rPr>
          <w:rFonts w:hint="eastAsia" w:asciiTheme="minorEastAsia" w:hAnsiTheme="minorEastAsia" w:eastAsiaTheme="minorEastAsia" w:cstheme="minorEastAsia"/>
          <w:kern w:val="1"/>
          <w:sz w:val="24"/>
          <w:szCs w:val="24"/>
        </w:rPr>
        <w:t xml:space="preserve">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五、合同价款与支付方式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5.1 合同价款： 本项目合同价款为人民币大写： （￥       元）。 </w:t>
      </w:r>
    </w:p>
    <w:p>
      <w:pPr>
        <w:pStyle w:val="57"/>
        <w:snapToGrid w:val="0"/>
        <w:spacing w:line="560" w:lineRule="exact"/>
        <w:ind w:firstLine="480" w:firstLineChars="200"/>
        <w:rPr>
          <w:rFonts w:hint="eastAsia" w:asciiTheme="minorEastAsia" w:hAnsiTheme="minorEastAsia" w:eastAsiaTheme="minorEastAsia" w:cstheme="minorEastAsia"/>
          <w:color w:val="auto"/>
          <w:kern w:val="2"/>
          <w:sz w:val="24"/>
          <w:szCs w:val="24"/>
          <w:lang w:val="en-US" w:eastAsia="zh-CN" w:bidi="ar-SA"/>
        </w:rPr>
      </w:pPr>
      <w:r>
        <w:rPr>
          <w:rFonts w:asciiTheme="minorEastAsia" w:hAnsiTheme="minorEastAsia" w:eastAsiaTheme="minorEastAsia" w:cstheme="minorEastAsia"/>
          <w:color w:val="auto"/>
          <w:kern w:val="2"/>
          <w:sz w:val="24"/>
          <w:szCs w:val="24"/>
        </w:rPr>
        <w:t>5.2 付款方式：</w:t>
      </w:r>
      <w:r>
        <w:rPr>
          <w:rFonts w:hint="eastAsia" w:asciiTheme="minorEastAsia" w:hAnsiTheme="minorEastAsia" w:eastAsiaTheme="minorEastAsia" w:cstheme="minorEastAsia"/>
          <w:color w:val="auto"/>
          <w:kern w:val="2"/>
          <w:sz w:val="24"/>
          <w:szCs w:val="24"/>
          <w:lang w:val="en-US" w:eastAsia="zh-CN" w:bidi="ar-SA"/>
        </w:rPr>
        <w:t xml:space="preserve"> </w:t>
      </w:r>
    </w:p>
    <w:p>
      <w:pPr>
        <w:spacing w:line="440" w:lineRule="exact"/>
        <w:ind w:firstLine="482"/>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六、合同主要条款</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6.1 发包人或承包人违反合同规定造成损失的应承担违约责任；</w:t>
      </w:r>
      <w:r>
        <w:rPr>
          <w:rFonts w:hint="eastAsia" w:asciiTheme="minorEastAsia" w:hAnsiTheme="minorEastAsia" w:eastAsiaTheme="minorEastAsia" w:cstheme="minorEastAsia"/>
          <w:sz w:val="24"/>
          <w:szCs w:val="24"/>
        </w:rPr>
        <w:t xml:space="preserve">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6.2 因承包人提供的成果造成发包人损失的，由承包人继续完善成果，并按损失的大小减收服务费； </w:t>
      </w:r>
    </w:p>
    <w:p>
      <w:pPr>
        <w:spacing w:line="440" w:lineRule="exact"/>
        <w:ind w:firstLine="482"/>
        <w:rPr>
          <w:rFonts w:asciiTheme="minorEastAsia" w:hAnsiTheme="minorEastAsia" w:eastAsiaTheme="minorEastAsia" w:cstheme="minorEastAsia"/>
          <w:color w:val="C00000"/>
          <w:sz w:val="24"/>
          <w:szCs w:val="24"/>
        </w:rPr>
      </w:pPr>
      <w:r>
        <w:rPr>
          <w:rFonts w:hint="eastAsia" w:asciiTheme="minorEastAsia" w:hAnsiTheme="minorEastAsia" w:eastAsiaTheme="minorEastAsia" w:cstheme="minorEastAsia"/>
          <w:sz w:val="24"/>
          <w:szCs w:val="24"/>
        </w:rPr>
        <w:t xml:space="preserve">6.3 如由于承包人错误造成重大损失，承包人除负责采取补救措施外，应免收损失部分的服务费，并根据损失程度向发包人偿付赔偿金，赔偿金最多与免收的服务费金额相等。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6.4 发包人违约变更合同内容，未按期提交资料或提交资料错误及对所提资料作较 大修改，以致造成承包人返工或增加工作量时，双方除需另行协商签订补充合同、重新 明确有关条款外，发包人应按承包人所耗工作量向承包人支付返工费或追加工作量的补偿。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6.5 在合同履行期间，非承包人原因，发包人要求终止或解除合同，承包人不退还发包人已付的合同价款；承包人已开始服务工作的，发包人应根据承包人已进行的实际 工作量，支付价款。 </w:t>
      </w:r>
    </w:p>
    <w:p>
      <w:pPr>
        <w:spacing w:line="44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6.6合同生效后，非发包人原因承包人要求终止或解除合同，应双倍返还已付合同价款。</w:t>
      </w:r>
    </w:p>
    <w:p>
      <w:pPr>
        <w:spacing w:line="440" w:lineRule="exact"/>
        <w:ind w:firstLine="482"/>
        <w:rPr>
          <w:rFonts w:hint="eastAsia" w:asciiTheme="minorEastAsia" w:hAnsiTheme="minorEastAsia" w:eastAsiaTheme="minorEastAsia" w:cstheme="minorEastAsia"/>
          <w:sz w:val="24"/>
          <w:szCs w:val="24"/>
          <w:highlight w:val="red"/>
        </w:rPr>
      </w:pPr>
      <w:r>
        <w:rPr>
          <w:rFonts w:hint="eastAsia" w:asciiTheme="minorEastAsia" w:hAnsiTheme="minorEastAsia" w:eastAsiaTheme="minorEastAsia" w:cstheme="minorEastAsia"/>
          <w:sz w:val="24"/>
          <w:szCs w:val="24"/>
          <w:highlight w:val="none"/>
          <w:lang w:val="en-US" w:eastAsia="zh-CN"/>
        </w:rPr>
        <w:t>6.7</w:t>
      </w:r>
      <w:r>
        <w:rPr>
          <w:rFonts w:hint="eastAsia" w:asciiTheme="minorEastAsia" w:hAnsiTheme="minorEastAsia" w:eastAsiaTheme="minorEastAsia" w:cstheme="minorEastAsia"/>
          <w:sz w:val="24"/>
          <w:szCs w:val="24"/>
          <w:highlight w:val="none"/>
        </w:rPr>
        <w:t xml:space="preserve"> 履约保证金：中标价的</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七、争议与索赔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7.1 争议：发包人、承包人双方因合同发生争议时，双方应通过友好协商解决，协商不能达成协议，要求调解、仲裁、或诉讼的，可采用以下程序解决：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首先双方向上级管部门请求调解</w:t>
      </w:r>
      <w:bookmarkStart w:id="278" w:name="_GoBack"/>
      <w:bookmarkEnd w:id="278"/>
      <w:r>
        <w:rPr>
          <w:rFonts w:hint="eastAsia" w:asciiTheme="minorEastAsia" w:hAnsiTheme="minorEastAsia" w:eastAsiaTheme="minorEastAsia" w:cstheme="minorEastAsia"/>
          <w:sz w:val="24"/>
          <w:szCs w:val="24"/>
        </w:rPr>
        <w:t>，调解达不成协议的，</w:t>
      </w:r>
      <w:bookmarkStart w:id="240" w:name="page"/>
      <w:bookmarkEnd w:id="240"/>
      <w:r>
        <w:rPr>
          <w:rFonts w:hint="eastAsia" w:asciiTheme="minorEastAsia" w:hAnsiTheme="minorEastAsia" w:eastAsiaTheme="minorEastAsia" w:cstheme="minorEastAsia"/>
          <w:sz w:val="24"/>
          <w:szCs w:val="24"/>
        </w:rPr>
        <w:t xml:space="preserve">双方向有管辖权的仲 裁机关申请仲裁或直接向人民法院起诉。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仲裁费用或一切诉讼费用由败诉方承担。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仲裁及诉讼期间，发包人、承包人应继续履行合同规定的各自义务。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7.2 索赔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7.2.1 承包人可按以下规定向发包人索赔：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（1）有正当索赔理由，且有索赔事件发生时的有关证据；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（2）索赔事件发生后 20 天内，向发包人发出要求索赔的通知；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（3）发包人在接到索赔通知后 10 天内给予响应，或要求承包人进一步补充索赔理 由和证据，发包人在 10 天内未予答复，应视为该项索赔已经认可。</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7.2.2 发包人可按以下规定向承包人索赔：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（1）有正当索赔理由，且有索赔事件发生时的有关证据；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（2）索赔事件发生后 20 天内，向承包人发出要求索赔的通知；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（3）承包人在接到索赔通知后 10 天内给予响应，或要求发包人进一步补充索赔理 由或证据，承包人在 10 天内未予答复，应视为该项索赔已经认可。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八、设备、人员事故的责任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承包人应为其执行本合同所投入的设备及雇佣的全部人员承担事故责任。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九、其它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9.1 下列文件应作为本合同的组成部分：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① 本合同及补充合同（如有）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② 投标书（发包人接受的部分）；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③ 双方认为必要的其它文件。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9.2 由于不可抗力因素致使合同无法履行时，双方应及时协商解决；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9.3 本合同未尽事宜，双方可签订补充协议作为附件，补充协议与合同具有同等法律效力；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9.4 合同有效期：本合同经双方代表签字盖章后生效。</w:t>
      </w:r>
      <w:r>
        <w:rPr>
          <w:rFonts w:hint="eastAsia" w:asciiTheme="minorEastAsia" w:hAnsiTheme="minorEastAsia" w:eastAsiaTheme="minorEastAsia" w:cstheme="minorEastAsia"/>
          <w:color w:val="C00000"/>
          <w:sz w:val="24"/>
          <w:szCs w:val="24"/>
        </w:rPr>
        <w:t xml:space="preserve">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9.5 合同份数：合同正本 2 份，双方各执 1 份；副本 4 份，双方各执 2 份。 </w:t>
      </w:r>
    </w:p>
    <w:p>
      <w:pPr>
        <w:spacing w:line="44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发包人：(盖公章)  承包人：(盖公章)</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法定代表人(或授权代表)：(签名)                      法定代表人(或授权代表)：(签字)</w:t>
      </w:r>
    </w:p>
    <w:p>
      <w:pPr>
        <w:spacing w:line="44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                                         地址：</w:t>
      </w:r>
    </w:p>
    <w:p>
      <w:pPr>
        <w:spacing w:line="44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邮编：                                         邮编：</w:t>
      </w:r>
    </w:p>
    <w:p>
      <w:pPr>
        <w:spacing w:line="44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                                         传真：</w:t>
      </w:r>
    </w:p>
    <w:p>
      <w:pPr>
        <w:spacing w:line="440" w:lineRule="exact"/>
        <w:ind w:left="479" w:leftChars="22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开户行：            开户行：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账号：                                         账号：</w:t>
      </w:r>
    </w:p>
    <w:p>
      <w:pPr>
        <w:spacing w:line="440" w:lineRule="exact"/>
        <w:ind w:firstLine="480"/>
        <w:rPr>
          <w:rFonts w:asciiTheme="minorEastAsia" w:hAnsiTheme="minorEastAsia" w:eastAsiaTheme="minorEastAsia" w:cstheme="minorEastAsia"/>
          <w:sz w:val="24"/>
          <w:szCs w:val="24"/>
        </w:rPr>
      </w:pPr>
    </w:p>
    <w:p>
      <w:pPr>
        <w:spacing w:line="440" w:lineRule="exact"/>
        <w:ind w:firstLine="480"/>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签字日期:   年   月   日</w:t>
      </w:r>
    </w:p>
    <w:p>
      <w:pPr>
        <w:pStyle w:val="16"/>
        <w:rPr>
          <w:sz w:val="32"/>
          <w:szCs w:val="32"/>
        </w:rPr>
      </w:pPr>
    </w:p>
    <w:p>
      <w:pPr>
        <w:pStyle w:val="16"/>
        <w:rPr>
          <w:sz w:val="32"/>
          <w:szCs w:val="32"/>
        </w:rPr>
      </w:pPr>
    </w:p>
    <w:p>
      <w:pPr>
        <w:pStyle w:val="16"/>
        <w:rPr>
          <w:sz w:val="32"/>
          <w:szCs w:val="32"/>
        </w:rPr>
      </w:pPr>
    </w:p>
    <w:p>
      <w:pPr>
        <w:pStyle w:val="16"/>
        <w:rPr>
          <w:sz w:val="32"/>
          <w:szCs w:val="32"/>
        </w:rPr>
      </w:pPr>
    </w:p>
    <w:p>
      <w:pPr>
        <w:pStyle w:val="16"/>
        <w:jc w:val="center"/>
        <w:rPr>
          <w:b/>
          <w:bCs/>
          <w:sz w:val="32"/>
          <w:szCs w:val="32"/>
        </w:rPr>
      </w:pPr>
      <w:r>
        <w:rPr>
          <w:rFonts w:hint="eastAsia"/>
          <w:b/>
          <w:bCs/>
          <w:sz w:val="32"/>
          <w:szCs w:val="32"/>
        </w:rPr>
        <w:t>第五章 服务内容及要求</w:t>
      </w:r>
    </w:p>
    <w:bookmarkEnd w:id="239"/>
    <w:p>
      <w:pPr>
        <w:spacing w:line="440" w:lineRule="exact"/>
        <w:ind w:firstLine="482"/>
        <w:rPr>
          <w:rFonts w:hint="eastAsia" w:asciiTheme="minorEastAsia" w:hAnsiTheme="minorEastAsia" w:eastAsiaTheme="minorEastAsia" w:cstheme="minorEastAsia"/>
          <w:color w:val="auto"/>
          <w:sz w:val="24"/>
          <w:szCs w:val="24"/>
          <w:highlight w:val="none"/>
        </w:rPr>
      </w:pPr>
      <w:bookmarkStart w:id="241" w:name="_Toc403122572"/>
      <w:bookmarkStart w:id="242" w:name="_Toc426369533"/>
      <w:bookmarkStart w:id="243" w:name="_Toc7906"/>
      <w:bookmarkStart w:id="244" w:name="_Toc26235"/>
      <w:r>
        <w:rPr>
          <w:rFonts w:hint="eastAsia" w:asciiTheme="minorEastAsia" w:hAnsiTheme="minorEastAsia" w:eastAsiaTheme="minorEastAsia" w:cstheme="minorEastAsia"/>
          <w:sz w:val="24"/>
          <w:szCs w:val="24"/>
        </w:rPr>
        <w:t>（一）运行期限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运行期限为</w:t>
      </w:r>
      <w:r>
        <w:rPr>
          <w:rFonts w:hint="eastAsia" w:asciiTheme="minorEastAsia" w:hAnsiTheme="minorEastAsia" w:eastAsiaTheme="minorEastAsia" w:cstheme="minorEastAsia"/>
          <w:sz w:val="24"/>
          <w:szCs w:val="24"/>
          <w:lang w:eastAsia="zh-CN"/>
        </w:rPr>
        <w:t>十个月（自设备正常运行</w:t>
      </w:r>
      <w:r>
        <w:rPr>
          <w:rFonts w:hint="eastAsia" w:asciiTheme="minorEastAsia" w:hAnsiTheme="minorEastAsia" w:eastAsiaTheme="minorEastAsia" w:cstheme="minorEastAsia"/>
          <w:sz w:val="24"/>
          <w:szCs w:val="24"/>
          <w:highlight w:val="none"/>
          <w:lang w:eastAsia="zh-CN"/>
        </w:rPr>
        <w:t>，达标排放</w:t>
      </w:r>
      <w:r>
        <w:rPr>
          <w:rFonts w:hint="eastAsia" w:asciiTheme="minorEastAsia" w:hAnsiTheme="minorEastAsia" w:eastAsiaTheme="minorEastAsia" w:cstheme="minorEastAsia"/>
          <w:color w:val="auto"/>
          <w:sz w:val="24"/>
          <w:szCs w:val="24"/>
          <w:highlight w:val="none"/>
          <w:lang w:eastAsia="zh-CN"/>
        </w:rPr>
        <w:t>开始计算日期）</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预计</w:t>
      </w:r>
      <w:r>
        <w:rPr>
          <w:rFonts w:hint="eastAsia" w:asciiTheme="minorEastAsia" w:hAnsiTheme="minorEastAsia" w:eastAsiaTheme="minorEastAsia" w:cstheme="minorEastAsia"/>
          <w:color w:val="auto"/>
          <w:sz w:val="24"/>
          <w:szCs w:val="24"/>
          <w:highlight w:val="none"/>
        </w:rPr>
        <w:t>从202</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月开始至202</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12月</w:t>
      </w:r>
      <w:r>
        <w:rPr>
          <w:rFonts w:hint="eastAsia" w:asciiTheme="minorEastAsia" w:hAnsiTheme="minorEastAsia" w:eastAsiaTheme="minorEastAsia" w:cstheme="minorEastAsia"/>
          <w:color w:val="auto"/>
          <w:sz w:val="24"/>
          <w:szCs w:val="24"/>
          <w:highlight w:val="none"/>
        </w:rPr>
        <w:t>结束。</w:t>
      </w:r>
    </w:p>
    <w:p>
      <w:pPr>
        <w:spacing w:line="440" w:lineRule="exact"/>
        <w:ind w:firstLine="48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二</w:t>
      </w:r>
      <w:r>
        <w:rPr>
          <w:rFonts w:hint="eastAsia" w:asciiTheme="minorEastAsia" w:hAnsiTheme="minorEastAsia" w:eastAsiaTheme="minorEastAsia" w:cstheme="minorEastAsia"/>
          <w:sz w:val="24"/>
          <w:szCs w:val="24"/>
          <w:highlight w:val="none"/>
        </w:rPr>
        <w:t>）服务要求：具有渗滤液处理设备和工艺技术，具有相应的专业技术队伍和经营管理经验。</w:t>
      </w:r>
    </w:p>
    <w:p>
      <w:pPr>
        <w:spacing w:line="44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在运行期限十一个月内处理垃圾渗滤液原液50000吨，中水产生量不低于70%，总出水量不低于35000吨。需在规定时间内建成投用。</w:t>
      </w:r>
    </w:p>
    <w:p>
      <w:pPr>
        <w:spacing w:line="44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必须按照《城市生活垃圾卫生填埋处理技术规范》（GB 50869-2013）渗滤液处理相关技术要求进行处理，出水满足生活垃圾填埋场污染控制标准（GB 16889-2008）表二标准后排放。</w:t>
      </w:r>
    </w:p>
    <w:p>
      <w:pPr>
        <w:spacing w:line="44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）中标企业权益</w:t>
      </w:r>
    </w:p>
    <w:p>
      <w:pPr>
        <w:spacing w:line="44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博爱县城市管理局管理和协调中标企业的博爱县垃圾处理场渗滤液处理设备及运行提标改造项目的具体实施。由公开招投标产生的中标企业享有以下权益:</w:t>
      </w:r>
    </w:p>
    <w:p>
      <w:pPr>
        <w:spacing w:line="44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1、项目建设用地位于现垃圾处理场内，中标人无偿使用。</w:t>
      </w:r>
    </w:p>
    <w:p>
      <w:pPr>
        <w:spacing w:line="44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2、现正在运行的垃圾渗滤液处理设备可以共用的部分，由城管局负责协调相关事宜。</w:t>
      </w:r>
    </w:p>
    <w:p>
      <w:pPr>
        <w:spacing w:line="44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sz w:val="24"/>
          <w:szCs w:val="24"/>
        </w:rPr>
        <w:t>）中标企业承诺以下义务：</w:t>
      </w:r>
    </w:p>
    <w:p>
      <w:pPr>
        <w:spacing w:line="44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1、设备土建及安装工程由中标人负责，并在规定期限内完成项目建成并投入运营，否则无条件退出，履约保证金不予退还。</w:t>
      </w:r>
    </w:p>
    <w:p>
      <w:pPr>
        <w:spacing w:line="44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2、必须按照《城市生活垃圾卫生填埋处理技术规范》（GB 50869-2013）渗滤液处理相关技术要求进行处理，出水满足生活垃圾填埋场污染控制标准（GB 16889-2008）表二标准后排放。</w:t>
      </w:r>
    </w:p>
    <w:p>
      <w:pPr>
        <w:spacing w:line="44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3、城管部门负责对运行情况组织考核，环保部门负责对排放进行监管，中标企业须无条件配合。</w:t>
      </w:r>
    </w:p>
    <w:p>
      <w:pPr>
        <w:spacing w:line="440" w:lineRule="exact"/>
        <w:ind w:firstLine="482"/>
        <w:rPr>
          <w:rFonts w:hint="eastAsia" w:asciiTheme="minorEastAsia" w:hAnsiTheme="minorEastAsia" w:eastAsiaTheme="minorEastAsia" w:cstheme="minorEastAsia"/>
          <w:sz w:val="24"/>
          <w:szCs w:val="24"/>
        </w:rPr>
      </w:pPr>
    </w:p>
    <w:p>
      <w:pPr>
        <w:pStyle w:val="38"/>
        <w:spacing w:line="600" w:lineRule="exact"/>
        <w:ind w:right="-63" w:rightChars="-30"/>
        <w:rPr>
          <w:rFonts w:hint="eastAsia" w:asciiTheme="minorEastAsia" w:hAnsiTheme="minorEastAsia" w:eastAsiaTheme="minorEastAsia" w:cstheme="minorEastAsia"/>
          <w:sz w:val="36"/>
          <w:szCs w:val="36"/>
          <w:highlight w:val="red"/>
        </w:rPr>
      </w:pPr>
    </w:p>
    <w:p>
      <w:pPr>
        <w:pStyle w:val="38"/>
        <w:spacing w:line="600" w:lineRule="exact"/>
        <w:ind w:right="-63" w:rightChars="-30"/>
        <w:rPr>
          <w:rFonts w:hint="eastAsia" w:asciiTheme="minorEastAsia" w:hAnsiTheme="minorEastAsia" w:eastAsiaTheme="minorEastAsia" w:cstheme="minorEastAsia"/>
          <w:sz w:val="36"/>
          <w:szCs w:val="36"/>
        </w:rPr>
      </w:pPr>
    </w:p>
    <w:p>
      <w:pPr>
        <w:pStyle w:val="38"/>
        <w:spacing w:line="600" w:lineRule="exact"/>
        <w:ind w:right="-63" w:rightChars="-30"/>
        <w:rPr>
          <w:rFonts w:hint="eastAsia" w:asciiTheme="minorEastAsia" w:hAnsiTheme="minorEastAsia" w:eastAsiaTheme="minorEastAsia" w:cstheme="minorEastAsia"/>
          <w:sz w:val="36"/>
          <w:szCs w:val="36"/>
        </w:rPr>
      </w:pPr>
    </w:p>
    <w:p>
      <w:pPr>
        <w:pStyle w:val="38"/>
        <w:spacing w:line="600" w:lineRule="exact"/>
        <w:ind w:right="-63" w:rightChars="-30"/>
        <w:rPr>
          <w:rFonts w:hint="eastAsia" w:asciiTheme="minorEastAsia" w:hAnsiTheme="minorEastAsia" w:eastAsiaTheme="minorEastAsia" w:cstheme="minorEastAsia"/>
          <w:sz w:val="36"/>
          <w:szCs w:val="36"/>
        </w:rPr>
      </w:pPr>
    </w:p>
    <w:p>
      <w:pPr>
        <w:pStyle w:val="38"/>
        <w:spacing w:line="600" w:lineRule="exact"/>
        <w:ind w:right="-63" w:rightChars="-30"/>
        <w:rPr>
          <w:rFonts w:hint="eastAsia" w:asciiTheme="minorEastAsia" w:hAnsiTheme="minorEastAsia" w:eastAsiaTheme="minorEastAsia" w:cstheme="minorEastAsia"/>
          <w:sz w:val="36"/>
          <w:szCs w:val="36"/>
        </w:rPr>
      </w:pPr>
    </w:p>
    <w:p>
      <w:pPr>
        <w:pStyle w:val="38"/>
        <w:spacing w:line="600" w:lineRule="exact"/>
        <w:ind w:right="-63" w:rightChars="-3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第六章  投标文件格式</w:t>
      </w:r>
      <w:bookmarkEnd w:id="241"/>
      <w:bookmarkEnd w:id="242"/>
      <w:bookmarkEnd w:id="243"/>
      <w:bookmarkEnd w:id="244"/>
    </w:p>
    <w:p>
      <w:pPr>
        <w:rPr>
          <w:rFonts w:asciiTheme="minorEastAsia" w:hAnsiTheme="minorEastAsia" w:eastAsiaTheme="minorEastAsia" w:cstheme="minorEastAsia"/>
        </w:rPr>
      </w:pPr>
      <w:bookmarkStart w:id="245" w:name="_Toc402961301"/>
      <w:bookmarkStart w:id="246" w:name="_Toc403122573"/>
      <w:bookmarkStart w:id="247" w:name="_Toc18905"/>
      <w:bookmarkStart w:id="248" w:name="_Toc27452"/>
      <w:r>
        <w:rPr>
          <w:rFonts w:hint="eastAsia" w:asciiTheme="minorEastAsia" w:hAnsiTheme="minorEastAsia" w:eastAsiaTheme="minorEastAsia" w:cstheme="minorEastAsia"/>
        </w:rPr>
        <w:t xml:space="preserve">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z w:val="28"/>
          <w:szCs w:val="28"/>
        </w:rPr>
        <w:t xml:space="preserve"> 正本/副本</w:t>
      </w:r>
      <w:bookmarkEnd w:id="245"/>
      <w:bookmarkEnd w:id="246"/>
      <w:bookmarkEnd w:id="247"/>
      <w:bookmarkEnd w:id="248"/>
    </w:p>
    <w:p>
      <w:pPr>
        <w:pStyle w:val="38"/>
        <w:outlineLvl w:val="9"/>
        <w:rPr>
          <w:rFonts w:asciiTheme="minorEastAsia" w:hAnsiTheme="minorEastAsia" w:eastAsiaTheme="minorEastAsia" w:cstheme="minorEastAsia"/>
          <w:kern w:val="44"/>
          <w:sz w:val="24"/>
          <w:szCs w:val="24"/>
        </w:rPr>
      </w:pPr>
    </w:p>
    <w:p>
      <w:pPr>
        <w:pStyle w:val="38"/>
        <w:outlineLvl w:val="9"/>
        <w:rPr>
          <w:rFonts w:asciiTheme="minorEastAsia" w:hAnsiTheme="minorEastAsia" w:eastAsiaTheme="minorEastAsia" w:cstheme="minorEastAsia"/>
          <w:kern w:val="44"/>
          <w:sz w:val="24"/>
          <w:szCs w:val="24"/>
        </w:rPr>
      </w:pPr>
    </w:p>
    <w:p>
      <w:pPr>
        <w:spacing w:line="360" w:lineRule="auto"/>
        <w:ind w:firstLine="2208" w:firstLineChars="611"/>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u w:val="single"/>
        </w:rPr>
        <w:t xml:space="preserve">                   </w:t>
      </w:r>
      <w:r>
        <w:rPr>
          <w:rFonts w:hint="eastAsia" w:asciiTheme="minorEastAsia" w:hAnsiTheme="minorEastAsia" w:eastAsiaTheme="minorEastAsia" w:cstheme="minorEastAsia"/>
          <w:b/>
          <w:sz w:val="36"/>
          <w:szCs w:val="36"/>
        </w:rPr>
        <w:t>（项目名称）</w:t>
      </w:r>
    </w:p>
    <w:p>
      <w:pPr>
        <w:spacing w:line="360" w:lineRule="auto"/>
        <w:jc w:val="center"/>
        <w:rPr>
          <w:rFonts w:asciiTheme="minorEastAsia" w:hAnsiTheme="minorEastAsia" w:eastAsiaTheme="minorEastAsia" w:cstheme="minorEastAsia"/>
          <w:b/>
          <w:sz w:val="32"/>
          <w:szCs w:val="32"/>
        </w:rPr>
      </w:pPr>
    </w:p>
    <w:p>
      <w:pPr>
        <w:spacing w:line="360" w:lineRule="auto"/>
        <w:jc w:val="center"/>
        <w:rPr>
          <w:rFonts w:asciiTheme="minorEastAsia" w:hAnsiTheme="minorEastAsia" w:eastAsiaTheme="minorEastAsia" w:cstheme="minorEastAsia"/>
          <w:b/>
          <w:spacing w:val="24"/>
          <w:kern w:val="10"/>
          <w:sz w:val="52"/>
          <w:szCs w:val="52"/>
        </w:rPr>
      </w:pPr>
      <w:r>
        <w:rPr>
          <w:rFonts w:hint="eastAsia" w:asciiTheme="minorEastAsia" w:hAnsiTheme="minorEastAsia" w:eastAsiaTheme="minorEastAsia" w:cstheme="minorEastAsia"/>
          <w:b/>
          <w:spacing w:val="24"/>
          <w:kern w:val="10"/>
          <w:sz w:val="52"/>
          <w:szCs w:val="52"/>
        </w:rPr>
        <w:t>投  标  文  件</w:t>
      </w: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（封面）</w:t>
      </w:r>
    </w:p>
    <w:p>
      <w:pPr>
        <w:jc w:val="center"/>
        <w:rPr>
          <w:rFonts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采购编号：</w:t>
      </w:r>
    </w:p>
    <w:p>
      <w:pPr>
        <w:jc w:val="cente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b/>
          <w:sz w:val="24"/>
        </w:rPr>
      </w:pPr>
    </w:p>
    <w:p>
      <w:pPr>
        <w:pStyle w:val="23"/>
        <w:spacing w:line="600" w:lineRule="exact"/>
        <w:ind w:left="1050" w:leftChars="500" w:firstLine="128" w:firstLineChars="50"/>
        <w:rPr>
          <w:rFonts w:hint="default" w:asciiTheme="minorEastAsia" w:hAnsiTheme="minorEastAsia" w:eastAsiaTheme="minorEastAsia" w:cstheme="minorEastAsia"/>
          <w:sz w:val="24"/>
        </w:rPr>
      </w:pPr>
      <w:r>
        <w:rPr>
          <w:rFonts w:asciiTheme="minorEastAsia" w:hAnsiTheme="minorEastAsia" w:eastAsiaTheme="minorEastAsia" w:cstheme="minorEastAsia"/>
          <w:spacing w:val="8"/>
          <w:sz w:val="24"/>
        </w:rPr>
        <w:t>供  应  商：</w:t>
      </w:r>
      <w:r>
        <w:rPr>
          <w:rFonts w:asciiTheme="minorEastAsia" w:hAnsiTheme="minorEastAsia" w:eastAsiaTheme="minorEastAsia" w:cstheme="minorEastAsia"/>
          <w:spacing w:val="8"/>
          <w:sz w:val="24"/>
          <w:u w:val="single"/>
        </w:rPr>
        <w:t xml:space="preserve">                             </w:t>
      </w:r>
      <w:r>
        <w:rPr>
          <w:rFonts w:asciiTheme="minorEastAsia" w:hAnsiTheme="minorEastAsia" w:eastAsiaTheme="minorEastAsia" w:cstheme="minorEastAsia"/>
          <w:sz w:val="24"/>
        </w:rPr>
        <w:t>（单位公章）</w:t>
      </w:r>
    </w:p>
    <w:p>
      <w:pPr>
        <w:pStyle w:val="23"/>
        <w:spacing w:line="600" w:lineRule="exact"/>
        <w:ind w:left="1050" w:leftChars="500" w:firstLine="120" w:firstLineChars="5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法定代表人或</w:t>
      </w:r>
      <w:r>
        <w:rPr>
          <w:rFonts w:asciiTheme="minorEastAsia" w:hAnsiTheme="minorEastAsia" w:eastAsiaTheme="minorEastAsia" w:cstheme="minorEastAsia"/>
          <w:spacing w:val="12"/>
          <w:sz w:val="24"/>
        </w:rPr>
        <w:t>委托代理人：</w:t>
      </w:r>
      <w:r>
        <w:rPr>
          <w:rFonts w:asciiTheme="minorEastAsia" w:hAnsiTheme="minorEastAsia" w:eastAsiaTheme="minorEastAsia" w:cstheme="minorEastAsia"/>
          <w:spacing w:val="12"/>
          <w:sz w:val="24"/>
          <w:u w:val="single"/>
        </w:rPr>
        <w:t xml:space="preserve">                 </w:t>
      </w:r>
      <w:r>
        <w:rPr>
          <w:rFonts w:asciiTheme="minorEastAsia" w:hAnsiTheme="minorEastAsia" w:eastAsiaTheme="minorEastAsia" w:cstheme="minorEastAsia"/>
          <w:sz w:val="24"/>
        </w:rPr>
        <w:t xml:space="preserve">（签字或盖章）  </w:t>
      </w:r>
    </w:p>
    <w:p>
      <w:pPr>
        <w:pStyle w:val="23"/>
        <w:spacing w:line="600" w:lineRule="exact"/>
        <w:ind w:left="1050" w:leftChars="500" w:firstLine="120" w:firstLineChars="50"/>
        <w:rPr>
          <w:rFonts w:hint="default" w:asciiTheme="minorEastAsia" w:hAnsiTheme="minorEastAsia" w:eastAsiaTheme="minorEastAsia" w:cstheme="minorEastAsia"/>
          <w:b/>
          <w:bCs/>
          <w:sz w:val="28"/>
          <w:szCs w:val="28"/>
        </w:rPr>
      </w:pPr>
      <w:r>
        <w:rPr>
          <w:rFonts w:asciiTheme="minorEastAsia" w:hAnsiTheme="minorEastAsia" w:eastAsiaTheme="minorEastAsia" w:cstheme="minorEastAsia"/>
          <w:sz w:val="24"/>
        </w:rPr>
        <w:t>日       期：       年    月    日</w:t>
      </w:r>
    </w:p>
    <w:p>
      <w:pPr>
        <w:ind w:firstLine="540" w:firstLineChars="192"/>
        <w:jc w:val="center"/>
        <w:rPr>
          <w:rFonts w:asciiTheme="minorEastAsia" w:hAnsiTheme="minorEastAsia" w:eastAsiaTheme="minorEastAsia" w:cstheme="minorEastAsia"/>
          <w:b/>
          <w:bCs/>
          <w:sz w:val="28"/>
          <w:szCs w:val="28"/>
        </w:rPr>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44"/>
          <w:szCs w:val="44"/>
        </w:rPr>
        <w:t>目    录</w:t>
      </w:r>
    </w:p>
    <w:p>
      <w:pPr>
        <w:spacing w:line="500" w:lineRule="exact"/>
        <w:jc w:val="center"/>
        <w:outlineLvl w:val="1"/>
        <w:rPr>
          <w:rFonts w:asciiTheme="minorEastAsia" w:hAnsiTheme="minorEastAsia" w:eastAsiaTheme="minorEastAsia" w:cstheme="minorEastAsia"/>
          <w:b/>
          <w:bCs/>
          <w:sz w:val="28"/>
          <w:szCs w:val="28"/>
        </w:rPr>
      </w:pPr>
      <w:bookmarkStart w:id="249" w:name="_Toc31547"/>
      <w:r>
        <w:rPr>
          <w:rFonts w:asciiTheme="minorEastAsia" w:hAnsiTheme="minorEastAsia" w:eastAsiaTheme="minorEastAsia" w:cstheme="minorEastAsia"/>
          <w:szCs w:val="21"/>
        </w:rPr>
        <w:t>（自拟）</w:t>
      </w:r>
      <w:r>
        <w:rPr>
          <w:rFonts w:hint="eastAsia" w:asciiTheme="minorEastAsia" w:hAnsiTheme="minorEastAsia" w:eastAsiaTheme="minorEastAsia" w:cstheme="minorEastAsia"/>
          <w:szCs w:val="21"/>
        </w:rPr>
        <w:br w:type="page"/>
      </w:r>
      <w:bookmarkStart w:id="250" w:name="_Toc1921"/>
      <w:r>
        <w:rPr>
          <w:rFonts w:hint="eastAsia" w:asciiTheme="minorEastAsia" w:hAnsiTheme="minorEastAsia" w:eastAsiaTheme="minorEastAsia" w:cstheme="minorEastAsia"/>
          <w:b/>
          <w:bCs/>
          <w:sz w:val="30"/>
          <w:szCs w:val="30"/>
        </w:rPr>
        <w:t>一、投标函</w:t>
      </w:r>
      <w:bookmarkEnd w:id="249"/>
      <w:r>
        <w:rPr>
          <w:rFonts w:hint="eastAsia" w:asciiTheme="minorEastAsia" w:hAnsiTheme="minorEastAsia" w:eastAsiaTheme="minorEastAsia" w:cstheme="minorEastAsia"/>
          <w:b/>
          <w:bCs/>
          <w:sz w:val="30"/>
          <w:szCs w:val="30"/>
        </w:rPr>
        <w:t>及开标一览表</w:t>
      </w:r>
      <w:bookmarkEnd w:id="250"/>
    </w:p>
    <w:p>
      <w:pPr>
        <w:jc w:val="center"/>
        <w:outlineLvl w:val="2"/>
        <w:rPr>
          <w:rFonts w:asciiTheme="minorEastAsia" w:hAnsiTheme="minorEastAsia" w:eastAsiaTheme="minorEastAsia" w:cstheme="minorEastAsia"/>
          <w:b/>
          <w:bCs/>
          <w:sz w:val="28"/>
        </w:rPr>
      </w:pPr>
      <w:bookmarkStart w:id="251" w:name="_Toc27218"/>
      <w:bookmarkStart w:id="252" w:name="_Toc600"/>
      <w:bookmarkStart w:id="253" w:name="_Toc12044"/>
      <w:r>
        <w:rPr>
          <w:rFonts w:hint="eastAsia" w:asciiTheme="minorEastAsia" w:hAnsiTheme="minorEastAsia" w:eastAsiaTheme="minorEastAsia" w:cstheme="minorEastAsia"/>
          <w:b/>
          <w:sz w:val="28"/>
          <w:szCs w:val="28"/>
        </w:rPr>
        <w:t>（一）投标函</w:t>
      </w:r>
      <w:bookmarkEnd w:id="251"/>
      <w:bookmarkEnd w:id="252"/>
      <w:bookmarkEnd w:id="253"/>
    </w:p>
    <w:p>
      <w:pPr>
        <w:spacing w:line="44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（采购人名称）： </w:t>
      </w:r>
    </w:p>
    <w:p>
      <w:pPr>
        <w:numPr>
          <w:ilvl w:val="0"/>
          <w:numId w:val="9"/>
        </w:numPr>
        <w:tabs>
          <w:tab w:val="clear" w:pos="825"/>
        </w:tabs>
        <w:spacing w:line="440" w:lineRule="exact"/>
        <w:ind w:left="-105" w:firstLine="508"/>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szCs w:val="21"/>
        </w:rPr>
        <w:t xml:space="preserve"> 我方已仔细研究了</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highlight w:val="none"/>
        </w:rPr>
        <w:t>名称）招标文件的全部内容，对本项目愿意以以人民币（大写）</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color w:val="0000FF"/>
          <w:szCs w:val="21"/>
          <w:highlight w:val="none"/>
          <w:u w:val="single"/>
        </w:rPr>
        <w:t xml:space="preserve">   </w:t>
      </w:r>
      <w:r>
        <w:rPr>
          <w:rFonts w:hint="eastAsia" w:ascii="宋体" w:hAnsi="宋体" w:cs="宋体"/>
          <w:color w:val="auto"/>
          <w:kern w:val="0"/>
          <w:sz w:val="24"/>
          <w:highlight w:val="none"/>
        </w:rPr>
        <w:t>元/吨</w:t>
      </w:r>
      <w:r>
        <w:rPr>
          <w:rFonts w:hint="eastAsia" w:ascii="宋体" w:hAnsi="宋体" w:cs="宋体"/>
          <w:color w:val="auto"/>
          <w:kern w:val="0"/>
          <w:sz w:val="24"/>
          <w:highlight w:val="none"/>
          <w:lang w:val="en-US" w:eastAsia="zh-CN"/>
        </w:rPr>
        <w:t xml:space="preserve"> </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r>
        <w:rPr>
          <w:rFonts w:hint="eastAsia" w:ascii="宋体" w:hAnsi="宋体" w:cs="宋体"/>
          <w:color w:val="auto"/>
          <w:kern w:val="0"/>
          <w:sz w:val="24"/>
          <w:highlight w:val="none"/>
        </w:rPr>
        <w:t>元/吨</w:t>
      </w:r>
      <w:r>
        <w:rPr>
          <w:rFonts w:hint="eastAsia" w:ascii="宋体" w:hAnsi="宋体" w:cs="宋体"/>
          <w:color w:val="auto"/>
          <w:kern w:val="0"/>
          <w:sz w:val="24"/>
          <w:highlight w:val="none"/>
          <w:lang w:val="en-US" w:eastAsia="zh-CN"/>
        </w:rPr>
        <w:t xml:space="preserve"> </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为投标</w:t>
      </w:r>
      <w:r>
        <w:rPr>
          <w:rFonts w:hint="eastAsia" w:asciiTheme="minorEastAsia" w:hAnsiTheme="minorEastAsia" w:eastAsiaTheme="minorEastAsia" w:cstheme="minorEastAsia"/>
          <w:color w:val="auto"/>
          <w:szCs w:val="21"/>
          <w:highlight w:val="none"/>
        </w:rPr>
        <w:t>报价</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highlight w:val="none"/>
          <w:lang w:eastAsia="zh-CN"/>
        </w:rPr>
        <w:t>运行期限</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，按合同约定实施和完成本项目。 </w:t>
      </w:r>
    </w:p>
    <w:p>
      <w:pPr>
        <w:numPr>
          <w:ilvl w:val="0"/>
          <w:numId w:val="9"/>
        </w:numPr>
        <w:tabs>
          <w:tab w:val="left" w:pos="840"/>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我方承诺我公司完全满足《中华人民共和国政府采购法》第二十二条之各项规定，如果我们的投标文件被接受，我们将履行招标文件中规定的各项要求，按期、按质、按量完成中标项目。</w:t>
      </w:r>
    </w:p>
    <w:p>
      <w:pPr>
        <w:numPr>
          <w:ilvl w:val="0"/>
          <w:numId w:val="9"/>
        </w:numPr>
        <w:tabs>
          <w:tab w:val="left" w:pos="840"/>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我方承诺在投标有效期内不修改、撤销投标文件。</w:t>
      </w:r>
    </w:p>
    <w:p>
      <w:pPr>
        <w:numPr>
          <w:ilvl w:val="0"/>
          <w:numId w:val="9"/>
        </w:numPr>
        <w:tabs>
          <w:tab w:val="left" w:pos="840"/>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如我方中标： </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（1）我方承诺在收到中标通知书后，在中标通知书规定的期限内与你方签订合同。</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（2）随同本投标函递交的投标函附录属于合同文件的组成部分。 </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（3）我方承诺按照招标文件规定向你方递交履约保证金。 </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（4）我们将根据招标文件的规定，严格按照《合同法》履行自己的责任和义务,并保证于投标报价表中规定的时间交货使用，否则我们的履约保证金将被贵方没收。</w:t>
      </w:r>
    </w:p>
    <w:p>
      <w:pPr>
        <w:numPr>
          <w:ilvl w:val="0"/>
          <w:numId w:val="9"/>
        </w:numPr>
        <w:tabs>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我方在此声明，所递交的投标文件及有关资料内容完整、真实和准确。 </w:t>
      </w:r>
    </w:p>
    <w:p>
      <w:pPr>
        <w:spacing w:line="440" w:lineRule="exact"/>
        <w:ind w:left="105"/>
        <w:rPr>
          <w:rFonts w:asciiTheme="minorEastAsia" w:hAnsiTheme="minorEastAsia" w:eastAsiaTheme="minorEastAsia" w:cstheme="minorEastAsia"/>
          <w:szCs w:val="21"/>
        </w:rPr>
      </w:pPr>
    </w:p>
    <w:p>
      <w:pPr>
        <w:spacing w:line="440" w:lineRule="exact"/>
        <w:ind w:left="105"/>
        <w:rPr>
          <w:rFonts w:asciiTheme="minorEastAsia" w:hAnsiTheme="minorEastAsia" w:eastAsiaTheme="minorEastAsia" w:cstheme="minorEastAsia"/>
          <w:szCs w:val="21"/>
        </w:rPr>
      </w:pP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  标  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（盖企业公章）</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法定代表人或其委托代理人：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rPr>
        <w:t>签字或盖章）</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w:t>
      </w:r>
      <w:r>
        <w:rPr>
          <w:rFonts w:hint="eastAsia" w:asciiTheme="minorEastAsia" w:hAnsiTheme="minorEastAsia" w:eastAsiaTheme="minorEastAsia" w:cstheme="minorEastAsia"/>
          <w:szCs w:val="21"/>
          <w:u w:val="single"/>
        </w:rPr>
        <w:t xml:space="preserve">                                      </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网址：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邮政编码：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440" w:lineRule="exact"/>
        <w:ind w:left="2625" w:leftChars="1250"/>
        <w:rPr>
          <w:rFonts w:asciiTheme="minorEastAsia" w:hAnsiTheme="minorEastAsia" w:eastAsiaTheme="minorEastAsia" w:cstheme="minorEastAsia"/>
          <w:sz w:val="24"/>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r>
        <w:rPr>
          <w:rFonts w:hint="eastAsia" w:asciiTheme="minorEastAsia" w:hAnsiTheme="minorEastAsia" w:eastAsiaTheme="minorEastAsia" w:cstheme="minorEastAsia"/>
          <w:sz w:val="24"/>
        </w:rPr>
        <w:t xml:space="preserve"> </w:t>
      </w:r>
    </w:p>
    <w:p>
      <w:pPr>
        <w:spacing w:line="400" w:lineRule="exact"/>
        <w:ind w:left="2625" w:leftChars="1250"/>
        <w:rPr>
          <w:rFonts w:asciiTheme="minorEastAsia" w:hAnsiTheme="minorEastAsia" w:eastAsiaTheme="minorEastAsia" w:cstheme="minorEastAsia"/>
          <w:sz w:val="24"/>
        </w:rPr>
      </w:pPr>
    </w:p>
    <w:p>
      <w:pPr>
        <w:spacing w:line="400" w:lineRule="exact"/>
        <w:ind w:left="2625" w:leftChars="1250"/>
        <w:rPr>
          <w:rFonts w:asciiTheme="minorEastAsia" w:hAnsiTheme="minorEastAsia" w:eastAsiaTheme="minorEastAsia" w:cstheme="minorEastAsia"/>
          <w:sz w:val="24"/>
        </w:rPr>
      </w:pPr>
    </w:p>
    <w:p>
      <w:pPr>
        <w:spacing w:line="500" w:lineRule="exact"/>
        <w:jc w:val="center"/>
        <w:outlineLvl w:val="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bookmarkStart w:id="254" w:name="_Toc9543"/>
      <w:bookmarkStart w:id="255" w:name="_Toc208"/>
      <w:bookmarkStart w:id="256" w:name="_Toc14778"/>
      <w:r>
        <w:rPr>
          <w:rFonts w:hint="eastAsia" w:asciiTheme="minorEastAsia" w:hAnsiTheme="minorEastAsia" w:eastAsiaTheme="minorEastAsia" w:cstheme="minorEastAsia"/>
          <w:b/>
          <w:bCs/>
          <w:sz w:val="28"/>
          <w:szCs w:val="28"/>
        </w:rPr>
        <w:t>（二） 开标一览表</w:t>
      </w:r>
      <w:bookmarkEnd w:id="254"/>
      <w:bookmarkEnd w:id="255"/>
      <w:bookmarkEnd w:id="256"/>
    </w:p>
    <w:p>
      <w:pPr>
        <w:jc w:val="center"/>
        <w:rPr>
          <w:rFonts w:asciiTheme="minorEastAsia" w:hAnsiTheme="minorEastAsia" w:eastAsiaTheme="minorEastAsia" w:cstheme="minorEastAsia"/>
          <w:b/>
          <w:bCs/>
          <w:sz w:val="28"/>
        </w:rPr>
      </w:pPr>
    </w:p>
    <w:tbl>
      <w:tblPr>
        <w:tblStyle w:val="42"/>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hint="eastAsia" w:ascii="宋体" w:hAnsi="宋体" w:cs="宋体"/>
                <w:kern w:val="0"/>
                <w:sz w:val="24"/>
                <w:lang w:val="en-US" w:eastAsia="zh-CN"/>
              </w:rPr>
            </w:pPr>
            <w:r>
              <w:rPr>
                <w:rFonts w:hint="eastAsia" w:ascii="宋体" w:hAnsi="宋体" w:cs="宋体"/>
                <w:kern w:val="0"/>
                <w:sz w:val="24"/>
                <w:lang w:val="en-US" w:eastAsia="zh-CN"/>
              </w:rPr>
              <w:t>项目名称</w:t>
            </w:r>
          </w:p>
        </w:tc>
        <w:tc>
          <w:tcPr>
            <w:tcW w:w="5898" w:type="dxa"/>
            <w:vAlign w:val="center"/>
          </w:tcPr>
          <w:p>
            <w:pPr>
              <w:pStyle w:val="19"/>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hint="eastAsia" w:ascii="宋体" w:hAnsi="宋体" w:cs="宋体"/>
                <w:kern w:val="0"/>
                <w:sz w:val="24"/>
                <w:lang w:val="en-US" w:eastAsia="zh-CN"/>
              </w:rPr>
            </w:pPr>
            <w:r>
              <w:rPr>
                <w:rFonts w:hint="eastAsia" w:ascii="宋体" w:hAnsi="宋体" w:cs="宋体"/>
                <w:kern w:val="0"/>
                <w:sz w:val="24"/>
                <w:lang w:val="en-US" w:eastAsia="zh-CN"/>
              </w:rPr>
              <w:t>投 标 人</w:t>
            </w:r>
          </w:p>
        </w:tc>
        <w:tc>
          <w:tcPr>
            <w:tcW w:w="5898" w:type="dxa"/>
            <w:vAlign w:val="center"/>
          </w:tcPr>
          <w:p>
            <w:pPr>
              <w:pStyle w:val="19"/>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投标报价</w:t>
            </w:r>
          </w:p>
        </w:tc>
        <w:tc>
          <w:tcPr>
            <w:tcW w:w="5898" w:type="dxa"/>
            <w:vAlign w:val="center"/>
          </w:tcPr>
          <w:p>
            <w:pPr>
              <w:pStyle w:val="19"/>
              <w:spacing w:line="400" w:lineRule="exact"/>
              <w:ind w:firstLine="480"/>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 xml:space="preserve">（大写）    </w:t>
            </w:r>
            <w:r>
              <w:rPr>
                <w:rFonts w:hint="eastAsia" w:ascii="宋体" w:hAnsi="宋体" w:cs="宋体"/>
                <w:color w:val="auto"/>
                <w:kern w:val="0"/>
                <w:sz w:val="24"/>
              </w:rPr>
              <w:t>元/吨</w:t>
            </w:r>
            <w:r>
              <w:rPr>
                <w:rFonts w:hint="eastAsia" w:ascii="宋体" w:hAnsi="宋体" w:cs="宋体"/>
                <w:color w:val="auto"/>
                <w:kern w:val="0"/>
                <w:sz w:val="24"/>
                <w:lang w:val="en-US" w:eastAsia="zh-CN"/>
              </w:rPr>
              <w:t xml:space="preserve"> </w:t>
            </w:r>
            <w:r>
              <w:rPr>
                <w:rFonts w:hint="eastAsia" w:asciiTheme="minorEastAsia" w:hAnsiTheme="minorEastAsia" w:eastAsiaTheme="minorEastAsia" w:cstheme="minorEastAsia"/>
                <w:color w:val="auto"/>
                <w:sz w:val="24"/>
                <w:szCs w:val="20"/>
                <w:highlight w:val="none"/>
              </w:rPr>
              <w:t xml:space="preserve">                            </w:t>
            </w:r>
          </w:p>
          <w:p>
            <w:pPr>
              <w:pStyle w:val="19"/>
              <w:spacing w:line="400" w:lineRule="exact"/>
              <w:ind w:firstLine="480"/>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（小写）</w:t>
            </w:r>
            <w:r>
              <w:rPr>
                <w:rFonts w:hint="eastAsia" w:asciiTheme="minorEastAsia" w:hAnsiTheme="minorEastAsia" w:eastAsiaTheme="minorEastAsia" w:cstheme="minorEastAsia"/>
                <w:color w:val="auto"/>
                <w:sz w:val="24"/>
                <w:szCs w:val="20"/>
                <w:highlight w:val="none"/>
                <w:lang w:val="en-US" w:eastAsia="zh-CN"/>
              </w:rPr>
              <w:t xml:space="preserve">    </w:t>
            </w:r>
            <w:r>
              <w:rPr>
                <w:rFonts w:hint="eastAsia" w:ascii="宋体" w:hAnsi="宋体" w:cs="宋体"/>
                <w:color w:val="auto"/>
                <w:kern w:val="0"/>
                <w:sz w:val="24"/>
              </w:rPr>
              <w:t>元/吨</w:t>
            </w:r>
            <w:r>
              <w:rPr>
                <w:rFonts w:hint="eastAsia" w:ascii="宋体" w:hAnsi="宋体" w:cs="宋体"/>
                <w:color w:val="auto"/>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hint="eastAsia" w:ascii="宋体" w:hAnsi="宋体" w:cs="宋体"/>
                <w:kern w:val="0"/>
                <w:sz w:val="24"/>
                <w:lang w:val="en-US" w:eastAsia="zh-CN"/>
              </w:rPr>
            </w:pPr>
            <w:r>
              <w:rPr>
                <w:rFonts w:hint="eastAsia" w:ascii="宋体" w:hAnsi="宋体" w:cs="宋体"/>
                <w:kern w:val="0"/>
                <w:sz w:val="24"/>
                <w:lang w:val="en-US" w:eastAsia="zh-CN"/>
              </w:rPr>
              <w:t>质量标准</w:t>
            </w:r>
          </w:p>
        </w:tc>
        <w:tc>
          <w:tcPr>
            <w:tcW w:w="5898" w:type="dxa"/>
            <w:vAlign w:val="center"/>
          </w:tcPr>
          <w:p>
            <w:pPr>
              <w:pStyle w:val="19"/>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hint="eastAsia" w:ascii="宋体" w:hAnsi="宋体" w:cs="宋体"/>
                <w:kern w:val="0"/>
                <w:sz w:val="24"/>
                <w:lang w:val="en-US" w:eastAsia="zh-CN"/>
              </w:rPr>
            </w:pPr>
            <w:r>
              <w:rPr>
                <w:rFonts w:hint="eastAsia" w:ascii="宋体" w:hAnsi="宋体" w:cs="宋体"/>
                <w:color w:val="000000" w:themeColor="text1"/>
                <w:kern w:val="0"/>
                <w:sz w:val="24"/>
                <w:szCs w:val="24"/>
                <w:highlight w:val="none"/>
                <w:lang w:val="en-US" w:eastAsia="zh-CN" w:bidi="ar-SA"/>
              </w:rPr>
              <w:t>运行</w:t>
            </w:r>
            <w:r>
              <w:rPr>
                <w:rFonts w:hint="eastAsia" w:ascii="宋体" w:hAnsi="宋体" w:eastAsia="宋体" w:cs="宋体"/>
                <w:color w:val="000000" w:themeColor="text1"/>
                <w:kern w:val="0"/>
                <w:sz w:val="24"/>
                <w:szCs w:val="24"/>
                <w:lang w:val="en-US" w:eastAsia="zh-CN" w:bidi="ar-SA"/>
              </w:rPr>
              <w:t>期</w:t>
            </w:r>
            <w:r>
              <w:rPr>
                <w:rFonts w:hint="eastAsia" w:ascii="宋体" w:hAnsi="宋体" w:eastAsia="宋体" w:cs="宋体"/>
                <w:kern w:val="0"/>
                <w:sz w:val="24"/>
                <w:szCs w:val="24"/>
                <w:lang w:val="en-US" w:eastAsia="zh-CN" w:bidi="ar-SA"/>
              </w:rPr>
              <w:t>限</w:t>
            </w:r>
          </w:p>
        </w:tc>
        <w:tc>
          <w:tcPr>
            <w:tcW w:w="5898" w:type="dxa"/>
            <w:vAlign w:val="center"/>
          </w:tcPr>
          <w:p>
            <w:pPr>
              <w:pStyle w:val="19"/>
              <w:spacing w:line="400" w:lineRule="exact"/>
              <w:ind w:firstLine="480"/>
              <w:rPr>
                <w:rFonts w:asciiTheme="minorEastAsia" w:hAnsiTheme="minorEastAsia" w:eastAsiaTheme="minorEastAsia" w:cstheme="minorEastAsia"/>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hint="eastAsia" w:ascii="宋体" w:hAnsi="宋体" w:cs="宋体"/>
                <w:kern w:val="0"/>
                <w:sz w:val="24"/>
                <w:lang w:val="en-US" w:eastAsia="zh-CN"/>
              </w:rPr>
            </w:pPr>
            <w:r>
              <w:rPr>
                <w:rFonts w:hint="eastAsia" w:ascii="宋体" w:hAnsi="宋体" w:cs="宋体"/>
                <w:kern w:val="0"/>
                <w:sz w:val="24"/>
                <w:lang w:val="en-US" w:eastAsia="zh-CN"/>
              </w:rPr>
              <w:t>投标有效期</w:t>
            </w:r>
          </w:p>
        </w:tc>
        <w:tc>
          <w:tcPr>
            <w:tcW w:w="5898" w:type="dxa"/>
            <w:vAlign w:val="center"/>
          </w:tcPr>
          <w:p>
            <w:pPr>
              <w:pStyle w:val="19"/>
              <w:spacing w:line="400" w:lineRule="exact"/>
              <w:ind w:firstLine="480"/>
              <w:rPr>
                <w:rFonts w:asciiTheme="minorEastAsia" w:hAnsiTheme="minorEastAsia" w:eastAsiaTheme="minorEastAsia" w:cstheme="minorEastAsia"/>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pStyle w:val="19"/>
              <w:spacing w:line="400" w:lineRule="exact"/>
              <w:ind w:firstLine="48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备注：</w:t>
            </w:r>
          </w:p>
        </w:tc>
        <w:tc>
          <w:tcPr>
            <w:tcW w:w="5898" w:type="dxa"/>
            <w:vAlign w:val="center"/>
          </w:tcPr>
          <w:p>
            <w:pPr>
              <w:pStyle w:val="19"/>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19"/>
              <w:spacing w:line="400" w:lineRule="exact"/>
              <w:ind w:firstLine="480"/>
              <w:rPr>
                <w:rFonts w:asciiTheme="minorEastAsia" w:hAnsiTheme="minorEastAsia" w:eastAsiaTheme="minorEastAsia" w:cstheme="minorEastAsia"/>
                <w:sz w:val="24"/>
                <w:szCs w:val="20"/>
              </w:rPr>
            </w:pPr>
          </w:p>
        </w:tc>
      </w:tr>
    </w:tbl>
    <w:p>
      <w:pPr>
        <w:spacing w:line="360" w:lineRule="exact"/>
        <w:jc w:val="right"/>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供应商：（单位公章）</w:t>
      </w: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w:t>
      </w:r>
      <w:r>
        <w:rPr>
          <w:rFonts w:hint="eastAsia" w:asciiTheme="minorEastAsia" w:hAnsiTheme="minorEastAsia" w:eastAsiaTheme="minorEastAsia" w:cstheme="minorEastAsia"/>
          <w:sz w:val="24"/>
          <w:szCs w:val="20"/>
        </w:rPr>
        <w:t>或其委托代理人</w:t>
      </w:r>
      <w:r>
        <w:rPr>
          <w:rFonts w:hint="eastAsia" w:asciiTheme="minorEastAsia" w:hAnsiTheme="minorEastAsia" w:eastAsiaTheme="minorEastAsia" w:cstheme="minorEastAsia"/>
          <w:sz w:val="24"/>
        </w:rPr>
        <w:t>：（签字或盖章）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     年   月   日</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17"/>
        <w:rPr>
          <w:rFonts w:asciiTheme="minorEastAsia" w:hAnsiTheme="minorEastAsia" w:eastAsiaTheme="minorEastAsia" w:cstheme="minorEastAsia"/>
          <w:sz w:val="24"/>
        </w:rPr>
      </w:pPr>
    </w:p>
    <w:p>
      <w:pPr>
        <w:pStyle w:val="38"/>
        <w:spacing w:before="120" w:after="120" w:line="500" w:lineRule="exact"/>
        <w:ind w:right="29" w:rightChars="14"/>
        <w:outlineLvl w:val="1"/>
        <w:rPr>
          <w:rFonts w:asciiTheme="minorEastAsia" w:hAnsiTheme="minorEastAsia" w:eastAsiaTheme="minorEastAsia" w:cstheme="minorEastAsia"/>
          <w:sz w:val="24"/>
        </w:rPr>
      </w:pPr>
    </w:p>
    <w:p>
      <w:pPr>
        <w:pStyle w:val="38"/>
        <w:spacing w:before="120" w:after="120" w:line="500" w:lineRule="exact"/>
        <w:ind w:right="29" w:rightChars="14"/>
        <w:outlineLvl w:val="1"/>
        <w:rPr>
          <w:rFonts w:asciiTheme="minorEastAsia" w:hAnsiTheme="minorEastAsia" w:eastAsiaTheme="minorEastAsia" w:cstheme="minorEastAsia"/>
          <w:sz w:val="24"/>
        </w:rPr>
      </w:pPr>
    </w:p>
    <w:p>
      <w:pPr>
        <w:pStyle w:val="38"/>
        <w:spacing w:before="120" w:after="120" w:line="500" w:lineRule="exact"/>
        <w:ind w:right="29" w:rightChars="14"/>
        <w:outlineLvl w:val="1"/>
        <w:rPr>
          <w:rFonts w:asciiTheme="minorEastAsia" w:hAnsiTheme="minorEastAsia" w:eastAsiaTheme="minorEastAsia" w:cstheme="minorEastAsia"/>
          <w:sz w:val="24"/>
        </w:rPr>
      </w:pPr>
    </w:p>
    <w:p>
      <w:pPr>
        <w:pStyle w:val="38"/>
        <w:spacing w:before="120" w:after="120" w:line="500" w:lineRule="exact"/>
        <w:ind w:right="29" w:rightChars="14"/>
        <w:outlineLvl w:val="1"/>
        <w:rPr>
          <w:rFonts w:asciiTheme="minorEastAsia" w:hAnsiTheme="minorEastAsia" w:eastAsiaTheme="minorEastAsia" w:cstheme="minorEastAsia"/>
          <w:sz w:val="24"/>
        </w:rPr>
      </w:pPr>
    </w:p>
    <w:p>
      <w:pPr>
        <w:pStyle w:val="38"/>
        <w:spacing w:before="120" w:after="120" w:line="500" w:lineRule="exact"/>
        <w:ind w:right="29" w:rightChars="14"/>
        <w:outlineLvl w:val="1"/>
        <w:rPr>
          <w:rFonts w:asciiTheme="minorEastAsia" w:hAnsiTheme="minorEastAsia" w:eastAsiaTheme="minorEastAsia" w:cstheme="minorEastAsia"/>
          <w:sz w:val="30"/>
          <w:szCs w:val="30"/>
        </w:rPr>
      </w:pPr>
      <w:bookmarkStart w:id="257" w:name="_Toc5614"/>
      <w:bookmarkStart w:id="258" w:name="_Toc2213"/>
      <w:r>
        <w:rPr>
          <w:rFonts w:hint="eastAsia" w:asciiTheme="minorEastAsia" w:hAnsiTheme="minorEastAsia" w:eastAsiaTheme="minorEastAsia" w:cstheme="minorEastAsia"/>
          <w:sz w:val="30"/>
          <w:szCs w:val="30"/>
        </w:rPr>
        <w:t>二、法定代表人身份证明书</w:t>
      </w:r>
      <w:bookmarkEnd w:id="257"/>
      <w:bookmarkEnd w:id="258"/>
    </w:p>
    <w:p>
      <w:pPr>
        <w:spacing w:line="440" w:lineRule="exact"/>
        <w:jc w:val="center"/>
        <w:rPr>
          <w:rFonts w:asciiTheme="minorEastAsia" w:hAnsiTheme="minorEastAsia" w:eastAsiaTheme="minorEastAsia" w:cstheme="minorEastAsia"/>
          <w:sz w:val="24"/>
        </w:rPr>
      </w:pP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供应商名称：________________________________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单位性质：__________________________________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    址：________________________________ </w:t>
      </w:r>
      <w:r>
        <w:rPr>
          <w:rFonts w:hint="eastAsia" w:asciiTheme="minorEastAsia" w:hAnsiTheme="minorEastAsia" w:eastAsiaTheme="minorEastAsia" w:cstheme="minorEastAsia"/>
          <w:sz w:val="24"/>
          <w:u w:val="single"/>
        </w:rPr>
        <w:t xml:space="preserve">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r>
        <w:rPr>
          <w:rFonts w:hint="eastAsia" w:asciiTheme="minorEastAsia" w:hAnsiTheme="minorEastAsia" w:eastAsiaTheme="minorEastAsia" w:cstheme="minorEastAsia"/>
          <w:sz w:val="24"/>
          <w:u w:val="single"/>
        </w:rPr>
        <w:t xml:space="preserve">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性别：</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职务：</w:t>
      </w:r>
      <w:r>
        <w:rPr>
          <w:rFonts w:hint="eastAsia" w:asciiTheme="minorEastAsia" w:hAnsiTheme="minorEastAsia" w:eastAsiaTheme="minorEastAsia" w:cstheme="minorEastAsia"/>
          <w:sz w:val="24"/>
          <w:u w:val="single"/>
        </w:rPr>
        <w:t xml:space="preserve">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（供应商单位名称）的法定代表人。</w:t>
      </w:r>
    </w:p>
    <w:p>
      <w:pPr>
        <w:spacing w:line="440" w:lineRule="exact"/>
        <w:ind w:left="718" w:leftChars="342"/>
        <w:rPr>
          <w:rFonts w:asciiTheme="minorEastAsia" w:hAnsiTheme="minorEastAsia" w:eastAsiaTheme="minorEastAsia" w:cstheme="minorEastAsia"/>
          <w:sz w:val="24"/>
        </w:rPr>
      </w:pPr>
    </w:p>
    <w:p>
      <w:pPr>
        <w:spacing w:line="440" w:lineRule="exact"/>
        <w:ind w:left="718" w:leftChars="342"/>
        <w:rPr>
          <w:rFonts w:asciiTheme="minorEastAsia" w:hAnsiTheme="minorEastAsia" w:eastAsiaTheme="minorEastAsia" w:cstheme="minorEastAsia"/>
          <w:sz w:val="24"/>
        </w:rPr>
      </w:pPr>
    </w:p>
    <w:p>
      <w:pPr>
        <w:spacing w:line="44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供应商：</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（盖单位公章）</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pStyle w:val="38"/>
        <w:spacing w:before="120" w:after="120" w:line="500" w:lineRule="exact"/>
        <w:ind w:right="29" w:rightChars="14"/>
        <w:outlineLvl w:val="1"/>
        <w:rPr>
          <w:rFonts w:asciiTheme="minorEastAsia" w:hAnsiTheme="minorEastAsia" w:eastAsiaTheme="minorEastAsia" w:cstheme="minorEastAsia"/>
          <w:sz w:val="30"/>
          <w:szCs w:val="30"/>
        </w:rPr>
      </w:pPr>
      <w:bookmarkStart w:id="259" w:name="_Toc6009"/>
      <w:r>
        <w:rPr>
          <w:rFonts w:hint="eastAsia" w:asciiTheme="minorEastAsia" w:hAnsiTheme="minorEastAsia" w:eastAsiaTheme="minorEastAsia" w:cstheme="minorEastAsia"/>
          <w:sz w:val="30"/>
          <w:szCs w:val="30"/>
        </w:rPr>
        <w:br w:type="page"/>
      </w:r>
      <w:bookmarkStart w:id="260" w:name="_Toc15395"/>
      <w:r>
        <w:rPr>
          <w:rFonts w:hint="eastAsia" w:asciiTheme="minorEastAsia" w:hAnsiTheme="minorEastAsia" w:eastAsiaTheme="minorEastAsia" w:cstheme="minorEastAsia"/>
          <w:sz w:val="30"/>
          <w:szCs w:val="30"/>
        </w:rPr>
        <w:t>三、授权委托书</w:t>
      </w:r>
      <w:bookmarkEnd w:id="259"/>
      <w:bookmarkEnd w:id="260"/>
    </w:p>
    <w:p>
      <w:pPr>
        <w:spacing w:line="440" w:lineRule="exact"/>
        <w:ind w:left="-105"/>
        <w:rPr>
          <w:rFonts w:asciiTheme="minorEastAsia" w:hAnsiTheme="minorEastAsia" w:eastAsiaTheme="minorEastAsia" w:cstheme="minorEastAsia"/>
          <w:b/>
          <w:bCs/>
          <w:sz w:val="24"/>
        </w:rPr>
      </w:pPr>
    </w:p>
    <w:p>
      <w:pPr>
        <w:spacing w:line="500" w:lineRule="exact"/>
        <w:ind w:firstLine="720" w:firstLineChars="3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本人</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（姓名）系</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（供应商名称）的法定代表人，现委托</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（姓名）为我方代理人。代理人根据授权，以我方名义签署、澄清、说明、补正、递交、撤回、修改</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 xml:space="preserve">（项目名称）投标文件、签订合同和处理有关事宜，其法律后果由我方承担。 </w:t>
      </w:r>
    </w:p>
    <w:p>
      <w:pPr>
        <w:spacing w:line="500" w:lineRule="exact"/>
        <w:ind w:left="-105"/>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委托期限：</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 xml:space="preserve">。 </w:t>
      </w:r>
    </w:p>
    <w:p>
      <w:pPr>
        <w:spacing w:line="5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代理人无转委托权。 </w:t>
      </w:r>
    </w:p>
    <w:p>
      <w:pPr>
        <w:spacing w:line="5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附：法定代表人和代理人身份证</w:t>
      </w:r>
    </w:p>
    <w:p>
      <w:pPr>
        <w:spacing w:line="440" w:lineRule="exact"/>
        <w:ind w:left="84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spacing w:line="440" w:lineRule="exact"/>
        <w:ind w:left="84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供应商：</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（盖单位公章）</w:t>
      </w: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法定代表人：</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 xml:space="preserve">（签字或盖章） </w:t>
      </w: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身份证号码：</w:t>
      </w:r>
      <w:r>
        <w:rPr>
          <w:rFonts w:hint="eastAsia" w:asciiTheme="minorEastAsia" w:hAnsiTheme="minorEastAsia" w:eastAsiaTheme="minorEastAsia" w:cstheme="minorEastAsia"/>
          <w:bCs/>
          <w:sz w:val="24"/>
          <w:u w:val="single"/>
        </w:rPr>
        <w:t xml:space="preserve">                                   </w:t>
      </w: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委托代理人：</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（签字或盖章）</w:t>
      </w: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tabs>
          <w:tab w:val="left" w:pos="6510"/>
        </w:tabs>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身份证号码：</w:t>
      </w:r>
      <w:r>
        <w:rPr>
          <w:rFonts w:hint="eastAsia" w:asciiTheme="minorEastAsia" w:hAnsiTheme="minorEastAsia" w:eastAsiaTheme="minorEastAsia" w:cstheme="minorEastAsia"/>
          <w:bCs/>
          <w:sz w:val="24"/>
          <w:u w:val="single"/>
        </w:rPr>
        <w:t xml:space="preserve">                                   </w:t>
      </w:r>
    </w:p>
    <w:p>
      <w:pPr>
        <w:spacing w:line="440" w:lineRule="exact"/>
        <w:ind w:left="357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spacing w:line="440" w:lineRule="exact"/>
        <w:ind w:left="84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spacing w:line="440" w:lineRule="exact"/>
        <w:ind w:left="84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日</w:t>
      </w: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
          <w:bCs/>
          <w:sz w:val="24"/>
        </w:rPr>
      </w:pPr>
    </w:p>
    <w:p>
      <w:pPr>
        <w:pStyle w:val="38"/>
        <w:spacing w:before="120" w:after="120" w:line="500" w:lineRule="exact"/>
        <w:ind w:right="29" w:rightChars="14"/>
        <w:outlineLvl w:val="9"/>
        <w:rPr>
          <w:rFonts w:asciiTheme="minorEastAsia" w:hAnsiTheme="minorEastAsia" w:eastAsiaTheme="minorEastAsia" w:cstheme="minorEastAsia"/>
          <w:sz w:val="30"/>
          <w:szCs w:val="30"/>
        </w:rPr>
      </w:pPr>
    </w:p>
    <w:p>
      <w:pPr>
        <w:pStyle w:val="38"/>
        <w:spacing w:before="120" w:after="120" w:line="500" w:lineRule="exact"/>
        <w:ind w:right="29" w:rightChars="14"/>
        <w:outlineLvl w:val="9"/>
        <w:rPr>
          <w:rFonts w:asciiTheme="minorEastAsia" w:hAnsiTheme="minorEastAsia" w:eastAsiaTheme="minorEastAsia" w:cstheme="minorEastAsia"/>
          <w:sz w:val="30"/>
          <w:szCs w:val="30"/>
        </w:rPr>
      </w:pPr>
    </w:p>
    <w:bookmarkEnd w:id="217"/>
    <w:p>
      <w:pPr>
        <w:pageBreakBefore/>
        <w:spacing w:line="600" w:lineRule="exact"/>
        <w:jc w:val="center"/>
        <w:outlineLvl w:val="0"/>
        <w:rPr>
          <w:rFonts w:asciiTheme="minorEastAsia" w:hAnsiTheme="minorEastAsia" w:eastAsiaTheme="minorEastAsia" w:cstheme="minorEastAsia"/>
          <w:b/>
          <w:sz w:val="32"/>
          <w:szCs w:val="32"/>
        </w:rPr>
      </w:pPr>
      <w:bookmarkStart w:id="261" w:name="_Toc19057"/>
      <w:r>
        <w:rPr>
          <w:rFonts w:hint="eastAsia" w:asciiTheme="minorEastAsia" w:hAnsiTheme="minorEastAsia" w:eastAsiaTheme="minorEastAsia" w:cstheme="minorEastAsia"/>
          <w:b/>
          <w:sz w:val="32"/>
          <w:szCs w:val="32"/>
        </w:rPr>
        <w:t>四、投标承诺函</w:t>
      </w:r>
      <w:bookmarkEnd w:id="261"/>
    </w:p>
    <w:p>
      <w:pPr>
        <w:ind w:firstLine="883"/>
        <w:jc w:val="center"/>
        <w:rPr>
          <w:rFonts w:asciiTheme="minorEastAsia" w:hAnsiTheme="minorEastAsia" w:eastAsiaTheme="minorEastAsia" w:cstheme="minorEastAsia"/>
          <w:b/>
          <w:sz w:val="44"/>
          <w:szCs w:val="44"/>
        </w:rPr>
      </w:pP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我单位对</w:t>
      </w:r>
      <w:r>
        <w:rPr>
          <w:rFonts w:hint="eastAsia" w:asciiTheme="minorEastAsia" w:hAnsiTheme="minorEastAsia" w:eastAsiaTheme="minorEastAsia" w:cstheme="minorEastAsia"/>
          <w:sz w:val="24"/>
          <w:u w:val="single"/>
        </w:rPr>
        <w:t xml:space="preserve">                                   项目</w:t>
      </w:r>
      <w:r>
        <w:rPr>
          <w:rFonts w:hint="eastAsia" w:asciiTheme="minorEastAsia" w:hAnsiTheme="minorEastAsia" w:eastAsiaTheme="minorEastAsia" w:cstheme="minorEastAsia"/>
          <w:sz w:val="24"/>
        </w:rPr>
        <w:t>（采购编号：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）投标行为做出承诺，保证所提交材料的真实性。</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我单位承诺：</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1、在投标文件递交截止时间后至确定中标人的</w:t>
      </w:r>
      <w:r>
        <w:fldChar w:fldCharType="begin"/>
      </w:r>
      <w:r>
        <w:instrText xml:space="preserve"> HYPERLINK "https://baike.so.com/doc/5394983-5632135.html" \t "https://baike.so.com/doc/_blank" </w:instrText>
      </w:r>
      <w:r>
        <w:fldChar w:fldCharType="separate"/>
      </w:r>
      <w:r>
        <w:rPr>
          <w:rFonts w:hint="eastAsia" w:asciiTheme="minorEastAsia" w:hAnsiTheme="minorEastAsia" w:eastAsiaTheme="minorEastAsia" w:cstheme="minorEastAsia"/>
          <w:sz w:val="24"/>
        </w:rPr>
        <w:t>投标有效期</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内，我单位不得要求退出竞标或者修改投标文件且对递交的投标文件负责，受其约束。</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2、若我单位中标，在接到中标通知书后，除不可抗力因素外，及时按规定与采购人签订合同并认真履约。</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非因不可抗力因素放弃中标的，或排名第一的中标人未按规定期限与采购人签订合同的，应赔偿采购人由此造成的损失，损失费的计算方法为该中标人的投标价与重新确定的中标人中标价的差额，还将取消其1年内在博爱县的投标资格，并给予通报的处罚。</w:t>
      </w:r>
    </w:p>
    <w:p>
      <w:pPr>
        <w:spacing w:line="600" w:lineRule="exact"/>
        <w:ind w:firstLine="48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4、不存在法律法规规定的其他违法违规行为。</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              投标单位名称（盖章）：</w:t>
      </w:r>
      <w:r>
        <w:rPr>
          <w:rFonts w:hint="eastAsia" w:asciiTheme="minorEastAsia" w:hAnsiTheme="minorEastAsia" w:eastAsiaTheme="minorEastAsia" w:cstheme="minorEastAsia"/>
          <w:sz w:val="24"/>
          <w:u w:val="single"/>
        </w:rPr>
        <w:t xml:space="preserve">                              </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法人代表或授权委托人（签字或盖章）：</w:t>
      </w:r>
      <w:r>
        <w:rPr>
          <w:rFonts w:hint="eastAsia" w:asciiTheme="minorEastAsia" w:hAnsiTheme="minorEastAsia" w:eastAsiaTheme="minorEastAsia" w:cstheme="minorEastAsia"/>
          <w:sz w:val="24"/>
          <w:u w:val="single"/>
        </w:rPr>
        <w:t xml:space="preserve">                 </w:t>
      </w:r>
    </w:p>
    <w:p>
      <w:pPr>
        <w:ind w:firstLine="480"/>
        <w:rPr>
          <w:rFonts w:asciiTheme="minorEastAsia" w:hAnsiTheme="minorEastAsia" w:eastAsiaTheme="minorEastAsia" w:cstheme="minorEastAsia"/>
        </w:rPr>
      </w:pPr>
      <w:r>
        <w:rPr>
          <w:rFonts w:hint="eastAsia" w:asciiTheme="minorEastAsia" w:hAnsiTheme="minorEastAsia" w:eastAsiaTheme="minorEastAsia" w:cstheme="minorEastAsia"/>
          <w:sz w:val="24"/>
        </w:rPr>
        <w:t xml:space="preserve">                                         年    月    日  </w:t>
      </w:r>
    </w:p>
    <w:p>
      <w:pPr>
        <w:pStyle w:val="3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bCs/>
          <w:color w:val="0000FF"/>
          <w:kern w:val="2"/>
          <w:sz w:val="30"/>
          <w:szCs w:val="30"/>
        </w:rPr>
      </w:pPr>
    </w:p>
    <w:p>
      <w:pPr>
        <w:pStyle w:val="3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rPr>
      </w:pPr>
      <w:bookmarkStart w:id="262" w:name="_Toc8304"/>
      <w:r>
        <w:rPr>
          <w:rFonts w:hint="eastAsia" w:asciiTheme="minorEastAsia" w:hAnsiTheme="minorEastAsia" w:eastAsiaTheme="minorEastAsia" w:cstheme="minorEastAsia"/>
          <w:b/>
          <w:bCs/>
          <w:color w:val="auto"/>
          <w:kern w:val="2"/>
          <w:sz w:val="30"/>
          <w:szCs w:val="30"/>
        </w:rPr>
        <w:t>五</w:t>
      </w:r>
      <w:r>
        <w:rPr>
          <w:rFonts w:hint="eastAsia" w:asciiTheme="minorEastAsia" w:hAnsiTheme="minorEastAsia" w:eastAsiaTheme="minorEastAsia" w:cstheme="minorEastAsia"/>
          <w:b/>
          <w:color w:val="auto"/>
          <w:kern w:val="2"/>
          <w:sz w:val="30"/>
          <w:szCs w:val="30"/>
        </w:rPr>
        <w:t>、项目实施方案</w:t>
      </w:r>
      <w:bookmarkEnd w:id="262"/>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 xml:space="preserve"> </w:t>
      </w: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bookmarkStart w:id="263" w:name="_Toc10043"/>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pStyle w:val="3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highlight w:val="none"/>
        </w:rPr>
      </w:pPr>
      <w:bookmarkStart w:id="264" w:name="_Toc20650"/>
      <w:bookmarkStart w:id="265" w:name="_Toc29492"/>
      <w:r>
        <w:rPr>
          <w:rFonts w:hint="eastAsia" w:asciiTheme="minorEastAsia" w:hAnsiTheme="minorEastAsia" w:eastAsiaTheme="minorEastAsia" w:cstheme="minorEastAsia"/>
          <w:b/>
          <w:kern w:val="2"/>
          <w:sz w:val="30"/>
          <w:szCs w:val="30"/>
          <w:highlight w:val="none"/>
        </w:rPr>
        <w:t>六、资格证明文件</w:t>
      </w:r>
      <w:bookmarkEnd w:id="263"/>
      <w:bookmarkEnd w:id="264"/>
      <w:bookmarkEnd w:id="265"/>
    </w:p>
    <w:p>
      <w:pPr>
        <w:spacing w:line="400" w:lineRule="exact"/>
        <w:jc w:val="left"/>
        <w:rPr>
          <w:rFonts w:asciiTheme="minorEastAsia" w:hAnsiTheme="minorEastAsia" w:eastAsiaTheme="minorEastAsia" w:cstheme="minorEastAsia"/>
          <w:bCs/>
          <w:sz w:val="24"/>
          <w:highlight w:val="none"/>
        </w:rPr>
      </w:pPr>
    </w:p>
    <w:p>
      <w:pPr>
        <w:spacing w:line="400" w:lineRule="exact"/>
        <w:jc w:val="left"/>
        <w:rPr>
          <w:sz w:val="24"/>
          <w:highlight w:val="none"/>
        </w:rPr>
      </w:pPr>
    </w:p>
    <w:p>
      <w:pPr>
        <w:spacing w:line="400" w:lineRule="exact"/>
        <w:jc w:val="left"/>
        <w:rPr>
          <w:color w:val="auto"/>
          <w:sz w:val="24"/>
          <w:highlight w:val="none"/>
        </w:rPr>
      </w:pPr>
      <w:r>
        <w:rPr>
          <w:rFonts w:hint="eastAsia"/>
          <w:color w:val="auto"/>
          <w:sz w:val="24"/>
          <w:highlight w:val="none"/>
        </w:rPr>
        <w:t>一、 供应商营业执照副本（三证合一）；</w:t>
      </w:r>
    </w:p>
    <w:p>
      <w:pPr>
        <w:spacing w:line="400" w:lineRule="exact"/>
        <w:jc w:val="left"/>
        <w:rPr>
          <w:color w:val="auto"/>
          <w:sz w:val="24"/>
          <w:highlight w:val="none"/>
        </w:rPr>
      </w:pPr>
      <w:r>
        <w:rPr>
          <w:rFonts w:hint="eastAsia"/>
          <w:color w:val="auto"/>
          <w:sz w:val="24"/>
          <w:highlight w:val="none"/>
        </w:rPr>
        <w:t>二、符合《中华人民共和国政府采购法》第二十二条规定:</w:t>
      </w:r>
    </w:p>
    <w:p>
      <w:pPr>
        <w:spacing w:line="400" w:lineRule="exact"/>
        <w:ind w:firstLine="480" w:firstLineChars="200"/>
        <w:jc w:val="left"/>
        <w:rPr>
          <w:rFonts w:hint="eastAsia"/>
          <w:color w:val="auto"/>
          <w:sz w:val="24"/>
          <w:highlight w:val="none"/>
        </w:rPr>
      </w:pPr>
      <w:r>
        <w:rPr>
          <w:rFonts w:hint="eastAsia"/>
          <w:color w:val="auto"/>
          <w:sz w:val="24"/>
          <w:highlight w:val="none"/>
        </w:rPr>
        <w:t>1、开标日前六个月内任一个月的依法缴纳税收的相关证明、开标日前六个月内任一个月的依法缴纳社会保障资金的相关证明、</w:t>
      </w:r>
      <w:r>
        <w:rPr>
          <w:rFonts w:hint="eastAsia"/>
          <w:color w:val="auto"/>
          <w:sz w:val="24"/>
          <w:highlight w:val="none"/>
          <w:lang w:eastAsia="zh-CN"/>
        </w:rPr>
        <w:t>投标人</w:t>
      </w:r>
      <w:r>
        <w:rPr>
          <w:rFonts w:hint="eastAsia"/>
          <w:color w:val="auto"/>
          <w:sz w:val="24"/>
          <w:highlight w:val="none"/>
        </w:rPr>
        <w:t>近三年（2018年、2019年、2020年）完整的财务审计报告（成立不足三年的企业，以现有年份提供）</w:t>
      </w:r>
    </w:p>
    <w:p>
      <w:pPr>
        <w:spacing w:line="400" w:lineRule="exact"/>
        <w:ind w:firstLine="480" w:firstLineChars="200"/>
        <w:jc w:val="left"/>
        <w:rPr>
          <w:color w:val="auto"/>
          <w:sz w:val="24"/>
          <w:highlight w:val="none"/>
        </w:rPr>
      </w:pPr>
      <w:r>
        <w:rPr>
          <w:rFonts w:hint="eastAsia"/>
          <w:color w:val="auto"/>
          <w:sz w:val="24"/>
          <w:highlight w:val="none"/>
        </w:rPr>
        <w:t>2、参加政府采购活动前三年内无重大违法记录的书面声明；</w:t>
      </w:r>
    </w:p>
    <w:p>
      <w:pPr>
        <w:spacing w:line="400" w:lineRule="exact"/>
        <w:jc w:val="left"/>
        <w:rPr>
          <w:rFonts w:hint="eastAsia"/>
          <w:sz w:val="24"/>
          <w:highlight w:val="none"/>
        </w:rPr>
      </w:pPr>
      <w:r>
        <w:rPr>
          <w:rFonts w:hint="eastAsia"/>
          <w:sz w:val="24"/>
          <w:highlight w:val="none"/>
        </w:rPr>
        <w:t>三、招标文件中要求的其他资格证明材料。</w:t>
      </w:r>
    </w:p>
    <w:p>
      <w:pPr>
        <w:pStyle w:val="41"/>
        <w:rPr>
          <w:rFonts w:hint="default" w:eastAsia="宋体"/>
          <w:b/>
          <w:bCs/>
          <w:lang w:val="en-US" w:eastAsia="zh-CN"/>
        </w:rPr>
      </w:pPr>
      <w:r>
        <w:rPr>
          <w:rFonts w:hint="eastAsia"/>
          <w:b/>
          <w:bCs/>
          <w:color w:val="auto"/>
          <w:sz w:val="24"/>
          <w:lang w:val="en-US" w:eastAsia="zh-CN"/>
        </w:rPr>
        <w:t>备注：以上资格证明文件须提供原件的扫描件。</w:t>
      </w:r>
    </w:p>
    <w:p>
      <w:pPr>
        <w:pStyle w:val="41"/>
      </w:pPr>
    </w:p>
    <w:p>
      <w:pPr>
        <w:autoSpaceDE w:val="0"/>
        <w:autoSpaceDN w:val="0"/>
        <w:adjustRightInd w:val="0"/>
        <w:spacing w:line="440" w:lineRule="exact"/>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pStyle w:val="40"/>
        <w:ind w:firstLine="281"/>
        <w:rPr>
          <w:rFonts w:hint="default" w:asciiTheme="minorEastAsia" w:hAnsiTheme="minorEastAsia" w:eastAsiaTheme="minorEastAsia" w:cstheme="minorEastAsia"/>
          <w:b/>
          <w:sz w:val="28"/>
        </w:rPr>
      </w:pPr>
    </w:p>
    <w:p>
      <w:pPr>
        <w:pStyle w:val="41"/>
        <w:ind w:firstLine="562"/>
        <w:rPr>
          <w:rFonts w:asciiTheme="minorEastAsia" w:hAnsiTheme="minorEastAsia" w:eastAsiaTheme="minorEastAsia" w:cstheme="minorEastAsia"/>
          <w:b/>
          <w:sz w:val="28"/>
        </w:rPr>
      </w:pPr>
    </w:p>
    <w:p>
      <w:pPr>
        <w:pStyle w:val="41"/>
        <w:ind w:firstLine="562"/>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widowControl/>
        <w:rPr>
          <w:rFonts w:asciiTheme="minorEastAsia" w:hAnsiTheme="minorEastAsia" w:eastAsiaTheme="minorEastAsia" w:cstheme="minorEastAsia"/>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widowControl/>
        <w:rPr>
          <w:rFonts w:asciiTheme="minorEastAsia" w:hAnsiTheme="minorEastAsia" w:eastAsiaTheme="minorEastAsia" w:cstheme="minorEastAsia"/>
        </w:rPr>
      </w:pPr>
    </w:p>
    <w:p>
      <w:pPr>
        <w:rPr>
          <w:rFonts w:asciiTheme="minorEastAsia" w:hAnsiTheme="minorEastAsia" w:eastAsiaTheme="minorEastAsia" w:cstheme="minorEastAsia"/>
        </w:rPr>
      </w:pPr>
    </w:p>
    <w:p>
      <w:pPr>
        <w:autoSpaceDE w:val="0"/>
        <w:autoSpaceDN w:val="0"/>
        <w:adjustRightInd w:val="0"/>
        <w:spacing w:line="440" w:lineRule="exact"/>
        <w:jc w:val="center"/>
        <w:rPr>
          <w:rFonts w:asciiTheme="minorEastAsia" w:hAnsiTheme="minorEastAsia" w:eastAsiaTheme="minorEastAsia" w:cstheme="minorEastAsia"/>
          <w:b/>
          <w:sz w:val="28"/>
        </w:rPr>
      </w:pPr>
    </w:p>
    <w:p>
      <w:pPr>
        <w:pStyle w:val="37"/>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bookmarkStart w:id="266" w:name="_Toc8330"/>
      <w:bookmarkStart w:id="267" w:name="_Toc6465"/>
      <w:bookmarkStart w:id="268" w:name="_Toc31553"/>
    </w:p>
    <w:p>
      <w:pPr>
        <w:pStyle w:val="37"/>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37"/>
        <w:widowControl w:val="0"/>
        <w:numPr>
          <w:ilvl w:val="0"/>
          <w:numId w:val="10"/>
        </w:numPr>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rPr>
      </w:pPr>
      <w:r>
        <w:rPr>
          <w:rFonts w:hint="eastAsia" w:asciiTheme="minorEastAsia" w:hAnsiTheme="minorEastAsia" w:eastAsiaTheme="minorEastAsia" w:cstheme="minorEastAsia"/>
          <w:b/>
          <w:color w:val="auto"/>
          <w:kern w:val="2"/>
          <w:sz w:val="30"/>
          <w:szCs w:val="30"/>
        </w:rPr>
        <w:t>供应商服务承诺和优惠承诺</w:t>
      </w: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kern w:val="2"/>
          <w:sz w:val="30"/>
          <w:szCs w:val="30"/>
        </w:rPr>
        <w:t>八、供应商所投产品属于当期政府采购清单规定的节能环保产品的</w:t>
      </w:r>
      <w:bookmarkEnd w:id="266"/>
    </w:p>
    <w:p>
      <w:pPr>
        <w:pStyle w:val="3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69" w:name="_Toc18925"/>
      <w:bookmarkStart w:id="270" w:name="_Toc24210"/>
      <w:bookmarkStart w:id="271" w:name="_Toc28422"/>
      <w:r>
        <w:rPr>
          <w:rFonts w:hint="eastAsia" w:asciiTheme="minorEastAsia" w:hAnsiTheme="minorEastAsia" w:eastAsiaTheme="minorEastAsia" w:cstheme="minorEastAsia"/>
          <w:b/>
          <w:kern w:val="2"/>
          <w:sz w:val="30"/>
          <w:szCs w:val="30"/>
        </w:rPr>
        <w:t>证明材料</w:t>
      </w:r>
      <w:bookmarkEnd w:id="267"/>
      <w:bookmarkEnd w:id="269"/>
      <w:bookmarkEnd w:id="270"/>
      <w:bookmarkEnd w:id="271"/>
      <w:r>
        <w:rPr>
          <w:rFonts w:hint="eastAsia" w:asciiTheme="minorEastAsia" w:hAnsiTheme="minorEastAsia" w:eastAsiaTheme="minorEastAsia" w:cstheme="minorEastAsia"/>
          <w:b/>
          <w:kern w:val="2"/>
          <w:sz w:val="30"/>
          <w:szCs w:val="30"/>
        </w:rPr>
        <w:t>（如有）</w:t>
      </w: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72" w:name="_Toc23227"/>
      <w:bookmarkStart w:id="273" w:name="_Toc10717"/>
      <w:r>
        <w:rPr>
          <w:rFonts w:hint="eastAsia" w:asciiTheme="minorEastAsia" w:hAnsiTheme="minorEastAsia" w:eastAsiaTheme="minorEastAsia" w:cstheme="minorEastAsia"/>
          <w:b/>
          <w:kern w:val="2"/>
          <w:sz w:val="30"/>
          <w:szCs w:val="30"/>
        </w:rPr>
        <w:t>九、中小企业声明函（如有）</w:t>
      </w:r>
      <w:bookmarkEnd w:id="272"/>
      <w:bookmarkEnd w:id="273"/>
    </w:p>
    <w:p>
      <w:pPr>
        <w:pStyle w:val="37"/>
        <w:shd w:val="clear" w:color="auto" w:fill="FFFFFF"/>
        <w:spacing w:line="315" w:lineRule="atLeast"/>
        <w:ind w:firstLine="420"/>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本公司郑重声明，根据《政府采购促进中小企业发展暂行办法》（财库[2011]181号）的规定，本公司为______（请填写：中型、小型、微型）企业。即，本公司同时满足以下条件：</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本公司对上述声明的真实性负责。如有虚假，将依法承担相应责任。</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　　　　　　　　　　　　　　　企业名称（</w:t>
      </w:r>
      <w:r>
        <w:rPr>
          <w:rFonts w:hint="eastAsia" w:asciiTheme="minorEastAsia" w:hAnsiTheme="minorEastAsia" w:eastAsiaTheme="minorEastAsia" w:cstheme="minorEastAsia"/>
          <w:bCs/>
          <w:sz w:val="24"/>
        </w:rPr>
        <w:t>盖单位公章</w:t>
      </w:r>
      <w:r>
        <w:rPr>
          <w:rFonts w:hint="eastAsia" w:asciiTheme="minorEastAsia" w:hAnsiTheme="minorEastAsia" w:eastAsiaTheme="minorEastAsia" w:cstheme="minorEastAsia"/>
          <w:kern w:val="0"/>
          <w:sz w:val="24"/>
          <w:shd w:val="clear" w:color="auto" w:fill="FFFFFF"/>
        </w:rPr>
        <w:t>）：</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　　　　　　　　　　　　　　　　　　日期：</w:t>
      </w:r>
    </w:p>
    <w:p>
      <w:pPr>
        <w:spacing w:line="600" w:lineRule="exact"/>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br w:type="page"/>
      </w:r>
      <w:bookmarkStart w:id="274" w:name="_Toc20881"/>
      <w:bookmarkStart w:id="275" w:name="_Toc14292"/>
      <w:bookmarkStart w:id="276" w:name="_Toc30170"/>
      <w:r>
        <w:rPr>
          <w:rFonts w:hint="eastAsia" w:asciiTheme="minorEastAsia" w:hAnsiTheme="minorEastAsia" w:eastAsiaTheme="minorEastAsia" w:cstheme="minorEastAsia"/>
          <w:b/>
          <w:kern w:val="2"/>
          <w:sz w:val="30"/>
          <w:szCs w:val="30"/>
        </w:rPr>
        <w:t>十、残疾人福利性单位声明函（如有）</w:t>
      </w:r>
      <w:bookmarkEnd w:id="274"/>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bookmarkEnd w:id="268"/>
    <w:bookmarkEnd w:id="275"/>
    <w:bookmarkEnd w:id="276"/>
    <w:p>
      <w:pPr>
        <w:rPr>
          <w:rFonts w:ascii="Times New Roman" w:hAnsi="Times New Roman" w:eastAsia="仿宋"/>
          <w:sz w:val="32"/>
          <w:szCs w:val="32"/>
          <w:shd w:val="clear" w:color="FFFFFF" w:fill="D9D9D9"/>
        </w:rPr>
      </w:pPr>
    </w:p>
    <w:p>
      <w:pPr>
        <w:pStyle w:val="37"/>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kern w:val="2"/>
          <w:sz w:val="30"/>
          <w:szCs w:val="30"/>
        </w:rPr>
      </w:pPr>
      <w:bookmarkStart w:id="277" w:name="_Toc16608"/>
      <w:r>
        <w:rPr>
          <w:rFonts w:hint="eastAsia" w:asciiTheme="minorEastAsia" w:hAnsiTheme="minorEastAsia" w:eastAsiaTheme="minorEastAsia" w:cstheme="minorEastAsia"/>
          <w:b/>
          <w:kern w:val="2"/>
          <w:sz w:val="30"/>
          <w:szCs w:val="30"/>
        </w:rPr>
        <w:t>十</w:t>
      </w:r>
      <w:r>
        <w:rPr>
          <w:rFonts w:hint="eastAsia" w:asciiTheme="minorEastAsia" w:hAnsiTheme="minorEastAsia" w:eastAsiaTheme="minorEastAsia" w:cstheme="minorEastAsia"/>
          <w:b/>
          <w:kern w:val="2"/>
          <w:sz w:val="30"/>
          <w:szCs w:val="30"/>
          <w:lang w:val="en-US" w:eastAsia="zh-CN"/>
        </w:rPr>
        <w:t>一</w:t>
      </w:r>
      <w:r>
        <w:rPr>
          <w:rFonts w:hint="eastAsia" w:asciiTheme="minorEastAsia" w:hAnsiTheme="minorEastAsia" w:eastAsiaTheme="minorEastAsia" w:cstheme="minorEastAsia"/>
          <w:b/>
          <w:kern w:val="2"/>
          <w:sz w:val="30"/>
          <w:szCs w:val="30"/>
        </w:rPr>
        <w:t>、招标文件要求的或供应商认为须提交的其他材料</w:t>
      </w:r>
      <w:bookmarkEnd w:id="277"/>
    </w:p>
    <w:p>
      <w:pPr>
        <w:spacing w:line="360" w:lineRule="auto"/>
        <w:rPr>
          <w:rFonts w:asciiTheme="minorEastAsia" w:hAnsiTheme="minorEastAsia" w:eastAsiaTheme="minorEastAsia" w:cstheme="minorEastAsia"/>
          <w:sz w:val="24"/>
          <w:shd w:val="clear" w:color="FFFFFF" w:fill="D9D9D9"/>
        </w:rPr>
      </w:pP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招标文件规定的其他资料及供应商认为需要提交的其他材料。</w:t>
      </w:r>
    </w:p>
    <w:p>
      <w:pPr>
        <w:spacing w:line="600" w:lineRule="exact"/>
        <w:ind w:firstLine="600" w:firstLineChars="200"/>
        <w:rPr>
          <w:rFonts w:ascii="仿宋" w:hAnsi="仿宋" w:eastAsia="仿宋" w:cs="仿宋"/>
          <w:sz w:val="30"/>
          <w:szCs w:val="30"/>
        </w:rPr>
      </w:pPr>
    </w:p>
    <w:p>
      <w:pPr>
        <w:widowControl/>
        <w:spacing w:line="580" w:lineRule="atLeast"/>
        <w:jc w:val="center"/>
        <w:rPr>
          <w:rFonts w:asciiTheme="minorEastAsia" w:hAnsiTheme="minorEastAsia" w:eastAsiaTheme="minorEastAsia" w:cstheme="minorEastAsia"/>
          <w:b/>
          <w:kern w:val="0"/>
          <w:sz w:val="32"/>
          <w:szCs w:val="32"/>
        </w:rPr>
      </w:pPr>
    </w:p>
    <w:p>
      <w:pPr>
        <w:widowControl/>
        <w:spacing w:line="580" w:lineRule="atLeast"/>
        <w:jc w:val="center"/>
        <w:rPr>
          <w:rFonts w:asciiTheme="minorEastAsia" w:hAnsiTheme="minorEastAsia" w:eastAsiaTheme="minorEastAsia" w:cstheme="minorEastAsia"/>
          <w:b/>
          <w:bCs/>
          <w:kern w:val="0"/>
          <w:sz w:val="32"/>
          <w:szCs w:val="32"/>
        </w:rPr>
      </w:pPr>
    </w:p>
    <w:p>
      <w:pPr>
        <w:widowControl/>
        <w:spacing w:line="580" w:lineRule="atLeast"/>
        <w:jc w:val="center"/>
        <w:rPr>
          <w:rFonts w:asciiTheme="minorEastAsia" w:hAnsiTheme="minorEastAsia" w:eastAsiaTheme="minorEastAsia" w:cstheme="minorEastAsia"/>
          <w:b/>
          <w:bCs/>
          <w:kern w:val="0"/>
          <w:sz w:val="32"/>
          <w:szCs w:val="32"/>
        </w:rPr>
      </w:pPr>
    </w:p>
    <w:p>
      <w:pPr>
        <w:pStyle w:val="122"/>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22"/>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22"/>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22"/>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22"/>
        <w:rPr>
          <w:rFonts w:asciiTheme="minorEastAsia" w:hAnsiTheme="minorEastAsia" w:eastAsiaTheme="minorEastAsia" w:cstheme="minorEastAsia"/>
          <w:b/>
          <w:bCs/>
          <w:kern w:val="0"/>
          <w:sz w:val="32"/>
          <w:szCs w:val="32"/>
        </w:rPr>
      </w:pPr>
    </w:p>
    <w:p>
      <w:pPr>
        <w:spacing w:after="100" w:afterAutospacing="1"/>
        <w:rPr>
          <w:rFonts w:hint="eastAsia" w:ascii="Calibri Light" w:hAnsi="Calibri Light"/>
          <w:b/>
          <w:bCs/>
          <w:sz w:val="32"/>
          <w:szCs w:val="32"/>
        </w:rPr>
      </w:pPr>
    </w:p>
    <w:p>
      <w:pPr>
        <w:spacing w:line="440" w:lineRule="exact"/>
        <w:jc w:val="center"/>
        <w:rPr>
          <w:rFonts w:hint="eastAsia" w:ascii="宋体" w:hAnsi="宋体" w:cs="宋体"/>
          <w:b/>
          <w:bCs w:val="0"/>
          <w:sz w:val="36"/>
          <w:szCs w:val="36"/>
          <w:highlight w:val="none"/>
        </w:rPr>
      </w:pPr>
    </w:p>
    <w:p>
      <w:pPr>
        <w:spacing w:line="440" w:lineRule="exact"/>
        <w:jc w:val="center"/>
        <w:rPr>
          <w:rFonts w:ascii="宋体" w:hAnsi="宋体" w:cs="宋体"/>
          <w:b/>
          <w:bCs w:val="0"/>
          <w:sz w:val="36"/>
          <w:szCs w:val="36"/>
          <w:highlight w:val="none"/>
        </w:rPr>
      </w:pPr>
      <w:r>
        <w:rPr>
          <w:rFonts w:hint="eastAsia" w:ascii="宋体" w:hAnsi="宋体" w:cs="宋体"/>
          <w:b/>
          <w:bCs w:val="0"/>
          <w:sz w:val="36"/>
          <w:szCs w:val="36"/>
          <w:highlight w:val="none"/>
        </w:rPr>
        <w:t>河南省政府采购合同融资政策告知函</w:t>
      </w:r>
    </w:p>
    <w:p>
      <w:pPr>
        <w:spacing w:line="420" w:lineRule="exact"/>
        <w:ind w:firstLine="420" w:firstLineChars="175"/>
        <w:rPr>
          <w:rFonts w:ascii="宋体" w:hAnsi="宋体" w:cs="宋体"/>
          <w:b w:val="0"/>
          <w:bCs/>
          <w:sz w:val="24"/>
          <w:szCs w:val="24"/>
          <w:highlight w:val="none"/>
        </w:rPr>
      </w:pPr>
      <w:r>
        <w:rPr>
          <w:rFonts w:hint="eastAsia" w:ascii="宋体" w:hAnsi="宋体" w:cs="宋体"/>
          <w:b w:val="0"/>
          <w:bCs/>
          <w:sz w:val="24"/>
          <w:szCs w:val="24"/>
          <w:highlight w:val="none"/>
        </w:rPr>
        <w:t>各供应商：</w:t>
      </w:r>
    </w:p>
    <w:p>
      <w:pPr>
        <w:spacing w:line="420" w:lineRule="exact"/>
        <w:ind w:firstLine="420" w:firstLineChars="175"/>
        <w:rPr>
          <w:rFonts w:ascii="宋体" w:hAnsi="宋体" w:cs="宋体"/>
          <w:b w:val="0"/>
          <w:bCs/>
          <w:sz w:val="24"/>
          <w:szCs w:val="24"/>
          <w:highlight w:val="none"/>
        </w:rPr>
      </w:pPr>
      <w:r>
        <w:rPr>
          <w:rFonts w:hint="eastAsia" w:ascii="宋体" w:hAnsi="宋体" w:cs="宋体"/>
          <w:b w:val="0"/>
          <w:bCs/>
          <w:sz w:val="24"/>
          <w:szCs w:val="24"/>
          <w:highlight w:val="none"/>
        </w:rPr>
        <w:t xml:space="preserve">   欢迎贵公司参与河南省政府采购活动！</w:t>
      </w:r>
    </w:p>
    <w:p>
      <w:pPr>
        <w:spacing w:line="420" w:lineRule="exact"/>
        <w:ind w:firstLine="420" w:firstLineChars="175"/>
        <w:rPr>
          <w:rFonts w:ascii="宋体" w:hAnsi="宋体" w:cs="宋体"/>
          <w:b w:val="0"/>
          <w:bCs/>
          <w:sz w:val="24"/>
          <w:szCs w:val="24"/>
          <w:highlight w:val="none"/>
        </w:rPr>
      </w:pPr>
      <w:r>
        <w:rPr>
          <w:rFonts w:hint="eastAsia" w:ascii="宋体" w:hAnsi="宋体" w:cs="宋体"/>
          <w:b w:val="0"/>
          <w:bCs/>
          <w:sz w:val="24"/>
          <w:szCs w:val="24"/>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420" w:firstLineChars="175"/>
        <w:rPr>
          <w:rFonts w:ascii="宋体" w:hAnsi="宋体" w:cs="宋体"/>
          <w:b w:val="0"/>
          <w:bCs/>
          <w:sz w:val="24"/>
          <w:szCs w:val="24"/>
          <w:highlight w:val="none"/>
        </w:rPr>
      </w:pPr>
      <w:r>
        <w:rPr>
          <w:rFonts w:hint="eastAsia" w:ascii="宋体" w:hAnsi="宋体" w:cs="宋体"/>
          <w:b w:val="0"/>
          <w:bCs/>
          <w:sz w:val="24"/>
          <w:szCs w:val="24"/>
          <w:highlight w:val="none"/>
        </w:rPr>
        <w:t xml:space="preserve"> 贷款渠道和提供贷款的金融机构，可在河南省政府采购网“河南省政府采购合同融资平台”查询联系。</w:t>
      </w:r>
    </w:p>
    <w:p>
      <w:pPr>
        <w:jc w:val="center"/>
        <w:rPr>
          <w:rFonts w:ascii="宋体" w:hAnsi="宋体"/>
          <w:b/>
          <w:bCs w:val="0"/>
          <w:sz w:val="32"/>
          <w:szCs w:val="32"/>
          <w:highlight w:val="none"/>
        </w:rPr>
      </w:pPr>
      <w:r>
        <w:rPr>
          <w:rFonts w:hint="eastAsia" w:ascii="宋体" w:hAnsi="宋体"/>
          <w:b/>
          <w:bCs w:val="0"/>
          <w:sz w:val="32"/>
          <w:szCs w:val="32"/>
          <w:highlight w:val="none"/>
        </w:rPr>
        <w:t>焦作市政府采购合同融资合作企业</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3656" w:type="dxa"/>
            <w:noWrap w:val="0"/>
            <w:vAlign w:val="center"/>
          </w:tcPr>
          <w:p>
            <w:pPr>
              <w:widowControl/>
              <w:tabs>
                <w:tab w:val="left" w:pos="0"/>
              </w:tabs>
              <w:jc w:val="center"/>
              <w:rPr>
                <w:rFonts w:hint="eastAsia" w:ascii="黑体" w:hAnsi="黑体" w:eastAsia="黑体"/>
                <w:sz w:val="30"/>
                <w:szCs w:val="30"/>
              </w:rPr>
            </w:pPr>
            <w:r>
              <w:rPr>
                <w:rFonts w:hint="eastAsia" w:ascii="黑体" w:hAnsi="黑体" w:eastAsia="黑体"/>
                <w:sz w:val="30"/>
                <w:szCs w:val="30"/>
              </w:rPr>
              <w:t>名称</w:t>
            </w:r>
          </w:p>
        </w:tc>
        <w:tc>
          <w:tcPr>
            <w:tcW w:w="1230" w:type="dxa"/>
            <w:noWrap w:val="0"/>
            <w:vAlign w:val="center"/>
          </w:tcPr>
          <w:p>
            <w:pPr>
              <w:widowControl/>
              <w:tabs>
                <w:tab w:val="left" w:pos="0"/>
              </w:tabs>
              <w:jc w:val="center"/>
              <w:rPr>
                <w:rFonts w:hint="eastAsia" w:ascii="黑体" w:hAnsi="黑体" w:eastAsia="黑体"/>
                <w:sz w:val="30"/>
                <w:szCs w:val="30"/>
              </w:rPr>
            </w:pPr>
            <w:r>
              <w:rPr>
                <w:rFonts w:hint="eastAsia" w:ascii="黑体" w:hAnsi="黑体" w:eastAsia="黑体"/>
                <w:sz w:val="30"/>
                <w:szCs w:val="30"/>
              </w:rPr>
              <w:t>联系人</w:t>
            </w:r>
          </w:p>
        </w:tc>
        <w:tc>
          <w:tcPr>
            <w:tcW w:w="1876" w:type="dxa"/>
            <w:noWrap w:val="0"/>
            <w:vAlign w:val="center"/>
          </w:tcPr>
          <w:p>
            <w:pPr>
              <w:widowControl/>
              <w:tabs>
                <w:tab w:val="left" w:pos="0"/>
              </w:tabs>
              <w:jc w:val="center"/>
              <w:rPr>
                <w:rFonts w:hint="eastAsia" w:ascii="黑体" w:hAnsi="黑体" w:eastAsia="黑体"/>
                <w:sz w:val="30"/>
                <w:szCs w:val="30"/>
              </w:rPr>
            </w:pPr>
            <w:r>
              <w:rPr>
                <w:rFonts w:hint="eastAsia" w:ascii="黑体" w:hAnsi="黑体" w:eastAsia="黑体"/>
                <w:sz w:val="30"/>
                <w:szCs w:val="30"/>
              </w:rPr>
              <w:t>联系电话</w:t>
            </w:r>
          </w:p>
        </w:tc>
        <w:tc>
          <w:tcPr>
            <w:tcW w:w="2325" w:type="dxa"/>
            <w:noWrap w:val="0"/>
            <w:vAlign w:val="center"/>
          </w:tcPr>
          <w:p>
            <w:pPr>
              <w:widowControl/>
              <w:tabs>
                <w:tab w:val="left" w:pos="0"/>
              </w:tabs>
              <w:jc w:val="center"/>
              <w:rPr>
                <w:rFonts w:hint="eastAsia" w:ascii="黑体" w:hAnsi="黑体" w:eastAsia="黑体"/>
                <w:sz w:val="30"/>
                <w:szCs w:val="30"/>
              </w:rPr>
            </w:pPr>
            <w:r>
              <w:rPr>
                <w:rFonts w:hint="eastAsia" w:ascii="黑体" w:hAnsi="黑体" w:eastAsia="黑体"/>
                <w:sz w:val="30"/>
                <w:szCs w:val="3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3656" w:type="dxa"/>
            <w:shd w:val="clear" w:color="auto" w:fill="auto"/>
            <w:noWrap w:val="0"/>
            <w:vAlign w:val="center"/>
          </w:tcPr>
          <w:p>
            <w:pPr>
              <w:widowControl/>
              <w:tabs>
                <w:tab w:val="left" w:pos="0"/>
              </w:tabs>
              <w:spacing w:line="360" w:lineRule="exact"/>
              <w:rPr>
                <w:rFonts w:hint="eastAsia" w:ascii="宋体" w:hAnsi="宋体" w:eastAsia="宋体" w:cs="宋体"/>
                <w:sz w:val="24"/>
                <w:szCs w:val="24"/>
              </w:rPr>
            </w:pPr>
            <w:r>
              <w:rPr>
                <w:rFonts w:hint="eastAsia" w:ascii="宋体" w:hAnsi="宋体" w:eastAsia="宋体" w:cs="宋体"/>
                <w:sz w:val="24"/>
                <w:szCs w:val="24"/>
              </w:rPr>
              <w:t>中国农业银行股份有限公司</w:t>
            </w:r>
          </w:p>
          <w:p>
            <w:pPr>
              <w:widowControl/>
              <w:tabs>
                <w:tab w:val="left" w:pos="0"/>
              </w:tabs>
              <w:spacing w:line="360" w:lineRule="exact"/>
              <w:rPr>
                <w:rFonts w:hint="eastAsia" w:ascii="宋体" w:hAnsi="宋体" w:eastAsia="宋体" w:cs="宋体"/>
                <w:sz w:val="24"/>
                <w:szCs w:val="24"/>
              </w:rPr>
            </w:pPr>
            <w:r>
              <w:rPr>
                <w:rFonts w:hint="eastAsia" w:ascii="宋体" w:hAnsi="宋体" w:eastAsia="宋体" w:cs="宋体"/>
                <w:sz w:val="24"/>
                <w:szCs w:val="24"/>
              </w:rPr>
              <w:t>焦作分行</w:t>
            </w:r>
          </w:p>
        </w:tc>
        <w:tc>
          <w:tcPr>
            <w:tcW w:w="1230"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sz w:val="24"/>
                <w:szCs w:val="24"/>
              </w:rPr>
            </w:pPr>
            <w:r>
              <w:rPr>
                <w:rFonts w:hint="eastAsia" w:ascii="宋体" w:hAnsi="宋体" w:eastAsia="宋体" w:cs="宋体"/>
                <w:b w:val="0"/>
                <w:i w:val="0"/>
                <w:snapToGrid/>
                <w:color w:val="000000"/>
                <w:sz w:val="24"/>
                <w:szCs w:val="24"/>
                <w:u w:val="none"/>
                <w:shd w:val="clear" w:color="auto" w:fill="FFFFFF"/>
                <w:lang w:eastAsia="zh-CN"/>
              </w:rPr>
              <w:t>薛国战</w:t>
            </w:r>
          </w:p>
        </w:tc>
        <w:tc>
          <w:tcPr>
            <w:tcW w:w="1876"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000000"/>
                <w:sz w:val="24"/>
                <w:szCs w:val="24"/>
                <w:u w:val="none"/>
                <w:shd w:val="clear" w:color="auto" w:fill="FFFFFF"/>
                <w:lang w:eastAsia="zh-CN"/>
              </w:rPr>
            </w:pPr>
            <w:r>
              <w:rPr>
                <w:rFonts w:hint="eastAsia" w:ascii="宋体" w:hAnsi="宋体" w:eastAsia="宋体" w:cs="宋体"/>
                <w:b w:val="0"/>
                <w:i w:val="0"/>
                <w:snapToGrid/>
                <w:color w:val="000000"/>
                <w:sz w:val="24"/>
                <w:szCs w:val="24"/>
                <w:u w:val="none"/>
                <w:shd w:val="clear" w:color="auto" w:fill="FFFFFF"/>
                <w:lang w:eastAsia="zh-CN"/>
              </w:rPr>
              <w:t>0391-2878039       13839109026</w:t>
            </w:r>
          </w:p>
        </w:tc>
        <w:tc>
          <w:tcPr>
            <w:tcW w:w="2325"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000000"/>
                <w:sz w:val="24"/>
                <w:szCs w:val="24"/>
                <w:u w:val="none"/>
                <w:shd w:val="clear" w:color="auto" w:fill="FFFFFF"/>
                <w:lang w:eastAsia="zh-CN"/>
              </w:rPr>
            </w:pPr>
            <w:r>
              <w:rPr>
                <w:rFonts w:hint="eastAsia" w:ascii="宋体" w:hAnsi="宋体" w:eastAsia="宋体" w:cs="宋体"/>
                <w:b w:val="0"/>
                <w:i w:val="0"/>
                <w:snapToGrid/>
                <w:color w:val="000000"/>
                <w:sz w:val="24"/>
                <w:szCs w:val="24"/>
                <w:u w:val="none"/>
                <w:shd w:val="clear" w:color="auto" w:fill="FFFFFF"/>
                <w:lang w:eastAsia="zh-CN"/>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6" w:type="dxa"/>
            <w:shd w:val="clear" w:color="auto" w:fill="auto"/>
            <w:noWrap w:val="0"/>
            <w:vAlign w:val="center"/>
          </w:tcPr>
          <w:p>
            <w:pPr>
              <w:widowControl/>
              <w:tabs>
                <w:tab w:val="left" w:pos="0"/>
              </w:tabs>
              <w:spacing w:line="360" w:lineRule="exact"/>
              <w:rPr>
                <w:rFonts w:hint="eastAsia" w:ascii="宋体" w:hAnsi="宋体" w:eastAsia="宋体" w:cs="宋体"/>
                <w:sz w:val="24"/>
                <w:szCs w:val="24"/>
              </w:rPr>
            </w:pPr>
            <w:r>
              <w:rPr>
                <w:rFonts w:hint="eastAsia" w:ascii="宋体" w:hAnsi="宋体" w:eastAsia="宋体" w:cs="宋体"/>
                <w:sz w:val="24"/>
                <w:szCs w:val="24"/>
              </w:rPr>
              <w:t>中国银行股份有限公司焦作分行</w:t>
            </w:r>
          </w:p>
        </w:tc>
        <w:tc>
          <w:tcPr>
            <w:tcW w:w="1230"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sz w:val="24"/>
                <w:szCs w:val="24"/>
              </w:rPr>
            </w:pPr>
            <w:r>
              <w:rPr>
                <w:rFonts w:hint="eastAsia" w:ascii="宋体" w:hAnsi="宋体" w:eastAsia="宋体" w:cs="宋体"/>
                <w:b w:val="0"/>
                <w:i w:val="0"/>
                <w:snapToGrid/>
                <w:color w:val="000000"/>
                <w:sz w:val="24"/>
                <w:szCs w:val="24"/>
                <w:u w:val="none"/>
                <w:shd w:val="clear" w:color="auto" w:fill="FFFFFF"/>
                <w:lang w:eastAsia="zh-CN"/>
              </w:rPr>
              <w:t>曹阳</w:t>
            </w:r>
          </w:p>
        </w:tc>
        <w:tc>
          <w:tcPr>
            <w:tcW w:w="1876"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000000"/>
                <w:sz w:val="24"/>
                <w:szCs w:val="24"/>
                <w:u w:val="none"/>
                <w:shd w:val="clear" w:color="auto" w:fill="FFFFFF"/>
                <w:lang w:eastAsia="zh-CN"/>
              </w:rPr>
            </w:pPr>
            <w:r>
              <w:rPr>
                <w:rFonts w:hint="eastAsia" w:ascii="宋体" w:hAnsi="宋体" w:eastAsia="宋体" w:cs="宋体"/>
                <w:b w:val="0"/>
                <w:i w:val="0"/>
                <w:snapToGrid/>
                <w:color w:val="000000"/>
                <w:sz w:val="24"/>
                <w:szCs w:val="24"/>
                <w:u w:val="none"/>
                <w:shd w:val="clear" w:color="auto" w:fill="FFFFFF"/>
                <w:lang w:eastAsia="zh-CN"/>
              </w:rPr>
              <w:t>0391-8825171  13839118160</w:t>
            </w:r>
          </w:p>
        </w:tc>
        <w:tc>
          <w:tcPr>
            <w:tcW w:w="2325"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000000"/>
                <w:sz w:val="24"/>
                <w:szCs w:val="24"/>
                <w:u w:val="none"/>
                <w:shd w:val="clear" w:color="auto" w:fill="FFFFFF"/>
                <w:lang w:eastAsia="zh-CN"/>
              </w:rPr>
            </w:pPr>
            <w:r>
              <w:rPr>
                <w:rFonts w:hint="eastAsia" w:ascii="宋体" w:hAnsi="宋体" w:eastAsia="宋体" w:cs="宋体"/>
                <w:b w:val="0"/>
                <w:i w:val="0"/>
                <w:snapToGrid/>
                <w:color w:val="000000"/>
                <w:sz w:val="24"/>
                <w:szCs w:val="24"/>
                <w:u w:val="none"/>
                <w:shd w:val="clear" w:color="auto" w:fill="FFFFFF"/>
                <w:lang w:eastAsia="zh-CN"/>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56" w:type="dxa"/>
            <w:shd w:val="clear" w:color="auto" w:fill="auto"/>
            <w:noWrap w:val="0"/>
            <w:vAlign w:val="center"/>
          </w:tcPr>
          <w:p>
            <w:pPr>
              <w:widowControl/>
              <w:tabs>
                <w:tab w:val="left" w:pos="0"/>
              </w:tabs>
              <w:spacing w:line="360" w:lineRule="exact"/>
              <w:rPr>
                <w:rFonts w:hint="eastAsia" w:ascii="宋体" w:hAnsi="宋体" w:eastAsia="宋体" w:cs="宋体"/>
                <w:sz w:val="24"/>
                <w:szCs w:val="24"/>
              </w:rPr>
            </w:pPr>
            <w:r>
              <w:rPr>
                <w:rFonts w:hint="eastAsia" w:ascii="宋体" w:hAnsi="宋体" w:eastAsia="宋体" w:cs="宋体"/>
                <w:sz w:val="24"/>
                <w:szCs w:val="24"/>
              </w:rPr>
              <w:t>中国建设银行股份有限公司焦作分行</w:t>
            </w:r>
          </w:p>
        </w:tc>
        <w:tc>
          <w:tcPr>
            <w:tcW w:w="1230" w:type="dxa"/>
            <w:shd w:val="clear" w:color="auto" w:fill="auto"/>
            <w:noWrap w:val="0"/>
            <w:vAlign w:val="center"/>
          </w:tcPr>
          <w:p>
            <w:pPr>
              <w:widowControl/>
              <w:tabs>
                <w:tab w:val="left" w:pos="0"/>
              </w:tabs>
              <w:spacing w:line="360" w:lineRule="exact"/>
              <w:jc w:val="center"/>
              <w:rPr>
                <w:rFonts w:hint="eastAsia" w:ascii="宋体" w:hAnsi="宋体" w:eastAsia="宋体" w:cs="宋体"/>
                <w:sz w:val="24"/>
                <w:szCs w:val="24"/>
              </w:rPr>
            </w:pPr>
            <w:r>
              <w:rPr>
                <w:rFonts w:hint="eastAsia" w:ascii="宋体" w:hAnsi="宋体" w:eastAsia="宋体" w:cs="宋体"/>
                <w:sz w:val="24"/>
                <w:szCs w:val="24"/>
                <w:lang w:eastAsia="zh-CN"/>
              </w:rPr>
              <w:t>李华莹</w:t>
            </w:r>
          </w:p>
        </w:tc>
        <w:tc>
          <w:tcPr>
            <w:tcW w:w="1876" w:type="dxa"/>
            <w:shd w:val="clear" w:color="auto" w:fill="auto"/>
            <w:noWrap w:val="0"/>
            <w:vAlign w:val="center"/>
          </w:tcPr>
          <w:p>
            <w:pPr>
              <w:widowControl/>
              <w:tabs>
                <w:tab w:val="left" w:pos="0"/>
              </w:tabs>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0391-3918471</w:t>
            </w:r>
          </w:p>
        </w:tc>
        <w:tc>
          <w:tcPr>
            <w:tcW w:w="2325" w:type="dxa"/>
            <w:shd w:val="solid" w:color="FFFFFF" w:fill="auto"/>
            <w:noWrap w:val="0"/>
            <w:vAlign w:val="center"/>
          </w:tcPr>
          <w:p>
            <w:pPr>
              <w:widowControl/>
              <w:tabs>
                <w:tab w:val="left" w:pos="0"/>
              </w:tabs>
              <w:spacing w:line="3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6" w:type="dxa"/>
            <w:shd w:val="clear" w:color="auto" w:fill="auto"/>
            <w:noWrap w:val="0"/>
            <w:vAlign w:val="center"/>
          </w:tcPr>
          <w:p>
            <w:pPr>
              <w:widowControl/>
              <w:tabs>
                <w:tab w:val="left" w:pos="0"/>
              </w:tabs>
              <w:spacing w:line="360" w:lineRule="exact"/>
              <w:rPr>
                <w:rFonts w:hint="eastAsia" w:ascii="宋体" w:hAnsi="宋体" w:eastAsia="宋体" w:cs="宋体"/>
                <w:sz w:val="24"/>
                <w:szCs w:val="24"/>
              </w:rPr>
            </w:pPr>
            <w:r>
              <w:rPr>
                <w:rFonts w:hint="eastAsia" w:ascii="宋体" w:hAnsi="宋体" w:eastAsia="宋体" w:cs="宋体"/>
                <w:sz w:val="24"/>
                <w:szCs w:val="24"/>
              </w:rPr>
              <w:t>中国邮政储蓄银行股份有限公司焦作市分行</w:t>
            </w:r>
          </w:p>
        </w:tc>
        <w:tc>
          <w:tcPr>
            <w:tcW w:w="1230"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sz w:val="24"/>
                <w:szCs w:val="24"/>
              </w:rPr>
            </w:pPr>
            <w:r>
              <w:rPr>
                <w:rFonts w:hint="eastAsia" w:ascii="宋体" w:hAnsi="宋体" w:eastAsia="宋体" w:cs="宋体"/>
                <w:b w:val="0"/>
                <w:i w:val="0"/>
                <w:snapToGrid/>
                <w:color w:val="000000"/>
                <w:sz w:val="24"/>
                <w:szCs w:val="24"/>
                <w:u w:val="none"/>
                <w:shd w:val="clear" w:color="auto" w:fill="FFFFFF"/>
                <w:lang w:eastAsia="zh-CN"/>
              </w:rPr>
              <w:t>李天祥</w:t>
            </w:r>
          </w:p>
        </w:tc>
        <w:tc>
          <w:tcPr>
            <w:tcW w:w="1876"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000000"/>
                <w:sz w:val="24"/>
                <w:szCs w:val="24"/>
                <w:u w:val="none"/>
                <w:shd w:val="clear" w:color="auto" w:fill="FFFFFF"/>
                <w:lang w:eastAsia="zh-CN"/>
              </w:rPr>
            </w:pPr>
            <w:r>
              <w:rPr>
                <w:rFonts w:hint="eastAsia" w:ascii="宋体" w:hAnsi="宋体" w:eastAsia="宋体" w:cs="宋体"/>
                <w:b w:val="0"/>
                <w:i w:val="0"/>
                <w:snapToGrid/>
                <w:color w:val="000000"/>
                <w:sz w:val="24"/>
                <w:szCs w:val="24"/>
                <w:u w:val="none"/>
                <w:shd w:val="clear" w:color="auto" w:fill="FFFFFF"/>
                <w:lang w:eastAsia="zh-CN"/>
              </w:rPr>
              <w:t>0391-2981968 13523359082</w:t>
            </w:r>
          </w:p>
        </w:tc>
        <w:tc>
          <w:tcPr>
            <w:tcW w:w="2325"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000000"/>
                <w:sz w:val="24"/>
                <w:szCs w:val="24"/>
                <w:u w:val="none"/>
                <w:shd w:val="clear" w:color="auto" w:fill="FFFFFF"/>
                <w:lang w:eastAsia="zh-CN"/>
              </w:rPr>
            </w:pPr>
            <w:r>
              <w:rPr>
                <w:rFonts w:hint="eastAsia" w:ascii="宋体" w:hAnsi="宋体" w:eastAsia="宋体" w:cs="宋体"/>
                <w:b w:val="0"/>
                <w:i w:val="0"/>
                <w:snapToGrid/>
                <w:color w:val="000000"/>
                <w:sz w:val="24"/>
                <w:szCs w:val="24"/>
                <w:u w:val="none"/>
                <w:shd w:val="clear" w:color="auto" w:fill="FFFFFF"/>
                <w:lang w:eastAsia="zh-CN"/>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656" w:type="dxa"/>
            <w:shd w:val="clear" w:color="auto" w:fill="auto"/>
            <w:noWrap w:val="0"/>
            <w:vAlign w:val="center"/>
          </w:tcPr>
          <w:p>
            <w:pPr>
              <w:widowControl/>
              <w:tabs>
                <w:tab w:val="left" w:pos="0"/>
              </w:tabs>
              <w:spacing w:line="360" w:lineRule="exact"/>
              <w:rPr>
                <w:rFonts w:hint="eastAsia" w:ascii="宋体" w:hAnsi="宋体" w:eastAsia="宋体" w:cs="宋体"/>
                <w:sz w:val="24"/>
                <w:szCs w:val="24"/>
              </w:rPr>
            </w:pPr>
            <w:r>
              <w:rPr>
                <w:rFonts w:hint="eastAsia" w:ascii="宋体" w:hAnsi="宋体" w:eastAsia="宋体" w:cs="宋体"/>
                <w:sz w:val="24"/>
                <w:szCs w:val="24"/>
              </w:rPr>
              <w:t>焦作中旅银行股份有限公司</w:t>
            </w:r>
          </w:p>
        </w:tc>
        <w:tc>
          <w:tcPr>
            <w:tcW w:w="1230"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sz w:val="24"/>
                <w:szCs w:val="24"/>
              </w:rPr>
            </w:pPr>
            <w:r>
              <w:rPr>
                <w:rFonts w:hint="eastAsia" w:ascii="宋体" w:hAnsi="宋体" w:eastAsia="宋体" w:cs="宋体"/>
                <w:b w:val="0"/>
                <w:i w:val="0"/>
                <w:snapToGrid/>
                <w:color w:val="000000"/>
                <w:sz w:val="24"/>
                <w:szCs w:val="24"/>
                <w:u w:val="none"/>
                <w:shd w:val="clear" w:color="auto" w:fill="FFFFFF"/>
                <w:lang w:eastAsia="zh-CN"/>
              </w:rPr>
              <w:t>周建林</w:t>
            </w:r>
          </w:p>
        </w:tc>
        <w:tc>
          <w:tcPr>
            <w:tcW w:w="1876"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000000"/>
                <w:sz w:val="24"/>
                <w:szCs w:val="24"/>
                <w:u w:val="none"/>
                <w:shd w:val="clear" w:color="auto" w:fill="FFFFFF"/>
                <w:lang w:eastAsia="zh-CN"/>
              </w:rPr>
            </w:pPr>
            <w:r>
              <w:rPr>
                <w:rFonts w:hint="eastAsia" w:ascii="宋体" w:hAnsi="宋体" w:eastAsia="宋体" w:cs="宋体"/>
                <w:b w:val="0"/>
                <w:i w:val="0"/>
                <w:snapToGrid/>
                <w:color w:val="000000"/>
                <w:sz w:val="24"/>
                <w:szCs w:val="24"/>
                <w:u w:val="none"/>
                <w:shd w:val="clear" w:color="auto" w:fill="FFFFFF"/>
                <w:lang w:eastAsia="zh-CN"/>
              </w:rPr>
              <w:t xml:space="preserve">0391-2116963 15893053027 </w:t>
            </w:r>
          </w:p>
        </w:tc>
        <w:tc>
          <w:tcPr>
            <w:tcW w:w="2325"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000000"/>
                <w:sz w:val="24"/>
                <w:szCs w:val="24"/>
                <w:u w:val="none"/>
                <w:shd w:val="clear" w:color="auto" w:fill="FFFFFF"/>
                <w:lang w:eastAsia="zh-CN"/>
              </w:rPr>
            </w:pPr>
            <w:r>
              <w:rPr>
                <w:rFonts w:hint="eastAsia" w:ascii="宋体" w:hAnsi="宋体" w:eastAsia="宋体" w:cs="宋体"/>
                <w:b w:val="0"/>
                <w:i w:val="0"/>
                <w:snapToGrid/>
                <w:color w:val="000000"/>
                <w:sz w:val="24"/>
                <w:szCs w:val="24"/>
                <w:u w:val="none"/>
                <w:shd w:val="clear" w:color="auto" w:fill="FFFFFF"/>
                <w:lang w:eastAsia="zh-CN"/>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656" w:type="dxa"/>
            <w:shd w:val="clear" w:color="auto" w:fill="auto"/>
            <w:noWrap w:val="0"/>
            <w:vAlign w:val="center"/>
          </w:tcPr>
          <w:p>
            <w:pPr>
              <w:widowControl/>
              <w:tabs>
                <w:tab w:val="left" w:pos="0"/>
              </w:tabs>
              <w:spacing w:line="360" w:lineRule="exact"/>
              <w:rPr>
                <w:rFonts w:hint="eastAsia" w:ascii="宋体" w:hAnsi="宋体" w:eastAsia="宋体" w:cs="宋体"/>
                <w:sz w:val="24"/>
                <w:szCs w:val="24"/>
              </w:rPr>
            </w:pPr>
            <w:r>
              <w:rPr>
                <w:rFonts w:hint="eastAsia" w:ascii="宋体" w:hAnsi="宋体" w:eastAsia="宋体" w:cs="宋体"/>
                <w:sz w:val="24"/>
                <w:szCs w:val="24"/>
              </w:rPr>
              <w:t>中信银行股份有限公司焦作分行</w:t>
            </w:r>
          </w:p>
        </w:tc>
        <w:tc>
          <w:tcPr>
            <w:tcW w:w="1230" w:type="dxa"/>
            <w:shd w:val="clear" w:color="auto" w:fill="auto"/>
            <w:noWrap w:val="0"/>
            <w:vAlign w:val="center"/>
          </w:tcPr>
          <w:p>
            <w:pPr>
              <w:widowControl/>
              <w:tabs>
                <w:tab w:val="left" w:pos="0"/>
              </w:tabs>
              <w:spacing w:line="360" w:lineRule="exact"/>
              <w:jc w:val="center"/>
              <w:rPr>
                <w:rFonts w:hint="eastAsia" w:ascii="宋体" w:hAnsi="宋体" w:eastAsia="宋体" w:cs="宋体"/>
                <w:sz w:val="24"/>
                <w:szCs w:val="24"/>
              </w:rPr>
            </w:pPr>
            <w:r>
              <w:rPr>
                <w:rFonts w:hint="eastAsia" w:ascii="宋体" w:hAnsi="宋体" w:eastAsia="宋体" w:cs="宋体"/>
                <w:sz w:val="24"/>
                <w:szCs w:val="24"/>
                <w:lang w:eastAsia="zh-CN"/>
              </w:rPr>
              <w:t>周江江</w:t>
            </w:r>
          </w:p>
        </w:tc>
        <w:tc>
          <w:tcPr>
            <w:tcW w:w="1876" w:type="dxa"/>
            <w:shd w:val="clear" w:color="auto" w:fill="auto"/>
            <w:noWrap w:val="0"/>
            <w:vAlign w:val="center"/>
          </w:tcPr>
          <w:p>
            <w:pPr>
              <w:widowControl/>
              <w:tabs>
                <w:tab w:val="left" w:pos="0"/>
              </w:tabs>
              <w:spacing w:line="3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17639185001</w:t>
            </w:r>
          </w:p>
        </w:tc>
        <w:tc>
          <w:tcPr>
            <w:tcW w:w="2325" w:type="dxa"/>
            <w:shd w:val="solid" w:color="FFFFFF" w:fill="auto"/>
            <w:noWrap w:val="0"/>
            <w:vAlign w:val="center"/>
          </w:tcPr>
          <w:p>
            <w:pPr>
              <w:widowControl/>
              <w:tabs>
                <w:tab w:val="left" w:pos="0"/>
              </w:tabs>
              <w:spacing w:line="3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656" w:type="dxa"/>
            <w:shd w:val="clear" w:color="auto" w:fill="auto"/>
            <w:noWrap w:val="0"/>
            <w:vAlign w:val="center"/>
          </w:tcPr>
          <w:p>
            <w:pPr>
              <w:widowControl/>
              <w:tabs>
                <w:tab w:val="left" w:pos="0"/>
              </w:tabs>
              <w:spacing w:line="360" w:lineRule="exact"/>
              <w:rPr>
                <w:rFonts w:hint="eastAsia" w:ascii="宋体" w:hAnsi="宋体" w:eastAsia="宋体" w:cs="宋体"/>
                <w:sz w:val="24"/>
                <w:szCs w:val="24"/>
              </w:rPr>
            </w:pPr>
            <w:r>
              <w:rPr>
                <w:rFonts w:hint="eastAsia" w:ascii="宋体" w:hAnsi="宋体" w:eastAsia="宋体" w:cs="宋体"/>
                <w:bCs/>
                <w:sz w:val="24"/>
                <w:szCs w:val="24"/>
              </w:rPr>
              <w:t>中国光大银行股份有限公司焦作分行</w:t>
            </w:r>
          </w:p>
        </w:tc>
        <w:tc>
          <w:tcPr>
            <w:tcW w:w="1230"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sz w:val="24"/>
                <w:szCs w:val="24"/>
              </w:rPr>
            </w:pPr>
            <w:r>
              <w:rPr>
                <w:rFonts w:hint="eastAsia" w:ascii="宋体" w:hAnsi="宋体" w:eastAsia="宋体" w:cs="宋体"/>
                <w:b w:val="0"/>
                <w:i w:val="0"/>
                <w:snapToGrid/>
                <w:color w:val="000000"/>
                <w:sz w:val="24"/>
                <w:szCs w:val="24"/>
                <w:u w:val="none"/>
                <w:shd w:val="clear" w:color="auto" w:fill="FFFFFF"/>
                <w:lang w:eastAsia="zh-CN"/>
              </w:rPr>
              <w:t>王海宾</w:t>
            </w:r>
          </w:p>
        </w:tc>
        <w:tc>
          <w:tcPr>
            <w:tcW w:w="1876"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000000"/>
                <w:sz w:val="24"/>
                <w:szCs w:val="24"/>
                <w:u w:val="none"/>
                <w:shd w:val="clear" w:color="auto" w:fill="FFFFFF"/>
                <w:lang w:eastAsia="zh-CN"/>
              </w:rPr>
            </w:pPr>
            <w:r>
              <w:rPr>
                <w:rFonts w:hint="eastAsia" w:ascii="宋体" w:hAnsi="宋体" w:eastAsia="宋体" w:cs="宋体"/>
                <w:b w:val="0"/>
                <w:i w:val="0"/>
                <w:snapToGrid/>
                <w:color w:val="000000"/>
                <w:sz w:val="24"/>
                <w:szCs w:val="24"/>
                <w:u w:val="none"/>
                <w:shd w:val="clear" w:color="auto" w:fill="FFFFFF"/>
                <w:lang w:eastAsia="zh-CN"/>
              </w:rPr>
              <w:t>0391-8787996 13598534626</w:t>
            </w:r>
          </w:p>
        </w:tc>
        <w:tc>
          <w:tcPr>
            <w:tcW w:w="2325"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000000"/>
                <w:sz w:val="24"/>
                <w:szCs w:val="24"/>
                <w:u w:val="none"/>
                <w:shd w:val="clear" w:color="auto" w:fill="FFFFFF"/>
                <w:lang w:eastAsia="zh-CN"/>
              </w:rPr>
            </w:pPr>
            <w:r>
              <w:rPr>
                <w:rFonts w:hint="eastAsia" w:ascii="宋体" w:hAnsi="宋体" w:eastAsia="宋体" w:cs="宋体"/>
                <w:b w:val="0"/>
                <w:i w:val="0"/>
                <w:snapToGrid/>
                <w:color w:val="000000"/>
                <w:sz w:val="24"/>
                <w:szCs w:val="24"/>
                <w:u w:val="none"/>
                <w:shd w:val="clear" w:color="auto" w:fill="FFFFFF"/>
                <w:lang w:eastAsia="zh-CN"/>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3656" w:type="dxa"/>
            <w:shd w:val="clear" w:color="auto" w:fill="auto"/>
            <w:noWrap w:val="0"/>
            <w:vAlign w:val="center"/>
          </w:tcPr>
          <w:p>
            <w:pPr>
              <w:widowControl/>
              <w:tabs>
                <w:tab w:val="left" w:pos="0"/>
              </w:tabs>
              <w:spacing w:line="360" w:lineRule="exact"/>
              <w:rPr>
                <w:rFonts w:hint="eastAsia" w:ascii="宋体" w:hAnsi="宋体" w:eastAsia="宋体" w:cs="宋体"/>
                <w:sz w:val="24"/>
                <w:szCs w:val="24"/>
              </w:rPr>
            </w:pPr>
            <w:r>
              <w:rPr>
                <w:rFonts w:hint="eastAsia" w:ascii="宋体" w:hAnsi="宋体" w:eastAsia="宋体" w:cs="宋体"/>
                <w:sz w:val="24"/>
                <w:szCs w:val="24"/>
              </w:rPr>
              <w:t>中原银行股份有限公司焦作分行</w:t>
            </w:r>
          </w:p>
        </w:tc>
        <w:tc>
          <w:tcPr>
            <w:tcW w:w="1230"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sz w:val="24"/>
                <w:szCs w:val="24"/>
              </w:rPr>
            </w:pPr>
            <w:r>
              <w:rPr>
                <w:rFonts w:hint="eastAsia" w:ascii="宋体" w:hAnsi="宋体" w:eastAsia="宋体" w:cs="宋体"/>
                <w:b w:val="0"/>
                <w:i w:val="0"/>
                <w:snapToGrid/>
                <w:color w:val="000000"/>
                <w:sz w:val="24"/>
                <w:szCs w:val="24"/>
                <w:u w:val="none"/>
                <w:shd w:val="clear" w:color="auto" w:fill="FFFFFF"/>
                <w:lang w:eastAsia="zh-CN"/>
              </w:rPr>
              <w:t>赵伟</w:t>
            </w:r>
          </w:p>
        </w:tc>
        <w:tc>
          <w:tcPr>
            <w:tcW w:w="1876"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000000"/>
                <w:sz w:val="24"/>
                <w:szCs w:val="24"/>
                <w:u w:val="none"/>
                <w:shd w:val="clear" w:color="auto" w:fill="FFFFFF"/>
                <w:lang w:eastAsia="zh-CN"/>
              </w:rPr>
            </w:pPr>
            <w:r>
              <w:rPr>
                <w:rFonts w:hint="eastAsia" w:ascii="宋体" w:hAnsi="宋体" w:eastAsia="宋体" w:cs="宋体"/>
                <w:b w:val="0"/>
                <w:i w:val="0"/>
                <w:snapToGrid/>
                <w:color w:val="000000"/>
                <w:sz w:val="24"/>
                <w:szCs w:val="24"/>
                <w:u w:val="none"/>
                <w:shd w:val="clear" w:color="auto" w:fill="FFFFFF"/>
                <w:lang w:eastAsia="zh-CN"/>
              </w:rPr>
              <w:t>0391-8796520 15738533033</w:t>
            </w:r>
          </w:p>
        </w:tc>
        <w:tc>
          <w:tcPr>
            <w:tcW w:w="2325"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000000"/>
                <w:sz w:val="24"/>
                <w:szCs w:val="24"/>
                <w:u w:val="none"/>
                <w:shd w:val="clear" w:color="auto" w:fill="FFFFFF"/>
                <w:lang w:eastAsia="zh-CN"/>
              </w:rPr>
            </w:pPr>
            <w:r>
              <w:rPr>
                <w:rFonts w:hint="eastAsia" w:ascii="宋体" w:hAnsi="宋体" w:eastAsia="宋体" w:cs="宋体"/>
                <w:b w:val="0"/>
                <w:i w:val="0"/>
                <w:snapToGrid/>
                <w:color w:val="000000"/>
                <w:sz w:val="24"/>
                <w:szCs w:val="24"/>
                <w:u w:val="none"/>
                <w:shd w:val="clear" w:color="auto" w:fill="FFFFFF"/>
                <w:lang w:eastAsia="zh-CN"/>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656" w:type="dxa"/>
            <w:shd w:val="clear" w:color="auto" w:fill="auto"/>
            <w:noWrap w:val="0"/>
            <w:vAlign w:val="center"/>
          </w:tcPr>
          <w:p>
            <w:pPr>
              <w:widowControl/>
              <w:tabs>
                <w:tab w:val="left" w:pos="0"/>
              </w:tabs>
              <w:spacing w:line="360" w:lineRule="exact"/>
              <w:rPr>
                <w:rFonts w:hint="eastAsia" w:ascii="宋体" w:hAnsi="宋体" w:eastAsia="宋体" w:cs="宋体"/>
                <w:sz w:val="24"/>
                <w:szCs w:val="24"/>
              </w:rPr>
            </w:pPr>
            <w:r>
              <w:rPr>
                <w:rFonts w:hint="eastAsia" w:ascii="宋体" w:hAnsi="宋体" w:eastAsia="宋体" w:cs="宋体"/>
                <w:sz w:val="24"/>
                <w:szCs w:val="24"/>
              </w:rPr>
              <w:t>广发银行股份有限公司焦作分行</w:t>
            </w:r>
          </w:p>
        </w:tc>
        <w:tc>
          <w:tcPr>
            <w:tcW w:w="1230"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sz w:val="24"/>
                <w:szCs w:val="24"/>
              </w:rPr>
            </w:pPr>
            <w:r>
              <w:rPr>
                <w:rFonts w:hint="eastAsia" w:ascii="宋体" w:hAnsi="宋体" w:eastAsia="宋体" w:cs="宋体"/>
                <w:b w:val="0"/>
                <w:i w:val="0"/>
                <w:snapToGrid/>
                <w:color w:val="000000"/>
                <w:sz w:val="24"/>
                <w:szCs w:val="24"/>
                <w:u w:val="none"/>
                <w:shd w:val="clear" w:color="auto" w:fill="FFFFFF"/>
                <w:lang w:eastAsia="zh-CN"/>
              </w:rPr>
              <w:t>张嘉强</w:t>
            </w:r>
          </w:p>
        </w:tc>
        <w:tc>
          <w:tcPr>
            <w:tcW w:w="1876"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000000"/>
                <w:sz w:val="24"/>
                <w:szCs w:val="24"/>
                <w:u w:val="none"/>
                <w:shd w:val="clear" w:color="auto" w:fill="FFFFFF"/>
                <w:lang w:eastAsia="zh-CN"/>
              </w:rPr>
            </w:pPr>
            <w:r>
              <w:rPr>
                <w:rFonts w:hint="eastAsia" w:ascii="宋体" w:hAnsi="宋体" w:eastAsia="宋体" w:cs="宋体"/>
                <w:b w:val="0"/>
                <w:i w:val="0"/>
                <w:snapToGrid/>
                <w:color w:val="000000"/>
                <w:sz w:val="24"/>
                <w:szCs w:val="24"/>
                <w:u w:val="none"/>
                <w:shd w:val="clear" w:color="auto" w:fill="FFFFFF"/>
                <w:lang w:eastAsia="zh-CN"/>
              </w:rPr>
              <w:t>0391-653785 13203910032</w:t>
            </w:r>
          </w:p>
        </w:tc>
        <w:tc>
          <w:tcPr>
            <w:tcW w:w="2325"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000000"/>
                <w:sz w:val="24"/>
                <w:szCs w:val="24"/>
                <w:u w:val="none"/>
                <w:shd w:val="clear" w:color="auto" w:fill="FFFFFF"/>
                <w:lang w:eastAsia="zh-CN"/>
              </w:rPr>
            </w:pPr>
            <w:r>
              <w:rPr>
                <w:rFonts w:hint="eastAsia" w:ascii="宋体" w:hAnsi="宋体" w:eastAsia="宋体" w:cs="宋体"/>
                <w:b w:val="0"/>
                <w:i w:val="0"/>
                <w:snapToGrid/>
                <w:color w:val="000000"/>
                <w:sz w:val="24"/>
                <w:szCs w:val="24"/>
                <w:u w:val="none"/>
                <w:shd w:val="clear" w:color="auto" w:fill="FFFFFF"/>
                <w:lang w:eastAsia="zh-CN"/>
              </w:rPr>
              <w:t>焦作市塔南路1736号嘉隆金融中心</w:t>
            </w:r>
          </w:p>
        </w:tc>
      </w:tr>
    </w:tbl>
    <w:p>
      <w:pPr>
        <w:rPr>
          <w:rFonts w:hint="eastAsia" w:ascii="宋体" w:hAnsi="宋体" w:eastAsia="宋体" w:cs="宋体"/>
          <w:sz w:val="24"/>
          <w:szCs w:val="24"/>
          <w:highlight w:val="yellow"/>
        </w:rPr>
      </w:pPr>
      <w:r>
        <w:rPr>
          <w:rFonts w:hint="eastAsia" w:ascii="宋体" w:hAnsi="宋体" w:eastAsia="宋体" w:cs="宋体"/>
          <w:sz w:val="24"/>
          <w:szCs w:val="24"/>
          <w:lang w:eastAsia="zh-CN"/>
        </w:rPr>
        <w:t>备注：融资服务机构名单和人员联系方式会随时变化。具体情况可登录“</w:t>
      </w:r>
      <w:r>
        <w:rPr>
          <w:rFonts w:hint="eastAsia" w:ascii="宋体" w:hAnsi="宋体" w:eastAsia="宋体" w:cs="宋体"/>
          <w:sz w:val="24"/>
          <w:szCs w:val="24"/>
        </w:rPr>
        <w:t>焦作市政府采购网”</w:t>
      </w:r>
      <w:r>
        <w:rPr>
          <w:rFonts w:hint="eastAsia" w:ascii="宋体" w:hAnsi="宋体" w:eastAsia="宋体" w:cs="宋体"/>
          <w:sz w:val="24"/>
          <w:szCs w:val="24"/>
          <w:lang w:eastAsia="zh-CN"/>
        </w:rPr>
        <w:t>政府采购合同融资平台查询。</w:t>
      </w:r>
    </w:p>
    <w:p>
      <w:pPr>
        <w:rPr>
          <w:rFonts w:hint="eastAsia" w:ascii="宋体" w:hAnsi="宋体" w:eastAsia="宋体" w:cs="宋体"/>
          <w:sz w:val="24"/>
          <w:szCs w:val="24"/>
          <w:highlight w:val="yellow"/>
        </w:rPr>
      </w:pPr>
    </w:p>
    <w:p>
      <w:pPr>
        <w:rPr>
          <w:highlight w:val="yellow"/>
        </w:rPr>
      </w:pPr>
    </w:p>
    <w:sectPr>
      <w:footerReference r:id="rId5" w:type="default"/>
      <w:pgSz w:w="11907" w:h="16840"/>
      <w:pgMar w:top="1276" w:right="1116" w:bottom="1417" w:left="911" w:header="850" w:footer="998" w:gutter="0"/>
      <w:pgNumType w:fmt="numberInDash"/>
      <w:cols w:space="72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panose1 w:val="02040602050305030304"/>
    <w:charset w:val="00"/>
    <w:family w:val="roman"/>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x000B__x000C_">
    <w:altName w:val="Times New Roman"/>
    <w:panose1 w:val="00000000000000000000"/>
    <w:charset w:val="00"/>
    <w:family w:val="auto"/>
    <w:pitch w:val="default"/>
    <w:sig w:usb0="00000000" w:usb1="00000000" w:usb2="00000000" w:usb3="00000000" w:csb0="00040001" w:csb1="00000000"/>
  </w:font>
  <w:font w:name="FZSSK--GBK1-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E-BZ">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path/>
          <v:fill on="f" focussize="0,0"/>
          <v:stroke on="f" weight="0.5pt" joinstyle="miter"/>
          <v:imagedata o:title=""/>
          <o:lock v:ext="edit"/>
          <v:textbox inset="0mm,0mm,0mm,0mm" style="mso-fit-shape-to-text:t;">
            <w:txbxContent>
              <w:p>
                <w:pPr>
                  <w:pStyle w:val="28"/>
                </w:pPr>
                <w:r>
                  <w:fldChar w:fldCharType="begin"/>
                </w:r>
                <w:r>
                  <w:instrText xml:space="preserve"> PAGE  \* MERGEFORMAT </w:instrText>
                </w:r>
                <w:r>
                  <w:fldChar w:fldCharType="separate"/>
                </w:r>
                <w:r>
                  <w:t>- 2 -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joinstyle="miter"/>
          <v:imagedata o:title=""/>
          <o:lock v:ext="edit"/>
          <v:textbox inset="0mm,0mm,0mm,0mm" style="mso-fit-shape-to-text:t;">
            <w:txbxContent>
              <w:p>
                <w:pPr>
                  <w:pStyle w:val="28"/>
                </w:pPr>
                <w:r>
                  <w:fldChar w:fldCharType="begin"/>
                </w:r>
                <w:r>
                  <w:instrText xml:space="preserve"> PAGE  \* MERGEFORMAT </w:instrText>
                </w:r>
                <w:r>
                  <w:fldChar w:fldCharType="separate"/>
                </w:r>
                <w:r>
                  <w:t>- 1 -</w:t>
                </w:r>
                <w:r>
                  <w:fldChar w:fldCharType="end"/>
                </w:r>
              </w:p>
            </w:txbxContent>
          </v:textbox>
        </v:shape>
      </w:pict>
    </w:r>
    <w:r>
      <w:pict>
        <v:shape id="_x0000_s3076" o:spid="_x0000_s3076" o:spt="202" type="#_x0000_t202" style="position:absolute;left:0pt;margin-left:189.25pt;margin-top:-21.75pt;height:165.75pt;width:119.25pt;mso-position-horizontal-relative:margin;z-index:251659264;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DdlaH3sQEAAGADAAAOAAAAAAAAAAEAIAAAACcBAABkcnMvZTJvRG9jLnhtbFBLBQYAAAAABgAG&#10;AFkBAABKBQAAAAA=&#10;">
          <v:path/>
          <v:fill on="f" focussize="0,0"/>
          <v:stroke on="f" joinstyle="miter"/>
          <v:imagedata o:title=""/>
          <o:lock v:ext="edit"/>
          <v:textbox>
            <w:txbxContent>
              <w:p>
                <w:pPr>
                  <w:snapToGrid w:val="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sz w:val="16"/>
        <w:szCs w:val="22"/>
      </w:rPr>
    </w:pPr>
    <w:r>
      <w:rPr>
        <w:sz w:val="20"/>
        <w:szCs w:val="22"/>
      </w:rPr>
      <w:pict>
        <v:shape id="_x0000_s3073" o:spid="_x0000_s3073"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P/NPQ9IBAAClAwAADgAAAAAAAAABACAAAAAfAQAA&#10;ZHJzL2Uyb0RvYy54bWxQSwUGAAAAAAYABgBZAQAAYwUAAAAA&#10;">
          <v:path/>
          <v:fill on="f" focussize="0,0"/>
          <v:stroke on="f" joinstyle="miter"/>
          <v:imagedata o:title=""/>
          <o:lock v:ext="edit"/>
          <v:textbox inset="0mm,0mm,0mm,0mm" style="mso-fit-shape-to-text:t;">
            <w:txbxContent>
              <w:p>
                <w:pPr>
                  <w:pStyle w:val="28"/>
                </w:pPr>
                <w:r>
                  <w:fldChar w:fldCharType="begin"/>
                </w:r>
                <w:r>
                  <w:instrText xml:space="preserve"> PAGE  \* MERGEFORMAT </w:instrText>
                </w:r>
                <w:r>
                  <w:fldChar w:fldCharType="separate"/>
                </w:r>
                <w:r>
                  <w:t>- 42 -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131D5"/>
    <w:multiLevelType w:val="singleLevel"/>
    <w:tmpl w:val="806131D5"/>
    <w:lvl w:ilvl="0" w:tentative="0">
      <w:start w:val="7"/>
      <w:numFmt w:val="chineseCounting"/>
      <w:suff w:val="nothing"/>
      <w:lvlText w:val="%1、"/>
      <w:lvlJc w:val="left"/>
      <w:rPr>
        <w:rFonts w:hint="eastAsia"/>
      </w:rPr>
    </w:lvl>
  </w:abstractNum>
  <w:abstractNum w:abstractNumId="1">
    <w:nsid w:val="991C7613"/>
    <w:multiLevelType w:val="multilevel"/>
    <w:tmpl w:val="991C7613"/>
    <w:lvl w:ilvl="0" w:tentative="0">
      <w:start w:val="1"/>
      <w:numFmt w:val="decimal"/>
      <w:lvlText w:val="%1."/>
      <w:lvlJc w:val="left"/>
      <w:pPr>
        <w:ind w:left="567" w:hanging="567"/>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D6A8FD69"/>
    <w:multiLevelType w:val="singleLevel"/>
    <w:tmpl w:val="D6A8FD69"/>
    <w:lvl w:ilvl="0" w:tentative="0">
      <w:start w:val="7"/>
      <w:numFmt w:val="chineseCounting"/>
      <w:suff w:val="nothing"/>
      <w:lvlText w:val="%1、"/>
      <w:lvlJc w:val="left"/>
      <w:rPr>
        <w:rFonts w:hint="eastAsia"/>
      </w:rPr>
    </w:lvl>
  </w:abstractNum>
  <w:abstractNum w:abstractNumId="3">
    <w:nsid w:val="E25B3C03"/>
    <w:multiLevelType w:val="singleLevel"/>
    <w:tmpl w:val="E25B3C03"/>
    <w:lvl w:ilvl="0" w:tentative="0">
      <w:start w:val="1"/>
      <w:numFmt w:val="decimal"/>
      <w:suff w:val="nothing"/>
      <w:lvlText w:val="（%1）"/>
      <w:lvlJc w:val="left"/>
    </w:lvl>
  </w:abstractNum>
  <w:abstractNum w:abstractNumId="4">
    <w:nsid w:val="00000001"/>
    <w:multiLevelType w:val="multilevel"/>
    <w:tmpl w:val="00000001"/>
    <w:lvl w:ilvl="0" w:tentative="0">
      <w:start w:val="1"/>
      <w:numFmt w:val="decimal"/>
      <w:lvlText w:val="%1．"/>
      <w:lvlJc w:val="left"/>
      <w:pPr>
        <w:tabs>
          <w:tab w:val="left" w:pos="825"/>
        </w:tabs>
        <w:ind w:left="332" w:hanging="22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4"/>
    <w:multiLevelType w:val="multilevel"/>
    <w:tmpl w:val="00000004"/>
    <w:lvl w:ilvl="0" w:tentative="0">
      <w:start w:val="1"/>
      <w:numFmt w:val="decimal"/>
      <w:pStyle w:val="112"/>
      <w:lvlText w:val="%1."/>
      <w:lvlJc w:val="left"/>
      <w:pPr>
        <w:tabs>
          <w:tab w:val="left" w:pos="425"/>
        </w:tabs>
        <w:ind w:left="425" w:hanging="425"/>
      </w:pPr>
      <w:rPr>
        <w:rFonts w:hint="eastAsia"/>
        <w:b/>
        <w:i w:val="0"/>
      </w:rPr>
    </w:lvl>
    <w:lvl w:ilvl="1" w:tentative="0">
      <w:start w:val="1"/>
      <w:numFmt w:val="decimal"/>
      <w:lvlText w:val="%1.%2."/>
      <w:lvlJc w:val="left"/>
      <w:pPr>
        <w:tabs>
          <w:tab w:val="left" w:pos="170"/>
        </w:tabs>
        <w:ind w:left="170" w:hanging="170"/>
      </w:pPr>
      <w:rPr>
        <w:rFonts w:hint="eastAsia"/>
      </w:rPr>
    </w:lvl>
    <w:lvl w:ilvl="2" w:tentative="0">
      <w:start w:val="1"/>
      <w:numFmt w:val="decimal"/>
      <w:lvlText w:val="%1.%2.%3."/>
      <w:lvlJc w:val="left"/>
      <w:pPr>
        <w:tabs>
          <w:tab w:val="left" w:pos="340"/>
        </w:tabs>
        <w:ind w:left="340" w:hanging="170"/>
      </w:pPr>
      <w:rPr>
        <w:rFonts w:hint="eastAsia"/>
        <w:color w:val="auto"/>
      </w:rPr>
    </w:lvl>
    <w:lvl w:ilvl="3" w:tentative="0">
      <w:start w:val="1"/>
      <w:numFmt w:val="decimal"/>
      <w:lvlText w:val="%1.%2.%3.%4."/>
      <w:lvlJc w:val="left"/>
      <w:pPr>
        <w:tabs>
          <w:tab w:val="left" w:pos="510"/>
        </w:tabs>
        <w:ind w:left="510" w:hanging="17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1C58BAF0"/>
    <w:multiLevelType w:val="singleLevel"/>
    <w:tmpl w:val="1C58BAF0"/>
    <w:lvl w:ilvl="0" w:tentative="0">
      <w:start w:val="1"/>
      <w:numFmt w:val="decimal"/>
      <w:suff w:val="nothing"/>
      <w:lvlText w:val="（%1）"/>
      <w:lvlJc w:val="left"/>
    </w:lvl>
  </w:abstractNum>
  <w:abstractNum w:abstractNumId="8">
    <w:nsid w:val="5A693C2F"/>
    <w:multiLevelType w:val="singleLevel"/>
    <w:tmpl w:val="5A693C2F"/>
    <w:lvl w:ilvl="0" w:tentative="0">
      <w:start w:val="3"/>
      <w:numFmt w:val="chineseCounting"/>
      <w:suff w:val="space"/>
      <w:lvlText w:val="第%1章"/>
      <w:lvlJc w:val="left"/>
    </w:lvl>
  </w:abstractNum>
  <w:abstractNum w:abstractNumId="9">
    <w:nsid w:val="75324FB0"/>
    <w:multiLevelType w:val="singleLevel"/>
    <w:tmpl w:val="75324FB0"/>
    <w:lvl w:ilvl="0" w:tentative="0">
      <w:start w:val="1"/>
      <w:numFmt w:val="chineseCounting"/>
      <w:suff w:val="space"/>
      <w:lvlText w:val="第%1章"/>
      <w:lvlJc w:val="left"/>
      <w:pPr>
        <w:ind w:left="630"/>
      </w:pPr>
      <w:rPr>
        <w:rFonts w:hint="eastAsia"/>
      </w:rPr>
    </w:lvl>
  </w:abstractNum>
  <w:num w:numId="1">
    <w:abstractNumId w:val="6"/>
  </w:num>
  <w:num w:numId="2">
    <w:abstractNumId w:val="9"/>
  </w:num>
  <w:num w:numId="3">
    <w:abstractNumId w:val="0"/>
  </w:num>
  <w:num w:numId="4">
    <w:abstractNumId w:val="5"/>
  </w:num>
  <w:num w:numId="5">
    <w:abstractNumId w:val="8"/>
  </w:num>
  <w:num w:numId="6">
    <w:abstractNumId w:val="1"/>
  </w:num>
  <w:num w:numId="7">
    <w:abstractNumId w:val="7"/>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C07F7"/>
    <w:rsid w:val="0001346A"/>
    <w:rsid w:val="00063AF6"/>
    <w:rsid w:val="00076BE7"/>
    <w:rsid w:val="000A6C62"/>
    <w:rsid w:val="000B39BA"/>
    <w:rsid w:val="00166522"/>
    <w:rsid w:val="00216421"/>
    <w:rsid w:val="00253C5A"/>
    <w:rsid w:val="002A615E"/>
    <w:rsid w:val="002C1302"/>
    <w:rsid w:val="00334AD5"/>
    <w:rsid w:val="00361BC5"/>
    <w:rsid w:val="0036575F"/>
    <w:rsid w:val="003D7AE1"/>
    <w:rsid w:val="00402E99"/>
    <w:rsid w:val="004406E3"/>
    <w:rsid w:val="00462D90"/>
    <w:rsid w:val="004B5D60"/>
    <w:rsid w:val="004C597B"/>
    <w:rsid w:val="004F7D2F"/>
    <w:rsid w:val="0054352A"/>
    <w:rsid w:val="005673A3"/>
    <w:rsid w:val="005F7ECF"/>
    <w:rsid w:val="00627B00"/>
    <w:rsid w:val="006C19CE"/>
    <w:rsid w:val="006D0538"/>
    <w:rsid w:val="00793577"/>
    <w:rsid w:val="007B73C5"/>
    <w:rsid w:val="007F2A90"/>
    <w:rsid w:val="008135DE"/>
    <w:rsid w:val="008622AE"/>
    <w:rsid w:val="008A0147"/>
    <w:rsid w:val="008A46C7"/>
    <w:rsid w:val="00935B6C"/>
    <w:rsid w:val="00956B37"/>
    <w:rsid w:val="009F3EFB"/>
    <w:rsid w:val="00A83E98"/>
    <w:rsid w:val="00A85F8B"/>
    <w:rsid w:val="00A912D2"/>
    <w:rsid w:val="00AE0C96"/>
    <w:rsid w:val="00B14CBE"/>
    <w:rsid w:val="00BF0334"/>
    <w:rsid w:val="00C0226B"/>
    <w:rsid w:val="00C56912"/>
    <w:rsid w:val="00C95C47"/>
    <w:rsid w:val="00C96A00"/>
    <w:rsid w:val="00D0289A"/>
    <w:rsid w:val="00D33675"/>
    <w:rsid w:val="00DE5275"/>
    <w:rsid w:val="00DE5B2F"/>
    <w:rsid w:val="00E00402"/>
    <w:rsid w:val="00E216F9"/>
    <w:rsid w:val="00EA50CB"/>
    <w:rsid w:val="00FC07F7"/>
    <w:rsid w:val="026B7462"/>
    <w:rsid w:val="02AE1565"/>
    <w:rsid w:val="02BD3CA5"/>
    <w:rsid w:val="02EE394E"/>
    <w:rsid w:val="031B21F1"/>
    <w:rsid w:val="03291709"/>
    <w:rsid w:val="03CE7267"/>
    <w:rsid w:val="04445A6F"/>
    <w:rsid w:val="04A96AD3"/>
    <w:rsid w:val="04B50786"/>
    <w:rsid w:val="04C8774B"/>
    <w:rsid w:val="0576381C"/>
    <w:rsid w:val="058218A3"/>
    <w:rsid w:val="05D003A1"/>
    <w:rsid w:val="08193505"/>
    <w:rsid w:val="081E0A3F"/>
    <w:rsid w:val="08A21808"/>
    <w:rsid w:val="09242161"/>
    <w:rsid w:val="09BC72E8"/>
    <w:rsid w:val="0A5E12A9"/>
    <w:rsid w:val="0AE978F9"/>
    <w:rsid w:val="0B0A2060"/>
    <w:rsid w:val="0B4E0653"/>
    <w:rsid w:val="0B73403D"/>
    <w:rsid w:val="0C152444"/>
    <w:rsid w:val="0C8F4EFE"/>
    <w:rsid w:val="0CD86A66"/>
    <w:rsid w:val="0CFD33F5"/>
    <w:rsid w:val="0D7F4A6C"/>
    <w:rsid w:val="0E0C2192"/>
    <w:rsid w:val="0F0D7248"/>
    <w:rsid w:val="0F1B3720"/>
    <w:rsid w:val="0F5B7462"/>
    <w:rsid w:val="10953E1F"/>
    <w:rsid w:val="114E7AAC"/>
    <w:rsid w:val="11655A41"/>
    <w:rsid w:val="12763E2B"/>
    <w:rsid w:val="13092A1A"/>
    <w:rsid w:val="130C2333"/>
    <w:rsid w:val="133E2C29"/>
    <w:rsid w:val="134540D3"/>
    <w:rsid w:val="135A2F84"/>
    <w:rsid w:val="141F2F2D"/>
    <w:rsid w:val="14CE5ED8"/>
    <w:rsid w:val="15452C99"/>
    <w:rsid w:val="15463B6C"/>
    <w:rsid w:val="15F8364B"/>
    <w:rsid w:val="16133C89"/>
    <w:rsid w:val="172209D0"/>
    <w:rsid w:val="173C0FBE"/>
    <w:rsid w:val="176A7EE4"/>
    <w:rsid w:val="1A006299"/>
    <w:rsid w:val="1B62134A"/>
    <w:rsid w:val="1B880EE1"/>
    <w:rsid w:val="1C1418C0"/>
    <w:rsid w:val="1C562EDE"/>
    <w:rsid w:val="1CCB0222"/>
    <w:rsid w:val="1D3512AB"/>
    <w:rsid w:val="1DA35F8D"/>
    <w:rsid w:val="1FEF7194"/>
    <w:rsid w:val="2102781A"/>
    <w:rsid w:val="21E86344"/>
    <w:rsid w:val="23EC33B3"/>
    <w:rsid w:val="249C4E4A"/>
    <w:rsid w:val="253C7BA7"/>
    <w:rsid w:val="268B161A"/>
    <w:rsid w:val="271E36CB"/>
    <w:rsid w:val="28836A4D"/>
    <w:rsid w:val="29026BDF"/>
    <w:rsid w:val="291B4BDB"/>
    <w:rsid w:val="291D29FD"/>
    <w:rsid w:val="292E546E"/>
    <w:rsid w:val="29496A52"/>
    <w:rsid w:val="297016C3"/>
    <w:rsid w:val="2AA24B72"/>
    <w:rsid w:val="2AC17834"/>
    <w:rsid w:val="2B092000"/>
    <w:rsid w:val="2B0D5125"/>
    <w:rsid w:val="2D152317"/>
    <w:rsid w:val="2D65425F"/>
    <w:rsid w:val="2DB94CBF"/>
    <w:rsid w:val="2DED05B0"/>
    <w:rsid w:val="2EE50335"/>
    <w:rsid w:val="2F550E93"/>
    <w:rsid w:val="2FE20DFF"/>
    <w:rsid w:val="30387C7D"/>
    <w:rsid w:val="306A0725"/>
    <w:rsid w:val="30C95E39"/>
    <w:rsid w:val="314431C2"/>
    <w:rsid w:val="317258B0"/>
    <w:rsid w:val="317F2F66"/>
    <w:rsid w:val="31A250D5"/>
    <w:rsid w:val="3201312E"/>
    <w:rsid w:val="32292413"/>
    <w:rsid w:val="32317863"/>
    <w:rsid w:val="32737303"/>
    <w:rsid w:val="32C24E2D"/>
    <w:rsid w:val="33EB7154"/>
    <w:rsid w:val="348D1324"/>
    <w:rsid w:val="34BD2B9F"/>
    <w:rsid w:val="36233B29"/>
    <w:rsid w:val="36374EF3"/>
    <w:rsid w:val="36972C30"/>
    <w:rsid w:val="36BB6A11"/>
    <w:rsid w:val="36E73A2E"/>
    <w:rsid w:val="377D2C70"/>
    <w:rsid w:val="37FD624C"/>
    <w:rsid w:val="38422D98"/>
    <w:rsid w:val="38C05FDE"/>
    <w:rsid w:val="38C459D3"/>
    <w:rsid w:val="39475874"/>
    <w:rsid w:val="39E32A71"/>
    <w:rsid w:val="3A562C07"/>
    <w:rsid w:val="3BDE757E"/>
    <w:rsid w:val="3BE67BDB"/>
    <w:rsid w:val="3C312620"/>
    <w:rsid w:val="3C521F1F"/>
    <w:rsid w:val="3C972765"/>
    <w:rsid w:val="3CCA65A0"/>
    <w:rsid w:val="3D693636"/>
    <w:rsid w:val="3D7B5B2F"/>
    <w:rsid w:val="3D9028E8"/>
    <w:rsid w:val="3DA90777"/>
    <w:rsid w:val="3DF020B6"/>
    <w:rsid w:val="3E44484D"/>
    <w:rsid w:val="3E4A5E23"/>
    <w:rsid w:val="3E75078E"/>
    <w:rsid w:val="3F266A69"/>
    <w:rsid w:val="3F80118C"/>
    <w:rsid w:val="40490F85"/>
    <w:rsid w:val="40C56269"/>
    <w:rsid w:val="41897C56"/>
    <w:rsid w:val="419C3B9D"/>
    <w:rsid w:val="41C302E1"/>
    <w:rsid w:val="41D1675C"/>
    <w:rsid w:val="42C70355"/>
    <w:rsid w:val="433A64F6"/>
    <w:rsid w:val="43443E7F"/>
    <w:rsid w:val="44A936AB"/>
    <w:rsid w:val="44AB1865"/>
    <w:rsid w:val="44DC2CEC"/>
    <w:rsid w:val="44DC435C"/>
    <w:rsid w:val="45B23EE2"/>
    <w:rsid w:val="461F68EC"/>
    <w:rsid w:val="48103D33"/>
    <w:rsid w:val="48165964"/>
    <w:rsid w:val="49770216"/>
    <w:rsid w:val="49C90449"/>
    <w:rsid w:val="4B096F1D"/>
    <w:rsid w:val="4BF3412D"/>
    <w:rsid w:val="4C030339"/>
    <w:rsid w:val="4CD84652"/>
    <w:rsid w:val="4DD00A6E"/>
    <w:rsid w:val="4DE8259F"/>
    <w:rsid w:val="4F231B40"/>
    <w:rsid w:val="4FB85150"/>
    <w:rsid w:val="501D7592"/>
    <w:rsid w:val="50215CD4"/>
    <w:rsid w:val="508A00C9"/>
    <w:rsid w:val="50F72D1E"/>
    <w:rsid w:val="511A77AA"/>
    <w:rsid w:val="521D470F"/>
    <w:rsid w:val="526E16F1"/>
    <w:rsid w:val="53791202"/>
    <w:rsid w:val="53A73B65"/>
    <w:rsid w:val="53B05F34"/>
    <w:rsid w:val="53BA0A12"/>
    <w:rsid w:val="546A6089"/>
    <w:rsid w:val="551B6C77"/>
    <w:rsid w:val="55C55D4B"/>
    <w:rsid w:val="566D56F4"/>
    <w:rsid w:val="57215150"/>
    <w:rsid w:val="577E200A"/>
    <w:rsid w:val="57F56734"/>
    <w:rsid w:val="583E24A9"/>
    <w:rsid w:val="59830E9E"/>
    <w:rsid w:val="5A2D4869"/>
    <w:rsid w:val="5B64064D"/>
    <w:rsid w:val="5D2625EF"/>
    <w:rsid w:val="5E25434C"/>
    <w:rsid w:val="60764CB8"/>
    <w:rsid w:val="60F11A9E"/>
    <w:rsid w:val="610E7FC6"/>
    <w:rsid w:val="614E0E3D"/>
    <w:rsid w:val="615333D3"/>
    <w:rsid w:val="61772E14"/>
    <w:rsid w:val="61883013"/>
    <w:rsid w:val="62794798"/>
    <w:rsid w:val="62B362AA"/>
    <w:rsid w:val="63A63B3F"/>
    <w:rsid w:val="63E31B72"/>
    <w:rsid w:val="63E90DEA"/>
    <w:rsid w:val="65A036E9"/>
    <w:rsid w:val="65E51DE6"/>
    <w:rsid w:val="65F06C9F"/>
    <w:rsid w:val="66060FB4"/>
    <w:rsid w:val="668D0E6D"/>
    <w:rsid w:val="6699467E"/>
    <w:rsid w:val="66D90EB9"/>
    <w:rsid w:val="66E41ECF"/>
    <w:rsid w:val="674457E3"/>
    <w:rsid w:val="6798197B"/>
    <w:rsid w:val="681571EF"/>
    <w:rsid w:val="68310FA5"/>
    <w:rsid w:val="688843AA"/>
    <w:rsid w:val="689B49DB"/>
    <w:rsid w:val="69BD2D3B"/>
    <w:rsid w:val="69F442AF"/>
    <w:rsid w:val="6A0E30DC"/>
    <w:rsid w:val="6A356EA0"/>
    <w:rsid w:val="6B170F4F"/>
    <w:rsid w:val="6C014247"/>
    <w:rsid w:val="6CA7784E"/>
    <w:rsid w:val="6CF62E72"/>
    <w:rsid w:val="6D556A52"/>
    <w:rsid w:val="6DA12C9F"/>
    <w:rsid w:val="6E01724F"/>
    <w:rsid w:val="704C6CF1"/>
    <w:rsid w:val="70563797"/>
    <w:rsid w:val="70AC19B0"/>
    <w:rsid w:val="712216DB"/>
    <w:rsid w:val="715E1779"/>
    <w:rsid w:val="72142713"/>
    <w:rsid w:val="726D5BAE"/>
    <w:rsid w:val="72F643C4"/>
    <w:rsid w:val="730200F1"/>
    <w:rsid w:val="74E919FC"/>
    <w:rsid w:val="75294A12"/>
    <w:rsid w:val="75820774"/>
    <w:rsid w:val="759968BD"/>
    <w:rsid w:val="75DD55C7"/>
    <w:rsid w:val="75F776FF"/>
    <w:rsid w:val="76A10E15"/>
    <w:rsid w:val="76AB3358"/>
    <w:rsid w:val="76FB60A2"/>
    <w:rsid w:val="7770408A"/>
    <w:rsid w:val="77C46A8E"/>
    <w:rsid w:val="78774B27"/>
    <w:rsid w:val="78CF314E"/>
    <w:rsid w:val="78FB36EA"/>
    <w:rsid w:val="79517126"/>
    <w:rsid w:val="7980412F"/>
    <w:rsid w:val="7A422C7E"/>
    <w:rsid w:val="7B4F08FA"/>
    <w:rsid w:val="7BBB3515"/>
    <w:rsid w:val="7BC47911"/>
    <w:rsid w:val="7C077878"/>
    <w:rsid w:val="7C991592"/>
    <w:rsid w:val="7CE02C9B"/>
    <w:rsid w:val="7CF45685"/>
    <w:rsid w:val="7D4D3289"/>
    <w:rsid w:val="7D4E1B92"/>
    <w:rsid w:val="7DAA5F4E"/>
    <w:rsid w:val="7DD94F24"/>
    <w:rsid w:val="7EE747B5"/>
    <w:rsid w:val="7FDF4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4">
    <w:name w:val="heading 1"/>
    <w:basedOn w:val="1"/>
    <w:next w:val="1"/>
    <w:link w:val="96"/>
    <w:qFormat/>
    <w:uiPriority w:val="0"/>
    <w:pPr>
      <w:keepNext/>
      <w:keepLines/>
      <w:spacing w:before="340" w:after="330" w:line="578" w:lineRule="auto"/>
      <w:outlineLvl w:val="0"/>
    </w:pPr>
    <w:rPr>
      <w:rFonts w:hint="eastAsia" w:ascii="楷体_GB2312" w:hAnsi="Times New Roman" w:eastAsia="楷体_GB2312"/>
      <w:b/>
      <w:kern w:val="44"/>
      <w:sz w:val="44"/>
      <w:szCs w:val="20"/>
    </w:rPr>
  </w:style>
  <w:style w:type="paragraph" w:styleId="5">
    <w:name w:val="heading 2"/>
    <w:basedOn w:val="1"/>
    <w:next w:val="1"/>
    <w:link w:val="101"/>
    <w:qFormat/>
    <w:uiPriority w:val="0"/>
    <w:pPr>
      <w:keepNext/>
      <w:keepLines/>
      <w:spacing w:before="260" w:after="260" w:line="416" w:lineRule="auto"/>
      <w:outlineLvl w:val="1"/>
    </w:pPr>
    <w:rPr>
      <w:rFonts w:ascii="Arial" w:hAnsi="Arial" w:eastAsia="黑体"/>
      <w:b/>
      <w:sz w:val="32"/>
      <w:szCs w:val="20"/>
    </w:rPr>
  </w:style>
  <w:style w:type="paragraph" w:styleId="6">
    <w:name w:val="heading 3"/>
    <w:basedOn w:val="1"/>
    <w:next w:val="1"/>
    <w:link w:val="102"/>
    <w:qFormat/>
    <w:uiPriority w:val="0"/>
    <w:pPr>
      <w:keepNext/>
      <w:keepLines/>
      <w:spacing w:line="360" w:lineRule="auto"/>
      <w:outlineLvl w:val="2"/>
    </w:pPr>
    <w:rPr>
      <w:rFonts w:ascii="Times New Roman" w:hAnsi="Times New Roman"/>
      <w:b/>
      <w:sz w:val="32"/>
      <w:szCs w:val="20"/>
    </w:rPr>
  </w:style>
  <w:style w:type="paragraph" w:styleId="7">
    <w:name w:val="heading 4"/>
    <w:basedOn w:val="1"/>
    <w:next w:val="1"/>
    <w:link w:val="88"/>
    <w:qFormat/>
    <w:uiPriority w:val="0"/>
    <w:pPr>
      <w:keepNext/>
      <w:keepLines/>
      <w:spacing w:before="280" w:after="290" w:line="376" w:lineRule="auto"/>
      <w:outlineLvl w:val="3"/>
    </w:pPr>
    <w:rPr>
      <w:rFonts w:ascii="Times New Roman" w:hAnsi="Times New Roman"/>
      <w:sz w:val="32"/>
      <w:szCs w:val="20"/>
    </w:rPr>
  </w:style>
  <w:style w:type="paragraph" w:styleId="8">
    <w:name w:val="heading 5"/>
    <w:basedOn w:val="1"/>
    <w:next w:val="1"/>
    <w:link w:val="67"/>
    <w:qFormat/>
    <w:uiPriority w:val="0"/>
    <w:pPr>
      <w:keepNext/>
      <w:keepLines/>
      <w:spacing w:before="280" w:after="290" w:line="372" w:lineRule="auto"/>
      <w:outlineLvl w:val="4"/>
    </w:pPr>
    <w:rPr>
      <w:rFonts w:ascii="Times New Roman" w:hAnsi="Times New Roman"/>
      <w:b/>
      <w:sz w:val="28"/>
      <w:szCs w:val="28"/>
    </w:rPr>
  </w:style>
  <w:style w:type="paragraph" w:styleId="9">
    <w:name w:val="heading 6"/>
    <w:basedOn w:val="1"/>
    <w:next w:val="1"/>
    <w:link w:val="91"/>
    <w:qFormat/>
    <w:uiPriority w:val="0"/>
    <w:pPr>
      <w:keepNext/>
      <w:keepLines/>
      <w:spacing w:before="240" w:after="64" w:line="317" w:lineRule="auto"/>
      <w:outlineLvl w:val="5"/>
    </w:pPr>
    <w:rPr>
      <w:rFonts w:hint="eastAsia" w:ascii="宋体" w:hAnsi="宋体"/>
      <w:b/>
      <w:kern w:val="0"/>
      <w:sz w:val="24"/>
      <w:lang w:eastAsia="en-US"/>
    </w:rPr>
  </w:style>
  <w:style w:type="paragraph" w:styleId="10">
    <w:name w:val="heading 7"/>
    <w:basedOn w:val="1"/>
    <w:next w:val="1"/>
    <w:link w:val="71"/>
    <w:qFormat/>
    <w:uiPriority w:val="0"/>
    <w:pPr>
      <w:keepNext/>
      <w:keepLines/>
      <w:spacing w:before="240" w:after="64" w:line="317" w:lineRule="auto"/>
      <w:outlineLvl w:val="6"/>
    </w:pPr>
    <w:rPr>
      <w:rFonts w:hint="eastAsia" w:ascii="宋体" w:hAnsi="宋体"/>
      <w:b/>
      <w:kern w:val="0"/>
      <w:szCs w:val="21"/>
      <w:lang w:eastAsia="en-US"/>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2">
    <w:name w:val="正文1"/>
    <w:next w:val="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
    <w:name w:val="正文文本1"/>
    <w:basedOn w:val="2"/>
    <w:qFormat/>
    <w:uiPriority w:val="99"/>
    <w:rPr>
      <w:rFonts w:eastAsia="楷体_GB2312"/>
      <w:sz w:val="28"/>
    </w:rPr>
  </w:style>
  <w:style w:type="paragraph" w:styleId="11">
    <w:name w:val="toc 7"/>
    <w:basedOn w:val="1"/>
    <w:next w:val="1"/>
    <w:qFormat/>
    <w:uiPriority w:val="0"/>
    <w:pPr>
      <w:ind w:left="2520" w:leftChars="1200"/>
    </w:pPr>
    <w:rPr>
      <w:rFonts w:ascii="Times New Roman" w:hAnsi="Times New Roman"/>
    </w:rPr>
  </w:style>
  <w:style w:type="paragraph" w:styleId="12">
    <w:name w:val="Normal Indent"/>
    <w:basedOn w:val="1"/>
    <w:unhideWhenUsed/>
    <w:qFormat/>
    <w:uiPriority w:val="99"/>
    <w:pPr>
      <w:ind w:firstLine="420"/>
    </w:pPr>
    <w:rPr>
      <w:rFonts w:ascii="Calibri" w:hAnsi="Calibri"/>
      <w:szCs w:val="20"/>
    </w:rPr>
  </w:style>
  <w:style w:type="paragraph" w:styleId="13">
    <w:name w:val="Document Map"/>
    <w:basedOn w:val="1"/>
    <w:link w:val="83"/>
    <w:unhideWhenUsed/>
    <w:qFormat/>
    <w:uiPriority w:val="0"/>
    <w:pPr>
      <w:shd w:val="clear" w:color="auto" w:fill="000080"/>
    </w:pPr>
    <w:rPr>
      <w:rFonts w:ascii="Times New Roman" w:hAnsi="Times New Roman"/>
    </w:rPr>
  </w:style>
  <w:style w:type="paragraph" w:styleId="14">
    <w:name w:val="toa heading"/>
    <w:basedOn w:val="1"/>
    <w:next w:val="1"/>
    <w:unhideWhenUsed/>
    <w:qFormat/>
    <w:uiPriority w:val="99"/>
    <w:pPr>
      <w:spacing w:before="120"/>
    </w:pPr>
    <w:rPr>
      <w:rFonts w:ascii="Arial" w:hAnsi="Arial" w:cs="Arial"/>
      <w:sz w:val="24"/>
    </w:rPr>
  </w:style>
  <w:style w:type="paragraph" w:styleId="15">
    <w:name w:val="annotation text"/>
    <w:basedOn w:val="1"/>
    <w:link w:val="82"/>
    <w:unhideWhenUsed/>
    <w:qFormat/>
    <w:uiPriority w:val="0"/>
    <w:pPr>
      <w:jc w:val="left"/>
    </w:pPr>
    <w:rPr>
      <w:rFonts w:ascii="Times New Roman" w:hAnsi="Times New Roman"/>
    </w:rPr>
  </w:style>
  <w:style w:type="paragraph" w:styleId="16">
    <w:name w:val="Body Text 3"/>
    <w:basedOn w:val="1"/>
    <w:link w:val="61"/>
    <w:unhideWhenUsed/>
    <w:qFormat/>
    <w:uiPriority w:val="0"/>
    <w:pPr>
      <w:spacing w:after="120"/>
    </w:pPr>
    <w:rPr>
      <w:rFonts w:ascii="Times New Roman" w:hAnsi="Times New Roman"/>
      <w:sz w:val="16"/>
      <w:szCs w:val="16"/>
    </w:rPr>
  </w:style>
  <w:style w:type="paragraph" w:styleId="17">
    <w:name w:val="Body Text"/>
    <w:basedOn w:val="1"/>
    <w:next w:val="18"/>
    <w:link w:val="70"/>
    <w:qFormat/>
    <w:uiPriority w:val="0"/>
    <w:rPr>
      <w:rFonts w:ascii="Times New Roman" w:hAnsi="Times New Roman"/>
    </w:rPr>
  </w:style>
  <w:style w:type="paragraph" w:styleId="18">
    <w:name w:val="Body Text 2"/>
    <w:basedOn w:val="1"/>
    <w:next w:val="17"/>
    <w:link w:val="86"/>
    <w:unhideWhenUsed/>
    <w:qFormat/>
    <w:uiPriority w:val="0"/>
    <w:pPr>
      <w:spacing w:after="120" w:line="480" w:lineRule="auto"/>
    </w:pPr>
    <w:rPr>
      <w:rFonts w:ascii="Times New Roman" w:hAnsi="Times New Roman"/>
    </w:rPr>
  </w:style>
  <w:style w:type="paragraph" w:styleId="19">
    <w:name w:val="Body Text Indent"/>
    <w:basedOn w:val="1"/>
    <w:next w:val="20"/>
    <w:link w:val="105"/>
    <w:qFormat/>
    <w:uiPriority w:val="0"/>
    <w:pPr>
      <w:ind w:firstLine="560" w:firstLineChars="200"/>
    </w:pPr>
    <w:rPr>
      <w:rFonts w:ascii="Times New Roman" w:hAnsi="Times New Roman"/>
    </w:rPr>
  </w:style>
  <w:style w:type="paragraph" w:styleId="20">
    <w:name w:val="envelope return"/>
    <w:basedOn w:val="1"/>
    <w:qFormat/>
    <w:uiPriority w:val="99"/>
    <w:pPr>
      <w:snapToGrid w:val="0"/>
    </w:pPr>
    <w:rPr>
      <w:rFonts w:ascii="Arial" w:hAnsi="Arial" w:cs="Arial"/>
    </w:rPr>
  </w:style>
  <w:style w:type="paragraph" w:styleId="21">
    <w:name w:val="toc 5"/>
    <w:basedOn w:val="1"/>
    <w:next w:val="1"/>
    <w:qFormat/>
    <w:uiPriority w:val="0"/>
    <w:pPr>
      <w:ind w:left="1680" w:leftChars="800"/>
    </w:pPr>
    <w:rPr>
      <w:rFonts w:ascii="Times New Roman" w:hAnsi="Times New Roman"/>
    </w:rPr>
  </w:style>
  <w:style w:type="paragraph" w:styleId="22">
    <w:name w:val="toc 3"/>
    <w:basedOn w:val="1"/>
    <w:next w:val="1"/>
    <w:qFormat/>
    <w:uiPriority w:val="0"/>
    <w:pPr>
      <w:ind w:left="840" w:leftChars="400"/>
    </w:pPr>
    <w:rPr>
      <w:rFonts w:ascii="Times New Roman" w:hAnsi="Times New Roman"/>
    </w:rPr>
  </w:style>
  <w:style w:type="paragraph" w:styleId="23">
    <w:name w:val="Plain Text"/>
    <w:basedOn w:val="1"/>
    <w:link w:val="63"/>
    <w:qFormat/>
    <w:uiPriority w:val="0"/>
    <w:rPr>
      <w:rFonts w:hint="eastAsia" w:ascii="宋体" w:hAnsi="Courier New"/>
      <w:szCs w:val="21"/>
    </w:rPr>
  </w:style>
  <w:style w:type="paragraph" w:styleId="24">
    <w:name w:val="toc 8"/>
    <w:basedOn w:val="1"/>
    <w:next w:val="1"/>
    <w:qFormat/>
    <w:uiPriority w:val="0"/>
    <w:pPr>
      <w:ind w:left="2940" w:leftChars="1400"/>
    </w:pPr>
    <w:rPr>
      <w:rFonts w:ascii="Times New Roman" w:hAnsi="Times New Roman"/>
    </w:rPr>
  </w:style>
  <w:style w:type="paragraph" w:styleId="25">
    <w:name w:val="Date"/>
    <w:basedOn w:val="1"/>
    <w:next w:val="1"/>
    <w:link w:val="76"/>
    <w:unhideWhenUsed/>
    <w:qFormat/>
    <w:uiPriority w:val="0"/>
    <w:pPr>
      <w:ind w:left="100" w:leftChars="2500"/>
    </w:pPr>
    <w:rPr>
      <w:rFonts w:ascii="Times New Roman" w:hAnsi="Times New Roman"/>
      <w:kern w:val="0"/>
      <w:sz w:val="28"/>
      <w:szCs w:val="20"/>
    </w:rPr>
  </w:style>
  <w:style w:type="paragraph" w:styleId="26">
    <w:name w:val="Body Text Indent 2"/>
    <w:basedOn w:val="1"/>
    <w:link w:val="85"/>
    <w:unhideWhenUsed/>
    <w:qFormat/>
    <w:uiPriority w:val="0"/>
    <w:pPr>
      <w:spacing w:after="120" w:line="480" w:lineRule="auto"/>
      <w:ind w:left="420" w:leftChars="200"/>
    </w:pPr>
    <w:rPr>
      <w:rFonts w:ascii="Times New Roman" w:hAnsi="Times New Roman"/>
    </w:rPr>
  </w:style>
  <w:style w:type="paragraph" w:styleId="27">
    <w:name w:val="Balloon Text"/>
    <w:basedOn w:val="1"/>
    <w:link w:val="93"/>
    <w:unhideWhenUsed/>
    <w:qFormat/>
    <w:uiPriority w:val="0"/>
    <w:rPr>
      <w:rFonts w:ascii="Times New Roman" w:hAnsi="Times New Roman"/>
      <w:sz w:val="18"/>
      <w:szCs w:val="18"/>
    </w:rPr>
  </w:style>
  <w:style w:type="paragraph" w:styleId="28">
    <w:name w:val="footer"/>
    <w:basedOn w:val="1"/>
    <w:link w:val="99"/>
    <w:qFormat/>
    <w:uiPriority w:val="0"/>
    <w:pPr>
      <w:tabs>
        <w:tab w:val="center" w:pos="4153"/>
        <w:tab w:val="right" w:pos="8306"/>
      </w:tabs>
      <w:snapToGrid w:val="0"/>
      <w:jc w:val="left"/>
    </w:pPr>
    <w:rPr>
      <w:rFonts w:ascii="Times New Roman" w:hAnsi="Times New Roman"/>
      <w:sz w:val="18"/>
      <w:szCs w:val="18"/>
    </w:rPr>
  </w:style>
  <w:style w:type="paragraph" w:styleId="29">
    <w:name w:val="header"/>
    <w:basedOn w:val="1"/>
    <w:link w:val="9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30">
    <w:name w:val="toc 1"/>
    <w:basedOn w:val="1"/>
    <w:next w:val="1"/>
    <w:qFormat/>
    <w:uiPriority w:val="0"/>
    <w:rPr>
      <w:rFonts w:ascii="Times New Roman" w:hAnsi="Times New Roman"/>
    </w:rPr>
  </w:style>
  <w:style w:type="paragraph" w:styleId="31">
    <w:name w:val="toc 4"/>
    <w:basedOn w:val="1"/>
    <w:next w:val="1"/>
    <w:qFormat/>
    <w:uiPriority w:val="0"/>
    <w:pPr>
      <w:ind w:left="1260" w:leftChars="600"/>
    </w:pPr>
    <w:rPr>
      <w:rFonts w:ascii="Times New Roman" w:hAnsi="Times New Roman"/>
    </w:rPr>
  </w:style>
  <w:style w:type="paragraph" w:styleId="32">
    <w:name w:val="toc 6"/>
    <w:basedOn w:val="1"/>
    <w:next w:val="1"/>
    <w:qFormat/>
    <w:uiPriority w:val="0"/>
    <w:pPr>
      <w:ind w:left="2100" w:leftChars="1000"/>
    </w:pPr>
    <w:rPr>
      <w:rFonts w:ascii="Times New Roman" w:hAnsi="Times New Roman"/>
    </w:rPr>
  </w:style>
  <w:style w:type="paragraph" w:styleId="33">
    <w:name w:val="Body Text Indent 3"/>
    <w:basedOn w:val="1"/>
    <w:link w:val="75"/>
    <w:qFormat/>
    <w:uiPriority w:val="0"/>
    <w:pPr>
      <w:ind w:firstLine="420" w:firstLineChars="200"/>
    </w:pPr>
    <w:rPr>
      <w:rFonts w:ascii="Times New Roman" w:hAnsi="Times New Roman"/>
      <w:sz w:val="16"/>
      <w:szCs w:val="16"/>
    </w:rPr>
  </w:style>
  <w:style w:type="paragraph" w:styleId="34">
    <w:name w:val="toc 2"/>
    <w:basedOn w:val="1"/>
    <w:next w:val="1"/>
    <w:qFormat/>
    <w:uiPriority w:val="0"/>
    <w:pPr>
      <w:ind w:left="420" w:leftChars="200"/>
    </w:pPr>
    <w:rPr>
      <w:rFonts w:ascii="Times New Roman" w:hAnsi="Times New Roman"/>
    </w:rPr>
  </w:style>
  <w:style w:type="paragraph" w:styleId="35">
    <w:name w:val="toc 9"/>
    <w:basedOn w:val="1"/>
    <w:next w:val="1"/>
    <w:qFormat/>
    <w:uiPriority w:val="0"/>
    <w:pPr>
      <w:ind w:left="3360" w:leftChars="1600"/>
    </w:pPr>
    <w:rPr>
      <w:rFonts w:ascii="Times New Roman" w:hAnsi="Times New Roman"/>
    </w:rPr>
  </w:style>
  <w:style w:type="paragraph" w:styleId="36">
    <w:name w:val="HTML Preformatted"/>
    <w:basedOn w:val="1"/>
    <w:link w:val="81"/>
    <w:unhideWhenUsed/>
    <w:qFormat/>
    <w:uiPriority w:val="0"/>
    <w:rPr>
      <w:rFonts w:ascii="Arial" w:hAnsi="Arial"/>
      <w:kern w:val="0"/>
      <w:sz w:val="24"/>
    </w:rPr>
  </w:style>
  <w:style w:type="paragraph" w:styleId="3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8">
    <w:name w:val="Title"/>
    <w:basedOn w:val="1"/>
    <w:next w:val="1"/>
    <w:link w:val="69"/>
    <w:qFormat/>
    <w:uiPriority w:val="0"/>
    <w:pPr>
      <w:spacing w:before="240" w:after="60"/>
      <w:jc w:val="center"/>
      <w:outlineLvl w:val="0"/>
    </w:pPr>
    <w:rPr>
      <w:rFonts w:ascii="Calibri Light" w:hAnsi="Calibri Light" w:eastAsia="Calibri Light"/>
      <w:b/>
      <w:sz w:val="32"/>
      <w:szCs w:val="32"/>
    </w:rPr>
  </w:style>
  <w:style w:type="paragraph" w:styleId="39">
    <w:name w:val="annotation subject"/>
    <w:basedOn w:val="15"/>
    <w:next w:val="15"/>
    <w:link w:val="73"/>
    <w:unhideWhenUsed/>
    <w:qFormat/>
    <w:uiPriority w:val="0"/>
    <w:rPr>
      <w:b/>
    </w:rPr>
  </w:style>
  <w:style w:type="paragraph" w:styleId="40">
    <w:name w:val="Body Text First Indent"/>
    <w:basedOn w:val="17"/>
    <w:next w:val="41"/>
    <w:link w:val="106"/>
    <w:unhideWhenUsed/>
    <w:qFormat/>
    <w:uiPriority w:val="0"/>
    <w:pPr>
      <w:ind w:firstLine="420" w:firstLineChars="100"/>
    </w:pPr>
    <w:rPr>
      <w:rFonts w:hint="eastAsia" w:ascii="楷体_GB2312" w:eastAsia="楷体_GB2312"/>
      <w:sz w:val="32"/>
    </w:rPr>
  </w:style>
  <w:style w:type="paragraph" w:styleId="41">
    <w:name w:val="Body Text First Indent 2"/>
    <w:basedOn w:val="19"/>
    <w:qFormat/>
    <w:uiPriority w:val="0"/>
    <w:pPr>
      <w:ind w:firstLine="420"/>
    </w:p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page number"/>
    <w:qFormat/>
    <w:uiPriority w:val="0"/>
    <w:rPr>
      <w:rFonts w:ascii="Times New Roman" w:hAnsi="Times New Roman" w:eastAsia="宋体" w:cs="Times New Roman"/>
    </w:rPr>
  </w:style>
  <w:style w:type="character" w:styleId="46">
    <w:name w:val="FollowedHyperlink"/>
    <w:unhideWhenUsed/>
    <w:qFormat/>
    <w:uiPriority w:val="99"/>
    <w:rPr>
      <w:rFonts w:ascii="Times New Roman" w:hAnsi="Times New Roman" w:eastAsia="宋体" w:cs="Times New Roman"/>
      <w:color w:val="333333"/>
      <w:u w:val="none"/>
    </w:rPr>
  </w:style>
  <w:style w:type="character" w:styleId="47">
    <w:name w:val="HTML Definition"/>
    <w:basedOn w:val="44"/>
    <w:semiHidden/>
    <w:unhideWhenUsed/>
    <w:qFormat/>
    <w:uiPriority w:val="99"/>
  </w:style>
  <w:style w:type="character" w:styleId="48">
    <w:name w:val="HTML Typewriter"/>
    <w:basedOn w:val="44"/>
    <w:semiHidden/>
    <w:unhideWhenUsed/>
    <w:qFormat/>
    <w:uiPriority w:val="99"/>
    <w:rPr>
      <w:rFonts w:hint="default" w:ascii="monospace" w:hAnsi="monospace" w:eastAsia="monospace" w:cs="monospace"/>
      <w:sz w:val="20"/>
    </w:rPr>
  </w:style>
  <w:style w:type="character" w:styleId="49">
    <w:name w:val="HTML Acronym"/>
    <w:basedOn w:val="44"/>
    <w:semiHidden/>
    <w:unhideWhenUsed/>
    <w:qFormat/>
    <w:uiPriority w:val="99"/>
  </w:style>
  <w:style w:type="character" w:styleId="50">
    <w:name w:val="HTML Variable"/>
    <w:basedOn w:val="44"/>
    <w:semiHidden/>
    <w:unhideWhenUsed/>
    <w:qFormat/>
    <w:uiPriority w:val="99"/>
  </w:style>
  <w:style w:type="character" w:styleId="51">
    <w:name w:val="Hyperlink"/>
    <w:qFormat/>
    <w:uiPriority w:val="0"/>
    <w:rPr>
      <w:rFonts w:ascii="Times New Roman" w:hAnsi="Times New Roman" w:eastAsia="宋体" w:cs="Times New Roman"/>
      <w:color w:val="0000FF"/>
      <w:u w:val="single"/>
    </w:rPr>
  </w:style>
  <w:style w:type="character" w:styleId="52">
    <w:name w:val="HTML Code"/>
    <w:basedOn w:val="44"/>
    <w:semiHidden/>
    <w:unhideWhenUsed/>
    <w:qFormat/>
    <w:uiPriority w:val="99"/>
    <w:rPr>
      <w:rFonts w:ascii="monospace" w:hAnsi="monospace" w:eastAsia="monospace" w:cs="monospace"/>
      <w:sz w:val="20"/>
    </w:rPr>
  </w:style>
  <w:style w:type="character" w:styleId="53">
    <w:name w:val="annotation reference"/>
    <w:unhideWhenUsed/>
    <w:qFormat/>
    <w:uiPriority w:val="99"/>
    <w:rPr>
      <w:rFonts w:ascii="Times New Roman" w:hAnsi="Times New Roman" w:eastAsia="宋体" w:cs="Times New Roman"/>
      <w:sz w:val="21"/>
      <w:szCs w:val="21"/>
    </w:rPr>
  </w:style>
  <w:style w:type="character" w:styleId="54">
    <w:name w:val="HTML Cite"/>
    <w:basedOn w:val="44"/>
    <w:semiHidden/>
    <w:unhideWhenUsed/>
    <w:qFormat/>
    <w:uiPriority w:val="99"/>
    <w:rPr>
      <w:vanish/>
    </w:rPr>
  </w:style>
  <w:style w:type="character" w:styleId="55">
    <w:name w:val="HTML Keyboard"/>
    <w:basedOn w:val="44"/>
    <w:semiHidden/>
    <w:unhideWhenUsed/>
    <w:qFormat/>
    <w:uiPriority w:val="99"/>
    <w:rPr>
      <w:rFonts w:hint="default" w:ascii="monospace" w:hAnsi="monospace" w:eastAsia="monospace" w:cs="monospace"/>
      <w:sz w:val="20"/>
    </w:rPr>
  </w:style>
  <w:style w:type="character" w:styleId="56">
    <w:name w:val="HTML Sample"/>
    <w:basedOn w:val="44"/>
    <w:semiHidden/>
    <w:unhideWhenUsed/>
    <w:qFormat/>
    <w:uiPriority w:val="99"/>
    <w:rPr>
      <w:rFonts w:hint="default" w:ascii="monospace" w:hAnsi="monospace" w:eastAsia="monospace" w:cs="monospace"/>
    </w:rPr>
  </w:style>
  <w:style w:type="paragraph" w:customStyle="1" w:styleId="57">
    <w:name w:val="Default"/>
    <w:basedOn w:val="1"/>
    <w:next w:val="1"/>
    <w:qFormat/>
    <w:uiPriority w:val="0"/>
    <w:pPr>
      <w:autoSpaceDE w:val="0"/>
      <w:autoSpaceDN w:val="0"/>
      <w:adjustRightInd w:val="0"/>
      <w:jc w:val="left"/>
    </w:pPr>
    <w:rPr>
      <w:rFonts w:hint="eastAsia" w:ascii="宋体" w:hAnsi="Calibri"/>
      <w:color w:val="000000"/>
      <w:kern w:val="0"/>
      <w:sz w:val="24"/>
    </w:rPr>
  </w:style>
  <w:style w:type="paragraph" w:customStyle="1" w:styleId="58">
    <w:name w:val="表格文字"/>
    <w:basedOn w:val="1"/>
    <w:next w:val="17"/>
    <w:qFormat/>
    <w:uiPriority w:val="0"/>
    <w:pPr>
      <w:adjustRightInd w:val="0"/>
      <w:spacing w:line="420" w:lineRule="atLeast"/>
      <w:jc w:val="left"/>
      <w:textAlignment w:val="baseline"/>
    </w:pPr>
    <w:rPr>
      <w:kern w:val="0"/>
    </w:rPr>
  </w:style>
  <w:style w:type="paragraph" w:customStyle="1" w:styleId="59">
    <w:name w:val="无间隔1"/>
    <w:qFormat/>
    <w:uiPriority w:val="1"/>
    <w:pPr>
      <w:widowControl w:val="0"/>
      <w:jc w:val="both"/>
    </w:pPr>
    <w:rPr>
      <w:rFonts w:ascii="Calibri" w:hAnsi="Calibri" w:eastAsia="宋体" w:cs="Times New Roman"/>
      <w:kern w:val="2"/>
      <w:sz w:val="24"/>
      <w:szCs w:val="22"/>
      <w:lang w:val="en-US" w:eastAsia="zh-CN" w:bidi="ar-SA"/>
    </w:rPr>
  </w:style>
  <w:style w:type="character" w:customStyle="1" w:styleId="60">
    <w:name w:val="font1"/>
    <w:qFormat/>
    <w:uiPriority w:val="0"/>
    <w:rPr>
      <w:rFonts w:ascii="Times New Roman" w:hAnsi="Times New Roman" w:eastAsia="宋体" w:cs="Times New Roman"/>
      <w:color w:val="999999"/>
      <w:sz w:val="18"/>
      <w:szCs w:val="18"/>
      <w:u w:val="none"/>
    </w:rPr>
  </w:style>
  <w:style w:type="character" w:customStyle="1" w:styleId="61">
    <w:name w:val="正文文本 3 Char"/>
    <w:link w:val="16"/>
    <w:qFormat/>
    <w:uiPriority w:val="0"/>
    <w:rPr>
      <w:rFonts w:ascii="Times New Roman" w:hAnsi="Times New Roman" w:eastAsia="宋体" w:cs="Times New Roman"/>
      <w:kern w:val="2"/>
      <w:sz w:val="16"/>
      <w:szCs w:val="16"/>
    </w:rPr>
  </w:style>
  <w:style w:type="character" w:customStyle="1" w:styleId="62">
    <w:name w:val="pt91"/>
    <w:qFormat/>
    <w:uiPriority w:val="0"/>
    <w:rPr>
      <w:rFonts w:hint="default" w:ascii="_x000B__x000C_" w:hAnsi="_x000B__x000C_" w:eastAsia="_x000B__x000C_" w:cs="_x000B__x000C_"/>
      <w:color w:val="333333"/>
      <w:sz w:val="18"/>
      <w:szCs w:val="18"/>
    </w:rPr>
  </w:style>
  <w:style w:type="character" w:customStyle="1" w:styleId="63">
    <w:name w:val="纯文本 Char"/>
    <w:link w:val="23"/>
    <w:qFormat/>
    <w:uiPriority w:val="0"/>
    <w:rPr>
      <w:rFonts w:hint="eastAsia" w:ascii="宋体" w:hAnsi="Courier New" w:eastAsia="宋体" w:cs="Courier New"/>
      <w:kern w:val="2"/>
      <w:sz w:val="21"/>
      <w:szCs w:val="21"/>
    </w:rPr>
  </w:style>
  <w:style w:type="character" w:customStyle="1" w:styleId="64">
    <w:name w:val="fontstyle01"/>
    <w:qFormat/>
    <w:uiPriority w:val="0"/>
    <w:rPr>
      <w:rFonts w:hint="default" w:ascii="FZSSK--GBK1-0" w:hAnsi="FZSSK--GBK1-0" w:eastAsia="FZSSK--GBK1-0" w:cs="FZSSK--GBK1-0"/>
      <w:color w:val="000000"/>
      <w:sz w:val="20"/>
      <w:szCs w:val="20"/>
    </w:rPr>
  </w:style>
  <w:style w:type="character" w:customStyle="1" w:styleId="65">
    <w:name w:val="Char Char15"/>
    <w:qFormat/>
    <w:uiPriority w:val="0"/>
    <w:rPr>
      <w:rFonts w:ascii="Times New Roman" w:hAnsi="Times New Roman" w:eastAsia="宋体" w:cs="Times New Roman"/>
      <w:kern w:val="2"/>
      <w:sz w:val="32"/>
    </w:rPr>
  </w:style>
  <w:style w:type="character" w:customStyle="1" w:styleId="66">
    <w:name w:val="纯文本 Char1"/>
    <w:qFormat/>
    <w:uiPriority w:val="0"/>
    <w:rPr>
      <w:rFonts w:hint="eastAsia" w:ascii="宋体" w:hAnsi="Courier New" w:eastAsia="宋体" w:cs="宋体"/>
      <w:kern w:val="2"/>
      <w:sz w:val="21"/>
      <w:lang w:eastAsia="zh-CN"/>
    </w:rPr>
  </w:style>
  <w:style w:type="character" w:customStyle="1" w:styleId="67">
    <w:name w:val="标题 5 Char"/>
    <w:link w:val="8"/>
    <w:qFormat/>
    <w:uiPriority w:val="0"/>
    <w:rPr>
      <w:rFonts w:ascii="Times New Roman" w:hAnsi="Times New Roman" w:eastAsia="宋体" w:cs="Times New Roman"/>
      <w:b/>
      <w:kern w:val="2"/>
      <w:sz w:val="28"/>
      <w:szCs w:val="28"/>
    </w:rPr>
  </w:style>
  <w:style w:type="character" w:customStyle="1" w:styleId="68">
    <w:name w:val="wen11"/>
    <w:qFormat/>
    <w:uiPriority w:val="0"/>
    <w:rPr>
      <w:rFonts w:ascii="Times New Roman" w:hAnsi="Times New Roman" w:eastAsia="宋体" w:cs="Times New Roman"/>
      <w:color w:val="000000"/>
      <w:sz w:val="21"/>
      <w:szCs w:val="21"/>
    </w:rPr>
  </w:style>
  <w:style w:type="character" w:customStyle="1" w:styleId="69">
    <w:name w:val="标题 Char"/>
    <w:link w:val="38"/>
    <w:qFormat/>
    <w:uiPriority w:val="0"/>
    <w:rPr>
      <w:rFonts w:hint="default" w:ascii="Calibri Light" w:hAnsi="Calibri Light" w:eastAsia="Calibri Light" w:cs="Calibri Light"/>
      <w:b/>
      <w:kern w:val="2"/>
      <w:sz w:val="32"/>
      <w:szCs w:val="32"/>
    </w:rPr>
  </w:style>
  <w:style w:type="character" w:customStyle="1" w:styleId="70">
    <w:name w:val="正文文本 Char"/>
    <w:link w:val="17"/>
    <w:qFormat/>
    <w:uiPriority w:val="0"/>
    <w:rPr>
      <w:rFonts w:ascii="Times New Roman" w:hAnsi="Times New Roman" w:eastAsia="宋体" w:cs="Times New Roman"/>
      <w:kern w:val="2"/>
      <w:sz w:val="21"/>
      <w:szCs w:val="24"/>
    </w:rPr>
  </w:style>
  <w:style w:type="character" w:customStyle="1" w:styleId="71">
    <w:name w:val="标题 7 Char"/>
    <w:link w:val="10"/>
    <w:qFormat/>
    <w:uiPriority w:val="0"/>
    <w:rPr>
      <w:rFonts w:hint="eastAsia" w:ascii="宋体" w:hAnsi="宋体" w:eastAsia="宋体" w:cs="宋体"/>
      <w:b/>
      <w:sz w:val="21"/>
      <w:szCs w:val="21"/>
      <w:lang w:eastAsia="en-US"/>
    </w:rPr>
  </w:style>
  <w:style w:type="character" w:customStyle="1" w:styleId="72">
    <w:name w:val="displayarti"/>
    <w:qFormat/>
    <w:uiPriority w:val="0"/>
    <w:rPr>
      <w:rFonts w:ascii="Times New Roman" w:hAnsi="Times New Roman" w:eastAsia="宋体" w:cs="Times New Roman"/>
      <w:color w:val="FFFFFF"/>
      <w:shd w:val="clear" w:color="auto" w:fill="A00000"/>
    </w:rPr>
  </w:style>
  <w:style w:type="character" w:customStyle="1" w:styleId="73">
    <w:name w:val="批注主题 Char"/>
    <w:link w:val="39"/>
    <w:qFormat/>
    <w:uiPriority w:val="0"/>
    <w:rPr>
      <w:rFonts w:ascii="Times New Roman" w:hAnsi="Times New Roman" w:eastAsia="宋体" w:cs="Times New Roman"/>
      <w:b/>
      <w:kern w:val="2"/>
      <w:sz w:val="21"/>
      <w:szCs w:val="24"/>
    </w:rPr>
  </w:style>
  <w:style w:type="character" w:customStyle="1" w:styleId="74">
    <w:name w:val="Table Text Char1"/>
    <w:qFormat/>
    <w:uiPriority w:val="0"/>
    <w:rPr>
      <w:rFonts w:hint="default" w:ascii="Arial" w:hAnsi="Arial" w:eastAsia="宋体" w:cs="Arial"/>
      <w:kern w:val="2"/>
      <w:sz w:val="18"/>
      <w:szCs w:val="24"/>
    </w:rPr>
  </w:style>
  <w:style w:type="character" w:customStyle="1" w:styleId="75">
    <w:name w:val="正文文本缩进 3 Char"/>
    <w:link w:val="33"/>
    <w:qFormat/>
    <w:uiPriority w:val="0"/>
    <w:rPr>
      <w:rFonts w:ascii="Times New Roman" w:hAnsi="Times New Roman" w:eastAsia="宋体" w:cs="Times New Roman"/>
      <w:kern w:val="2"/>
      <w:sz w:val="16"/>
      <w:szCs w:val="16"/>
    </w:rPr>
  </w:style>
  <w:style w:type="character" w:customStyle="1" w:styleId="76">
    <w:name w:val="日期 Char"/>
    <w:link w:val="25"/>
    <w:qFormat/>
    <w:uiPriority w:val="0"/>
    <w:rPr>
      <w:rFonts w:ascii="Times New Roman" w:hAnsi="Times New Roman" w:eastAsia="宋体" w:cs="Times New Roman"/>
      <w:sz w:val="28"/>
    </w:rPr>
  </w:style>
  <w:style w:type="character" w:customStyle="1" w:styleId="77">
    <w:name w:val="Char Char16"/>
    <w:qFormat/>
    <w:uiPriority w:val="0"/>
    <w:rPr>
      <w:rFonts w:ascii="Times New Roman" w:hAnsi="Times New Roman" w:eastAsia="宋体" w:cs="Times New Roman"/>
      <w:b/>
      <w:kern w:val="2"/>
      <w:sz w:val="32"/>
    </w:rPr>
  </w:style>
  <w:style w:type="character" w:customStyle="1" w:styleId="78">
    <w:name w:val="gpa"/>
    <w:qFormat/>
    <w:uiPriority w:val="0"/>
    <w:rPr>
      <w:rFonts w:hint="default" w:ascii="Arial" w:hAnsi="Arial" w:eastAsia="宋体" w:cs="Arial"/>
      <w:sz w:val="15"/>
      <w:szCs w:val="15"/>
    </w:rPr>
  </w:style>
  <w:style w:type="character" w:customStyle="1" w:styleId="79">
    <w:name w:val="p12h15"/>
    <w:basedOn w:val="44"/>
    <w:qFormat/>
    <w:uiPriority w:val="0"/>
  </w:style>
  <w:style w:type="character" w:customStyle="1" w:styleId="80">
    <w:name w:val="Char Char17"/>
    <w:qFormat/>
    <w:uiPriority w:val="0"/>
    <w:rPr>
      <w:rFonts w:hint="eastAsia" w:ascii="楷体_GB2312" w:hAnsi="Times New Roman" w:eastAsia="楷体_GB2312" w:cs="楷体_GB2312"/>
      <w:b/>
      <w:kern w:val="44"/>
      <w:sz w:val="44"/>
    </w:rPr>
  </w:style>
  <w:style w:type="character" w:customStyle="1" w:styleId="81">
    <w:name w:val="HTML 预设格式 Char"/>
    <w:link w:val="36"/>
    <w:qFormat/>
    <w:uiPriority w:val="0"/>
    <w:rPr>
      <w:rFonts w:hint="default" w:ascii="Arial" w:hAnsi="Arial" w:eastAsia="宋体" w:cs="Arial"/>
      <w:sz w:val="24"/>
      <w:szCs w:val="24"/>
    </w:rPr>
  </w:style>
  <w:style w:type="character" w:customStyle="1" w:styleId="82">
    <w:name w:val="批注文字 Char"/>
    <w:link w:val="15"/>
    <w:qFormat/>
    <w:uiPriority w:val="0"/>
    <w:rPr>
      <w:rFonts w:ascii="Times New Roman" w:hAnsi="Times New Roman" w:eastAsia="宋体" w:cs="Times New Roman"/>
      <w:kern w:val="2"/>
      <w:sz w:val="21"/>
      <w:szCs w:val="24"/>
    </w:rPr>
  </w:style>
  <w:style w:type="character" w:customStyle="1" w:styleId="83">
    <w:name w:val="文档结构图 Char"/>
    <w:link w:val="13"/>
    <w:qFormat/>
    <w:uiPriority w:val="0"/>
    <w:rPr>
      <w:rFonts w:ascii="Times New Roman" w:hAnsi="Times New Roman" w:eastAsia="宋体" w:cs="Times New Roman"/>
      <w:kern w:val="2"/>
      <w:sz w:val="21"/>
      <w:szCs w:val="24"/>
      <w:shd w:val="clear" w:color="auto" w:fill="000080"/>
    </w:rPr>
  </w:style>
  <w:style w:type="character" w:customStyle="1" w:styleId="84">
    <w:name w:val="Comment Text Char"/>
    <w:qFormat/>
    <w:uiPriority w:val="0"/>
    <w:rPr>
      <w:rFonts w:hint="default" w:ascii="Times New Roman" w:hAnsi="Times New Roman" w:eastAsia="宋体" w:cs="Times New Roman"/>
      <w:sz w:val="24"/>
    </w:rPr>
  </w:style>
  <w:style w:type="character" w:customStyle="1" w:styleId="85">
    <w:name w:val="正文文本缩进 2 Char"/>
    <w:link w:val="26"/>
    <w:qFormat/>
    <w:uiPriority w:val="0"/>
    <w:rPr>
      <w:rFonts w:ascii="Times New Roman" w:hAnsi="Times New Roman" w:eastAsia="宋体" w:cs="Times New Roman"/>
      <w:kern w:val="2"/>
      <w:sz w:val="21"/>
      <w:szCs w:val="24"/>
    </w:rPr>
  </w:style>
  <w:style w:type="character" w:customStyle="1" w:styleId="86">
    <w:name w:val="正文文本 2 Char"/>
    <w:link w:val="18"/>
    <w:qFormat/>
    <w:uiPriority w:val="0"/>
    <w:rPr>
      <w:rFonts w:ascii="Times New Roman" w:hAnsi="Times New Roman" w:eastAsia="宋体" w:cs="Times New Roman"/>
      <w:kern w:val="2"/>
      <w:sz w:val="21"/>
      <w:szCs w:val="24"/>
    </w:rPr>
  </w:style>
  <w:style w:type="character" w:customStyle="1" w:styleId="87">
    <w:name w:val="selected"/>
    <w:qFormat/>
    <w:uiPriority w:val="0"/>
    <w:rPr>
      <w:rFonts w:ascii="Times New Roman" w:hAnsi="Times New Roman" w:eastAsia="宋体" w:cs="Times New Roman"/>
      <w:shd w:val="clear" w:color="auto" w:fill="B00006"/>
    </w:rPr>
  </w:style>
  <w:style w:type="character" w:customStyle="1" w:styleId="88">
    <w:name w:val="标题 4 Char"/>
    <w:link w:val="7"/>
    <w:qFormat/>
    <w:uiPriority w:val="0"/>
    <w:rPr>
      <w:rFonts w:ascii="Times New Roman" w:hAnsi="Times New Roman" w:eastAsia="宋体" w:cs="Times New Roman"/>
      <w:kern w:val="2"/>
      <w:sz w:val="32"/>
    </w:rPr>
  </w:style>
  <w:style w:type="character" w:customStyle="1" w:styleId="89">
    <w:name w:val="Item List in Table Char Char"/>
    <w:qFormat/>
    <w:uiPriority w:val="0"/>
    <w:rPr>
      <w:rFonts w:hint="default" w:ascii="Arial" w:hAnsi="Arial" w:eastAsia="宋体" w:cs="Arial"/>
      <w:sz w:val="18"/>
      <w:szCs w:val="18"/>
    </w:rPr>
  </w:style>
  <w:style w:type="character" w:customStyle="1" w:styleId="90">
    <w:name w:val="标题 2 Char Char Char"/>
    <w:qFormat/>
    <w:uiPriority w:val="0"/>
    <w:rPr>
      <w:rFonts w:hint="default" w:ascii="Arial" w:hAnsi="Arial" w:eastAsia="黑体" w:cs="Arial"/>
      <w:b/>
      <w:kern w:val="2"/>
      <w:sz w:val="32"/>
      <w:szCs w:val="32"/>
      <w:lang w:val="en-US" w:eastAsia="zh-CN"/>
    </w:rPr>
  </w:style>
  <w:style w:type="character" w:customStyle="1" w:styleId="91">
    <w:name w:val="标题 6 Char"/>
    <w:link w:val="9"/>
    <w:qFormat/>
    <w:uiPriority w:val="0"/>
    <w:rPr>
      <w:rFonts w:hint="eastAsia" w:ascii="宋体" w:hAnsi="宋体" w:eastAsia="宋体" w:cs="宋体"/>
      <w:b/>
      <w:sz w:val="24"/>
      <w:szCs w:val="24"/>
      <w:lang w:eastAsia="en-US"/>
    </w:rPr>
  </w:style>
  <w:style w:type="character" w:customStyle="1" w:styleId="92">
    <w:name w:val="普通文字 Char Char Char Char"/>
    <w:qFormat/>
    <w:uiPriority w:val="0"/>
    <w:rPr>
      <w:rFonts w:hint="eastAsia" w:ascii="宋体" w:hAnsi="Courier New" w:eastAsia="宋体" w:cs="宋体"/>
      <w:color w:val="000080"/>
      <w:sz w:val="21"/>
      <w:szCs w:val="21"/>
      <w:lang w:val="en-US" w:eastAsia="zh-CN"/>
    </w:rPr>
  </w:style>
  <w:style w:type="character" w:customStyle="1" w:styleId="93">
    <w:name w:val="批注框文本 Char"/>
    <w:link w:val="27"/>
    <w:qFormat/>
    <w:uiPriority w:val="0"/>
    <w:rPr>
      <w:rFonts w:ascii="Times New Roman" w:hAnsi="Times New Roman" w:eastAsia="宋体" w:cs="Times New Roman"/>
      <w:kern w:val="2"/>
      <w:sz w:val="18"/>
      <w:szCs w:val="18"/>
    </w:rPr>
  </w:style>
  <w:style w:type="character" w:customStyle="1" w:styleId="94">
    <w:name w:val="Balloon Text Char"/>
    <w:qFormat/>
    <w:uiPriority w:val="0"/>
    <w:rPr>
      <w:rFonts w:ascii="Times New Roman" w:hAnsi="Times New Roman" w:eastAsia="宋体" w:cs="Times New Roman"/>
      <w:sz w:val="18"/>
    </w:rPr>
  </w:style>
  <w:style w:type="character" w:customStyle="1" w:styleId="95">
    <w:name w:val="overfont"/>
    <w:basedOn w:val="44"/>
    <w:qFormat/>
    <w:uiPriority w:val="0"/>
  </w:style>
  <w:style w:type="character" w:customStyle="1" w:styleId="96">
    <w:name w:val="标题 1 Char"/>
    <w:link w:val="4"/>
    <w:qFormat/>
    <w:uiPriority w:val="0"/>
    <w:rPr>
      <w:rFonts w:hint="eastAsia" w:ascii="楷体_GB2312" w:hAnsi="Times New Roman" w:eastAsia="楷体_GB2312" w:cs="楷体_GB2312"/>
      <w:b/>
      <w:kern w:val="44"/>
      <w:sz w:val="44"/>
    </w:rPr>
  </w:style>
  <w:style w:type="character" w:customStyle="1" w:styleId="97">
    <w:name w:val="页眉 Char"/>
    <w:link w:val="29"/>
    <w:qFormat/>
    <w:uiPriority w:val="0"/>
    <w:rPr>
      <w:rFonts w:ascii="Times New Roman" w:hAnsi="Times New Roman" w:eastAsia="宋体" w:cs="Times New Roman"/>
      <w:kern w:val="2"/>
      <w:sz w:val="18"/>
      <w:szCs w:val="18"/>
    </w:rPr>
  </w:style>
  <w:style w:type="character" w:customStyle="1" w:styleId="98">
    <w:name w:val="Char Char11"/>
    <w:qFormat/>
    <w:uiPriority w:val="0"/>
    <w:rPr>
      <w:rFonts w:ascii="Times New Roman" w:hAnsi="Times New Roman" w:eastAsia="宋体" w:cs="Times New Roman"/>
      <w:kern w:val="2"/>
      <w:sz w:val="18"/>
      <w:szCs w:val="18"/>
    </w:rPr>
  </w:style>
  <w:style w:type="character" w:customStyle="1" w:styleId="99">
    <w:name w:val="页脚 Char"/>
    <w:link w:val="28"/>
    <w:qFormat/>
    <w:uiPriority w:val="0"/>
    <w:rPr>
      <w:rFonts w:ascii="Times New Roman" w:hAnsi="Times New Roman" w:eastAsia="宋体" w:cs="Times New Roman"/>
      <w:kern w:val="2"/>
      <w:sz w:val="18"/>
      <w:szCs w:val="18"/>
    </w:rPr>
  </w:style>
  <w:style w:type="character" w:customStyle="1" w:styleId="100">
    <w:name w:val="Char Char Char"/>
    <w:qFormat/>
    <w:uiPriority w:val="0"/>
    <w:rPr>
      <w:rFonts w:hint="eastAsia" w:ascii="宋体" w:hAnsi="Courier New" w:eastAsia="宋体" w:cs="宋体"/>
      <w:kern w:val="2"/>
      <w:sz w:val="21"/>
      <w:lang w:val="en-US" w:eastAsia="zh-CN"/>
    </w:rPr>
  </w:style>
  <w:style w:type="character" w:customStyle="1" w:styleId="101">
    <w:name w:val="标题 2 Char"/>
    <w:link w:val="5"/>
    <w:qFormat/>
    <w:uiPriority w:val="0"/>
    <w:rPr>
      <w:rFonts w:ascii="Arial" w:hAnsi="Arial" w:eastAsia="黑体" w:cs="Arial"/>
      <w:b/>
      <w:kern w:val="2"/>
      <w:sz w:val="32"/>
    </w:rPr>
  </w:style>
  <w:style w:type="character" w:customStyle="1" w:styleId="102">
    <w:name w:val="标题 3 Char"/>
    <w:link w:val="6"/>
    <w:qFormat/>
    <w:uiPriority w:val="0"/>
    <w:rPr>
      <w:rFonts w:ascii="Times New Roman" w:hAnsi="Times New Roman" w:eastAsia="宋体" w:cs="Times New Roman"/>
      <w:b/>
      <w:kern w:val="2"/>
      <w:sz w:val="32"/>
    </w:rPr>
  </w:style>
  <w:style w:type="character" w:customStyle="1" w:styleId="103">
    <w:name w:val="p0 Char Char"/>
    <w:qFormat/>
    <w:uiPriority w:val="0"/>
    <w:rPr>
      <w:rFonts w:ascii="Times New Roman" w:hAnsi="Times New Roman" w:eastAsia="宋体" w:cs="Times New Roman"/>
      <w:kern w:val="2"/>
      <w:sz w:val="21"/>
    </w:rPr>
  </w:style>
  <w:style w:type="character" w:customStyle="1" w:styleId="104">
    <w:name w:val="fontstyle11"/>
    <w:qFormat/>
    <w:uiPriority w:val="0"/>
    <w:rPr>
      <w:rFonts w:hint="default" w:ascii="E-BZ" w:hAnsi="E-BZ" w:eastAsia="E-BZ" w:cs="E-BZ"/>
      <w:color w:val="000000"/>
      <w:sz w:val="20"/>
      <w:szCs w:val="20"/>
    </w:rPr>
  </w:style>
  <w:style w:type="character" w:customStyle="1" w:styleId="105">
    <w:name w:val="正文文本缩进 Char"/>
    <w:link w:val="19"/>
    <w:qFormat/>
    <w:uiPriority w:val="0"/>
    <w:rPr>
      <w:rFonts w:ascii="Times New Roman" w:hAnsi="Times New Roman" w:eastAsia="宋体" w:cs="Times New Roman"/>
      <w:kern w:val="2"/>
      <w:sz w:val="21"/>
      <w:szCs w:val="24"/>
    </w:rPr>
  </w:style>
  <w:style w:type="character" w:customStyle="1" w:styleId="106">
    <w:name w:val="正文首行缩进 Char"/>
    <w:link w:val="40"/>
    <w:qFormat/>
    <w:uiPriority w:val="0"/>
    <w:rPr>
      <w:rFonts w:hint="eastAsia" w:ascii="楷体_GB2312" w:hAnsi="Times New Roman" w:eastAsia="楷体_GB2312" w:cs="楷体_GB2312"/>
      <w:kern w:val="2"/>
      <w:sz w:val="32"/>
      <w:szCs w:val="24"/>
    </w:rPr>
  </w:style>
  <w:style w:type="character" w:customStyle="1" w:styleId="107">
    <w:name w:val="font61"/>
    <w:basedOn w:val="44"/>
    <w:qFormat/>
    <w:uiPriority w:val="0"/>
    <w:rPr>
      <w:rFonts w:hint="eastAsia" w:ascii="宋体" w:hAnsi="宋体" w:eastAsia="宋体" w:cs="宋体"/>
      <w:color w:val="000000"/>
      <w:sz w:val="21"/>
      <w:szCs w:val="21"/>
      <w:u w:val="none"/>
    </w:rPr>
  </w:style>
  <w:style w:type="paragraph" w:customStyle="1" w:styleId="108">
    <w:name w:val="Body Text First Indent1"/>
    <w:basedOn w:val="17"/>
    <w:qFormat/>
    <w:uiPriority w:val="0"/>
    <w:pPr>
      <w:ind w:firstLine="420" w:firstLineChars="100"/>
    </w:pPr>
  </w:style>
  <w:style w:type="paragraph" w:customStyle="1" w:styleId="109">
    <w:name w:val="p0"/>
    <w:basedOn w:val="1"/>
    <w:qFormat/>
    <w:uiPriority w:val="0"/>
    <w:pPr>
      <w:widowControl/>
    </w:pPr>
    <w:rPr>
      <w:rFonts w:ascii="Times New Roman" w:hAnsi="Times New Roman"/>
      <w:kern w:val="0"/>
      <w:szCs w:val="21"/>
    </w:rPr>
  </w:style>
  <w:style w:type="paragraph" w:customStyle="1" w:styleId="110">
    <w:name w:val="a2"/>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1">
    <w:name w:val="Char"/>
    <w:basedOn w:val="1"/>
    <w:qFormat/>
    <w:uiPriority w:val="0"/>
    <w:pPr>
      <w:snapToGrid w:val="0"/>
      <w:spacing w:line="360" w:lineRule="auto"/>
      <w:ind w:firstLine="200" w:firstLineChars="200"/>
    </w:pPr>
    <w:rPr>
      <w:rFonts w:ascii="Times New Roman" w:hAnsi="Times New Roman"/>
    </w:rPr>
  </w:style>
  <w:style w:type="paragraph" w:customStyle="1" w:styleId="112">
    <w:name w:val="标题3-1"/>
    <w:basedOn w:val="6"/>
    <w:qFormat/>
    <w:uiPriority w:val="0"/>
    <w:pPr>
      <w:numPr>
        <w:ilvl w:val="0"/>
        <w:numId w:val="1"/>
      </w:numPr>
    </w:pPr>
    <w:rPr>
      <w:sz w:val="24"/>
    </w:rPr>
  </w:style>
  <w:style w:type="paragraph" w:customStyle="1" w:styleId="113">
    <w:name w:val="a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4">
    <w:name w:val="列出段落1"/>
    <w:basedOn w:val="1"/>
    <w:qFormat/>
    <w:uiPriority w:val="0"/>
    <w:pPr>
      <w:ind w:firstLine="420" w:firstLineChars="200"/>
    </w:pPr>
    <w:rPr>
      <w:rFonts w:ascii="Times New Roman" w:hAnsi="Times New Roman"/>
    </w:rPr>
  </w:style>
  <w:style w:type="paragraph" w:customStyle="1" w:styleId="115">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116">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117">
    <w:name w:val="正文_13_0"/>
    <w:basedOn w:val="1"/>
    <w:qFormat/>
    <w:uiPriority w:val="0"/>
    <w:rPr>
      <w:rFonts w:ascii="Calibri" w:hAnsi="Calibri"/>
    </w:rPr>
  </w:style>
  <w:style w:type="paragraph" w:customStyle="1" w:styleId="118">
    <w:name w:val="xl41"/>
    <w:basedOn w:val="1"/>
    <w:qFormat/>
    <w:uiPriority w:val="0"/>
    <w:pPr>
      <w:widowControl/>
      <w:pBdr>
        <w:bottom w:val="single" w:color="auto" w:sz="4" w:space="0"/>
      </w:pBdr>
      <w:spacing w:before="100" w:beforeAutospacing="1" w:after="100" w:afterAutospacing="1"/>
      <w:jc w:val="center"/>
      <w:textAlignment w:val="center"/>
    </w:pPr>
    <w:rPr>
      <w:rFonts w:hint="eastAsia" w:ascii="黑体" w:hAnsi="宋体" w:eastAsia="黑体"/>
      <w:b/>
      <w:kern w:val="0"/>
      <w:sz w:val="32"/>
      <w:szCs w:val="20"/>
    </w:rPr>
  </w:style>
  <w:style w:type="paragraph" w:customStyle="1" w:styleId="119">
    <w:name w:val="Table Paragraph"/>
    <w:basedOn w:val="1"/>
    <w:unhideWhenUsed/>
    <w:qFormat/>
    <w:uiPriority w:val="1"/>
    <w:rPr>
      <w:sz w:val="24"/>
    </w:rPr>
  </w:style>
  <w:style w:type="paragraph" w:customStyle="1" w:styleId="12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p15"/>
    <w:basedOn w:val="1"/>
    <w:qFormat/>
    <w:uiPriority w:val="0"/>
    <w:pPr>
      <w:widowControl/>
      <w:spacing w:line="365" w:lineRule="atLeast"/>
      <w:ind w:left="1"/>
    </w:pPr>
    <w:rPr>
      <w:rFonts w:ascii="Times New Roman" w:hAnsi="Times New Roman"/>
      <w:kern w:val="0"/>
      <w:sz w:val="20"/>
    </w:rPr>
  </w:style>
  <w:style w:type="paragraph" w:customStyle="1" w:styleId="122">
    <w:name w:val="TOAHeading"/>
    <w:basedOn w:val="1"/>
    <w:next w:val="1"/>
    <w:qFormat/>
    <w:uiPriority w:val="0"/>
    <w:pPr>
      <w:spacing w:before="120"/>
      <w:textAlignment w:val="baseline"/>
    </w:pPr>
    <w:rPr>
      <w:rFonts w:ascii="Arial" w:hAnsi="Arial"/>
      <w:sz w:val="24"/>
      <w:szCs w:val="22"/>
    </w:rPr>
  </w:style>
  <w:style w:type="character" w:customStyle="1" w:styleId="123">
    <w:name w:val="NormalCharacter"/>
    <w:qFormat/>
    <w:uiPriority w:val="0"/>
    <w:rPr>
      <w:rFonts w:ascii="Book Antiqua" w:hAnsi="Book Antiqua" w:eastAsia="宋体" w:cs="Times New Roman"/>
      <w:kern w:val="2"/>
      <w:sz w:val="21"/>
      <w:szCs w:val="24"/>
      <w:lang w:val="en-US" w:eastAsia="zh-CN" w:bidi="ar-SA"/>
    </w:rPr>
  </w:style>
  <w:style w:type="paragraph" w:customStyle="1" w:styleId="124">
    <w:name w:val="BodyText1I"/>
    <w:basedOn w:val="125"/>
    <w:next w:val="127"/>
    <w:qFormat/>
    <w:uiPriority w:val="0"/>
    <w:pPr>
      <w:ind w:firstLine="420" w:firstLineChars="100"/>
    </w:pPr>
    <w:rPr>
      <w:rFonts w:ascii="楷体_GB2312"/>
      <w:sz w:val="32"/>
    </w:rPr>
  </w:style>
  <w:style w:type="paragraph" w:customStyle="1" w:styleId="125">
    <w:name w:val="BodyText"/>
    <w:basedOn w:val="1"/>
    <w:next w:val="126"/>
    <w:qFormat/>
    <w:uiPriority w:val="0"/>
    <w:pPr>
      <w:textAlignment w:val="baseline"/>
    </w:pPr>
    <w:rPr>
      <w:rFonts w:ascii="Calibri" w:hAnsi="Calibri" w:eastAsia="楷体_GB2312"/>
      <w:kern w:val="0"/>
      <w:sz w:val="28"/>
    </w:rPr>
  </w:style>
  <w:style w:type="paragraph" w:customStyle="1" w:styleId="126">
    <w:name w:val="BodyText2"/>
    <w:basedOn w:val="1"/>
    <w:next w:val="125"/>
    <w:qFormat/>
    <w:uiPriority w:val="0"/>
    <w:pPr>
      <w:spacing w:after="120" w:line="480" w:lineRule="auto"/>
      <w:textAlignment w:val="baseline"/>
    </w:pPr>
  </w:style>
  <w:style w:type="paragraph" w:customStyle="1" w:styleId="127">
    <w:name w:val="BodyText1I2"/>
    <w:basedOn w:val="128"/>
    <w:qFormat/>
    <w:uiPriority w:val="0"/>
    <w:pPr>
      <w:ind w:firstLine="420" w:firstLineChars="200"/>
    </w:pPr>
  </w:style>
  <w:style w:type="paragraph" w:customStyle="1" w:styleId="128">
    <w:name w:val="BodyTextIndent"/>
    <w:basedOn w:val="1"/>
    <w:qFormat/>
    <w:uiPriority w:val="0"/>
    <w:pPr>
      <w:spacing w:after="120"/>
      <w:ind w:left="420" w:leftChars="200"/>
      <w:textAlignment w:val="baseline"/>
    </w:pPr>
  </w:style>
  <w:style w:type="paragraph" w:customStyle="1" w:styleId="129">
    <w:name w:val="正文首行缩进 21"/>
    <w:basedOn w:val="1"/>
    <w:qFormat/>
    <w:uiPriority w:val="0"/>
    <w:pPr>
      <w:tabs>
        <w:tab w:val="left" w:pos="945"/>
        <w:tab w:val="left" w:pos="1155"/>
      </w:tabs>
      <w:ind w:firstLine="420" w:firstLineChars="200"/>
    </w:pPr>
    <w:rPr>
      <w:rFonts w:asci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5"/>
    <customShpInfo spid="_x0000_s1026"/>
    <customShpInfo spid="_x0000_s3076"/>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177EE-B707-4D2D-8F2D-005F4EB19C1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3584</Words>
  <Characters>20431</Characters>
  <Lines>170</Lines>
  <Paragraphs>47</Paragraphs>
  <TotalTime>1</TotalTime>
  <ScaleCrop>false</ScaleCrop>
  <LinksUpToDate>false</LinksUpToDate>
  <CharactersWithSpaces>23968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2021-05-31T10:25:00Z</dcterms:created>
  <dc:creator>Administrator</dc:creator>
  <cp:lastModifiedBy>Administrator</cp:lastModifiedBy>
  <cp:lastPrinted>2021-08-06T00:56:00Z</cp:lastPrinted>
  <dcterms:modified xsi:type="dcterms:W3CDTF">2022-02-18T08:32:11Z</dcterms:modified>
  <dc:title>博爱县磨头镇际村小学新建教学楼、厕所项目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DBBBD991D9A345F288B7F4A27FFA441B</vt:lpwstr>
  </property>
</Properties>
</file>