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rFonts w:asciiTheme="minorEastAsia" w:hAnsiTheme="minorEastAsia" w:eastAsiaTheme="minorEastAsia" w:cstheme="minorEastAsia"/>
          <w:color w:val="auto"/>
          <w:highlight w:val="none"/>
        </w:rPr>
      </w:pPr>
      <w:bookmarkStart w:id="0" w:name="_Toc281574833"/>
    </w:p>
    <w:p>
      <w:pPr>
        <w:pStyle w:val="16"/>
        <w:rPr>
          <w:rFonts w:asciiTheme="minorEastAsia" w:hAnsiTheme="minorEastAsia" w:eastAsiaTheme="minorEastAsia" w:cstheme="minorEastAsia"/>
          <w:color w:val="auto"/>
          <w:highlight w:val="none"/>
        </w:rPr>
      </w:pP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博爱县住房和城乡建设局建设工程施工图审查</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机构政府购买服务项目（三包）</w:t>
      </w:r>
    </w:p>
    <w:p>
      <w:pPr>
        <w:spacing w:line="560" w:lineRule="exact"/>
        <w:ind w:right="-330" w:rightChars="-157"/>
        <w:jc w:val="center"/>
        <w:rPr>
          <w:rFonts w:hint="eastAsia" w:asciiTheme="majorEastAsia" w:hAnsiTheme="majorEastAsia" w:eastAsiaTheme="majorEastAsia" w:cstheme="majorEastAsia"/>
          <w:b/>
          <w:bCs/>
          <w:color w:val="auto"/>
          <w:sz w:val="44"/>
          <w:szCs w:val="44"/>
          <w:highlight w:val="none"/>
          <w:lang w:eastAsia="zh-CN"/>
        </w:rPr>
      </w:pPr>
    </w:p>
    <w:p>
      <w:pPr>
        <w:spacing w:line="360" w:lineRule="auto"/>
        <w:jc w:val="center"/>
        <w:rPr>
          <w:rFonts w:asciiTheme="minorEastAsia" w:hAnsiTheme="minorEastAsia" w:eastAsiaTheme="minorEastAsia" w:cstheme="minorEastAsia"/>
          <w:color w:val="auto"/>
          <w:sz w:val="28"/>
          <w:highlight w:val="none"/>
        </w:rPr>
      </w:pPr>
    </w:p>
    <w:p>
      <w:pPr>
        <w:pStyle w:val="107"/>
        <w:ind w:firstLine="210"/>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84"/>
          <w:szCs w:val="84"/>
          <w:highlight w:val="none"/>
        </w:rPr>
      </w:pPr>
    </w:p>
    <w:p>
      <w:pPr>
        <w:pStyle w:val="2"/>
        <w:rPr>
          <w:color w:val="auto"/>
          <w:highlight w:val="none"/>
        </w:rPr>
      </w:pPr>
      <w:r>
        <w:rPr>
          <w:rFonts w:hint="eastAsia"/>
          <w:color w:val="auto"/>
          <w:highlight w:val="none"/>
        </w:rPr>
        <w:t xml:space="preserve"> </w:t>
      </w: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w:t>
      </w:r>
      <w:r>
        <w:rPr>
          <w:rFonts w:hint="eastAsia" w:asciiTheme="minorEastAsia" w:hAnsiTheme="minorEastAsia" w:eastAsiaTheme="minorEastAsia" w:cstheme="minorEastAsia"/>
          <w:b/>
          <w:bCs/>
          <w:color w:val="auto"/>
          <w:sz w:val="36"/>
          <w:szCs w:val="36"/>
          <w:highlight w:val="none"/>
          <w:lang w:eastAsia="zh-CN"/>
        </w:rPr>
        <w:t>博政采购〔202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Theme="minorEastAsia" w:hAnsiTheme="minorEastAsia" w:eastAsiaTheme="minorEastAsia" w:cstheme="minorEastAsia"/>
          <w:b/>
          <w:bCs/>
          <w:color w:val="auto"/>
          <w:sz w:val="36"/>
          <w:szCs w:val="36"/>
          <w:highlight w:val="none"/>
          <w:lang w:eastAsia="zh-CN"/>
        </w:rPr>
        <w:t>〕</w:t>
      </w:r>
      <w:r>
        <w:rPr>
          <w:rFonts w:hint="eastAsia" w:asciiTheme="minorEastAsia" w:hAnsiTheme="minorEastAsia" w:eastAsiaTheme="minorEastAsia" w:cstheme="minorEastAsia"/>
          <w:b/>
          <w:bCs/>
          <w:color w:val="auto"/>
          <w:sz w:val="36"/>
          <w:szCs w:val="36"/>
          <w:highlight w:val="none"/>
          <w:lang w:val="en-US" w:eastAsia="zh-CN"/>
        </w:rPr>
        <w:t>8</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b/>
          <w:bCs/>
          <w:color w:val="auto"/>
          <w:sz w:val="32"/>
          <w:szCs w:val="32"/>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eastAsia="zh-CN"/>
        </w:rPr>
        <w:t>博爱县住房和城乡建设局</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w:t>
      </w: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3</w:t>
      </w:r>
      <w:r>
        <w:rPr>
          <w:rFonts w:hint="eastAsia" w:asciiTheme="minorEastAsia" w:hAnsiTheme="minorEastAsia" w:eastAsiaTheme="minorEastAsia" w:cstheme="minorEastAsia"/>
          <w:b/>
          <w:bCs/>
          <w:color w:val="auto"/>
          <w:sz w:val="32"/>
          <w:szCs w:val="32"/>
          <w:highlight w:val="none"/>
        </w:rPr>
        <w:t>月</w:t>
      </w:r>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     录</w:t>
      </w:r>
    </w:p>
    <w:p>
      <w:pPr>
        <w:pStyle w:val="29"/>
        <w:tabs>
          <w:tab w:val="right" w:leader="dot" w:pos="9460"/>
        </w:tabs>
        <w:spacing w:line="520" w:lineRule="exact"/>
        <w:rPr>
          <w:b/>
          <w:bCs/>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color w:val="auto"/>
          <w:highlight w:val="none"/>
        </w:rPr>
        <w:fldChar w:fldCharType="begin"/>
      </w:r>
      <w:r>
        <w:rPr>
          <w:color w:val="auto"/>
          <w:highlight w:val="none"/>
        </w:rPr>
        <w:instrText xml:space="preserve"> HYPERLINK \l "_Toc9243" </w:instrText>
      </w:r>
      <w:r>
        <w:rPr>
          <w:color w:val="auto"/>
          <w:highlight w:val="none"/>
        </w:rPr>
        <w:fldChar w:fldCharType="separate"/>
      </w:r>
      <w:r>
        <w:rPr>
          <w:rFonts w:hint="eastAsia" w:asciiTheme="minorEastAsia" w:hAnsiTheme="minorEastAsia" w:eastAsiaTheme="minorEastAsia" w:cstheme="minorEastAsia"/>
          <w:b/>
          <w:bCs/>
          <w:color w:val="auto"/>
          <w:highlight w:val="none"/>
        </w:rPr>
        <w:t>第一章   招标公告</w:t>
      </w:r>
      <w:r>
        <w:rPr>
          <w:b/>
          <w:bCs/>
          <w:color w:val="auto"/>
          <w:highlight w:val="none"/>
        </w:rPr>
        <w:tab/>
      </w:r>
      <w:r>
        <w:rPr>
          <w:b/>
          <w:bCs/>
          <w:color w:val="auto"/>
          <w:highlight w:val="none"/>
        </w:rPr>
        <w:fldChar w:fldCharType="begin"/>
      </w:r>
      <w:r>
        <w:rPr>
          <w:b/>
          <w:bCs/>
          <w:color w:val="auto"/>
          <w:highlight w:val="none"/>
        </w:rPr>
        <w:instrText xml:space="preserve"> PAGEREF _Toc9243 </w:instrText>
      </w:r>
      <w:r>
        <w:rPr>
          <w:b/>
          <w:bCs/>
          <w:color w:val="auto"/>
          <w:highlight w:val="none"/>
        </w:rPr>
        <w:fldChar w:fldCharType="separate"/>
      </w:r>
      <w:r>
        <w:rPr>
          <w:b/>
          <w:bCs/>
          <w:color w:val="auto"/>
          <w:highlight w:val="none"/>
        </w:rPr>
        <w:t>- 3 -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"_Toc25354" </w:instrText>
      </w:r>
      <w:r>
        <w:rPr>
          <w:color w:val="auto"/>
          <w:highlight w:val="none"/>
        </w:rPr>
        <w:fldChar w:fldCharType="separate"/>
      </w:r>
      <w:r>
        <w:rPr>
          <w:rFonts w:hint="eastAsia" w:asciiTheme="minorEastAsia" w:hAnsiTheme="minorEastAsia" w:eastAsiaTheme="minorEastAsia" w:cstheme="minorEastAsia"/>
          <w:b/>
          <w:bCs/>
          <w:color w:val="auto"/>
          <w:szCs w:val="32"/>
          <w:highlight w:val="none"/>
        </w:rPr>
        <w:t>第二章  供应商须知</w:t>
      </w:r>
      <w:r>
        <w:rPr>
          <w:b/>
          <w:bCs/>
          <w:color w:val="auto"/>
          <w:highlight w:val="none"/>
        </w:rPr>
        <w:tab/>
      </w:r>
      <w:r>
        <w:rPr>
          <w:b/>
          <w:bCs/>
          <w:color w:val="auto"/>
          <w:highlight w:val="none"/>
        </w:rPr>
        <w:fldChar w:fldCharType="begin"/>
      </w:r>
      <w:r>
        <w:rPr>
          <w:b/>
          <w:bCs/>
          <w:color w:val="auto"/>
          <w:highlight w:val="none"/>
        </w:rPr>
        <w:instrText xml:space="preserve"> PAGEREF _Toc25354 </w:instrText>
      </w:r>
      <w:r>
        <w:rPr>
          <w:b/>
          <w:bCs/>
          <w:color w:val="auto"/>
          <w:highlight w:val="none"/>
        </w:rPr>
        <w:fldChar w:fldCharType="separate"/>
      </w:r>
      <w:r>
        <w:rPr>
          <w:b/>
          <w:bCs/>
          <w:color w:val="auto"/>
          <w:highlight w:val="none"/>
        </w:rPr>
        <w:t>- 6 -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"_Toc1253" </w:instrText>
      </w:r>
      <w:r>
        <w:rPr>
          <w:color w:val="auto"/>
          <w:highlight w:val="none"/>
        </w:rPr>
        <w:fldChar w:fldCharType="separate"/>
      </w:r>
      <w:r>
        <w:rPr>
          <w:rFonts w:asciiTheme="minorEastAsia" w:hAnsiTheme="minorEastAsia" w:eastAsiaTheme="minorEastAsia" w:cstheme="minorEastAsia"/>
          <w:b/>
          <w:bCs/>
          <w:color w:val="auto"/>
          <w:szCs w:val="36"/>
          <w:highlight w:val="none"/>
        </w:rPr>
        <w:t xml:space="preserve">第三章 </w:t>
      </w:r>
      <w:r>
        <w:rPr>
          <w:rFonts w:hint="eastAsia" w:asciiTheme="minorEastAsia" w:hAnsiTheme="minorEastAsia" w:eastAsiaTheme="minorEastAsia" w:cstheme="minorEastAsia"/>
          <w:b/>
          <w:bCs/>
          <w:color w:val="auto"/>
          <w:szCs w:val="36"/>
          <w:highlight w:val="none"/>
        </w:rPr>
        <w:t>评标办法（综合评分法）</w:t>
      </w:r>
      <w:r>
        <w:rPr>
          <w:b/>
          <w:bCs/>
          <w:color w:val="auto"/>
          <w:highlight w:val="none"/>
        </w:rPr>
        <w:tab/>
      </w:r>
      <w:r>
        <w:rPr>
          <w:b/>
          <w:bCs/>
          <w:color w:val="auto"/>
          <w:highlight w:val="none"/>
        </w:rPr>
        <w:fldChar w:fldCharType="begin"/>
      </w:r>
      <w:r>
        <w:rPr>
          <w:b/>
          <w:bCs/>
          <w:color w:val="auto"/>
          <w:highlight w:val="none"/>
        </w:rPr>
        <w:instrText xml:space="preserve"> PAGEREF _Toc1253 </w:instrText>
      </w:r>
      <w:r>
        <w:rPr>
          <w:b/>
          <w:bCs/>
          <w:color w:val="auto"/>
          <w:highlight w:val="none"/>
        </w:rPr>
        <w:fldChar w:fldCharType="separate"/>
      </w:r>
      <w:r>
        <w:rPr>
          <w:b/>
          <w:bCs/>
          <w:color w:val="auto"/>
          <w:highlight w:val="none"/>
        </w:rPr>
        <w:t>- 18 -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"_Toc955"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_Toc955 </w:instrText>
      </w:r>
      <w:r>
        <w:rPr>
          <w:b/>
          <w:bCs/>
          <w:color w:val="auto"/>
          <w:highlight w:val="none"/>
        </w:rPr>
        <w:fldChar w:fldCharType="separate"/>
      </w:r>
      <w:r>
        <w:rPr>
          <w:b/>
          <w:bCs/>
          <w:color w:val="auto"/>
          <w:highlight w:val="none"/>
        </w:rPr>
        <w:t>- 23 -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rFonts w:asciiTheme="minorEastAsia" w:hAnsiTheme="minorEastAsia" w:eastAsiaTheme="minorEastAsia" w:cstheme="minorEastAsia"/>
          <w:b/>
          <w:bCs/>
          <w:caps/>
          <w:color w:val="auto"/>
          <w:szCs w:val="21"/>
          <w:highlight w:val="none"/>
          <w:lang w:val="zh-CN"/>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第五章  采购内容及要求</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pStyle w:val="29"/>
        <w:tabs>
          <w:tab w:val="right" w:leader="dot" w:pos="9460"/>
        </w:tabs>
        <w:spacing w:line="520" w:lineRule="exact"/>
        <w:rPr>
          <w:b/>
          <w:bCs/>
          <w:color w:val="auto"/>
          <w:highlight w:val="none"/>
        </w:rPr>
      </w:pPr>
      <w:r>
        <w:rPr>
          <w:color w:val="auto"/>
          <w:highlight w:val="none"/>
        </w:rPr>
        <w:fldChar w:fldCharType="begin"/>
      </w:r>
      <w:r>
        <w:rPr>
          <w:color w:val="auto"/>
          <w:highlight w:val="none"/>
        </w:rPr>
        <w:instrText xml:space="preserve"> HYPERLINK \l "_Toc26235" </w:instrText>
      </w:r>
      <w:r>
        <w:rPr>
          <w:color w:val="auto"/>
          <w:highlight w:val="none"/>
        </w:rPr>
        <w:fldChar w:fldCharType="separate"/>
      </w:r>
      <w:r>
        <w:rPr>
          <w:rFonts w:hint="eastAsia" w:asciiTheme="minorEastAsia" w:hAnsiTheme="minorEastAsia" w:eastAsiaTheme="minorEastAsia" w:cstheme="minorEastAsia"/>
          <w:b/>
          <w:bCs/>
          <w:color w:val="auto"/>
          <w:szCs w:val="36"/>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_Toc26235 </w:instrText>
      </w:r>
      <w:r>
        <w:rPr>
          <w:b/>
          <w:bCs/>
          <w:color w:val="auto"/>
          <w:highlight w:val="none"/>
        </w:rPr>
        <w:fldChar w:fldCharType="separate"/>
      </w:r>
      <w:r>
        <w:rPr>
          <w:b/>
          <w:bCs/>
          <w:color w:val="auto"/>
          <w:highlight w:val="none"/>
        </w:rPr>
        <w:t>- 26 -</w:t>
      </w:r>
      <w:r>
        <w:rPr>
          <w:b/>
          <w:bCs/>
          <w:color w:val="auto"/>
          <w:highlight w:val="none"/>
        </w:rPr>
        <w:fldChar w:fldCharType="end"/>
      </w:r>
      <w:r>
        <w:rPr>
          <w:b/>
          <w:bCs/>
          <w:color w:val="auto"/>
          <w:highlight w:val="none"/>
        </w:rPr>
        <w:fldChar w:fldCharType="end"/>
      </w:r>
    </w:p>
    <w:p>
      <w:pPr>
        <w:spacing w:line="520" w:lineRule="exact"/>
        <w:rPr>
          <w:b/>
          <w:bCs/>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aps/>
          <w:color w:val="auto"/>
          <w:szCs w:val="21"/>
          <w:highlight w:val="none"/>
          <w:lang w:val="zh-CN"/>
        </w:rPr>
        <w:fldChar w:fldCharType="end"/>
      </w:r>
    </w:p>
    <w:p>
      <w:pPr>
        <w:pStyle w:val="37"/>
        <w:spacing w:line="360" w:lineRule="auto"/>
        <w:ind w:right="-63" w:rightChars="-30"/>
        <w:rPr>
          <w:rFonts w:asciiTheme="minorEastAsia" w:hAnsiTheme="minorEastAsia" w:eastAsiaTheme="minorEastAsia" w:cstheme="minorEastAsia"/>
          <w:bCs/>
          <w:color w:val="auto"/>
          <w:highlight w:val="none"/>
        </w:rPr>
      </w:pPr>
      <w:bookmarkStart w:id="1" w:name="_Toc9243"/>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rPr>
          <w:rFonts w:asciiTheme="minorEastAsia" w:hAnsiTheme="minorEastAsia" w:eastAsiaTheme="minorEastAsia" w:cstheme="minorEastAsia"/>
          <w:bCs/>
          <w:color w:val="auto"/>
          <w:highlight w:val="none"/>
        </w:rPr>
      </w:pPr>
    </w:p>
    <w:p>
      <w:pPr>
        <w:pStyle w:val="37"/>
        <w:spacing w:line="360" w:lineRule="auto"/>
        <w:ind w:right="-63" w:rightChars="-30"/>
        <w:jc w:val="both"/>
        <w:rPr>
          <w:rFonts w:asciiTheme="minorEastAsia" w:hAnsiTheme="minorEastAsia" w:eastAsiaTheme="minorEastAsia" w:cstheme="minorEastAsia"/>
          <w:bCs/>
          <w:color w:val="auto"/>
          <w:highlight w:val="none"/>
        </w:rPr>
      </w:pPr>
    </w:p>
    <w:p>
      <w:pPr>
        <w:pStyle w:val="37"/>
        <w:numPr>
          <w:ilvl w:val="0"/>
          <w:numId w:val="3"/>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招标公告</w:t>
      </w:r>
      <w:bookmarkEnd w:id="1"/>
    </w:p>
    <w:p>
      <w:pPr>
        <w:jc w:val="center"/>
        <w:rPr>
          <w:rFonts w:hint="eastAsia" w:ascii="宋体" w:hAnsi="宋体" w:eastAsia="宋体" w:cs="宋体"/>
          <w:b/>
          <w:bCs/>
          <w:color w:val="auto"/>
          <w:sz w:val="32"/>
          <w:szCs w:val="32"/>
          <w:highlight w:val="none"/>
          <w:lang w:eastAsia="zh-CN"/>
        </w:rPr>
      </w:pPr>
      <w:bookmarkStart w:id="2" w:name="_Toc25354"/>
      <w:r>
        <w:rPr>
          <w:rFonts w:hint="eastAsia" w:ascii="宋体" w:hAnsi="宋体" w:eastAsia="宋体" w:cs="宋体"/>
          <w:b/>
          <w:bCs/>
          <w:color w:val="auto"/>
          <w:sz w:val="32"/>
          <w:szCs w:val="32"/>
          <w:highlight w:val="none"/>
          <w:lang w:eastAsia="zh-CN"/>
        </w:rPr>
        <w:t>博爱县住房和城乡建设局建设工程施工图审查机构</w:t>
      </w:r>
    </w:p>
    <w:p>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政府购买服务项目招标公告（不见面开标）</w:t>
      </w:r>
    </w:p>
    <w:tbl>
      <w:tblPr>
        <w:tblStyle w:val="4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40"/>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博爱县住房和城乡建设局建设工程施工图审查机构政府购买服务项目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21</w:t>
            </w:r>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8</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rPr>
              <w:t>分</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北京时间）前</w:t>
            </w:r>
            <w:r>
              <w:rPr>
                <w:rFonts w:hint="eastAsia" w:ascii="宋体" w:hAnsi="宋体" w:cs="宋体"/>
                <w:color w:val="auto"/>
                <w:sz w:val="24"/>
                <w:highlight w:val="none"/>
              </w:rPr>
              <w:t>提交响应文件。</w:t>
            </w:r>
          </w:p>
        </w:tc>
      </w:tr>
    </w:tbl>
    <w:p>
      <w:pPr>
        <w:pStyle w:val="114"/>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号</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项目名称：博爱县住房和城乡建设局建设工程施工图审查机构政府购买服务项目</w:t>
      </w:r>
    </w:p>
    <w:p>
      <w:pPr>
        <w:pStyle w:val="114"/>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采购内容：按照《关于贯彻落实河南省人民政府办公厅“联合图审”方案有关工作的通知》（豫建设</w:t>
      </w:r>
      <w:r>
        <w:rPr>
          <w:rFonts w:hint="eastAsia"/>
          <w:color w:val="auto"/>
          <w:sz w:val="24"/>
          <w:highlight w:val="none"/>
          <w:lang w:val="en-US" w:eastAsia="zh-CN"/>
        </w:rPr>
        <w:t>【2019】57号</w:t>
      </w:r>
      <w:r>
        <w:rPr>
          <w:rFonts w:hint="eastAsia"/>
          <w:color w:val="auto"/>
          <w:sz w:val="24"/>
          <w:highlight w:val="none"/>
          <w:lang w:eastAsia="zh-CN"/>
        </w:rPr>
        <w:t>）要求，为提高施工图联合审查服务质量和效率，博爱县住房和城乡建设局拟选择</w:t>
      </w:r>
      <w:r>
        <w:rPr>
          <w:rFonts w:hint="eastAsia"/>
          <w:color w:val="auto"/>
          <w:sz w:val="24"/>
          <w:highlight w:val="none"/>
          <w:lang w:val="en-US" w:eastAsia="zh-CN"/>
        </w:rPr>
        <w:t>3</w:t>
      </w:r>
      <w:r>
        <w:rPr>
          <w:rFonts w:hint="eastAsia"/>
          <w:color w:val="auto"/>
          <w:sz w:val="24"/>
          <w:highlight w:val="none"/>
          <w:lang w:eastAsia="zh-CN"/>
        </w:rPr>
        <w:t>家施工图审查服务机构，承担博爱县区行政区规划范围内建设项目图纸审查服务。</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资金来源：本级财政资金。</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服务期限：自合同签订生效之日起二年。</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单个项目完成期限：大型房屋建筑工程和市政设施工程 10个工作日完成审查,中型及以下房屋建筑工程和市政设施工程7个工作日完成审查。</w:t>
      </w:r>
    </w:p>
    <w:p>
      <w:pPr>
        <w:pStyle w:val="114"/>
        <w:spacing w:line="440" w:lineRule="exact"/>
        <w:ind w:left="0" w:firstLine="480" w:firstLineChars="200"/>
        <w:rPr>
          <w:rFonts w:hint="eastAsia"/>
          <w:color w:val="auto"/>
          <w:sz w:val="24"/>
          <w:highlight w:val="none"/>
          <w:lang w:eastAsia="zh-CN"/>
        </w:rPr>
      </w:pPr>
      <w:r>
        <w:rPr>
          <w:rFonts w:hint="eastAsia"/>
          <w:color w:val="auto"/>
          <w:sz w:val="24"/>
          <w:highlight w:val="none"/>
          <w:lang w:eastAsia="zh-CN"/>
        </w:rPr>
        <w:t>服务质量：合格，满足国家及行业规范要求。</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标包划分：</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一包：选定 1 家房屋</w:t>
      </w:r>
      <w:r>
        <w:rPr>
          <w:rFonts w:hint="eastAsia"/>
          <w:color w:val="auto"/>
          <w:sz w:val="24"/>
          <w:highlight w:val="none"/>
          <w:lang w:val="en-US" w:eastAsia="zh-CN"/>
        </w:rPr>
        <w:t>建筑一类项目施工图审查服务机构；</w:t>
      </w:r>
    </w:p>
    <w:p>
      <w:pPr>
        <w:pStyle w:val="114"/>
        <w:spacing w:line="440" w:lineRule="exact"/>
        <w:ind w:left="0" w:firstLine="480" w:firstLineChars="200"/>
        <w:rPr>
          <w:rFonts w:hint="eastAsia"/>
          <w:color w:val="auto"/>
          <w:sz w:val="24"/>
          <w:highlight w:val="none"/>
          <w:lang w:val="en-US" w:eastAsia="zh-CN"/>
        </w:rPr>
      </w:pPr>
      <w:r>
        <w:rPr>
          <w:rFonts w:hint="eastAsia"/>
          <w:color w:val="auto"/>
          <w:sz w:val="24"/>
          <w:highlight w:val="none"/>
          <w:lang w:val="en-US" w:eastAsia="zh-CN"/>
        </w:rPr>
        <w:t>二包：选定 1 家房屋建筑二类及以上项目施</w:t>
      </w:r>
      <w:r>
        <w:rPr>
          <w:rFonts w:hint="eastAsia"/>
          <w:color w:val="auto"/>
          <w:sz w:val="24"/>
          <w:highlight w:val="none"/>
          <w:lang w:val="en-US" w:eastAsia="zh-CN"/>
        </w:rPr>
        <w:t>工图审查服务机构；</w:t>
      </w:r>
    </w:p>
    <w:p>
      <w:pPr>
        <w:pStyle w:val="114"/>
        <w:spacing w:line="440" w:lineRule="exact"/>
        <w:ind w:left="0" w:firstLine="480" w:firstLineChars="200"/>
        <w:rPr>
          <w:rFonts w:hint="default"/>
          <w:color w:val="auto"/>
          <w:sz w:val="24"/>
          <w:highlight w:val="none"/>
          <w:lang w:val="en-US" w:eastAsia="zh-CN"/>
        </w:rPr>
      </w:pPr>
      <w:r>
        <w:rPr>
          <w:rFonts w:hint="eastAsia"/>
          <w:color w:val="auto"/>
          <w:sz w:val="24"/>
          <w:highlight w:val="none"/>
          <w:lang w:val="en-US" w:eastAsia="zh-CN"/>
        </w:rPr>
        <w:t>三包：选定 1 家市政项目施工图审查服务机构；</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2、落实政府采购政策需满足的资格要求：促进中小企业和监狱企业发展扶持政策</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3、本项目的特定资格要求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1一</w:t>
      </w:r>
      <w:r>
        <w:rPr>
          <w:rFonts w:hint="eastAsia" w:ascii="宋体" w:hAnsi="宋体" w:cs="宋体"/>
          <w:color w:val="auto"/>
          <w:sz w:val="24"/>
          <w:highlight w:val="none"/>
          <w:shd w:val="clear" w:color="auto" w:fill="FFFFFF"/>
          <w:lang w:eastAsia="zh-CN"/>
        </w:rPr>
        <w:t>包投标人需具备施工图审查房屋建筑</w:t>
      </w:r>
      <w:r>
        <w:rPr>
          <w:rFonts w:hint="eastAsia" w:ascii="宋体" w:hAnsi="宋体" w:cs="宋体"/>
          <w:color w:val="auto"/>
          <w:sz w:val="24"/>
          <w:highlight w:val="none"/>
          <w:shd w:val="clear" w:color="auto" w:fill="FFFFFF"/>
          <w:lang w:val="en-US" w:eastAsia="zh-CN"/>
        </w:rPr>
        <w:t>一</w:t>
      </w:r>
      <w:r>
        <w:rPr>
          <w:rFonts w:hint="eastAsia" w:ascii="宋体" w:hAnsi="宋体" w:cs="宋体"/>
          <w:color w:val="auto"/>
          <w:sz w:val="24"/>
          <w:highlight w:val="none"/>
          <w:shd w:val="clear" w:color="auto" w:fill="FFFFFF"/>
          <w:lang w:eastAsia="zh-CN"/>
        </w:rPr>
        <w:t>类资质证书；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 xml:space="preserve"> 二包投标人需具备施工图审查房屋建筑二类及以上资质证书；</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3.</w:t>
      </w: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三包投标人需具备施工图审查市政一类资质证书</w:t>
      </w:r>
      <w:r>
        <w:rPr>
          <w:rFonts w:hint="eastAsia" w:ascii="宋体" w:hAnsi="宋体" w:cs="宋体"/>
          <w:color w:val="auto"/>
          <w:sz w:val="24"/>
          <w:highlight w:val="none"/>
          <w:shd w:val="clear" w:color="auto" w:fill="FFFFFF"/>
          <w:lang w:val="en-US" w:eastAsia="zh-CN"/>
        </w:rPr>
        <w:t>（含给水、排水、道路、桥梁等）</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符合《房屋建筑和市政基础设施工程施工图设计文件审查管理办法》（住房和城乡建设部令第13号）的资格管理规定，具有施工图审查服务能力和履行合同能力的企业、且须符合豫建设【2019】57 号文的要求</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rPr>
        <w:t>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36"/>
        <w:shd w:val="clear" w:color="auto" w:fill="FFFFFF"/>
        <w:autoSpaceDE w:val="0"/>
        <w:spacing w:before="0" w:beforeAutospacing="0" w:after="0" w:afterAutospacing="0" w:line="440" w:lineRule="atLeast"/>
        <w:ind w:firstLine="480" w:firstLineChars="200"/>
        <w:rPr>
          <w:rFonts w:hint="eastAsia" w:eastAsia="宋体"/>
          <w:color w:val="auto"/>
          <w:highlight w:val="none"/>
          <w:lang w:eastAsia="zh-CN"/>
        </w:rPr>
      </w:pPr>
      <w:r>
        <w:rPr>
          <w:rFonts w:hint="eastAsia"/>
          <w:color w:val="auto"/>
          <w:highlight w:val="none"/>
        </w:rPr>
        <w:t>1.时间：</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 xml:space="preserve">1 </w:t>
      </w:r>
      <w:r>
        <w:rPr>
          <w:rFonts w:hint="eastAsia"/>
          <w:color w:val="auto"/>
          <w:highlight w:val="none"/>
        </w:rPr>
        <w:t>日至202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8</w:t>
      </w:r>
      <w:r>
        <w:rPr>
          <w:rFonts w:hint="eastAsia"/>
          <w:color w:val="auto"/>
          <w:highlight w:val="none"/>
        </w:rPr>
        <w:t>日（北京时间）；</w:t>
      </w:r>
    </w:p>
    <w:p>
      <w:pPr>
        <w:pStyle w:val="36"/>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2.地点：</w:t>
      </w:r>
      <w:r>
        <w:rPr>
          <w:rFonts w:hint="eastAsia"/>
          <w:color w:val="auto"/>
          <w:highlight w:val="none"/>
          <w:shd w:val="clear" w:color="auto" w:fill="FFFFFF"/>
        </w:rPr>
        <w:t>凡有意参加投标者，请登陆焦作市公共资源交易中心网站会员系统进行网上下载。</w:t>
      </w:r>
    </w:p>
    <w:p>
      <w:pPr>
        <w:pStyle w:val="36"/>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点</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36"/>
        <w:numPr>
          <w:ilvl w:val="0"/>
          <w:numId w:val="4"/>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36"/>
        <w:shd w:val="clear" w:color="auto" w:fill="FFFFFF"/>
        <w:autoSpaceDE w:val="0"/>
        <w:spacing w:before="0" w:beforeAutospacing="0" w:after="0" w:afterAutospacing="0" w:line="440" w:lineRule="exact"/>
        <w:ind w:firstLine="480" w:firstLineChars="200"/>
        <w:rPr>
          <w:rFonts w:hint="eastAsia" w:eastAsia="宋体"/>
          <w:color w:val="auto"/>
          <w:highlight w:val="none"/>
          <w:shd w:val="clear" w:color="auto" w:fill="FFFFFF"/>
          <w:lang w:eastAsia="zh-CN"/>
        </w:rPr>
      </w:pPr>
      <w:r>
        <w:rPr>
          <w:rFonts w:hint="eastAsia"/>
          <w:color w:val="auto"/>
          <w:highlight w:val="none"/>
          <w:shd w:val="clear" w:color="auto" w:fill="FFFFFF"/>
        </w:rPr>
        <w:t>1.本次本公告在</w:t>
      </w:r>
      <w:r>
        <w:rPr>
          <w:rFonts w:hint="eastAsia" w:ascii="宋体" w:hAnsi="宋体" w:cs="宋体"/>
          <w:bCs/>
          <w:color w:val="auto"/>
          <w:sz w:val="24"/>
          <w:highlight w:val="none"/>
        </w:rPr>
        <w:t>中国招标投标公共服务平台</w:t>
      </w:r>
      <w:r>
        <w:rPr>
          <w:rFonts w:hint="eastAsia" w:ascii="宋体" w:hAnsi="宋体" w:cs="宋体"/>
          <w:bCs/>
          <w:color w:val="auto"/>
          <w:sz w:val="24"/>
          <w:highlight w:val="none"/>
          <w:lang w:eastAsia="zh-CN"/>
        </w:rPr>
        <w:t>、</w:t>
      </w:r>
      <w:r>
        <w:rPr>
          <w:rFonts w:hint="eastAsia"/>
          <w:color w:val="auto"/>
          <w:highlight w:val="none"/>
          <w:shd w:val="clear" w:color="auto" w:fill="FFFFFF"/>
        </w:rPr>
        <w:t>河南省政府采购网、焦作市政府采购网、焦作市公共资源交易中心网、博爱县人民政府网、博爱县公共资源交易中心网上发布</w:t>
      </w:r>
      <w:r>
        <w:rPr>
          <w:rFonts w:hint="eastAsia"/>
          <w:color w:val="auto"/>
          <w:highlight w:val="none"/>
          <w:shd w:val="clear" w:color="auto" w:fill="FFFFFF"/>
          <w:lang w:eastAsia="zh-CN"/>
        </w:rPr>
        <w:t>。</w:t>
      </w:r>
    </w:p>
    <w:p>
      <w:pPr>
        <w:pStyle w:val="36"/>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6"/>
        <w:spacing w:beforeAutospacing="0" w:afterAutospacing="0" w:line="440" w:lineRule="exact"/>
        <w:ind w:firstLine="468" w:firstLineChars="195"/>
        <w:jc w:val="both"/>
        <w:rPr>
          <w:color w:val="auto"/>
          <w:highlight w:val="none"/>
        </w:rPr>
      </w:pPr>
      <w:r>
        <w:rPr>
          <w:rFonts w:hint="eastAsia"/>
          <w:color w:val="auto"/>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6"/>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w:t>
      </w:r>
      <w:r>
        <w:rPr>
          <w:rFonts w:hint="eastAsia" w:ascii="宋体" w:hAnsi="宋体" w:cs="宋体"/>
          <w:color w:val="auto"/>
          <w:sz w:val="24"/>
          <w:highlight w:val="none"/>
          <w:shd w:val="clear" w:color="auto" w:fill="FFFFFF"/>
          <w:lang w:eastAsia="zh-CN"/>
        </w:rPr>
        <w:t>博爱县住房和城乡建设局</w:t>
      </w:r>
    </w:p>
    <w:p>
      <w:pPr>
        <w:adjustRightInd w:val="0"/>
        <w:snapToGrid w:val="0"/>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val="en-US" w:eastAsia="zh-CN"/>
        </w:rPr>
        <w:t xml:space="preserve">博爱县电商大厦主楼2层西区 </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bCs/>
          <w:color w:val="auto"/>
          <w:sz w:val="24"/>
          <w:highlight w:val="none"/>
          <w:lang w:val="en-US" w:eastAsia="zh-CN"/>
        </w:rPr>
        <w:t>0391-8687770</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shd w:val="clear" w:color="auto" w:fill="FFFFFF"/>
        </w:rPr>
        <w:t>博爱县中山路东段</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电话：0391-8690958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bCs/>
          <w:color w:val="auto"/>
          <w:sz w:val="24"/>
          <w:highlight w:val="none"/>
          <w:lang w:eastAsia="zh-CN"/>
        </w:rPr>
        <w:t>焦先生</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bCs/>
          <w:color w:val="auto"/>
          <w:sz w:val="24"/>
          <w:highlight w:val="none"/>
          <w:lang w:val="en-US" w:eastAsia="zh-CN"/>
        </w:rPr>
        <w:t>0391-8687770</w:t>
      </w:r>
    </w:p>
    <w:p>
      <w:pPr>
        <w:keepNext w:val="0"/>
        <w:keepLines w:val="0"/>
        <w:pageBreakBefore w:val="0"/>
        <w:kinsoku/>
        <w:wordWrap/>
        <w:overflowPunct/>
        <w:topLinePunct w:val="0"/>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九、监督部门</w:t>
      </w:r>
    </w:p>
    <w:p>
      <w:pPr>
        <w:keepNext w:val="0"/>
        <w:keepLines w:val="0"/>
        <w:pageBreakBefore w:val="0"/>
        <w:kinsoku/>
        <w:wordWrap/>
        <w:overflowPunct/>
        <w:topLinePunct w:val="0"/>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博爱县财政局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电话：0391-8683273</w:t>
      </w:r>
    </w:p>
    <w:p>
      <w:pPr>
        <w:pStyle w:val="12"/>
        <w:rPr>
          <w:color w:val="auto"/>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博爱县住房和城乡建设局</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rFonts w:asciiTheme="minorEastAsia" w:hAnsiTheme="minorEastAsia" w:eastAsiaTheme="minorEastAsia" w:cstheme="minorEastAsia"/>
          <w:b/>
          <w:color w:val="auto"/>
          <w:sz w:val="32"/>
          <w:szCs w:val="32"/>
          <w:highlight w:val="none"/>
        </w:rPr>
      </w:pPr>
      <w:r>
        <w:rPr>
          <w:rFonts w:hint="eastAsia" w:ascii="宋体" w:hAnsi="宋体" w:cs="宋体"/>
          <w:color w:val="auto"/>
          <w:sz w:val="24"/>
          <w:highlight w:val="none"/>
        </w:rPr>
        <w:t>发布时间：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31 </w:t>
      </w:r>
      <w:r>
        <w:rPr>
          <w:rFonts w:hint="eastAsia" w:ascii="宋体" w:hAnsi="宋体" w:cs="宋体"/>
          <w:color w:val="auto"/>
          <w:sz w:val="24"/>
          <w:highlight w:val="none"/>
        </w:rPr>
        <w:t>日</w:t>
      </w: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2"/>
    </w:p>
    <w:bookmarkEnd w:id="0"/>
    <w:p>
      <w:pPr>
        <w:pStyle w:val="37"/>
        <w:spacing w:before="0" w:after="0" w:line="360" w:lineRule="auto"/>
        <w:ind w:right="-23" w:rightChars="-11"/>
        <w:rPr>
          <w:rFonts w:asciiTheme="minorEastAsia" w:hAnsiTheme="minorEastAsia" w:eastAsiaTheme="minorEastAsia" w:cstheme="minorEastAsia"/>
          <w:color w:val="auto"/>
          <w:sz w:val="30"/>
          <w:szCs w:val="30"/>
          <w:highlight w:val="none"/>
        </w:rPr>
      </w:pPr>
      <w:bookmarkStart w:id="3" w:name="_Toc32497"/>
      <w:bookmarkStart w:id="4" w:name="_Toc9161"/>
      <w:bookmarkStart w:id="5" w:name="_Toc426369478"/>
      <w:bookmarkStart w:id="6" w:name="_Toc403122490"/>
      <w:r>
        <w:rPr>
          <w:rFonts w:hint="eastAsia" w:asciiTheme="minorEastAsia" w:hAnsiTheme="minorEastAsia" w:eastAsiaTheme="minorEastAsia" w:cstheme="minorEastAsia"/>
          <w:color w:val="auto"/>
          <w:sz w:val="30"/>
          <w:szCs w:val="30"/>
          <w:highlight w:val="none"/>
        </w:rPr>
        <w:t>供应商须知前附表</w:t>
      </w:r>
      <w:bookmarkEnd w:id="3"/>
      <w:bookmarkEnd w:id="4"/>
      <w:bookmarkEnd w:id="5"/>
      <w:bookmarkEnd w:id="6"/>
    </w:p>
    <w:tbl>
      <w:tblPr>
        <w:tblStyle w:val="4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pPr>
              <w:pStyle w:val="21"/>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lang w:eastAsia="zh-CN"/>
              </w:rPr>
              <w:t>博爱县住房和城乡建设局</w:t>
            </w:r>
          </w:p>
          <w:p>
            <w:pPr>
              <w:pStyle w:val="21"/>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联系</w:t>
            </w:r>
            <w:r>
              <w:rPr>
                <w:rFonts w:asciiTheme="minorEastAsia" w:hAnsiTheme="minorEastAsia" w:eastAsiaTheme="minorEastAsia" w:cstheme="minorEastAsia"/>
                <w:color w:val="auto"/>
                <w:szCs w:val="24"/>
                <w:highlight w:val="none"/>
              </w:rPr>
              <w:t>人：</w:t>
            </w:r>
            <w:r>
              <w:rPr>
                <w:rFonts w:hint="eastAsia" w:asciiTheme="minorEastAsia" w:hAnsiTheme="minorEastAsia" w:eastAsiaTheme="minorEastAsia" w:cstheme="minorEastAsia"/>
                <w:color w:val="auto"/>
                <w:szCs w:val="24"/>
                <w:highlight w:val="none"/>
                <w:lang w:eastAsia="zh-CN"/>
              </w:rPr>
              <w:t>焦先生</w:t>
            </w:r>
          </w:p>
          <w:p>
            <w:pPr>
              <w:pStyle w:val="21"/>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lang w:val="en-US" w:eastAsia="zh-CN"/>
              </w:rPr>
              <w:t>0391-8687770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博爱县住房和城乡建设局建设工程施工图审查机构政府购买服务项目（三包）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21"/>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博爱县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6112" w:type="dxa"/>
          </w:tcPr>
          <w:p>
            <w:pPr>
              <w:pStyle w:val="21"/>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highlight w:val="none"/>
                <w:lang w:val="en-US" w:eastAsia="zh-CN"/>
              </w:rPr>
              <w:t xml:space="preserve">  按照《关于贯彻落实河南省人民政府办公厅“联合图审”方案有关工作的通知》（豫建设【2019】57号）要求，为提高施工图联合审查服务质量和效率，博爱县住房和城乡建设局拟选择3家施工图审查服务机构，承担博爱县区行政区规划范围内建设项目图纸审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21"/>
              <w:spacing w:line="360" w:lineRule="exact"/>
              <w:jc w:val="center"/>
              <w:rPr>
                <w:rFonts w:hint="eastAsia" w:hAnsi="宋体" w:eastAsia="宋体" w:cs="宋体"/>
                <w:color w:val="auto"/>
                <w:kern w:val="0"/>
                <w:highlight w:val="none"/>
                <w:lang w:eastAsia="zh-CN"/>
              </w:rPr>
            </w:pPr>
            <w:r>
              <w:rPr>
                <w:rFonts w:hint="eastAsia" w:hAnsi="宋体" w:cs="宋体"/>
                <w:color w:val="auto"/>
                <w:kern w:val="0"/>
                <w:highlight w:val="none"/>
                <w:lang w:val="en-US" w:eastAsia="zh-CN"/>
              </w:rPr>
              <w:t xml:space="preserve"> </w:t>
            </w:r>
            <w:r>
              <w:rPr>
                <w:rFonts w:hint="eastAsia"/>
                <w:color w:val="auto"/>
                <w:sz w:val="24"/>
                <w:highlight w:val="none"/>
                <w:lang w:eastAsia="zh-CN"/>
              </w:rPr>
              <w:t>服务期限</w:t>
            </w:r>
          </w:p>
        </w:tc>
        <w:tc>
          <w:tcPr>
            <w:tcW w:w="6112" w:type="dxa"/>
            <w:vAlign w:val="center"/>
          </w:tcPr>
          <w:p>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lang w:eastAsia="zh-CN"/>
              </w:rPr>
              <w:t>自合同签订生效之日起二年。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21"/>
              <w:spacing w:line="360" w:lineRule="exact"/>
              <w:jc w:val="center"/>
              <w:rPr>
                <w:rFonts w:hint="default" w:hAnsi="宋体" w:cs="宋体"/>
                <w:color w:val="auto"/>
                <w:kern w:val="0"/>
                <w:highlight w:val="none"/>
              </w:rPr>
            </w:pPr>
            <w:r>
              <w:rPr>
                <w:rFonts w:hint="eastAsia"/>
                <w:color w:val="auto"/>
                <w:sz w:val="24"/>
                <w:highlight w:val="none"/>
                <w:lang w:eastAsia="zh-CN"/>
              </w:rPr>
              <w:t>服务质量</w:t>
            </w:r>
          </w:p>
        </w:tc>
        <w:tc>
          <w:tcPr>
            <w:tcW w:w="6112" w:type="dxa"/>
            <w:vAlign w:val="center"/>
          </w:tcPr>
          <w:p>
            <w:pPr>
              <w:spacing w:line="400" w:lineRule="exact"/>
              <w:rPr>
                <w:rFonts w:ascii="宋体" w:hAnsi="宋体" w:cs="宋体"/>
                <w:color w:val="auto"/>
                <w:kern w:val="0"/>
                <w:szCs w:val="21"/>
                <w:highlight w:val="none"/>
              </w:rPr>
            </w:pPr>
            <w:r>
              <w:rPr>
                <w:rFonts w:hint="eastAsia"/>
                <w:color w:val="auto"/>
                <w:sz w:val="24"/>
                <w:highlight w:val="none"/>
                <w:lang w:eastAsia="zh-CN"/>
              </w:rPr>
              <w:t>合格，满足国家及行业规范要求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21"/>
              <w:spacing w:line="360" w:lineRule="exact"/>
              <w:jc w:val="center"/>
              <w:rPr>
                <w:rFonts w:hint="default" w:hAnsi="宋体" w:cs="宋体"/>
                <w:color w:val="auto"/>
                <w:kern w:val="0"/>
                <w:highlight w:val="none"/>
              </w:rPr>
            </w:pPr>
            <w:r>
              <w:rPr>
                <w:rFonts w:hint="eastAsia"/>
                <w:color w:val="auto"/>
                <w:sz w:val="24"/>
                <w:highlight w:val="none"/>
                <w:lang w:eastAsia="zh-CN"/>
              </w:rPr>
              <w:t>单个项目完成期限</w:t>
            </w:r>
          </w:p>
        </w:tc>
        <w:tc>
          <w:tcPr>
            <w:tcW w:w="6112" w:type="dxa"/>
            <w:vAlign w:val="center"/>
          </w:tcPr>
          <w:p>
            <w:pPr>
              <w:pStyle w:val="114"/>
              <w:spacing w:line="440" w:lineRule="exact"/>
              <w:ind w:left="0" w:firstLine="480" w:firstLineChars="200"/>
              <w:rPr>
                <w:rFonts w:ascii="宋体" w:hAnsi="宋体" w:cs="宋体"/>
                <w:color w:val="auto"/>
                <w:kern w:val="0"/>
                <w:szCs w:val="21"/>
                <w:highlight w:val="none"/>
              </w:rPr>
            </w:pPr>
            <w:r>
              <w:rPr>
                <w:rFonts w:hint="eastAsia"/>
                <w:color w:val="auto"/>
                <w:sz w:val="24"/>
                <w:highlight w:val="none"/>
                <w:lang w:eastAsia="zh-CN"/>
              </w:rPr>
              <w:t>大型房屋建筑工程和市政设施工程 10个工作日完成审查,中型及以下房屋建筑工程和市政设施工程7个工作日完成审查。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符合《中华人民共和国政府采购法》第二十二条之规定；</w:t>
            </w:r>
          </w:p>
          <w:p>
            <w:pPr>
              <w:widowControl/>
              <w:spacing w:line="440" w:lineRule="exact"/>
              <w:ind w:firstLine="480" w:firstLineChars="200"/>
              <w:jc w:val="left"/>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落实政府采购政策需满足的资格要求：促进中小企业和监狱企业发展扶持政策</w:t>
            </w:r>
            <w:r>
              <w:rPr>
                <w:rFonts w:hint="eastAsia" w:ascii="宋体" w:hAnsi="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3</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rPr>
              <w:t>本项目的特定资格要求</w:t>
            </w:r>
            <w:r>
              <w:rPr>
                <w:rFonts w:hint="eastAsia" w:ascii="宋体" w:hAnsi="宋体" w:cs="宋体"/>
                <w:color w:val="auto"/>
                <w:sz w:val="24"/>
                <w:highlight w:val="none"/>
                <w:shd w:val="clear" w:color="auto" w:fill="FFFFFF"/>
                <w:lang w:eastAsia="zh-CN"/>
              </w:rPr>
              <w:t>：</w:t>
            </w:r>
          </w:p>
          <w:p>
            <w:pPr>
              <w:pStyle w:val="56"/>
              <w:numPr>
                <w:ilvl w:val="1"/>
                <w:numId w:val="0"/>
              </w:numPr>
              <w:ind w:firstLine="480" w:firstLineChars="200"/>
              <w:rPr>
                <w:rFonts w:hint="eastAsia"/>
                <w:b w:val="0"/>
                <w:bCs/>
                <w:color w:val="auto"/>
                <w:highlight w:val="none"/>
                <w:lang w:eastAsia="zh-CN"/>
              </w:rPr>
            </w:pPr>
            <w:r>
              <w:rPr>
                <w:rFonts w:hint="eastAsia"/>
                <w:b w:val="0"/>
                <w:bCs/>
                <w:color w:val="auto"/>
                <w:highlight w:val="none"/>
                <w:lang w:eastAsia="zh-CN"/>
              </w:rPr>
              <w:t>3.</w:t>
            </w:r>
            <w:r>
              <w:rPr>
                <w:rFonts w:hint="eastAsia"/>
                <w:b w:val="0"/>
                <w:bCs/>
                <w:color w:val="auto"/>
                <w:highlight w:val="none"/>
                <w:lang w:val="en-US" w:eastAsia="zh-CN"/>
              </w:rPr>
              <w:t>1</w:t>
            </w:r>
            <w:r>
              <w:rPr>
                <w:rFonts w:hint="eastAsia"/>
                <w:b w:val="0"/>
                <w:bCs/>
                <w:color w:val="auto"/>
                <w:highlight w:val="none"/>
                <w:lang w:eastAsia="zh-CN"/>
              </w:rPr>
              <w:t>投标人需具备施工图审查市政一类资质证书；</w:t>
            </w:r>
          </w:p>
          <w:p>
            <w:pPr>
              <w:pStyle w:val="56"/>
              <w:numPr>
                <w:ilvl w:val="1"/>
                <w:numId w:val="0"/>
              </w:numPr>
              <w:ind w:firstLine="480" w:firstLineChars="200"/>
              <w:rPr>
                <w:rFonts w:hint="eastAsia"/>
                <w:b w:val="0"/>
                <w:bCs/>
                <w:color w:val="auto"/>
                <w:highlight w:val="none"/>
                <w:lang w:eastAsia="zh-CN"/>
              </w:rPr>
            </w:pPr>
            <w:r>
              <w:rPr>
                <w:rFonts w:hint="eastAsia"/>
                <w:b w:val="0"/>
                <w:bCs/>
                <w:color w:val="auto"/>
                <w:highlight w:val="none"/>
                <w:lang w:val="en-US" w:eastAsia="zh-CN"/>
              </w:rPr>
              <w:t>4.</w:t>
            </w:r>
            <w:r>
              <w:rPr>
                <w:rFonts w:hint="eastAsia"/>
                <w:b w:val="0"/>
                <w:bCs/>
                <w:color w:val="auto"/>
                <w:highlight w:val="none"/>
              </w:rPr>
              <w:t>符合《房屋建筑和市政基础设施工程施工图设计文件审查管理办法》（住房和城乡建设部令第13号）的资格管理规定，具有施工图审查服务能力和履行合同能力的企业、且须符合豫建设【2019】57 号文的要求</w:t>
            </w:r>
            <w:r>
              <w:rPr>
                <w:rFonts w:hint="eastAsia"/>
                <w:b w:val="0"/>
                <w:bCs/>
                <w:color w:val="auto"/>
                <w:highlight w:val="none"/>
                <w:lang w:eastAsia="zh-CN"/>
              </w:rPr>
              <w:t>；</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6.</w:t>
            </w:r>
            <w:r>
              <w:rPr>
                <w:rFonts w:hint="eastAsia" w:ascii="宋体" w:hAnsi="宋体" w:cs="宋体"/>
                <w:color w:val="auto"/>
                <w:sz w:val="24"/>
                <w:highlight w:val="none"/>
                <w:shd w:val="clear" w:color="auto" w:fill="FFFFFF"/>
              </w:rPr>
              <w:t>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7.</w:t>
            </w:r>
            <w:r>
              <w:rPr>
                <w:rFonts w:hint="eastAsia" w:ascii="宋体" w:hAnsi="宋体" w:cs="宋体"/>
                <w:color w:val="auto"/>
                <w:sz w:val="24"/>
                <w:highlight w:val="none"/>
                <w:shd w:val="clear" w:color="auto" w:fill="FFFFFF"/>
              </w:rPr>
              <w:t>资格审查方式：资格后审。</w:t>
            </w:r>
          </w:p>
          <w:p>
            <w:pPr>
              <w:pStyle w:val="21"/>
              <w:spacing w:line="360" w:lineRule="exact"/>
              <w:rPr>
                <w:rFonts w:hint="default"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b/>
                <w:bCs/>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 w:val="21"/>
                <w:szCs w:val="21"/>
                <w:highlight w:val="none"/>
              </w:rPr>
              <w:t>202</w:t>
            </w:r>
            <w:r>
              <w:rPr>
                <w:rFonts w:hint="eastAsia" w:ascii="宋体" w:hAnsi="宋体" w:cs="宋体"/>
                <w:b/>
                <w:bCs/>
                <w:color w:val="auto"/>
                <w:kern w:val="0"/>
                <w:sz w:val="21"/>
                <w:szCs w:val="21"/>
                <w:highlight w:val="none"/>
                <w:lang w:val="en-US" w:eastAsia="zh-CN"/>
              </w:rPr>
              <w:t>2</w:t>
            </w:r>
            <w:r>
              <w:rPr>
                <w:rFonts w:hint="eastAsia" w:ascii="宋体" w:hAnsi="宋体" w:cs="宋体"/>
                <w:b/>
                <w:bCs/>
                <w:color w:val="auto"/>
                <w:kern w:val="0"/>
                <w:sz w:val="21"/>
                <w:szCs w:val="21"/>
                <w:highlight w:val="none"/>
              </w:rPr>
              <w:t>年</w:t>
            </w:r>
            <w:r>
              <w:rPr>
                <w:rFonts w:hint="eastAsia" w:ascii="宋体" w:hAnsi="宋体" w:cs="宋体"/>
                <w:b/>
                <w:bCs/>
                <w:color w:val="auto"/>
                <w:kern w:val="0"/>
                <w:sz w:val="21"/>
                <w:szCs w:val="21"/>
                <w:highlight w:val="none"/>
                <w:lang w:val="en-US" w:eastAsia="zh-CN"/>
              </w:rPr>
              <w:t>4</w:t>
            </w:r>
            <w:r>
              <w:rPr>
                <w:rFonts w:hint="eastAsia" w:ascii="宋体" w:hAnsi="宋体" w:cs="宋体"/>
                <w:b/>
                <w:bCs/>
                <w:color w:val="auto"/>
                <w:kern w:val="0"/>
                <w:sz w:val="21"/>
                <w:szCs w:val="21"/>
                <w:highlight w:val="none"/>
              </w:rPr>
              <w:t>月</w:t>
            </w:r>
            <w:r>
              <w:rPr>
                <w:rFonts w:hint="eastAsia" w:ascii="宋体" w:hAnsi="宋体" w:cs="宋体"/>
                <w:b/>
                <w:bCs/>
                <w:color w:val="auto"/>
                <w:kern w:val="0"/>
                <w:sz w:val="21"/>
                <w:szCs w:val="21"/>
                <w:highlight w:val="none"/>
                <w:lang w:val="en-US" w:eastAsia="zh-CN"/>
              </w:rPr>
              <w:t xml:space="preserve"> 21 </w:t>
            </w:r>
            <w:r>
              <w:rPr>
                <w:rFonts w:hint="eastAsia" w:ascii="宋体" w:hAnsi="宋体" w:cs="宋体"/>
                <w:b/>
                <w:bCs/>
                <w:color w:val="auto"/>
                <w:kern w:val="0"/>
                <w:sz w:val="21"/>
                <w:szCs w:val="21"/>
                <w:highlight w:val="none"/>
              </w:rPr>
              <w:t>日</w:t>
            </w:r>
            <w:r>
              <w:rPr>
                <w:rFonts w:hint="eastAsia" w:ascii="宋体" w:hAnsi="宋体" w:cs="宋体"/>
                <w:b/>
                <w:bCs/>
                <w:color w:val="auto"/>
                <w:kern w:val="0"/>
                <w:sz w:val="21"/>
                <w:szCs w:val="21"/>
                <w:highlight w:val="none"/>
                <w:lang w:val="en-US" w:eastAsia="zh-CN"/>
              </w:rPr>
              <w:t>8</w:t>
            </w:r>
            <w:r>
              <w:rPr>
                <w:rFonts w:hint="eastAsia" w:ascii="宋体" w:hAnsi="宋体" w:cs="宋体"/>
                <w:b/>
                <w:bCs/>
                <w:color w:val="auto"/>
                <w:kern w:val="0"/>
                <w:sz w:val="21"/>
                <w:szCs w:val="21"/>
                <w:highlight w:val="none"/>
              </w:rPr>
              <w:t>点</w:t>
            </w:r>
            <w:r>
              <w:rPr>
                <w:rFonts w:hint="eastAsia" w:ascii="宋体" w:hAnsi="宋体" w:cs="宋体"/>
                <w:b/>
                <w:bCs/>
                <w:color w:val="auto"/>
                <w:kern w:val="0"/>
                <w:sz w:val="21"/>
                <w:szCs w:val="21"/>
                <w:highlight w:val="none"/>
                <w:lang w:val="en-US" w:eastAsia="zh-CN"/>
              </w:rPr>
              <w:t>30</w:t>
            </w:r>
            <w:r>
              <w:rPr>
                <w:rFonts w:hint="eastAsia" w:ascii="宋体" w:hAnsi="宋体" w:cs="宋体"/>
                <w:b/>
                <w:bCs/>
                <w:color w:val="auto"/>
                <w:kern w:val="0"/>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color w:val="auto"/>
                <w:highlight w:val="none"/>
              </w:rPr>
            </w:pPr>
            <w:r>
              <w:rPr>
                <w:rFonts w:hAnsi="宋体" w:cs="宋体"/>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21"/>
              <w:spacing w:line="360" w:lineRule="exact"/>
              <w:rPr>
                <w:rFonts w:hint="default" w:asciiTheme="minorEastAsia" w:hAnsiTheme="minorEastAsia" w:cstheme="minorEastAsia"/>
                <w:color w:val="auto"/>
                <w:highlight w:val="none"/>
              </w:rPr>
            </w:pPr>
            <w:r>
              <w:rPr>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21"/>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default" w:hAnsi="宋体"/>
                <w:color w:val="auto"/>
                <w:highlight w:val="none"/>
              </w:rPr>
            </w:pPr>
            <w:r>
              <w:rPr>
                <w:rFonts w:hAnsi="宋体"/>
                <w:color w:val="auto"/>
                <w:highlight w:val="none"/>
              </w:rPr>
              <w:t>（1）电子投标文件的递交</w:t>
            </w:r>
          </w:p>
          <w:p>
            <w:pPr>
              <w:pStyle w:val="21"/>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21"/>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21"/>
              <w:spacing w:line="400" w:lineRule="exact"/>
              <w:rPr>
                <w:rFonts w:hint="default" w:hAnsi="宋体"/>
                <w:color w:val="auto"/>
                <w:highlight w:val="none"/>
              </w:rPr>
            </w:pPr>
            <w:r>
              <w:rPr>
                <w:rFonts w:hAnsi="宋体"/>
                <w:color w:val="auto"/>
                <w:highlight w:val="none"/>
              </w:rPr>
              <w:t>b、如系统故故障需上传非加密文件时，投标人应按照招标人指示将非加密文件递交给招标人。</w:t>
            </w:r>
          </w:p>
          <w:p>
            <w:pPr>
              <w:pStyle w:val="21"/>
              <w:spacing w:line="360" w:lineRule="exact"/>
              <w:rPr>
                <w:rFonts w:hint="default"/>
                <w:color w:val="auto"/>
                <w:highlight w:val="none"/>
              </w:rPr>
            </w:pPr>
            <w:r>
              <w:rPr>
                <w:rFonts w:hAnsi="宋体"/>
                <w:color w:val="auto"/>
                <w:highlight w:val="none"/>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color w:val="auto"/>
                <w:highlight w:val="none"/>
              </w:rPr>
              <w:t>7.3</w:t>
            </w:r>
            <w:r>
              <w:rPr>
                <w:rFonts w:hint="eastAsia" w:asciiTheme="minorEastAsia" w:hAnsiTheme="minorEastAsia" w:eastAsiaTheme="minorEastAsia" w:cstheme="minorEastAsia"/>
                <w:color w:val="auto"/>
                <w:highlight w:val="none"/>
                <w:lang w:val="en-US" w:eastAsia="zh-CN"/>
              </w:rPr>
              <w:t>.1</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7.3.2</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履约保证金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控制价</w:t>
            </w:r>
          </w:p>
        </w:tc>
        <w:tc>
          <w:tcPr>
            <w:tcW w:w="6112" w:type="dxa"/>
            <w:vAlign w:val="bottom"/>
          </w:tcPr>
          <w:p>
            <w:pPr>
              <w:spacing w:line="440" w:lineRule="exact"/>
              <w:rPr>
                <w:rFonts w:hint="eastAsia" w:eastAsia="仿宋" w:asciiTheme="minorEastAsia" w:hAnsi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本项目投标报价</w:t>
            </w:r>
            <w:r>
              <w:rPr>
                <w:rFonts w:hint="eastAsia" w:asciiTheme="minorEastAsia" w:hAnsiTheme="minorEastAsia" w:eastAsiaTheme="minorEastAsia" w:cstheme="minorEastAsia"/>
                <w:color w:val="auto"/>
                <w:szCs w:val="21"/>
                <w:highlight w:val="none"/>
              </w:rPr>
              <w:t>采用费率报价模式</w:t>
            </w:r>
            <w:r>
              <w:rPr>
                <w:rFonts w:hint="eastAsia" w:asciiTheme="minorEastAsia" w:hAnsiTheme="minorEastAsia" w:eastAsiaTheme="minorEastAsia" w:cstheme="minorEastAsia"/>
                <w:color w:val="auto"/>
                <w:szCs w:val="21"/>
                <w:highlight w:val="none"/>
              </w:rPr>
              <w:t>，按豫建设[2019]57 号文件河南省施工图设计文件审查结算标准的</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0%作为最高限价</w:t>
            </w:r>
            <w:r>
              <w:rPr>
                <w:rFonts w:hint="eastAsia" w:asciiTheme="minorEastAsia" w:hAnsiTheme="minorEastAsia" w:eastAsiaTheme="minorEastAsia" w:cstheme="minorEastAsia"/>
                <w:color w:val="auto"/>
                <w:szCs w:val="21"/>
                <w:highlight w:val="none"/>
                <w:lang w:eastAsia="zh-CN"/>
              </w:rPr>
              <w:t>；</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ind w:firstLine="420" w:firstLineChars="200"/>
              <w:rPr>
                <w:rFonts w:hint="default" w:ascii="宋体" w:hAnsi="宋体" w:cs="宋体"/>
                <w:bCs/>
                <w:color w:val="auto"/>
                <w:highlight w:val="none"/>
              </w:rPr>
            </w:pPr>
            <w:r>
              <w:rPr>
                <w:rFonts w:hint="default" w:ascii="宋体" w:hAnsi="宋体" w:cs="宋体"/>
                <w:bCs/>
                <w:color w:val="auto"/>
                <w:highlight w:val="none"/>
              </w:rPr>
              <w:t>图审费用按照《河南省施工图设计文件审查结算标准》、《焦作市施工图联合审查费用结算暂行规定》、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pStyle w:val="57"/>
              <w:rPr>
                <w:color w:val="auto"/>
                <w:highlight w:val="none"/>
              </w:rPr>
            </w:pPr>
            <w:r>
              <w:rPr>
                <w:rFonts w:hint="eastAsia"/>
                <w:color w:val="auto"/>
                <w:highlight w:val="none"/>
              </w:rPr>
              <w:t>本次采购活动收取采购代理服务费，中标人在领取中标通知书时，按照国家相关标准要求缴纳。根据历年来图纸审查数量情况综合评定，本</w:t>
            </w:r>
            <w:r>
              <w:rPr>
                <w:rFonts w:hint="eastAsia"/>
                <w:color w:val="auto"/>
                <w:highlight w:val="none"/>
                <w:lang w:eastAsia="zh-CN"/>
              </w:rPr>
              <w:t>包</w:t>
            </w:r>
            <w:r>
              <w:rPr>
                <w:rFonts w:hint="eastAsia"/>
                <w:color w:val="auto"/>
                <w:highlight w:val="none"/>
              </w:rPr>
              <w:t>代理服务费</w:t>
            </w:r>
            <w:r>
              <w:rPr>
                <w:rFonts w:hint="eastAsia"/>
                <w:color w:val="auto"/>
                <w:highlight w:val="none"/>
                <w:lang w:eastAsia="zh-CN"/>
              </w:rPr>
              <w:t>为</w:t>
            </w:r>
            <w:r>
              <w:rPr>
                <w:rFonts w:hint="eastAsia"/>
                <w:color w:val="auto"/>
                <w:highlight w:val="none"/>
              </w:rPr>
              <w:t>：</w:t>
            </w:r>
            <w:r>
              <w:rPr>
                <w:rFonts w:hint="eastAsia"/>
                <w:color w:val="auto"/>
                <w:highlight w:val="none"/>
                <w:lang w:val="en-US" w:eastAsia="zh-CN"/>
              </w:rPr>
              <w:t>壹万柒仟元整</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认定为不响应招标文件的其它条件</w:t>
            </w:r>
          </w:p>
        </w:tc>
        <w:tc>
          <w:tcPr>
            <w:tcW w:w="6112" w:type="dxa"/>
            <w:vAlign w:val="center"/>
          </w:tcPr>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1、未按招标文件明示的规定签字盖章的；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2、投标文件的关键内容（投标报价、</w:t>
            </w:r>
            <w:r>
              <w:rPr>
                <w:rFonts w:hint="eastAsia" w:asciiTheme="minorEastAsia" w:hAnsiTheme="minorEastAsia" w:eastAsiaTheme="minorEastAsia" w:cstheme="minorEastAsia"/>
                <w:color w:val="auto"/>
                <w:szCs w:val="21"/>
                <w:highlight w:val="none"/>
                <w:lang w:eastAsia="zh-CN"/>
              </w:rPr>
              <w:t>服务期限等</w:t>
            </w:r>
            <w:r>
              <w:rPr>
                <w:rFonts w:hint="eastAsia" w:asciiTheme="minorEastAsia" w:hAnsiTheme="minorEastAsia" w:eastAsiaTheme="minorEastAsia" w:cstheme="minorEastAsia"/>
                <w:color w:val="auto"/>
                <w:szCs w:val="21"/>
                <w:highlight w:val="none"/>
              </w:rPr>
              <w:t>）未填写或填写字迹模糊、达不到采购要求的；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3、投标报价超出招标控制价的；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4、供应商递交两份或多份内容不同的投标文件，或在一份投标文件中对同一招标项目有两个或多个报价，且未声明哪一个有效的；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5、相关资格证明文件不合格的；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6、未按要求提供相关证件的；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、附有采购人不能接受的条件的；</w:t>
            </w:r>
          </w:p>
          <w:p>
            <w:pPr>
              <w:pStyle w:val="40"/>
              <w:ind w:left="0" w:leftChars="0"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、评标过程中，如有投标人存在“投标文件制作机器码一致”，则视其投标无效，并按照相关规定进行处理。</w:t>
            </w:r>
          </w:p>
          <w:p>
            <w:pPr>
              <w:pStyle w:val="40"/>
              <w:ind w:left="0" w:leftChars="0" w:firstLine="0" w:firstLineChars="0"/>
              <w:rPr>
                <w:color w:val="auto"/>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 w:name="_Toc23576"/>
      <w:bookmarkStart w:id="8" w:name="_Toc426369479"/>
      <w:bookmarkStart w:id="9" w:name="_Toc403122491"/>
      <w:bookmarkStart w:id="10" w:name="_Toc9048"/>
      <w:bookmarkStart w:id="11" w:name="_Toc26894"/>
      <w:bookmarkStart w:id="12" w:name="_Toc403122503"/>
      <w:bookmarkStart w:id="13" w:name="_Toc426369491"/>
      <w:r>
        <w:rPr>
          <w:rFonts w:hint="eastAsia" w:asciiTheme="minorEastAsia" w:hAnsiTheme="minorEastAsia" w:eastAsiaTheme="minorEastAsia" w:cstheme="minorEastAsia"/>
          <w:color w:val="auto"/>
          <w:sz w:val="24"/>
          <w:szCs w:val="24"/>
          <w:highlight w:val="none"/>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 w:name="_Toc426369480"/>
      <w:bookmarkStart w:id="15" w:name="_Toc274249575"/>
      <w:bookmarkStart w:id="16" w:name="_Toc403122492"/>
      <w:bookmarkStart w:id="17" w:name="_Toc279599771"/>
      <w:r>
        <w:rPr>
          <w:rFonts w:hint="eastAsia" w:asciiTheme="minorEastAsia" w:hAnsiTheme="minorEastAsia" w:eastAsiaTheme="minorEastAsia" w:cstheme="minorEastAsia"/>
          <w:b/>
          <w:bCs/>
          <w:color w:val="auto"/>
          <w:sz w:val="24"/>
          <w:highlight w:val="none"/>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 w:name="_Toc426369481"/>
      <w:bookmarkStart w:id="19" w:name="_Toc279599772"/>
      <w:bookmarkStart w:id="20" w:name="_Toc274249576"/>
      <w:bookmarkStart w:id="21" w:name="_Toc403122493"/>
      <w:r>
        <w:rPr>
          <w:rFonts w:hint="eastAsia" w:asciiTheme="minorEastAsia" w:hAnsiTheme="minorEastAsia" w:eastAsiaTheme="minorEastAsia" w:cstheme="minorEastAsia"/>
          <w:b/>
          <w:bCs/>
          <w:color w:val="auto"/>
          <w:sz w:val="24"/>
          <w:highlight w:val="none"/>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 w:name="_Toc403122494"/>
      <w:bookmarkStart w:id="23" w:name="_Toc426369482"/>
      <w:bookmarkStart w:id="24" w:name="_Toc274249577"/>
      <w:bookmarkStart w:id="25" w:name="_Toc279599773"/>
      <w:r>
        <w:rPr>
          <w:rFonts w:hint="eastAsia" w:asciiTheme="minorEastAsia" w:hAnsiTheme="minorEastAsia" w:eastAsiaTheme="minorEastAsia" w:cstheme="minorEastAsia"/>
          <w:b/>
          <w:bCs/>
          <w:color w:val="auto"/>
          <w:sz w:val="24"/>
          <w:highlight w:val="none"/>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本次招标的项目</w:t>
      </w:r>
      <w:r>
        <w:rPr>
          <w:rFonts w:hint="eastAsia" w:asciiTheme="minorEastAsia" w:hAnsiTheme="minorEastAsia" w:eastAsiaTheme="minorEastAsia" w:cstheme="minorEastAsia"/>
          <w:color w:val="auto"/>
          <w:szCs w:val="21"/>
          <w:highlight w:val="none"/>
          <w:lang w:eastAsia="zh-CN"/>
        </w:rPr>
        <w:t>服务期限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本次招标的</w:t>
      </w:r>
      <w:r>
        <w:rPr>
          <w:rFonts w:hint="eastAsia" w:asciiTheme="minorEastAsia" w:hAnsiTheme="minorEastAsia" w:eastAsiaTheme="minorEastAsia" w:cstheme="minorEastAsia"/>
          <w:color w:val="auto"/>
          <w:szCs w:val="21"/>
          <w:highlight w:val="none"/>
          <w:lang w:eastAsia="zh-CN"/>
        </w:rPr>
        <w:t>单个项目完成期限</w:t>
      </w:r>
      <w:r>
        <w:rPr>
          <w:rFonts w:hint="eastAsia" w:asciiTheme="minorEastAsia" w:hAnsiTheme="minorEastAsia" w:eastAsiaTheme="minorEastAsia" w:cstheme="minorEastAsia"/>
          <w:color w:val="auto"/>
          <w:szCs w:val="21"/>
          <w:highlight w:val="none"/>
        </w:rPr>
        <w:t xml:space="preserve">：见供应商须知前附表。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6" w:name="_Toc274249578"/>
      <w:bookmarkStart w:id="27" w:name="_Toc279599774"/>
      <w:bookmarkStart w:id="28" w:name="_Toc426369483"/>
      <w:bookmarkStart w:id="29" w:name="_Toc403122495"/>
      <w:r>
        <w:rPr>
          <w:rFonts w:hint="eastAsia" w:asciiTheme="minorEastAsia" w:hAnsiTheme="minorEastAsia" w:eastAsiaTheme="minorEastAsia" w:cstheme="minorEastAsia"/>
          <w:b/>
          <w:bCs/>
          <w:color w:val="auto"/>
          <w:sz w:val="24"/>
          <w:highlight w:val="none"/>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0" w:name="_Toc279599775"/>
      <w:bookmarkStart w:id="31" w:name="_Toc274249579"/>
      <w:bookmarkStart w:id="32"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3" w:name="_Toc426369484"/>
      <w:r>
        <w:rPr>
          <w:rFonts w:hint="eastAsia" w:asciiTheme="minorEastAsia" w:hAnsiTheme="minorEastAsia" w:eastAsiaTheme="minorEastAsia" w:cstheme="minorEastAsia"/>
          <w:b/>
          <w:bCs/>
          <w:color w:val="auto"/>
          <w:sz w:val="24"/>
          <w:highlight w:val="none"/>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4" w:name="_Toc426369485"/>
      <w:bookmarkStart w:id="35" w:name="_Toc403122497"/>
      <w:r>
        <w:rPr>
          <w:rFonts w:hint="eastAsia" w:asciiTheme="minorEastAsia" w:hAnsiTheme="minorEastAsia" w:eastAsiaTheme="minorEastAsia" w:cstheme="minorEastAsia"/>
          <w:b/>
          <w:bCs/>
          <w:color w:val="auto"/>
          <w:sz w:val="24"/>
          <w:highlight w:val="none"/>
        </w:rPr>
        <w:t>1.6 保密</w:t>
      </w:r>
      <w:bookmarkEnd w:id="34"/>
      <w:bookmarkEnd w:id="3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03122498"/>
      <w:bookmarkStart w:id="37" w:name="_Toc426369486"/>
      <w:bookmarkStart w:id="38" w:name="_Toc274249581"/>
      <w:bookmarkStart w:id="39" w:name="_Toc279599777"/>
      <w:r>
        <w:rPr>
          <w:rFonts w:hint="eastAsia" w:asciiTheme="minorEastAsia" w:hAnsiTheme="minorEastAsia" w:eastAsiaTheme="minorEastAsia" w:cstheme="minorEastAsia"/>
          <w:b/>
          <w:bCs/>
          <w:color w:val="auto"/>
          <w:sz w:val="24"/>
          <w:highlight w:val="none"/>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0" w:name="_Toc426369487"/>
      <w:bookmarkStart w:id="41" w:name="_Toc403122499"/>
      <w:r>
        <w:rPr>
          <w:rFonts w:hint="eastAsia" w:asciiTheme="minorEastAsia" w:hAnsiTheme="minorEastAsia" w:eastAsiaTheme="minorEastAsia" w:cstheme="minorEastAsia"/>
          <w:b/>
          <w:bCs/>
          <w:color w:val="auto"/>
          <w:sz w:val="24"/>
          <w:highlight w:val="none"/>
        </w:rPr>
        <w:t>1.8 计量单位</w:t>
      </w:r>
      <w:bookmarkEnd w:id="40"/>
      <w:bookmarkEnd w:id="41"/>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所有计量均采用中华人民共和国法定计量单位。</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03122500"/>
      <w:bookmarkStart w:id="43" w:name="_Toc279599779"/>
      <w:bookmarkStart w:id="44" w:name="_Toc426369488"/>
      <w:bookmarkStart w:id="45" w:name="_Toc274249583"/>
      <w:r>
        <w:rPr>
          <w:rFonts w:hint="eastAsia" w:asciiTheme="minorEastAsia" w:hAnsiTheme="minorEastAsia" w:eastAsiaTheme="minorEastAsia" w:cstheme="minorEastAsia"/>
          <w:b/>
          <w:bCs/>
          <w:color w:val="auto"/>
          <w:sz w:val="24"/>
          <w:highlight w:val="none"/>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6" w:name="_Toc426369489"/>
      <w:bookmarkStart w:id="47" w:name="_Toc279599780"/>
      <w:bookmarkStart w:id="48" w:name="_Toc274249584"/>
      <w:bookmarkStart w:id="49" w:name="_Toc403122501"/>
      <w:r>
        <w:rPr>
          <w:rFonts w:hint="eastAsia" w:asciiTheme="minorEastAsia" w:hAnsiTheme="minorEastAsia" w:eastAsiaTheme="minorEastAsia" w:cstheme="minorEastAsia"/>
          <w:b/>
          <w:bCs/>
          <w:color w:val="auto"/>
          <w:sz w:val="24"/>
          <w:highlight w:val="none"/>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0" w:name="_Toc279599781"/>
      <w:bookmarkStart w:id="51" w:name="_Toc403122502"/>
      <w:bookmarkStart w:id="52" w:name="_Toc274249585"/>
      <w:bookmarkStart w:id="53" w:name="_Toc426369490"/>
      <w:r>
        <w:rPr>
          <w:rFonts w:hint="eastAsia" w:asciiTheme="minorEastAsia" w:hAnsiTheme="minorEastAsia" w:eastAsiaTheme="minorEastAsia" w:cstheme="minorEastAsia"/>
          <w:b/>
          <w:bCs/>
          <w:color w:val="auto"/>
          <w:sz w:val="24"/>
          <w:highlight w:val="none"/>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4" w:name="_Toc28663"/>
      <w:r>
        <w:rPr>
          <w:rFonts w:hint="eastAsia" w:asciiTheme="minorEastAsia" w:hAnsiTheme="minorEastAsia" w:eastAsiaTheme="minorEastAsia" w:cstheme="minorEastAsia"/>
          <w:color w:val="auto"/>
          <w:sz w:val="24"/>
          <w:szCs w:val="24"/>
          <w:highlight w:val="none"/>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426369492"/>
      <w:bookmarkStart w:id="56" w:name="_Toc403122504"/>
      <w:bookmarkStart w:id="57" w:name="_Toc279599783"/>
      <w:bookmarkStart w:id="58" w:name="_Toc274249587"/>
      <w:r>
        <w:rPr>
          <w:rFonts w:hint="eastAsia" w:asciiTheme="minorEastAsia" w:hAnsiTheme="minorEastAsia" w:eastAsiaTheme="minorEastAsia" w:cstheme="minorEastAsia"/>
          <w:b/>
          <w:bCs/>
          <w:color w:val="auto"/>
          <w:sz w:val="24"/>
          <w:highlight w:val="none"/>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4249588"/>
      <w:bookmarkStart w:id="60" w:name="_Toc279599784"/>
      <w:bookmarkStart w:id="61" w:name="_Toc426369493"/>
      <w:bookmarkStart w:id="62" w:name="_Toc403122505"/>
      <w:r>
        <w:rPr>
          <w:rFonts w:hint="eastAsia" w:asciiTheme="minorEastAsia" w:hAnsiTheme="minorEastAsia" w:eastAsiaTheme="minorEastAsia" w:cstheme="minorEastAsia"/>
          <w:b/>
          <w:bCs/>
          <w:color w:val="auto"/>
          <w:sz w:val="24"/>
          <w:highlight w:val="none"/>
        </w:rPr>
        <w:t>2.2 招标文件的澄清</w:t>
      </w:r>
      <w:bookmarkEnd w:id="59"/>
      <w:bookmarkEnd w:id="60"/>
      <w:bookmarkEnd w:id="61"/>
      <w:bookmarkEnd w:id="62"/>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r>
        <w:rPr>
          <w:rFonts w:hint="eastAsia" w:asciiTheme="minorEastAsia" w:hAnsiTheme="minorEastAsia" w:eastAsiaTheme="minorEastAsia" w:cstheme="minorEastAsia"/>
          <w:color w:val="auto"/>
          <w:szCs w:val="21"/>
          <w:highlight w:val="none"/>
          <w:lang w:val="en-US" w:eastAsia="zh-CN"/>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274249589"/>
      <w:bookmarkStart w:id="64" w:name="_Toc403122506"/>
      <w:bookmarkStart w:id="65" w:name="_Toc426369494"/>
      <w:bookmarkStart w:id="66" w:name="_Toc279599785"/>
      <w:r>
        <w:rPr>
          <w:rFonts w:hint="eastAsia" w:asciiTheme="minorEastAsia" w:hAnsiTheme="minorEastAsia" w:eastAsiaTheme="minorEastAsia" w:cstheme="minorEastAsia"/>
          <w:b/>
          <w:bCs/>
          <w:color w:val="auto"/>
          <w:sz w:val="24"/>
          <w:highlight w:val="none"/>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67" w:name="_Toc426369495"/>
      <w:bookmarkStart w:id="68" w:name="_Toc403122507"/>
      <w:bookmarkStart w:id="69" w:name="_Toc23265"/>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0" w:name="_Toc13865"/>
      <w:r>
        <w:rPr>
          <w:rFonts w:hint="eastAsia" w:asciiTheme="minorEastAsia" w:hAnsiTheme="minorEastAsia" w:eastAsiaTheme="minorEastAsia" w:cstheme="minorEastAsia"/>
          <w:color w:val="auto"/>
          <w:sz w:val="24"/>
          <w:szCs w:val="24"/>
          <w:highlight w:val="none"/>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1" w:name="_Toc403122508"/>
      <w:bookmarkStart w:id="72" w:name="_Toc279599787"/>
      <w:bookmarkStart w:id="73" w:name="_Toc274249591"/>
      <w:bookmarkStart w:id="74" w:name="_Toc426369496"/>
      <w:r>
        <w:rPr>
          <w:rFonts w:hint="eastAsia" w:asciiTheme="minorEastAsia" w:hAnsiTheme="minorEastAsia" w:eastAsiaTheme="minorEastAsia" w:cstheme="minorEastAsia"/>
          <w:b/>
          <w:bCs/>
          <w:color w:val="auto"/>
          <w:sz w:val="24"/>
          <w:highlight w:val="none"/>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hint="eastAsia" w:ascii="宋体" w:hAnsi="宋体" w:eastAsia="宋体" w:cs="宋体"/>
          <w:color w:val="auto"/>
          <w:szCs w:val="21"/>
          <w:highlight w:val="none"/>
          <w:lang w:eastAsia="zh-CN"/>
        </w:rPr>
      </w:pPr>
      <w:bookmarkStart w:id="75" w:name="_Toc274249592"/>
      <w:bookmarkStart w:id="76" w:name="_Toc426369497"/>
      <w:bookmarkStart w:id="77" w:name="_Toc403122509"/>
      <w:bookmarkStart w:id="78" w:name="_Toc279599788"/>
      <w:r>
        <w:rPr>
          <w:rFonts w:hint="eastAsia" w:ascii="宋体" w:hAnsi="宋体" w:cs="宋体"/>
          <w:color w:val="auto"/>
          <w:szCs w:val="21"/>
          <w:highlight w:val="none"/>
        </w:rPr>
        <w:t>一、投</w:t>
      </w:r>
      <w:r>
        <w:rPr>
          <w:rFonts w:hint="eastAsia" w:ascii="宋体" w:hAnsi="宋体" w:cs="宋体"/>
          <w:color w:val="auto"/>
          <w:szCs w:val="21"/>
          <w:highlight w:val="none"/>
        </w:rPr>
        <w:t>标函及开标一览表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二、法定代表人身份证明书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三、授权委托书</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四、投标人基本情况表</w:t>
      </w:r>
      <w:r>
        <w:rPr>
          <w:rFonts w:hint="eastAsia" w:ascii="宋体" w:hAnsi="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投标承诺函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六、资格证明文件；</w:t>
      </w:r>
    </w:p>
    <w:p>
      <w:pPr>
        <w:pStyle w:val="39"/>
        <w:spacing w:line="440" w:lineRule="exact"/>
        <w:ind w:firstLineChars="2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七、项目实施方案</w:t>
      </w:r>
      <w:r>
        <w:rPr>
          <w:rFonts w:hint="eastAsia" w:ascii="宋体" w:hAnsi="宋体" w:eastAsia="宋体" w:cs="宋体"/>
          <w:color w:val="auto"/>
          <w:sz w:val="21"/>
          <w:szCs w:val="21"/>
          <w:highlight w:val="none"/>
          <w:lang w:eastAsia="zh-CN"/>
        </w:rPr>
        <w:t>；</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八、</w:t>
      </w:r>
      <w:r>
        <w:rPr>
          <w:rFonts w:hint="eastAsia" w:ascii="宋体" w:hAnsi="宋体" w:cs="宋体"/>
          <w:color w:val="auto"/>
          <w:szCs w:val="21"/>
          <w:highlight w:val="none"/>
        </w:rPr>
        <w:t>服务承诺及质量保证措施</w:t>
      </w:r>
      <w:r>
        <w:rPr>
          <w:rFonts w:hint="eastAsia" w:ascii="宋体" w:hAnsi="宋体" w:cs="宋体"/>
          <w:color w:val="auto"/>
          <w:szCs w:val="21"/>
          <w:highlight w:val="none"/>
          <w:lang w:eastAsia="zh-CN"/>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9" w:name="_Toc426369498"/>
      <w:bookmarkStart w:id="80" w:name="_Toc279599789"/>
      <w:bookmarkStart w:id="81" w:name="_Toc274249593"/>
      <w:bookmarkStart w:id="82" w:name="_Toc403122510"/>
      <w:r>
        <w:rPr>
          <w:rFonts w:hint="eastAsia" w:asciiTheme="minorEastAsia" w:hAnsiTheme="minorEastAsia" w:eastAsiaTheme="minorEastAsia" w:cstheme="minorEastAsia"/>
          <w:b/>
          <w:bCs/>
          <w:color w:val="auto"/>
          <w:sz w:val="24"/>
          <w:highlight w:val="none"/>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3" w:name="_Toc403122512"/>
      <w:bookmarkStart w:id="84" w:name="_Toc274249595"/>
      <w:bookmarkStart w:id="85" w:name="_Toc426369501"/>
      <w:bookmarkStart w:id="86" w:name="_Toc279599791"/>
      <w:r>
        <w:rPr>
          <w:rFonts w:hint="eastAsia" w:asciiTheme="minorEastAsia" w:hAnsiTheme="minorEastAsia" w:eastAsiaTheme="minorEastAsia" w:cstheme="minorEastAsia"/>
          <w:b/>
          <w:bCs/>
          <w:color w:val="auto"/>
          <w:sz w:val="24"/>
          <w:highlight w:val="none"/>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7" w:name="_Toc279599792"/>
      <w:bookmarkStart w:id="88" w:name="_Toc274249596"/>
      <w:bookmarkStart w:id="89" w:name="_Toc403122513"/>
      <w:bookmarkStart w:id="90" w:name="_Toc426369502"/>
      <w:r>
        <w:rPr>
          <w:rFonts w:hint="eastAsia" w:asciiTheme="minorEastAsia" w:hAnsiTheme="minorEastAsia" w:eastAsiaTheme="minorEastAsia" w:cstheme="minorEastAsia"/>
          <w:b/>
          <w:bCs/>
          <w:color w:val="auto"/>
          <w:sz w:val="24"/>
          <w:highlight w:val="none"/>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1" w:name="_Toc274249597"/>
      <w:bookmarkStart w:id="92" w:name="_Toc403122514"/>
      <w:bookmarkStart w:id="93" w:name="_Toc426369503"/>
      <w:bookmarkStart w:id="94" w:name="_Toc279599793"/>
      <w:r>
        <w:rPr>
          <w:rFonts w:hint="eastAsia" w:asciiTheme="minorEastAsia" w:hAnsiTheme="minorEastAsia" w:eastAsiaTheme="minorEastAsia" w:cstheme="minorEastAsia"/>
          <w:b/>
          <w:bCs/>
          <w:color w:val="auto"/>
          <w:sz w:val="24"/>
          <w:highlight w:val="none"/>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5" w:name="_Toc30100"/>
      <w:bookmarkStart w:id="96" w:name="_Toc403122515"/>
      <w:bookmarkStart w:id="97" w:name="_Toc26998"/>
      <w:bookmarkStart w:id="98" w:name="_Toc426369504"/>
      <w:r>
        <w:rPr>
          <w:rFonts w:hint="eastAsia" w:asciiTheme="minorEastAsia" w:hAnsiTheme="minorEastAsia" w:eastAsiaTheme="minorEastAsia" w:cstheme="minorEastAsia"/>
          <w:color w:val="auto"/>
          <w:sz w:val="24"/>
          <w:szCs w:val="24"/>
          <w:highlight w:val="none"/>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9" w:name="_Toc426369505"/>
      <w:bookmarkStart w:id="100" w:name="_Toc274249599"/>
      <w:bookmarkStart w:id="101" w:name="_Toc279599795"/>
      <w:bookmarkStart w:id="102" w:name="_Toc403122516"/>
      <w:r>
        <w:rPr>
          <w:rFonts w:hint="eastAsia" w:asciiTheme="minorEastAsia" w:hAnsiTheme="minorEastAsia" w:eastAsiaTheme="minorEastAsia" w:cstheme="minorEastAsia"/>
          <w:b/>
          <w:bCs/>
          <w:color w:val="auto"/>
          <w:sz w:val="24"/>
          <w:highlight w:val="none"/>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3" w:name="_Toc274249600"/>
      <w:bookmarkStart w:id="104" w:name="_Toc426369506"/>
      <w:bookmarkStart w:id="105" w:name="_Toc279599796"/>
      <w:bookmarkStart w:id="106" w:name="_Toc403122517"/>
      <w:r>
        <w:rPr>
          <w:rFonts w:hint="eastAsia" w:asciiTheme="minorEastAsia" w:hAnsiTheme="minorEastAsia" w:eastAsiaTheme="minorEastAsia" w:cstheme="minorEastAsia"/>
          <w:b/>
          <w:bCs/>
          <w:color w:val="auto"/>
          <w:sz w:val="24"/>
          <w:highlight w:val="none"/>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1"/>
      <w:bookmarkStart w:id="110" w:name="_Toc403122518"/>
      <w:bookmarkStart w:id="111" w:name="_Toc426369507"/>
      <w:bookmarkStart w:id="112" w:name="_Toc279599797"/>
      <w:r>
        <w:rPr>
          <w:rFonts w:hint="eastAsia" w:asciiTheme="minorEastAsia" w:hAnsiTheme="minorEastAsia" w:eastAsiaTheme="minorEastAsia" w:cstheme="minorEastAsia"/>
          <w:b/>
          <w:bCs/>
          <w:color w:val="auto"/>
          <w:sz w:val="24"/>
          <w:highlight w:val="none"/>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37"/>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3" w:name="_Toc32449"/>
      <w:bookmarkStart w:id="114" w:name="_Toc426369508"/>
      <w:bookmarkStart w:id="115" w:name="_Toc403122519"/>
      <w:bookmarkStart w:id="116" w:name="_Toc18170"/>
      <w:r>
        <w:rPr>
          <w:rFonts w:hint="eastAsia" w:asciiTheme="minorEastAsia" w:hAnsiTheme="minorEastAsia" w:eastAsiaTheme="minorEastAsia" w:cstheme="minorEastAsia"/>
          <w:color w:val="auto"/>
          <w:sz w:val="24"/>
          <w:szCs w:val="24"/>
          <w:highlight w:val="none"/>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7" w:name="_Toc426369509"/>
      <w:bookmarkStart w:id="118" w:name="_Toc403122520"/>
      <w:bookmarkStart w:id="119" w:name="_Toc274249603"/>
      <w:bookmarkStart w:id="120" w:name="_Toc279599799"/>
      <w:r>
        <w:rPr>
          <w:rFonts w:hint="eastAsia" w:asciiTheme="minorEastAsia" w:hAnsiTheme="minorEastAsia" w:eastAsiaTheme="minorEastAsia" w:cstheme="minorEastAsia"/>
          <w:b/>
          <w:bCs/>
          <w:color w:val="auto"/>
          <w:sz w:val="24"/>
          <w:highlight w:val="none"/>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1" w:name="_Toc426369510"/>
      <w:bookmarkStart w:id="122" w:name="_Toc274249604"/>
      <w:bookmarkStart w:id="123" w:name="_Toc279599800"/>
      <w:bookmarkStart w:id="124" w:name="_Toc403122521"/>
      <w:r>
        <w:rPr>
          <w:rFonts w:hint="eastAsia" w:asciiTheme="minorEastAsia" w:hAnsiTheme="minorEastAsia" w:eastAsiaTheme="minorEastAsia" w:cstheme="minorEastAsia"/>
          <w:b/>
          <w:bCs/>
          <w:color w:val="auto"/>
          <w:sz w:val="24"/>
          <w:highlight w:val="none"/>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25"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（2）宣布开标纪律；</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(7）开标结束。</w:t>
      </w:r>
    </w:p>
    <w:p>
      <w:pPr>
        <w:spacing w:line="500" w:lineRule="exact"/>
        <w:ind w:firstLine="482" w:firstLineChars="20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5.3</w:t>
      </w:r>
      <w:r>
        <w:rPr>
          <w:rFonts w:hint="eastAsia" w:asciiTheme="minorEastAsia" w:hAnsiTheme="minorEastAsia" w:eastAsiaTheme="minorEastAsia" w:cstheme="minorEastAsia"/>
          <w:b/>
          <w:bCs/>
          <w:color w:val="auto"/>
          <w:sz w:val="24"/>
          <w:highlight w:val="none"/>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25"/>
    </w:p>
    <w:p>
      <w:pPr>
        <w:spacing w:line="400" w:lineRule="exact"/>
        <w:ind w:firstLine="420" w:firstLineChars="200"/>
        <w:rPr>
          <w:rFonts w:asciiTheme="minorEastAsia" w:hAnsiTheme="minorEastAsia" w:eastAsiaTheme="minorEastAsia" w:cstheme="minorEastAsia"/>
          <w:color w:val="auto"/>
          <w:szCs w:val="21"/>
          <w:highlight w:val="none"/>
        </w:rPr>
      </w:pPr>
      <w:bookmarkStart w:id="126" w:name="_Toc403122522"/>
      <w:bookmarkStart w:id="127" w:name="_Toc21662"/>
      <w:bookmarkStart w:id="128" w:name="_Toc426369512"/>
      <w:bookmarkStart w:id="129" w:name="_Toc12881"/>
      <w:r>
        <w:rPr>
          <w:rFonts w:hint="eastAsia" w:asciiTheme="minorEastAsia" w:hAnsiTheme="minorEastAsia" w:eastAsiaTheme="minorEastAsia" w:cstheme="minorEastAsia"/>
          <w:color w:val="auto"/>
          <w:szCs w:val="21"/>
          <w:highlight w:val="none"/>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0" w:name="_Toc13445"/>
      <w:bookmarkStart w:id="131" w:name="_Toc9927"/>
      <w:r>
        <w:rPr>
          <w:rFonts w:hint="eastAsia" w:asciiTheme="minorEastAsia" w:hAnsiTheme="minorEastAsia" w:eastAsiaTheme="minorEastAsia" w:cstheme="minorEastAsia"/>
          <w:b/>
          <w:bCs/>
          <w:color w:val="auto"/>
          <w:szCs w:val="21"/>
          <w:highlight w:val="none"/>
        </w:rPr>
        <w:t>5.资格审查工作</w:t>
      </w:r>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rPr>
      </w:pPr>
      <w:bookmarkStart w:id="132" w:name="_Toc18806"/>
      <w:bookmarkStart w:id="133" w:name="_Toc18803"/>
      <w:bookmarkStart w:id="134" w:name="_Toc22488"/>
      <w:bookmarkStart w:id="135" w:name="_Toc25275"/>
      <w:bookmarkStart w:id="136" w:name="_Toc18888"/>
      <w:bookmarkStart w:id="137" w:name="_Toc15919"/>
      <w:bookmarkStart w:id="138" w:name="_Toc25448"/>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9" w:name="_Toc274249606"/>
      <w:bookmarkStart w:id="140" w:name="_Toc426369513"/>
      <w:bookmarkStart w:id="141" w:name="_Toc279599802"/>
      <w:bookmarkStart w:id="142" w:name="_Toc403122523"/>
      <w:r>
        <w:rPr>
          <w:rFonts w:hint="eastAsia" w:asciiTheme="minorEastAsia" w:hAnsiTheme="minorEastAsia" w:eastAsiaTheme="minorEastAsia" w:cstheme="minorEastAsia"/>
          <w:b/>
          <w:bCs/>
          <w:color w:val="auto"/>
          <w:sz w:val="24"/>
          <w:highlight w:val="none"/>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3" w:name="_Toc279599803"/>
      <w:bookmarkStart w:id="144" w:name="_Toc274249607"/>
      <w:bookmarkStart w:id="145" w:name="_Toc426369514"/>
      <w:bookmarkStart w:id="146" w:name="_Toc403122524"/>
      <w:r>
        <w:rPr>
          <w:rFonts w:hint="eastAsia" w:asciiTheme="minorEastAsia" w:hAnsiTheme="minorEastAsia" w:eastAsiaTheme="minorEastAsia" w:cstheme="minorEastAsia"/>
          <w:b/>
          <w:bCs/>
          <w:color w:val="auto"/>
          <w:sz w:val="24"/>
          <w:highlight w:val="none"/>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7" w:name="_Toc274249608"/>
      <w:bookmarkStart w:id="148" w:name="_Toc426369515"/>
      <w:bookmarkStart w:id="149" w:name="_Toc403122525"/>
      <w:bookmarkStart w:id="150" w:name="_Toc279599804"/>
      <w:r>
        <w:rPr>
          <w:rFonts w:hint="eastAsia" w:asciiTheme="minorEastAsia" w:hAnsiTheme="minorEastAsia" w:eastAsiaTheme="minorEastAsia" w:cstheme="minorEastAsia"/>
          <w:b/>
          <w:bCs/>
          <w:color w:val="auto"/>
          <w:sz w:val="24"/>
          <w:highlight w:val="none"/>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37"/>
        <w:spacing w:before="120" w:after="120" w:line="500" w:lineRule="exact"/>
        <w:ind w:right="-1029" w:rightChars="-490" w:firstLine="482" w:firstLineChars="200"/>
        <w:jc w:val="both"/>
        <w:rPr>
          <w:color w:val="auto"/>
          <w:highlight w:val="none"/>
        </w:rPr>
      </w:pPr>
      <w:bookmarkStart w:id="151" w:name="_Toc426369516"/>
      <w:bookmarkStart w:id="152" w:name="_Toc403122526"/>
      <w:bookmarkStart w:id="153" w:name="_Toc26569"/>
      <w:bookmarkStart w:id="154" w:name="_Toc17811"/>
      <w:r>
        <w:rPr>
          <w:rFonts w:hint="eastAsia" w:asciiTheme="minorEastAsia" w:hAnsiTheme="minorEastAsia" w:eastAsiaTheme="minorEastAsia" w:cstheme="minorEastAsia"/>
          <w:color w:val="auto"/>
          <w:sz w:val="24"/>
          <w:szCs w:val="24"/>
          <w:highlight w:val="none"/>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5" w:name="_Toc426369517"/>
      <w:bookmarkStart w:id="156" w:name="_Toc279599806"/>
      <w:bookmarkStart w:id="157" w:name="_Toc403122527"/>
      <w:bookmarkStart w:id="158" w:name="_Toc274249610"/>
      <w:r>
        <w:rPr>
          <w:rFonts w:hint="eastAsia" w:asciiTheme="minorEastAsia" w:hAnsiTheme="minorEastAsia" w:eastAsiaTheme="minorEastAsia" w:cstheme="minorEastAsia"/>
          <w:b/>
          <w:bCs/>
          <w:color w:val="auto"/>
          <w:sz w:val="24"/>
          <w:highlight w:val="none"/>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9" w:name="_Toc403122528"/>
      <w:bookmarkStart w:id="160" w:name="_Toc426369518"/>
      <w:bookmarkStart w:id="161" w:name="_Toc279599807"/>
      <w:bookmarkStart w:id="162" w:name="_Toc274249611"/>
      <w:r>
        <w:rPr>
          <w:rFonts w:hint="eastAsia" w:asciiTheme="minorEastAsia" w:hAnsiTheme="minorEastAsia" w:eastAsiaTheme="minorEastAsia" w:cstheme="minorEastAsia"/>
          <w:b/>
          <w:bCs/>
          <w:color w:val="auto"/>
          <w:sz w:val="24"/>
          <w:highlight w:val="none"/>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3" w:name="_Toc279599808"/>
      <w:bookmarkStart w:id="164" w:name="_Toc274249612"/>
      <w:bookmarkStart w:id="165" w:name="_Toc311550376"/>
      <w:bookmarkStart w:id="166" w:name="_Toc426369519"/>
      <w:bookmarkStart w:id="167" w:name="_Toc403122529"/>
      <w:r>
        <w:rPr>
          <w:rFonts w:hint="eastAsia" w:asciiTheme="minorEastAsia" w:hAnsiTheme="minorEastAsia" w:eastAsiaTheme="minorEastAsia" w:cstheme="minorEastAsia"/>
          <w:b/>
          <w:bCs/>
          <w:color w:val="auto"/>
          <w:sz w:val="24"/>
          <w:highlight w:val="none"/>
        </w:rPr>
        <w:t>7.3</w:t>
      </w:r>
      <w:bookmarkEnd w:id="163"/>
      <w:bookmarkEnd w:id="164"/>
      <w:bookmarkEnd w:id="165"/>
      <w:r>
        <w:rPr>
          <w:rFonts w:hint="eastAsia" w:asciiTheme="minorEastAsia" w:hAnsiTheme="minorEastAsia" w:eastAsiaTheme="minorEastAsia" w:cstheme="minorEastAsia"/>
          <w:b/>
          <w:bCs/>
          <w:color w:val="auto"/>
          <w:sz w:val="24"/>
          <w:highlight w:val="none"/>
          <w:lang w:val="en-US" w:eastAsia="zh-CN"/>
        </w:rPr>
        <w:t>投标</w:t>
      </w:r>
      <w:r>
        <w:rPr>
          <w:rFonts w:hint="eastAsia" w:asciiTheme="minorEastAsia" w:hAnsiTheme="minorEastAsia" w:eastAsiaTheme="minorEastAsia" w:cstheme="minorEastAsia"/>
          <w:b/>
          <w:bCs/>
          <w:color w:val="auto"/>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7.3.1</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8" w:name="_Toc403122530"/>
      <w:bookmarkStart w:id="169" w:name="_Toc274249613"/>
      <w:bookmarkStart w:id="170" w:name="_Toc426369520"/>
      <w:bookmarkStart w:id="171" w:name="_Toc279599809"/>
      <w:r>
        <w:rPr>
          <w:rFonts w:hint="eastAsia" w:asciiTheme="minorEastAsia" w:hAnsiTheme="minorEastAsia" w:eastAsiaTheme="minorEastAsia" w:cstheme="minorEastAsia"/>
          <w:b/>
          <w:bCs/>
          <w:color w:val="auto"/>
          <w:sz w:val="24"/>
          <w:highlight w:val="none"/>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72" w:name="_Toc30009"/>
      <w:bookmarkStart w:id="173" w:name="_Toc10541"/>
      <w:bookmarkStart w:id="174" w:name="_Toc426369521"/>
      <w:bookmarkStart w:id="175" w:name="_Toc403122531"/>
      <w:r>
        <w:rPr>
          <w:rFonts w:hint="eastAsia" w:asciiTheme="minorEastAsia" w:hAnsiTheme="minorEastAsia" w:eastAsiaTheme="minorEastAsia" w:cstheme="minorEastAsia"/>
          <w:color w:val="auto"/>
          <w:sz w:val="24"/>
          <w:szCs w:val="24"/>
          <w:highlight w:val="none"/>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6" w:name="_Toc279599811"/>
      <w:bookmarkStart w:id="177" w:name="_Toc403122532"/>
      <w:bookmarkStart w:id="178" w:name="_Toc274249615"/>
      <w:bookmarkStart w:id="179" w:name="_Toc426369522"/>
      <w:r>
        <w:rPr>
          <w:rFonts w:hint="eastAsia" w:asciiTheme="minorEastAsia" w:hAnsiTheme="minorEastAsia" w:eastAsiaTheme="minorEastAsia" w:cstheme="minorEastAsia"/>
          <w:b/>
          <w:bCs/>
          <w:color w:val="auto"/>
          <w:sz w:val="24"/>
          <w:highlight w:val="none"/>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0" w:name="_Toc403122533"/>
      <w:bookmarkStart w:id="181" w:name="_Toc426369523"/>
      <w:bookmarkStart w:id="182" w:name="_Toc10372"/>
      <w:bookmarkStart w:id="183" w:name="_Toc3760"/>
      <w:r>
        <w:rPr>
          <w:rFonts w:hint="eastAsia" w:asciiTheme="minorEastAsia" w:hAnsiTheme="minorEastAsia" w:eastAsiaTheme="minorEastAsia" w:cstheme="minorEastAsia"/>
          <w:color w:val="auto"/>
          <w:sz w:val="24"/>
          <w:szCs w:val="24"/>
          <w:highlight w:val="none"/>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4" w:name="_Toc426369524"/>
      <w:bookmarkStart w:id="185" w:name="_Toc274249618"/>
      <w:bookmarkStart w:id="186" w:name="_Toc279599814"/>
      <w:bookmarkStart w:id="187" w:name="_Toc403122534"/>
      <w:r>
        <w:rPr>
          <w:rFonts w:hint="eastAsia" w:asciiTheme="minorEastAsia" w:hAnsiTheme="minorEastAsia" w:eastAsiaTheme="minorEastAsia" w:cstheme="minorEastAsia"/>
          <w:b/>
          <w:bCs/>
          <w:color w:val="auto"/>
          <w:sz w:val="24"/>
          <w:highlight w:val="none"/>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03122535"/>
      <w:bookmarkStart w:id="189" w:name="_Toc274249619"/>
      <w:bookmarkStart w:id="190" w:name="_Toc279599815"/>
      <w:bookmarkStart w:id="191" w:name="_Toc426369525"/>
      <w:r>
        <w:rPr>
          <w:rFonts w:hint="eastAsia" w:asciiTheme="minorEastAsia" w:hAnsiTheme="minorEastAsia" w:eastAsiaTheme="minorEastAsia" w:cstheme="minorEastAsia"/>
          <w:b/>
          <w:bCs/>
          <w:color w:val="auto"/>
          <w:sz w:val="24"/>
          <w:highlight w:val="none"/>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2" w:name="_Toc403122536"/>
      <w:bookmarkStart w:id="193" w:name="_Toc274249620"/>
      <w:bookmarkStart w:id="194" w:name="_Toc279599816"/>
      <w:bookmarkStart w:id="195" w:name="_Toc426369526"/>
      <w:r>
        <w:rPr>
          <w:rFonts w:hint="eastAsia" w:asciiTheme="minorEastAsia" w:hAnsiTheme="minorEastAsia" w:eastAsiaTheme="minorEastAsia" w:cstheme="minorEastAsia"/>
          <w:b/>
          <w:bCs/>
          <w:color w:val="auto"/>
          <w:sz w:val="24"/>
          <w:highlight w:val="none"/>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6" w:name="_Toc426369527"/>
      <w:bookmarkStart w:id="197" w:name="_Toc403122537"/>
      <w:bookmarkStart w:id="198" w:name="_Toc279599817"/>
      <w:bookmarkStart w:id="199" w:name="_Toc274249621"/>
      <w:r>
        <w:rPr>
          <w:rFonts w:hint="eastAsia" w:asciiTheme="minorEastAsia" w:hAnsiTheme="minorEastAsia" w:eastAsiaTheme="minorEastAsia" w:cstheme="minorEastAsia"/>
          <w:b/>
          <w:bCs/>
          <w:color w:val="auto"/>
          <w:sz w:val="24"/>
          <w:highlight w:val="none"/>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0" w:name="_Toc279599818"/>
      <w:bookmarkStart w:id="201" w:name="_Toc274249622"/>
      <w:bookmarkStart w:id="202" w:name="_Toc426369528"/>
      <w:bookmarkStart w:id="203" w:name="_Toc403122538"/>
      <w:r>
        <w:rPr>
          <w:rFonts w:hint="eastAsia" w:asciiTheme="minorEastAsia" w:hAnsiTheme="minorEastAsia" w:eastAsiaTheme="minorEastAsia" w:cstheme="minorEastAsia"/>
          <w:b/>
          <w:bCs/>
          <w:color w:val="auto"/>
          <w:sz w:val="24"/>
          <w:highlight w:val="none"/>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37"/>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04" w:name="_Toc426369529"/>
      <w:bookmarkStart w:id="205" w:name="_Toc10880"/>
      <w:bookmarkStart w:id="206" w:name="_Toc403122539"/>
      <w:bookmarkStart w:id="207" w:name="_Toc13281"/>
      <w:r>
        <w:rPr>
          <w:rFonts w:hint="eastAsia" w:asciiTheme="minorEastAsia" w:hAnsiTheme="minorEastAsia" w:eastAsiaTheme="minorEastAsia" w:cstheme="minorEastAsia"/>
          <w:color w:val="auto"/>
          <w:sz w:val="24"/>
          <w:szCs w:val="24"/>
          <w:highlight w:val="none"/>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57"/>
        <w:ind w:firstLine="482" w:firstLineChars="200"/>
        <w:rPr>
          <w:color w:val="auto"/>
          <w:highlight w:val="none"/>
        </w:rPr>
      </w:pPr>
      <w:r>
        <w:rPr>
          <w:rFonts w:hint="eastAsia" w:ascii="宋体" w:hAnsi="宋体" w:cs="宋体"/>
          <w:b/>
          <w:color w:val="auto"/>
          <w:sz w:val="24"/>
          <w:highlight w:val="none"/>
        </w:rPr>
        <w:t>10.2</w:t>
      </w:r>
      <w:r>
        <w:rPr>
          <w:rFonts w:hint="eastAsia" w:ascii="宋体" w:hAnsi="宋体" w:cs="宋体"/>
          <w:b/>
          <w:color w:val="auto"/>
          <w:szCs w:val="21"/>
          <w:highlight w:val="none"/>
        </w:rPr>
        <w:t>本招标文件未尽事宜，按《中华人民共和国政府采购法》等法律法规的有关规定执行。</w:t>
      </w:r>
    </w:p>
    <w:p>
      <w:pPr>
        <w:pStyle w:val="1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7"/>
        <w:numPr>
          <w:ilvl w:val="0"/>
          <w:numId w:val="6"/>
        </w:numPr>
        <w:spacing w:line="600" w:lineRule="exact"/>
        <w:ind w:right="-63" w:rightChars="-30"/>
        <w:rPr>
          <w:rFonts w:asciiTheme="minorEastAsia" w:hAnsiTheme="minorEastAsia" w:eastAsiaTheme="minorEastAsia" w:cstheme="minorEastAsia"/>
          <w:color w:val="auto"/>
          <w:sz w:val="36"/>
          <w:szCs w:val="36"/>
          <w:highlight w:val="none"/>
        </w:rPr>
      </w:pPr>
      <w:bookmarkStart w:id="208" w:name="_Toc403122540"/>
      <w:bookmarkStart w:id="209" w:name="_Toc28433"/>
      <w:bookmarkStart w:id="210" w:name="_Toc426369530"/>
      <w:bookmarkStart w:id="211" w:name="_Toc1253"/>
      <w:r>
        <w:rPr>
          <w:rFonts w:hint="eastAsia" w:asciiTheme="minorEastAsia" w:hAnsiTheme="minorEastAsia" w:eastAsiaTheme="minorEastAsia" w:cstheme="minorEastAsia"/>
          <w:color w:val="auto"/>
          <w:sz w:val="36"/>
          <w:szCs w:val="36"/>
          <w:highlight w:val="none"/>
        </w:rPr>
        <w:t>评标办法</w:t>
      </w:r>
      <w:bookmarkEnd w:id="208"/>
      <w:bookmarkEnd w:id="209"/>
      <w:bookmarkEnd w:id="210"/>
      <w:r>
        <w:rPr>
          <w:rFonts w:hint="eastAsia" w:asciiTheme="minorEastAsia" w:hAnsiTheme="minorEastAsia" w:eastAsiaTheme="minorEastAsia" w:cstheme="minorEastAsia"/>
          <w:color w:val="auto"/>
          <w:sz w:val="36"/>
          <w:szCs w:val="36"/>
          <w:highlight w:val="none"/>
        </w:rPr>
        <w:t>（综合评分法）</w:t>
      </w:r>
      <w:bookmarkEnd w:id="211"/>
    </w:p>
    <w:p>
      <w:pPr>
        <w:pStyle w:val="108"/>
        <w:spacing w:line="540" w:lineRule="exact"/>
        <w:jc w:val="center"/>
        <w:outlineLvl w:val="2"/>
        <w:rPr>
          <w:rFonts w:hint="eastAsia" w:asciiTheme="minorEastAsia" w:hAnsiTheme="minorEastAsia" w:eastAsiaTheme="minorEastAsia" w:cstheme="minorEastAsia"/>
          <w:b/>
          <w:bCs/>
          <w:color w:val="auto"/>
          <w:sz w:val="28"/>
          <w:szCs w:val="28"/>
          <w:highlight w:val="none"/>
        </w:rPr>
      </w:pPr>
      <w:bookmarkStart w:id="212" w:name="_Toc30933"/>
      <w:bookmarkStart w:id="213" w:name="_Toc29947"/>
      <w:bookmarkStart w:id="214" w:name="_Toc21885"/>
      <w:bookmarkStart w:id="215" w:name="_Toc17859"/>
      <w:bookmarkStart w:id="216" w:name="_Toc16529"/>
      <w:bookmarkStart w:id="217" w:name="_Toc2761070"/>
      <w:r>
        <w:rPr>
          <w:rFonts w:hint="eastAsia" w:asciiTheme="minorEastAsia" w:hAnsiTheme="minorEastAsia" w:eastAsiaTheme="minorEastAsia" w:cstheme="minorEastAsia"/>
          <w:b/>
          <w:bCs/>
          <w:color w:val="auto"/>
          <w:sz w:val="28"/>
          <w:szCs w:val="28"/>
          <w:highlight w:val="none"/>
        </w:rPr>
        <w:t>评分办法前附表</w:t>
      </w:r>
      <w:bookmarkEnd w:id="212"/>
      <w:bookmarkEnd w:id="213"/>
      <w:bookmarkEnd w:id="214"/>
      <w:bookmarkEnd w:id="215"/>
    </w:p>
    <w:tbl>
      <w:tblPr>
        <w:tblStyle w:val="41"/>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审查主体</w:t>
            </w:r>
          </w:p>
        </w:tc>
        <w:tc>
          <w:tcPr>
            <w:tcW w:w="3179" w:type="dxa"/>
            <w:gridSpan w:val="2"/>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602" w:type="dxa"/>
            <w:vAlign w:val="center"/>
          </w:tcPr>
          <w:p>
            <w:pPr>
              <w:tabs>
                <w:tab w:val="left" w:pos="417"/>
                <w:tab w:val="center" w:pos="2999"/>
              </w:tabs>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084"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营业执照、税务登记证、组织机构代码证</w:t>
            </w:r>
          </w:p>
        </w:tc>
        <w:tc>
          <w:tcPr>
            <w:tcW w:w="5602"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法人代表证明或法人授权委托书</w:t>
            </w:r>
          </w:p>
        </w:tc>
        <w:tc>
          <w:tcPr>
            <w:tcW w:w="560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continue"/>
            <w:vAlign w:val="center"/>
          </w:tcPr>
          <w:p>
            <w:pPr>
              <w:spacing w:line="440" w:lineRule="exact"/>
              <w:jc w:val="center"/>
              <w:rPr>
                <w:rFonts w:ascii="宋体" w:hAnsi="宋体" w:cs="宋体"/>
                <w:color w:val="auto"/>
                <w:szCs w:val="21"/>
                <w:highlight w:val="none"/>
              </w:rPr>
            </w:pPr>
          </w:p>
        </w:tc>
        <w:tc>
          <w:tcPr>
            <w:tcW w:w="1095" w:type="dxa"/>
            <w:vMerge w:val="continue"/>
            <w:vAlign w:val="center"/>
          </w:tcPr>
          <w:p>
            <w:pPr>
              <w:spacing w:line="440" w:lineRule="exact"/>
              <w:jc w:val="center"/>
              <w:rPr>
                <w:rFonts w:ascii="宋体" w:hAnsi="宋体" w:cs="宋体"/>
                <w:color w:val="auto"/>
                <w:szCs w:val="21"/>
                <w:highlight w:val="none"/>
              </w:rPr>
            </w:pPr>
          </w:p>
        </w:tc>
        <w:tc>
          <w:tcPr>
            <w:tcW w:w="2084"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60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bottom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602" w:type="dxa"/>
            <w:tcBorders>
              <w:bottom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服务期限 </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服务质量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单个项目完成期限</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 w:val="20"/>
                <w:szCs w:val="20"/>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符合第五章“</w:t>
            </w:r>
            <w:r>
              <w:rPr>
                <w:rFonts w:hint="eastAsia" w:ascii="宋体" w:hAnsi="宋体" w:cs="宋体"/>
                <w:bCs/>
                <w:color w:val="auto"/>
                <w:szCs w:val="21"/>
                <w:highlight w:val="none"/>
              </w:rPr>
              <w:t>采购内容及</w:t>
            </w:r>
            <w:r>
              <w:rPr>
                <w:rFonts w:hint="eastAsia" w:ascii="宋体" w:hAnsi="宋体" w:cs="宋体"/>
                <w:bCs/>
                <w:color w:val="auto"/>
                <w:szCs w:val="21"/>
                <w:highlight w:val="none"/>
                <w:lang w:eastAsia="zh-CN"/>
              </w:rPr>
              <w:t>技术要求</w:t>
            </w:r>
            <w:r>
              <w:rPr>
                <w:rFonts w:hint="eastAsia" w:ascii="宋体" w:hAnsi="宋体" w:cs="宋体"/>
                <w:color w:val="auto"/>
                <w:szCs w:val="21"/>
                <w:highlight w:val="none"/>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pStyle w:val="108"/>
        <w:spacing w:line="540" w:lineRule="exact"/>
        <w:jc w:val="center"/>
        <w:outlineLvl w:val="2"/>
        <w:rPr>
          <w:rFonts w:hint="eastAsia" w:asciiTheme="minorEastAsia" w:hAnsiTheme="minorEastAsia" w:eastAsiaTheme="minorEastAsia" w:cstheme="minorEastAsia"/>
          <w:b/>
          <w:bCs/>
          <w:color w:val="auto"/>
          <w:sz w:val="21"/>
          <w:szCs w:val="21"/>
          <w:highlight w:val="none"/>
          <w:lang w:eastAsia="zh-CN"/>
        </w:rPr>
      </w:pPr>
    </w:p>
    <w:bookmarkEnd w:id="216"/>
    <w:tbl>
      <w:tblPr>
        <w:tblStyle w:val="41"/>
        <w:tblpPr w:leftFromText="180" w:rightFromText="180" w:vertAnchor="text" w:horzAnchor="page" w:tblpX="1639" w:tblpY="101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91"/>
        <w:gridCol w:w="550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widowControl w:val="0"/>
              <w:tabs>
                <w:tab w:val="left" w:pos="-900"/>
              </w:tabs>
              <w:spacing w:line="560" w:lineRule="exact"/>
              <w:jc w:val="left"/>
              <w:rPr>
                <w:rFonts w:hint="eastAsia" w:asciiTheme="minorEastAsia" w:hAnsiTheme="minorEastAsia" w:eastAsiaTheme="minorEastAsia" w:cstheme="minorEastAsia"/>
                <w:b/>
                <w:color w:val="auto"/>
                <w:sz w:val="21"/>
                <w:szCs w:val="21"/>
                <w:highlight w:val="none"/>
              </w:rPr>
            </w:pPr>
            <w:bookmarkStart w:id="218" w:name="_Toc426369531"/>
            <w:bookmarkStart w:id="219" w:name="_Toc31084"/>
            <w:bookmarkStart w:id="220" w:name="_Toc403122541"/>
            <w:r>
              <w:rPr>
                <w:rFonts w:hint="eastAsia" w:asciiTheme="minorEastAsia" w:hAnsiTheme="minorEastAsia" w:eastAsiaTheme="minorEastAsia" w:cstheme="minorEastAsia"/>
                <w:b/>
                <w:color w:val="auto"/>
                <w:sz w:val="21"/>
                <w:szCs w:val="21"/>
                <w:highlight w:val="none"/>
              </w:rPr>
              <w:t>序号</w:t>
            </w:r>
          </w:p>
        </w:tc>
        <w:tc>
          <w:tcPr>
            <w:tcW w:w="1691"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评审项目</w:t>
            </w:r>
          </w:p>
        </w:tc>
        <w:tc>
          <w:tcPr>
            <w:tcW w:w="5509" w:type="dxa"/>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评分依据</w:t>
            </w:r>
          </w:p>
        </w:tc>
        <w:tc>
          <w:tcPr>
            <w:tcW w:w="900" w:type="dxa"/>
            <w:noWrap w:val="0"/>
            <w:vAlign w:val="top"/>
          </w:tcPr>
          <w:p>
            <w:pPr>
              <w:widowControl w:val="0"/>
              <w:tabs>
                <w:tab w:val="left" w:pos="-900"/>
              </w:tabs>
              <w:spacing w:line="56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各项投标报价均按豫建设[2019]57 号文件河南省施工图设计文件审查结算标准的</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rPr>
              <w:t>0%作为最高限价。高于者按废标处理。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价格分计算方法：满足招标文件要求且投标价格最低的投标报价为评标基准价，其价格分为满分。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其他投标人的价格分统一按照下列公式计算：</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投标报价得分=（评标基准价/投标报价）×10</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top"/>
          </w:tcPr>
          <w:p>
            <w:pPr>
              <w:widowControl w:val="0"/>
              <w:tabs>
                <w:tab w:val="left" w:pos="-900"/>
              </w:tabs>
              <w:spacing w:line="5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 xml:space="preserve"> 项目</w:t>
            </w:r>
            <w:r>
              <w:rPr>
                <w:rFonts w:hint="eastAsia" w:asciiTheme="minorEastAsia" w:hAnsiTheme="minorEastAsia" w:eastAsiaTheme="minorEastAsia" w:cstheme="minorEastAsia"/>
                <w:bCs/>
                <w:color w:val="auto"/>
                <w:sz w:val="21"/>
                <w:szCs w:val="21"/>
                <w:highlight w:val="none"/>
              </w:rPr>
              <w:t>审查依据</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审查依据</w:t>
            </w:r>
            <w:r>
              <w:rPr>
                <w:rFonts w:hint="eastAsia" w:asciiTheme="minorEastAsia" w:hAnsiTheme="minorEastAsia" w:eastAsiaTheme="minorEastAsia" w:cstheme="minorEastAsia"/>
                <w:bCs/>
                <w:color w:val="auto"/>
                <w:sz w:val="21"/>
                <w:szCs w:val="21"/>
                <w:highlight w:val="none"/>
              </w:rPr>
              <w:t>清晰明了、范围清晰、审查依据充分全面，得9-12分；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较为明了</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范围较为清晰、审查依据较为全面，得5-8分；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eastAsia="zh-CN"/>
              </w:rPr>
              <w:t>审查</w:t>
            </w:r>
            <w:r>
              <w:rPr>
                <w:rFonts w:hint="eastAsia" w:asciiTheme="minorEastAsia" w:hAnsiTheme="minorEastAsia" w:eastAsiaTheme="minorEastAsia" w:cstheme="minorEastAsia"/>
                <w:bCs/>
                <w:color w:val="auto"/>
                <w:sz w:val="21"/>
                <w:szCs w:val="21"/>
                <w:highlight w:val="none"/>
                <w:lang w:val="en-US" w:eastAsia="zh-CN"/>
              </w:rPr>
              <w:t>依据</w:t>
            </w:r>
            <w:r>
              <w:rPr>
                <w:rFonts w:hint="eastAsia" w:asciiTheme="minorEastAsia" w:hAnsiTheme="minorEastAsia" w:eastAsiaTheme="minorEastAsia" w:cstheme="minorEastAsia"/>
                <w:bCs/>
                <w:color w:val="auto"/>
                <w:sz w:val="21"/>
                <w:szCs w:val="21"/>
                <w:highlight w:val="none"/>
              </w:rPr>
              <w:t>基本明了、范围满足审查要求、审查依据无错漏，得1-4分。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审查重点及主要内容</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施工图审查核对内容明确、计划清晰，施工图图纸审查内容全面、充分，总体和各专业审查重点突出，得9-13分；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施工图审查核对内容较为明确、有计划，施工图图纸审查内容较为全面，总体和各专业审查有重点，得5-8分；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施工图审查核对内容基本明确、有计划，施工图图纸审查内容基本全面，有总体和各专业审查，得1-4分。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保证审查质量及服务周期所采取的措施</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资源配备非常合理，针对本项目编制具体的工作制度，工作计划安排合理，质量及服务周期控制措施合理；得 9-12分；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资源配备合理，针对本项目编制具体的工作制度，工作计划安排合理，质量及服务周期控制措施基本合理；得 5-8分；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保证施工图审查质量及服务周期所采用的措施不够合理；1-4分。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12分</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服务承诺</w:t>
            </w:r>
          </w:p>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⑴结合本项目实际，保证实现审查工作计划、保证项目审查规范、到位的措施及承诺，得 1-3分。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⑵对审查优惠服务、额外工作及附加工作的优惠承诺 ，得 1-3分。</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⑶投标人承诺：在工作期间出错率超过相应次数后，同意采购人扣除相应服务费，承诺得3分，缺项得0分。 </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档案管理措施和方法全面、规范，合理得3-4分；</w:t>
            </w:r>
          </w:p>
          <w:p>
            <w:pPr>
              <w:widowControl w:val="0"/>
              <w:tabs>
                <w:tab w:val="left" w:pos="-900"/>
              </w:tabs>
              <w:spacing w:line="5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档案管理措施和方法基本全面、规范，合理得1-2分；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gridSpan w:val="4"/>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三、商务部分（40分）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企业业绩</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投标人自2019年至今承担过市政道路、桥梁、给水、排水工程等施工图审查项目，大型市政工程每有一项得3分，中型市政工程每有一项得2分，累计最高得24分。（以中标通知书或合同协议书为准，时间以合同签订时间为准）。 </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备注：工程规模按照《工程设计资质标准》附件3-17 市政行业建设项目设计规模划分表。 </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拟投入项目人员</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（1）拟派项目（技术）负责人具有高级</w:t>
            </w:r>
            <w:r>
              <w:rPr>
                <w:rFonts w:hint="eastAsia" w:asciiTheme="minorEastAsia" w:hAnsiTheme="minorEastAsia" w:eastAsiaTheme="minorEastAsia" w:cstheme="minorEastAsia"/>
                <w:bCs/>
                <w:color w:val="auto"/>
                <w:sz w:val="21"/>
                <w:szCs w:val="21"/>
                <w:highlight w:val="none"/>
                <w:lang w:val="en-US" w:eastAsia="zh-CN"/>
              </w:rPr>
              <w:t>专业技术</w:t>
            </w:r>
            <w:r>
              <w:rPr>
                <w:rFonts w:hint="eastAsia" w:asciiTheme="minorEastAsia" w:hAnsiTheme="minorEastAsia" w:eastAsiaTheme="minorEastAsia" w:cstheme="minorEastAsia"/>
                <w:bCs/>
                <w:color w:val="auto"/>
                <w:sz w:val="21"/>
                <w:szCs w:val="21"/>
                <w:highlight w:val="none"/>
              </w:rPr>
              <w:t>职称的得2分，具有正高级</w:t>
            </w:r>
            <w:r>
              <w:rPr>
                <w:rFonts w:hint="eastAsia" w:asciiTheme="minorEastAsia" w:hAnsiTheme="minorEastAsia" w:eastAsiaTheme="minorEastAsia" w:cstheme="minorEastAsia"/>
                <w:bCs/>
                <w:color w:val="auto"/>
                <w:sz w:val="21"/>
                <w:szCs w:val="21"/>
                <w:highlight w:val="none"/>
                <w:lang w:val="en-US" w:eastAsia="zh-CN"/>
              </w:rPr>
              <w:t>专业技术</w:t>
            </w:r>
            <w:r>
              <w:rPr>
                <w:rFonts w:hint="eastAsia" w:asciiTheme="minorEastAsia" w:hAnsiTheme="minorEastAsia" w:eastAsiaTheme="minorEastAsia" w:cstheme="minorEastAsia"/>
                <w:bCs/>
                <w:color w:val="auto"/>
                <w:sz w:val="21"/>
                <w:szCs w:val="21"/>
                <w:highlight w:val="none"/>
              </w:rPr>
              <w:t>（教授级高级工程师）职称的得4分；【需提供项目（技术）负责人劳务合同和社保证明或退休证】</w:t>
            </w:r>
          </w:p>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项目（技术）负责人以外其他各专业人员配备满足程度：建筑专业配备1名一级注册建筑师，结构专业配备1名一级注册结构工程师，给排水、电气、勘察各配备1名本专业注册工程师，道路、桥梁专业各配备1名高级及以上工程师。满足以上条件且证书齐全的得7分， 各专业每缺少一人在7分的基础上扣1分，扣完为止。  （所有注册证加盖人员注册章及单位公章）。</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1691"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服务便利性</w:t>
            </w:r>
          </w:p>
        </w:tc>
        <w:tc>
          <w:tcPr>
            <w:tcW w:w="5509" w:type="dxa"/>
            <w:noWrap w:val="0"/>
            <w:vAlign w:val="center"/>
          </w:tcPr>
          <w:p>
            <w:pPr>
              <w:widowControl w:val="0"/>
              <w:tabs>
                <w:tab w:val="left" w:pos="-900"/>
              </w:tabs>
              <w:spacing w:line="56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投标人承诺中标后在</w:t>
            </w:r>
            <w:r>
              <w:rPr>
                <w:rFonts w:hint="eastAsia" w:asciiTheme="minorEastAsia" w:hAnsiTheme="minorEastAsia" w:eastAsiaTheme="minorEastAsia" w:cstheme="minorEastAsia"/>
                <w:bCs/>
                <w:color w:val="auto"/>
                <w:sz w:val="21"/>
                <w:szCs w:val="21"/>
                <w:highlight w:val="none"/>
              </w:rPr>
              <w:t>焦作市区域内</w:t>
            </w:r>
            <w:r>
              <w:rPr>
                <w:rFonts w:hint="eastAsia" w:asciiTheme="minorEastAsia" w:hAnsiTheme="minorEastAsia" w:eastAsiaTheme="minorEastAsia" w:cstheme="minorEastAsia"/>
                <w:color w:val="auto"/>
                <w:sz w:val="21"/>
                <w:szCs w:val="21"/>
                <w:highlight w:val="none"/>
              </w:rPr>
              <w:t>设立项目部门或分支机构（需提供承诺书）的得5分。</w:t>
            </w:r>
          </w:p>
        </w:tc>
        <w:tc>
          <w:tcPr>
            <w:tcW w:w="900" w:type="dxa"/>
            <w:noWrap w:val="0"/>
            <w:vAlign w:val="center"/>
          </w:tcPr>
          <w:p>
            <w:pPr>
              <w:widowControl w:val="0"/>
              <w:tabs>
                <w:tab w:val="left" w:pos="-900"/>
              </w:tabs>
              <w:spacing w:line="56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5分</w:t>
            </w:r>
          </w:p>
        </w:tc>
      </w:tr>
    </w:tbl>
    <w:p>
      <w:pPr>
        <w:pStyle w:val="40"/>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rPr>
          <w:rFonts w:hint="eastAsia" w:asciiTheme="minorEastAsia" w:hAnsiTheme="minorEastAsia" w:eastAsiaTheme="minorEastAsia" w:cstheme="minorEastAsia"/>
          <w:color w:val="auto"/>
          <w:sz w:val="21"/>
          <w:szCs w:val="21"/>
          <w:highlight w:val="none"/>
        </w:rPr>
      </w:pP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注：1.有效投标人的最终得分为所有评委所打分值的算术平均值，计分过程中按四舍五入的法则,最终结果取至小数点后2位。</w:t>
      </w:r>
    </w:p>
    <w:p>
      <w:pPr>
        <w:spacing w:line="5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2.评标委员会按综合得分由高到底的顺序，依次推荐1～3名中标候选人。</w:t>
      </w:r>
    </w:p>
    <w:p>
      <w:pPr>
        <w:widowControl w:val="0"/>
        <w:wordWrap/>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招标人根据评标委员推荐的中标候选人按得分由高到低的顺序确定1名中标人。</w:t>
      </w:r>
    </w:p>
    <w:p>
      <w:pPr>
        <w:spacing w:line="5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27.保密及其他注意事项</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27.1评标委员会将遵照评标原则，公平、公正地对待所有投标人。</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27.2在评标期间，投标人不得向评标委员会成员询问评标情况，不得进行旨在影响中标结果的活动。</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27.3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spacing w:line="560" w:lineRule="exact"/>
        <w:ind w:firstLine="560"/>
        <w:rPr>
          <w:rFonts w:hint="eastAsia" w:asciiTheme="minorEastAsia" w:hAnsiTheme="minorEastAsia" w:eastAsiaTheme="minorEastAsia" w:cstheme="minorEastAsia"/>
          <w:color w:val="auto"/>
          <w:w w:val="90"/>
          <w:sz w:val="21"/>
          <w:szCs w:val="21"/>
          <w:highlight w:val="none"/>
        </w:rPr>
      </w:pPr>
      <w:r>
        <w:rPr>
          <w:rFonts w:hint="eastAsia" w:asciiTheme="minorEastAsia" w:hAnsiTheme="minorEastAsia" w:eastAsiaTheme="minorEastAsia" w:cstheme="minorEastAsia"/>
          <w:color w:val="auto"/>
          <w:sz w:val="21"/>
          <w:szCs w:val="21"/>
          <w:highlight w:val="none"/>
        </w:rPr>
        <w:t>27．4 采购代理机构不向</w:t>
      </w:r>
      <w:r>
        <w:rPr>
          <w:rFonts w:hint="eastAsia" w:asciiTheme="minorEastAsia" w:hAnsiTheme="minorEastAsia" w:eastAsiaTheme="minorEastAsia" w:cstheme="minorEastAsia"/>
          <w:color w:val="auto"/>
          <w:sz w:val="21"/>
          <w:szCs w:val="21"/>
          <w:highlight w:val="none"/>
        </w:rPr>
        <w:t>落标方解释</w:t>
      </w:r>
      <w:r>
        <w:rPr>
          <w:rFonts w:hint="eastAsia" w:asciiTheme="minorEastAsia" w:hAnsiTheme="minorEastAsia" w:eastAsiaTheme="minorEastAsia" w:cstheme="minorEastAsia"/>
          <w:color w:val="auto"/>
          <w:sz w:val="21"/>
          <w:szCs w:val="21"/>
          <w:highlight w:val="none"/>
        </w:rPr>
        <w:t>落标原因，不退还投标文件</w:t>
      </w:r>
      <w:r>
        <w:rPr>
          <w:rFonts w:hint="eastAsia" w:asciiTheme="minorEastAsia" w:hAnsiTheme="minorEastAsia" w:eastAsiaTheme="minorEastAsia" w:cstheme="minorEastAsia"/>
          <w:color w:val="auto"/>
          <w:w w:val="90"/>
          <w:sz w:val="21"/>
          <w:szCs w:val="21"/>
          <w:highlight w:val="none"/>
        </w:rPr>
        <w:t>。</w:t>
      </w:r>
    </w:p>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27.5评标委员会发现投标人的投标报价明显低于其他投标报价或者明显低于预算价，使得其投标报价可能低于其个别市场价或成本价的，应当要求该投标人作出书面说明并提供相关证明材料。投标人不能在规定时间内提供相关证明材料的，由评标委员会认定该投标人以低于成本报价竞标，其投标应作废标处理。</w:t>
      </w:r>
    </w:p>
    <w:p>
      <w:pPr>
        <w:spacing w:line="560" w:lineRule="exact"/>
        <w:ind w:firstLine="56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27.6</w:t>
      </w:r>
      <w:r>
        <w:rPr>
          <w:rFonts w:hint="eastAsia" w:asciiTheme="minorEastAsia" w:hAnsiTheme="minorEastAsia" w:eastAsiaTheme="minorEastAsia" w:cstheme="minorEastAsia"/>
          <w:color w:val="auto"/>
          <w:sz w:val="21"/>
          <w:szCs w:val="21"/>
          <w:highlight w:val="none"/>
        </w:rPr>
        <w:t>评标结束后，采购人或采购代理机构有权利对评标委员会确定的中标候选人投标资料的真实性、合法性进行实地考察、核实，以确认是否具备履约能力。经查实，若投标人有提供虚假证明文件的行为，将依法依规处理。</w:t>
      </w:r>
    </w:p>
    <w:p>
      <w:pPr>
        <w:pStyle w:val="10"/>
        <w:rPr>
          <w:rFonts w:hint="eastAsia" w:asciiTheme="minorEastAsia" w:hAnsiTheme="minorEastAsia" w:eastAsiaTheme="minorEastAsia" w:cstheme="minorEastAsia"/>
          <w:color w:val="auto"/>
          <w:sz w:val="21"/>
          <w:szCs w:val="21"/>
          <w:highlight w:val="none"/>
        </w:rPr>
      </w:pPr>
    </w:p>
    <w:p>
      <w:pPr>
        <w:pStyle w:val="10"/>
        <w:rPr>
          <w:color w:val="auto"/>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bookmarkStart w:id="221" w:name="_Toc955"/>
    </w:p>
    <w:p>
      <w:pPr>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56"/>
        <w:widowControl w:val="0"/>
        <w:numPr>
          <w:ilvl w:val="1"/>
          <w:numId w:val="0"/>
        </w:numPr>
        <w:spacing w:beforeLines="50" w:line="360" w:lineRule="auto"/>
        <w:jc w:val="both"/>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第四章  合同条款及格式</w:t>
      </w:r>
      <w:bookmarkEnd w:id="218"/>
      <w:bookmarkEnd w:id="219"/>
      <w:bookmarkEnd w:id="220"/>
      <w:bookmarkEnd w:id="221"/>
    </w:p>
    <w:p>
      <w:pPr>
        <w:jc w:val="center"/>
        <w:rPr>
          <w:rFonts w:hint="eastAsia" w:ascii="宋体" w:hAnsi="宋体" w:eastAsia="宋体" w:cs="宋体"/>
          <w:b/>
          <w:bCs/>
          <w:color w:val="auto"/>
          <w:sz w:val="36"/>
          <w:szCs w:val="36"/>
          <w:highlight w:val="none"/>
          <w:lang w:eastAsia="zh-CN"/>
        </w:rPr>
      </w:pPr>
      <w:bookmarkStart w:id="222" w:name="_Toc12807"/>
      <w:r>
        <w:rPr>
          <w:rFonts w:hint="eastAsia" w:ascii="宋体" w:hAnsi="宋体" w:eastAsia="宋体" w:cs="宋体"/>
          <w:b/>
          <w:bCs/>
          <w:color w:val="auto"/>
          <w:sz w:val="36"/>
          <w:szCs w:val="36"/>
          <w:highlight w:val="none"/>
          <w:lang w:eastAsia="zh-CN"/>
        </w:rPr>
        <w:t>博爱县住房和城乡建设局建设工程施工图审查</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机构政府购买服务项目</w:t>
      </w:r>
    </w:p>
    <w:p>
      <w:pPr>
        <w:jc w:val="center"/>
        <w:rPr>
          <w:rFonts w:hint="eastAsia"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采购人(以下称甲方)：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投标人(以下称乙方)：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中华人民共和国政府采购法》、《中华人民共和国合同法》等法律法规的规定,甲、乙双方按照《豫建设【2019】57号》河南省住房和城乡建设厅、河南省财政厅、河南省人民防空办公室关于贯彻落实河南省人民政府办公厅“联合审图”方案有关工作的通知，签订</w:t>
      </w:r>
      <w:r>
        <w:rPr>
          <w:rFonts w:hint="eastAsia" w:asciiTheme="minorEastAsia" w:hAnsiTheme="minorEastAsia" w:eastAsiaTheme="minorEastAsia" w:cstheme="minorEastAsia"/>
          <w:color w:val="auto"/>
          <w:sz w:val="21"/>
          <w:szCs w:val="21"/>
          <w:highlight w:val="none"/>
          <w:lang w:eastAsia="zh-CN"/>
        </w:rPr>
        <w:t>博爱县住房和城乡建设局建设工程施工图审查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机构政府购买服务项目</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第一条  合同组成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本次政府采购活动的相关文件为本合同的组成部分,这些文件包据但不限于: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(1)本合同文本;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(2)采购文件与采购响应文件;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(3)中标或成交通知书;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第二条  合同标的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本次采购的是</w:t>
      </w:r>
      <w:r>
        <w:rPr>
          <w:rFonts w:hint="eastAsia" w:asciiTheme="minorEastAsia" w:hAnsiTheme="minorEastAsia" w:eastAsiaTheme="minorEastAsia" w:cstheme="minorEastAsia"/>
          <w:color w:val="auto"/>
          <w:sz w:val="21"/>
          <w:szCs w:val="21"/>
          <w:highlight w:val="none"/>
          <w:u w:val="single"/>
        </w:rPr>
        <w:t xml:space="preserve">   项目名称</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第   包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服务期限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本次服务期限</w:t>
      </w:r>
      <w:r>
        <w:rPr>
          <w:rFonts w:hint="eastAsia" w:asciiTheme="minorEastAsia" w:hAnsiTheme="minorEastAsia" w:eastAsiaTheme="minorEastAsia" w:cstheme="minorEastAsia"/>
          <w:b/>
          <w:bCs/>
          <w:color w:val="auto"/>
          <w:sz w:val="21"/>
          <w:szCs w:val="21"/>
          <w:highlight w:val="none"/>
          <w:u w:val="single"/>
        </w:rPr>
        <w:t>为</w:t>
      </w:r>
      <w:r>
        <w:rPr>
          <w:rFonts w:hint="eastAsia" w:asciiTheme="minorEastAsia" w:hAnsiTheme="minorEastAsia" w:eastAsiaTheme="minorEastAsia" w:cstheme="minorEastAsia"/>
          <w:b/>
          <w:bCs/>
          <w:color w:val="auto"/>
          <w:sz w:val="21"/>
          <w:szCs w:val="21"/>
          <w:highlight w:val="none"/>
          <w:u w:val="single"/>
          <w:lang w:val="en-US" w:eastAsia="zh-CN"/>
        </w:rPr>
        <w:t>2</w:t>
      </w:r>
      <w:r>
        <w:rPr>
          <w:rFonts w:hint="eastAsia" w:asciiTheme="minorEastAsia" w:hAnsiTheme="minorEastAsia" w:eastAsiaTheme="minorEastAsia" w:cstheme="minorEastAsia"/>
          <w:b/>
          <w:bCs/>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自本协议签订之日起计算。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第四条  房屋建筑和市政基础设施项目施工图设计文件审查费用标准及支付办法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博爱县</w:t>
      </w:r>
      <w:r>
        <w:rPr>
          <w:rFonts w:hint="eastAsia" w:asciiTheme="minorEastAsia" w:hAnsiTheme="minorEastAsia" w:eastAsiaTheme="minorEastAsia" w:cstheme="minorEastAsia"/>
          <w:color w:val="auto"/>
          <w:sz w:val="21"/>
          <w:szCs w:val="21"/>
          <w:highlight w:val="none"/>
        </w:rPr>
        <w:t>范围内所有新建、改建、扩建（含消防、人防）等项目符合</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的项目，合同金额为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2、本合同价款包括房屋建筑和市政基础设施施工图设计文件审查服务全部费用。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付款方式:</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第五条  质量保证及售后服务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1、乙方须遵照河南省有关施工图审查规章制度和考核办法执行,并接受甲方和相关部门的监管和考评；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2、乙方应按照投标文件规定提供合格审查报告；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3、审图质量后续服务应延续至项目竣工验收。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第六条  合同的变更和终止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本合同一经签订，甲、乙双方不得擅自终止合同或对合同实质性条款进行变更。确有特殊情况的，经双方协商并报同级财政部门同意后，方可变更。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第七条  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1、乙方必须履行委托项目的施工图审查工作,否则将终止乙方在本入围期限内的施工图审查资格。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2、乙方应当按照协议书约定履行义务,不得将中标项目转让(转包)或分包给他人，否则甲方有权终止该项目的委托,并取消乙方在本入围期限内的施工图审查资格。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第八条  不可抗力事件处理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1、在合同有效期内,任何一方因不可抗力事件导致不能履行合同的,合同履行期可延长,期延长期与不可抗力影响期相同。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第九条  争议的解决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1、因履行本合同引起的或与本合同有关的争议,甲乙双方应首先通过友好的协商解决,如果协商不能解决争议,则采取以下第 1 种方式解决争议:</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⑴向甲方所在地有管售权的人民法院提起诉讼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⑵向当地仲裁委员申请仲裁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第十条  合同生效及备案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1、合同经双方法定代表人或被授权代表人签字并加盖单位公章后生效。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2、合同执行中涉及采购资金和采购内容修改或补充的,须经财政部门审批,并签书面补充协议报政府部门备案,方可作为主合同不可分割的一部分。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3、本合同未尽事宜，遵照《中华人民共和政府采购法》有关条文执行。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4、本合同一式</w:t>
      </w:r>
      <w:r>
        <w:rPr>
          <w:rFonts w:hint="eastAsia" w:asciiTheme="minorEastAsia" w:hAnsiTheme="minorEastAsia" w:eastAsiaTheme="minorEastAsia" w:cstheme="minorEastAsia"/>
          <w:color w:val="auto"/>
          <w:sz w:val="21"/>
          <w:szCs w:val="21"/>
          <w:highlight w:val="none"/>
          <w:lang w:eastAsia="zh-CN"/>
        </w:rPr>
        <w:t>肆</w:t>
      </w:r>
      <w:r>
        <w:rPr>
          <w:rFonts w:hint="eastAsia" w:asciiTheme="minorEastAsia" w:hAnsiTheme="minorEastAsia" w:eastAsiaTheme="minorEastAsia" w:cstheme="minorEastAsia"/>
          <w:color w:val="auto"/>
          <w:sz w:val="21"/>
          <w:szCs w:val="21"/>
          <w:highlight w:val="none"/>
        </w:rPr>
        <w:t>份，甲方二份，乙方二份。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第十一条 完成时限</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施工图联合审查原则上不超过下列时限(指出具审查报告时限)：</w:t>
      </w:r>
      <w:r>
        <w:rPr>
          <w:rFonts w:hint="eastAsia" w:asciiTheme="minorEastAsia" w:hAnsiTheme="minorEastAsia" w:eastAsiaTheme="minorEastAsia" w:cstheme="minorEastAsia"/>
          <w:color w:val="auto"/>
          <w:sz w:val="21"/>
          <w:szCs w:val="21"/>
          <w:highlight w:val="none"/>
        </w:rPr>
        <w:t>大型房屋建筑工程和市政设施工程为10个工作日，中型及以下房屋建筑工程和市政设施工程为7个工作日</w:t>
      </w:r>
      <w:r>
        <w:rPr>
          <w:rFonts w:hint="eastAsia" w:asciiTheme="minorEastAsia" w:hAnsiTheme="minorEastAsia" w:eastAsiaTheme="minorEastAsia" w:cstheme="minorEastAsia"/>
          <w:color w:val="auto"/>
          <w:sz w:val="21"/>
          <w:szCs w:val="21"/>
          <w:highlight w:val="none"/>
        </w:rPr>
        <w:t>。如国家有新的规定按照新的规定执行。逾期不能提供合格的审查报告应承担相应的违约责任。每逾期一日应减少服务费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元。超过30日仍然没有交付合格的审查报告，无权再要求服务费。而且甲方有权解除合同并委托其他方另行服务并不承担违约责任。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第十三条  具体项目的施工图审查合同另行签订。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第十四条  可参照本合同与入围投标人另行签订服务合同。</w:t>
      </w:r>
    </w:p>
    <w:p>
      <w:pPr>
        <w:keepNext w:val="0"/>
        <w:keepLines w:val="0"/>
        <w:pageBreakBefore w:val="0"/>
        <w:widowControl w:val="0"/>
        <w:kinsoku/>
        <w:wordWrap/>
        <w:overflowPunct/>
        <w:topLinePunct w:val="0"/>
        <w:autoSpaceDE/>
        <w:autoSpaceDN/>
        <w:bidi w:val="0"/>
        <w:adjustRightInd/>
        <w:snapToGrid/>
        <w:spacing w:line="440" w:lineRule="exact"/>
        <w:ind w:left="4969" w:leftChars="266" w:hanging="4410" w:hangingChars="2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440" w:lineRule="exact"/>
        <w:ind w:left="4200" w:leftChars="300" w:hanging="3570" w:hangingChars="17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                             地址: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法人代表人或授权人:                法人代表人或授权人: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签订日期:      年   月  日        签订日期:     年   月  日</w:t>
      </w: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21"/>
          <w:szCs w:val="21"/>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p>
    <w:p>
      <w:pPr>
        <w:pStyle w:val="14"/>
        <w:jc w:val="center"/>
        <w:rPr>
          <w:rFonts w:hint="eastAsia"/>
          <w:b/>
          <w:bCs/>
          <w:color w:val="auto"/>
          <w:sz w:val="32"/>
          <w:szCs w:val="32"/>
          <w:highlight w:val="none"/>
        </w:rPr>
      </w:pPr>
      <w:r>
        <w:rPr>
          <w:rFonts w:hint="eastAsia"/>
          <w:b/>
          <w:bCs/>
          <w:color w:val="auto"/>
          <w:sz w:val="32"/>
          <w:szCs w:val="32"/>
          <w:highlight w:val="none"/>
        </w:rPr>
        <w:t>第五章 采购内容及需求</w:t>
      </w:r>
    </w:p>
    <w:p>
      <w:pPr>
        <w:numPr>
          <w:ilvl w:val="0"/>
          <w:numId w:val="8"/>
        </w:numPr>
        <w:spacing w:line="440" w:lineRule="exact"/>
        <w:ind w:left="630" w:leftChars="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pPr>
        <w:pStyle w:val="114"/>
        <w:spacing w:line="440" w:lineRule="exact"/>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根据《河南省住房和城乡建设厅  河南省财政厅 河南省人民防空办公室 关于贯彻落实河南省人民政府办公厅“联合审图”方案有关工作的通知》(豫建设（2019）57 号)文件要求</w:t>
      </w:r>
      <w:r>
        <w:rPr>
          <w:rFonts w:hint="eastAsia" w:ascii="宋体" w:hAnsi="宋体" w:eastAsia="宋体" w:cs="宋体"/>
          <w:color w:val="auto"/>
          <w:sz w:val="24"/>
          <w:szCs w:val="24"/>
          <w:highlight w:val="none"/>
          <w:lang w:eastAsia="zh-CN"/>
        </w:rPr>
        <w:t>，对施工图联合审查实施政府购买服务，拟通过公开招标的方式,</w:t>
      </w:r>
      <w:r>
        <w:rPr>
          <w:rFonts w:hint="eastAsia" w:cs="宋体"/>
          <w:color w:val="auto"/>
          <w:sz w:val="24"/>
          <w:szCs w:val="24"/>
          <w:highlight w:val="none"/>
          <w:lang w:val="en-US" w:eastAsia="zh-CN"/>
        </w:rPr>
        <w:t>本包</w:t>
      </w:r>
      <w:r>
        <w:rPr>
          <w:rFonts w:hint="eastAsia" w:ascii="宋体" w:hAnsi="宋体" w:eastAsia="宋体" w:cs="宋体"/>
          <w:color w:val="auto"/>
          <w:sz w:val="24"/>
          <w:szCs w:val="24"/>
          <w:highlight w:val="none"/>
          <w:lang w:eastAsia="zh-CN"/>
        </w:rPr>
        <w:t>选定1家</w:t>
      </w:r>
      <w:r>
        <w:rPr>
          <w:rFonts w:hint="eastAsia"/>
          <w:b w:val="0"/>
          <w:bCs/>
          <w:color w:val="auto"/>
          <w:highlight w:val="none"/>
          <w:lang w:eastAsia="zh-CN"/>
        </w:rPr>
        <w:t>施工图审查市政一类</w:t>
      </w:r>
      <w:r>
        <w:rPr>
          <w:rFonts w:hint="eastAsia" w:ascii="宋体" w:hAnsi="宋体" w:eastAsia="宋体" w:cs="宋体"/>
          <w:color w:val="auto"/>
          <w:sz w:val="24"/>
          <w:szCs w:val="24"/>
          <w:highlight w:val="none"/>
          <w:lang w:eastAsia="zh-CN"/>
        </w:rPr>
        <w:t>施工图审查服务机构。</w:t>
      </w:r>
    </w:p>
    <w:p>
      <w:pPr>
        <w:snapToGrid w:val="0"/>
        <w:spacing w:line="44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二、项目范围</w:t>
      </w:r>
    </w:p>
    <w:p>
      <w:pPr>
        <w:pStyle w:val="40"/>
        <w:spacing w:line="440" w:lineRule="exact"/>
        <w:ind w:left="0" w:firstLine="5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按国家、省、市有关规定必须进行施工图审查的房屋建筑和市政基础设施工程建设项目），不包括特殊工程（人防指挥工程及涉军、涉密工程）和交通、水利、能源等领域的非房屋建筑工程。</w:t>
      </w:r>
    </w:p>
    <w:p>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color w:val="auto"/>
          <w:sz w:val="24"/>
          <w:szCs w:val="24"/>
          <w:highlight w:val="none"/>
        </w:rPr>
        <w:t>审查要求</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lang w:eastAsia="zh-CN"/>
        </w:rPr>
        <w:t>县</w:t>
      </w:r>
      <w:r>
        <w:rPr>
          <w:rFonts w:hint="eastAsia" w:ascii="宋体" w:hAnsi="宋体" w:eastAsia="宋体" w:cs="宋体"/>
          <w:color w:val="auto"/>
          <w:sz w:val="24"/>
          <w:szCs w:val="24"/>
          <w:highlight w:val="none"/>
        </w:rPr>
        <w:t>从事施工图审查服务的图审机构中标后需在</w:t>
      </w:r>
      <w:r>
        <w:rPr>
          <w:rFonts w:hint="eastAsia" w:ascii="宋体" w:hAnsi="宋体" w:eastAsia="宋体" w:cs="宋体"/>
          <w:color w:val="auto"/>
          <w:sz w:val="24"/>
          <w:szCs w:val="24"/>
          <w:highlight w:val="none"/>
          <w:lang w:eastAsia="zh-CN"/>
        </w:rPr>
        <w:t>县内</w:t>
      </w:r>
      <w:r>
        <w:rPr>
          <w:rFonts w:hint="eastAsia" w:ascii="宋体" w:hAnsi="宋体" w:eastAsia="宋体" w:cs="宋体"/>
          <w:color w:val="auto"/>
          <w:sz w:val="24"/>
          <w:szCs w:val="24"/>
          <w:highlight w:val="none"/>
        </w:rPr>
        <w:t>设立</w:t>
      </w:r>
      <w:r>
        <w:rPr>
          <w:rFonts w:hint="eastAsia" w:ascii="宋体" w:hAnsi="宋体" w:eastAsia="宋体" w:cs="宋体"/>
          <w:color w:val="auto"/>
          <w:sz w:val="24"/>
          <w:szCs w:val="24"/>
          <w:highlight w:val="none"/>
        </w:rPr>
        <w:t>施工图审查技术服务点，方便为建设单位提供施工图审查全过程服务。</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质量保证。根据住建部令第46号，施工图审查机构对全套施工图设计文件审查内容应包含：（包括但不限于）</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（1）是否符合工程建设强制性标准；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（2）地基基础和主体结构的安全性；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（4）人防工程（不含人防指挥工程）防护安全性；</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（5）是否符合民用建筑节能强制性标准，对执行绿色建筑标准的项目，还应当审查是否符合绿色建筑标准；</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（6）勘察设计企业和注册执业人员以及相关人员是否按规定在施工图上加盖相应的图章和签字；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（7）法律、法规、规章规定必须审查的其他内容。</w:t>
      </w:r>
    </w:p>
    <w:p>
      <w:pPr>
        <w:pStyle w:val="40"/>
        <w:spacing w:line="44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图审查机构的审查要按照国家行政主管部门的规定要求，坚持全面、准确并在规定时间内完成工程项目的施工图审查工作，做到审查意见一次性告知；勘察设计单位应按照审查意见及时全面修改和反馈，减少复审次数，缩短审查时间，提升审查效率。</w:t>
      </w:r>
    </w:p>
    <w:p>
      <w:pPr>
        <w:numPr>
          <w:ilvl w:val="0"/>
          <w:numId w:val="9"/>
        </w:numPr>
        <w:snapToGrid w:val="0"/>
        <w:spacing w:line="440" w:lineRule="exact"/>
        <w:ind w:left="150" w:leftChars="0"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完成期</w:t>
      </w:r>
      <w:r>
        <w:rPr>
          <w:rFonts w:hint="eastAsia" w:ascii="宋体" w:hAnsi="宋体" w:eastAsia="宋体" w:cs="宋体"/>
          <w:color w:val="auto"/>
          <w:sz w:val="24"/>
          <w:szCs w:val="24"/>
          <w:highlight w:val="none"/>
        </w:rPr>
        <w:t>限。大型市政设施工程 10个工作日完成审查,中型及以下市政设施工程7个工作日完成审查。经审查合格的,应及时核发施工图审查合格书。审查机构对勘察设计提出的审查意见,勘察设计单位应及时回复意见。施工图审查机构对出具的施工图审查合格书承担相应的法律责任。</w:t>
      </w:r>
    </w:p>
    <w:p>
      <w:pPr>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、最高限价</w:t>
      </w:r>
    </w:p>
    <w:p>
      <w:pPr>
        <w:snapToGrid w:val="0"/>
        <w:spacing w:line="44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河南省施工图设计文件审查结算标准（豫建设[2019]57 号文件）规定的</w:t>
      </w:r>
      <w:r>
        <w:rPr>
          <w:rFonts w:hint="eastAsia" w:ascii="宋体" w:hAnsi="宋体" w:eastAsia="宋体" w:cs="宋体"/>
          <w:b/>
          <w:bCs/>
          <w:color w:val="auto"/>
          <w:sz w:val="24"/>
          <w:szCs w:val="24"/>
          <w:highlight w:val="none"/>
          <w:lang w:val="en-US" w:eastAsia="zh-CN"/>
        </w:rPr>
        <w:t>80</w:t>
      </w:r>
      <w:r>
        <w:rPr>
          <w:rFonts w:hint="eastAsia" w:ascii="宋体" w:hAnsi="宋体" w:eastAsia="宋体" w:cs="宋体"/>
          <w:b/>
          <w:bCs/>
          <w:color w:val="auto"/>
          <w:sz w:val="24"/>
          <w:szCs w:val="24"/>
          <w:highlight w:val="none"/>
        </w:rPr>
        <w:t>%。</w:t>
      </w:r>
    </w:p>
    <w:p>
      <w:pPr>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、审查费用结算</w:t>
      </w:r>
    </w:p>
    <w:p>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图审费用按照《河南省施工图设计文件审查结算标准》、《焦作市施工图联合审查费用结算暂行规定》、施工图审查合同的约定等有关规定进行结算。图审费用在图审机</w:t>
      </w:r>
      <w:r>
        <w:rPr>
          <w:rFonts w:hint="eastAsia" w:ascii="宋体" w:hAnsi="宋体" w:eastAsia="宋体" w:cs="宋体"/>
          <w:color w:val="auto"/>
          <w:sz w:val="24"/>
          <w:szCs w:val="24"/>
          <w:highlight w:val="none"/>
        </w:rPr>
        <w:t>构核发审查合格书后按项目合同每季度先行支付90%的图审费用给图审机构，剩余的10%图审费用用于建立图审机构考评机制，实行每半年度考评后集中支付。</w:t>
      </w:r>
    </w:p>
    <w:p>
      <w:pPr>
        <w:snapToGrid w:val="0"/>
        <w:spacing w:line="440" w:lineRule="exact"/>
        <w:ind w:firstLine="480" w:firstLineChars="200"/>
        <w:jc w:val="left"/>
        <w:rPr>
          <w:rFonts w:hint="eastAsia" w:ascii="宋体" w:hAnsi="宋体" w:eastAsia="宋体" w:cs="宋体"/>
          <w:color w:val="auto"/>
          <w:sz w:val="24"/>
          <w:szCs w:val="24"/>
          <w:highlight w:val="none"/>
        </w:rPr>
      </w:pPr>
    </w:p>
    <w:p>
      <w:pPr>
        <w:pStyle w:val="14"/>
        <w:jc w:val="center"/>
        <w:rPr>
          <w:rFonts w:hint="eastAsia" w:ascii="宋体" w:hAnsi="宋体" w:eastAsia="宋体" w:cs="宋体"/>
          <w:b/>
          <w:bCs/>
          <w:color w:val="auto"/>
          <w:sz w:val="24"/>
          <w:szCs w:val="24"/>
          <w:highlight w:val="none"/>
        </w:rPr>
      </w:pPr>
    </w:p>
    <w:p>
      <w:pPr>
        <w:pStyle w:val="14"/>
        <w:jc w:val="center"/>
        <w:rPr>
          <w:rFonts w:hint="eastAsia" w:ascii="宋体" w:hAnsi="宋体" w:eastAsia="宋体" w:cs="宋体"/>
          <w:b/>
          <w:bCs/>
          <w:color w:val="auto"/>
          <w:sz w:val="24"/>
          <w:szCs w:val="24"/>
          <w:highlight w:val="none"/>
        </w:rPr>
      </w:pPr>
    </w:p>
    <w:bookmarkEnd w:id="222"/>
    <w:p>
      <w:pPr>
        <w:pStyle w:val="37"/>
        <w:spacing w:line="600" w:lineRule="exact"/>
        <w:ind w:right="-63" w:rightChars="-30"/>
        <w:rPr>
          <w:rFonts w:asciiTheme="minorEastAsia" w:hAnsiTheme="minorEastAsia" w:eastAsiaTheme="minorEastAsia" w:cstheme="minorEastAsia"/>
          <w:color w:val="auto"/>
          <w:sz w:val="36"/>
          <w:szCs w:val="36"/>
          <w:highlight w:val="none"/>
        </w:rPr>
      </w:pPr>
      <w:bookmarkStart w:id="223" w:name="_Toc26235"/>
      <w:bookmarkStart w:id="224" w:name="_Toc403122572"/>
      <w:bookmarkStart w:id="225" w:name="_Toc426369533"/>
      <w:bookmarkStart w:id="226" w:name="_Toc7906"/>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hint="eastAsia" w:asciiTheme="minorEastAsia" w:hAnsiTheme="minorEastAsia" w:eastAsiaTheme="minorEastAsia" w:cstheme="minorEastAsia"/>
          <w:color w:val="auto"/>
          <w:sz w:val="36"/>
          <w:szCs w:val="36"/>
          <w:highlight w:val="none"/>
        </w:rPr>
      </w:pPr>
    </w:p>
    <w:p>
      <w:pPr>
        <w:pStyle w:val="37"/>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第六章  投标文件格式</w:t>
      </w:r>
      <w:bookmarkEnd w:id="223"/>
      <w:bookmarkEnd w:id="224"/>
      <w:bookmarkEnd w:id="225"/>
      <w:bookmarkEnd w:id="226"/>
    </w:p>
    <w:p>
      <w:pPr>
        <w:rPr>
          <w:rFonts w:asciiTheme="minorEastAsia" w:hAnsiTheme="minorEastAsia" w:eastAsiaTheme="minorEastAsia" w:cstheme="minorEastAsia"/>
          <w:color w:val="auto"/>
          <w:highlight w:val="none"/>
        </w:rPr>
      </w:pPr>
      <w:bookmarkStart w:id="227" w:name="_Toc18905"/>
      <w:bookmarkStart w:id="228" w:name="_Toc27452"/>
      <w:bookmarkStart w:id="229" w:name="_Toc403122573"/>
      <w:bookmarkStart w:id="230" w:name="_Toc402961301"/>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 xml:space="preserve">                 </w:t>
      </w:r>
      <w:bookmarkEnd w:id="227"/>
      <w:bookmarkEnd w:id="228"/>
      <w:bookmarkEnd w:id="229"/>
      <w:bookmarkEnd w:id="230"/>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第</w:t>
      </w:r>
      <w:r>
        <w:rPr>
          <w:rFonts w:hint="eastAsia" w:asciiTheme="minorEastAsia" w:hAnsiTheme="minorEastAsia" w:eastAsiaTheme="minorEastAsia" w:cstheme="minorEastAsia"/>
          <w:b/>
          <w:color w:val="auto"/>
          <w:sz w:val="36"/>
          <w:szCs w:val="36"/>
          <w:highlight w:val="none"/>
          <w:u w:val="single"/>
          <w:lang w:val="en-US" w:eastAsia="zh-CN"/>
        </w:rPr>
        <w:t xml:space="preserve">   包</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40"/>
        <w:rPr>
          <w:color w:val="auto"/>
          <w:highlight w:val="none"/>
        </w:rPr>
      </w:pPr>
    </w:p>
    <w:p>
      <w:pPr>
        <w:pStyle w:val="40"/>
        <w:rPr>
          <w:color w:val="auto"/>
          <w:highlight w:val="none"/>
        </w:rPr>
      </w:pPr>
    </w:p>
    <w:p>
      <w:pPr>
        <w:pStyle w:val="40"/>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21"/>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21"/>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21"/>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500" w:lineRule="exact"/>
        <w:jc w:val="center"/>
        <w:outlineLvl w:val="1"/>
        <w:rPr>
          <w:rFonts w:asciiTheme="minorEastAsia" w:hAnsiTheme="minorEastAsia" w:eastAsiaTheme="minorEastAsia" w:cstheme="minorEastAsia"/>
          <w:b/>
          <w:bCs/>
          <w:color w:val="auto"/>
          <w:sz w:val="28"/>
          <w:szCs w:val="28"/>
          <w:highlight w:val="none"/>
        </w:rPr>
      </w:pPr>
      <w:bookmarkStart w:id="231" w:name="_Toc31547"/>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32" w:name="_Toc1921"/>
      <w:r>
        <w:rPr>
          <w:rFonts w:hint="eastAsia" w:asciiTheme="minorEastAsia" w:hAnsiTheme="minorEastAsia" w:eastAsiaTheme="minorEastAsia" w:cstheme="minorEastAsia"/>
          <w:b/>
          <w:bCs/>
          <w:color w:val="auto"/>
          <w:sz w:val="30"/>
          <w:szCs w:val="30"/>
          <w:highlight w:val="none"/>
        </w:rPr>
        <w:t>一、投标函</w:t>
      </w:r>
      <w:bookmarkEnd w:id="231"/>
      <w:r>
        <w:rPr>
          <w:rFonts w:hint="eastAsia" w:asciiTheme="minorEastAsia" w:hAnsiTheme="minorEastAsia" w:eastAsiaTheme="minorEastAsia" w:cstheme="minorEastAsia"/>
          <w:b/>
          <w:bCs/>
          <w:color w:val="auto"/>
          <w:sz w:val="30"/>
          <w:szCs w:val="30"/>
          <w:highlight w:val="none"/>
        </w:rPr>
        <w:t>及开标一览表</w:t>
      </w:r>
      <w:bookmarkEnd w:id="232"/>
    </w:p>
    <w:p>
      <w:pPr>
        <w:jc w:val="center"/>
        <w:outlineLvl w:val="2"/>
        <w:rPr>
          <w:rFonts w:asciiTheme="minorEastAsia" w:hAnsiTheme="minorEastAsia" w:eastAsiaTheme="minorEastAsia" w:cstheme="minorEastAsia"/>
          <w:b/>
          <w:bCs/>
          <w:color w:val="auto"/>
          <w:sz w:val="28"/>
          <w:highlight w:val="none"/>
        </w:rPr>
      </w:pPr>
      <w:bookmarkStart w:id="233" w:name="_Toc12044"/>
      <w:bookmarkStart w:id="234" w:name="_Toc600"/>
      <w:bookmarkStart w:id="235" w:name="_Toc27218"/>
      <w:r>
        <w:rPr>
          <w:rFonts w:hint="eastAsia" w:asciiTheme="minorEastAsia" w:hAnsiTheme="minorEastAsia" w:eastAsiaTheme="minorEastAsia" w:cstheme="minorEastAsia"/>
          <w:b/>
          <w:color w:val="auto"/>
          <w:sz w:val="28"/>
          <w:szCs w:val="28"/>
          <w:highlight w:val="none"/>
        </w:rPr>
        <w:t>（一）投标函</w:t>
      </w:r>
      <w:bookmarkEnd w:id="233"/>
      <w:bookmarkEnd w:id="234"/>
      <w:bookmarkEnd w:id="235"/>
    </w:p>
    <w:p>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（采购人名称）： </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包的招标文件（项目编号：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号），投标人委托代理人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(全名、职务)代表投标人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(投标人名称、地址)提交下述文件正本1份和副本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份，并对之负法律责任。</w:t>
      </w:r>
    </w:p>
    <w:p>
      <w:pPr>
        <w:spacing w:line="400" w:lineRule="exact"/>
        <w:ind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据此函，宣布同意如下： </w:t>
      </w:r>
    </w:p>
    <w:p>
      <w:pPr>
        <w:numPr>
          <w:ilvl w:val="0"/>
          <w:numId w:val="10"/>
        </w:numPr>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我方愿意按委托人的要求承担所委托项目的图纸审查服务工作，投标报价为河南省施工图设计文件审查结算标准（豫建设[2019]57 号文件）规定的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单个项目完成期限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rPr>
        <w:t>服务质量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，遵照采购人的要求承担本项目的图纸审查服务工作。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3、我方愿按《中华人民共和国合同法》履行我方的全部责任。</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4、投标人已详细审查全部招标文件，包括修改文件以及全部参考资料和有关附件。我们完全理解并同意放弃对这方面有不明及误解的权利。</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5、我们愿提供招标文件中要求的所有文件、资料，并保证其真实性。</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6、我们承认最低报价是中标的重要选择，但不是唯一标准。</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7、一旦我方中标，我方愿按招标文件的规定向招标代理机构交纳招标代理服务费。</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8、与本投标有关的正式通讯地址：</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                       邮政编码：</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投标人名称：（单位公章）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法定代表人或委托代理人：（签字或盖章）     </w:t>
      </w:r>
    </w:p>
    <w:p>
      <w:pPr>
        <w:spacing w:line="44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440" w:lineRule="exact"/>
        <w:jc w:val="left"/>
        <w:rPr>
          <w:rFonts w:hint="eastAsia" w:asciiTheme="minorEastAsia" w:hAnsiTheme="minorEastAsia" w:eastAsiaTheme="minorEastAsia" w:cstheme="minorEastAsia"/>
          <w:color w:val="auto"/>
          <w:sz w:val="24"/>
          <w:szCs w:val="24"/>
          <w:highlight w:val="none"/>
        </w:rPr>
      </w:pPr>
    </w:p>
    <w:p>
      <w:pPr>
        <w:spacing w:line="440" w:lineRule="exact"/>
        <w:ind w:firstLine="4800" w:firstLineChars="2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400" w:lineRule="exact"/>
        <w:ind w:left="2625" w:leftChars="1250"/>
        <w:rPr>
          <w:rFonts w:hint="eastAsia" w:asciiTheme="minorEastAsia" w:hAnsiTheme="minorEastAsia" w:eastAsiaTheme="minorEastAsia" w:cstheme="minorEastAsia"/>
          <w:color w:val="auto"/>
          <w:sz w:val="24"/>
          <w:szCs w:val="24"/>
          <w:highlight w:val="none"/>
        </w:r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szCs w:val="24"/>
          <w:highlight w:val="none"/>
        </w:rPr>
        <w:br w:type="page"/>
      </w:r>
      <w:bookmarkStart w:id="236" w:name="_Toc9543"/>
      <w:bookmarkStart w:id="237" w:name="_Toc208"/>
      <w:bookmarkStart w:id="238" w:name="_Toc14778"/>
      <w:r>
        <w:rPr>
          <w:rFonts w:hint="eastAsia" w:asciiTheme="minorEastAsia" w:hAnsiTheme="minorEastAsia" w:eastAsiaTheme="minorEastAsia" w:cstheme="minorEastAsia"/>
          <w:b/>
          <w:bCs/>
          <w:color w:val="auto"/>
          <w:sz w:val="28"/>
          <w:szCs w:val="28"/>
          <w:highlight w:val="none"/>
        </w:rPr>
        <w:t>（二） 开标一览表</w:t>
      </w:r>
      <w:bookmarkEnd w:id="236"/>
      <w:bookmarkEnd w:id="237"/>
      <w:bookmarkEnd w:id="238"/>
    </w:p>
    <w:p>
      <w:pPr>
        <w:jc w:val="center"/>
        <w:rPr>
          <w:rFonts w:asciiTheme="minorEastAsia" w:hAnsiTheme="minorEastAsia" w:eastAsiaTheme="minorEastAsia" w:cstheme="minorEastAsia"/>
          <w:b/>
          <w:bCs/>
          <w:color w:val="auto"/>
          <w:sz w:val="28"/>
          <w:highlight w:val="none"/>
        </w:rPr>
      </w:pPr>
    </w:p>
    <w:tbl>
      <w:tblPr>
        <w:tblStyle w:val="41"/>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2" w:type="dxa"/>
            <w:noWrap w:val="0"/>
            <w:vAlign w:val="center"/>
          </w:tcPr>
          <w:p>
            <w:pPr>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83"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7422" w:type="dxa"/>
            <w:noWrap w:val="0"/>
            <w:vAlign w:val="center"/>
          </w:tcPr>
          <w:p>
            <w:pPr>
              <w:jc w:val="left"/>
              <w:rPr>
                <w:rFonts w:ascii="宋体" w:hAnsi="宋体"/>
                <w:color w:val="auto"/>
                <w:sz w:val="24"/>
                <w:szCs w:val="24"/>
                <w:highlight w:val="none"/>
                <w:u w:val="single"/>
              </w:rPr>
            </w:pPr>
            <w:r>
              <w:rPr>
                <w:rFonts w:hint="eastAsia" w:ascii="宋体" w:hAnsi="宋体" w:cs="宋体"/>
                <w:color w:val="auto"/>
                <w:sz w:val="24"/>
                <w:szCs w:val="24"/>
                <w:highlight w:val="none"/>
              </w:rPr>
              <w:t>大写：河南省施工图设计文件审查结算标准（豫建设[2019]57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83" w:type="dxa"/>
            <w:vMerge w:val="continue"/>
            <w:noWrap w:val="0"/>
            <w:vAlign w:val="center"/>
          </w:tcPr>
          <w:p>
            <w:pPr>
              <w:spacing w:line="420" w:lineRule="exact"/>
              <w:rPr>
                <w:color w:val="auto"/>
                <w:highlight w:val="none"/>
              </w:rPr>
            </w:pPr>
          </w:p>
        </w:tc>
        <w:tc>
          <w:tcPr>
            <w:tcW w:w="7422" w:type="dxa"/>
            <w:noWrap w:val="0"/>
            <w:vAlign w:val="center"/>
          </w:tcPr>
          <w:p>
            <w:pPr>
              <w:jc w:val="left"/>
              <w:rPr>
                <w:rFonts w:ascii="宋体" w:hAnsi="宋体"/>
                <w:color w:val="auto"/>
                <w:sz w:val="24"/>
                <w:szCs w:val="24"/>
                <w:highlight w:val="none"/>
              </w:rPr>
            </w:pPr>
            <w:r>
              <w:rPr>
                <w:rFonts w:hint="eastAsia" w:ascii="宋体" w:hAnsi="宋体" w:cs="宋体"/>
                <w:color w:val="auto"/>
                <w:sz w:val="24"/>
                <w:szCs w:val="24"/>
                <w:highlight w:val="none"/>
              </w:rPr>
              <w:t>小写：河南省施工图设计文件审查结算标准（豫建设[2019]57 号文件）规定</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83"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服务期限</w:t>
            </w:r>
          </w:p>
        </w:tc>
        <w:tc>
          <w:tcPr>
            <w:tcW w:w="7422"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单个项目完成期限</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3"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服务质量</w:t>
            </w:r>
          </w:p>
        </w:tc>
        <w:tc>
          <w:tcPr>
            <w:tcW w:w="7422" w:type="dxa"/>
            <w:noWrap w:val="0"/>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83"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422" w:type="dxa"/>
            <w:noWrap w:val="0"/>
            <w:vAlign w:val="center"/>
          </w:tcPr>
          <w:p>
            <w:pPr>
              <w:rPr>
                <w:rFonts w:ascii="宋体" w:hAnsi="宋体" w:cs="宋体"/>
                <w:color w:val="auto"/>
                <w:sz w:val="24"/>
                <w:szCs w:val="24"/>
                <w:highlight w:val="none"/>
              </w:rPr>
            </w:pPr>
          </w:p>
        </w:tc>
      </w:tr>
    </w:tbl>
    <w:p>
      <w:pPr>
        <w:spacing w:line="360" w:lineRule="auto"/>
        <w:ind w:firstLine="560" w:firstLineChars="200"/>
        <w:jc w:val="right"/>
        <w:rPr>
          <w:rFonts w:hint="eastAsia" w:ascii="仿宋" w:hAnsi="仿宋" w:eastAsia="仿宋" w:cs="仿宋"/>
          <w:color w:val="auto"/>
          <w:sz w:val="28"/>
          <w:szCs w:val="28"/>
          <w:highlight w:val="none"/>
        </w:rPr>
      </w:pP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投标人名称：（公章）</w:t>
      </w: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法定代表人或委托代理人：（签字或盖章）</w:t>
      </w: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jc w:val="right"/>
        <w:rPr>
          <w:rFonts w:ascii="仿宋" w:hAnsi="仿宋" w:eastAsia="仿宋"/>
          <w:color w:val="auto"/>
          <w:sz w:val="28"/>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5"/>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autoSpaceDE w:val="0"/>
        <w:autoSpaceDN w:val="0"/>
        <w:adjustRightInd w:val="0"/>
        <w:spacing w:line="440" w:lineRule="exact"/>
        <w:jc w:val="right"/>
        <w:rPr>
          <w:rFonts w:hint="eastAsia" w:ascii="宋体" w:hAnsi="宋体" w:cs="宋体"/>
          <w:b/>
          <w:color w:val="auto"/>
          <w:sz w:val="30"/>
          <w:szCs w:val="30"/>
          <w:highlight w:val="none"/>
          <w:lang w:eastAsia="zh-CN"/>
        </w:rPr>
      </w:pPr>
    </w:p>
    <w:p>
      <w:pPr>
        <w:pStyle w:val="40"/>
        <w:rPr>
          <w:rFonts w:asciiTheme="minorEastAsia" w:hAnsiTheme="minorEastAsia" w:eastAsiaTheme="minorEastAsia" w:cstheme="minorEastAsia"/>
          <w:color w:val="auto"/>
          <w:sz w:val="24"/>
          <w:highlight w:val="none"/>
        </w:rPr>
      </w:pPr>
    </w:p>
    <w:p>
      <w:pPr>
        <w:pStyle w:val="40"/>
        <w:rPr>
          <w:rFonts w:asciiTheme="minorEastAsia" w:hAnsiTheme="minorEastAsia" w:eastAsiaTheme="minorEastAsia" w:cstheme="minorEastAsia"/>
          <w:color w:val="auto"/>
          <w:sz w:val="24"/>
          <w:highlight w:val="none"/>
        </w:rPr>
      </w:pPr>
    </w:p>
    <w:p>
      <w:pPr>
        <w:pStyle w:val="37"/>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39" w:name="_Toc5614"/>
      <w:bookmarkStart w:id="240" w:name="_Toc2213"/>
      <w:r>
        <w:rPr>
          <w:rFonts w:hint="eastAsia" w:asciiTheme="minorEastAsia" w:hAnsiTheme="minorEastAsia" w:eastAsiaTheme="minorEastAsia" w:cstheme="minorEastAsia"/>
          <w:color w:val="auto"/>
          <w:sz w:val="30"/>
          <w:szCs w:val="30"/>
          <w:highlight w:val="none"/>
        </w:rPr>
        <w:t>二、法定代表人身份证明书</w:t>
      </w:r>
      <w:bookmarkEnd w:id="239"/>
      <w:bookmarkEnd w:id="240"/>
    </w:p>
    <w:p>
      <w:pPr>
        <w:spacing w:line="440" w:lineRule="exact"/>
        <w:jc w:val="center"/>
        <w:rPr>
          <w:rFonts w:asciiTheme="minorEastAsia" w:hAnsiTheme="minorEastAsia" w:eastAsiaTheme="minorEastAsia" w:cstheme="minorEastAsia"/>
          <w:color w:val="auto"/>
          <w:sz w:val="24"/>
          <w:highlight w:val="none"/>
        </w:rPr>
      </w:pP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供应商名称：________________________________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单位性质：__________________________________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    址：________________________________ </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成立时间：年月日</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姓名：性别：年龄：职务：</w:t>
      </w:r>
    </w:p>
    <w:p>
      <w:pPr>
        <w:spacing w:line="56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系（供应商单位名称）的法定代表人。</w:t>
      </w: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p>
    <w:p>
      <w:pPr>
        <w:spacing w:line="440" w:lineRule="exact"/>
        <w:ind w:left="718" w:leftChars="34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p>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供应商：（盖单位公章）</w:t>
      </w:r>
    </w:p>
    <w:p>
      <w:pPr>
        <w:spacing w:line="440" w:lineRule="exact"/>
        <w:rPr>
          <w:rFonts w:asciiTheme="minorEastAsia" w:hAnsiTheme="minorEastAsia" w:eastAsiaTheme="minorEastAsia" w:cstheme="minorEastAsia"/>
          <w:color w:val="auto"/>
          <w:sz w:val="24"/>
          <w:highlight w:val="none"/>
        </w:rPr>
      </w:pPr>
    </w:p>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pPr>
        <w:spacing w:line="440" w:lineRule="exact"/>
        <w:rPr>
          <w:rFonts w:asciiTheme="minorEastAsia" w:hAnsiTheme="minorEastAsia" w:eastAsiaTheme="minorEastAsia" w:cstheme="minorEastAsia"/>
          <w:color w:val="auto"/>
          <w:highlight w:val="none"/>
        </w:rPr>
      </w:pPr>
    </w:p>
    <w:p>
      <w:pPr>
        <w:spacing w:line="440" w:lineRule="exact"/>
        <w:rPr>
          <w:rFonts w:asciiTheme="minorEastAsia" w:hAnsiTheme="minorEastAsia" w:eastAsiaTheme="minorEastAsia" w:cstheme="minorEastAsia"/>
          <w:color w:val="auto"/>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附法定代表人身份证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pStyle w:val="37"/>
        <w:spacing w:before="120" w:after="120" w:line="500" w:lineRule="exact"/>
        <w:ind w:right="29" w:rightChars="14"/>
        <w:jc w:val="both"/>
        <w:outlineLvl w:val="9"/>
        <w:rPr>
          <w:rFonts w:asciiTheme="minorEastAsia" w:hAnsiTheme="minorEastAsia" w:eastAsiaTheme="minorEastAsia" w:cstheme="minorEastAsia"/>
          <w:color w:val="auto"/>
          <w:sz w:val="30"/>
          <w:szCs w:val="30"/>
          <w:highlight w:val="none"/>
        </w:rPr>
      </w:pPr>
      <w:bookmarkStart w:id="241" w:name="_Toc6009"/>
    </w:p>
    <w:p>
      <w:pPr>
        <w:rPr>
          <w:rFonts w:asciiTheme="minorEastAsia" w:hAnsiTheme="minorEastAsia" w:eastAsiaTheme="minorEastAsia" w:cstheme="minorEastAsia"/>
          <w:color w:val="auto"/>
          <w:sz w:val="30"/>
          <w:szCs w:val="30"/>
          <w:highlight w:val="none"/>
        </w:rPr>
      </w:pPr>
    </w:p>
    <w:p>
      <w:pPr>
        <w:pStyle w:val="56"/>
        <w:numPr>
          <w:ilvl w:val="1"/>
          <w:numId w:val="0"/>
        </w:numPr>
        <w:ind w:left="735" w:leftChars="0"/>
        <w:rPr>
          <w:color w:val="auto"/>
          <w:highlight w:val="none"/>
        </w:rPr>
      </w:pPr>
    </w:p>
    <w:p>
      <w:pPr>
        <w:pStyle w:val="37"/>
        <w:spacing w:before="120" w:after="12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2" w:name="_Toc15395"/>
      <w:r>
        <w:rPr>
          <w:rFonts w:hint="eastAsia" w:asciiTheme="minorEastAsia" w:hAnsiTheme="minorEastAsia" w:eastAsiaTheme="minorEastAsia" w:cstheme="minorEastAsia"/>
          <w:color w:val="auto"/>
          <w:sz w:val="30"/>
          <w:szCs w:val="30"/>
          <w:highlight w:val="none"/>
        </w:rPr>
        <w:t>三、授权委托书</w:t>
      </w:r>
      <w:bookmarkEnd w:id="241"/>
      <w:bookmarkEnd w:id="242"/>
    </w:p>
    <w:p>
      <w:pPr>
        <w:spacing w:line="440" w:lineRule="exact"/>
        <w:ind w:left="-105"/>
        <w:rPr>
          <w:rFonts w:asciiTheme="minorEastAsia" w:hAnsiTheme="minorEastAsia" w:eastAsiaTheme="minorEastAsia" w:cstheme="minorEastAsia"/>
          <w:b/>
          <w:bCs/>
          <w:color w:val="auto"/>
          <w:sz w:val="24"/>
          <w:highlight w:val="none"/>
        </w:rPr>
      </w:pPr>
    </w:p>
    <w:p>
      <w:pPr>
        <w:spacing w:line="500" w:lineRule="exact"/>
        <w:ind w:firstLine="720" w:firstLineChars="3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委托期限：。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代理人无转委托权。 </w:t>
      </w:r>
    </w:p>
    <w:p>
      <w:pPr>
        <w:spacing w:line="500" w:lineRule="exac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附：法定代表人和代理人身份证</w:t>
      </w: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供应商：（盖单位公章）</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法定代表人：（签字或盖章） </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firstLine="638" w:firstLineChars="266"/>
        <w:rPr>
          <w:rFonts w:asciiTheme="minorEastAsia" w:hAnsiTheme="minorEastAsia" w:eastAsiaTheme="minorEastAsia" w:cstheme="minorEastAsia"/>
          <w:bCs/>
          <w:color w:val="auto"/>
          <w:sz w:val="24"/>
          <w:highlight w:val="none"/>
        </w:rPr>
      </w:pPr>
    </w:p>
    <w:p>
      <w:pPr>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委托代理人：（签字或盖章）</w:t>
      </w:r>
    </w:p>
    <w:p>
      <w:pPr>
        <w:spacing w:line="440" w:lineRule="exact"/>
        <w:ind w:firstLine="638" w:firstLineChars="266"/>
        <w:rPr>
          <w:rFonts w:asciiTheme="minorEastAsia" w:hAnsiTheme="minorEastAsia" w:eastAsiaTheme="minorEastAsia" w:cstheme="minorEastAsia"/>
          <w:bCs/>
          <w:color w:val="auto"/>
          <w:sz w:val="24"/>
          <w:highlight w:val="none"/>
        </w:rPr>
      </w:pPr>
    </w:p>
    <w:p>
      <w:pPr>
        <w:tabs>
          <w:tab w:val="left" w:pos="6510"/>
        </w:tabs>
        <w:spacing w:line="440" w:lineRule="exact"/>
        <w:ind w:firstLine="638" w:firstLineChars="266"/>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身份证号码：</w:t>
      </w:r>
    </w:p>
    <w:p>
      <w:pPr>
        <w:spacing w:line="440" w:lineRule="exact"/>
        <w:ind w:left="3570"/>
        <w:rPr>
          <w:rFonts w:asciiTheme="minorEastAsia" w:hAnsiTheme="minorEastAsia" w:eastAsiaTheme="minorEastAsia" w:cstheme="minorEastAsia"/>
          <w:bCs/>
          <w:color w:val="auto"/>
          <w:sz w:val="24"/>
          <w:highlight w:val="none"/>
        </w:rPr>
      </w:pPr>
    </w:p>
    <w:p>
      <w:pPr>
        <w:spacing w:line="440" w:lineRule="exact"/>
        <w:ind w:left="840"/>
        <w:rPr>
          <w:rFonts w:asciiTheme="minorEastAsia" w:hAnsiTheme="minorEastAsia" w:eastAsiaTheme="minorEastAsia" w:cstheme="minorEastAsia"/>
          <w:bCs/>
          <w:color w:val="auto"/>
          <w:sz w:val="24"/>
          <w:highlight w:val="none"/>
        </w:rPr>
      </w:pPr>
    </w:p>
    <w:p>
      <w:pPr>
        <w:spacing w:line="440" w:lineRule="exact"/>
        <w:ind w:left="840"/>
        <w:jc w:val="righ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年月日</w:t>
      </w:r>
    </w:p>
    <w:p>
      <w:pPr>
        <w:spacing w:line="440" w:lineRule="exact"/>
        <w:ind w:left="840"/>
        <w:rPr>
          <w:rFonts w:asciiTheme="minorEastAsia" w:hAnsiTheme="minorEastAsia" w:eastAsiaTheme="minorEastAsia" w:cstheme="minorEastAsia"/>
          <w:bCs/>
          <w:color w:val="auto"/>
          <w:sz w:val="24"/>
          <w:highlight w:val="none"/>
        </w:rPr>
      </w:pPr>
    </w:p>
    <w:p>
      <w:pPr>
        <w:spacing w:line="560" w:lineRule="exact"/>
        <w:ind w:left="718" w:leftChars="34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备注：</w:t>
      </w:r>
      <w:r>
        <w:rPr>
          <w:rFonts w:hint="eastAsia" w:asciiTheme="minorEastAsia" w:hAnsiTheme="minorEastAsia" w:eastAsiaTheme="minorEastAsia" w:cstheme="minorEastAsia"/>
          <w:b/>
          <w:bCs/>
          <w:color w:val="auto"/>
          <w:sz w:val="24"/>
          <w:highlight w:val="none"/>
        </w:rPr>
        <w:t>附被委托人身份证</w:t>
      </w:r>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rPr>
          <w:rFonts w:asciiTheme="minorEastAsia" w:hAnsiTheme="minorEastAsia" w:eastAsiaTheme="minorEastAsia" w:cstheme="minorEastAsia"/>
          <w:color w:val="auto"/>
          <w:highlight w:val="none"/>
        </w:rPr>
      </w:pPr>
    </w:p>
    <w:p>
      <w:pPr>
        <w:spacing w:line="440" w:lineRule="exact"/>
        <w:ind w:left="840"/>
        <w:rPr>
          <w:rFonts w:asciiTheme="minorEastAsia" w:hAnsiTheme="minorEastAsia" w:eastAsiaTheme="minorEastAsia" w:cstheme="minorEastAsia"/>
          <w:b/>
          <w:bCs/>
          <w:color w:val="auto"/>
          <w:sz w:val="24"/>
          <w:highlight w:val="none"/>
        </w:rPr>
      </w:pPr>
    </w:p>
    <w:p>
      <w:pPr>
        <w:pStyle w:val="37"/>
        <w:spacing w:before="120" w:after="120" w:line="500" w:lineRule="exact"/>
        <w:ind w:right="29" w:rightChars="14"/>
        <w:outlineLvl w:val="9"/>
        <w:rPr>
          <w:rFonts w:asciiTheme="minorEastAsia" w:hAnsiTheme="minorEastAsia" w:eastAsiaTheme="minorEastAsia" w:cstheme="minorEastAsia"/>
          <w:color w:val="auto"/>
          <w:sz w:val="30"/>
          <w:szCs w:val="30"/>
          <w:highlight w:val="none"/>
        </w:rPr>
      </w:pPr>
    </w:p>
    <w:bookmarkEnd w:id="217"/>
    <w:p>
      <w:pPr>
        <w:spacing w:line="360" w:lineRule="auto"/>
        <w:ind w:firstLine="560"/>
        <w:jc w:val="center"/>
        <w:rPr>
          <w:rFonts w:hint="eastAsia" w:ascii="黑体" w:hAnsi="黑体" w:eastAsia="黑体"/>
          <w:color w:val="auto"/>
          <w:sz w:val="28"/>
          <w:highlight w:val="none"/>
          <w:lang w:eastAsia="zh-CN"/>
        </w:rPr>
      </w:pPr>
      <w:bookmarkStart w:id="243" w:name="_Toc19057"/>
    </w:p>
    <w:p>
      <w:pPr>
        <w:spacing w:line="360" w:lineRule="auto"/>
        <w:ind w:firstLine="560"/>
        <w:jc w:val="center"/>
        <w:rPr>
          <w:rFonts w:hint="eastAsia" w:ascii="黑体" w:hAnsi="黑体" w:eastAsia="黑体"/>
          <w:color w:val="auto"/>
          <w:sz w:val="28"/>
          <w:highlight w:val="none"/>
          <w:lang w:eastAsia="zh-CN"/>
        </w:rPr>
      </w:pPr>
    </w:p>
    <w:p>
      <w:pPr>
        <w:spacing w:line="360" w:lineRule="auto"/>
        <w:ind w:firstLine="560"/>
        <w:jc w:val="center"/>
        <w:rPr>
          <w:color w:val="auto"/>
          <w:highlight w:val="none"/>
        </w:rPr>
      </w:pPr>
      <w:r>
        <w:rPr>
          <w:rFonts w:hint="eastAsia" w:ascii="黑体" w:hAnsi="黑体" w:eastAsia="黑体"/>
          <w:color w:val="auto"/>
          <w:sz w:val="28"/>
          <w:highlight w:val="none"/>
          <w:lang w:eastAsia="zh-CN"/>
        </w:rPr>
        <w:t>四、</w:t>
      </w:r>
      <w:r>
        <w:rPr>
          <w:rFonts w:ascii="黑体" w:hAnsi="黑体" w:eastAsia="黑体"/>
          <w:color w:val="auto"/>
          <w:sz w:val="28"/>
          <w:highlight w:val="none"/>
        </w:rPr>
        <w:t>投标人基本情况表（总表）</w:t>
      </w:r>
    </w:p>
    <w:tbl>
      <w:tblPr>
        <w:tblStyle w:val="41"/>
        <w:tblpPr w:vertAnchor="text" w:horzAnchor="margin" w:tblpXSpec="center" w:tblpY="244"/>
        <w:tblW w:w="8994" w:type="dxa"/>
        <w:jc w:val="center"/>
        <w:tblLayout w:type="fixed"/>
        <w:tblCellMar>
          <w:top w:w="0" w:type="dxa"/>
          <w:left w:w="108" w:type="dxa"/>
          <w:bottom w:w="0" w:type="dxa"/>
          <w:right w:w="108" w:type="dxa"/>
        </w:tblCellMar>
      </w:tblPr>
      <w:tblGrid>
        <w:gridCol w:w="338"/>
        <w:gridCol w:w="888"/>
        <w:gridCol w:w="600"/>
        <w:gridCol w:w="638"/>
        <w:gridCol w:w="562"/>
        <w:gridCol w:w="125"/>
        <w:gridCol w:w="612"/>
        <w:gridCol w:w="567"/>
        <w:gridCol w:w="121"/>
        <w:gridCol w:w="393"/>
        <w:gridCol w:w="244"/>
        <w:gridCol w:w="433"/>
        <w:gridCol w:w="217"/>
        <w:gridCol w:w="546"/>
        <w:gridCol w:w="67"/>
        <w:gridCol w:w="587"/>
        <w:gridCol w:w="134"/>
        <w:gridCol w:w="591"/>
        <w:gridCol w:w="582"/>
        <w:gridCol w:w="749"/>
      </w:tblGrid>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投标人名称</w:t>
            </w:r>
          </w:p>
        </w:tc>
        <w:tc>
          <w:tcPr>
            <w:tcW w:w="7168"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注册地址</w:t>
            </w:r>
          </w:p>
        </w:tc>
        <w:tc>
          <w:tcPr>
            <w:tcW w:w="2504"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邮政编码</w:t>
            </w:r>
          </w:p>
        </w:tc>
        <w:tc>
          <w:tcPr>
            <w:tcW w:w="347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联系方式</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联系人</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347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传真</w:t>
            </w:r>
          </w:p>
        </w:tc>
        <w:tc>
          <w:tcPr>
            <w:tcW w:w="130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19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网址</w:t>
            </w:r>
          </w:p>
        </w:tc>
        <w:tc>
          <w:tcPr>
            <w:tcW w:w="3473"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szCs w:val="21"/>
                <w:highlight w:val="none"/>
                <w:lang w:bidi="ar"/>
              </w:rPr>
              <w:t>营业执照号</w:t>
            </w:r>
          </w:p>
        </w:tc>
        <w:tc>
          <w:tcPr>
            <w:tcW w:w="7168"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法定代表人</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姓名</w:t>
            </w:r>
          </w:p>
        </w:tc>
        <w:tc>
          <w:tcPr>
            <w:tcW w:w="73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108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职务</w:t>
            </w:r>
          </w:p>
        </w:tc>
        <w:tc>
          <w:tcPr>
            <w:tcW w:w="144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8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电话</w:t>
            </w:r>
          </w:p>
        </w:tc>
        <w:tc>
          <w:tcPr>
            <w:tcW w:w="1922"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注册资金</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成立时间</w:t>
            </w:r>
          </w:p>
        </w:tc>
        <w:tc>
          <w:tcPr>
            <w:tcW w:w="2710"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开户银行</w:t>
            </w:r>
          </w:p>
        </w:tc>
        <w:tc>
          <w:tcPr>
            <w:tcW w:w="193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2521"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账号</w:t>
            </w:r>
          </w:p>
        </w:tc>
        <w:tc>
          <w:tcPr>
            <w:tcW w:w="2710"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r>
      <w:tr>
        <w:tblPrEx>
          <w:tblCellMar>
            <w:top w:w="0" w:type="dxa"/>
            <w:left w:w="108" w:type="dxa"/>
            <w:bottom w:w="0" w:type="dxa"/>
            <w:right w:w="108" w:type="dxa"/>
          </w:tblCellMar>
        </w:tblPrEx>
        <w:trPr>
          <w:trHeight w:val="631" w:hRule="atLeast"/>
          <w:jc w:val="center"/>
        </w:trPr>
        <w:tc>
          <w:tcPr>
            <w:tcW w:w="182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资质等级证书</w:t>
            </w:r>
          </w:p>
        </w:tc>
        <w:tc>
          <w:tcPr>
            <w:tcW w:w="7168" w:type="dxa"/>
            <w:gridSpan w:val="1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color w:val="auto"/>
                <w:highlight w:val="none"/>
              </w:rPr>
            </w:pPr>
            <w:r>
              <w:rPr>
                <w:color w:val="auto"/>
                <w:highlight w:val="none"/>
              </w:rPr>
              <w:t xml:space="preserve">等级：      </w:t>
            </w:r>
            <w:r>
              <w:rPr>
                <w:rFonts w:hint="eastAsia"/>
                <w:color w:val="auto"/>
                <w:highlight w:val="none"/>
              </w:rPr>
              <w:t xml:space="preserve">             </w:t>
            </w:r>
            <w:r>
              <w:rPr>
                <w:color w:val="auto"/>
                <w:highlight w:val="none"/>
              </w:rPr>
              <w:t xml:space="preserve">   证书号：</w:t>
            </w:r>
          </w:p>
        </w:tc>
      </w:tr>
      <w:tr>
        <w:tblPrEx>
          <w:tblCellMar>
            <w:top w:w="0" w:type="dxa"/>
            <w:left w:w="108" w:type="dxa"/>
            <w:bottom w:w="0" w:type="dxa"/>
            <w:right w:w="108" w:type="dxa"/>
          </w:tblCellMar>
        </w:tblPrEx>
        <w:trPr>
          <w:trHeight w:val="1389" w:hRule="atLeast"/>
          <w:jc w:val="center"/>
        </w:trPr>
        <w:tc>
          <w:tcPr>
            <w:tcW w:w="33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rPr>
              <w:t>总人数</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r>
              <w:rPr>
                <w:color w:val="auto"/>
                <w:highlight w:val="none"/>
                <w:u w:val="single"/>
              </w:rPr>
              <w:t xml:space="preserve">    </w:t>
            </w:r>
            <w:r>
              <w:rPr>
                <w:color w:val="auto"/>
                <w:highlight w:val="none"/>
              </w:rPr>
              <w:t>人</w:t>
            </w:r>
          </w:p>
        </w:tc>
        <w:tc>
          <w:tcPr>
            <w:tcW w:w="1238"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一级注册建筑师</w:t>
            </w:r>
          </w:p>
        </w:tc>
        <w:tc>
          <w:tcPr>
            <w:tcW w:w="1299"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一级注册结构工程师</w:t>
            </w:r>
          </w:p>
        </w:tc>
        <w:tc>
          <w:tcPr>
            <w:tcW w:w="1325"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注册公用设备工程师(给水排水)</w:t>
            </w:r>
          </w:p>
        </w:tc>
        <w:tc>
          <w:tcPr>
            <w:tcW w:w="1263"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color w:val="auto"/>
                <w:sz w:val="18"/>
                <w:szCs w:val="18"/>
                <w:highlight w:val="none"/>
              </w:rPr>
            </w:pPr>
            <w:r>
              <w:rPr>
                <w:rFonts w:hint="eastAsia"/>
                <w:color w:val="auto"/>
                <w:sz w:val="18"/>
                <w:szCs w:val="18"/>
                <w:highlight w:val="none"/>
              </w:rPr>
              <w:t>注册电气工程师(供配电)</w:t>
            </w:r>
          </w:p>
        </w:tc>
        <w:tc>
          <w:tcPr>
            <w:tcW w:w="1312"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default" w:eastAsia="宋体"/>
                <w:color w:val="auto"/>
                <w:sz w:val="18"/>
                <w:szCs w:val="18"/>
                <w:highlight w:val="none"/>
                <w:lang w:val="en-US" w:eastAsia="zh-CN"/>
              </w:rPr>
            </w:pPr>
            <w:r>
              <w:rPr>
                <w:rFonts w:hint="eastAsia"/>
                <w:color w:val="auto"/>
                <w:sz w:val="18"/>
                <w:szCs w:val="18"/>
                <w:highlight w:val="none"/>
              </w:rPr>
              <w:t>注册</w:t>
            </w:r>
            <w:r>
              <w:rPr>
                <w:rFonts w:hint="eastAsia"/>
                <w:color w:val="auto"/>
                <w:sz w:val="18"/>
                <w:szCs w:val="18"/>
                <w:highlight w:val="none"/>
                <w:lang w:val="en-US" w:eastAsia="zh-CN"/>
              </w:rPr>
              <w:t>勘察工程师</w:t>
            </w:r>
          </w:p>
        </w:tc>
        <w:tc>
          <w:tcPr>
            <w:tcW w:w="133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color w:val="auto"/>
                <w:sz w:val="18"/>
                <w:szCs w:val="18"/>
                <w:highlight w:val="none"/>
              </w:rPr>
            </w:pPr>
            <w:r>
              <w:rPr>
                <w:rFonts w:hint="eastAsia"/>
                <w:color w:val="auto"/>
                <w:sz w:val="18"/>
                <w:szCs w:val="18"/>
                <w:highlight w:val="none"/>
              </w:rPr>
              <w:t>高级</w:t>
            </w:r>
          </w:p>
        </w:tc>
        <w:tc>
          <w:tcPr>
            <w:tcW w:w="749"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color w:val="auto"/>
                <w:sz w:val="18"/>
                <w:szCs w:val="18"/>
                <w:highlight w:val="none"/>
              </w:rPr>
            </w:pPr>
            <w:r>
              <w:rPr>
                <w:rFonts w:hint="eastAsia"/>
                <w:color w:val="auto"/>
                <w:sz w:val="18"/>
                <w:szCs w:val="18"/>
                <w:highlight w:val="none"/>
              </w:rPr>
              <w:t>中级</w:t>
            </w:r>
          </w:p>
        </w:tc>
      </w:tr>
      <w:tr>
        <w:tblPrEx>
          <w:tblCellMar>
            <w:top w:w="0" w:type="dxa"/>
            <w:left w:w="108" w:type="dxa"/>
            <w:bottom w:w="0" w:type="dxa"/>
            <w:right w:w="108" w:type="dxa"/>
          </w:tblCellMar>
        </w:tblPrEx>
        <w:trPr>
          <w:trHeight w:val="631" w:hRule="atLeast"/>
          <w:jc w:val="center"/>
        </w:trPr>
        <w:tc>
          <w:tcPr>
            <w:tcW w:w="33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0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37" w:type="dxa"/>
            <w:gridSpan w:val="2"/>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650"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61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2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c>
          <w:tcPr>
            <w:tcW w:w="582"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jc w:val="center"/>
              <w:rPr>
                <w:color w:val="auto"/>
                <w:highlight w:val="none"/>
              </w:rPr>
            </w:pPr>
          </w:p>
        </w:tc>
        <w:tc>
          <w:tcPr>
            <w:tcW w:w="749"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color w:val="auto"/>
                <w:highlight w:val="none"/>
              </w:rPr>
            </w:pPr>
          </w:p>
        </w:tc>
      </w:tr>
      <w:tr>
        <w:tblPrEx>
          <w:tblCellMar>
            <w:top w:w="0" w:type="dxa"/>
            <w:left w:w="0" w:type="dxa"/>
            <w:bottom w:w="0" w:type="dxa"/>
            <w:right w:w="0" w:type="dxa"/>
          </w:tblCellMar>
        </w:tblPrEx>
        <w:trPr>
          <w:trHeight w:val="1090" w:hRule="atLeast"/>
          <w:jc w:val="center"/>
        </w:trPr>
        <w:tc>
          <w:tcPr>
            <w:tcW w:w="8994" w:type="dxa"/>
            <w:gridSpan w:val="20"/>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left"/>
              <w:rPr>
                <w:color w:val="auto"/>
                <w:highlight w:val="none"/>
              </w:rPr>
            </w:pPr>
            <w:r>
              <w:rPr>
                <w:color w:val="auto"/>
                <w:highlight w:val="none"/>
              </w:rPr>
              <w:t>投标单位组织机构简介：</w:t>
            </w:r>
          </w:p>
        </w:tc>
      </w:tr>
    </w:tbl>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spacing w:line="360" w:lineRule="auto"/>
        <w:jc w:val="left"/>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pStyle w:val="56"/>
        <w:widowControl w:val="0"/>
        <w:numPr>
          <w:ilvl w:val="1"/>
          <w:numId w:val="0"/>
        </w:numPr>
        <w:spacing w:beforeLines="50" w:line="360" w:lineRule="auto"/>
        <w:jc w:val="both"/>
        <w:rPr>
          <w:color w:val="auto"/>
          <w:sz w:val="18"/>
          <w:highlight w:val="none"/>
        </w:rPr>
      </w:pPr>
    </w:p>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line="360" w:lineRule="auto"/>
        <w:jc w:val="left"/>
        <w:rPr>
          <w:rFonts w:ascii="仿宋_GB2312" w:hAnsi="仿宋_GB2312" w:eastAsia="仿宋_GB2312"/>
          <w:color w:val="auto"/>
          <w:sz w:val="28"/>
          <w:highlight w:val="none"/>
        </w:rPr>
      </w:pPr>
    </w:p>
    <w:p>
      <w:pPr>
        <w:spacing w:line="360" w:lineRule="auto"/>
        <w:jc w:val="left"/>
        <w:rPr>
          <w:rFonts w:ascii="仿宋_GB2312" w:hAnsi="仿宋_GB2312" w:eastAsia="仿宋_GB2312"/>
          <w:color w:val="auto"/>
          <w:sz w:val="28"/>
          <w:highlight w:val="none"/>
        </w:rPr>
      </w:pPr>
    </w:p>
    <w:p>
      <w:pPr>
        <w:pStyle w:val="2"/>
        <w:rPr>
          <w:color w:val="auto"/>
          <w:highlight w:val="none"/>
        </w:rPr>
      </w:pPr>
    </w:p>
    <w:p>
      <w:pPr>
        <w:spacing w:line="360" w:lineRule="auto"/>
        <w:jc w:val="left"/>
        <w:rPr>
          <w:rFonts w:ascii="仿宋_GB2312" w:hAnsi="仿宋_GB2312" w:eastAsia="仿宋_GB2312"/>
          <w:color w:val="auto"/>
          <w:sz w:val="28"/>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拟组建承担本项目的项目组人员情况</w:t>
      </w:r>
    </w:p>
    <w:tbl>
      <w:tblPr>
        <w:tblStyle w:val="41"/>
        <w:tblW w:w="0" w:type="auto"/>
        <w:jc w:val="center"/>
        <w:tblLayout w:type="fixed"/>
        <w:tblCellMar>
          <w:top w:w="0" w:type="dxa"/>
          <w:left w:w="108" w:type="dxa"/>
          <w:bottom w:w="0" w:type="dxa"/>
          <w:right w:w="108" w:type="dxa"/>
        </w:tblCellMar>
      </w:tblPr>
      <w:tblGrid>
        <w:gridCol w:w="1095"/>
        <w:gridCol w:w="1159"/>
        <w:gridCol w:w="1017"/>
        <w:gridCol w:w="862"/>
        <w:gridCol w:w="1571"/>
        <w:gridCol w:w="2513"/>
      </w:tblGrid>
      <w:tr>
        <w:tblPrEx>
          <w:tblCellMar>
            <w:top w:w="0" w:type="dxa"/>
            <w:left w:w="108" w:type="dxa"/>
            <w:bottom w:w="0" w:type="dxa"/>
            <w:right w:w="108" w:type="dxa"/>
          </w:tblCellMar>
        </w:tblPrEx>
        <w:trPr>
          <w:trHeight w:val="904"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left"/>
              <w:rPr>
                <w:color w:val="auto"/>
                <w:highlight w:val="none"/>
              </w:rPr>
            </w:pPr>
            <w:r>
              <w:rPr>
                <w:color w:val="auto"/>
                <w:highlight w:val="none"/>
              </w:rPr>
              <w:t>人员类别</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姓名</w:t>
            </w: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年龄</w:t>
            </w: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职称</w:t>
            </w: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r>
              <w:rPr>
                <w:color w:val="auto"/>
                <w:highlight w:val="none"/>
              </w:rPr>
              <w:t>证书编号</w:t>
            </w: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社会保险缴纳情况</w:t>
            </w:r>
          </w:p>
        </w:tc>
      </w:tr>
      <w:tr>
        <w:tblPrEx>
          <w:tblCellMar>
            <w:top w:w="0" w:type="dxa"/>
            <w:left w:w="108" w:type="dxa"/>
            <w:bottom w:w="0" w:type="dxa"/>
            <w:right w:w="108" w:type="dxa"/>
          </w:tblCellMar>
        </w:tblPrEx>
        <w:trPr>
          <w:trHeight w:val="652" w:hRule="atLeast"/>
          <w:jc w:val="center"/>
        </w:trPr>
        <w:tc>
          <w:tcPr>
            <w:tcW w:w="10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项目</w:t>
            </w:r>
          </w:p>
          <w:p>
            <w:pPr>
              <w:snapToGrid w:val="0"/>
              <w:spacing w:line="380" w:lineRule="exact"/>
              <w:jc w:val="center"/>
              <w:rPr>
                <w:rFonts w:hint="eastAsia"/>
                <w:color w:val="auto"/>
                <w:highlight w:val="none"/>
              </w:rPr>
            </w:pPr>
            <w:r>
              <w:rPr>
                <w:rFonts w:hint="eastAsia"/>
                <w:color w:val="auto"/>
                <w:highlight w:val="none"/>
              </w:rPr>
              <w:t>负责人</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jc w:val="center"/>
              <w:rPr>
                <w:rFonts w:hint="eastAsia"/>
                <w:color w:val="auto"/>
                <w:highlight w:val="none"/>
              </w:rPr>
            </w:pPr>
            <w:r>
              <w:rPr>
                <w:rFonts w:hint="eastAsia"/>
                <w:color w:val="auto"/>
                <w:highlight w:val="none"/>
              </w:rPr>
              <w:t>其 他</w:t>
            </w:r>
          </w:p>
          <w:p>
            <w:pPr>
              <w:snapToGrid w:val="0"/>
              <w:spacing w:line="380" w:lineRule="exact"/>
              <w:jc w:val="center"/>
              <w:rPr>
                <w:color w:val="auto"/>
                <w:highlight w:val="none"/>
              </w:rPr>
            </w:pPr>
            <w:r>
              <w:rPr>
                <w:color w:val="auto"/>
                <w:highlight w:val="none"/>
              </w:rPr>
              <w:t>人 员</w:t>
            </w: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r>
        <w:tblPrEx>
          <w:tblCellMar>
            <w:top w:w="0" w:type="dxa"/>
            <w:left w:w="108" w:type="dxa"/>
            <w:bottom w:w="0" w:type="dxa"/>
            <w:right w:w="108" w:type="dxa"/>
          </w:tblCellMar>
        </w:tblPrEx>
        <w:trPr>
          <w:trHeight w:val="660" w:hRule="exact"/>
          <w:jc w:val="center"/>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1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c>
          <w:tcPr>
            <w:tcW w:w="2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80" w:lineRule="exact"/>
              <w:ind w:firstLine="420"/>
              <w:jc w:val="left"/>
              <w:rPr>
                <w:color w:val="auto"/>
                <w:highlight w:val="none"/>
              </w:rPr>
            </w:pPr>
          </w:p>
        </w:tc>
      </w:tr>
    </w:tbl>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right"/>
        <w:rPr>
          <w:color w:val="auto"/>
          <w:highlight w:val="none"/>
        </w:rPr>
      </w:pPr>
      <w:r>
        <w:rPr>
          <w:color w:val="auto"/>
          <w:highlight w:val="none"/>
        </w:rPr>
        <w:t>年   月  日</w:t>
      </w:r>
    </w:p>
    <w:p>
      <w:pPr>
        <w:spacing w:line="360" w:lineRule="auto"/>
        <w:jc w:val="left"/>
        <w:rPr>
          <w:rFonts w:hint="eastAsia" w:ascii="仿宋_GB2312" w:hAnsi="仿宋_GB2312" w:eastAsia="仿宋_GB2312"/>
          <w:color w:val="auto"/>
          <w:sz w:val="28"/>
          <w:highlight w:val="none"/>
        </w:rPr>
      </w:pPr>
    </w:p>
    <w:p>
      <w:pPr>
        <w:pStyle w:val="2"/>
        <w:rPr>
          <w:rFonts w:hint="eastAsia" w:ascii="仿宋_GB2312" w:hAnsi="仿宋_GB2312" w:eastAsia="仿宋_GB2312"/>
          <w:color w:val="auto"/>
          <w:sz w:val="28"/>
          <w:highlight w:val="none"/>
        </w:rPr>
      </w:pPr>
    </w:p>
    <w:p>
      <w:pPr>
        <w:rPr>
          <w:rFonts w:hint="eastAsia" w:ascii="仿宋_GB2312" w:hAnsi="仿宋_GB2312" w:eastAsia="仿宋_GB2312"/>
          <w:color w:val="auto"/>
          <w:sz w:val="28"/>
          <w:highlight w:val="none"/>
        </w:rPr>
      </w:pPr>
    </w:p>
    <w:p>
      <w:pPr>
        <w:pStyle w:val="56"/>
        <w:numPr>
          <w:ilvl w:val="0"/>
          <w:numId w:val="0"/>
        </w:numPr>
        <w:wordWrap w:val="0"/>
        <w:spacing w:beforeLines="50" w:line="360" w:lineRule="auto"/>
        <w:jc w:val="both"/>
        <w:rPr>
          <w:rFonts w:hint="eastAsia" w:ascii="仿宋_GB2312" w:hAnsi="仿宋_GB2312" w:eastAsia="仿宋_GB2312"/>
          <w:color w:val="auto"/>
          <w:sz w:val="28"/>
          <w:highlight w:val="none"/>
        </w:rPr>
      </w:pPr>
    </w:p>
    <w:p>
      <w:pPr>
        <w:pStyle w:val="2"/>
        <w:ind w:left="0" w:firstLine="0"/>
        <w:rPr>
          <w:rFonts w:hint="eastAsia"/>
          <w:color w:val="auto"/>
          <w:highlight w:val="none"/>
        </w:rPr>
      </w:pPr>
    </w:p>
    <w:p>
      <w:pPr>
        <w:rPr>
          <w:rFonts w:hint="eastAsia"/>
          <w:color w:val="auto"/>
          <w:highlight w:val="none"/>
        </w:rPr>
      </w:pPr>
    </w:p>
    <w:p>
      <w:pPr>
        <w:spacing w:before="156" w:line="700" w:lineRule="exact"/>
        <w:jc w:val="center"/>
        <w:rPr>
          <w:rFonts w:ascii="黑体" w:eastAsia="黑体"/>
          <w:b/>
          <w:color w:val="auto"/>
          <w:sz w:val="28"/>
          <w:highlight w:val="none"/>
        </w:rPr>
      </w:pPr>
      <w:r>
        <w:rPr>
          <w:rFonts w:ascii="黑体" w:eastAsia="黑体"/>
          <w:bCs/>
          <w:color w:val="auto"/>
          <w:sz w:val="28"/>
          <w:highlight w:val="none"/>
        </w:rPr>
        <w:t>拟任项目负责人简历表</w:t>
      </w:r>
    </w:p>
    <w:tbl>
      <w:tblPr>
        <w:tblStyle w:val="41"/>
        <w:tblW w:w="0" w:type="auto"/>
        <w:jc w:val="center"/>
        <w:tblLayout w:type="fixed"/>
        <w:tblCellMar>
          <w:top w:w="0" w:type="dxa"/>
          <w:left w:w="108" w:type="dxa"/>
          <w:bottom w:w="0" w:type="dxa"/>
          <w:right w:w="108" w:type="dxa"/>
        </w:tblCellMar>
      </w:tblPr>
      <w:tblGrid>
        <w:gridCol w:w="1708"/>
        <w:gridCol w:w="1473"/>
        <w:gridCol w:w="1474"/>
        <w:gridCol w:w="1214"/>
        <w:gridCol w:w="1260"/>
        <w:gridCol w:w="1260"/>
      </w:tblGrid>
      <w:tr>
        <w:tblPrEx>
          <w:tblCellMar>
            <w:top w:w="0" w:type="dxa"/>
            <w:left w:w="108" w:type="dxa"/>
            <w:bottom w:w="0" w:type="dxa"/>
            <w:right w:w="108" w:type="dxa"/>
          </w:tblCellMar>
        </w:tblPrEx>
        <w:trPr>
          <w:trHeight w:val="561"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45"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4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4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13" w:hRule="atLeas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294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7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担任项目负责人年限</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621"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项目负责人</w:t>
            </w:r>
            <w:r>
              <w:rPr>
                <w:rFonts w:hint="eastAsia"/>
                <w:color w:val="auto"/>
                <w:highlight w:val="none"/>
              </w:rPr>
              <w:t>注册证书</w:t>
            </w:r>
            <w:r>
              <w:rPr>
                <w:color w:val="auto"/>
                <w:highlight w:val="none"/>
              </w:rPr>
              <w:t>编号</w:t>
            </w:r>
          </w:p>
        </w:tc>
        <w:tc>
          <w:tcPr>
            <w:tcW w:w="520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68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791" w:hRule="atLeast"/>
          <w:jc w:val="center"/>
        </w:trPr>
        <w:tc>
          <w:tcPr>
            <w:tcW w:w="8389"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left"/>
              <w:rPr>
                <w:color w:val="auto"/>
                <w:highlight w:val="none"/>
              </w:rPr>
            </w:pPr>
            <w:r>
              <w:rPr>
                <w:color w:val="auto"/>
                <w:highlight w:val="none"/>
              </w:rPr>
              <w:t>需提项目负责人</w:t>
            </w:r>
            <w:r>
              <w:rPr>
                <w:rFonts w:hint="eastAsia"/>
                <w:color w:val="auto"/>
                <w:highlight w:val="none"/>
              </w:rPr>
              <w:t>的</w:t>
            </w:r>
            <w:r>
              <w:rPr>
                <w:color w:val="auto"/>
                <w:highlight w:val="none"/>
              </w:rPr>
              <w:t>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line="360" w:lineRule="auto"/>
        <w:ind w:firstLine="5460"/>
        <w:jc w:val="left"/>
        <w:rPr>
          <w:rFonts w:ascii="仿宋_GB2312" w:hAnsi="仿宋_GB2312" w:eastAsia="仿宋_GB2312"/>
          <w:color w:val="auto"/>
          <w:sz w:val="28"/>
          <w:highlight w:val="none"/>
        </w:rPr>
      </w:pPr>
    </w:p>
    <w:p>
      <w:pPr>
        <w:spacing w:before="312" w:after="156" w:line="360" w:lineRule="exact"/>
        <w:jc w:val="right"/>
        <w:rPr>
          <w:color w:val="auto"/>
          <w:highlight w:val="none"/>
        </w:rPr>
      </w:pPr>
      <w:r>
        <w:rPr>
          <w:color w:val="auto"/>
          <w:highlight w:val="none"/>
        </w:rPr>
        <w:t>投标人名称：（公章</w:t>
      </w:r>
      <w:r>
        <w:rPr>
          <w:rFonts w:hint="eastAsia"/>
          <w:color w:val="auto"/>
          <w:highlight w:val="none"/>
        </w:rPr>
        <w:t>）</w:t>
      </w:r>
    </w:p>
    <w:p>
      <w:pPr>
        <w:spacing w:before="312" w:after="156" w:line="360" w:lineRule="exact"/>
        <w:jc w:val="right"/>
        <w:rPr>
          <w:color w:val="auto"/>
          <w:highlight w:val="none"/>
        </w:rPr>
      </w:pPr>
      <w:r>
        <w:rPr>
          <w:color w:val="auto"/>
          <w:highlight w:val="none"/>
        </w:rPr>
        <w:t>法定代表人</w:t>
      </w:r>
      <w:r>
        <w:rPr>
          <w:rFonts w:hint="eastAsia"/>
          <w:color w:val="auto"/>
          <w:highlight w:val="none"/>
        </w:rPr>
        <w:t>或委托代理人：（签字或盖章）</w:t>
      </w:r>
    </w:p>
    <w:p>
      <w:pPr>
        <w:spacing w:before="312" w:after="156" w:line="360" w:lineRule="exact"/>
        <w:jc w:val="center"/>
        <w:rPr>
          <w:color w:val="auto"/>
          <w:highlight w:val="none"/>
        </w:rPr>
      </w:pPr>
      <w:r>
        <w:rPr>
          <w:color w:val="auto"/>
          <w:highlight w:val="none"/>
        </w:rPr>
        <w:t xml:space="preserve">   </w:t>
      </w:r>
    </w:p>
    <w:p>
      <w:pPr>
        <w:spacing w:before="312" w:after="156" w:line="360" w:lineRule="exact"/>
        <w:jc w:val="right"/>
        <w:rPr>
          <w:color w:val="auto"/>
          <w:highlight w:val="none"/>
        </w:rPr>
      </w:pPr>
      <w:r>
        <w:rPr>
          <w:color w:val="auto"/>
          <w:highlight w:val="none"/>
        </w:rPr>
        <w:t>年   月  日</w:t>
      </w:r>
    </w:p>
    <w:p>
      <w:pPr>
        <w:spacing w:line="360" w:lineRule="auto"/>
        <w:jc w:val="left"/>
        <w:rPr>
          <w:rFonts w:ascii="仿宋_GB2312" w:hAnsi="仿宋_GB2312" w:eastAsia="仿宋_GB2312"/>
          <w:color w:val="auto"/>
          <w:sz w:val="28"/>
          <w:highlight w:val="none"/>
        </w:rPr>
      </w:pPr>
    </w:p>
    <w:p>
      <w:pPr>
        <w:pStyle w:val="2"/>
        <w:rPr>
          <w:color w:val="auto"/>
          <w:highlight w:val="none"/>
        </w:rPr>
      </w:pPr>
    </w:p>
    <w:p>
      <w:pPr>
        <w:rPr>
          <w:color w:val="auto"/>
          <w:highlight w:val="none"/>
        </w:rPr>
      </w:pPr>
    </w:p>
    <w:p>
      <w:pPr>
        <w:pStyle w:val="56"/>
        <w:numPr>
          <w:ilvl w:val="1"/>
          <w:numId w:val="0"/>
        </w:numPr>
        <w:ind w:left="735" w:leftChars="0"/>
        <w:rPr>
          <w:color w:val="auto"/>
          <w:highlight w:val="none"/>
        </w:rPr>
      </w:pPr>
    </w:p>
    <w:p>
      <w:pPr>
        <w:spacing w:before="156" w:line="700" w:lineRule="exact"/>
        <w:jc w:val="center"/>
        <w:rPr>
          <w:rFonts w:ascii="黑体" w:eastAsia="黑体"/>
          <w:bCs/>
          <w:color w:val="auto"/>
          <w:sz w:val="28"/>
          <w:highlight w:val="none"/>
        </w:rPr>
      </w:pPr>
      <w:r>
        <w:rPr>
          <w:rFonts w:ascii="黑体" w:eastAsia="黑体"/>
          <w:bCs/>
          <w:color w:val="auto"/>
          <w:sz w:val="28"/>
          <w:highlight w:val="none"/>
        </w:rPr>
        <w:t>拟任本项目组其他人员情况</w:t>
      </w:r>
    </w:p>
    <w:tbl>
      <w:tblPr>
        <w:tblStyle w:val="41"/>
        <w:tblW w:w="0" w:type="auto"/>
        <w:jc w:val="center"/>
        <w:tblLayout w:type="fixed"/>
        <w:tblCellMar>
          <w:top w:w="0" w:type="dxa"/>
          <w:left w:w="108" w:type="dxa"/>
          <w:bottom w:w="0" w:type="dxa"/>
          <w:right w:w="108" w:type="dxa"/>
        </w:tblCellMar>
      </w:tblPr>
      <w:tblGrid>
        <w:gridCol w:w="1547"/>
        <w:gridCol w:w="1548"/>
        <w:gridCol w:w="1549"/>
        <w:gridCol w:w="1253"/>
        <w:gridCol w:w="1243"/>
        <w:gridCol w:w="1248"/>
      </w:tblGrid>
      <w:tr>
        <w:tblPrEx>
          <w:tblCellMar>
            <w:top w:w="0" w:type="dxa"/>
            <w:left w:w="108" w:type="dxa"/>
            <w:bottom w:w="0" w:type="dxa"/>
            <w:right w:w="108" w:type="dxa"/>
          </w:tblCellMar>
        </w:tblPrEx>
        <w:trPr>
          <w:trHeight w:val="54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姓名</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性别</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年龄</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29"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职务</w:t>
            </w:r>
          </w:p>
        </w:tc>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学历</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595" w:hRule="atLeas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参加工作时间</w:t>
            </w:r>
          </w:p>
        </w:tc>
        <w:tc>
          <w:tcPr>
            <w:tcW w:w="309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c>
          <w:tcPr>
            <w:tcW w:w="24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拟在本项目中担任职务</w:t>
            </w:r>
          </w:p>
        </w:tc>
        <w:tc>
          <w:tcPr>
            <w:tcW w:w="12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p>
        </w:tc>
      </w:tr>
      <w:tr>
        <w:tblPrEx>
          <w:tblCellMar>
            <w:top w:w="0" w:type="dxa"/>
            <w:left w:w="108" w:type="dxa"/>
            <w:bottom w:w="0" w:type="dxa"/>
            <w:right w:w="108" w:type="dxa"/>
          </w:tblCellMar>
        </w:tblPrEx>
        <w:trPr>
          <w:trHeight w:val="3969" w:hRule="exact"/>
          <w:jc w:val="center"/>
        </w:trPr>
        <w:tc>
          <w:tcPr>
            <w:tcW w:w="15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color w:val="auto"/>
                <w:highlight w:val="none"/>
              </w:rPr>
            </w:pPr>
            <w:r>
              <w:rPr>
                <w:color w:val="auto"/>
                <w:highlight w:val="none"/>
              </w:rPr>
              <w:t>包含类似</w:t>
            </w:r>
          </w:p>
          <w:p>
            <w:pPr>
              <w:spacing w:line="360" w:lineRule="exact"/>
              <w:jc w:val="center"/>
              <w:rPr>
                <w:color w:val="auto"/>
                <w:highlight w:val="none"/>
              </w:rPr>
            </w:pPr>
            <w:r>
              <w:rPr>
                <w:color w:val="auto"/>
                <w:highlight w:val="none"/>
              </w:rPr>
              <w:t>项目业绩</w:t>
            </w:r>
          </w:p>
        </w:tc>
        <w:tc>
          <w:tcPr>
            <w:tcW w:w="6841"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jc w:val="center"/>
              <w:rPr>
                <w:color w:val="auto"/>
                <w:highlight w:val="none"/>
              </w:rPr>
            </w:pPr>
          </w:p>
        </w:tc>
      </w:tr>
      <w:tr>
        <w:tblPrEx>
          <w:tblCellMar>
            <w:top w:w="0" w:type="dxa"/>
            <w:left w:w="0" w:type="dxa"/>
            <w:bottom w:w="0" w:type="dxa"/>
            <w:right w:w="0" w:type="dxa"/>
          </w:tblCellMar>
        </w:tblPrEx>
        <w:trPr>
          <w:trHeight w:val="1080" w:hRule="atLeast"/>
          <w:jc w:val="center"/>
        </w:trPr>
        <w:tc>
          <w:tcPr>
            <w:tcW w:w="8388"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before="312" w:after="156" w:line="360" w:lineRule="exact"/>
              <w:ind w:firstLine="420"/>
              <w:jc w:val="left"/>
              <w:rPr>
                <w:color w:val="auto"/>
                <w:highlight w:val="none"/>
              </w:rPr>
            </w:pPr>
            <w:r>
              <w:rPr>
                <w:color w:val="auto"/>
                <w:highlight w:val="none"/>
              </w:rPr>
              <w:t>拟组建的项目人员的身份证、</w:t>
            </w:r>
            <w:r>
              <w:rPr>
                <w:rFonts w:hint="eastAsia"/>
                <w:color w:val="auto"/>
                <w:highlight w:val="none"/>
              </w:rPr>
              <w:t>注册证或</w:t>
            </w:r>
            <w:r>
              <w:rPr>
                <w:color w:val="auto"/>
                <w:highlight w:val="none"/>
              </w:rPr>
              <w:t>职称证</w:t>
            </w:r>
            <w:r>
              <w:rPr>
                <w:rFonts w:hint="eastAsia"/>
                <w:color w:val="auto"/>
                <w:highlight w:val="none"/>
              </w:rPr>
              <w:t>、个人社保查询单、</w:t>
            </w:r>
            <w:r>
              <w:rPr>
                <w:color w:val="auto"/>
                <w:highlight w:val="none"/>
              </w:rPr>
              <w:t>与能满足本招标文件</w:t>
            </w:r>
            <w:r>
              <w:rPr>
                <w:rFonts w:hint="eastAsia"/>
                <w:color w:val="auto"/>
                <w:highlight w:val="none"/>
              </w:rPr>
              <w:t>相关</w:t>
            </w:r>
            <w:r>
              <w:rPr>
                <w:color w:val="auto"/>
                <w:highlight w:val="none"/>
              </w:rPr>
              <w:t>要求</w:t>
            </w:r>
            <w:r>
              <w:rPr>
                <w:rFonts w:hint="eastAsia"/>
                <w:color w:val="auto"/>
                <w:highlight w:val="none"/>
              </w:rPr>
              <w:t>的资料需</w:t>
            </w:r>
            <w:r>
              <w:rPr>
                <w:color w:val="auto"/>
                <w:highlight w:val="none"/>
              </w:rPr>
              <w:t>附后。</w:t>
            </w:r>
          </w:p>
        </w:tc>
      </w:tr>
    </w:tbl>
    <w:p>
      <w:pPr>
        <w:spacing w:line="360" w:lineRule="auto"/>
        <w:jc w:val="left"/>
        <w:rPr>
          <w:color w:val="auto"/>
          <w:sz w:val="24"/>
          <w:szCs w:val="24"/>
          <w:highlight w:val="none"/>
        </w:rPr>
      </w:pPr>
      <w:r>
        <w:rPr>
          <w:color w:val="auto"/>
          <w:sz w:val="24"/>
          <w:szCs w:val="24"/>
          <w:highlight w:val="none"/>
        </w:rPr>
        <w:t>注：投标人可根据实际情况自行添加表格内容。</w:t>
      </w:r>
    </w:p>
    <w:p>
      <w:pPr>
        <w:spacing w:line="360" w:lineRule="auto"/>
        <w:ind w:firstLine="5460"/>
        <w:jc w:val="left"/>
        <w:rPr>
          <w:rFonts w:ascii="仿宋_GB2312" w:hAnsi="仿宋_GB2312" w:eastAsia="仿宋_GB2312"/>
          <w:color w:val="auto"/>
          <w:sz w:val="28"/>
          <w:highlight w:val="none"/>
        </w:rPr>
      </w:pPr>
    </w:p>
    <w:p>
      <w:pPr>
        <w:spacing w:before="312" w:after="156" w:line="360" w:lineRule="exact"/>
        <w:ind w:firstLine="420"/>
        <w:jc w:val="right"/>
        <w:rPr>
          <w:color w:val="auto"/>
          <w:highlight w:val="none"/>
        </w:rPr>
      </w:pPr>
      <w:r>
        <w:rPr>
          <w:color w:val="auto"/>
          <w:highlight w:val="none"/>
        </w:rPr>
        <w:t>投标人名称：（公章）</w:t>
      </w:r>
    </w:p>
    <w:p>
      <w:pPr>
        <w:spacing w:before="312" w:after="156" w:line="360" w:lineRule="exact"/>
        <w:ind w:firstLine="420"/>
        <w:jc w:val="right"/>
        <w:rPr>
          <w:color w:val="auto"/>
          <w:highlight w:val="none"/>
        </w:rPr>
      </w:pPr>
      <w:r>
        <w:rPr>
          <w:color w:val="auto"/>
          <w:highlight w:val="none"/>
        </w:rPr>
        <w:t>法定代表人</w:t>
      </w:r>
      <w:r>
        <w:rPr>
          <w:rFonts w:hint="eastAsia"/>
          <w:color w:val="auto"/>
          <w:highlight w:val="none"/>
        </w:rPr>
        <w:t>或委托代理人：（签字或盖章）</w:t>
      </w:r>
      <w:r>
        <w:rPr>
          <w:color w:val="auto"/>
          <w:highlight w:val="none"/>
        </w:rPr>
        <w:t xml:space="preserve">   </w:t>
      </w:r>
    </w:p>
    <w:p>
      <w:pPr>
        <w:spacing w:before="312" w:after="156" w:line="360" w:lineRule="exact"/>
        <w:ind w:firstLine="420"/>
        <w:jc w:val="right"/>
        <w:rPr>
          <w:color w:val="auto"/>
          <w:highlight w:val="none"/>
        </w:rPr>
      </w:pPr>
      <w:bookmarkStart w:id="256" w:name="_GoBack"/>
      <w:bookmarkEnd w:id="256"/>
      <w:r>
        <w:rPr>
          <w:color w:val="auto"/>
          <w:highlight w:val="none"/>
        </w:rPr>
        <w:t>年   月  日</w:t>
      </w:r>
    </w:p>
    <w:p>
      <w:pPr>
        <w:spacing w:line="360" w:lineRule="auto"/>
        <w:jc w:val="left"/>
        <w:rPr>
          <w:rFonts w:ascii="仿宋_GB2312" w:hAnsi="仿宋_GB2312" w:eastAsia="仿宋_GB2312"/>
          <w:color w:val="auto"/>
          <w:sz w:val="28"/>
          <w:highlight w:val="none"/>
        </w:rPr>
      </w:pPr>
    </w:p>
    <w:p>
      <w:pPr>
        <w:pageBreakBefore/>
        <w:spacing w:line="600" w:lineRule="exact"/>
        <w:jc w:val="center"/>
        <w:outlineLvl w:val="0"/>
        <w:rPr>
          <w:rFonts w:hint="eastAsia" w:asciiTheme="minorEastAsia" w:hAnsiTheme="minorEastAsia" w:eastAsiaTheme="minorEastAsia" w:cstheme="minorEastAsia"/>
          <w:b/>
          <w:color w:val="auto"/>
          <w:sz w:val="32"/>
          <w:szCs w:val="32"/>
          <w:highlight w:val="none"/>
        </w:rPr>
      </w:pPr>
    </w:p>
    <w:p>
      <w:pPr>
        <w:pageBreakBefore/>
        <w:spacing w:line="600" w:lineRule="exact"/>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五</w:t>
      </w:r>
      <w:r>
        <w:rPr>
          <w:rFonts w:hint="eastAsia" w:asciiTheme="minorEastAsia" w:hAnsiTheme="minorEastAsia" w:eastAsiaTheme="minorEastAsia" w:cstheme="minorEastAsia"/>
          <w:b/>
          <w:color w:val="auto"/>
          <w:sz w:val="32"/>
          <w:szCs w:val="32"/>
          <w:highlight w:val="none"/>
        </w:rPr>
        <w:t>、投标承诺函</w:t>
      </w:r>
      <w:bookmarkEnd w:id="243"/>
    </w:p>
    <w:p>
      <w:pPr>
        <w:ind w:firstLine="883"/>
        <w:jc w:val="center"/>
        <w:rPr>
          <w:rFonts w:asciiTheme="minorEastAsia" w:hAnsiTheme="minorEastAsia" w:eastAsiaTheme="minorEastAsia" w:cstheme="minorEastAsia"/>
          <w:b/>
          <w:color w:val="auto"/>
          <w:sz w:val="44"/>
          <w:szCs w:val="44"/>
          <w:highlight w:val="none"/>
        </w:rPr>
      </w:pP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w:t>
      </w:r>
      <w:r>
        <w:rPr>
          <w:rFonts w:hint="eastAsia" w:asciiTheme="minorEastAsia" w:hAnsiTheme="minorEastAsia" w:eastAsiaTheme="minorEastAsia" w:cstheme="minorEastAsia"/>
          <w:color w:val="auto"/>
          <w:sz w:val="24"/>
          <w:highlight w:val="none"/>
          <w:u w:val="single"/>
        </w:rPr>
        <w:t xml:space="preserve">                                   项目</w:t>
      </w:r>
      <w:r>
        <w:rPr>
          <w:rFonts w:hint="eastAsia" w:asciiTheme="minorEastAsia" w:hAnsiTheme="minorEastAsia" w:eastAsiaTheme="minorEastAsia" w:cstheme="minorEastAsia"/>
          <w:color w:val="auto"/>
          <w:sz w:val="24"/>
          <w:highlight w:val="none"/>
        </w:rPr>
        <w:t>（采购编号：）投标行为做出承诺，保证所提交材料的真实性。</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我单位承诺：</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1、在投标文件递交截止时间后至确定中标人的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4、不存在法律法规规定的其他违法违规行为。</w:t>
      </w:r>
    </w:p>
    <w:p>
      <w:pPr>
        <w:pStyle w:val="56"/>
        <w:numPr>
          <w:ilvl w:val="1"/>
          <w:numId w:val="0"/>
        </w:numPr>
        <w:rPr>
          <w:rFonts w:hint="eastAsia"/>
          <w:color w:val="auto"/>
          <w:highlight w:val="none"/>
          <w:lang w:eastAsia="zh-CN"/>
        </w:rPr>
      </w:pPr>
    </w:p>
    <w:p>
      <w:pPr>
        <w:spacing w:line="60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投标单位名称（盖章）：</w:t>
      </w:r>
    </w:p>
    <w:p>
      <w:pPr>
        <w:spacing w:line="60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法人代表或授权委托人（签字或盖章）：</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年    月    日  </w:t>
      </w: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44" w:name="_Toc10043"/>
      <w:bookmarkStart w:id="245" w:name="_Toc29492"/>
      <w:bookmarkStart w:id="246" w:name="_Toc20650"/>
      <w:r>
        <w:rPr>
          <w:rFonts w:hint="eastAsia" w:asciiTheme="minorEastAsia" w:hAnsiTheme="minorEastAsia" w:eastAsiaTheme="minorEastAsia" w:cstheme="minorEastAsia"/>
          <w:b/>
          <w:bCs w:val="0"/>
          <w:color w:val="auto"/>
          <w:kern w:val="2"/>
          <w:sz w:val="30"/>
          <w:szCs w:val="30"/>
          <w:highlight w:val="none"/>
          <w:lang w:eastAsia="zh-CN"/>
        </w:rPr>
        <w:t>六</w:t>
      </w:r>
      <w:r>
        <w:rPr>
          <w:rFonts w:hint="eastAsia" w:asciiTheme="minorEastAsia" w:hAnsiTheme="minorEastAsia" w:eastAsiaTheme="minorEastAsia" w:cstheme="minorEastAsia"/>
          <w:b/>
          <w:bCs w:val="0"/>
          <w:color w:val="auto"/>
          <w:kern w:val="2"/>
          <w:sz w:val="30"/>
          <w:szCs w:val="30"/>
          <w:highlight w:val="none"/>
        </w:rPr>
        <w:t>、资格</w:t>
      </w:r>
      <w:r>
        <w:rPr>
          <w:rFonts w:hint="eastAsia" w:asciiTheme="minorEastAsia" w:hAnsiTheme="minorEastAsia" w:eastAsiaTheme="minorEastAsia" w:cstheme="minorEastAsia"/>
          <w:b/>
          <w:color w:val="auto"/>
          <w:kern w:val="2"/>
          <w:sz w:val="30"/>
          <w:szCs w:val="30"/>
          <w:highlight w:val="none"/>
        </w:rPr>
        <w:t>证明文件</w:t>
      </w:r>
      <w:bookmarkEnd w:id="244"/>
      <w:bookmarkEnd w:id="245"/>
      <w:bookmarkEnd w:id="246"/>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40"/>
        <w:ind w:firstLine="482"/>
        <w:jc w:val="left"/>
        <w:rPr>
          <w:b/>
          <w:bCs/>
          <w:color w:val="auto"/>
          <w:highlight w:val="none"/>
        </w:rPr>
      </w:pPr>
      <w:r>
        <w:rPr>
          <w:rFonts w:hint="eastAsia"/>
          <w:b/>
          <w:bCs/>
          <w:color w:val="auto"/>
          <w:sz w:val="24"/>
          <w:highlight w:val="none"/>
        </w:rPr>
        <w:t>备注：以上资格证明文件须提供原件的扫描件。</w:t>
      </w:r>
    </w:p>
    <w:p>
      <w:pPr>
        <w:pStyle w:val="40"/>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9"/>
        <w:ind w:firstLine="281"/>
        <w:rPr>
          <w:rFonts w:hint="default"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pStyle w:val="40"/>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47" w:name="_Toc8330"/>
      <w:bookmarkStart w:id="248" w:name="_Toc6465"/>
      <w:bookmarkStart w:id="249" w:name="_Toc31553"/>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36"/>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bookmarkEnd w:id="247"/>
    <w:bookmarkEnd w:id="248"/>
    <w:p>
      <w:pPr>
        <w:spacing w:before="156" w:line="700" w:lineRule="exact"/>
        <w:jc w:val="center"/>
        <w:rPr>
          <w:rFonts w:ascii="黑体" w:eastAsia="黑体"/>
          <w:bCs/>
          <w:color w:val="auto"/>
          <w:sz w:val="28"/>
          <w:highlight w:val="none"/>
        </w:rPr>
      </w:pPr>
      <w:bookmarkStart w:id="250" w:name="_Toc23227"/>
      <w:bookmarkStart w:id="251" w:name="_Toc10717"/>
      <w:r>
        <w:rPr>
          <w:rFonts w:hint="eastAsia" w:ascii="黑体" w:eastAsia="黑体"/>
          <w:bCs/>
          <w:color w:val="auto"/>
          <w:sz w:val="28"/>
          <w:highlight w:val="none"/>
          <w:lang w:eastAsia="zh-CN"/>
        </w:rPr>
        <w:t>七、</w:t>
      </w:r>
      <w:r>
        <w:rPr>
          <w:rFonts w:ascii="黑体" w:eastAsia="黑体"/>
          <w:bCs/>
          <w:color w:val="auto"/>
          <w:sz w:val="28"/>
          <w:highlight w:val="none"/>
        </w:rPr>
        <w:t>项目实施方案（格式自拟）</w:t>
      </w:r>
    </w:p>
    <w:p>
      <w:pPr>
        <w:jc w:val="left"/>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注：结合</w:t>
      </w:r>
      <w:r>
        <w:rPr>
          <w:rFonts w:hint="eastAsia" w:asciiTheme="minorEastAsia" w:hAnsiTheme="minorEastAsia" w:eastAsiaTheme="minorEastAsia" w:cstheme="minorEastAsia"/>
          <w:color w:val="auto"/>
          <w:kern w:val="0"/>
          <w:sz w:val="24"/>
          <w:highlight w:val="none"/>
          <w:shd w:val="clear" w:color="auto" w:fill="FFFFFF"/>
        </w:rPr>
        <w:t>项目</w:t>
      </w:r>
      <w:r>
        <w:rPr>
          <w:rFonts w:asciiTheme="minorEastAsia" w:hAnsiTheme="minorEastAsia" w:eastAsiaTheme="minorEastAsia" w:cstheme="minorEastAsia"/>
          <w:color w:val="auto"/>
          <w:kern w:val="0"/>
          <w:sz w:val="24"/>
          <w:highlight w:val="none"/>
          <w:shd w:val="clear" w:color="auto" w:fill="FFFFFF"/>
        </w:rPr>
        <w:t>的特点，能够有针对性的提出切实可行的项目实施方案</w:t>
      </w:r>
      <w:r>
        <w:rPr>
          <w:rFonts w:hint="eastAsia" w:asciiTheme="minorEastAsia" w:hAnsiTheme="minorEastAsia" w:eastAsiaTheme="minorEastAsia" w:cstheme="minorEastAsia"/>
          <w:color w:val="auto"/>
          <w:kern w:val="0"/>
          <w:sz w:val="24"/>
          <w:highlight w:val="none"/>
          <w:shd w:val="clear" w:color="auto" w:fill="FFFFFF"/>
        </w:rPr>
        <w:t>。</w:t>
      </w:r>
    </w:p>
    <w:p>
      <w:pPr>
        <w:spacing w:line="360" w:lineRule="auto"/>
        <w:ind w:firstLine="560" w:firstLineChars="200"/>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pStyle w:val="2"/>
        <w:rPr>
          <w:rFonts w:hint="eastAsia"/>
          <w:color w:val="auto"/>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单位名称：（公章）     </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法定代表人或委托代理人：（签字或盖章）                 </w:t>
      </w: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 </w:t>
      </w: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p>
    <w:p>
      <w:pPr>
        <w:spacing w:before="156" w:line="700" w:lineRule="exact"/>
        <w:jc w:val="center"/>
        <w:rPr>
          <w:rFonts w:ascii="黑体" w:eastAsia="黑体"/>
          <w:bCs/>
          <w:color w:val="auto"/>
          <w:sz w:val="28"/>
          <w:highlight w:val="none"/>
        </w:rPr>
      </w:pPr>
      <w:r>
        <w:rPr>
          <w:rFonts w:hint="eastAsia" w:ascii="黑体" w:eastAsia="黑体"/>
          <w:bCs/>
          <w:color w:val="auto"/>
          <w:sz w:val="28"/>
          <w:highlight w:val="none"/>
          <w:lang w:eastAsia="zh-CN"/>
        </w:rPr>
        <w:t>八、</w:t>
      </w:r>
      <w:r>
        <w:rPr>
          <w:rFonts w:ascii="黑体" w:eastAsia="黑体"/>
          <w:bCs/>
          <w:color w:val="auto"/>
          <w:sz w:val="28"/>
          <w:highlight w:val="none"/>
        </w:rPr>
        <w:t>服务承诺及质量保证措施（格式自拟）</w:t>
      </w:r>
    </w:p>
    <w:p>
      <w:pPr>
        <w:jc w:val="center"/>
        <w:rPr>
          <w:rFonts w:ascii="仿宋" w:hAnsi="仿宋" w:eastAsia="仿宋"/>
          <w:color w:val="auto"/>
          <w:sz w:val="28"/>
          <w:highlight w:val="none"/>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asciiTheme="minorEastAsia" w:hAnsiTheme="minorEastAsia" w:eastAsiaTheme="minorEastAsia" w:cstheme="minorEastAsia"/>
          <w:color w:val="auto"/>
          <w:kern w:val="0"/>
          <w:sz w:val="24"/>
          <w:highlight w:val="none"/>
          <w:shd w:val="clear" w:color="auto" w:fill="FFFFFF"/>
        </w:rPr>
        <w:t>注：投标</w:t>
      </w:r>
      <w:r>
        <w:rPr>
          <w:rFonts w:hint="eastAsia" w:asciiTheme="minorEastAsia" w:hAnsiTheme="minorEastAsia" w:eastAsiaTheme="minorEastAsia" w:cstheme="minorEastAsia"/>
          <w:color w:val="auto"/>
          <w:kern w:val="0"/>
          <w:sz w:val="24"/>
          <w:highlight w:val="none"/>
          <w:shd w:val="clear" w:color="auto" w:fill="FFFFFF"/>
        </w:rPr>
        <w:t>人</w:t>
      </w:r>
      <w:r>
        <w:rPr>
          <w:rFonts w:asciiTheme="minorEastAsia" w:hAnsiTheme="minorEastAsia" w:eastAsiaTheme="minorEastAsia" w:cstheme="minorEastAsia"/>
          <w:color w:val="auto"/>
          <w:kern w:val="0"/>
          <w:sz w:val="24"/>
          <w:highlight w:val="none"/>
          <w:shd w:val="clear" w:color="auto" w:fill="FFFFFF"/>
        </w:rPr>
        <w:t>根据所投服务项目的情况，说明如何保证成果质量，如何提供服务、相关服务承诺及保证措施。</w:t>
      </w:r>
    </w:p>
    <w:p>
      <w:pPr>
        <w:spacing w:line="360" w:lineRule="auto"/>
        <w:rPr>
          <w:rFonts w:hint="eastAsia" w:ascii="仿宋_GB2312" w:hAnsi="宋体" w:eastAsia="仿宋_GB2312" w:cs="Lucida Sans Unicode"/>
          <w:color w:val="auto"/>
          <w:sz w:val="24"/>
          <w:highlight w:val="none"/>
        </w:rPr>
      </w:pPr>
    </w:p>
    <w:p>
      <w:pPr>
        <w:pStyle w:val="36"/>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color w:val="auto"/>
          <w:kern w:val="2"/>
          <w:sz w:val="30"/>
          <w:szCs w:val="30"/>
          <w:highlight w:val="none"/>
          <w:lang w:eastAsia="zh-CN"/>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lang w:eastAsia="zh-CN"/>
        </w:rPr>
        <w:t>九</w:t>
      </w:r>
      <w:r>
        <w:rPr>
          <w:rFonts w:hint="eastAsia" w:asciiTheme="minorEastAsia" w:hAnsiTheme="minorEastAsia" w:eastAsiaTheme="minorEastAsia" w:cstheme="minorEastAsia"/>
          <w:b/>
          <w:color w:val="auto"/>
          <w:kern w:val="2"/>
          <w:sz w:val="30"/>
          <w:szCs w:val="30"/>
          <w:highlight w:val="none"/>
        </w:rPr>
        <w:t>、中小企业声明函（如有）</w:t>
      </w:r>
      <w:bookmarkEnd w:id="250"/>
      <w:bookmarkEnd w:id="251"/>
    </w:p>
    <w:p>
      <w:pPr>
        <w:pStyle w:val="36"/>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3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252" w:name="_Toc20881"/>
      <w:bookmarkStart w:id="253" w:name="_Toc14292"/>
      <w:bookmarkStart w:id="254" w:name="_Toc30170"/>
      <w:r>
        <w:rPr>
          <w:rFonts w:hint="eastAsia" w:asciiTheme="minorEastAsia" w:hAnsiTheme="minorEastAsia" w:eastAsiaTheme="minorEastAsia" w:cstheme="minorEastAsia"/>
          <w:b/>
          <w:color w:val="auto"/>
          <w:kern w:val="2"/>
          <w:sz w:val="30"/>
          <w:szCs w:val="30"/>
          <w:highlight w:val="none"/>
        </w:rPr>
        <w:t>十、残疾人福利性单位声明函（如有）</w:t>
      </w:r>
      <w:bookmarkEnd w:id="252"/>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49"/>
    <w:bookmarkEnd w:id="253"/>
    <w:bookmarkEnd w:id="254"/>
    <w:p>
      <w:pPr>
        <w:rPr>
          <w:rFonts w:ascii="Times New Roman" w:hAnsi="Times New Roman" w:eastAsia="仿宋"/>
          <w:color w:val="auto"/>
          <w:sz w:val="32"/>
          <w:szCs w:val="32"/>
          <w:highlight w:val="none"/>
          <w:shd w:val="clear" w:color="FFFFFF" w:fill="D9D9D9"/>
        </w:rPr>
      </w:pPr>
    </w:p>
    <w:p>
      <w:pPr>
        <w:pStyle w:val="2"/>
        <w:rPr>
          <w:color w:val="auto"/>
          <w:highlight w:val="none"/>
          <w:shd w:val="clear" w:color="FFFFFF" w:fill="D9D9D9"/>
        </w:rPr>
      </w:pPr>
    </w:p>
    <w:p>
      <w:pPr>
        <w:pStyle w:val="36"/>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36"/>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255" w:name="_Toc16608"/>
      <w:r>
        <w:rPr>
          <w:rFonts w:hint="eastAsia" w:asciiTheme="minorEastAsia" w:hAnsiTheme="minorEastAsia" w:eastAsiaTheme="minorEastAsia" w:cstheme="minorEastAsia"/>
          <w:b/>
          <w:color w:val="auto"/>
          <w:kern w:val="2"/>
          <w:sz w:val="30"/>
          <w:szCs w:val="30"/>
          <w:highlight w:val="none"/>
        </w:rPr>
        <w:t>十一、招标文件要求的或供应商认为须提交的其他材料</w:t>
      </w:r>
      <w:bookmarkEnd w:id="255"/>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widowControl/>
        <w:spacing w:line="580" w:lineRule="atLeast"/>
        <w:jc w:val="cente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121"/>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各供应商：</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欢迎贵公司参与河南省政府采购活动！</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color w:val="auto"/>
          <w:szCs w:val="21"/>
          <w:highlight w:val="none"/>
        </w:rPr>
      </w:pPr>
      <w:r>
        <w:rPr>
          <w:rFonts w:hint="eastAsia" w:ascii="宋体" w:hAnsi="宋体" w:cs="宋体"/>
          <w:bCs/>
          <w:color w:val="auto"/>
          <w:szCs w:val="21"/>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41"/>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876"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87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325"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footerReference r:id="rId9"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modern"/>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E711D506"/>
    <w:multiLevelType w:val="singleLevel"/>
    <w:tmpl w:val="E711D506"/>
    <w:lvl w:ilvl="0" w:tentative="0">
      <w:start w:val="3"/>
      <w:numFmt w:val="chineseCounting"/>
      <w:suff w:val="space"/>
      <w:lvlText w:val="第%1条"/>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111"/>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C709F9D"/>
    <w:multiLevelType w:val="singleLevel"/>
    <w:tmpl w:val="1C709F9D"/>
    <w:lvl w:ilvl="0" w:tentative="0">
      <w:start w:val="2"/>
      <w:numFmt w:val="decimal"/>
      <w:suff w:val="nothing"/>
      <w:lvlText w:val="%1、"/>
      <w:lvlJc w:val="left"/>
      <w:pPr>
        <w:ind w:left="150"/>
      </w:pPr>
    </w:lvl>
  </w:abstractNum>
  <w:abstractNum w:abstractNumId="5">
    <w:nsid w:val="59CC0778"/>
    <w:multiLevelType w:val="singleLevel"/>
    <w:tmpl w:val="59CC0778"/>
    <w:lvl w:ilvl="0" w:tentative="0">
      <w:start w:val="1"/>
      <w:numFmt w:val="chineseCounting"/>
      <w:suff w:val="nothing"/>
      <w:lvlText w:val="%1、"/>
      <w:lvlJc w:val="left"/>
      <w:pPr>
        <w:ind w:left="630"/>
      </w:pPr>
      <w:rPr>
        <w:rFonts w:hint="eastAsia"/>
      </w:rPr>
    </w:lvl>
  </w:abstractNum>
  <w:abstractNum w:abstractNumId="6">
    <w:nsid w:val="5A693C2F"/>
    <w:multiLevelType w:val="singleLevel"/>
    <w:tmpl w:val="5A693C2F"/>
    <w:lvl w:ilvl="0" w:tentative="0">
      <w:start w:val="3"/>
      <w:numFmt w:val="chineseCounting"/>
      <w:suff w:val="space"/>
      <w:lvlText w:val="第%1章"/>
      <w:lvlJc w:val="left"/>
    </w:lvl>
  </w:abstractNum>
  <w:abstractNum w:abstractNumId="7">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56"/>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60D69019"/>
    <w:multiLevelType w:val="singleLevel"/>
    <w:tmpl w:val="60D69019"/>
    <w:lvl w:ilvl="0" w:tentative="0">
      <w:start w:val="1"/>
      <w:numFmt w:val="decimal"/>
      <w:suff w:val="nothing"/>
      <w:lvlText w:val="%1、"/>
      <w:lvlJc w:val="left"/>
    </w:lvl>
  </w:abstractNum>
  <w:abstractNum w:abstractNumId="9">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3"/>
  </w:num>
  <w:num w:numId="3">
    <w:abstractNumId w:val="9"/>
  </w:num>
  <w:num w:numId="4">
    <w:abstractNumId w:val="0"/>
  </w:num>
  <w:num w:numId="5">
    <w:abstractNumId w:val="2"/>
  </w:num>
  <w:num w:numId="6">
    <w:abstractNumId w:val="6"/>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32266"/>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1DB6127"/>
    <w:rsid w:val="02AE1565"/>
    <w:rsid w:val="02EE394E"/>
    <w:rsid w:val="03210E2B"/>
    <w:rsid w:val="04445A6F"/>
    <w:rsid w:val="047143D2"/>
    <w:rsid w:val="04B50786"/>
    <w:rsid w:val="0576381C"/>
    <w:rsid w:val="058218A3"/>
    <w:rsid w:val="05D003A1"/>
    <w:rsid w:val="05F652DD"/>
    <w:rsid w:val="06334F8C"/>
    <w:rsid w:val="069065B0"/>
    <w:rsid w:val="06ED1FEA"/>
    <w:rsid w:val="081E0A3F"/>
    <w:rsid w:val="089112ED"/>
    <w:rsid w:val="08A21808"/>
    <w:rsid w:val="08D35DAA"/>
    <w:rsid w:val="09652EA6"/>
    <w:rsid w:val="09BC72E8"/>
    <w:rsid w:val="0A5E12A9"/>
    <w:rsid w:val="0AC1665A"/>
    <w:rsid w:val="0ADD2DCB"/>
    <w:rsid w:val="0AE978F9"/>
    <w:rsid w:val="0B04224A"/>
    <w:rsid w:val="0B0470E4"/>
    <w:rsid w:val="0B0A2060"/>
    <w:rsid w:val="0B2951FF"/>
    <w:rsid w:val="0B4170A8"/>
    <w:rsid w:val="0B4E0653"/>
    <w:rsid w:val="0B73403D"/>
    <w:rsid w:val="0C8F4EFE"/>
    <w:rsid w:val="0CD86A66"/>
    <w:rsid w:val="0CFE1D49"/>
    <w:rsid w:val="0D7F4A6C"/>
    <w:rsid w:val="0D9C0264"/>
    <w:rsid w:val="0DB43078"/>
    <w:rsid w:val="0E0C2192"/>
    <w:rsid w:val="0F0D7248"/>
    <w:rsid w:val="0F11475A"/>
    <w:rsid w:val="0F1B3720"/>
    <w:rsid w:val="0F5B7462"/>
    <w:rsid w:val="104F7EDF"/>
    <w:rsid w:val="10953E1F"/>
    <w:rsid w:val="114E7AAC"/>
    <w:rsid w:val="11562B0A"/>
    <w:rsid w:val="11A42091"/>
    <w:rsid w:val="12763E2B"/>
    <w:rsid w:val="12816528"/>
    <w:rsid w:val="12C42210"/>
    <w:rsid w:val="13092A1A"/>
    <w:rsid w:val="133E2C29"/>
    <w:rsid w:val="135A2F84"/>
    <w:rsid w:val="13A93528"/>
    <w:rsid w:val="13C77543"/>
    <w:rsid w:val="14290222"/>
    <w:rsid w:val="15283D98"/>
    <w:rsid w:val="15463B6C"/>
    <w:rsid w:val="15E3035A"/>
    <w:rsid w:val="16937591"/>
    <w:rsid w:val="16B03348"/>
    <w:rsid w:val="16EF159D"/>
    <w:rsid w:val="172209D0"/>
    <w:rsid w:val="1820744D"/>
    <w:rsid w:val="18B93B6E"/>
    <w:rsid w:val="19631FB6"/>
    <w:rsid w:val="197C682C"/>
    <w:rsid w:val="1A006299"/>
    <w:rsid w:val="1A1F7191"/>
    <w:rsid w:val="1A2510C9"/>
    <w:rsid w:val="1ADE5238"/>
    <w:rsid w:val="1B4562C1"/>
    <w:rsid w:val="1B700604"/>
    <w:rsid w:val="1B7D6D4E"/>
    <w:rsid w:val="1C5279A3"/>
    <w:rsid w:val="1C562EDE"/>
    <w:rsid w:val="1CF95EE9"/>
    <w:rsid w:val="1D3F4098"/>
    <w:rsid w:val="1E2F2D92"/>
    <w:rsid w:val="1EF94C8B"/>
    <w:rsid w:val="1F1F71FB"/>
    <w:rsid w:val="1F3A1336"/>
    <w:rsid w:val="1F523D26"/>
    <w:rsid w:val="1F847E78"/>
    <w:rsid w:val="20AD2DAB"/>
    <w:rsid w:val="20AF1CC3"/>
    <w:rsid w:val="21FF6E7B"/>
    <w:rsid w:val="221F24E7"/>
    <w:rsid w:val="225E003A"/>
    <w:rsid w:val="22D64072"/>
    <w:rsid w:val="23EC33B3"/>
    <w:rsid w:val="245F009A"/>
    <w:rsid w:val="24680923"/>
    <w:rsid w:val="24B20B57"/>
    <w:rsid w:val="25062FBD"/>
    <w:rsid w:val="253C7BA7"/>
    <w:rsid w:val="25F614A6"/>
    <w:rsid w:val="268C5940"/>
    <w:rsid w:val="26AB105A"/>
    <w:rsid w:val="271E36CB"/>
    <w:rsid w:val="27D402D6"/>
    <w:rsid w:val="29026BDF"/>
    <w:rsid w:val="291C5FBB"/>
    <w:rsid w:val="292E546E"/>
    <w:rsid w:val="29496A52"/>
    <w:rsid w:val="2A9071FF"/>
    <w:rsid w:val="2AA24B72"/>
    <w:rsid w:val="2AC17834"/>
    <w:rsid w:val="2B092000"/>
    <w:rsid w:val="2B0D5125"/>
    <w:rsid w:val="2B2A1401"/>
    <w:rsid w:val="2B9920E3"/>
    <w:rsid w:val="2BE5451B"/>
    <w:rsid w:val="2D0D1776"/>
    <w:rsid w:val="2D114C8E"/>
    <w:rsid w:val="2D152317"/>
    <w:rsid w:val="2D65425F"/>
    <w:rsid w:val="2D8C768E"/>
    <w:rsid w:val="2E9056A7"/>
    <w:rsid w:val="2EC20184"/>
    <w:rsid w:val="2EE50335"/>
    <w:rsid w:val="2F550E93"/>
    <w:rsid w:val="2F7C51A0"/>
    <w:rsid w:val="2FE8185A"/>
    <w:rsid w:val="30387C7D"/>
    <w:rsid w:val="31111609"/>
    <w:rsid w:val="313F54DB"/>
    <w:rsid w:val="314431C2"/>
    <w:rsid w:val="317F2F66"/>
    <w:rsid w:val="31A250D5"/>
    <w:rsid w:val="3201312E"/>
    <w:rsid w:val="32737303"/>
    <w:rsid w:val="32C24E2D"/>
    <w:rsid w:val="338D077F"/>
    <w:rsid w:val="33EB7154"/>
    <w:rsid w:val="33F15DD4"/>
    <w:rsid w:val="348D1324"/>
    <w:rsid w:val="34AA319E"/>
    <w:rsid w:val="34B83298"/>
    <w:rsid w:val="34BD2B9F"/>
    <w:rsid w:val="353D694F"/>
    <w:rsid w:val="361F2A08"/>
    <w:rsid w:val="36374EF3"/>
    <w:rsid w:val="36972C30"/>
    <w:rsid w:val="377D2C70"/>
    <w:rsid w:val="37A623AB"/>
    <w:rsid w:val="37A7758A"/>
    <w:rsid w:val="37FD624C"/>
    <w:rsid w:val="3837667B"/>
    <w:rsid w:val="38422D98"/>
    <w:rsid w:val="38495F7C"/>
    <w:rsid w:val="38AD2459"/>
    <w:rsid w:val="38C459D3"/>
    <w:rsid w:val="39DC423E"/>
    <w:rsid w:val="39E32A71"/>
    <w:rsid w:val="3AB46B78"/>
    <w:rsid w:val="3B2E25BB"/>
    <w:rsid w:val="3BDE757E"/>
    <w:rsid w:val="3BE67BDB"/>
    <w:rsid w:val="3C312620"/>
    <w:rsid w:val="3C425AC0"/>
    <w:rsid w:val="3C521F1F"/>
    <w:rsid w:val="3C972765"/>
    <w:rsid w:val="3D3D120C"/>
    <w:rsid w:val="3D693636"/>
    <w:rsid w:val="3D9028E8"/>
    <w:rsid w:val="3DA90777"/>
    <w:rsid w:val="3DE45D0C"/>
    <w:rsid w:val="3DF020B6"/>
    <w:rsid w:val="3E44484D"/>
    <w:rsid w:val="3E4A5E23"/>
    <w:rsid w:val="3E7C2BFA"/>
    <w:rsid w:val="3F057D0A"/>
    <w:rsid w:val="3F266A69"/>
    <w:rsid w:val="3F80118C"/>
    <w:rsid w:val="3F830615"/>
    <w:rsid w:val="3FCD30FD"/>
    <w:rsid w:val="3FE204BF"/>
    <w:rsid w:val="40490F85"/>
    <w:rsid w:val="40C56269"/>
    <w:rsid w:val="40CD34AD"/>
    <w:rsid w:val="41897C56"/>
    <w:rsid w:val="419C3B9D"/>
    <w:rsid w:val="41A34B74"/>
    <w:rsid w:val="41C302E1"/>
    <w:rsid w:val="42BA1E87"/>
    <w:rsid w:val="42C70355"/>
    <w:rsid w:val="43317379"/>
    <w:rsid w:val="43443E7F"/>
    <w:rsid w:val="44A936AB"/>
    <w:rsid w:val="44DC2CEC"/>
    <w:rsid w:val="44DC435C"/>
    <w:rsid w:val="44FC3702"/>
    <w:rsid w:val="454E447C"/>
    <w:rsid w:val="45FA2757"/>
    <w:rsid w:val="461F68EC"/>
    <w:rsid w:val="46357A2A"/>
    <w:rsid w:val="46401681"/>
    <w:rsid w:val="470962D2"/>
    <w:rsid w:val="4777736C"/>
    <w:rsid w:val="48103D33"/>
    <w:rsid w:val="48165964"/>
    <w:rsid w:val="48227F5A"/>
    <w:rsid w:val="48400945"/>
    <w:rsid w:val="48AE4A33"/>
    <w:rsid w:val="498673D2"/>
    <w:rsid w:val="49C90449"/>
    <w:rsid w:val="4A943088"/>
    <w:rsid w:val="4ABD6AE0"/>
    <w:rsid w:val="4B096F1D"/>
    <w:rsid w:val="4B3A5395"/>
    <w:rsid w:val="4BB72008"/>
    <w:rsid w:val="4BDA1D7E"/>
    <w:rsid w:val="4BF3412D"/>
    <w:rsid w:val="4C39729F"/>
    <w:rsid w:val="4C4923B9"/>
    <w:rsid w:val="4CD84652"/>
    <w:rsid w:val="4D9A55F4"/>
    <w:rsid w:val="4DE8259F"/>
    <w:rsid w:val="4EEC23A6"/>
    <w:rsid w:val="50215CD4"/>
    <w:rsid w:val="505607A6"/>
    <w:rsid w:val="50982AAA"/>
    <w:rsid w:val="50A102AD"/>
    <w:rsid w:val="50F72D1E"/>
    <w:rsid w:val="50F814D6"/>
    <w:rsid w:val="511A77AA"/>
    <w:rsid w:val="5170331B"/>
    <w:rsid w:val="526E16F1"/>
    <w:rsid w:val="52CD2504"/>
    <w:rsid w:val="532B5264"/>
    <w:rsid w:val="535D34C4"/>
    <w:rsid w:val="53791202"/>
    <w:rsid w:val="53802A3B"/>
    <w:rsid w:val="53A73B65"/>
    <w:rsid w:val="53B05F34"/>
    <w:rsid w:val="546A6089"/>
    <w:rsid w:val="54720DB2"/>
    <w:rsid w:val="551B6C77"/>
    <w:rsid w:val="55C55D4B"/>
    <w:rsid w:val="56483449"/>
    <w:rsid w:val="564F0B7D"/>
    <w:rsid w:val="56694C24"/>
    <w:rsid w:val="567C55B4"/>
    <w:rsid w:val="57215150"/>
    <w:rsid w:val="57F56734"/>
    <w:rsid w:val="57FE699C"/>
    <w:rsid w:val="583E24A9"/>
    <w:rsid w:val="58842869"/>
    <w:rsid w:val="59391C7F"/>
    <w:rsid w:val="59830E9E"/>
    <w:rsid w:val="59BA5D29"/>
    <w:rsid w:val="5AD6734C"/>
    <w:rsid w:val="5B003531"/>
    <w:rsid w:val="5B294FC7"/>
    <w:rsid w:val="5B8B46C1"/>
    <w:rsid w:val="5BA83F39"/>
    <w:rsid w:val="5C6C0FCA"/>
    <w:rsid w:val="5CFF1E3E"/>
    <w:rsid w:val="5E25434C"/>
    <w:rsid w:val="5E7E0E34"/>
    <w:rsid w:val="5E8C7702"/>
    <w:rsid w:val="5F794779"/>
    <w:rsid w:val="60327E35"/>
    <w:rsid w:val="606C1599"/>
    <w:rsid w:val="614E0E3D"/>
    <w:rsid w:val="615333D3"/>
    <w:rsid w:val="61772E14"/>
    <w:rsid w:val="61883013"/>
    <w:rsid w:val="61E11D31"/>
    <w:rsid w:val="61F53810"/>
    <w:rsid w:val="62401092"/>
    <w:rsid w:val="62B362AA"/>
    <w:rsid w:val="631F289D"/>
    <w:rsid w:val="63A63B3F"/>
    <w:rsid w:val="63A91093"/>
    <w:rsid w:val="64D94D23"/>
    <w:rsid w:val="65907E7D"/>
    <w:rsid w:val="65A036E9"/>
    <w:rsid w:val="65F06C9F"/>
    <w:rsid w:val="6699467E"/>
    <w:rsid w:val="66CA4FB7"/>
    <w:rsid w:val="66D90EB9"/>
    <w:rsid w:val="66E622F4"/>
    <w:rsid w:val="674457E3"/>
    <w:rsid w:val="6798197B"/>
    <w:rsid w:val="68310FA5"/>
    <w:rsid w:val="69844254"/>
    <w:rsid w:val="69BD2D3B"/>
    <w:rsid w:val="69F442AF"/>
    <w:rsid w:val="6A0E30DC"/>
    <w:rsid w:val="6A424CF1"/>
    <w:rsid w:val="6AB87832"/>
    <w:rsid w:val="6AD4162A"/>
    <w:rsid w:val="6ADC5089"/>
    <w:rsid w:val="6B142F59"/>
    <w:rsid w:val="6B3B6738"/>
    <w:rsid w:val="6B7A07A7"/>
    <w:rsid w:val="6BA53A5A"/>
    <w:rsid w:val="6C014247"/>
    <w:rsid w:val="6C957CB4"/>
    <w:rsid w:val="6CA7784E"/>
    <w:rsid w:val="6CF62E72"/>
    <w:rsid w:val="6D0324C0"/>
    <w:rsid w:val="6D556A52"/>
    <w:rsid w:val="6D6444CB"/>
    <w:rsid w:val="6F5E2B52"/>
    <w:rsid w:val="70420AF8"/>
    <w:rsid w:val="70455963"/>
    <w:rsid w:val="71153B74"/>
    <w:rsid w:val="712216DB"/>
    <w:rsid w:val="7142073F"/>
    <w:rsid w:val="715E1779"/>
    <w:rsid w:val="72142713"/>
    <w:rsid w:val="726D5BAE"/>
    <w:rsid w:val="730200F1"/>
    <w:rsid w:val="731946AD"/>
    <w:rsid w:val="739C06B8"/>
    <w:rsid w:val="75294A12"/>
    <w:rsid w:val="753E68E9"/>
    <w:rsid w:val="75820774"/>
    <w:rsid w:val="75DD55C7"/>
    <w:rsid w:val="76FB60A2"/>
    <w:rsid w:val="7770408A"/>
    <w:rsid w:val="78397B5B"/>
    <w:rsid w:val="78C86299"/>
    <w:rsid w:val="78CF314E"/>
    <w:rsid w:val="78FB36EA"/>
    <w:rsid w:val="7BA24414"/>
    <w:rsid w:val="7BBB3515"/>
    <w:rsid w:val="7BC47911"/>
    <w:rsid w:val="7BDF7259"/>
    <w:rsid w:val="7BFA5CED"/>
    <w:rsid w:val="7C077878"/>
    <w:rsid w:val="7C0938E7"/>
    <w:rsid w:val="7C991592"/>
    <w:rsid w:val="7CE3278B"/>
    <w:rsid w:val="7CF45685"/>
    <w:rsid w:val="7CF87660"/>
    <w:rsid w:val="7D4D3289"/>
    <w:rsid w:val="7DDA586C"/>
    <w:rsid w:val="7E16619A"/>
    <w:rsid w:val="7E282897"/>
    <w:rsid w:val="7EFD6C48"/>
    <w:rsid w:val="7FDF4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95"/>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4">
    <w:name w:val="heading 2"/>
    <w:basedOn w:val="1"/>
    <w:next w:val="1"/>
    <w:link w:val="100"/>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01"/>
    <w:qFormat/>
    <w:uiPriority w:val="0"/>
    <w:pPr>
      <w:keepNext/>
      <w:keepLines/>
      <w:spacing w:line="360" w:lineRule="auto"/>
      <w:outlineLvl w:val="2"/>
    </w:pPr>
    <w:rPr>
      <w:rFonts w:ascii="Times New Roman" w:hAnsi="Times New Roman"/>
      <w:b/>
      <w:sz w:val="32"/>
      <w:szCs w:val="20"/>
    </w:rPr>
  </w:style>
  <w:style w:type="paragraph" w:styleId="2">
    <w:name w:val="heading 4"/>
    <w:basedOn w:val="1"/>
    <w:next w:val="1"/>
    <w:link w:val="87"/>
    <w:qFormat/>
    <w:uiPriority w:val="0"/>
    <w:pPr>
      <w:keepNext/>
      <w:keepLines/>
      <w:spacing w:before="280" w:after="290" w:line="376" w:lineRule="auto"/>
      <w:outlineLvl w:val="3"/>
    </w:pPr>
    <w:rPr>
      <w:rFonts w:ascii="Times New Roman" w:hAnsi="Times New Roman"/>
      <w:sz w:val="32"/>
      <w:szCs w:val="20"/>
    </w:rPr>
  </w:style>
  <w:style w:type="paragraph" w:styleId="6">
    <w:name w:val="heading 5"/>
    <w:basedOn w:val="1"/>
    <w:next w:val="1"/>
    <w:link w:val="66"/>
    <w:qFormat/>
    <w:uiPriority w:val="0"/>
    <w:pPr>
      <w:keepNext/>
      <w:keepLines/>
      <w:spacing w:before="280" w:after="290" w:line="372" w:lineRule="auto"/>
      <w:outlineLvl w:val="4"/>
    </w:pPr>
    <w:rPr>
      <w:rFonts w:ascii="Times New Roman" w:hAnsi="Times New Roman"/>
      <w:b/>
      <w:sz w:val="28"/>
      <w:szCs w:val="28"/>
    </w:rPr>
  </w:style>
  <w:style w:type="paragraph" w:styleId="7">
    <w:name w:val="heading 6"/>
    <w:basedOn w:val="1"/>
    <w:next w:val="1"/>
    <w:link w:val="90"/>
    <w:qFormat/>
    <w:uiPriority w:val="0"/>
    <w:pPr>
      <w:keepNext/>
      <w:keepLines/>
      <w:spacing w:before="240" w:after="64" w:line="317" w:lineRule="auto"/>
      <w:outlineLvl w:val="5"/>
    </w:pPr>
    <w:rPr>
      <w:rFonts w:hint="eastAsia" w:ascii="宋体" w:hAnsi="宋体"/>
      <w:b/>
      <w:kern w:val="0"/>
      <w:sz w:val="24"/>
      <w:lang w:eastAsia="en-US"/>
    </w:rPr>
  </w:style>
  <w:style w:type="paragraph" w:styleId="8">
    <w:name w:val="heading 7"/>
    <w:basedOn w:val="1"/>
    <w:next w:val="1"/>
    <w:link w:val="70"/>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2520" w:leftChars="1200"/>
    </w:pPr>
    <w:rPr>
      <w:rFonts w:ascii="Times New Roman" w:hAnsi="Times New Roman"/>
    </w:rPr>
  </w:style>
  <w:style w:type="paragraph" w:styleId="10">
    <w:name w:val="Normal Indent"/>
    <w:basedOn w:val="1"/>
    <w:unhideWhenUsed/>
    <w:qFormat/>
    <w:uiPriority w:val="99"/>
    <w:pPr>
      <w:ind w:firstLine="420"/>
    </w:pPr>
    <w:rPr>
      <w:rFonts w:ascii="Calibri" w:hAnsi="Calibri"/>
      <w:szCs w:val="20"/>
    </w:rPr>
  </w:style>
  <w:style w:type="paragraph" w:styleId="11">
    <w:name w:val="Document Map"/>
    <w:basedOn w:val="1"/>
    <w:link w:val="82"/>
    <w:unhideWhenUsed/>
    <w:qFormat/>
    <w:uiPriority w:val="0"/>
    <w:pPr>
      <w:shd w:val="clear" w:color="auto" w:fill="000080"/>
    </w:pPr>
    <w:rPr>
      <w:rFonts w:ascii="Times New Roman" w:hAnsi="Times New Roman"/>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link w:val="81"/>
    <w:unhideWhenUsed/>
    <w:qFormat/>
    <w:uiPriority w:val="0"/>
    <w:pPr>
      <w:jc w:val="left"/>
    </w:pPr>
    <w:rPr>
      <w:rFonts w:ascii="Times New Roman" w:hAnsi="Times New Roman"/>
    </w:rPr>
  </w:style>
  <w:style w:type="paragraph" w:styleId="14">
    <w:name w:val="Body Text 3"/>
    <w:basedOn w:val="1"/>
    <w:link w:val="60"/>
    <w:unhideWhenUsed/>
    <w:qFormat/>
    <w:uiPriority w:val="0"/>
    <w:pPr>
      <w:spacing w:after="120"/>
    </w:pPr>
    <w:rPr>
      <w:rFonts w:ascii="Times New Roman" w:hAnsi="Times New Roman"/>
      <w:sz w:val="16"/>
      <w:szCs w:val="16"/>
    </w:rPr>
  </w:style>
  <w:style w:type="paragraph" w:styleId="15">
    <w:name w:val="Body Text"/>
    <w:basedOn w:val="1"/>
    <w:next w:val="16"/>
    <w:link w:val="69"/>
    <w:qFormat/>
    <w:uiPriority w:val="0"/>
    <w:rPr>
      <w:rFonts w:ascii="Times New Roman" w:hAnsi="Times New Roman"/>
    </w:rPr>
  </w:style>
  <w:style w:type="paragraph" w:styleId="16">
    <w:name w:val="Body Text 2"/>
    <w:basedOn w:val="1"/>
    <w:next w:val="15"/>
    <w:link w:val="85"/>
    <w:unhideWhenUsed/>
    <w:qFormat/>
    <w:uiPriority w:val="0"/>
    <w:pPr>
      <w:spacing w:after="120" w:line="480" w:lineRule="auto"/>
    </w:pPr>
    <w:rPr>
      <w:rFonts w:ascii="Times New Roman" w:hAnsi="Times New Roman"/>
    </w:rPr>
  </w:style>
  <w:style w:type="paragraph" w:styleId="17">
    <w:name w:val="Body Text Indent"/>
    <w:basedOn w:val="1"/>
    <w:next w:val="18"/>
    <w:link w:val="104"/>
    <w:qFormat/>
    <w:uiPriority w:val="0"/>
    <w:pPr>
      <w:ind w:firstLine="560" w:firstLineChars="200"/>
    </w:pPr>
    <w:rPr>
      <w:rFonts w:ascii="Times New Roman" w:hAnsi="Times New Roman"/>
    </w:rPr>
  </w:style>
  <w:style w:type="paragraph" w:customStyle="1" w:styleId="1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2"/>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5"/>
    <w:unhideWhenUsed/>
    <w:qFormat/>
    <w:uiPriority w:val="0"/>
    <w:pPr>
      <w:ind w:left="100" w:leftChars="2500"/>
    </w:pPr>
    <w:rPr>
      <w:rFonts w:ascii="Times New Roman" w:hAnsi="Times New Roman"/>
      <w:kern w:val="0"/>
      <w:sz w:val="28"/>
      <w:szCs w:val="20"/>
    </w:rPr>
  </w:style>
  <w:style w:type="paragraph" w:styleId="24">
    <w:name w:val="Body Text Indent 2"/>
    <w:basedOn w:val="1"/>
    <w:link w:val="84"/>
    <w:unhideWhenUsed/>
    <w:qFormat/>
    <w:uiPriority w:val="0"/>
    <w:pPr>
      <w:spacing w:after="120" w:line="480" w:lineRule="auto"/>
      <w:ind w:left="420" w:leftChars="200"/>
    </w:pPr>
    <w:rPr>
      <w:rFonts w:ascii="Times New Roman" w:hAnsi="Times New Roman"/>
    </w:rPr>
  </w:style>
  <w:style w:type="paragraph" w:styleId="25">
    <w:name w:val="Balloon Text"/>
    <w:basedOn w:val="1"/>
    <w:link w:val="92"/>
    <w:unhideWhenUsed/>
    <w:qFormat/>
    <w:uiPriority w:val="0"/>
    <w:rPr>
      <w:rFonts w:ascii="Times New Roman" w:hAnsi="Times New Roman"/>
      <w:sz w:val="18"/>
      <w:szCs w:val="18"/>
    </w:rPr>
  </w:style>
  <w:style w:type="paragraph" w:styleId="26">
    <w:name w:val="footer"/>
    <w:basedOn w:val="1"/>
    <w:link w:val="98"/>
    <w:qFormat/>
    <w:uiPriority w:val="0"/>
    <w:pPr>
      <w:tabs>
        <w:tab w:val="center" w:pos="4153"/>
        <w:tab w:val="right" w:pos="8306"/>
      </w:tabs>
      <w:snapToGrid w:val="0"/>
      <w:jc w:val="left"/>
    </w:pPr>
    <w:rPr>
      <w:rFonts w:ascii="Times New Roman" w:hAnsi="Times New Roman"/>
      <w:sz w:val="18"/>
      <w:szCs w:val="18"/>
    </w:rPr>
  </w:style>
  <w:style w:type="paragraph" w:styleId="27">
    <w:name w:val="envelope return"/>
    <w:basedOn w:val="1"/>
    <w:qFormat/>
    <w:uiPriority w:val="99"/>
    <w:pPr>
      <w:snapToGrid w:val="0"/>
    </w:pPr>
    <w:rPr>
      <w:rFonts w:ascii="Arial" w:hAnsi="Arial" w:cs="Arial"/>
    </w:rPr>
  </w:style>
  <w:style w:type="paragraph" w:styleId="28">
    <w:name w:val="header"/>
    <w:basedOn w:val="1"/>
    <w:link w:val="9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9">
    <w:name w:val="toc 1"/>
    <w:basedOn w:val="1"/>
    <w:next w:val="1"/>
    <w:qFormat/>
    <w:uiPriority w:val="0"/>
    <w:rPr>
      <w:rFonts w:ascii="Times New Roman" w:hAnsi="Times New Roman"/>
    </w:rPr>
  </w:style>
  <w:style w:type="paragraph" w:styleId="30">
    <w:name w:val="toc 4"/>
    <w:basedOn w:val="1"/>
    <w:next w:val="1"/>
    <w:qFormat/>
    <w:uiPriority w:val="0"/>
    <w:pPr>
      <w:ind w:left="1260" w:leftChars="600"/>
    </w:pPr>
    <w:rPr>
      <w:rFonts w:ascii="Times New Roman" w:hAnsi="Times New Roman"/>
    </w:rPr>
  </w:style>
  <w:style w:type="paragraph" w:styleId="31">
    <w:name w:val="toc 6"/>
    <w:basedOn w:val="1"/>
    <w:next w:val="1"/>
    <w:qFormat/>
    <w:uiPriority w:val="0"/>
    <w:pPr>
      <w:ind w:left="2100" w:leftChars="1000"/>
    </w:pPr>
    <w:rPr>
      <w:rFonts w:ascii="Times New Roman" w:hAnsi="Times New Roman"/>
    </w:rPr>
  </w:style>
  <w:style w:type="paragraph" w:styleId="32">
    <w:name w:val="Body Text Indent 3"/>
    <w:basedOn w:val="1"/>
    <w:link w:val="74"/>
    <w:qFormat/>
    <w:uiPriority w:val="0"/>
    <w:pPr>
      <w:ind w:firstLine="420" w:firstLineChars="200"/>
    </w:pPr>
    <w:rPr>
      <w:rFonts w:ascii="Times New Roman" w:hAnsi="Times New Roman"/>
      <w:sz w:val="16"/>
      <w:szCs w:val="16"/>
    </w:rPr>
  </w:style>
  <w:style w:type="paragraph" w:styleId="33">
    <w:name w:val="toc 2"/>
    <w:basedOn w:val="1"/>
    <w:next w:val="1"/>
    <w:qFormat/>
    <w:uiPriority w:val="0"/>
    <w:pPr>
      <w:ind w:left="420" w:leftChars="200"/>
    </w:pPr>
    <w:rPr>
      <w:rFonts w:ascii="Times New Roman" w:hAnsi="Times New Roman"/>
    </w:rPr>
  </w:style>
  <w:style w:type="paragraph" w:styleId="34">
    <w:name w:val="toc 9"/>
    <w:basedOn w:val="1"/>
    <w:next w:val="1"/>
    <w:qFormat/>
    <w:uiPriority w:val="0"/>
    <w:pPr>
      <w:ind w:left="3360" w:leftChars="1600"/>
    </w:pPr>
    <w:rPr>
      <w:rFonts w:ascii="Times New Roman" w:hAnsi="Times New Roman"/>
    </w:rPr>
  </w:style>
  <w:style w:type="paragraph" w:styleId="35">
    <w:name w:val="HTML Preformatted"/>
    <w:basedOn w:val="1"/>
    <w:link w:val="80"/>
    <w:unhideWhenUsed/>
    <w:qFormat/>
    <w:uiPriority w:val="0"/>
    <w:rPr>
      <w:rFonts w:ascii="Arial" w:hAnsi="Arial"/>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8"/>
    <w:qFormat/>
    <w:uiPriority w:val="0"/>
    <w:pPr>
      <w:spacing w:before="240" w:after="60"/>
      <w:jc w:val="center"/>
      <w:outlineLvl w:val="0"/>
    </w:pPr>
    <w:rPr>
      <w:rFonts w:ascii="Calibri Light" w:hAnsi="Calibri Light" w:eastAsia="Calibri Light"/>
      <w:b/>
      <w:sz w:val="32"/>
      <w:szCs w:val="32"/>
    </w:rPr>
  </w:style>
  <w:style w:type="paragraph" w:styleId="38">
    <w:name w:val="annotation subject"/>
    <w:basedOn w:val="13"/>
    <w:next w:val="13"/>
    <w:link w:val="72"/>
    <w:unhideWhenUsed/>
    <w:qFormat/>
    <w:uiPriority w:val="0"/>
    <w:rPr>
      <w:b/>
    </w:rPr>
  </w:style>
  <w:style w:type="paragraph" w:styleId="39">
    <w:name w:val="Body Text First Indent"/>
    <w:basedOn w:val="15"/>
    <w:next w:val="40"/>
    <w:link w:val="105"/>
    <w:unhideWhenUsed/>
    <w:qFormat/>
    <w:uiPriority w:val="0"/>
    <w:pPr>
      <w:ind w:firstLine="420" w:firstLineChars="100"/>
    </w:pPr>
    <w:rPr>
      <w:rFonts w:hint="eastAsia" w:ascii="楷体_GB2312" w:eastAsia="楷体_GB2312"/>
      <w:sz w:val="32"/>
    </w:rPr>
  </w:style>
  <w:style w:type="paragraph" w:styleId="40">
    <w:name w:val="Body Text First Indent 2"/>
    <w:basedOn w:val="17"/>
    <w:next w:val="10"/>
    <w:qFormat/>
    <w:uiPriority w:val="0"/>
    <w:pPr>
      <w:ind w:firstLine="42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qFormat/>
    <w:uiPriority w:val="0"/>
    <w:rPr>
      <w:rFonts w:ascii="Times New Roman" w:hAnsi="Times New Roman" w:eastAsia="宋体" w:cs="Times New Roman"/>
    </w:rPr>
  </w:style>
  <w:style w:type="character" w:styleId="45">
    <w:name w:val="FollowedHyperlink"/>
    <w:unhideWhenUsed/>
    <w:qFormat/>
    <w:uiPriority w:val="99"/>
    <w:rPr>
      <w:rFonts w:ascii="Times New Roman" w:hAnsi="Times New Roman" w:eastAsia="宋体" w:cs="Times New Roman"/>
      <w:color w:val="333333"/>
      <w:u w:val="none"/>
    </w:rPr>
  </w:style>
  <w:style w:type="character" w:styleId="46">
    <w:name w:val="HTML Definition"/>
    <w:basedOn w:val="43"/>
    <w:unhideWhenUsed/>
    <w:qFormat/>
    <w:uiPriority w:val="99"/>
  </w:style>
  <w:style w:type="character" w:styleId="47">
    <w:name w:val="HTML Typewriter"/>
    <w:basedOn w:val="43"/>
    <w:unhideWhenUsed/>
    <w:qFormat/>
    <w:uiPriority w:val="99"/>
    <w:rPr>
      <w:rFonts w:hint="default" w:ascii="monospace" w:hAnsi="monospace" w:eastAsia="monospace" w:cs="monospace"/>
      <w:sz w:val="20"/>
    </w:rPr>
  </w:style>
  <w:style w:type="character" w:styleId="48">
    <w:name w:val="HTML Acronym"/>
    <w:basedOn w:val="43"/>
    <w:unhideWhenUsed/>
    <w:qFormat/>
    <w:uiPriority w:val="99"/>
  </w:style>
  <w:style w:type="character" w:styleId="49">
    <w:name w:val="HTML Variable"/>
    <w:basedOn w:val="43"/>
    <w:unhideWhenUsed/>
    <w:qFormat/>
    <w:uiPriority w:val="99"/>
  </w:style>
  <w:style w:type="character" w:styleId="50">
    <w:name w:val="Hyperlink"/>
    <w:qFormat/>
    <w:uiPriority w:val="0"/>
    <w:rPr>
      <w:rFonts w:ascii="Times New Roman" w:hAnsi="Times New Roman" w:eastAsia="宋体" w:cs="Times New Roman"/>
      <w:color w:val="0000FF"/>
      <w:u w:val="single"/>
    </w:rPr>
  </w:style>
  <w:style w:type="character" w:styleId="51">
    <w:name w:val="HTML Code"/>
    <w:basedOn w:val="43"/>
    <w:unhideWhenUsed/>
    <w:qFormat/>
    <w:uiPriority w:val="99"/>
    <w:rPr>
      <w:rFonts w:ascii="monospace" w:hAnsi="monospace" w:eastAsia="monospace" w:cs="monospace"/>
      <w:sz w:val="20"/>
    </w:rPr>
  </w:style>
  <w:style w:type="character" w:styleId="52">
    <w:name w:val="annotation reference"/>
    <w:unhideWhenUsed/>
    <w:qFormat/>
    <w:uiPriority w:val="99"/>
    <w:rPr>
      <w:rFonts w:ascii="Times New Roman" w:hAnsi="Times New Roman" w:eastAsia="宋体" w:cs="Times New Roman"/>
      <w:sz w:val="21"/>
      <w:szCs w:val="21"/>
    </w:rPr>
  </w:style>
  <w:style w:type="character" w:styleId="53">
    <w:name w:val="HTML Cite"/>
    <w:basedOn w:val="43"/>
    <w:unhideWhenUsed/>
    <w:qFormat/>
    <w:uiPriority w:val="99"/>
    <w:rPr>
      <w:vanish/>
    </w:rPr>
  </w:style>
  <w:style w:type="character" w:styleId="54">
    <w:name w:val="HTML Keyboard"/>
    <w:basedOn w:val="43"/>
    <w:unhideWhenUsed/>
    <w:qFormat/>
    <w:uiPriority w:val="99"/>
    <w:rPr>
      <w:rFonts w:hint="default" w:ascii="monospace" w:hAnsi="monospace" w:eastAsia="monospace" w:cs="monospace"/>
      <w:sz w:val="20"/>
    </w:rPr>
  </w:style>
  <w:style w:type="character" w:styleId="55">
    <w:name w:val="HTML Sample"/>
    <w:basedOn w:val="43"/>
    <w:unhideWhenUsed/>
    <w:qFormat/>
    <w:uiPriority w:val="99"/>
    <w:rPr>
      <w:rFonts w:hint="default" w:ascii="monospace" w:hAnsi="monospace" w:eastAsia="monospace" w:cs="monospace"/>
    </w:rPr>
  </w:style>
  <w:style w:type="paragraph" w:customStyle="1" w:styleId="56">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customStyle="1" w:styleId="57">
    <w:name w:val="表格文字"/>
    <w:basedOn w:val="1"/>
    <w:next w:val="15"/>
    <w:qFormat/>
    <w:uiPriority w:val="0"/>
    <w:pPr>
      <w:adjustRightInd w:val="0"/>
      <w:spacing w:line="420" w:lineRule="atLeast"/>
      <w:jc w:val="left"/>
      <w:textAlignment w:val="baseline"/>
    </w:pPr>
    <w:rPr>
      <w:kern w:val="0"/>
    </w:rPr>
  </w:style>
  <w:style w:type="paragraph" w:customStyle="1" w:styleId="58">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9">
    <w:name w:val="font1"/>
    <w:qFormat/>
    <w:uiPriority w:val="0"/>
    <w:rPr>
      <w:rFonts w:ascii="Times New Roman" w:hAnsi="Times New Roman" w:eastAsia="宋体" w:cs="Times New Roman"/>
      <w:color w:val="999999"/>
      <w:sz w:val="18"/>
      <w:szCs w:val="18"/>
      <w:u w:val="none"/>
    </w:rPr>
  </w:style>
  <w:style w:type="character" w:customStyle="1" w:styleId="60">
    <w:name w:val="正文文本 3 Char"/>
    <w:link w:val="14"/>
    <w:qFormat/>
    <w:uiPriority w:val="0"/>
    <w:rPr>
      <w:rFonts w:ascii="Times New Roman" w:hAnsi="Times New Roman" w:eastAsia="宋体" w:cs="Times New Roman"/>
      <w:kern w:val="2"/>
      <w:sz w:val="16"/>
      <w:szCs w:val="16"/>
    </w:rPr>
  </w:style>
  <w:style w:type="character" w:customStyle="1" w:styleId="61">
    <w:name w:val="pt91"/>
    <w:qFormat/>
    <w:uiPriority w:val="0"/>
    <w:rPr>
      <w:rFonts w:hint="default" w:ascii="_x000B__x000C_" w:hAnsi="_x000B__x000C_" w:eastAsia="_x000B__x000C_" w:cs="_x000B__x000C_"/>
      <w:color w:val="333333"/>
      <w:sz w:val="18"/>
      <w:szCs w:val="18"/>
    </w:rPr>
  </w:style>
  <w:style w:type="character" w:customStyle="1" w:styleId="62">
    <w:name w:val="纯文本 Char"/>
    <w:link w:val="21"/>
    <w:qFormat/>
    <w:uiPriority w:val="0"/>
    <w:rPr>
      <w:rFonts w:hint="eastAsia" w:ascii="宋体" w:hAnsi="Courier New" w:eastAsia="宋体" w:cs="Courier New"/>
      <w:kern w:val="2"/>
      <w:sz w:val="21"/>
      <w:szCs w:val="21"/>
    </w:rPr>
  </w:style>
  <w:style w:type="character" w:customStyle="1" w:styleId="63">
    <w:name w:val="fontstyle01"/>
    <w:qFormat/>
    <w:uiPriority w:val="0"/>
    <w:rPr>
      <w:rFonts w:hint="default" w:ascii="FZSSK--GBK1-0" w:hAnsi="FZSSK--GBK1-0" w:eastAsia="FZSSK--GBK1-0" w:cs="FZSSK--GBK1-0"/>
      <w:color w:val="000000"/>
      <w:sz w:val="20"/>
      <w:szCs w:val="20"/>
    </w:rPr>
  </w:style>
  <w:style w:type="character" w:customStyle="1" w:styleId="64">
    <w:name w:val="Char Char15"/>
    <w:qFormat/>
    <w:uiPriority w:val="0"/>
    <w:rPr>
      <w:rFonts w:ascii="Times New Roman" w:hAnsi="Times New Roman" w:eastAsia="宋体" w:cs="Times New Roman"/>
      <w:kern w:val="2"/>
      <w:sz w:val="32"/>
    </w:rPr>
  </w:style>
  <w:style w:type="character" w:customStyle="1" w:styleId="65">
    <w:name w:val="纯文本 Char1"/>
    <w:qFormat/>
    <w:uiPriority w:val="0"/>
    <w:rPr>
      <w:rFonts w:hint="eastAsia" w:ascii="宋体" w:hAnsi="Courier New" w:eastAsia="宋体" w:cs="宋体"/>
      <w:kern w:val="2"/>
      <w:sz w:val="21"/>
      <w:lang w:eastAsia="zh-CN"/>
    </w:rPr>
  </w:style>
  <w:style w:type="character" w:customStyle="1" w:styleId="66">
    <w:name w:val="标题 5 Char"/>
    <w:link w:val="6"/>
    <w:qFormat/>
    <w:uiPriority w:val="0"/>
    <w:rPr>
      <w:rFonts w:ascii="Times New Roman" w:hAnsi="Times New Roman" w:eastAsia="宋体" w:cs="Times New Roman"/>
      <w:b/>
      <w:kern w:val="2"/>
      <w:sz w:val="28"/>
      <w:szCs w:val="28"/>
    </w:rPr>
  </w:style>
  <w:style w:type="character" w:customStyle="1" w:styleId="67">
    <w:name w:val="wen11"/>
    <w:qFormat/>
    <w:uiPriority w:val="0"/>
    <w:rPr>
      <w:rFonts w:ascii="Times New Roman" w:hAnsi="Times New Roman" w:eastAsia="宋体" w:cs="Times New Roman"/>
      <w:color w:val="000000"/>
      <w:sz w:val="21"/>
      <w:szCs w:val="21"/>
    </w:rPr>
  </w:style>
  <w:style w:type="character" w:customStyle="1" w:styleId="68">
    <w:name w:val="标题 Char"/>
    <w:link w:val="37"/>
    <w:qFormat/>
    <w:uiPriority w:val="0"/>
    <w:rPr>
      <w:rFonts w:hint="default" w:ascii="Calibri Light" w:hAnsi="Calibri Light" w:eastAsia="Calibri Light" w:cs="Calibri Light"/>
      <w:b/>
      <w:kern w:val="2"/>
      <w:sz w:val="32"/>
      <w:szCs w:val="32"/>
    </w:rPr>
  </w:style>
  <w:style w:type="character" w:customStyle="1" w:styleId="69">
    <w:name w:val="正文文本 Char"/>
    <w:link w:val="15"/>
    <w:qFormat/>
    <w:uiPriority w:val="0"/>
    <w:rPr>
      <w:rFonts w:ascii="Times New Roman" w:hAnsi="Times New Roman" w:eastAsia="宋体" w:cs="Times New Roman"/>
      <w:kern w:val="2"/>
      <w:sz w:val="21"/>
      <w:szCs w:val="24"/>
    </w:rPr>
  </w:style>
  <w:style w:type="character" w:customStyle="1" w:styleId="70">
    <w:name w:val="标题 7 Char"/>
    <w:link w:val="8"/>
    <w:qFormat/>
    <w:uiPriority w:val="0"/>
    <w:rPr>
      <w:rFonts w:hint="eastAsia" w:ascii="宋体" w:hAnsi="宋体" w:eastAsia="宋体" w:cs="宋体"/>
      <w:b/>
      <w:sz w:val="21"/>
      <w:szCs w:val="21"/>
      <w:lang w:eastAsia="en-US"/>
    </w:rPr>
  </w:style>
  <w:style w:type="character" w:customStyle="1" w:styleId="71">
    <w:name w:val="displayarti"/>
    <w:qFormat/>
    <w:uiPriority w:val="0"/>
    <w:rPr>
      <w:rFonts w:ascii="Times New Roman" w:hAnsi="Times New Roman" w:eastAsia="宋体" w:cs="Times New Roman"/>
      <w:color w:val="FFFFFF"/>
      <w:shd w:val="clear" w:color="auto" w:fill="A00000"/>
    </w:rPr>
  </w:style>
  <w:style w:type="character" w:customStyle="1" w:styleId="72">
    <w:name w:val="批注主题 Char"/>
    <w:link w:val="38"/>
    <w:qFormat/>
    <w:uiPriority w:val="0"/>
    <w:rPr>
      <w:rFonts w:ascii="Times New Roman" w:hAnsi="Times New Roman" w:eastAsia="宋体" w:cs="Times New Roman"/>
      <w:b/>
      <w:kern w:val="2"/>
      <w:sz w:val="21"/>
      <w:szCs w:val="24"/>
    </w:rPr>
  </w:style>
  <w:style w:type="character" w:customStyle="1" w:styleId="73">
    <w:name w:val="Table Text Char1"/>
    <w:qFormat/>
    <w:uiPriority w:val="0"/>
    <w:rPr>
      <w:rFonts w:hint="default" w:ascii="Arial" w:hAnsi="Arial" w:eastAsia="宋体" w:cs="Arial"/>
      <w:kern w:val="2"/>
      <w:sz w:val="18"/>
      <w:szCs w:val="24"/>
    </w:rPr>
  </w:style>
  <w:style w:type="character" w:customStyle="1" w:styleId="74">
    <w:name w:val="正文文本缩进 3 Char"/>
    <w:link w:val="32"/>
    <w:qFormat/>
    <w:uiPriority w:val="0"/>
    <w:rPr>
      <w:rFonts w:ascii="Times New Roman" w:hAnsi="Times New Roman" w:eastAsia="宋体" w:cs="Times New Roman"/>
      <w:kern w:val="2"/>
      <w:sz w:val="16"/>
      <w:szCs w:val="16"/>
    </w:rPr>
  </w:style>
  <w:style w:type="character" w:customStyle="1" w:styleId="75">
    <w:name w:val="日期 Char"/>
    <w:link w:val="23"/>
    <w:qFormat/>
    <w:uiPriority w:val="0"/>
    <w:rPr>
      <w:rFonts w:ascii="Times New Roman" w:hAnsi="Times New Roman" w:eastAsia="宋体" w:cs="Times New Roman"/>
      <w:sz w:val="28"/>
    </w:rPr>
  </w:style>
  <w:style w:type="character" w:customStyle="1" w:styleId="76">
    <w:name w:val="Char Char16"/>
    <w:qFormat/>
    <w:uiPriority w:val="0"/>
    <w:rPr>
      <w:rFonts w:ascii="Times New Roman" w:hAnsi="Times New Roman" w:eastAsia="宋体" w:cs="Times New Roman"/>
      <w:b/>
      <w:kern w:val="2"/>
      <w:sz w:val="32"/>
    </w:rPr>
  </w:style>
  <w:style w:type="character" w:customStyle="1" w:styleId="77">
    <w:name w:val="gpa"/>
    <w:qFormat/>
    <w:uiPriority w:val="0"/>
    <w:rPr>
      <w:rFonts w:hint="default" w:ascii="Arial" w:hAnsi="Arial" w:eastAsia="宋体" w:cs="Arial"/>
      <w:sz w:val="15"/>
      <w:szCs w:val="15"/>
    </w:rPr>
  </w:style>
  <w:style w:type="character" w:customStyle="1" w:styleId="78">
    <w:name w:val="p12h15"/>
    <w:basedOn w:val="43"/>
    <w:qFormat/>
    <w:uiPriority w:val="0"/>
  </w:style>
  <w:style w:type="character" w:customStyle="1" w:styleId="79">
    <w:name w:val="Char Char17"/>
    <w:qFormat/>
    <w:uiPriority w:val="0"/>
    <w:rPr>
      <w:rFonts w:hint="eastAsia" w:ascii="楷体_GB2312" w:hAnsi="Times New Roman" w:eastAsia="楷体_GB2312" w:cs="楷体_GB2312"/>
      <w:b/>
      <w:kern w:val="44"/>
      <w:sz w:val="44"/>
    </w:rPr>
  </w:style>
  <w:style w:type="character" w:customStyle="1" w:styleId="80">
    <w:name w:val="HTML 预设格式 Char"/>
    <w:link w:val="35"/>
    <w:qFormat/>
    <w:uiPriority w:val="0"/>
    <w:rPr>
      <w:rFonts w:hint="default" w:ascii="Arial" w:hAnsi="Arial" w:eastAsia="宋体" w:cs="Arial"/>
      <w:sz w:val="24"/>
      <w:szCs w:val="24"/>
    </w:rPr>
  </w:style>
  <w:style w:type="character" w:customStyle="1" w:styleId="81">
    <w:name w:val="批注文字 Char"/>
    <w:link w:val="13"/>
    <w:qFormat/>
    <w:uiPriority w:val="0"/>
    <w:rPr>
      <w:rFonts w:ascii="Times New Roman" w:hAnsi="Times New Roman" w:eastAsia="宋体" w:cs="Times New Roman"/>
      <w:kern w:val="2"/>
      <w:sz w:val="21"/>
      <w:szCs w:val="24"/>
    </w:rPr>
  </w:style>
  <w:style w:type="character" w:customStyle="1" w:styleId="82">
    <w:name w:val="文档结构图 Char"/>
    <w:link w:val="11"/>
    <w:qFormat/>
    <w:uiPriority w:val="0"/>
    <w:rPr>
      <w:rFonts w:ascii="Times New Roman" w:hAnsi="Times New Roman" w:eastAsia="宋体" w:cs="Times New Roman"/>
      <w:kern w:val="2"/>
      <w:sz w:val="21"/>
      <w:szCs w:val="24"/>
      <w:shd w:val="clear" w:color="auto" w:fill="000080"/>
    </w:rPr>
  </w:style>
  <w:style w:type="character" w:customStyle="1" w:styleId="83">
    <w:name w:val="Comment Text Char"/>
    <w:qFormat/>
    <w:uiPriority w:val="0"/>
    <w:rPr>
      <w:rFonts w:hint="default" w:ascii="Times New Roman" w:hAnsi="Times New Roman" w:eastAsia="宋体" w:cs="Times New Roman"/>
      <w:sz w:val="24"/>
    </w:rPr>
  </w:style>
  <w:style w:type="character" w:customStyle="1" w:styleId="84">
    <w:name w:val="正文文本缩进 2 Char"/>
    <w:link w:val="24"/>
    <w:qFormat/>
    <w:uiPriority w:val="0"/>
    <w:rPr>
      <w:rFonts w:ascii="Times New Roman" w:hAnsi="Times New Roman" w:eastAsia="宋体" w:cs="Times New Roman"/>
      <w:kern w:val="2"/>
      <w:sz w:val="21"/>
      <w:szCs w:val="24"/>
    </w:rPr>
  </w:style>
  <w:style w:type="character" w:customStyle="1" w:styleId="85">
    <w:name w:val="正文文本 2 Char"/>
    <w:link w:val="16"/>
    <w:qFormat/>
    <w:uiPriority w:val="0"/>
    <w:rPr>
      <w:rFonts w:ascii="Times New Roman" w:hAnsi="Times New Roman" w:eastAsia="宋体" w:cs="Times New Roman"/>
      <w:kern w:val="2"/>
      <w:sz w:val="21"/>
      <w:szCs w:val="24"/>
    </w:rPr>
  </w:style>
  <w:style w:type="character" w:customStyle="1" w:styleId="86">
    <w:name w:val="selected"/>
    <w:qFormat/>
    <w:uiPriority w:val="0"/>
    <w:rPr>
      <w:rFonts w:ascii="Times New Roman" w:hAnsi="Times New Roman" w:eastAsia="宋体" w:cs="Times New Roman"/>
      <w:shd w:val="clear" w:color="auto" w:fill="B00006"/>
    </w:rPr>
  </w:style>
  <w:style w:type="character" w:customStyle="1" w:styleId="87">
    <w:name w:val="标题 4 Char"/>
    <w:link w:val="2"/>
    <w:qFormat/>
    <w:uiPriority w:val="0"/>
    <w:rPr>
      <w:rFonts w:ascii="Times New Roman" w:hAnsi="Times New Roman" w:eastAsia="宋体" w:cs="Times New Roman"/>
      <w:kern w:val="2"/>
      <w:sz w:val="32"/>
    </w:rPr>
  </w:style>
  <w:style w:type="character" w:customStyle="1" w:styleId="88">
    <w:name w:val="Item List in Table Char Char"/>
    <w:qFormat/>
    <w:uiPriority w:val="0"/>
    <w:rPr>
      <w:rFonts w:hint="default" w:ascii="Arial" w:hAnsi="Arial" w:eastAsia="宋体" w:cs="Arial"/>
      <w:sz w:val="18"/>
      <w:szCs w:val="18"/>
    </w:rPr>
  </w:style>
  <w:style w:type="character" w:customStyle="1" w:styleId="89">
    <w:name w:val="标题 2 Char Char Char"/>
    <w:qFormat/>
    <w:uiPriority w:val="0"/>
    <w:rPr>
      <w:rFonts w:hint="default" w:ascii="Arial" w:hAnsi="Arial" w:eastAsia="黑体" w:cs="Arial"/>
      <w:b/>
      <w:kern w:val="2"/>
      <w:sz w:val="32"/>
      <w:szCs w:val="32"/>
      <w:lang w:val="en-US" w:eastAsia="zh-CN"/>
    </w:rPr>
  </w:style>
  <w:style w:type="character" w:customStyle="1" w:styleId="90">
    <w:name w:val="标题 6 Char"/>
    <w:link w:val="7"/>
    <w:qFormat/>
    <w:uiPriority w:val="0"/>
    <w:rPr>
      <w:rFonts w:hint="eastAsia" w:ascii="宋体" w:hAnsi="宋体" w:eastAsia="宋体" w:cs="宋体"/>
      <w:b/>
      <w:sz w:val="24"/>
      <w:szCs w:val="24"/>
      <w:lang w:eastAsia="en-US"/>
    </w:rPr>
  </w:style>
  <w:style w:type="character" w:customStyle="1" w:styleId="91">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2">
    <w:name w:val="批注框文本 Char"/>
    <w:link w:val="25"/>
    <w:qFormat/>
    <w:uiPriority w:val="0"/>
    <w:rPr>
      <w:rFonts w:ascii="Times New Roman" w:hAnsi="Times New Roman" w:eastAsia="宋体" w:cs="Times New Roman"/>
      <w:kern w:val="2"/>
      <w:sz w:val="18"/>
      <w:szCs w:val="18"/>
    </w:rPr>
  </w:style>
  <w:style w:type="character" w:customStyle="1" w:styleId="93">
    <w:name w:val="Balloon Text Char"/>
    <w:qFormat/>
    <w:uiPriority w:val="0"/>
    <w:rPr>
      <w:rFonts w:ascii="Times New Roman" w:hAnsi="Times New Roman" w:eastAsia="宋体" w:cs="Times New Roman"/>
      <w:sz w:val="18"/>
    </w:rPr>
  </w:style>
  <w:style w:type="character" w:customStyle="1" w:styleId="94">
    <w:name w:val="overfont"/>
    <w:basedOn w:val="43"/>
    <w:qFormat/>
    <w:uiPriority w:val="0"/>
  </w:style>
  <w:style w:type="character" w:customStyle="1" w:styleId="95">
    <w:name w:val="标题 1 Char"/>
    <w:link w:val="3"/>
    <w:qFormat/>
    <w:uiPriority w:val="0"/>
    <w:rPr>
      <w:rFonts w:hint="eastAsia" w:ascii="楷体_GB2312" w:hAnsi="Times New Roman" w:eastAsia="楷体_GB2312" w:cs="楷体_GB2312"/>
      <w:b/>
      <w:kern w:val="44"/>
      <w:sz w:val="44"/>
    </w:rPr>
  </w:style>
  <w:style w:type="character" w:customStyle="1" w:styleId="96">
    <w:name w:val="页眉 Char"/>
    <w:link w:val="28"/>
    <w:qFormat/>
    <w:uiPriority w:val="0"/>
    <w:rPr>
      <w:rFonts w:ascii="Times New Roman" w:hAnsi="Times New Roman" w:eastAsia="宋体" w:cs="Times New Roman"/>
      <w:kern w:val="2"/>
      <w:sz w:val="18"/>
      <w:szCs w:val="18"/>
    </w:rPr>
  </w:style>
  <w:style w:type="character" w:customStyle="1" w:styleId="97">
    <w:name w:val="Char Char11"/>
    <w:qFormat/>
    <w:uiPriority w:val="0"/>
    <w:rPr>
      <w:rFonts w:ascii="Times New Roman" w:hAnsi="Times New Roman" w:eastAsia="宋体" w:cs="Times New Roman"/>
      <w:kern w:val="2"/>
      <w:sz w:val="18"/>
      <w:szCs w:val="18"/>
    </w:rPr>
  </w:style>
  <w:style w:type="character" w:customStyle="1" w:styleId="98">
    <w:name w:val="页脚 Char"/>
    <w:link w:val="26"/>
    <w:qFormat/>
    <w:uiPriority w:val="0"/>
    <w:rPr>
      <w:rFonts w:ascii="Times New Roman" w:hAnsi="Times New Roman" w:eastAsia="宋体" w:cs="Times New Roman"/>
      <w:kern w:val="2"/>
      <w:sz w:val="18"/>
      <w:szCs w:val="18"/>
    </w:rPr>
  </w:style>
  <w:style w:type="character" w:customStyle="1" w:styleId="99">
    <w:name w:val="Char Char Char"/>
    <w:qFormat/>
    <w:uiPriority w:val="0"/>
    <w:rPr>
      <w:rFonts w:hint="eastAsia" w:ascii="宋体" w:hAnsi="Courier New" w:eastAsia="宋体" w:cs="宋体"/>
      <w:kern w:val="2"/>
      <w:sz w:val="21"/>
      <w:lang w:val="en-US" w:eastAsia="zh-CN"/>
    </w:rPr>
  </w:style>
  <w:style w:type="character" w:customStyle="1" w:styleId="100">
    <w:name w:val="标题 2 Char"/>
    <w:link w:val="4"/>
    <w:qFormat/>
    <w:uiPriority w:val="0"/>
    <w:rPr>
      <w:rFonts w:ascii="Arial" w:hAnsi="Arial" w:eastAsia="黑体" w:cs="Arial"/>
      <w:b/>
      <w:kern w:val="2"/>
      <w:sz w:val="32"/>
    </w:rPr>
  </w:style>
  <w:style w:type="character" w:customStyle="1" w:styleId="101">
    <w:name w:val="标题 3 Char"/>
    <w:link w:val="5"/>
    <w:qFormat/>
    <w:uiPriority w:val="0"/>
    <w:rPr>
      <w:rFonts w:ascii="Times New Roman" w:hAnsi="Times New Roman" w:eastAsia="宋体" w:cs="Times New Roman"/>
      <w:b/>
      <w:kern w:val="2"/>
      <w:sz w:val="32"/>
    </w:rPr>
  </w:style>
  <w:style w:type="character" w:customStyle="1" w:styleId="102">
    <w:name w:val="p0 Char Char"/>
    <w:qFormat/>
    <w:uiPriority w:val="0"/>
    <w:rPr>
      <w:rFonts w:ascii="Times New Roman" w:hAnsi="Times New Roman" w:eastAsia="宋体" w:cs="Times New Roman"/>
      <w:kern w:val="2"/>
      <w:sz w:val="21"/>
    </w:rPr>
  </w:style>
  <w:style w:type="character" w:customStyle="1" w:styleId="103">
    <w:name w:val="fontstyle11"/>
    <w:qFormat/>
    <w:uiPriority w:val="0"/>
    <w:rPr>
      <w:rFonts w:hint="default" w:ascii="E-BZ" w:hAnsi="E-BZ" w:eastAsia="E-BZ" w:cs="E-BZ"/>
      <w:color w:val="000000"/>
      <w:sz w:val="20"/>
      <w:szCs w:val="20"/>
    </w:rPr>
  </w:style>
  <w:style w:type="character" w:customStyle="1" w:styleId="104">
    <w:name w:val="正文文本缩进 Char"/>
    <w:link w:val="17"/>
    <w:qFormat/>
    <w:uiPriority w:val="0"/>
    <w:rPr>
      <w:rFonts w:ascii="Times New Roman" w:hAnsi="Times New Roman" w:eastAsia="宋体" w:cs="Times New Roman"/>
      <w:kern w:val="2"/>
      <w:sz w:val="21"/>
      <w:szCs w:val="24"/>
    </w:rPr>
  </w:style>
  <w:style w:type="character" w:customStyle="1" w:styleId="105">
    <w:name w:val="正文首行缩进 Char"/>
    <w:link w:val="39"/>
    <w:qFormat/>
    <w:uiPriority w:val="0"/>
    <w:rPr>
      <w:rFonts w:hint="eastAsia" w:ascii="楷体_GB2312" w:hAnsi="Times New Roman" w:eastAsia="楷体_GB2312" w:cs="楷体_GB2312"/>
      <w:kern w:val="2"/>
      <w:sz w:val="32"/>
      <w:szCs w:val="24"/>
    </w:rPr>
  </w:style>
  <w:style w:type="character" w:customStyle="1" w:styleId="106">
    <w:name w:val="font61"/>
    <w:basedOn w:val="43"/>
    <w:qFormat/>
    <w:uiPriority w:val="0"/>
    <w:rPr>
      <w:rFonts w:hint="eastAsia" w:ascii="宋体" w:hAnsi="宋体" w:eastAsia="宋体" w:cs="宋体"/>
      <w:color w:val="000000"/>
      <w:sz w:val="21"/>
      <w:szCs w:val="21"/>
      <w:u w:val="none"/>
    </w:rPr>
  </w:style>
  <w:style w:type="paragraph" w:customStyle="1" w:styleId="107">
    <w:name w:val="Body Text First Indent1"/>
    <w:basedOn w:val="15"/>
    <w:qFormat/>
    <w:uiPriority w:val="0"/>
    <w:pPr>
      <w:ind w:firstLine="420" w:firstLineChars="100"/>
    </w:pPr>
  </w:style>
  <w:style w:type="paragraph" w:customStyle="1" w:styleId="108">
    <w:name w:val="p0"/>
    <w:basedOn w:val="1"/>
    <w:qFormat/>
    <w:uiPriority w:val="0"/>
    <w:pPr>
      <w:widowControl/>
    </w:pPr>
    <w:rPr>
      <w:rFonts w:ascii="Times New Roman" w:hAnsi="Times New Roman"/>
      <w:kern w:val="0"/>
      <w:szCs w:val="21"/>
    </w:rPr>
  </w:style>
  <w:style w:type="paragraph" w:customStyle="1" w:styleId="109">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w:basedOn w:val="1"/>
    <w:qFormat/>
    <w:uiPriority w:val="0"/>
    <w:pPr>
      <w:snapToGrid w:val="0"/>
      <w:spacing w:line="360" w:lineRule="auto"/>
      <w:ind w:firstLine="200" w:firstLineChars="200"/>
    </w:pPr>
    <w:rPr>
      <w:rFonts w:ascii="Times New Roman" w:hAnsi="Times New Roman"/>
    </w:rPr>
  </w:style>
  <w:style w:type="paragraph" w:customStyle="1" w:styleId="111">
    <w:name w:val="标题3-1"/>
    <w:basedOn w:val="5"/>
    <w:qFormat/>
    <w:uiPriority w:val="0"/>
    <w:pPr>
      <w:numPr>
        <w:ilvl w:val="0"/>
        <w:numId w:val="2"/>
      </w:numPr>
    </w:pPr>
    <w:rPr>
      <w:sz w:val="24"/>
    </w:rPr>
  </w:style>
  <w:style w:type="paragraph" w:customStyle="1" w:styleId="112">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3">
    <w:name w:val="列出段落1"/>
    <w:basedOn w:val="1"/>
    <w:qFormat/>
    <w:uiPriority w:val="0"/>
    <w:pPr>
      <w:ind w:firstLine="420" w:firstLineChars="200"/>
    </w:pPr>
    <w:rPr>
      <w:rFonts w:ascii="Times New Roman" w:hAnsi="Times New Roman"/>
    </w:rPr>
  </w:style>
  <w:style w:type="paragraph" w:customStyle="1" w:styleId="11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6">
    <w:name w:val="正文_13_0"/>
    <w:basedOn w:val="1"/>
    <w:qFormat/>
    <w:uiPriority w:val="0"/>
    <w:rPr>
      <w:rFonts w:ascii="Calibri" w:hAnsi="Calibri"/>
    </w:rPr>
  </w:style>
  <w:style w:type="paragraph" w:customStyle="1" w:styleId="11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8">
    <w:name w:val="Table Paragraph"/>
    <w:basedOn w:val="1"/>
    <w:unhideWhenUsed/>
    <w:qFormat/>
    <w:uiPriority w:val="1"/>
    <w:rPr>
      <w:sz w:val="24"/>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p15"/>
    <w:basedOn w:val="1"/>
    <w:qFormat/>
    <w:uiPriority w:val="0"/>
    <w:pPr>
      <w:widowControl/>
      <w:spacing w:line="365" w:lineRule="atLeast"/>
      <w:ind w:left="1"/>
    </w:pPr>
    <w:rPr>
      <w:rFonts w:ascii="Times New Roman" w:hAnsi="Times New Roman"/>
      <w:kern w:val="0"/>
      <w:sz w:val="20"/>
    </w:rPr>
  </w:style>
  <w:style w:type="paragraph" w:customStyle="1" w:styleId="121">
    <w:name w:val="TOAHeading"/>
    <w:basedOn w:val="1"/>
    <w:next w:val="1"/>
    <w:qFormat/>
    <w:uiPriority w:val="0"/>
    <w:pPr>
      <w:spacing w:before="120"/>
      <w:textAlignment w:val="baseline"/>
    </w:pPr>
    <w:rPr>
      <w:rFonts w:ascii="Arial" w:hAnsi="Arial"/>
      <w:sz w:val="24"/>
      <w:szCs w:val="22"/>
    </w:rPr>
  </w:style>
  <w:style w:type="character" w:customStyle="1" w:styleId="122">
    <w:name w:val="NormalCharacter"/>
    <w:qFormat/>
    <w:uiPriority w:val="0"/>
    <w:rPr>
      <w:rFonts w:ascii="Book Antiqua" w:hAnsi="Book Antiqua" w:eastAsia="宋体" w:cs="Times New Roman"/>
      <w:kern w:val="2"/>
      <w:sz w:val="21"/>
      <w:szCs w:val="24"/>
      <w:lang w:val="en-US" w:eastAsia="zh-CN" w:bidi="ar-SA"/>
    </w:rPr>
  </w:style>
  <w:style w:type="paragraph" w:customStyle="1" w:styleId="123">
    <w:name w:val="BodyText1I"/>
    <w:basedOn w:val="124"/>
    <w:next w:val="126"/>
    <w:qFormat/>
    <w:uiPriority w:val="0"/>
    <w:pPr>
      <w:ind w:firstLine="420" w:firstLineChars="100"/>
    </w:pPr>
    <w:rPr>
      <w:rFonts w:ascii="楷体_GB2312"/>
      <w:sz w:val="32"/>
    </w:rPr>
  </w:style>
  <w:style w:type="paragraph" w:customStyle="1" w:styleId="124">
    <w:name w:val="BodyText"/>
    <w:basedOn w:val="1"/>
    <w:next w:val="125"/>
    <w:qFormat/>
    <w:uiPriority w:val="0"/>
    <w:pPr>
      <w:textAlignment w:val="baseline"/>
    </w:pPr>
    <w:rPr>
      <w:rFonts w:ascii="Calibri" w:hAnsi="Calibri" w:eastAsia="楷体_GB2312"/>
      <w:kern w:val="0"/>
      <w:sz w:val="28"/>
    </w:rPr>
  </w:style>
  <w:style w:type="paragraph" w:customStyle="1" w:styleId="125">
    <w:name w:val="BodyText2"/>
    <w:basedOn w:val="1"/>
    <w:next w:val="124"/>
    <w:qFormat/>
    <w:uiPriority w:val="0"/>
    <w:pPr>
      <w:spacing w:after="120" w:line="480" w:lineRule="auto"/>
      <w:textAlignment w:val="baseline"/>
    </w:pPr>
  </w:style>
  <w:style w:type="paragraph" w:customStyle="1" w:styleId="126">
    <w:name w:val="BodyText1I2"/>
    <w:basedOn w:val="127"/>
    <w:qFormat/>
    <w:uiPriority w:val="0"/>
    <w:pPr>
      <w:ind w:firstLine="420" w:firstLineChars="200"/>
    </w:pPr>
  </w:style>
  <w:style w:type="paragraph" w:customStyle="1" w:styleId="127">
    <w:name w:val="BodyTextIndent"/>
    <w:basedOn w:val="1"/>
    <w:qFormat/>
    <w:uiPriority w:val="0"/>
    <w:pPr>
      <w:spacing w:after="120"/>
      <w:ind w:left="420" w:leftChars="200"/>
      <w:textAlignment w:val="baseline"/>
    </w:pPr>
  </w:style>
  <w:style w:type="paragraph" w:customStyle="1" w:styleId="128">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9">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0">
    <w:name w:val="font31"/>
    <w:basedOn w:val="4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18700</Words>
  <Characters>20254</Characters>
  <Lines>170</Lines>
  <Paragraphs>48</Paragraphs>
  <TotalTime>3</TotalTime>
  <ScaleCrop>false</ScaleCrop>
  <LinksUpToDate>false</LinksUpToDate>
  <CharactersWithSpaces>21491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DELL</cp:lastModifiedBy>
  <cp:lastPrinted>2021-08-06T00:56:00Z</cp:lastPrinted>
  <dcterms:modified xsi:type="dcterms:W3CDTF">2022-03-31T02:34:31Z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62DDF8DDFE464661A9EFE2F35BD77A22</vt:lpwstr>
  </property>
</Properties>
</file>