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heme="minorEastAsia" w:hAnsiTheme="minorEastAsia" w:eastAsiaTheme="minorEastAsia" w:cstheme="minorEastAsia"/>
          <w:color w:val="auto"/>
          <w:highlight w:val="none"/>
        </w:rPr>
      </w:pPr>
      <w:bookmarkStart w:id="0" w:name="_Toc281574833"/>
    </w:p>
    <w:p>
      <w:pPr>
        <w:pStyle w:val="11"/>
        <w:rPr>
          <w:rFonts w:asciiTheme="minorEastAsia" w:hAnsiTheme="minorEastAsia" w:eastAsiaTheme="minorEastAsia" w:cstheme="minorEastAsia"/>
          <w:color w:val="auto"/>
          <w:highlight w:val="none"/>
        </w:rPr>
      </w:pPr>
    </w:p>
    <w:p>
      <w:pPr>
        <w:spacing w:line="360" w:lineRule="auto"/>
        <w:jc w:val="center"/>
        <w:rPr>
          <w:rFonts w:hint="eastAsia" w:asciiTheme="majorEastAsia" w:hAnsiTheme="majorEastAsia" w:eastAsiaTheme="majorEastAsia" w:cstheme="majorEastAsia"/>
          <w:b/>
          <w:bCs/>
          <w:color w:val="auto"/>
          <w:kern w:val="2"/>
          <w:sz w:val="44"/>
          <w:szCs w:val="44"/>
          <w:highlight w:val="none"/>
          <w:lang w:val="en-US" w:eastAsia="zh-CN" w:bidi="ar-SA"/>
        </w:rPr>
      </w:pPr>
      <w:r>
        <w:rPr>
          <w:rFonts w:hint="eastAsia" w:asciiTheme="majorEastAsia" w:hAnsiTheme="majorEastAsia" w:eastAsiaTheme="majorEastAsia" w:cstheme="majorEastAsia"/>
          <w:b/>
          <w:bCs/>
          <w:color w:val="auto"/>
          <w:kern w:val="2"/>
          <w:sz w:val="44"/>
          <w:szCs w:val="44"/>
          <w:highlight w:val="none"/>
          <w:lang w:val="en-US" w:eastAsia="zh-CN" w:bidi="ar-SA"/>
        </w:rPr>
        <w:t>博爱县林业发展服务中心实施县乡两级</w:t>
      </w:r>
    </w:p>
    <w:p>
      <w:pPr>
        <w:spacing w:line="360" w:lineRule="auto"/>
        <w:jc w:val="center"/>
        <w:rPr>
          <w:rFonts w:hint="eastAsia" w:asciiTheme="majorEastAsia" w:hAnsiTheme="majorEastAsia" w:eastAsiaTheme="majorEastAsia" w:cstheme="majorEastAsia"/>
          <w:b/>
          <w:bCs/>
          <w:color w:val="auto"/>
          <w:kern w:val="2"/>
          <w:sz w:val="44"/>
          <w:szCs w:val="44"/>
          <w:highlight w:val="none"/>
          <w:lang w:val="en-US" w:eastAsia="zh-CN" w:bidi="ar-SA"/>
        </w:rPr>
      </w:pPr>
      <w:r>
        <w:rPr>
          <w:rFonts w:hint="eastAsia" w:asciiTheme="majorEastAsia" w:hAnsiTheme="majorEastAsia" w:eastAsiaTheme="majorEastAsia" w:cstheme="majorEastAsia"/>
          <w:b/>
          <w:bCs/>
          <w:color w:val="auto"/>
          <w:kern w:val="2"/>
          <w:sz w:val="44"/>
          <w:szCs w:val="44"/>
          <w:highlight w:val="none"/>
          <w:lang w:val="en-US" w:eastAsia="zh-CN" w:bidi="ar-SA"/>
        </w:rPr>
        <w:t xml:space="preserve">森林防火物资采购项目 </w:t>
      </w:r>
    </w:p>
    <w:p>
      <w:pPr>
        <w:spacing w:line="360" w:lineRule="auto"/>
        <w:jc w:val="center"/>
        <w:rPr>
          <w:rFonts w:hint="eastAsia" w:asciiTheme="majorEastAsia" w:hAnsiTheme="majorEastAsia" w:eastAsiaTheme="majorEastAsia" w:cstheme="majorEastAsia"/>
          <w:b/>
          <w:bCs/>
          <w:color w:val="auto"/>
          <w:kern w:val="2"/>
          <w:sz w:val="44"/>
          <w:szCs w:val="44"/>
          <w:highlight w:val="none"/>
          <w:lang w:val="en-US" w:eastAsia="zh-CN" w:bidi="ar-SA"/>
        </w:rPr>
      </w:pPr>
    </w:p>
    <w:p>
      <w:pPr>
        <w:spacing w:line="360" w:lineRule="auto"/>
        <w:jc w:val="center"/>
        <w:rPr>
          <w:rFonts w:asciiTheme="minorEastAsia" w:hAnsiTheme="minorEastAsia" w:eastAsiaTheme="minorEastAsia" w:cstheme="minorEastAsia"/>
          <w:b/>
          <w:color w:val="auto"/>
          <w:sz w:val="120"/>
          <w:szCs w:val="120"/>
          <w:highlight w:val="none"/>
        </w:rPr>
      </w:pPr>
      <w:r>
        <w:rPr>
          <w:rFonts w:hint="eastAsia" w:asciiTheme="majorEastAsia" w:hAnsiTheme="majorEastAsia" w:eastAsiaTheme="majorEastAsia" w:cstheme="majorEastAsia"/>
          <w:b/>
          <w:bCs/>
          <w:color w:val="auto"/>
          <w:kern w:val="2"/>
          <w:sz w:val="44"/>
          <w:szCs w:val="44"/>
          <w:highlight w:val="none"/>
          <w:lang w:val="en-US" w:eastAsia="zh-CN" w:bidi="ar-SA"/>
        </w:rPr>
        <w:t xml:space="preserve"> </w:t>
      </w:r>
    </w:p>
    <w:p>
      <w:pPr>
        <w:pStyle w:val="10"/>
        <w:rPr>
          <w:color w:val="auto"/>
          <w:highlight w:val="none"/>
        </w:rPr>
      </w:pPr>
    </w:p>
    <w:p>
      <w:pPr>
        <w:spacing w:line="360" w:lineRule="auto"/>
        <w:jc w:val="center"/>
        <w:rPr>
          <w:rFonts w:asciiTheme="minorEastAsia" w:hAnsiTheme="minorEastAsia" w:eastAsiaTheme="minorEastAsia" w:cstheme="minorEastAsia"/>
          <w:b/>
          <w:color w:val="auto"/>
          <w:sz w:val="120"/>
          <w:szCs w:val="120"/>
          <w:highlight w:val="none"/>
        </w:rPr>
      </w:pPr>
      <w:r>
        <w:rPr>
          <w:rFonts w:hint="eastAsia" w:asciiTheme="minorEastAsia" w:hAnsiTheme="minorEastAsia" w:eastAsiaTheme="minorEastAsia" w:cstheme="minorEastAsia"/>
          <w:b/>
          <w:color w:val="auto"/>
          <w:sz w:val="120"/>
          <w:szCs w:val="120"/>
          <w:highlight w:val="none"/>
        </w:rPr>
        <w:t>招 标 文 件</w:t>
      </w:r>
    </w:p>
    <w:p>
      <w:pPr>
        <w:spacing w:line="36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采购编号：博政采购</w:t>
      </w:r>
      <w:r>
        <w:rPr>
          <w:rFonts w:hint="eastAsia" w:ascii="宋体" w:hAnsi="宋体" w:cs="宋体"/>
          <w:b/>
          <w:bCs/>
          <w:color w:val="auto"/>
          <w:sz w:val="36"/>
          <w:szCs w:val="36"/>
          <w:highlight w:val="none"/>
        </w:rPr>
        <w:t>〔</w:t>
      </w:r>
      <w:r>
        <w:rPr>
          <w:rFonts w:hint="eastAsia" w:asciiTheme="minorEastAsia" w:hAnsiTheme="minorEastAsia" w:eastAsiaTheme="minorEastAsia" w:cstheme="minorEastAsia"/>
          <w:b/>
          <w:bCs/>
          <w:color w:val="auto"/>
          <w:sz w:val="36"/>
          <w:szCs w:val="36"/>
          <w:highlight w:val="none"/>
        </w:rPr>
        <w:t>202</w:t>
      </w:r>
      <w:r>
        <w:rPr>
          <w:rFonts w:hint="eastAsia" w:asciiTheme="minorEastAsia" w:hAnsiTheme="minorEastAsia" w:eastAsiaTheme="minorEastAsia" w:cstheme="minorEastAsia"/>
          <w:b/>
          <w:bCs/>
          <w:color w:val="auto"/>
          <w:sz w:val="36"/>
          <w:szCs w:val="36"/>
          <w:highlight w:val="none"/>
          <w:lang w:val="en-US" w:eastAsia="zh-CN"/>
        </w:rPr>
        <w:t>2</w:t>
      </w:r>
      <w:r>
        <w:rPr>
          <w:rFonts w:hint="eastAsia" w:ascii="宋体" w:hAnsi="宋体" w:cs="宋体"/>
          <w:b/>
          <w:bCs/>
          <w:color w:val="auto"/>
          <w:sz w:val="36"/>
          <w:szCs w:val="36"/>
          <w:highlight w:val="none"/>
        </w:rPr>
        <w:t>〕</w:t>
      </w:r>
      <w:r>
        <w:rPr>
          <w:rFonts w:hint="eastAsia" w:asciiTheme="minorEastAsia" w:hAnsiTheme="minorEastAsia" w:eastAsiaTheme="minorEastAsia" w:cstheme="minorEastAsia"/>
          <w:b/>
          <w:bCs/>
          <w:color w:val="auto"/>
          <w:sz w:val="36"/>
          <w:szCs w:val="36"/>
          <w:highlight w:val="none"/>
          <w:lang w:val="en-US" w:eastAsia="zh-CN"/>
        </w:rPr>
        <w:t>21-2</w:t>
      </w:r>
      <w:r>
        <w:rPr>
          <w:rFonts w:hint="eastAsia" w:asciiTheme="minorEastAsia" w:hAnsiTheme="minorEastAsia" w:eastAsiaTheme="minorEastAsia" w:cstheme="minorEastAsia"/>
          <w:b/>
          <w:bCs/>
          <w:color w:val="auto"/>
          <w:sz w:val="36"/>
          <w:szCs w:val="36"/>
          <w:highlight w:val="none"/>
        </w:rPr>
        <w:t>号</w:t>
      </w:r>
    </w:p>
    <w:p>
      <w:pPr>
        <w:jc w:val="center"/>
        <w:rPr>
          <w:rFonts w:asciiTheme="minorEastAsia" w:hAnsiTheme="minorEastAsia" w:eastAsiaTheme="minorEastAsia" w:cstheme="minorEastAsia"/>
          <w:color w:val="auto"/>
          <w:sz w:val="30"/>
          <w:highlight w:val="none"/>
        </w:rPr>
      </w:pPr>
    </w:p>
    <w:p>
      <w:pPr>
        <w:rPr>
          <w:rFonts w:asciiTheme="minorEastAsia" w:hAnsiTheme="minorEastAsia" w:eastAsiaTheme="minorEastAsia" w:cstheme="minorEastAsia"/>
          <w:color w:val="auto"/>
          <w:sz w:val="30"/>
          <w:highlight w:val="none"/>
        </w:rPr>
      </w:pPr>
    </w:p>
    <w:p>
      <w:pPr>
        <w:rPr>
          <w:rFonts w:asciiTheme="minorEastAsia" w:hAnsiTheme="minorEastAsia" w:eastAsiaTheme="minorEastAsia" w:cstheme="minorEastAsia"/>
          <w:color w:val="auto"/>
          <w:highlight w:val="none"/>
        </w:rPr>
      </w:pPr>
    </w:p>
    <w:p>
      <w:pPr>
        <w:pStyle w:val="10"/>
        <w:rPr>
          <w:rFonts w:asciiTheme="minorEastAsia" w:hAnsiTheme="minorEastAsia" w:eastAsiaTheme="minorEastAsia" w:cstheme="minorEastAsia"/>
          <w:color w:val="auto"/>
          <w:highlight w:val="none"/>
        </w:rPr>
      </w:pPr>
    </w:p>
    <w:p>
      <w:pPr>
        <w:pStyle w:val="11"/>
        <w:rPr>
          <w:rFonts w:asciiTheme="minorEastAsia" w:hAnsiTheme="minorEastAsia" w:eastAsiaTheme="minorEastAsia" w:cstheme="minorEastAsia"/>
          <w:color w:val="auto"/>
          <w:highlight w:val="none"/>
        </w:rPr>
      </w:pPr>
    </w:p>
    <w:p>
      <w:pPr>
        <w:pStyle w:val="10"/>
        <w:rPr>
          <w:color w:val="auto"/>
          <w:highlight w:val="none"/>
        </w:rPr>
      </w:pPr>
    </w:p>
    <w:p>
      <w:pPr>
        <w:ind w:firstLine="1928" w:firstLineChars="600"/>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rPr>
        <w:t>采 购 人：</w:t>
      </w:r>
      <w:r>
        <w:rPr>
          <w:rFonts w:hint="eastAsia" w:asciiTheme="minorEastAsia" w:hAnsiTheme="minorEastAsia" w:eastAsiaTheme="minorEastAsia" w:cstheme="minorEastAsia"/>
          <w:b/>
          <w:bCs/>
          <w:color w:val="auto"/>
          <w:sz w:val="32"/>
          <w:szCs w:val="32"/>
          <w:highlight w:val="none"/>
          <w:lang w:val="en-US" w:eastAsia="zh-CN"/>
        </w:rPr>
        <w:t>博爱县林业发展服务中心</w:t>
      </w:r>
    </w:p>
    <w:p>
      <w:pPr>
        <w:ind w:firstLine="1928" w:firstLineChars="60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代理机构：博爱县城市建设项目管理有限公司</w:t>
      </w:r>
    </w:p>
    <w:p>
      <w:pPr>
        <w:ind w:firstLine="1928" w:firstLineChars="600"/>
        <w:rPr>
          <w:rFonts w:asciiTheme="minorEastAsia" w:hAnsiTheme="minorEastAsia" w:eastAsiaTheme="minorEastAsia" w:cstheme="minorEastAsia"/>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color w:val="auto"/>
          <w:sz w:val="32"/>
          <w:szCs w:val="32"/>
          <w:highlight w:val="none"/>
        </w:rPr>
        <w:t>日    期：2022年</w:t>
      </w:r>
      <w:r>
        <w:rPr>
          <w:rFonts w:hint="eastAsia" w:asciiTheme="minorEastAsia" w:hAnsiTheme="minorEastAsia" w:eastAsiaTheme="minorEastAsia" w:cstheme="minorEastAsia"/>
          <w:b/>
          <w:bCs/>
          <w:color w:val="auto"/>
          <w:sz w:val="32"/>
          <w:szCs w:val="32"/>
          <w:highlight w:val="none"/>
          <w:lang w:val="en-US" w:eastAsia="zh-CN"/>
        </w:rPr>
        <w:t>5</w:t>
      </w:r>
      <w:r>
        <w:rPr>
          <w:rFonts w:hint="eastAsia" w:asciiTheme="minorEastAsia" w:hAnsiTheme="minorEastAsia" w:eastAsiaTheme="minorEastAsia" w:cstheme="minorEastAsia"/>
          <w:b/>
          <w:bCs/>
          <w:color w:val="auto"/>
          <w:sz w:val="32"/>
          <w:szCs w:val="32"/>
          <w:highlight w:val="none"/>
        </w:rPr>
        <w:t>月</w:t>
      </w:r>
    </w:p>
    <w:p>
      <w:pPr>
        <w:jc w:val="center"/>
        <w:rPr>
          <w:rFonts w:hint="eastAsia" w:asciiTheme="minorEastAsia" w:hAnsiTheme="minorEastAsia" w:eastAsiaTheme="minorEastAsia" w:cstheme="minorEastAsia"/>
          <w:b/>
          <w:bCs/>
          <w:color w:val="auto"/>
          <w:sz w:val="32"/>
          <w:szCs w:val="32"/>
          <w:highlight w:val="none"/>
        </w:rPr>
      </w:pPr>
    </w:p>
    <w:p>
      <w:pPr>
        <w:jc w:val="center"/>
        <w:rPr>
          <w:rFonts w:hint="eastAsia" w:asciiTheme="minorEastAsia" w:hAnsiTheme="minorEastAsia" w:eastAsiaTheme="minorEastAsia" w:cstheme="minorEastAsia"/>
          <w:b/>
          <w:bCs/>
          <w:color w:val="auto"/>
          <w:kern w:val="2"/>
          <w:sz w:val="44"/>
          <w:szCs w:val="44"/>
          <w:highlight w:val="none"/>
          <w:lang w:val="en-US" w:eastAsia="zh-CN" w:bidi="ar-SA"/>
        </w:rPr>
      </w:pPr>
      <w:r>
        <w:rPr>
          <w:rFonts w:hint="eastAsia" w:asciiTheme="minorEastAsia" w:hAnsiTheme="minorEastAsia" w:eastAsiaTheme="minorEastAsia" w:cstheme="minorEastAsia"/>
          <w:b/>
          <w:bCs/>
          <w:color w:val="auto"/>
          <w:sz w:val="44"/>
          <w:szCs w:val="44"/>
          <w:highlight w:val="none"/>
        </w:rPr>
        <w:t>目     录</w:t>
      </w:r>
    </w:p>
    <w:p>
      <w:pPr>
        <w:pStyle w:val="17"/>
        <w:tabs>
          <w:tab w:val="right" w:leader="dot" w:pos="9880"/>
        </w:tabs>
        <w:rPr>
          <w:color w:val="auto"/>
          <w:highlight w:val="none"/>
        </w:rPr>
      </w:pPr>
      <w:r>
        <w:rPr>
          <w:rFonts w:hint="eastAsia" w:asciiTheme="minorEastAsia" w:hAnsiTheme="minorEastAsia" w:eastAsiaTheme="minorEastAsia" w:cstheme="minorEastAsia"/>
          <w:b/>
          <w:bCs/>
          <w:color w:val="auto"/>
          <w:szCs w:val="21"/>
          <w:highlight w:val="none"/>
          <w:lang w:val="zh-CN"/>
        </w:rPr>
        <w:fldChar w:fldCharType="begin"/>
      </w:r>
      <w:r>
        <w:rPr>
          <w:rFonts w:hint="eastAsia" w:asciiTheme="minorEastAsia" w:hAnsiTheme="minorEastAsia" w:eastAsiaTheme="minorEastAsia" w:cstheme="minorEastAsia"/>
          <w:b/>
          <w:bCs/>
          <w:color w:val="auto"/>
          <w:szCs w:val="21"/>
          <w:highlight w:val="none"/>
          <w:lang w:val="zh-CN"/>
        </w:rPr>
        <w:instrText xml:space="preserve"> TOC \o "1-3" \h \z \u </w:instrText>
      </w:r>
      <w:r>
        <w:rPr>
          <w:rFonts w:hint="eastAsia" w:asciiTheme="minorEastAsia" w:hAnsiTheme="minorEastAsia" w:eastAsiaTheme="minorEastAsia" w:cstheme="minorEastAsia"/>
          <w:b/>
          <w:bCs/>
          <w:color w:val="auto"/>
          <w:szCs w:val="21"/>
          <w:highlight w:val="none"/>
          <w:lang w:val="zh-CN"/>
        </w:rPr>
        <w:fldChar w:fldCharType="separate"/>
      </w:r>
      <w:r>
        <w:rPr>
          <w:rFonts w:hint="eastAsia" w:asciiTheme="minorEastAsia" w:hAnsiTheme="minorEastAsia" w:eastAsiaTheme="minorEastAsia" w:cstheme="minorEastAsia"/>
          <w:bCs/>
          <w:color w:val="auto"/>
          <w:szCs w:val="21"/>
          <w:highlight w:val="none"/>
          <w:lang w:val="zh-CN"/>
        </w:rPr>
        <w:fldChar w:fldCharType="begin"/>
      </w:r>
      <w:r>
        <w:rPr>
          <w:rFonts w:hint="eastAsia" w:asciiTheme="minorEastAsia" w:hAnsiTheme="minorEastAsia" w:eastAsiaTheme="minorEastAsia" w:cstheme="minorEastAsia"/>
          <w:bCs/>
          <w:color w:val="auto"/>
          <w:szCs w:val="21"/>
          <w:highlight w:val="none"/>
          <w:lang w:val="zh-CN"/>
        </w:rPr>
        <w:instrText xml:space="preserve"> HYPERLINK \l _Toc27735 </w:instrText>
      </w:r>
      <w:r>
        <w:rPr>
          <w:rFonts w:hint="eastAsia" w:asciiTheme="minorEastAsia" w:hAnsiTheme="minorEastAsia" w:eastAsiaTheme="minorEastAsia" w:cstheme="minorEastAsia"/>
          <w:bCs/>
          <w:color w:val="auto"/>
          <w:szCs w:val="21"/>
          <w:highlight w:val="none"/>
          <w:lang w:val="zh-CN"/>
        </w:rPr>
        <w:fldChar w:fldCharType="separate"/>
      </w:r>
      <w:r>
        <w:rPr>
          <w:rFonts w:hint="eastAsia"/>
          <w:color w:val="auto"/>
          <w:highlight w:val="none"/>
          <w:lang w:val="en-US" w:eastAsia="zh-CN"/>
        </w:rPr>
        <w:t>重要事项提示</w:t>
      </w:r>
      <w:r>
        <w:rPr>
          <w:color w:val="auto"/>
          <w:highlight w:val="none"/>
        </w:rPr>
        <w:tab/>
      </w:r>
      <w:r>
        <w:rPr>
          <w:color w:val="auto"/>
          <w:highlight w:val="none"/>
        </w:rPr>
        <w:fldChar w:fldCharType="begin"/>
      </w:r>
      <w:r>
        <w:rPr>
          <w:color w:val="auto"/>
          <w:highlight w:val="none"/>
        </w:rPr>
        <w:instrText xml:space="preserve"> PAGEREF _Toc27735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eastAsiaTheme="minorEastAsia" w:cstheme="minorEastAsia"/>
          <w:bCs/>
          <w:color w:val="auto"/>
          <w:szCs w:val="21"/>
          <w:highlight w:val="none"/>
          <w:lang w:val="zh-CN"/>
        </w:rPr>
        <w:fldChar w:fldCharType="end"/>
      </w:r>
    </w:p>
    <w:p>
      <w:pPr>
        <w:pStyle w:val="17"/>
        <w:tabs>
          <w:tab w:val="right" w:leader="dot" w:pos="9880"/>
        </w:tabs>
        <w:rPr>
          <w:color w:val="auto"/>
          <w:highlight w:val="none"/>
        </w:rPr>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HYPERLINK \l _Toc23622 </w:instrText>
      </w:r>
      <w:r>
        <w:rPr>
          <w:rFonts w:hint="eastAsia" w:asciiTheme="minorEastAsia" w:hAnsiTheme="minorEastAsia" w:eastAsiaTheme="minorEastAsia" w:cstheme="minorEastAsia"/>
          <w:bCs/>
          <w:caps/>
          <w:color w:val="auto"/>
          <w:szCs w:val="21"/>
          <w:highlight w:val="none"/>
          <w:lang w:val="zh-CN"/>
        </w:rPr>
        <w:fldChar w:fldCharType="separate"/>
      </w:r>
      <w:r>
        <w:rPr>
          <w:rFonts w:hint="eastAsia"/>
          <w:color w:val="auto"/>
          <w:highlight w:val="none"/>
        </w:rPr>
        <w:t xml:space="preserve">第一章 </w:t>
      </w:r>
      <w:r>
        <w:rPr>
          <w:rFonts w:hint="eastAsia" w:asciiTheme="minorEastAsia" w:hAnsiTheme="minorEastAsia" w:eastAsiaTheme="minorEastAsia" w:cstheme="minorEastAsia"/>
          <w:bCs/>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_Toc23622 \h </w:instrText>
      </w:r>
      <w:r>
        <w:rPr>
          <w:color w:val="auto"/>
          <w:highlight w:val="none"/>
        </w:rPr>
        <w:fldChar w:fldCharType="separate"/>
      </w:r>
      <w:r>
        <w:rPr>
          <w:color w:val="auto"/>
          <w:highlight w:val="none"/>
        </w:rPr>
        <w:t>- 5 -</w:t>
      </w:r>
      <w:r>
        <w:rPr>
          <w:color w:val="auto"/>
          <w:highlight w:val="none"/>
        </w:rP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17"/>
        <w:tabs>
          <w:tab w:val="right" w:leader="dot" w:pos="9880"/>
        </w:tabs>
        <w:rPr>
          <w:color w:val="auto"/>
          <w:highlight w:val="none"/>
        </w:rPr>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HYPERLINK \l _Toc21974 </w:instrText>
      </w:r>
      <w:r>
        <w:rPr>
          <w:rFonts w:hint="eastAsia" w:asciiTheme="minorEastAsia" w:hAnsiTheme="minorEastAsia" w:eastAsiaTheme="minorEastAsia" w:cstheme="minorEastAsia"/>
          <w:bCs/>
          <w:caps/>
          <w:color w:val="auto"/>
          <w:szCs w:val="21"/>
          <w:highlight w:val="none"/>
          <w:lang w:val="zh-CN"/>
        </w:rPr>
        <w:fldChar w:fldCharType="separate"/>
      </w:r>
      <w:r>
        <w:rPr>
          <w:rFonts w:hint="eastAsia" w:asciiTheme="minorEastAsia" w:hAnsiTheme="minorEastAsia" w:eastAsiaTheme="minorEastAsia" w:cstheme="minorEastAsia"/>
          <w:color w:val="auto"/>
          <w:szCs w:val="32"/>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_Toc21974 \h </w:instrText>
      </w:r>
      <w:r>
        <w:rPr>
          <w:color w:val="auto"/>
          <w:highlight w:val="none"/>
        </w:rPr>
        <w:fldChar w:fldCharType="separate"/>
      </w:r>
      <w:r>
        <w:rPr>
          <w:color w:val="auto"/>
          <w:highlight w:val="none"/>
        </w:rPr>
        <w:t>- 8 -</w:t>
      </w:r>
      <w:r>
        <w:rPr>
          <w:color w:val="auto"/>
          <w:highlight w:val="none"/>
        </w:rP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17"/>
        <w:tabs>
          <w:tab w:val="right" w:leader="dot" w:pos="9880"/>
        </w:tabs>
        <w:rPr>
          <w:color w:val="auto"/>
          <w:highlight w:val="none"/>
        </w:rPr>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HYPERLINK \l _Toc8251 </w:instrText>
      </w:r>
      <w:r>
        <w:rPr>
          <w:rFonts w:hint="eastAsia" w:asciiTheme="minorEastAsia" w:hAnsiTheme="minorEastAsia" w:eastAsiaTheme="minorEastAsia" w:cstheme="minorEastAsia"/>
          <w:bCs/>
          <w:caps/>
          <w:color w:val="auto"/>
          <w:szCs w:val="21"/>
          <w:highlight w:val="none"/>
          <w:lang w:val="zh-CN"/>
        </w:rPr>
        <w:fldChar w:fldCharType="separate"/>
      </w:r>
      <w:r>
        <w:rPr>
          <w:rFonts w:asciiTheme="minorEastAsia" w:hAnsiTheme="minorEastAsia" w:eastAsiaTheme="minorEastAsia" w:cstheme="minorEastAsia"/>
          <w:color w:val="auto"/>
          <w:szCs w:val="36"/>
          <w:highlight w:val="none"/>
        </w:rPr>
        <w:t xml:space="preserve">第三章 </w:t>
      </w:r>
      <w:r>
        <w:rPr>
          <w:rFonts w:hint="eastAsia" w:asciiTheme="minorEastAsia" w:hAnsiTheme="minorEastAsia" w:eastAsiaTheme="minorEastAsia" w:cstheme="minorEastAsia"/>
          <w:color w:val="auto"/>
          <w:szCs w:val="36"/>
          <w:highlight w:val="none"/>
        </w:rPr>
        <w:t>评标办法（综合评分法）</w:t>
      </w:r>
      <w:r>
        <w:rPr>
          <w:color w:val="auto"/>
          <w:highlight w:val="none"/>
        </w:rPr>
        <w:tab/>
      </w:r>
      <w:r>
        <w:rPr>
          <w:color w:val="auto"/>
          <w:highlight w:val="none"/>
        </w:rPr>
        <w:fldChar w:fldCharType="begin"/>
      </w:r>
      <w:r>
        <w:rPr>
          <w:color w:val="auto"/>
          <w:highlight w:val="none"/>
        </w:rPr>
        <w:instrText xml:space="preserve"> PAGEREF _Toc8251 \h </w:instrText>
      </w:r>
      <w:r>
        <w:rPr>
          <w:color w:val="auto"/>
          <w:highlight w:val="none"/>
        </w:rPr>
        <w:fldChar w:fldCharType="separate"/>
      </w:r>
      <w:r>
        <w:rPr>
          <w:color w:val="auto"/>
          <w:highlight w:val="none"/>
        </w:rPr>
        <w:t>- 21 -</w:t>
      </w:r>
      <w:r>
        <w:rPr>
          <w:color w:val="auto"/>
          <w:highlight w:val="none"/>
        </w:rP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17"/>
        <w:tabs>
          <w:tab w:val="right" w:leader="dot" w:pos="9880"/>
        </w:tabs>
        <w:rPr>
          <w:color w:val="auto"/>
          <w:highlight w:val="none"/>
        </w:rPr>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HYPERLINK \l _Toc7325 </w:instrText>
      </w:r>
      <w:r>
        <w:rPr>
          <w:rFonts w:hint="eastAsia" w:asciiTheme="minorEastAsia" w:hAnsiTheme="minorEastAsia" w:eastAsiaTheme="minorEastAsia" w:cstheme="minorEastAsia"/>
          <w:bCs/>
          <w:caps/>
          <w:color w:val="auto"/>
          <w:szCs w:val="21"/>
          <w:highlight w:val="none"/>
          <w:lang w:val="zh-CN"/>
        </w:rPr>
        <w:fldChar w:fldCharType="separate"/>
      </w:r>
      <w:r>
        <w:rPr>
          <w:rFonts w:hint="eastAsia" w:asciiTheme="minorEastAsia" w:hAnsiTheme="minorEastAsia" w:eastAsiaTheme="minorEastAsia" w:cstheme="minorEastAsia"/>
          <w:color w:val="auto"/>
          <w:szCs w:val="36"/>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_Toc7325 \h </w:instrText>
      </w:r>
      <w:r>
        <w:rPr>
          <w:color w:val="auto"/>
          <w:highlight w:val="none"/>
        </w:rPr>
        <w:fldChar w:fldCharType="separate"/>
      </w:r>
      <w:r>
        <w:rPr>
          <w:color w:val="auto"/>
          <w:highlight w:val="none"/>
        </w:rPr>
        <w:t>- 27 -</w:t>
      </w:r>
      <w:r>
        <w:rPr>
          <w:color w:val="auto"/>
          <w:highlight w:val="none"/>
        </w:rP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pStyle w:val="17"/>
        <w:tabs>
          <w:tab w:val="right" w:leader="dot" w:pos="9880"/>
        </w:tabs>
        <w:rPr>
          <w:rFonts w:hint="eastAsia" w:asciiTheme="minorEastAsia" w:hAnsiTheme="minorEastAsia" w:eastAsiaTheme="minorEastAsia" w:cstheme="minorEastAsia"/>
          <w:bCs/>
          <w:caps/>
          <w:color w:val="auto"/>
          <w:szCs w:val="21"/>
          <w:highlight w:val="none"/>
          <w:lang w:val="zh-CN"/>
        </w:rPr>
      </w:pPr>
      <w:r>
        <w:rPr>
          <w:rFonts w:hint="eastAsia" w:asciiTheme="minorEastAsia" w:hAnsiTheme="minorEastAsia" w:eastAsiaTheme="minorEastAsia" w:cstheme="minorEastAsia"/>
          <w:bCs/>
          <w:caps/>
          <w:color w:val="auto"/>
          <w:szCs w:val="21"/>
          <w:highlight w:val="none"/>
          <w:lang w:val="zh-CN"/>
        </w:rPr>
        <w:fldChar w:fldCharType="begin"/>
      </w:r>
      <w:r>
        <w:rPr>
          <w:rFonts w:hint="eastAsia" w:asciiTheme="minorEastAsia" w:hAnsiTheme="minorEastAsia" w:eastAsiaTheme="minorEastAsia" w:cstheme="minorEastAsia"/>
          <w:bCs/>
          <w:caps/>
          <w:color w:val="auto"/>
          <w:szCs w:val="21"/>
          <w:highlight w:val="none"/>
          <w:lang w:val="zh-CN"/>
        </w:rPr>
        <w:instrText xml:space="preserve"> HYPERLINK \l _Toc18967 </w:instrText>
      </w:r>
      <w:r>
        <w:rPr>
          <w:rFonts w:hint="eastAsia" w:asciiTheme="minorEastAsia" w:hAnsiTheme="minorEastAsia" w:eastAsiaTheme="minorEastAsia" w:cstheme="minorEastAsia"/>
          <w:bCs/>
          <w:caps/>
          <w:color w:val="auto"/>
          <w:szCs w:val="21"/>
          <w:highlight w:val="none"/>
          <w:lang w:val="zh-CN"/>
        </w:rPr>
        <w:fldChar w:fldCharType="separate"/>
      </w:r>
      <w:r>
        <w:rPr>
          <w:rFonts w:hint="eastAsia"/>
          <w:bCs/>
          <w:color w:val="auto"/>
          <w:szCs w:val="32"/>
          <w:highlight w:val="none"/>
        </w:rPr>
        <w:t>第五章采购内容及需求</w:t>
      </w:r>
      <w:r>
        <w:rPr>
          <w:color w:val="auto"/>
          <w:highlight w:val="none"/>
        </w:rPr>
        <w:tab/>
      </w:r>
      <w:r>
        <w:rPr>
          <w:color w:val="auto"/>
          <w:highlight w:val="none"/>
        </w:rPr>
        <w:fldChar w:fldCharType="begin"/>
      </w:r>
      <w:r>
        <w:rPr>
          <w:color w:val="auto"/>
          <w:highlight w:val="none"/>
        </w:rPr>
        <w:instrText xml:space="preserve"> PAGEREF _Toc18967 \h </w:instrText>
      </w:r>
      <w:r>
        <w:rPr>
          <w:color w:val="auto"/>
          <w:highlight w:val="none"/>
        </w:rPr>
        <w:fldChar w:fldCharType="separate"/>
      </w:r>
      <w:r>
        <w:rPr>
          <w:color w:val="auto"/>
          <w:highlight w:val="none"/>
        </w:rPr>
        <w:t>- 29 -</w:t>
      </w:r>
      <w:r>
        <w:rPr>
          <w:color w:val="auto"/>
          <w:highlight w:val="none"/>
        </w:rPr>
        <w:fldChar w:fldCharType="end"/>
      </w:r>
      <w:r>
        <w:rPr>
          <w:rFonts w:hint="eastAsia" w:asciiTheme="minorEastAsia" w:hAnsiTheme="minorEastAsia" w:eastAsiaTheme="minorEastAsia" w:cstheme="minorEastAsia"/>
          <w:bCs/>
          <w:caps/>
          <w:color w:val="auto"/>
          <w:szCs w:val="21"/>
          <w:highlight w:val="none"/>
          <w:lang w:val="zh-CN"/>
        </w:rPr>
        <w:fldChar w:fldCharType="end"/>
      </w:r>
    </w:p>
    <w:p>
      <w:pPr>
        <w:rPr>
          <w:rFonts w:hint="eastAsia"/>
          <w:color w:val="auto"/>
          <w:highlight w:val="none"/>
          <w:lang w:val="en-US" w:eastAsia="zh-CN"/>
        </w:rPr>
      </w:pPr>
      <w:r>
        <w:rPr>
          <w:rFonts w:hint="eastAsia"/>
          <w:color w:val="auto"/>
          <w:highlight w:val="none"/>
          <w:lang w:eastAsia="zh-CN"/>
        </w:rPr>
        <w:t>第</w:t>
      </w:r>
      <w:r>
        <w:rPr>
          <w:rFonts w:hint="eastAsia"/>
          <w:color w:val="auto"/>
          <w:highlight w:val="none"/>
          <w:lang w:val="en-US" w:eastAsia="zh-CN"/>
        </w:rPr>
        <w:t>六章 质疑与投诉...................................................................................................................................................-34-</w:t>
      </w:r>
    </w:p>
    <w:p>
      <w:pPr>
        <w:rPr>
          <w:rFonts w:hint="default"/>
          <w:color w:val="auto"/>
          <w:highlight w:val="none"/>
          <w:lang w:val="en-US" w:eastAsia="zh-CN"/>
        </w:rPr>
      </w:pPr>
      <w:r>
        <w:rPr>
          <w:rFonts w:hint="eastAsia"/>
          <w:color w:val="auto"/>
          <w:highlight w:val="none"/>
          <w:lang w:val="en-US" w:eastAsia="zh-CN"/>
        </w:rPr>
        <w:t>第七章 履约验收................................................................................................................................................. .....-36-</w:t>
      </w:r>
    </w:p>
    <w:p>
      <w:pPr>
        <w:rPr>
          <w:color w:val="auto"/>
          <w:highlight w:val="none"/>
        </w:rPr>
      </w:pPr>
      <w:r>
        <w:rPr>
          <w:rFonts w:hint="eastAsia" w:asciiTheme="minorEastAsia" w:hAnsiTheme="minorEastAsia" w:eastAsiaTheme="minorEastAsia" w:cstheme="minorEastAsia"/>
          <w:color w:val="auto"/>
          <w:szCs w:val="36"/>
          <w:highlight w:val="none"/>
        </w:rPr>
        <w:t>第</w:t>
      </w:r>
      <w:r>
        <w:rPr>
          <w:rFonts w:hint="eastAsia" w:asciiTheme="minorEastAsia" w:hAnsiTheme="minorEastAsia" w:eastAsiaTheme="minorEastAsia" w:cstheme="minorEastAsia"/>
          <w:color w:val="auto"/>
          <w:szCs w:val="36"/>
          <w:highlight w:val="none"/>
          <w:lang w:val="en-US" w:eastAsia="zh-CN"/>
        </w:rPr>
        <w:t>八</w:t>
      </w:r>
      <w:r>
        <w:rPr>
          <w:rFonts w:hint="eastAsia" w:asciiTheme="minorEastAsia" w:hAnsiTheme="minorEastAsia" w:eastAsiaTheme="minorEastAsia" w:cstheme="minorEastAsia"/>
          <w:color w:val="auto"/>
          <w:szCs w:val="36"/>
          <w:highlight w:val="none"/>
        </w:rPr>
        <w:t>章  投标文件格式</w:t>
      </w:r>
      <w:r>
        <w:rPr>
          <w:rFonts w:hint="eastAsia"/>
          <w:color w:val="auto"/>
          <w:highlight w:val="none"/>
          <w:lang w:val="en-US" w:eastAsia="zh-CN"/>
        </w:rPr>
        <w:t>.......................................................................................................................... ................</w:t>
      </w:r>
      <w:r>
        <w:rPr>
          <w:color w:val="auto"/>
          <w:highlight w:val="none"/>
        </w:rPr>
        <w:fldChar w:fldCharType="begin"/>
      </w:r>
      <w:r>
        <w:rPr>
          <w:color w:val="auto"/>
          <w:highlight w:val="none"/>
        </w:rPr>
        <w:instrText xml:space="preserve"> PAGEREF _Toc12999 \h </w:instrText>
      </w:r>
      <w:r>
        <w:rPr>
          <w:color w:val="auto"/>
          <w:highlight w:val="none"/>
        </w:rPr>
        <w:fldChar w:fldCharType="separate"/>
      </w:r>
      <w:r>
        <w:rPr>
          <w:color w:val="auto"/>
          <w:highlight w:val="none"/>
        </w:rPr>
        <w:t>- 33 -</w:t>
      </w:r>
      <w:r>
        <w:rPr>
          <w:color w:val="auto"/>
          <w:highlight w:val="none"/>
        </w:rPr>
        <w:fldChar w:fldCharType="end"/>
      </w:r>
    </w:p>
    <w:p>
      <w:pPr>
        <w:pStyle w:val="18"/>
        <w:tabs>
          <w:tab w:val="right" w:leader="dot" w:pos="9880"/>
        </w:tabs>
        <w:rPr>
          <w:color w:val="auto"/>
          <w:highlight w:val="none"/>
        </w:rPr>
      </w:pPr>
    </w:p>
    <w:p>
      <w:pPr>
        <w:spacing w:line="520" w:lineRule="exact"/>
        <w:ind w:right="-273" w:rightChars="-13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aps/>
          <w:color w:val="auto"/>
          <w:szCs w:val="21"/>
          <w:highlight w:val="none"/>
          <w:lang w:val="zh-CN"/>
        </w:rPr>
        <w:fldChar w:fldCharType="end"/>
      </w:r>
    </w:p>
    <w:p>
      <w:pPr>
        <w:pStyle w:val="20"/>
        <w:spacing w:line="360" w:lineRule="auto"/>
        <w:ind w:right="-63" w:rightChars="-30"/>
        <w:rPr>
          <w:rFonts w:asciiTheme="minorEastAsia" w:hAnsiTheme="minorEastAsia" w:eastAsiaTheme="minorEastAsia" w:cstheme="minorEastAsia"/>
          <w:bCs/>
          <w:color w:val="auto"/>
          <w:highlight w:val="none"/>
        </w:rPr>
      </w:pPr>
    </w:p>
    <w:p>
      <w:pPr>
        <w:pStyle w:val="20"/>
        <w:spacing w:line="360" w:lineRule="auto"/>
        <w:ind w:right="-63" w:rightChars="-30"/>
        <w:rPr>
          <w:rFonts w:asciiTheme="minorEastAsia" w:hAnsiTheme="minorEastAsia" w:eastAsiaTheme="minorEastAsia" w:cstheme="minorEastAsia"/>
          <w:bCs/>
          <w:color w:val="auto"/>
          <w:highlight w:val="none"/>
        </w:rPr>
      </w:pPr>
    </w:p>
    <w:p>
      <w:pPr>
        <w:pStyle w:val="20"/>
        <w:spacing w:line="360" w:lineRule="auto"/>
        <w:ind w:right="-63" w:rightChars="-30"/>
        <w:rPr>
          <w:rFonts w:asciiTheme="minorEastAsia" w:hAnsiTheme="minorEastAsia" w:eastAsiaTheme="minorEastAsia" w:cstheme="minorEastAsia"/>
          <w:bCs/>
          <w:color w:val="auto"/>
          <w:highlight w:val="none"/>
        </w:rPr>
      </w:pPr>
    </w:p>
    <w:p>
      <w:pPr>
        <w:pStyle w:val="20"/>
        <w:spacing w:line="360" w:lineRule="auto"/>
        <w:ind w:right="-63" w:rightChars="-30"/>
        <w:rPr>
          <w:rFonts w:asciiTheme="minorEastAsia" w:hAnsiTheme="minorEastAsia" w:eastAsiaTheme="minorEastAsia" w:cstheme="minorEastAsia"/>
          <w:bCs/>
          <w:color w:val="auto"/>
          <w:highlight w:val="none"/>
        </w:rPr>
      </w:pPr>
    </w:p>
    <w:p>
      <w:pPr>
        <w:pStyle w:val="20"/>
        <w:spacing w:line="360" w:lineRule="auto"/>
        <w:ind w:right="-63" w:rightChars="-30"/>
        <w:rPr>
          <w:rFonts w:asciiTheme="minorEastAsia" w:hAnsiTheme="minorEastAsia" w:eastAsiaTheme="minorEastAsia" w:cstheme="minorEastAsia"/>
          <w:bCs/>
          <w:color w:val="auto"/>
          <w:highlight w:val="none"/>
        </w:rPr>
      </w:pPr>
    </w:p>
    <w:p>
      <w:pPr>
        <w:pStyle w:val="20"/>
        <w:spacing w:line="360" w:lineRule="auto"/>
        <w:ind w:right="-63" w:rightChars="-30"/>
        <w:rPr>
          <w:rFonts w:asciiTheme="minorEastAsia" w:hAnsiTheme="minorEastAsia" w:eastAsiaTheme="minorEastAsia" w:cstheme="minorEastAsia"/>
          <w:bCs/>
          <w:color w:val="auto"/>
          <w:highlight w:val="none"/>
        </w:rPr>
      </w:pPr>
    </w:p>
    <w:p>
      <w:pPr>
        <w:pStyle w:val="20"/>
        <w:spacing w:line="360" w:lineRule="auto"/>
        <w:ind w:right="-63" w:rightChars="-30"/>
        <w:rPr>
          <w:rFonts w:asciiTheme="minorEastAsia" w:hAnsiTheme="minorEastAsia" w:eastAsiaTheme="minorEastAsia" w:cstheme="minorEastAsia"/>
          <w:bCs/>
          <w:color w:val="auto"/>
          <w:highlight w:val="none"/>
        </w:rPr>
      </w:pPr>
    </w:p>
    <w:p>
      <w:pPr>
        <w:pStyle w:val="20"/>
        <w:spacing w:line="360" w:lineRule="auto"/>
        <w:ind w:right="-63" w:rightChars="-30"/>
        <w:rPr>
          <w:rFonts w:asciiTheme="minorEastAsia" w:hAnsiTheme="minorEastAsia" w:eastAsiaTheme="minorEastAsia" w:cstheme="minorEastAsia"/>
          <w:bCs/>
          <w:color w:val="auto"/>
          <w:highlight w:val="none"/>
        </w:rPr>
      </w:pPr>
    </w:p>
    <w:p>
      <w:pPr>
        <w:pStyle w:val="4"/>
        <w:bidi w:val="0"/>
        <w:rPr>
          <w:rFonts w:hint="eastAsia" w:ascii="宋体" w:hAnsi="宋体" w:eastAsia="宋体" w:cs="宋体"/>
          <w:b/>
          <w:bCs/>
          <w:color w:val="auto"/>
          <w:szCs w:val="44"/>
          <w:highlight w:val="none"/>
          <w:lang w:val="en-US" w:eastAsia="zh-CN"/>
        </w:rPr>
      </w:pPr>
      <w:bookmarkStart w:id="1" w:name="_Toc27735"/>
      <w:r>
        <w:rPr>
          <w:rFonts w:hint="eastAsia"/>
          <w:color w:val="auto"/>
          <w:highlight w:val="none"/>
          <w:lang w:val="en-US" w:eastAsia="zh-CN"/>
        </w:rPr>
        <w:t>重要事项提示</w:t>
      </w:r>
      <w:bookmarkEnd w:id="1"/>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各潜在投标人：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以下环节是此采购文件中需要重点关注的环节，对以下内容的忽视，可能是影响贵公司中标的重要因素。请在编制相应文件参与政府采购时高度重视。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1、采购文件应通过焦作市公共资源交易中心网站会员系统进行网上下载；未使用</w:t>
      </w:r>
      <w:r>
        <w:rPr>
          <w:rFonts w:hint="eastAsia" w:ascii="宋体" w:hAnsi="宋体" w:eastAsia="宋体" w:cs="Times New Roman"/>
          <w:b w:val="0"/>
          <w:bCs/>
          <w:color w:val="auto"/>
          <w:kern w:val="0"/>
          <w:sz w:val="24"/>
          <w:szCs w:val="24"/>
          <w:highlight w:val="none"/>
          <w:lang w:val="en-US" w:eastAsia="zh-CN" w:bidi="ar-SA"/>
        </w:rPr>
        <w:t>企业 CA 密匙</w:t>
      </w:r>
      <w:r>
        <w:rPr>
          <w:rFonts w:hint="eastAsia" w:ascii="宋体" w:hAnsi="宋体" w:eastAsia="宋体" w:cs="宋体"/>
          <w:color w:val="auto"/>
          <w:sz w:val="24"/>
          <w:szCs w:val="24"/>
          <w:highlight w:val="none"/>
          <w:lang w:val="en-US" w:eastAsia="zh-CN"/>
        </w:rPr>
        <w:t>登录焦作市公共资源交易中心网站会员系统进行网上下载文件的，投标视为无效；</w:t>
      </w:r>
    </w:p>
    <w:p>
      <w:pPr>
        <w:pStyle w:val="19"/>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pPr>
        <w:pStyle w:val="19"/>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pStyle w:val="19"/>
        <w:keepNext w:val="0"/>
        <w:keepLines w:val="0"/>
        <w:pageBreakBefore w:val="0"/>
        <w:numPr>
          <w:ilvl w:val="0"/>
          <w:numId w:val="2"/>
        </w:numPr>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有下列情形之一的，将作为自动放弃、无效投标或废标处理：</w:t>
      </w:r>
    </w:p>
    <w:p>
      <w:pPr>
        <w:pStyle w:val="19"/>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在</w:t>
      </w:r>
      <w:r>
        <w:rPr>
          <w:rFonts w:hint="eastAsia" w:cs="Times New Roman"/>
          <w:color w:val="auto"/>
          <w:kern w:val="0"/>
          <w:sz w:val="24"/>
          <w:highlight w:val="none"/>
          <w:lang w:val="en-US" w:eastAsia="zh-CN"/>
        </w:rPr>
        <w:t>投标</w:t>
      </w:r>
      <w:r>
        <w:rPr>
          <w:rFonts w:hint="eastAsia" w:ascii="宋体" w:hAnsi="宋体" w:eastAsia="宋体" w:cs="Times New Roman"/>
          <w:color w:val="auto"/>
          <w:kern w:val="0"/>
          <w:sz w:val="24"/>
          <w:highlight w:val="none"/>
          <w:lang w:val="en-US" w:eastAsia="zh-CN"/>
        </w:rPr>
        <w:t>文件中对同一采购项目有两个或多个报价，且未声明哪一个有效的；</w:t>
      </w:r>
    </w:p>
    <w:p>
      <w:pPr>
        <w:pStyle w:val="19"/>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响应文件的关键内容（采购报价、</w:t>
      </w:r>
      <w:r>
        <w:rPr>
          <w:rFonts w:hint="eastAsia" w:ascii="宋体" w:hAnsi="宋体" w:eastAsia="宋体" w:cs="宋体"/>
          <w:color w:val="auto"/>
          <w:kern w:val="0"/>
          <w:sz w:val="24"/>
          <w:highlight w:val="none"/>
          <w:lang w:val="en-US" w:eastAsia="zh-CN"/>
        </w:rPr>
        <w:t>供货期</w:t>
      </w:r>
      <w:r>
        <w:rPr>
          <w:rFonts w:hint="eastAsia" w:ascii="宋体" w:hAnsi="宋体" w:eastAsia="宋体" w:cs="Times New Roman"/>
          <w:color w:val="auto"/>
          <w:kern w:val="0"/>
          <w:sz w:val="24"/>
          <w:highlight w:val="none"/>
          <w:lang w:val="en-US" w:eastAsia="zh-CN"/>
        </w:rPr>
        <w:t>、质量要求、品牌、型号等）未填写或填写字迹模糊无法辨认的；</w:t>
      </w:r>
    </w:p>
    <w:p>
      <w:pPr>
        <w:pStyle w:val="19"/>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相关资格证明文件不合格的；</w:t>
      </w:r>
    </w:p>
    <w:p>
      <w:pPr>
        <w:pStyle w:val="19"/>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采购报价超出控制价的；</w:t>
      </w:r>
    </w:p>
    <w:p>
      <w:pPr>
        <w:pStyle w:val="19"/>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Times New Roman"/>
          <w:color w:val="auto"/>
          <w:kern w:val="0"/>
          <w:sz w:val="24"/>
          <w:highlight w:val="none"/>
          <w:lang w:val="en-US" w:eastAsia="zh-CN"/>
        </w:rPr>
      </w:pPr>
      <w:r>
        <w:rPr>
          <w:rFonts w:hint="eastAsia" w:cs="Times New Roman"/>
          <w:color w:val="auto"/>
          <w:kern w:val="0"/>
          <w:sz w:val="24"/>
          <w:highlight w:val="none"/>
          <w:lang w:val="en-US" w:eastAsia="zh-CN"/>
        </w:rPr>
        <w:t>投标</w:t>
      </w:r>
      <w:r>
        <w:rPr>
          <w:rFonts w:hint="eastAsia" w:ascii="宋体" w:hAnsi="宋体" w:eastAsia="宋体" w:cs="Times New Roman"/>
          <w:color w:val="auto"/>
          <w:kern w:val="0"/>
          <w:sz w:val="24"/>
          <w:highlight w:val="none"/>
          <w:lang w:val="en-US" w:eastAsia="zh-CN"/>
        </w:rPr>
        <w:t>文件中附有采购人不能接受的条件的；</w:t>
      </w:r>
    </w:p>
    <w:p>
      <w:pPr>
        <w:pStyle w:val="19"/>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hint="eastAsia"/>
          <w:color w:val="auto"/>
          <w:highlight w:val="none"/>
          <w:lang w:val="en-US" w:eastAsia="zh-CN"/>
        </w:rPr>
      </w:pPr>
      <w:r>
        <w:rPr>
          <w:rFonts w:hint="eastAsia" w:cs="Times New Roman"/>
          <w:color w:val="auto"/>
          <w:kern w:val="0"/>
          <w:sz w:val="24"/>
          <w:highlight w:val="none"/>
          <w:lang w:val="en-US" w:eastAsia="zh-CN"/>
        </w:rPr>
        <w:t>投标</w:t>
      </w:r>
      <w:r>
        <w:rPr>
          <w:rFonts w:hint="eastAsia" w:ascii="宋体" w:hAnsi="宋体" w:eastAsia="宋体" w:cs="Times New Roman"/>
          <w:color w:val="auto"/>
          <w:kern w:val="0"/>
          <w:sz w:val="24"/>
          <w:highlight w:val="none"/>
          <w:lang w:val="en-US" w:eastAsia="zh-CN"/>
        </w:rPr>
        <w:t>文件有明显不符合采购文件其它要求和有关法律法规的；</w:t>
      </w:r>
    </w:p>
    <w:p>
      <w:pPr>
        <w:pStyle w:val="19"/>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ascii="宋体"/>
          <w:color w:val="auto"/>
          <w:kern w:val="0"/>
          <w:sz w:val="24"/>
          <w:highlight w:val="none"/>
        </w:rPr>
      </w:pPr>
      <w:r>
        <w:rPr>
          <w:rFonts w:hint="eastAsia" w:ascii="宋体" w:hAnsi="宋体" w:eastAsia="宋体" w:cs="Times New Roman"/>
          <w:color w:val="auto"/>
          <w:kern w:val="0"/>
          <w:sz w:val="24"/>
          <w:highlight w:val="none"/>
          <w:lang w:val="en-US" w:eastAsia="zh-CN"/>
        </w:rPr>
        <w:t>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pPr>
        <w:pStyle w:val="19"/>
        <w:keepNext w:val="0"/>
        <w:keepLines w:val="0"/>
        <w:pageBreakBefore w:val="0"/>
        <w:numPr>
          <w:ilvl w:val="0"/>
          <w:numId w:val="3"/>
        </w:numPr>
        <w:kinsoku/>
        <w:wordWrap/>
        <w:overflowPunct/>
        <w:topLinePunct w:val="0"/>
        <w:autoSpaceDN/>
        <w:bidi w:val="0"/>
        <w:spacing w:before="0" w:beforeAutospacing="0" w:after="0" w:afterAutospacing="0" w:line="360" w:lineRule="auto"/>
        <w:ind w:left="0" w:leftChars="0" w:firstLine="480" w:firstLineChars="200"/>
        <w:jc w:val="both"/>
        <w:textAlignment w:val="auto"/>
        <w:rPr>
          <w:rFonts w:ascii="宋体"/>
          <w:color w:val="auto"/>
          <w:kern w:val="0"/>
          <w:sz w:val="24"/>
          <w:highlight w:val="none"/>
        </w:rPr>
      </w:pPr>
      <w:r>
        <w:rPr>
          <w:rFonts w:hint="eastAsia" w:ascii="宋体" w:hAnsi="宋体"/>
          <w:color w:val="auto"/>
          <w:kern w:val="0"/>
          <w:sz w:val="24"/>
          <w:highlight w:val="none"/>
        </w:rPr>
        <w:t>在评标过程中，</w:t>
      </w:r>
      <w:r>
        <w:rPr>
          <w:rFonts w:hint="eastAsia"/>
          <w:color w:val="auto"/>
          <w:kern w:val="0"/>
          <w:sz w:val="24"/>
          <w:highlight w:val="none"/>
          <w:lang w:val="en-US" w:eastAsia="zh-CN"/>
        </w:rPr>
        <w:t>评标委员会</w:t>
      </w:r>
      <w:r>
        <w:rPr>
          <w:rFonts w:hint="eastAsia" w:ascii="宋体" w:hAnsi="宋体"/>
          <w:color w:val="auto"/>
          <w:kern w:val="0"/>
          <w:sz w:val="24"/>
          <w:highlight w:val="none"/>
        </w:rPr>
        <w:t>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w:t>
      </w:r>
      <w:r>
        <w:rPr>
          <w:rFonts w:hint="eastAsia"/>
          <w:color w:val="auto"/>
          <w:kern w:val="0"/>
          <w:sz w:val="24"/>
          <w:highlight w:val="none"/>
          <w:lang w:val="en-US" w:eastAsia="zh-CN"/>
        </w:rPr>
        <w:t>人</w:t>
      </w:r>
      <w:r>
        <w:rPr>
          <w:rFonts w:hint="eastAsia" w:ascii="宋体" w:hAnsi="宋体"/>
          <w:color w:val="auto"/>
          <w:kern w:val="0"/>
          <w:sz w:val="24"/>
          <w:highlight w:val="none"/>
        </w:rPr>
        <w:t>作出书面说明并提供相关证明材料。投标</w:t>
      </w:r>
      <w:r>
        <w:rPr>
          <w:rFonts w:hint="eastAsia"/>
          <w:color w:val="auto"/>
          <w:kern w:val="0"/>
          <w:sz w:val="24"/>
          <w:highlight w:val="none"/>
          <w:lang w:val="en-US" w:eastAsia="zh-CN"/>
        </w:rPr>
        <w:t>人</w:t>
      </w:r>
      <w:r>
        <w:rPr>
          <w:rFonts w:hint="eastAsia" w:ascii="宋体" w:hAnsi="宋体"/>
          <w:color w:val="auto"/>
          <w:kern w:val="0"/>
          <w:sz w:val="24"/>
          <w:highlight w:val="none"/>
        </w:rPr>
        <w:t>不能合理说明或者不能提供相关证明材料的，由</w:t>
      </w:r>
      <w:r>
        <w:rPr>
          <w:rFonts w:hint="eastAsia"/>
          <w:color w:val="auto"/>
          <w:kern w:val="0"/>
          <w:sz w:val="24"/>
          <w:highlight w:val="none"/>
          <w:lang w:val="en-US" w:eastAsia="zh-CN"/>
        </w:rPr>
        <w:t>评标委员会</w:t>
      </w:r>
      <w:r>
        <w:rPr>
          <w:rFonts w:hint="eastAsia" w:ascii="宋体" w:hAnsi="宋体"/>
          <w:color w:val="auto"/>
          <w:kern w:val="0"/>
          <w:sz w:val="24"/>
          <w:highlight w:val="none"/>
        </w:rPr>
        <w:t>认定该投标</w:t>
      </w:r>
      <w:r>
        <w:rPr>
          <w:rFonts w:hint="eastAsia"/>
          <w:color w:val="auto"/>
          <w:kern w:val="0"/>
          <w:sz w:val="24"/>
          <w:highlight w:val="none"/>
          <w:lang w:val="en-US" w:eastAsia="zh-CN"/>
        </w:rPr>
        <w:t>人</w:t>
      </w:r>
      <w:r>
        <w:rPr>
          <w:rFonts w:hint="eastAsia" w:ascii="宋体" w:hAnsi="宋体"/>
          <w:color w:val="auto"/>
          <w:kern w:val="0"/>
          <w:sz w:val="24"/>
          <w:highlight w:val="none"/>
        </w:rPr>
        <w:t>以低于成本报价竞标</w:t>
      </w:r>
      <w:r>
        <w:rPr>
          <w:rFonts w:hint="eastAsia" w:ascii="宋体" w:hAnsi="宋体"/>
          <w:color w:val="auto"/>
          <w:kern w:val="0"/>
          <w:sz w:val="24"/>
          <w:highlight w:val="none"/>
          <w:lang w:val="en-US" w:eastAsia="zh-CN"/>
        </w:rPr>
        <w:t>的</w:t>
      </w:r>
      <w:r>
        <w:rPr>
          <w:rFonts w:hint="eastAsia" w:ascii="宋体" w:hAnsi="宋体"/>
          <w:color w:val="auto"/>
          <w:kern w:val="0"/>
          <w:sz w:val="24"/>
          <w:highlight w:val="none"/>
        </w:rPr>
        <w:t>。</w:t>
      </w:r>
    </w:p>
    <w:p>
      <w:pPr>
        <w:pStyle w:val="4"/>
        <w:pageBreakBefore w:val="0"/>
        <w:kinsoku/>
        <w:wordWrap/>
        <w:overflowPunct/>
        <w:topLinePunct w:val="0"/>
        <w:autoSpaceDN/>
        <w:bidi w:val="0"/>
        <w:spacing w:before="0" w:beforeAutospacing="0" w:after="0" w:afterAutospacing="0" w:line="360" w:lineRule="auto"/>
        <w:ind w:firstLine="643" w:firstLineChars="200"/>
        <w:jc w:val="center"/>
        <w:textAlignment w:val="auto"/>
        <w:rPr>
          <w:rFonts w:hint="eastAsia" w:ascii="宋体" w:hAnsi="宋体" w:eastAsia="宋体" w:cs="宋体"/>
          <w:b/>
          <w:bCs/>
          <w:color w:val="auto"/>
          <w:sz w:val="32"/>
          <w:szCs w:val="32"/>
          <w:highlight w:val="yellow"/>
          <w:lang w:eastAsia="zh-CN"/>
        </w:rPr>
      </w:pPr>
    </w:p>
    <w:p>
      <w:pPr>
        <w:pStyle w:val="4"/>
        <w:pageBreakBefore w:val="0"/>
        <w:kinsoku/>
        <w:wordWrap/>
        <w:overflowPunct/>
        <w:topLinePunct w:val="0"/>
        <w:autoSpaceDN/>
        <w:bidi w:val="0"/>
        <w:spacing w:before="0" w:beforeAutospacing="0" w:after="0" w:afterAutospacing="0" w:line="360" w:lineRule="auto"/>
        <w:ind w:firstLine="643" w:firstLineChars="200"/>
        <w:jc w:val="center"/>
        <w:textAlignment w:val="auto"/>
        <w:rPr>
          <w:rFonts w:hint="eastAsia" w:ascii="宋体" w:hAnsi="宋体" w:eastAsia="宋体" w:cs="宋体"/>
          <w:b/>
          <w:bCs/>
          <w:color w:val="auto"/>
          <w:sz w:val="32"/>
          <w:szCs w:val="32"/>
          <w:highlight w:val="none"/>
          <w:lang w:eastAsia="zh-CN"/>
        </w:rPr>
      </w:pPr>
    </w:p>
    <w:p>
      <w:pPr>
        <w:rPr>
          <w:rFonts w:hint="eastAsia" w:ascii="宋体" w:hAnsi="宋体" w:eastAsia="宋体" w:cs="宋体"/>
          <w:b/>
          <w:bCs/>
          <w:color w:val="auto"/>
          <w:sz w:val="32"/>
          <w:szCs w:val="32"/>
          <w:highlight w:val="none"/>
          <w:lang w:eastAsia="zh-CN"/>
        </w:rPr>
      </w:pPr>
    </w:p>
    <w:p>
      <w:pPr>
        <w:jc w:val="center"/>
        <w:rPr>
          <w:rFonts w:hint="eastAsia" w:asciiTheme="minorEastAsia" w:hAnsiTheme="minorEastAsia" w:eastAsiaTheme="minorEastAsia" w:cstheme="minorEastAsia"/>
          <w:b/>
          <w:bCs/>
          <w:color w:val="auto"/>
          <w:sz w:val="32"/>
          <w:szCs w:val="32"/>
          <w:highlight w:val="none"/>
        </w:rPr>
      </w:pPr>
    </w:p>
    <w:p>
      <w:pPr>
        <w:pStyle w:val="20"/>
        <w:spacing w:line="360" w:lineRule="auto"/>
        <w:ind w:right="-63" w:rightChars="-30"/>
        <w:jc w:val="both"/>
        <w:rPr>
          <w:rFonts w:asciiTheme="minorEastAsia" w:hAnsiTheme="minorEastAsia" w:eastAsiaTheme="minorEastAsia" w:cstheme="minorEastAsia"/>
          <w:bCs/>
          <w:color w:val="auto"/>
          <w:highlight w:val="none"/>
        </w:rPr>
      </w:pPr>
    </w:p>
    <w:p>
      <w:pPr>
        <w:rPr>
          <w:rFonts w:asciiTheme="minorEastAsia" w:hAnsiTheme="minorEastAsia" w:eastAsiaTheme="minorEastAsia" w:cstheme="minorEastAsia"/>
          <w:bCs/>
          <w:color w:val="auto"/>
          <w:highlight w:val="none"/>
        </w:rPr>
      </w:pPr>
    </w:p>
    <w:p>
      <w:pPr>
        <w:pStyle w:val="10"/>
        <w:rPr>
          <w:rFonts w:asciiTheme="minorEastAsia" w:hAnsiTheme="minorEastAsia" w:eastAsiaTheme="minorEastAsia" w:cstheme="minorEastAsia"/>
          <w:bCs/>
          <w:color w:val="auto"/>
          <w:highlight w:val="none"/>
        </w:rPr>
      </w:pPr>
    </w:p>
    <w:p>
      <w:pPr>
        <w:pStyle w:val="11"/>
        <w:rPr>
          <w:rFonts w:asciiTheme="minorEastAsia" w:hAnsiTheme="minorEastAsia" w:eastAsiaTheme="minorEastAsia" w:cstheme="minorEastAsia"/>
          <w:bCs/>
          <w:color w:val="auto"/>
          <w:highlight w:val="none"/>
        </w:rPr>
      </w:pPr>
    </w:p>
    <w:p>
      <w:pPr>
        <w:pStyle w:val="10"/>
        <w:rPr>
          <w:rFonts w:asciiTheme="minorEastAsia" w:hAnsiTheme="minorEastAsia" w:eastAsiaTheme="minorEastAsia" w:cstheme="minorEastAsia"/>
          <w:bCs/>
          <w:color w:val="auto"/>
          <w:highlight w:val="none"/>
        </w:rPr>
      </w:pPr>
    </w:p>
    <w:p>
      <w:pPr>
        <w:pStyle w:val="11"/>
      </w:pPr>
    </w:p>
    <w:p>
      <w:pPr>
        <w:pStyle w:val="10"/>
      </w:pPr>
    </w:p>
    <w:p>
      <w:pPr>
        <w:pStyle w:val="11"/>
      </w:pPr>
    </w:p>
    <w:p>
      <w:pPr>
        <w:pStyle w:val="10"/>
      </w:pPr>
    </w:p>
    <w:p>
      <w:pPr>
        <w:pStyle w:val="20"/>
        <w:numPr>
          <w:ilvl w:val="0"/>
          <w:numId w:val="4"/>
        </w:numPr>
        <w:spacing w:line="360" w:lineRule="auto"/>
        <w:ind w:right="-63" w:rightChars="-30"/>
        <w:rPr>
          <w:color w:val="auto"/>
          <w:highlight w:val="none"/>
        </w:rPr>
      </w:pPr>
      <w:r>
        <w:rPr>
          <w:rFonts w:hint="eastAsia" w:asciiTheme="minorEastAsia" w:hAnsiTheme="minorEastAsia" w:eastAsiaTheme="minorEastAsia" w:cstheme="minorEastAsia"/>
          <w:bCs/>
          <w:color w:val="auto"/>
          <w:highlight w:val="none"/>
        </w:rPr>
        <w:t xml:space="preserve">  </w:t>
      </w:r>
      <w:bookmarkStart w:id="2" w:name="_Toc23622"/>
      <w:r>
        <w:rPr>
          <w:rFonts w:hint="eastAsia" w:asciiTheme="minorEastAsia" w:hAnsiTheme="minorEastAsia" w:eastAsiaTheme="minorEastAsia" w:cstheme="minorEastAsia"/>
          <w:bCs/>
          <w:color w:val="auto"/>
          <w:highlight w:val="none"/>
        </w:rPr>
        <w:t>招标公告</w:t>
      </w:r>
      <w:bookmarkEnd w:id="2"/>
    </w:p>
    <w:p>
      <w:pPr>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博爱县林业发展服务中心实施县乡两级森林防火物资采购项目</w:t>
      </w:r>
      <w:r>
        <w:rPr>
          <w:rFonts w:hint="eastAsia" w:asciiTheme="minorEastAsia" w:hAnsiTheme="minorEastAsia" w:eastAsiaTheme="minorEastAsia" w:cstheme="minorEastAsia"/>
          <w:b/>
          <w:bCs/>
          <w:color w:val="auto"/>
          <w:sz w:val="32"/>
          <w:szCs w:val="32"/>
          <w:highlight w:val="none"/>
          <w:lang w:val="en-US" w:eastAsia="zh-CN"/>
        </w:rPr>
        <w:t xml:space="preserve"> </w:t>
      </w:r>
    </w:p>
    <w:tbl>
      <w:tblPr>
        <w:tblStyle w:val="22"/>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pStyle w:val="2"/>
              <w:spacing w:line="440" w:lineRule="exact"/>
              <w:ind w:firstLine="480"/>
              <w:rPr>
                <w:rFonts w:ascii="宋体" w:hAnsi="宋体" w:cs="宋体"/>
                <w:color w:val="auto"/>
                <w:sz w:val="24"/>
                <w:highlight w:val="none"/>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博爱县林业发展服务中心实施县乡两级森林防火物资采购项目</w:t>
            </w:r>
            <w:r>
              <w:rPr>
                <w:rFonts w:hint="eastAsia" w:ascii="宋体" w:hAnsi="宋体" w:cs="宋体"/>
                <w:color w:val="auto"/>
                <w:sz w:val="24"/>
                <w:highlight w:val="none"/>
              </w:rPr>
              <w:t>的潜在供应商应在焦作市公共资源交易中心网站获取采购文件，并于</w:t>
            </w:r>
            <w:r>
              <w:rPr>
                <w:rFonts w:hint="eastAsia" w:ascii="宋体" w:hAnsi="宋体" w:cs="宋体"/>
                <w:color w:val="auto"/>
                <w:sz w:val="24"/>
                <w:highlight w:val="none"/>
                <w:u w:val="single"/>
              </w:rPr>
              <w:t>2022年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日上午</w:t>
            </w:r>
            <w:r>
              <w:rPr>
                <w:rFonts w:hint="eastAsia" w:ascii="宋体" w:hAnsi="宋体" w:cs="宋体"/>
                <w:color w:val="auto"/>
                <w:sz w:val="24"/>
                <w:highlight w:val="none"/>
                <w:u w:val="single"/>
                <w:lang w:val="en-US" w:eastAsia="zh-CN"/>
              </w:rPr>
              <w:t xml:space="preserve"> 8</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 xml:space="preserve">30 </w:t>
            </w:r>
            <w:r>
              <w:rPr>
                <w:rFonts w:hint="eastAsia" w:ascii="宋体" w:hAnsi="宋体" w:cs="宋体"/>
                <w:color w:val="auto"/>
                <w:sz w:val="24"/>
                <w:highlight w:val="none"/>
                <w:u w:val="single"/>
              </w:rPr>
              <w:t>分（北京时间）</w:t>
            </w:r>
            <w:r>
              <w:rPr>
                <w:rFonts w:hint="eastAsia" w:ascii="宋体" w:hAnsi="宋体" w:cs="宋体"/>
                <w:color w:val="auto"/>
                <w:sz w:val="24"/>
                <w:highlight w:val="none"/>
              </w:rPr>
              <w:t>前提交响应文件。</w:t>
            </w:r>
          </w:p>
        </w:tc>
      </w:tr>
    </w:tbl>
    <w:p>
      <w:pPr>
        <w:pStyle w:val="32"/>
        <w:spacing w:line="440" w:lineRule="exact"/>
        <w:ind w:left="0" w:firstLine="0"/>
        <w:rPr>
          <w:b/>
          <w:bCs/>
          <w:color w:val="auto"/>
          <w:sz w:val="24"/>
          <w:highlight w:val="none"/>
          <w:lang w:eastAsia="zh-CN"/>
        </w:rPr>
      </w:pPr>
      <w:r>
        <w:rPr>
          <w:rFonts w:hint="eastAsia"/>
          <w:b/>
          <w:bCs/>
          <w:color w:val="auto"/>
          <w:sz w:val="24"/>
          <w:highlight w:val="none"/>
          <w:lang w:eastAsia="zh-CN"/>
        </w:rPr>
        <w:t>一、项目基本情况</w:t>
      </w:r>
    </w:p>
    <w:p>
      <w:pPr>
        <w:pStyle w:val="32"/>
        <w:spacing w:line="440" w:lineRule="exact"/>
        <w:ind w:left="0" w:firstLine="480" w:firstLineChars="200"/>
        <w:rPr>
          <w:color w:val="auto"/>
          <w:sz w:val="24"/>
          <w:highlight w:val="none"/>
          <w:lang w:eastAsia="zh-CN"/>
        </w:rPr>
      </w:pPr>
      <w:r>
        <w:rPr>
          <w:rFonts w:hint="eastAsia"/>
          <w:color w:val="auto"/>
          <w:sz w:val="24"/>
          <w:highlight w:val="none"/>
          <w:lang w:val="en-US" w:eastAsia="zh-CN"/>
        </w:rPr>
        <w:t>采购</w:t>
      </w:r>
      <w:r>
        <w:rPr>
          <w:rFonts w:hint="eastAsia"/>
          <w:color w:val="auto"/>
          <w:sz w:val="24"/>
          <w:highlight w:val="none"/>
          <w:lang w:eastAsia="zh-CN"/>
        </w:rPr>
        <w:t>编号：博政采购〔202</w:t>
      </w:r>
      <w:r>
        <w:rPr>
          <w:rFonts w:hint="eastAsia"/>
          <w:color w:val="auto"/>
          <w:sz w:val="24"/>
          <w:highlight w:val="none"/>
          <w:lang w:val="en-US" w:eastAsia="zh-CN"/>
        </w:rPr>
        <w:t>2</w:t>
      </w:r>
      <w:r>
        <w:rPr>
          <w:rFonts w:hint="eastAsia"/>
          <w:color w:val="auto"/>
          <w:sz w:val="24"/>
          <w:highlight w:val="none"/>
          <w:lang w:eastAsia="zh-CN"/>
        </w:rPr>
        <w:t>〕</w:t>
      </w:r>
      <w:r>
        <w:rPr>
          <w:rFonts w:hint="eastAsia"/>
          <w:color w:val="auto"/>
          <w:sz w:val="24"/>
          <w:highlight w:val="none"/>
          <w:lang w:val="en-US" w:eastAsia="zh-CN"/>
        </w:rPr>
        <w:t>21-2</w:t>
      </w:r>
      <w:r>
        <w:rPr>
          <w:rFonts w:hint="eastAsia"/>
          <w:color w:val="auto"/>
          <w:sz w:val="24"/>
          <w:highlight w:val="none"/>
          <w:lang w:eastAsia="zh-CN"/>
        </w:rPr>
        <w:t>号</w:t>
      </w:r>
    </w:p>
    <w:p>
      <w:pPr>
        <w:pStyle w:val="32"/>
        <w:spacing w:line="440" w:lineRule="exact"/>
        <w:ind w:left="0" w:firstLine="480" w:firstLineChars="200"/>
        <w:rPr>
          <w:color w:val="auto"/>
          <w:sz w:val="24"/>
          <w:highlight w:val="none"/>
          <w:lang w:eastAsia="zh-CN"/>
        </w:rPr>
      </w:pPr>
      <w:r>
        <w:rPr>
          <w:rFonts w:hint="eastAsia"/>
          <w:color w:val="auto"/>
          <w:sz w:val="24"/>
          <w:highlight w:val="none"/>
          <w:lang w:eastAsia="zh-CN"/>
        </w:rPr>
        <w:t>项目名称：博爱县林业发展服务中心实施县乡两级森林防火物资采购项目</w:t>
      </w:r>
    </w:p>
    <w:p>
      <w:pPr>
        <w:pStyle w:val="32"/>
        <w:spacing w:line="440" w:lineRule="exact"/>
        <w:ind w:left="0" w:firstLine="480" w:firstLineChars="200"/>
        <w:rPr>
          <w:color w:val="auto"/>
          <w:sz w:val="24"/>
          <w:highlight w:val="none"/>
          <w:lang w:eastAsia="zh-CN"/>
        </w:rPr>
      </w:pPr>
      <w:r>
        <w:rPr>
          <w:rFonts w:hint="eastAsia"/>
          <w:color w:val="auto"/>
          <w:sz w:val="24"/>
          <w:highlight w:val="none"/>
          <w:lang w:eastAsia="zh-CN"/>
        </w:rPr>
        <w:t>采购方式：公开招标</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宋体"/>
          <w:color w:val="auto"/>
          <w:kern w:val="0"/>
          <w:sz w:val="24"/>
          <w:highlight w:val="none"/>
          <w:lang w:val="en-US" w:eastAsia="zh-CN"/>
        </w:rPr>
        <w:t>950000.00</w:t>
      </w:r>
      <w:r>
        <w:rPr>
          <w:rFonts w:hint="eastAsia" w:ascii="宋体" w:hAnsi="宋体" w:cs="宋体"/>
          <w:color w:val="auto"/>
          <w:kern w:val="0"/>
          <w:sz w:val="24"/>
          <w:highlight w:val="none"/>
        </w:rPr>
        <w:t>元。</w:t>
      </w:r>
    </w:p>
    <w:p>
      <w:pPr>
        <w:widowControl/>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采购内容：采购</w:t>
      </w:r>
      <w:r>
        <w:rPr>
          <w:rFonts w:hint="eastAsia" w:ascii="宋体" w:hAnsi="宋体" w:cs="宋体"/>
          <w:color w:val="auto"/>
          <w:kern w:val="0"/>
          <w:sz w:val="24"/>
          <w:highlight w:val="none"/>
          <w:lang w:val="en-US" w:eastAsia="zh-CN"/>
        </w:rPr>
        <w:t>油锯40台、风力灭火机20台、风水灭火机20台、割灌机5台、背负式消防水泵6台、阻燃服装60套、三防靴60双等</w:t>
      </w:r>
      <w:r>
        <w:rPr>
          <w:rFonts w:hint="eastAsia" w:ascii="宋体" w:hAnsi="宋体" w:cs="宋体"/>
          <w:color w:val="auto"/>
          <w:kern w:val="0"/>
          <w:sz w:val="24"/>
          <w:highlight w:val="none"/>
        </w:rPr>
        <w:t>（详见招标文件）。</w:t>
      </w:r>
    </w:p>
    <w:p>
      <w:pPr>
        <w:widowControl/>
        <w:spacing w:line="440" w:lineRule="exact"/>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供货期：</w:t>
      </w:r>
      <w:r>
        <w:rPr>
          <w:rFonts w:hint="eastAsia" w:ascii="宋体" w:hAnsi="宋体" w:cs="宋体"/>
          <w:color w:val="auto"/>
          <w:kern w:val="0"/>
          <w:sz w:val="24"/>
          <w:highlight w:val="none"/>
          <w:lang w:val="en-US" w:eastAsia="zh-CN"/>
        </w:rPr>
        <w:t>合同签订后15日历天</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质量标准：合格，符合国家、行业规范标准。</w:t>
      </w:r>
    </w:p>
    <w:p>
      <w:pPr>
        <w:adjustRightInd w:val="0"/>
        <w:snapToGrid w:val="0"/>
        <w:spacing w:line="440" w:lineRule="exact"/>
        <w:rPr>
          <w:rFonts w:ascii="宋体" w:hAnsi="宋体" w:cs="宋体"/>
          <w:color w:val="auto"/>
          <w:kern w:val="0"/>
          <w:sz w:val="24"/>
          <w:highlight w:val="none"/>
        </w:rPr>
      </w:pPr>
      <w:r>
        <w:rPr>
          <w:rFonts w:hint="eastAsia" w:ascii="宋体" w:hAnsi="宋体" w:cs="宋体"/>
          <w:b/>
          <w:bCs/>
          <w:color w:val="auto"/>
          <w:kern w:val="0"/>
          <w:sz w:val="24"/>
          <w:highlight w:val="none"/>
        </w:rPr>
        <w:t>二、申请人资格要求：</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1、符合《中华人民共和国政府采购法》第二十二条之规定；</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3、本项目的特定资格要求：</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3.1供应商须具有有效的营业执照，并具有实施完成本项目的经营实力和完善的售后服务体系；</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税收违法</w:t>
      </w:r>
      <w:r>
        <w:rPr>
          <w:rFonts w:hint="eastAsia" w:ascii="宋体" w:hAnsi="宋体" w:cs="宋体"/>
          <w:color w:val="auto"/>
          <w:sz w:val="24"/>
          <w:highlight w:val="none"/>
          <w:shd w:val="clear" w:color="auto" w:fill="FFFFFF"/>
          <w:lang w:val="en-US" w:eastAsia="zh-CN"/>
        </w:rPr>
        <w:t>黑名单</w:t>
      </w:r>
      <w:r>
        <w:rPr>
          <w:rFonts w:hint="eastAsia" w:ascii="宋体" w:hAnsi="宋体" w:cs="宋体"/>
          <w:color w:val="auto"/>
          <w:sz w:val="24"/>
          <w:highlight w:val="none"/>
          <w:shd w:val="clear" w:color="auto" w:fill="FFFFFF"/>
        </w:rPr>
        <w:t>、政府采购严重违法失信行为记录名单的供应商，拒绝参与政府采购活动，同时对信用信息查询记录和证据进行打印存档；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3.3本项目不接受联合体投标；</w:t>
      </w:r>
    </w:p>
    <w:p>
      <w:pPr>
        <w:widowControl/>
        <w:spacing w:line="440" w:lineRule="exac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3.4资格审查方式：资格后审。</w:t>
      </w:r>
    </w:p>
    <w:p>
      <w:pPr>
        <w:widowControl/>
        <w:spacing w:line="440" w:lineRule="exact"/>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三、获取采购文件</w:t>
      </w:r>
    </w:p>
    <w:p>
      <w:pPr>
        <w:pStyle w:val="19"/>
        <w:shd w:val="clear" w:color="auto" w:fill="FFFFFF"/>
        <w:autoSpaceDE w:val="0"/>
        <w:spacing w:before="0" w:beforeAutospacing="0" w:after="0" w:afterAutospacing="0" w:line="440" w:lineRule="atLeast"/>
        <w:ind w:firstLine="480" w:firstLineChars="200"/>
        <w:rPr>
          <w:color w:val="auto"/>
          <w:highlight w:val="none"/>
        </w:rPr>
      </w:pPr>
      <w:r>
        <w:rPr>
          <w:rFonts w:hint="eastAsia"/>
          <w:color w:val="auto"/>
          <w:highlight w:val="none"/>
        </w:rPr>
        <w:t>1.时间：</w:t>
      </w:r>
      <w:r>
        <w:rPr>
          <w:rFonts w:hint="eastAsia"/>
          <w:color w:val="auto"/>
          <w:highlight w:val="none"/>
          <w:u w:val="none"/>
        </w:rPr>
        <w:t>2022年</w:t>
      </w:r>
      <w:r>
        <w:rPr>
          <w:rFonts w:hint="eastAsia"/>
          <w:color w:val="auto"/>
          <w:highlight w:val="none"/>
          <w:u w:val="none"/>
          <w:lang w:val="en-US" w:eastAsia="zh-CN"/>
        </w:rPr>
        <w:t>5</w:t>
      </w:r>
      <w:r>
        <w:rPr>
          <w:rFonts w:hint="eastAsia"/>
          <w:color w:val="auto"/>
          <w:highlight w:val="none"/>
          <w:u w:val="none"/>
        </w:rPr>
        <w:t>月</w:t>
      </w:r>
      <w:r>
        <w:rPr>
          <w:rFonts w:hint="eastAsia"/>
          <w:color w:val="auto"/>
          <w:highlight w:val="none"/>
          <w:u w:val="none"/>
          <w:lang w:val="en-US" w:eastAsia="zh-CN"/>
        </w:rPr>
        <w:t>18</w:t>
      </w:r>
      <w:r>
        <w:rPr>
          <w:rFonts w:hint="eastAsia"/>
          <w:color w:val="auto"/>
          <w:highlight w:val="none"/>
          <w:u w:val="none"/>
        </w:rPr>
        <w:t>日至2022</w:t>
      </w:r>
      <w:r>
        <w:rPr>
          <w:rFonts w:hint="eastAsia"/>
          <w:color w:val="auto"/>
          <w:highlight w:val="none"/>
          <w:u w:val="none"/>
          <w:lang w:val="en-US" w:eastAsia="zh-CN"/>
        </w:rPr>
        <w:t>年5</w:t>
      </w:r>
      <w:r>
        <w:rPr>
          <w:rFonts w:hint="eastAsia"/>
          <w:color w:val="auto"/>
          <w:highlight w:val="none"/>
          <w:u w:val="none"/>
        </w:rPr>
        <w:t>月</w:t>
      </w:r>
      <w:r>
        <w:rPr>
          <w:rFonts w:hint="eastAsia"/>
          <w:color w:val="auto"/>
          <w:highlight w:val="none"/>
          <w:u w:val="none"/>
          <w:lang w:val="en-US" w:eastAsia="zh-CN"/>
        </w:rPr>
        <w:t>24</w:t>
      </w:r>
      <w:r>
        <w:rPr>
          <w:rFonts w:hint="eastAsia"/>
          <w:color w:val="auto"/>
          <w:highlight w:val="none"/>
          <w:u w:val="none"/>
        </w:rPr>
        <w:t>日（北京时间）；</w:t>
      </w:r>
      <w:r>
        <w:rPr>
          <w:rFonts w:hint="eastAsia"/>
          <w:color w:val="auto"/>
          <w:highlight w:val="none"/>
        </w:rPr>
        <w:br w:type="textWrapping"/>
      </w:r>
      <w:r>
        <w:rPr>
          <w:rFonts w:hint="eastAsia"/>
          <w:color w:val="auto"/>
          <w:highlight w:val="none"/>
        </w:rPr>
        <w:t>  2.地点：</w:t>
      </w:r>
      <w:r>
        <w:rPr>
          <w:rFonts w:hint="eastAsia"/>
          <w:color w:val="auto"/>
          <w:highlight w:val="none"/>
          <w:shd w:val="clear" w:color="auto" w:fill="FFFFFF"/>
        </w:rPr>
        <w:t>凡有意参加投标者，请登陆焦作市公共资源交易中心网站会员系统进行网上下载。（联系电话：0391-3568920，QQ：232850725、361532918（群）；</w:t>
      </w:r>
    </w:p>
    <w:p>
      <w:pPr>
        <w:pStyle w:val="19"/>
        <w:shd w:val="clear" w:color="auto" w:fill="FFFFFF"/>
        <w:autoSpaceDE w:val="0"/>
        <w:spacing w:before="0" w:beforeAutospacing="0" w:after="0" w:afterAutospacing="0" w:line="440" w:lineRule="atLeast"/>
        <w:rPr>
          <w:color w:val="auto"/>
          <w:highlight w:val="none"/>
        </w:rPr>
      </w:pPr>
      <w:r>
        <w:rPr>
          <w:rFonts w:hint="eastAsia"/>
          <w:color w:val="auto"/>
          <w:highlight w:val="none"/>
        </w:rPr>
        <w:t>  3.方式：</w:t>
      </w:r>
      <w:r>
        <w:rPr>
          <w:rFonts w:hint="eastAsia"/>
          <w:color w:val="auto"/>
          <w:sz w:val="24"/>
          <w:szCs w:val="24"/>
          <w:highlight w:val="none"/>
        </w:rPr>
        <w:t>网上下载</w:t>
      </w:r>
      <w:r>
        <w:rPr>
          <w:rFonts w:hint="eastAsia"/>
          <w:color w:val="auto"/>
          <w:highlight w:val="none"/>
        </w:rPr>
        <w:t>；</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四、响应文件提交</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1.截止时间：</w:t>
      </w:r>
      <w:r>
        <w:rPr>
          <w:rFonts w:hint="eastAsia" w:ascii="宋体" w:hAnsi="宋体" w:cs="宋体"/>
          <w:color w:val="auto"/>
          <w:kern w:val="0"/>
          <w:sz w:val="24"/>
          <w:highlight w:val="none"/>
          <w:u w:val="single"/>
        </w:rPr>
        <w:t>2</w:t>
      </w:r>
      <w:r>
        <w:rPr>
          <w:rFonts w:hint="eastAsia" w:ascii="宋体" w:hAnsi="宋体" w:cs="宋体"/>
          <w:color w:val="auto"/>
          <w:kern w:val="0"/>
          <w:sz w:val="24"/>
          <w:highlight w:val="none"/>
          <w:u w:val="none"/>
        </w:rPr>
        <w:t>022年</w:t>
      </w:r>
      <w:r>
        <w:rPr>
          <w:rFonts w:hint="eastAsia" w:ascii="宋体" w:hAnsi="宋体" w:cs="宋体"/>
          <w:color w:val="auto"/>
          <w:kern w:val="0"/>
          <w:sz w:val="24"/>
          <w:highlight w:val="none"/>
          <w:u w:val="none"/>
          <w:lang w:val="en-US" w:eastAsia="zh-CN"/>
        </w:rPr>
        <w:t xml:space="preserve">6 </w:t>
      </w:r>
      <w:r>
        <w:rPr>
          <w:rFonts w:hint="eastAsia" w:ascii="宋体" w:hAnsi="宋体" w:cs="宋体"/>
          <w:color w:val="auto"/>
          <w:kern w:val="0"/>
          <w:sz w:val="24"/>
          <w:highlight w:val="none"/>
          <w:u w:val="none"/>
        </w:rPr>
        <w:t>月</w:t>
      </w:r>
      <w:r>
        <w:rPr>
          <w:rFonts w:hint="eastAsia" w:ascii="宋体" w:hAnsi="宋体" w:cs="宋体"/>
          <w:color w:val="auto"/>
          <w:kern w:val="0"/>
          <w:sz w:val="24"/>
          <w:highlight w:val="none"/>
          <w:u w:val="none"/>
          <w:lang w:val="en-US" w:eastAsia="zh-CN"/>
        </w:rPr>
        <w:t>8</w:t>
      </w:r>
      <w:r>
        <w:rPr>
          <w:rFonts w:hint="eastAsia" w:ascii="宋体" w:hAnsi="宋体" w:cs="宋体"/>
          <w:color w:val="auto"/>
          <w:kern w:val="0"/>
          <w:sz w:val="24"/>
          <w:highlight w:val="none"/>
          <w:u w:val="none"/>
        </w:rPr>
        <w:t>日上午</w:t>
      </w:r>
      <w:r>
        <w:rPr>
          <w:rFonts w:hint="eastAsia" w:ascii="宋体" w:hAnsi="宋体" w:cs="宋体"/>
          <w:color w:val="auto"/>
          <w:kern w:val="0"/>
          <w:sz w:val="24"/>
          <w:highlight w:val="none"/>
          <w:u w:val="none"/>
          <w:lang w:val="en-US" w:eastAsia="zh-CN"/>
        </w:rPr>
        <w:t>8</w:t>
      </w:r>
      <w:r>
        <w:rPr>
          <w:rFonts w:hint="eastAsia" w:ascii="宋体" w:hAnsi="宋体" w:cs="宋体"/>
          <w:color w:val="auto"/>
          <w:kern w:val="0"/>
          <w:sz w:val="24"/>
          <w:highlight w:val="none"/>
          <w:u w:val="none"/>
        </w:rPr>
        <w:t>点</w:t>
      </w:r>
      <w:r>
        <w:rPr>
          <w:rFonts w:hint="eastAsia" w:ascii="宋体" w:hAnsi="宋体" w:cs="宋体"/>
          <w:color w:val="auto"/>
          <w:kern w:val="0"/>
          <w:sz w:val="24"/>
          <w:highlight w:val="none"/>
          <w:u w:val="none"/>
          <w:lang w:val="en-US" w:eastAsia="zh-CN"/>
        </w:rPr>
        <w:t>30</w:t>
      </w:r>
      <w:r>
        <w:rPr>
          <w:rFonts w:hint="eastAsia" w:ascii="宋体" w:hAnsi="宋体" w:cs="宋体"/>
          <w:color w:val="auto"/>
          <w:kern w:val="0"/>
          <w:sz w:val="24"/>
          <w:highlight w:val="none"/>
          <w:u w:val="none"/>
        </w:rPr>
        <w:t>分（北京时间）；</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五、开启</w:t>
      </w:r>
    </w:p>
    <w:p>
      <w:pPr>
        <w:adjustRightInd w:val="0"/>
        <w:snapToGrid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1.时间：</w:t>
      </w:r>
      <w:r>
        <w:rPr>
          <w:rFonts w:hint="eastAsia" w:ascii="宋体" w:hAnsi="宋体" w:cs="宋体"/>
          <w:color w:val="auto"/>
          <w:kern w:val="0"/>
          <w:sz w:val="24"/>
          <w:highlight w:val="none"/>
          <w:u w:val="single"/>
        </w:rPr>
        <w:t>2</w:t>
      </w:r>
      <w:r>
        <w:rPr>
          <w:rFonts w:hint="eastAsia" w:ascii="宋体" w:hAnsi="宋体" w:cs="宋体"/>
          <w:color w:val="auto"/>
          <w:kern w:val="0"/>
          <w:sz w:val="24"/>
          <w:highlight w:val="none"/>
          <w:u w:val="none"/>
        </w:rPr>
        <w:t>022年</w:t>
      </w:r>
      <w:r>
        <w:rPr>
          <w:rFonts w:hint="eastAsia" w:ascii="宋体" w:hAnsi="宋体" w:cs="宋体"/>
          <w:color w:val="auto"/>
          <w:kern w:val="0"/>
          <w:sz w:val="24"/>
          <w:highlight w:val="none"/>
          <w:u w:val="none"/>
          <w:lang w:val="en-US" w:eastAsia="zh-CN"/>
        </w:rPr>
        <w:t xml:space="preserve">6 </w:t>
      </w:r>
      <w:r>
        <w:rPr>
          <w:rFonts w:hint="eastAsia" w:ascii="宋体" w:hAnsi="宋体" w:cs="宋体"/>
          <w:color w:val="auto"/>
          <w:kern w:val="0"/>
          <w:sz w:val="24"/>
          <w:highlight w:val="none"/>
          <w:u w:val="none"/>
        </w:rPr>
        <w:t>月</w:t>
      </w:r>
      <w:r>
        <w:rPr>
          <w:rFonts w:hint="eastAsia" w:ascii="宋体" w:hAnsi="宋体" w:cs="宋体"/>
          <w:color w:val="auto"/>
          <w:kern w:val="0"/>
          <w:sz w:val="24"/>
          <w:highlight w:val="none"/>
          <w:u w:val="none"/>
          <w:lang w:val="en-US" w:eastAsia="zh-CN"/>
        </w:rPr>
        <w:t>8</w:t>
      </w:r>
      <w:r>
        <w:rPr>
          <w:rFonts w:hint="eastAsia" w:ascii="宋体" w:hAnsi="宋体" w:cs="宋体"/>
          <w:color w:val="auto"/>
          <w:kern w:val="0"/>
          <w:sz w:val="24"/>
          <w:highlight w:val="none"/>
          <w:u w:val="none"/>
        </w:rPr>
        <w:t>日上午</w:t>
      </w:r>
      <w:r>
        <w:rPr>
          <w:rFonts w:hint="eastAsia" w:ascii="宋体" w:hAnsi="宋体" w:cs="宋体"/>
          <w:color w:val="auto"/>
          <w:kern w:val="0"/>
          <w:sz w:val="24"/>
          <w:highlight w:val="none"/>
          <w:u w:val="none"/>
          <w:lang w:val="en-US" w:eastAsia="zh-CN"/>
        </w:rPr>
        <w:t>8</w:t>
      </w:r>
      <w:r>
        <w:rPr>
          <w:rFonts w:hint="eastAsia" w:ascii="宋体" w:hAnsi="宋体" w:cs="宋体"/>
          <w:color w:val="auto"/>
          <w:kern w:val="0"/>
          <w:sz w:val="24"/>
          <w:highlight w:val="none"/>
          <w:u w:val="none"/>
        </w:rPr>
        <w:t>点</w:t>
      </w:r>
      <w:r>
        <w:rPr>
          <w:rFonts w:hint="eastAsia" w:ascii="宋体" w:hAnsi="宋体" w:cs="宋体"/>
          <w:color w:val="auto"/>
          <w:kern w:val="0"/>
          <w:sz w:val="24"/>
          <w:highlight w:val="none"/>
          <w:u w:val="none"/>
          <w:lang w:val="en-US" w:eastAsia="zh-CN"/>
        </w:rPr>
        <w:t>30</w:t>
      </w:r>
      <w:r>
        <w:rPr>
          <w:rFonts w:hint="eastAsia" w:ascii="宋体" w:hAnsi="宋体" w:cs="宋体"/>
          <w:color w:val="auto"/>
          <w:kern w:val="0"/>
          <w:sz w:val="24"/>
          <w:highlight w:val="none"/>
          <w:u w:val="none"/>
        </w:rPr>
        <w:t>分（北京时间）；</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2.地点：博爱县公共资源交易中心二楼不见面开标二室；</w:t>
      </w:r>
    </w:p>
    <w:p>
      <w:pPr>
        <w:adjustRightInd w:val="0"/>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六、公告期限</w:t>
      </w:r>
    </w:p>
    <w:p>
      <w:pPr>
        <w:adjustRightInd w:val="0"/>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自本公告发布之</w:t>
      </w:r>
      <w:r>
        <w:rPr>
          <w:rFonts w:hint="eastAsia" w:ascii="宋体" w:hAnsi="宋体" w:cs="宋体"/>
          <w:color w:val="auto"/>
          <w:kern w:val="0"/>
          <w:sz w:val="24"/>
          <w:highlight w:val="none"/>
        </w:rPr>
        <w:t>日起5个工作日。</w:t>
      </w:r>
    </w:p>
    <w:p>
      <w:pPr>
        <w:pStyle w:val="19"/>
        <w:numPr>
          <w:ilvl w:val="0"/>
          <w:numId w:val="5"/>
        </w:numPr>
        <w:shd w:val="clear" w:color="auto" w:fill="FFFFFF"/>
        <w:autoSpaceDE w:val="0"/>
        <w:spacing w:before="0" w:beforeAutospacing="0" w:after="0" w:afterAutospacing="0" w:line="440" w:lineRule="exact"/>
        <w:rPr>
          <w:b/>
          <w:color w:val="auto"/>
          <w:highlight w:val="none"/>
          <w:shd w:val="clear" w:color="auto" w:fill="FFFFFF"/>
        </w:rPr>
      </w:pPr>
      <w:r>
        <w:rPr>
          <w:rFonts w:hint="eastAsia"/>
          <w:b/>
          <w:color w:val="auto"/>
          <w:highlight w:val="none"/>
          <w:shd w:val="clear" w:color="auto" w:fill="FFFFFF"/>
        </w:rPr>
        <w:t>其他补充事宜</w:t>
      </w:r>
    </w:p>
    <w:p>
      <w:pPr>
        <w:pStyle w:val="19"/>
        <w:shd w:val="clear" w:color="auto" w:fill="FFFFFF"/>
        <w:autoSpaceDE w:val="0"/>
        <w:spacing w:before="0" w:beforeAutospacing="0" w:after="0" w:afterAutospacing="0" w:line="440" w:lineRule="exact"/>
        <w:ind w:firstLine="480" w:firstLineChars="200"/>
        <w:rPr>
          <w:color w:val="auto"/>
          <w:highlight w:val="none"/>
          <w:shd w:val="clear" w:color="auto" w:fill="FFFFFF"/>
        </w:rPr>
      </w:pPr>
      <w:r>
        <w:rPr>
          <w:rFonts w:hint="eastAsia"/>
          <w:color w:val="auto"/>
          <w:highlight w:val="none"/>
          <w:shd w:val="clear" w:color="auto" w:fill="FFFFFF"/>
        </w:rPr>
        <w:t>1.本次本公告在</w:t>
      </w:r>
      <w:r>
        <w:rPr>
          <w:rFonts w:hint="eastAsia" w:ascii="宋体" w:hAnsi="宋体" w:eastAsia="宋体" w:cs="宋体"/>
          <w:bCs/>
          <w:color w:val="auto"/>
          <w:sz w:val="24"/>
          <w:szCs w:val="24"/>
          <w:highlight w:val="none"/>
        </w:rPr>
        <w:t>中国招标投标公共服务平台、</w:t>
      </w:r>
      <w:r>
        <w:rPr>
          <w:rFonts w:hint="eastAsia"/>
          <w:color w:val="auto"/>
          <w:highlight w:val="none"/>
          <w:shd w:val="clear" w:color="auto" w:fill="FFFFFF"/>
        </w:rPr>
        <w:t>河南省政府采购网、焦作市政府采购网、焦作市公共资源交易中心网、博爱县人民政府网、博爱县公共资源交易中心网http://www.baxggzyjyzx.cn/上发布。</w:t>
      </w:r>
    </w:p>
    <w:p>
      <w:pPr>
        <w:pStyle w:val="19"/>
        <w:spacing w:beforeAutospacing="0" w:afterAutospacing="0" w:line="440" w:lineRule="exact"/>
        <w:ind w:firstLine="468" w:firstLineChars="195"/>
        <w:jc w:val="both"/>
        <w:rPr>
          <w:color w:val="auto"/>
          <w:highlight w:val="none"/>
        </w:rPr>
      </w:pPr>
      <w:r>
        <w:rPr>
          <w:rFonts w:hint="eastAsia"/>
          <w:color w:val="auto"/>
          <w:highlight w:val="none"/>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pPr>
        <w:pStyle w:val="19"/>
        <w:spacing w:beforeAutospacing="0" w:afterAutospacing="0" w:line="440" w:lineRule="exact"/>
        <w:ind w:firstLine="468" w:firstLineChars="195"/>
        <w:jc w:val="both"/>
        <w:rPr>
          <w:color w:val="auto"/>
          <w:highlight w:val="none"/>
        </w:rPr>
      </w:pPr>
      <w:r>
        <w:rPr>
          <w:rFonts w:hint="eastAsia"/>
          <w:color w:val="auto"/>
          <w:highlight w:val="none"/>
        </w:rPr>
        <w:t>3.投标人无需到现场参加开标会议，无需到达现场提交原件资料。投标人应当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八、</w:t>
      </w:r>
      <w:r>
        <w:rPr>
          <w:rFonts w:hint="eastAsia" w:ascii="宋体" w:hAnsi="宋体" w:cs="宋体"/>
          <w:b/>
          <w:color w:val="auto"/>
          <w:sz w:val="24"/>
          <w:highlight w:val="none"/>
          <w:shd w:val="clear" w:color="auto" w:fill="FFFFFF"/>
        </w:rPr>
        <w:t>凡对本次采购提出询问，请按以下方式联系</w:t>
      </w:r>
    </w:p>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pPr>
        <w:widowControl/>
        <w:spacing w:line="44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eastAsia="zh-CN"/>
        </w:rPr>
        <w:t>博爱县林业发展服务中心</w:t>
      </w:r>
      <w:r>
        <w:rPr>
          <w:rFonts w:hint="eastAsia" w:ascii="宋体" w:hAnsi="宋体" w:cs="宋体"/>
          <w:color w:val="auto"/>
          <w:kern w:val="0"/>
          <w:sz w:val="24"/>
          <w:highlight w:val="none"/>
          <w:lang w:val="en-US" w:eastAsia="zh-CN"/>
        </w:rPr>
        <w:t xml:space="preserve"> </w:t>
      </w:r>
    </w:p>
    <w:p>
      <w:pPr>
        <w:adjustRightInd w:val="0"/>
        <w:snapToGrid w:val="0"/>
        <w:spacing w:line="440" w:lineRule="exact"/>
        <w:ind w:firstLine="480" w:firstLineChars="200"/>
        <w:rPr>
          <w:rFonts w:hint="eastAsia" w:ascii="宋体" w:hAnsi="宋体" w:eastAsia="宋体" w:cs="宋体"/>
          <w:bCs/>
          <w:color w:val="auto"/>
          <w:sz w:val="24"/>
          <w:highlight w:val="none"/>
          <w:lang w:eastAsia="zh-CN"/>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lang w:val="en-US" w:eastAsia="zh-CN"/>
        </w:rPr>
        <w:t xml:space="preserve">博爱县葵城路 </w:t>
      </w:r>
    </w:p>
    <w:p>
      <w:pPr>
        <w:adjustRightInd w:val="0"/>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lang w:val="en-US" w:eastAsia="zh-CN"/>
        </w:rPr>
        <w:t>冯先生</w:t>
      </w:r>
      <w:r>
        <w:rPr>
          <w:rFonts w:hint="eastAsia" w:ascii="宋体" w:hAnsi="宋体" w:cs="宋体"/>
          <w:bCs/>
          <w:color w:val="auto"/>
          <w:sz w:val="24"/>
          <w:highlight w:val="none"/>
          <w:lang w:val="en-US" w:eastAsia="zh-CN"/>
        </w:rPr>
        <w:t xml:space="preserve"> </w:t>
      </w:r>
    </w:p>
    <w:p>
      <w:pPr>
        <w:adjustRightInd w:val="0"/>
        <w:snapToGrid w:val="0"/>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rPr>
        <w:t>电话：</w:t>
      </w:r>
      <w:r>
        <w:rPr>
          <w:rFonts w:hint="eastAsia" w:ascii="宋体" w:hAnsi="宋体" w:cs="宋体"/>
          <w:color w:val="auto"/>
          <w:kern w:val="0"/>
          <w:sz w:val="24"/>
          <w:highlight w:val="none"/>
          <w:lang w:val="en-US" w:eastAsia="zh-CN"/>
        </w:rPr>
        <w:t>15517746868</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名称：博爱县城市建设项目管理有限公司 </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strike w:val="0"/>
          <w:dstrike w:val="0"/>
          <w:color w:val="auto"/>
          <w:sz w:val="24"/>
          <w:highlight w:val="none"/>
          <w:shd w:val="clear" w:color="auto" w:fill="FFFFFF"/>
          <w:lang w:val="en-US" w:eastAsia="zh-CN"/>
        </w:rPr>
        <w:t>博爱县发展大道188号机关办公楼东配楼806室</w:t>
      </w:r>
    </w:p>
    <w:p>
      <w:pPr>
        <w:adjustRightInd w:val="0"/>
        <w:snapToGrid w:val="0"/>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电话：</w:t>
      </w:r>
      <w:r>
        <w:rPr>
          <w:rFonts w:hint="eastAsia" w:ascii="宋体" w:hAnsi="宋体" w:cs="宋体"/>
          <w:color w:val="auto"/>
          <w:sz w:val="24"/>
          <w:highlight w:val="none"/>
          <w:lang w:val="en-US" w:eastAsia="zh-CN"/>
        </w:rPr>
        <w:t>13782768572</w:t>
      </w:r>
    </w:p>
    <w:p>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3.项目联系方式</w:t>
      </w:r>
    </w:p>
    <w:p>
      <w:pPr>
        <w:adjustRightInd w:val="0"/>
        <w:snapToGrid w:val="0"/>
        <w:spacing w:line="44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kern w:val="0"/>
          <w:sz w:val="24"/>
          <w:highlight w:val="none"/>
          <w:lang w:val="en-US" w:eastAsia="zh-CN"/>
        </w:rPr>
        <w:t>冯先生</w:t>
      </w:r>
      <w:r>
        <w:rPr>
          <w:rFonts w:hint="eastAsia" w:ascii="宋体" w:hAnsi="宋体" w:cs="宋体"/>
          <w:bCs/>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p>
    <w:p>
      <w:pPr>
        <w:adjustRightInd w:val="0"/>
        <w:snapToGrid w:val="0"/>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电话：</w:t>
      </w:r>
      <w:r>
        <w:rPr>
          <w:rFonts w:hint="eastAsia" w:ascii="宋体" w:hAnsi="宋体" w:cs="宋体"/>
          <w:color w:val="auto"/>
          <w:kern w:val="0"/>
          <w:sz w:val="24"/>
          <w:highlight w:val="none"/>
          <w:lang w:val="en-US" w:eastAsia="zh-CN"/>
        </w:rPr>
        <w:t>15517746868</w:t>
      </w: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ascii="宋体" w:hAnsi="宋体" w:cs="宋体"/>
          <w:color w:val="auto"/>
          <w:sz w:val="24"/>
          <w:highlight w:val="none"/>
        </w:rPr>
      </w:pPr>
    </w:p>
    <w:p>
      <w:pPr>
        <w:widowControl/>
        <w:spacing w:line="440" w:lineRule="exact"/>
        <w:ind w:left="2940" w:firstLine="42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shd w:val="clear" w:color="auto" w:fill="FFFFFF"/>
          <w:lang w:eastAsia="zh-CN"/>
        </w:rPr>
        <w:t>博爱县林业发展服务中心</w:t>
      </w:r>
    </w:p>
    <w:p>
      <w:pPr>
        <w:widowControl/>
        <w:spacing w:line="440" w:lineRule="exact"/>
        <w:ind w:firstLine="2880" w:firstLineChars="1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采购代理机构：博爱县城市建设项目管理有限公司</w:t>
      </w:r>
    </w:p>
    <w:p>
      <w:pPr>
        <w:widowControl/>
        <w:spacing w:line="440" w:lineRule="exact"/>
        <w:ind w:left="2940" w:firstLine="420"/>
        <w:rPr>
          <w:color w:val="auto"/>
          <w:highlight w:val="none"/>
        </w:rPr>
      </w:pPr>
      <w:r>
        <w:rPr>
          <w:rFonts w:hint="eastAsia" w:ascii="宋体" w:hAnsi="宋体" w:cs="宋体"/>
          <w:color w:val="auto"/>
          <w:sz w:val="24"/>
          <w:highlight w:val="none"/>
        </w:rPr>
        <w:t>发布时间：2022年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日</w:t>
      </w:r>
    </w:p>
    <w:p>
      <w:pPr>
        <w:rPr>
          <w:color w:val="auto"/>
          <w:highlight w:val="none"/>
        </w:rPr>
      </w:pPr>
    </w:p>
    <w:p>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32"/>
          <w:szCs w:val="32"/>
          <w:highlight w:val="none"/>
        </w:rPr>
      </w:pPr>
    </w:p>
    <w:p>
      <w:pPr>
        <w:pStyle w:val="10"/>
        <w:rPr>
          <w:rFonts w:hint="eastAsia" w:asciiTheme="minorEastAsia" w:hAnsiTheme="minorEastAsia" w:eastAsiaTheme="minorEastAsia" w:cstheme="minorEastAsia"/>
          <w:b/>
          <w:color w:val="auto"/>
          <w:sz w:val="32"/>
          <w:szCs w:val="32"/>
          <w:highlight w:val="none"/>
        </w:rPr>
      </w:pPr>
    </w:p>
    <w:p>
      <w:pPr>
        <w:pStyle w:val="11"/>
        <w:rPr>
          <w:rFonts w:hint="eastAsia" w:asciiTheme="minorEastAsia" w:hAnsiTheme="minorEastAsia" w:eastAsiaTheme="minorEastAsia" w:cstheme="minorEastAsia"/>
          <w:b/>
          <w:color w:val="auto"/>
          <w:sz w:val="32"/>
          <w:szCs w:val="32"/>
          <w:highlight w:val="none"/>
        </w:rPr>
      </w:pPr>
    </w:p>
    <w:p>
      <w:pPr>
        <w:pStyle w:val="10"/>
        <w:rPr>
          <w:rFonts w:hint="eastAsia" w:asciiTheme="minorEastAsia" w:hAnsiTheme="minorEastAsia" w:eastAsiaTheme="minorEastAsia" w:cstheme="minorEastAsia"/>
          <w:b/>
          <w:color w:val="auto"/>
          <w:sz w:val="32"/>
          <w:szCs w:val="32"/>
          <w:highlight w:val="none"/>
        </w:rPr>
      </w:pPr>
    </w:p>
    <w:p>
      <w:pPr>
        <w:pStyle w:val="11"/>
        <w:rPr>
          <w:rFonts w:hint="eastAsia" w:asciiTheme="minorEastAsia" w:hAnsiTheme="minorEastAsia" w:eastAsiaTheme="minorEastAsia" w:cstheme="minorEastAsia"/>
          <w:b/>
          <w:color w:val="auto"/>
          <w:sz w:val="32"/>
          <w:szCs w:val="32"/>
          <w:highlight w:val="none"/>
        </w:rPr>
      </w:pPr>
    </w:p>
    <w:p>
      <w:pPr>
        <w:pStyle w:val="10"/>
        <w:rPr>
          <w:rFonts w:hint="eastAsia"/>
          <w:color w:val="auto"/>
          <w:highlight w:val="none"/>
        </w:rPr>
      </w:pPr>
    </w:p>
    <w:p>
      <w:pPr>
        <w:pStyle w:val="11"/>
        <w:rPr>
          <w:rFonts w:hint="eastAsia"/>
          <w:color w:val="auto"/>
          <w:highlight w:val="none"/>
        </w:rPr>
      </w:pPr>
    </w:p>
    <w:p>
      <w:pPr>
        <w:pStyle w:val="10"/>
        <w:rPr>
          <w:rFonts w:hint="eastAsia"/>
        </w:rPr>
      </w:pPr>
    </w:p>
    <w:p>
      <w:pPr>
        <w:pStyle w:val="26"/>
        <w:rPr>
          <w:rFonts w:hint="eastAsia"/>
          <w:color w:val="auto"/>
          <w:highlight w:val="none"/>
        </w:rPr>
      </w:pPr>
    </w:p>
    <w:p>
      <w:pPr>
        <w:pStyle w:val="10"/>
        <w:rPr>
          <w:rFonts w:hint="eastAsia"/>
          <w:color w:val="auto"/>
          <w:highlight w:val="none"/>
        </w:rPr>
      </w:pPr>
    </w:p>
    <w:p>
      <w:pPr>
        <w:autoSpaceDE w:val="0"/>
        <w:autoSpaceDN w:val="0"/>
        <w:adjustRightInd w:val="0"/>
        <w:spacing w:line="360" w:lineRule="auto"/>
        <w:jc w:val="center"/>
        <w:outlineLvl w:val="0"/>
        <w:rPr>
          <w:rFonts w:asciiTheme="minorEastAsia" w:hAnsiTheme="minorEastAsia" w:eastAsiaTheme="minorEastAsia" w:cstheme="minorEastAsia"/>
          <w:b/>
          <w:color w:val="auto"/>
          <w:sz w:val="32"/>
          <w:szCs w:val="32"/>
          <w:highlight w:val="none"/>
        </w:rPr>
      </w:pPr>
      <w:bookmarkStart w:id="3" w:name="_Toc21974"/>
      <w:r>
        <w:rPr>
          <w:rFonts w:hint="eastAsia" w:asciiTheme="minorEastAsia" w:hAnsiTheme="minorEastAsia" w:eastAsiaTheme="minorEastAsia" w:cstheme="minorEastAsia"/>
          <w:b/>
          <w:color w:val="auto"/>
          <w:sz w:val="32"/>
          <w:szCs w:val="32"/>
          <w:highlight w:val="none"/>
        </w:rPr>
        <w:t>第二章  供应商须知</w:t>
      </w:r>
      <w:bookmarkEnd w:id="3"/>
    </w:p>
    <w:bookmarkEnd w:id="0"/>
    <w:p>
      <w:pPr>
        <w:pStyle w:val="20"/>
        <w:spacing w:before="0" w:after="0" w:line="360" w:lineRule="auto"/>
        <w:ind w:right="-23" w:rightChars="-11"/>
        <w:rPr>
          <w:rFonts w:asciiTheme="minorEastAsia" w:hAnsiTheme="minorEastAsia" w:eastAsiaTheme="minorEastAsia" w:cstheme="minorEastAsia"/>
          <w:color w:val="auto"/>
          <w:sz w:val="30"/>
          <w:szCs w:val="30"/>
          <w:highlight w:val="none"/>
        </w:rPr>
      </w:pPr>
      <w:bookmarkStart w:id="4" w:name="_Toc403122490"/>
      <w:bookmarkStart w:id="5" w:name="_Toc32497"/>
      <w:bookmarkStart w:id="6" w:name="_Toc9161"/>
      <w:bookmarkStart w:id="7" w:name="_Toc426369478"/>
      <w:bookmarkStart w:id="8" w:name="_Toc14655"/>
      <w:r>
        <w:rPr>
          <w:rFonts w:hint="eastAsia" w:asciiTheme="minorEastAsia" w:hAnsiTheme="minorEastAsia" w:eastAsiaTheme="minorEastAsia" w:cstheme="minorEastAsia"/>
          <w:color w:val="auto"/>
          <w:sz w:val="30"/>
          <w:szCs w:val="30"/>
          <w:highlight w:val="none"/>
        </w:rPr>
        <w:t>供应商须知前附表</w:t>
      </w:r>
      <w:bookmarkEnd w:id="4"/>
      <w:bookmarkEnd w:id="5"/>
      <w:bookmarkEnd w:id="6"/>
      <w:bookmarkEnd w:id="7"/>
      <w:bookmarkEnd w:id="8"/>
    </w:p>
    <w:tbl>
      <w:tblPr>
        <w:tblStyle w:val="22"/>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条款号</w:t>
            </w:r>
          </w:p>
        </w:tc>
        <w:tc>
          <w:tcPr>
            <w:tcW w:w="2318" w:type="dxa"/>
            <w:vAlign w:val="center"/>
          </w:tcPr>
          <w:p>
            <w:pPr>
              <w:pStyle w:val="13"/>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条款名称</w:t>
            </w:r>
          </w:p>
        </w:tc>
        <w:tc>
          <w:tcPr>
            <w:tcW w:w="6112" w:type="dxa"/>
            <w:vAlign w:val="center"/>
          </w:tcPr>
          <w:p>
            <w:pPr>
              <w:pStyle w:val="13"/>
              <w:spacing w:line="360" w:lineRule="exact"/>
              <w:jc w:val="center"/>
              <w:rPr>
                <w:rFonts w:hint="default" w:asciiTheme="minorEastAsia" w:hAnsiTheme="minorEastAsia" w:eastAsiaTheme="minorEastAsia" w:cstheme="minorEastAsia"/>
                <w:b/>
                <w:color w:val="auto"/>
                <w:highlight w:val="none"/>
              </w:rPr>
            </w:pPr>
            <w:r>
              <w:rPr>
                <w:rFonts w:asciiTheme="minorEastAsia" w:hAnsiTheme="minorEastAsia" w:eastAsiaTheme="minorEastAsia" w:cstheme="minorEastAsia"/>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1.1.2</w:t>
            </w:r>
          </w:p>
        </w:tc>
        <w:tc>
          <w:tcPr>
            <w:tcW w:w="2318" w:type="dxa"/>
            <w:vAlign w:val="center"/>
          </w:tcPr>
          <w:p>
            <w:pPr>
              <w:pStyle w:val="13"/>
              <w:spacing w:line="360" w:lineRule="exact"/>
              <w:jc w:val="center"/>
              <w:rPr>
                <w:rFonts w:hint="default" w:asciiTheme="minorEastAsia" w:hAnsiTheme="minorEastAsia" w:eastAsiaTheme="minorEastAsia" w:cstheme="minorEastAsia"/>
                <w:b w:val="0"/>
                <w:bCs w:val="0"/>
                <w:color w:val="auto"/>
                <w:highlight w:val="none"/>
              </w:rPr>
            </w:pPr>
            <w:r>
              <w:rPr>
                <w:rFonts w:asciiTheme="minorEastAsia" w:hAnsiTheme="minorEastAsia" w:eastAsiaTheme="minorEastAsia" w:cstheme="minorEastAsia"/>
                <w:b w:val="0"/>
                <w:bCs w:val="0"/>
                <w:color w:val="auto"/>
                <w:highlight w:val="none"/>
              </w:rPr>
              <w:t>采购人</w:t>
            </w:r>
          </w:p>
        </w:tc>
        <w:tc>
          <w:tcPr>
            <w:tcW w:w="6112" w:type="dxa"/>
            <w:vAlign w:val="center"/>
          </w:tcPr>
          <w:p>
            <w:pPr>
              <w:pStyle w:val="13"/>
              <w:spacing w:line="360" w:lineRule="exact"/>
              <w:rPr>
                <w:rFonts w:hint="eastAsia" w:asciiTheme="minorEastAsia" w:hAnsiTheme="minorEastAsia" w:eastAsiaTheme="minorEastAsia" w:cstheme="minorEastAsia"/>
                <w:b w:val="0"/>
                <w:bCs w:val="0"/>
                <w:color w:val="auto"/>
                <w:highlight w:val="none"/>
                <w:lang w:eastAsia="zh-CN"/>
              </w:rPr>
            </w:pPr>
            <w:r>
              <w:rPr>
                <w:rFonts w:asciiTheme="minorEastAsia" w:hAnsiTheme="minorEastAsia" w:eastAsiaTheme="minorEastAsia" w:cstheme="minorEastAsia"/>
                <w:b w:val="0"/>
                <w:bCs w:val="0"/>
                <w:color w:val="auto"/>
                <w:highlight w:val="none"/>
              </w:rPr>
              <w:t>名称：</w:t>
            </w:r>
            <w:r>
              <w:rPr>
                <w:rFonts w:hint="eastAsia" w:asciiTheme="minorEastAsia" w:hAnsiTheme="minorEastAsia" w:eastAsiaTheme="minorEastAsia" w:cstheme="minorEastAsia"/>
                <w:b w:val="0"/>
                <w:bCs w:val="0"/>
                <w:color w:val="auto"/>
                <w:highlight w:val="none"/>
                <w:lang w:eastAsia="zh-CN"/>
              </w:rPr>
              <w:t>博爱县林业发展服务中心</w:t>
            </w:r>
          </w:p>
          <w:p>
            <w:pPr>
              <w:pStyle w:val="13"/>
              <w:spacing w:line="360" w:lineRule="exact"/>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b w:val="0"/>
                <w:bCs w:val="0"/>
                <w:color w:val="auto"/>
                <w:highlight w:val="none"/>
                <w:lang w:val="en-US" w:eastAsia="zh-CN"/>
              </w:rPr>
              <w:t xml:space="preserve">联系人：冯先生  </w:t>
            </w:r>
          </w:p>
          <w:p>
            <w:pPr>
              <w:pStyle w:val="13"/>
              <w:spacing w:line="360" w:lineRule="exact"/>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b w:val="0"/>
                <w:bCs w:val="0"/>
                <w:color w:val="auto"/>
                <w:highlight w:val="none"/>
                <w:lang w:eastAsia="zh-CN"/>
              </w:rPr>
              <w:t>电话：</w:t>
            </w:r>
            <w:r>
              <w:rPr>
                <w:rFonts w:hint="eastAsia" w:asciiTheme="minorEastAsia" w:hAnsiTheme="minorEastAsia" w:eastAsiaTheme="minorEastAsia" w:cstheme="minorEastAsia"/>
                <w:b w:val="0"/>
                <w:bCs w:val="0"/>
                <w:color w:val="auto"/>
                <w:highlight w:val="none"/>
                <w:lang w:val="en-US" w:eastAsia="zh-CN"/>
              </w:rPr>
              <w:t>15517746868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1.1.3</w:t>
            </w:r>
          </w:p>
        </w:tc>
        <w:tc>
          <w:tcPr>
            <w:tcW w:w="2318"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采购代理机构</w:t>
            </w:r>
          </w:p>
        </w:tc>
        <w:tc>
          <w:tcPr>
            <w:tcW w:w="6112"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 xml:space="preserve">采购代理机构：博爱县城市建设项目管理有限公司  </w:t>
            </w:r>
          </w:p>
          <w:p>
            <w:pPr>
              <w:pStyle w:val="13"/>
              <w:spacing w:line="360" w:lineRule="exact"/>
              <w:rPr>
                <w:rFonts w:hint="default" w:asciiTheme="minorEastAsia" w:hAnsiTheme="minorEastAsia" w:eastAsiaTheme="minorEastAsia" w:cstheme="minorEastAsia"/>
                <w:bCs/>
                <w:iCs/>
                <w:color w:val="auto"/>
                <w:highlight w:val="none"/>
              </w:rPr>
            </w:pPr>
            <w:r>
              <w:rPr>
                <w:rFonts w:asciiTheme="minorEastAsia" w:hAnsiTheme="minorEastAsia" w:eastAsiaTheme="minorEastAsia" w:cstheme="minorEastAsia"/>
                <w:color w:val="auto"/>
                <w:highlight w:val="none"/>
              </w:rPr>
              <w:t>联</w:t>
            </w:r>
            <w:r>
              <w:rPr>
                <w:rFonts w:asciiTheme="minorEastAsia" w:hAnsiTheme="minorEastAsia" w:eastAsiaTheme="minorEastAsia" w:cstheme="minorEastAsia"/>
                <w:bCs/>
                <w:iCs/>
                <w:color w:val="auto"/>
                <w:highlight w:val="none"/>
              </w:rPr>
              <w:t xml:space="preserve">系人：张先生      </w:t>
            </w:r>
          </w:p>
          <w:p>
            <w:pPr>
              <w:pStyle w:val="13"/>
              <w:spacing w:line="360" w:lineRule="exact"/>
              <w:rPr>
                <w:rFonts w:hint="default" w:asciiTheme="minorEastAsia" w:hAnsiTheme="minorEastAsia" w:eastAsiaTheme="minorEastAsia" w:cstheme="minorEastAsia"/>
                <w:color w:val="auto"/>
                <w:highlight w:val="none"/>
                <w:lang w:val="en-US" w:eastAsia="zh-CN"/>
              </w:rPr>
            </w:pPr>
            <w:r>
              <w:rPr>
                <w:rFonts w:asciiTheme="minorEastAsia" w:hAnsiTheme="minorEastAsia" w:eastAsiaTheme="minorEastAsia" w:cstheme="minorEastAsia"/>
                <w:bCs/>
                <w:iCs/>
                <w:color w:val="auto"/>
                <w:highlight w:val="none"/>
              </w:rPr>
              <w:t>电话：</w:t>
            </w:r>
            <w:r>
              <w:rPr>
                <w:rFonts w:hint="eastAsia" w:asciiTheme="minorEastAsia" w:hAnsiTheme="minorEastAsia" w:eastAsiaTheme="minorEastAsia" w:cstheme="minorEastAsia"/>
                <w:bCs/>
                <w:iCs/>
                <w:color w:val="auto"/>
                <w:highlight w:val="none"/>
                <w:lang w:val="en-US" w:eastAsia="zh-CN"/>
              </w:rPr>
              <w:t>13782768572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1.1.4</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112" w:type="dxa"/>
            <w:vAlign w:val="center"/>
          </w:tcPr>
          <w:p>
            <w:pPr>
              <w:adjustRightInd w:val="0"/>
              <w:snapToGrid w:val="0"/>
              <w:spacing w:line="46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iCs/>
                <w:color w:val="auto"/>
                <w:szCs w:val="21"/>
                <w:highlight w:val="none"/>
                <w:lang w:eastAsia="zh-CN"/>
              </w:rPr>
              <w:t>博爱县林业发展服务中心实施县乡两级森林防火物资采购项目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iCs/>
                <w:color w:val="auto"/>
                <w:szCs w:val="21"/>
                <w:highlight w:val="none"/>
              </w:rPr>
              <w:t>项目地点</w:t>
            </w:r>
          </w:p>
        </w:tc>
        <w:tc>
          <w:tcPr>
            <w:tcW w:w="6112"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1.2.1</w:t>
            </w:r>
          </w:p>
        </w:tc>
        <w:tc>
          <w:tcPr>
            <w:tcW w:w="2318"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资金来源</w:t>
            </w:r>
          </w:p>
        </w:tc>
        <w:tc>
          <w:tcPr>
            <w:tcW w:w="6112"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1.2.2</w:t>
            </w:r>
          </w:p>
        </w:tc>
        <w:tc>
          <w:tcPr>
            <w:tcW w:w="2318"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资金落实情况</w:t>
            </w:r>
          </w:p>
        </w:tc>
        <w:tc>
          <w:tcPr>
            <w:tcW w:w="6112"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1.3.1</w:t>
            </w:r>
          </w:p>
        </w:tc>
        <w:tc>
          <w:tcPr>
            <w:tcW w:w="2318" w:type="dxa"/>
            <w:vAlign w:val="center"/>
          </w:tcPr>
          <w:p>
            <w:pPr>
              <w:pStyle w:val="13"/>
              <w:spacing w:line="360" w:lineRule="exact"/>
              <w:ind w:firstLine="630" w:firstLineChars="3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采购内容</w:t>
            </w:r>
          </w:p>
        </w:tc>
        <w:tc>
          <w:tcPr>
            <w:tcW w:w="6112" w:type="dxa"/>
          </w:tcPr>
          <w:p>
            <w:pPr>
              <w:widowControl/>
              <w:spacing w:line="440" w:lineRule="exact"/>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kern w:val="0"/>
                <w:sz w:val="21"/>
                <w:szCs w:val="21"/>
                <w:highlight w:val="none"/>
              </w:rPr>
              <w:t>采购</w:t>
            </w:r>
            <w:r>
              <w:rPr>
                <w:rFonts w:hint="eastAsia" w:ascii="宋体" w:hAnsi="宋体" w:cs="宋体"/>
                <w:color w:val="auto"/>
                <w:kern w:val="0"/>
                <w:sz w:val="21"/>
                <w:szCs w:val="21"/>
                <w:highlight w:val="none"/>
                <w:lang w:val="en-US" w:eastAsia="zh-CN"/>
              </w:rPr>
              <w:t>油锯40台、风力灭火机20台、风水灭火机20台、割灌机5台、背负式消防水泵6台、阻燃服装60套、三防靴60双等</w:t>
            </w:r>
            <w:r>
              <w:rPr>
                <w:rFonts w:hint="eastAsia" w:ascii="宋体" w:hAnsi="宋体" w:cs="宋体"/>
                <w:color w:val="auto"/>
                <w:kern w:val="0"/>
                <w:sz w:val="21"/>
                <w:szCs w:val="21"/>
                <w:highlight w:val="none"/>
              </w:rPr>
              <w:t>（详见招标文件</w:t>
            </w:r>
            <w:r>
              <w:rPr>
                <w:rFonts w:hint="eastAsia" w:ascii="宋体" w:hAnsi="宋体" w:cs="宋体"/>
                <w:color w:val="auto"/>
                <w:kern w:val="0"/>
                <w:sz w:val="21"/>
                <w:szCs w:val="21"/>
                <w:highlight w:val="none"/>
                <w:lang w:val="en-US" w:eastAsia="zh-CN"/>
              </w:rPr>
              <w:t>第五章</w:t>
            </w:r>
            <w:r>
              <w:rPr>
                <w:rFonts w:hint="eastAsia" w:ascii="宋体" w:hAnsi="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1.3.2</w:t>
            </w:r>
          </w:p>
        </w:tc>
        <w:tc>
          <w:tcPr>
            <w:tcW w:w="2318" w:type="dxa"/>
            <w:vAlign w:val="center"/>
          </w:tcPr>
          <w:p>
            <w:pPr>
              <w:pStyle w:val="13"/>
              <w:spacing w:line="360" w:lineRule="exact"/>
              <w:jc w:val="center"/>
              <w:rPr>
                <w:rFonts w:hint="default" w:hAnsi="宋体" w:cs="宋体"/>
                <w:color w:val="auto"/>
                <w:kern w:val="0"/>
                <w:sz w:val="21"/>
                <w:szCs w:val="21"/>
                <w:highlight w:val="none"/>
              </w:rPr>
            </w:pPr>
            <w:r>
              <w:rPr>
                <w:rFonts w:hAnsi="宋体" w:cs="宋体"/>
                <w:color w:val="auto"/>
                <w:kern w:val="0"/>
                <w:sz w:val="21"/>
                <w:szCs w:val="21"/>
                <w:highlight w:val="none"/>
              </w:rPr>
              <w:t>供货期</w:t>
            </w:r>
          </w:p>
        </w:tc>
        <w:tc>
          <w:tcPr>
            <w:tcW w:w="6112" w:type="dxa"/>
            <w:vAlign w:val="center"/>
          </w:tcPr>
          <w:p>
            <w:pPr>
              <w:adjustRightInd w:val="0"/>
              <w:snapToGrid w:val="0"/>
              <w:spacing w:line="56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合同签订后15日历天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1.3.3</w:t>
            </w:r>
          </w:p>
        </w:tc>
        <w:tc>
          <w:tcPr>
            <w:tcW w:w="2318" w:type="dxa"/>
            <w:vAlign w:val="center"/>
          </w:tcPr>
          <w:p>
            <w:pPr>
              <w:pStyle w:val="13"/>
              <w:spacing w:line="360" w:lineRule="exact"/>
              <w:jc w:val="center"/>
              <w:rPr>
                <w:rFonts w:hint="default" w:hAnsi="宋体" w:cs="宋体"/>
                <w:color w:val="auto"/>
                <w:kern w:val="0"/>
                <w:sz w:val="21"/>
                <w:szCs w:val="21"/>
                <w:highlight w:val="none"/>
              </w:rPr>
            </w:pPr>
            <w:r>
              <w:rPr>
                <w:rFonts w:hint="default" w:hAnsi="宋体" w:cs="宋体"/>
                <w:color w:val="auto"/>
                <w:kern w:val="0"/>
                <w:sz w:val="21"/>
                <w:szCs w:val="21"/>
                <w:highlight w:val="none"/>
              </w:rPr>
              <w:t>质量标准</w:t>
            </w:r>
          </w:p>
        </w:tc>
        <w:tc>
          <w:tcPr>
            <w:tcW w:w="6112" w:type="dxa"/>
            <w:vAlign w:val="center"/>
          </w:tcPr>
          <w:p>
            <w:pPr>
              <w:spacing w:line="400" w:lineRule="exact"/>
              <w:rPr>
                <w:rFonts w:ascii="宋体" w:hAnsi="宋体" w:cs="宋体"/>
                <w:color w:val="auto"/>
                <w:kern w:val="0"/>
                <w:sz w:val="21"/>
                <w:szCs w:val="21"/>
                <w:highlight w:val="none"/>
              </w:rPr>
            </w:pPr>
            <w:r>
              <w:rPr>
                <w:rFonts w:ascii="宋体" w:hAnsi="宋体" w:cs="宋体"/>
                <w:color w:val="auto"/>
                <w:kern w:val="0"/>
                <w:sz w:val="21"/>
                <w:szCs w:val="21"/>
                <w:highlight w:val="none"/>
              </w:rPr>
              <w:t>合格，符合国家、行业规范标准。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1.3.4</w:t>
            </w:r>
          </w:p>
        </w:tc>
        <w:tc>
          <w:tcPr>
            <w:tcW w:w="2318" w:type="dxa"/>
            <w:vAlign w:val="center"/>
          </w:tcPr>
          <w:p>
            <w:pPr>
              <w:pStyle w:val="13"/>
              <w:spacing w:line="360" w:lineRule="exact"/>
              <w:jc w:val="center"/>
              <w:rPr>
                <w:rFonts w:hint="default" w:hAnsi="宋体" w:cs="宋体"/>
                <w:color w:val="auto"/>
                <w:kern w:val="0"/>
                <w:highlight w:val="none"/>
              </w:rPr>
            </w:pPr>
            <w:r>
              <w:rPr>
                <w:rFonts w:hAnsi="宋体" w:cs="宋体"/>
                <w:color w:val="auto"/>
                <w:kern w:val="0"/>
                <w:highlight w:val="none"/>
              </w:rPr>
              <w:t>质保期</w:t>
            </w:r>
          </w:p>
        </w:tc>
        <w:tc>
          <w:tcPr>
            <w:tcW w:w="6112" w:type="dxa"/>
            <w:vAlign w:val="center"/>
          </w:tcPr>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1.4.1</w:t>
            </w:r>
          </w:p>
        </w:tc>
        <w:tc>
          <w:tcPr>
            <w:tcW w:w="2318"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供应商资质条件</w:t>
            </w:r>
          </w:p>
        </w:tc>
        <w:tc>
          <w:tcPr>
            <w:tcW w:w="6112"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1、符合《中华人民共和国政府采购法》第二十二条之规定；</w:t>
            </w:r>
          </w:p>
          <w:p>
            <w:pPr>
              <w:pStyle w:val="13"/>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2、落实政府采购政策需满足的资格要求：促进中小企业和监狱企业发展扶持政策、政府强制采购节能产品、节能产品及环境标志产品优先采购。</w:t>
            </w:r>
          </w:p>
          <w:p>
            <w:pPr>
              <w:pStyle w:val="13"/>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3、本项目的特定资格要求：</w:t>
            </w:r>
          </w:p>
          <w:p>
            <w:pPr>
              <w:pStyle w:val="13"/>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3.1供应商须具有有效的营业执照，并具有实施完成本项目的经营实力和完善的售后服务体系；</w:t>
            </w:r>
          </w:p>
          <w:p>
            <w:pPr>
              <w:pStyle w:val="13"/>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3.2信誉要求：按照《财政部关于在政府采购活动中查询及使用信用记录有关问题的通知》（财库〔2016〕125号）的要求，根据开标当日“信用中国”网站（www.creditchina.gov.cn）、中国政府采购网（www.ccgp.gov.cn）的信息，对列入失信被执行人、税收违法</w:t>
            </w:r>
            <w:r>
              <w:rPr>
                <w:rFonts w:hint="default" w:asciiTheme="minorEastAsia" w:hAnsiTheme="minorEastAsia" w:eastAsiaTheme="minorEastAsia" w:cstheme="minorEastAsia"/>
                <w:color w:val="auto"/>
                <w:highlight w:val="none"/>
                <w:lang w:val="en-US" w:eastAsia="zh-CN"/>
              </w:rPr>
              <w:t>黑名单</w:t>
            </w:r>
            <w:r>
              <w:rPr>
                <w:rFonts w:hint="default" w:asciiTheme="minorEastAsia" w:hAnsiTheme="minorEastAsia" w:eastAsiaTheme="minorEastAsia" w:cstheme="minorEastAsia"/>
                <w:color w:val="auto"/>
                <w:highlight w:val="none"/>
              </w:rPr>
              <w:t>、政府采购严重违法失信行为记录名单的供应商，拒绝参与政府采购活动，同时对信用信息查询记录和证据进行打印存档； </w:t>
            </w:r>
          </w:p>
          <w:p>
            <w:pPr>
              <w:pStyle w:val="13"/>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3.3本项目不接受联合体投标；</w:t>
            </w:r>
          </w:p>
          <w:p>
            <w:pPr>
              <w:pStyle w:val="13"/>
              <w:spacing w:line="360" w:lineRule="exact"/>
              <w:rPr>
                <w:rFonts w:hint="default" w:asciiTheme="minorEastAsia" w:hAnsiTheme="minorEastAsia" w:eastAsiaTheme="minorEastAsia" w:cstheme="minorEastAsia"/>
                <w:color w:val="auto"/>
                <w:highlight w:val="none"/>
              </w:rPr>
            </w:pPr>
            <w:r>
              <w:rPr>
                <w:rFonts w:hint="default" w:asciiTheme="minorEastAsia" w:hAnsiTheme="minorEastAsia" w:eastAsiaTheme="minorEastAsia" w:cstheme="minorEastAsia"/>
                <w:color w:val="auto"/>
                <w:highlight w:val="none"/>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1.4.2</w:t>
            </w:r>
          </w:p>
        </w:tc>
        <w:tc>
          <w:tcPr>
            <w:tcW w:w="2318"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是否接受联合体</w:t>
            </w:r>
          </w:p>
        </w:tc>
        <w:tc>
          <w:tcPr>
            <w:tcW w:w="6112"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1.10.1</w:t>
            </w:r>
          </w:p>
        </w:tc>
        <w:tc>
          <w:tcPr>
            <w:tcW w:w="2318"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投标预备会</w:t>
            </w:r>
          </w:p>
        </w:tc>
        <w:tc>
          <w:tcPr>
            <w:tcW w:w="6112"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1.10.2</w:t>
            </w:r>
          </w:p>
        </w:tc>
        <w:tc>
          <w:tcPr>
            <w:tcW w:w="2318"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供应商提出问题的</w:t>
            </w:r>
          </w:p>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截止时间</w:t>
            </w:r>
          </w:p>
        </w:tc>
        <w:tc>
          <w:tcPr>
            <w:tcW w:w="6112"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1.10.3</w:t>
            </w:r>
          </w:p>
        </w:tc>
        <w:tc>
          <w:tcPr>
            <w:tcW w:w="2318"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采购人说明澄清的时间</w:t>
            </w:r>
          </w:p>
        </w:tc>
        <w:tc>
          <w:tcPr>
            <w:tcW w:w="6112"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1.11</w:t>
            </w:r>
          </w:p>
        </w:tc>
        <w:tc>
          <w:tcPr>
            <w:tcW w:w="2318"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分包</w:t>
            </w:r>
          </w:p>
        </w:tc>
        <w:tc>
          <w:tcPr>
            <w:tcW w:w="6112"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2.2.1</w:t>
            </w:r>
          </w:p>
        </w:tc>
        <w:tc>
          <w:tcPr>
            <w:tcW w:w="2318"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供应商要求澄清招标文件的截止时间</w:t>
            </w:r>
          </w:p>
        </w:tc>
        <w:tc>
          <w:tcPr>
            <w:tcW w:w="6112"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2.2.2</w:t>
            </w:r>
          </w:p>
        </w:tc>
        <w:tc>
          <w:tcPr>
            <w:tcW w:w="2318" w:type="dxa"/>
            <w:vAlign w:val="center"/>
          </w:tcPr>
          <w:p>
            <w:pPr>
              <w:pStyle w:val="13"/>
              <w:spacing w:line="360" w:lineRule="exact"/>
              <w:jc w:val="center"/>
              <w:rPr>
                <w:rFonts w:hint="default" w:asciiTheme="minorEastAsia" w:hAnsiTheme="minorEastAsia" w:eastAsiaTheme="minorEastAsia" w:cstheme="minorEastAsia"/>
                <w:b/>
                <w:bCs/>
                <w:color w:val="auto"/>
                <w:highlight w:val="none"/>
              </w:rPr>
            </w:pPr>
            <w:r>
              <w:rPr>
                <w:rFonts w:asciiTheme="minorEastAsia" w:hAnsiTheme="minorEastAsia" w:eastAsiaTheme="minorEastAsia" w:cstheme="minorEastAsia"/>
                <w:color w:val="auto"/>
                <w:highlight w:val="none"/>
              </w:rPr>
              <w:t>投标截止时间</w:t>
            </w:r>
          </w:p>
        </w:tc>
        <w:tc>
          <w:tcPr>
            <w:tcW w:w="6112" w:type="dxa"/>
            <w:vAlign w:val="center"/>
          </w:tcPr>
          <w:p>
            <w:pPr>
              <w:spacing w:line="360" w:lineRule="exact"/>
              <w:jc w:val="left"/>
              <w:rPr>
                <w:rFonts w:asciiTheme="minorEastAsia" w:hAnsiTheme="minorEastAsia" w:eastAsiaTheme="minorEastAsia" w:cstheme="minorEastAsia"/>
                <w:b/>
                <w:bCs/>
                <w:color w:val="auto"/>
                <w:highlight w:val="none"/>
              </w:rPr>
            </w:pPr>
            <w:r>
              <w:rPr>
                <w:rFonts w:hint="eastAsia" w:ascii="宋体" w:hAnsi="宋体" w:cs="宋体"/>
                <w:b/>
                <w:bCs/>
                <w:color w:val="auto"/>
                <w:kern w:val="0"/>
                <w:szCs w:val="21"/>
                <w:highlight w:val="none"/>
              </w:rPr>
              <w:t>2022年</w:t>
            </w:r>
            <w:r>
              <w:rPr>
                <w:rFonts w:hint="eastAsia" w:ascii="宋体" w:hAnsi="宋体" w:cs="宋体"/>
                <w:b/>
                <w:bCs/>
                <w:color w:val="auto"/>
                <w:kern w:val="0"/>
                <w:szCs w:val="21"/>
                <w:highlight w:val="none"/>
                <w:lang w:val="en-US" w:eastAsia="zh-CN"/>
              </w:rPr>
              <w:t xml:space="preserve">6 </w:t>
            </w:r>
            <w:r>
              <w:rPr>
                <w:rFonts w:hint="eastAsia" w:ascii="宋体" w:hAnsi="宋体" w:cs="宋体"/>
                <w:b/>
                <w:bCs/>
                <w:color w:val="auto"/>
                <w:kern w:val="0"/>
                <w:szCs w:val="21"/>
                <w:highlight w:val="none"/>
              </w:rPr>
              <w:t>月</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日上午</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点</w:t>
            </w:r>
            <w:r>
              <w:rPr>
                <w:rFonts w:hint="eastAsia" w:ascii="宋体" w:hAnsi="宋体" w:cs="宋体"/>
                <w:b/>
                <w:bCs/>
                <w:color w:val="auto"/>
                <w:kern w:val="0"/>
                <w:szCs w:val="21"/>
                <w:highlight w:val="none"/>
                <w:lang w:val="en-US" w:eastAsia="zh-CN"/>
              </w:rPr>
              <w:t>30</w:t>
            </w:r>
            <w:r>
              <w:rPr>
                <w:rFonts w:hint="eastAsia" w:ascii="宋体" w:hAnsi="宋体" w:cs="宋体"/>
                <w:b/>
                <w:bCs/>
                <w:color w:val="auto"/>
                <w:kern w:val="0"/>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构成投标文件的</w:t>
            </w:r>
          </w:p>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其他材料</w:t>
            </w:r>
          </w:p>
        </w:tc>
        <w:tc>
          <w:tcPr>
            <w:tcW w:w="6112" w:type="dxa"/>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3.3.1</w:t>
            </w:r>
          </w:p>
        </w:tc>
        <w:tc>
          <w:tcPr>
            <w:tcW w:w="2318"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投标有效期</w:t>
            </w:r>
          </w:p>
        </w:tc>
        <w:tc>
          <w:tcPr>
            <w:tcW w:w="6112"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3.6</w:t>
            </w:r>
          </w:p>
        </w:tc>
        <w:tc>
          <w:tcPr>
            <w:tcW w:w="2318"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是否允许递交备选</w:t>
            </w:r>
          </w:p>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投标方案</w:t>
            </w:r>
          </w:p>
        </w:tc>
        <w:tc>
          <w:tcPr>
            <w:tcW w:w="6112"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签字盖章要求</w:t>
            </w:r>
          </w:p>
        </w:tc>
        <w:tc>
          <w:tcPr>
            <w:tcW w:w="6112" w:type="dxa"/>
            <w:shd w:val="clear" w:color="auto" w:fill="auto"/>
            <w:vAlign w:val="center"/>
          </w:tcPr>
          <w:p>
            <w:pPr>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（1）所有要求投标人加盖公章的地方都须加盖投标人单位的 CA 印章。</w:t>
            </w:r>
          </w:p>
          <w:p>
            <w:pPr>
              <w:pStyle w:val="13"/>
              <w:spacing w:line="360" w:lineRule="exact"/>
              <w:rPr>
                <w:rFonts w:hint="default" w:asciiTheme="minorEastAsia" w:hAnsiTheme="minorEastAsia" w:eastAsiaTheme="minorEastAsia" w:cstheme="minorEastAsia"/>
                <w:color w:val="auto"/>
                <w:highlight w:val="none"/>
              </w:rPr>
            </w:pPr>
            <w:r>
              <w:rPr>
                <w:rFonts w:hAnsi="宋体" w:cs="宋体"/>
                <w:b/>
                <w:bCs/>
                <w:color w:val="auto"/>
                <w:highlight w:val="none"/>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3.7.4</w:t>
            </w:r>
          </w:p>
        </w:tc>
        <w:tc>
          <w:tcPr>
            <w:tcW w:w="2318"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投标文件份数</w:t>
            </w:r>
          </w:p>
        </w:tc>
        <w:tc>
          <w:tcPr>
            <w:tcW w:w="6112" w:type="dxa"/>
            <w:vAlign w:val="center"/>
          </w:tcPr>
          <w:p>
            <w:pPr>
              <w:pStyle w:val="13"/>
              <w:spacing w:line="360" w:lineRule="exact"/>
              <w:rPr>
                <w:rFonts w:hint="default" w:asciiTheme="minorEastAsia" w:hAnsiTheme="minorEastAsia" w:cstheme="minorEastAsia"/>
                <w:color w:val="auto"/>
                <w:highlight w:val="none"/>
              </w:rPr>
            </w:pPr>
            <w:r>
              <w:rPr>
                <w:b/>
                <w:bCs/>
                <w:color w:val="auto"/>
                <w:highlight w:val="none"/>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4.2.2</w:t>
            </w:r>
          </w:p>
        </w:tc>
        <w:tc>
          <w:tcPr>
            <w:tcW w:w="2318"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递交投标文件方式和</w:t>
            </w:r>
          </w:p>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地点</w:t>
            </w:r>
          </w:p>
        </w:tc>
        <w:tc>
          <w:tcPr>
            <w:tcW w:w="6112" w:type="dxa"/>
            <w:vAlign w:val="center"/>
          </w:tcPr>
          <w:p>
            <w:pPr>
              <w:pStyle w:val="13"/>
              <w:spacing w:line="400" w:lineRule="exact"/>
              <w:rPr>
                <w:rFonts w:hint="default" w:hAnsi="宋体"/>
                <w:color w:val="auto"/>
                <w:highlight w:val="none"/>
              </w:rPr>
            </w:pPr>
            <w:r>
              <w:rPr>
                <w:rFonts w:hAnsi="宋体"/>
                <w:color w:val="auto"/>
                <w:highlight w:val="none"/>
              </w:rPr>
              <w:t xml:space="preserve">本项目采用“远程不见面”开标方式，远程开标大厅网址为http://122.112.246.33/BidOpening/bidopeninghallaction/hall/login。投标人不需到开标现场参加开标会议，不需提交原件资料等。 </w:t>
            </w:r>
          </w:p>
          <w:p>
            <w:pPr>
              <w:pStyle w:val="13"/>
              <w:spacing w:line="400" w:lineRule="exact"/>
              <w:rPr>
                <w:rFonts w:hint="default" w:hAnsi="宋体"/>
                <w:color w:val="auto"/>
                <w:highlight w:val="none"/>
              </w:rPr>
            </w:pPr>
            <w:r>
              <w:rPr>
                <w:rFonts w:hAnsi="宋体"/>
                <w:color w:val="auto"/>
                <w:highlight w:val="none"/>
              </w:rPr>
              <w:t>（1）电子投标文件的递交</w:t>
            </w:r>
          </w:p>
          <w:p>
            <w:pPr>
              <w:pStyle w:val="13"/>
              <w:spacing w:line="400" w:lineRule="exact"/>
              <w:rPr>
                <w:rFonts w:hint="default" w:hAnsi="宋体"/>
                <w:color w:val="auto"/>
                <w:highlight w:val="none"/>
              </w:rPr>
            </w:pPr>
            <w:r>
              <w:rPr>
                <w:rFonts w:hAnsi="宋体"/>
                <w:color w:val="auto"/>
                <w:highlight w:val="none"/>
              </w:rPr>
              <w:t>a、各投标人应在投标截止时间前上传加密的电子投标文件</w:t>
            </w:r>
          </w:p>
          <w:p>
            <w:pPr>
              <w:pStyle w:val="13"/>
              <w:spacing w:line="400" w:lineRule="exact"/>
              <w:rPr>
                <w:rFonts w:hint="default" w:hAnsi="宋体"/>
                <w:color w:val="auto"/>
                <w:highlight w:val="none"/>
              </w:rPr>
            </w:pPr>
            <w:r>
              <w:rPr>
                <w:rFonts w:hAnsi="宋体"/>
                <w:color w:val="auto"/>
                <w:highlight w:val="none"/>
              </w:rPr>
              <w:t>（.jztf 格式）到会员系统的指定位置。上传时必须得到电脑“上传成功”的确认回复。请投标人在上传时认真检查上传投标文件是否完整、正确。</w:t>
            </w:r>
          </w:p>
          <w:p>
            <w:pPr>
              <w:pStyle w:val="13"/>
              <w:spacing w:line="400" w:lineRule="exact"/>
              <w:rPr>
                <w:rFonts w:hint="default" w:hAnsi="宋体"/>
                <w:color w:val="auto"/>
                <w:highlight w:val="none"/>
              </w:rPr>
            </w:pPr>
            <w:r>
              <w:rPr>
                <w:rFonts w:hAnsi="宋体"/>
                <w:color w:val="auto"/>
                <w:highlight w:val="none"/>
              </w:rPr>
              <w:t>b、如系统故故障需上传非加密文件时，投标人应按照</w:t>
            </w:r>
            <w:r>
              <w:rPr>
                <w:rFonts w:hint="eastAsia" w:hAnsi="宋体"/>
                <w:color w:val="auto"/>
                <w:highlight w:val="none"/>
                <w:lang w:eastAsia="zh-CN"/>
              </w:rPr>
              <w:t>采购人</w:t>
            </w:r>
            <w:r>
              <w:rPr>
                <w:rFonts w:hAnsi="宋体"/>
                <w:color w:val="auto"/>
                <w:highlight w:val="none"/>
              </w:rPr>
              <w:t>指示将非加密文件递交给</w:t>
            </w:r>
            <w:r>
              <w:rPr>
                <w:rFonts w:hint="eastAsia" w:hAnsi="宋体"/>
                <w:color w:val="auto"/>
                <w:highlight w:val="none"/>
                <w:lang w:eastAsia="zh-CN"/>
              </w:rPr>
              <w:t>采购人</w:t>
            </w:r>
            <w:r>
              <w:rPr>
                <w:rFonts w:hAnsi="宋体"/>
                <w:color w:val="auto"/>
                <w:highlight w:val="none"/>
              </w:rPr>
              <w:t>。</w:t>
            </w:r>
          </w:p>
          <w:p>
            <w:pPr>
              <w:pStyle w:val="13"/>
              <w:spacing w:line="360" w:lineRule="exact"/>
              <w:rPr>
                <w:rFonts w:hint="eastAsia" w:eastAsia="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4.2.3</w:t>
            </w:r>
          </w:p>
        </w:tc>
        <w:tc>
          <w:tcPr>
            <w:tcW w:w="2318"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是否退还投标文件</w:t>
            </w:r>
          </w:p>
        </w:tc>
        <w:tc>
          <w:tcPr>
            <w:tcW w:w="6112" w:type="dxa"/>
            <w:vAlign w:val="center"/>
          </w:tcPr>
          <w:p>
            <w:pPr>
              <w:pStyle w:val="13"/>
              <w:spacing w:line="360" w:lineRule="exact"/>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5.1</w:t>
            </w:r>
          </w:p>
        </w:tc>
        <w:tc>
          <w:tcPr>
            <w:tcW w:w="2318"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开标时间和地点</w:t>
            </w:r>
          </w:p>
        </w:tc>
        <w:tc>
          <w:tcPr>
            <w:tcW w:w="6112" w:type="dxa"/>
            <w:vAlign w:val="center"/>
          </w:tcPr>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开标时间：同投标截止时间。登录远程开标大厅，凭制作投标文件所用的企业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color w:val="auto"/>
                <w:highlight w:val="none"/>
              </w:rPr>
            </w:pPr>
            <w:r>
              <w:rPr>
                <w:rFonts w:hint="eastAsia" w:ascii="宋体" w:hAnsi="宋体"/>
                <w:color w:val="auto"/>
                <w:szCs w:val="21"/>
                <w:highlight w:val="none"/>
              </w:rPr>
              <w:t>现场开标地点：博爱县公共资源交易中心二楼第</w:t>
            </w:r>
            <w:r>
              <w:rPr>
                <w:rFonts w:hint="eastAsia" w:ascii="宋体" w:hAnsi="宋体"/>
                <w:color w:val="auto"/>
                <w:szCs w:val="21"/>
                <w:highlight w:val="none"/>
                <w:lang w:val="en-US" w:eastAsia="zh-CN"/>
              </w:rPr>
              <w:t>二</w:t>
            </w:r>
            <w:r>
              <w:rPr>
                <w:rFonts w:hint="eastAsia" w:ascii="宋体" w:hAnsi="宋体"/>
                <w:color w:val="auto"/>
                <w:szCs w:val="21"/>
                <w:highlight w:val="none"/>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评标委员会的组建</w:t>
            </w:r>
          </w:p>
        </w:tc>
        <w:tc>
          <w:tcPr>
            <w:tcW w:w="6112" w:type="dxa"/>
            <w:vAlign w:val="center"/>
          </w:tcPr>
          <w:p>
            <w:pPr>
              <w:spacing w:line="360" w:lineRule="exact"/>
              <w:ind w:left="700" w:hanging="7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评标委员会构成：由采购人代表1名和政府采购专家库中随机抽</w:t>
            </w:r>
          </w:p>
          <w:p>
            <w:pPr>
              <w:spacing w:line="360" w:lineRule="exact"/>
              <w:ind w:left="700" w:hanging="7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取的评审专家4名共5人组成。</w:t>
            </w:r>
          </w:p>
          <w:p>
            <w:pPr>
              <w:spacing w:line="360" w:lineRule="exact"/>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highlight w:val="none"/>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w:t>
            </w:r>
          </w:p>
        </w:tc>
        <w:tc>
          <w:tcPr>
            <w:tcW w:w="6112" w:type="dxa"/>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3"/>
              <w:spacing w:line="360" w:lineRule="exact"/>
              <w:jc w:val="center"/>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1"/>
                <w:highlight w:val="none"/>
              </w:rPr>
              <w:t>10</w:t>
            </w:r>
          </w:p>
        </w:tc>
        <w:tc>
          <w:tcPr>
            <w:tcW w:w="8430" w:type="dxa"/>
            <w:gridSpan w:val="2"/>
            <w:vAlign w:val="bottom"/>
          </w:tcPr>
          <w:p>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预算金额</w:t>
            </w:r>
          </w:p>
        </w:tc>
        <w:tc>
          <w:tcPr>
            <w:tcW w:w="6112" w:type="dxa"/>
            <w:vAlign w:val="bottom"/>
          </w:tcPr>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1、本项目预算金额为：</w:t>
            </w:r>
            <w:r>
              <w:rPr>
                <w:rFonts w:hint="eastAsia" w:asciiTheme="minorEastAsia" w:hAnsiTheme="minorEastAsia" w:eastAsiaTheme="minorEastAsia" w:cstheme="minorEastAsia"/>
                <w:color w:val="auto"/>
                <w:szCs w:val="21"/>
                <w:highlight w:val="none"/>
                <w:lang w:val="en-US" w:eastAsia="zh-CN"/>
              </w:rPr>
              <w:t>950000.00</w:t>
            </w:r>
            <w:r>
              <w:rPr>
                <w:rFonts w:hint="eastAsia" w:asciiTheme="minorEastAsia" w:hAnsiTheme="minorEastAsia" w:eastAsiaTheme="minorEastAsia" w:cstheme="minorEastAsia"/>
                <w:color w:val="auto"/>
                <w:szCs w:val="21"/>
                <w:highlight w:val="none"/>
              </w:rPr>
              <w:t>元</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小型或微型企业（含监狱企业）</w:t>
            </w:r>
          </w:p>
        </w:tc>
        <w:tc>
          <w:tcPr>
            <w:tcW w:w="6112" w:type="dxa"/>
            <w:vAlign w:val="center"/>
          </w:tcPr>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1、对小型或微型企业投标的扶持：(如有）</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1.1投标供应商为小型或微型企业时，报价给予C1的价格扣除（C1的取值为6%），即：评标价＝投标报价（最后报价）×(1－C1）；</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小微企业应当列明本项目中所投的“小型和微型企业产品的清单”并提供《中小企业声明函》（见格式）。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1.2按照</w:t>
            </w:r>
            <w:r>
              <w:rPr>
                <w:rFonts w:hint="eastAsia" w:ascii="宋体" w:hAnsi="宋体" w:cs="宋体"/>
                <w:color w:val="auto"/>
                <w:kern w:val="0"/>
                <w:sz w:val="24"/>
                <w:szCs w:val="22"/>
                <w:highlight w:val="none"/>
              </w:rPr>
              <w:t>《</w:t>
            </w:r>
            <w:r>
              <w:rPr>
                <w:rFonts w:hint="eastAsia" w:ascii="宋体" w:hAnsi="宋体" w:cs="宋体"/>
                <w:color w:val="auto"/>
                <w:kern w:val="0"/>
                <w:szCs w:val="21"/>
                <w:highlight w:val="none"/>
              </w:rPr>
              <w:t>政府采购促进中小企业发展管理办法》有关规定，中小企业的标准为：</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1.2.3小型、微型企业提供有中型企业制造的货物的，视同为中型企业；小型、微型、中型企业提供有大型企业制造的货物的，视同为大型企业。</w:t>
            </w:r>
          </w:p>
          <w:p>
            <w:pPr>
              <w:spacing w:line="440" w:lineRule="exact"/>
              <w:rPr>
                <w:rFonts w:ascii="宋体" w:hAnsi="宋体" w:cs="宋体"/>
                <w:bCs/>
                <w:color w:val="auto"/>
                <w:highlight w:val="none"/>
              </w:rPr>
            </w:pPr>
            <w:r>
              <w:rPr>
                <w:rFonts w:hint="eastAsia" w:ascii="宋体" w:hAnsi="宋体" w:cs="宋体"/>
                <w:bCs/>
                <w:color w:val="auto"/>
                <w:highlight w:val="none"/>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bCs/>
                <w:color w:val="auto"/>
                <w:highlight w:val="none"/>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w:t>
            </w:r>
          </w:p>
        </w:tc>
        <w:tc>
          <w:tcPr>
            <w:tcW w:w="2318" w:type="dxa"/>
            <w:vAlign w:val="center"/>
          </w:tcPr>
          <w:p>
            <w:pPr>
              <w:spacing w:line="440" w:lineRule="exact"/>
              <w:jc w:val="center"/>
              <w:rPr>
                <w:rFonts w:hint="eastAsia" w:ascii="宋体" w:hAnsi="宋体" w:cs="宋体"/>
                <w:bCs/>
                <w:color w:val="auto"/>
                <w:highlight w:val="none"/>
              </w:rPr>
            </w:pPr>
            <w:r>
              <w:rPr>
                <w:rFonts w:hint="eastAsia" w:ascii="宋体" w:hAnsi="宋体" w:cs="宋体"/>
                <w:bCs/>
                <w:color w:val="auto"/>
                <w:highlight w:val="none"/>
              </w:rPr>
              <w:t>付款方式</w:t>
            </w:r>
          </w:p>
        </w:tc>
        <w:tc>
          <w:tcPr>
            <w:tcW w:w="6112" w:type="dxa"/>
            <w:vAlign w:val="center"/>
          </w:tcPr>
          <w:p>
            <w:pPr>
              <w:spacing w:line="440" w:lineRule="exact"/>
              <w:rPr>
                <w:rFonts w:hint="eastAsia" w:ascii="宋体" w:hAnsi="宋体" w:cs="宋体"/>
                <w:bCs/>
                <w:color w:val="auto"/>
                <w:highlight w:val="none"/>
                <w:lang w:eastAsia="zh-CN"/>
              </w:rPr>
            </w:pPr>
            <w:r>
              <w:rPr>
                <w:rFonts w:hint="eastAsia" w:ascii="宋体" w:hAnsi="宋体" w:cs="宋体"/>
                <w:bCs/>
                <w:color w:val="auto"/>
                <w:highlight w:val="none"/>
                <w:lang w:val="en-US" w:eastAsia="zh-CN"/>
              </w:rPr>
              <w:t>供货完毕货物验收合格后，支付总价款的95%，剩余5%作为质保金，质保期结束后无任何质量问题一次性无息支付。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10.4</w:t>
            </w:r>
          </w:p>
        </w:tc>
        <w:tc>
          <w:tcPr>
            <w:tcW w:w="2318" w:type="dxa"/>
            <w:vAlign w:val="center"/>
          </w:tcPr>
          <w:p>
            <w:pPr>
              <w:spacing w:line="440" w:lineRule="exact"/>
              <w:jc w:val="center"/>
              <w:rPr>
                <w:rFonts w:hint="eastAsia" w:ascii="宋体" w:hAnsi="宋体" w:cs="宋体"/>
                <w:bCs/>
                <w:color w:val="auto"/>
                <w:highlight w:val="none"/>
              </w:rPr>
            </w:pPr>
            <w:r>
              <w:rPr>
                <w:rFonts w:hint="eastAsia" w:ascii="宋体" w:hAnsi="宋体" w:cs="宋体"/>
                <w:bCs/>
                <w:color w:val="auto"/>
                <w:highlight w:val="none"/>
              </w:rPr>
              <w:t>供货要求</w:t>
            </w:r>
          </w:p>
        </w:tc>
        <w:tc>
          <w:tcPr>
            <w:tcW w:w="6112" w:type="dxa"/>
            <w:vAlign w:val="center"/>
          </w:tcPr>
          <w:p>
            <w:pPr>
              <w:spacing w:line="440" w:lineRule="exact"/>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若因中标人原因不能按期按质供货的，将扣除中标人2万元的违约金，同时每超过一天另扣除合同金额的千分之一。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10.5</w:t>
            </w:r>
          </w:p>
        </w:tc>
        <w:tc>
          <w:tcPr>
            <w:tcW w:w="2318"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招标代理服务费</w:t>
            </w:r>
          </w:p>
        </w:tc>
        <w:tc>
          <w:tcPr>
            <w:tcW w:w="6112" w:type="dxa"/>
            <w:vAlign w:val="center"/>
          </w:tcPr>
          <w:p>
            <w:pPr>
              <w:spacing w:line="440" w:lineRule="exact"/>
              <w:rPr>
                <w:rFonts w:ascii="宋体" w:hAnsi="宋体" w:cs="宋体"/>
                <w:bCs/>
                <w:color w:val="auto"/>
                <w:highlight w:val="none"/>
              </w:rPr>
            </w:pPr>
            <w:r>
              <w:rPr>
                <w:rFonts w:hint="eastAsia" w:ascii="宋体" w:hAnsi="宋体" w:cs="宋体"/>
                <w:bCs/>
                <w:color w:val="auto"/>
                <w:highlight w:val="none"/>
              </w:rPr>
              <w:t>1、招标代理服务费依据国家发展改革委发改价格[2015]299号文件的规定收取，由中标人支付。招标代理费由招标代理机构通知中标企业结清后，领取中标通知书。</w:t>
            </w:r>
          </w:p>
          <w:p>
            <w:pPr>
              <w:pStyle w:val="34"/>
              <w:rPr>
                <w:color w:val="auto"/>
                <w:highlight w:val="none"/>
              </w:rPr>
            </w:pPr>
            <w:r>
              <w:rPr>
                <w:rFonts w:hint="eastAsia" w:ascii="宋体" w:hAnsi="宋体" w:cs="宋体"/>
                <w:bCs/>
                <w:color w:val="auto"/>
                <w:kern w:val="2"/>
                <w:highlight w:val="none"/>
              </w:rPr>
              <w:t>2、中标人在领取中标通知书时，将投标文件纸质版打印装订（投标文件正本壹份和副本肆份，每册应采用左侧粘贴方式，不得采用活页装订）递交采购人。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10.8</w:t>
            </w:r>
          </w:p>
        </w:tc>
        <w:tc>
          <w:tcPr>
            <w:tcW w:w="2318" w:type="dxa"/>
            <w:vAlign w:val="center"/>
          </w:tcPr>
          <w:p>
            <w:pPr>
              <w:adjustRightInd w:val="0"/>
              <w:snapToGrid w:val="0"/>
              <w:jc w:val="center"/>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认定为不响应招标文件的其它条件</w:t>
            </w:r>
          </w:p>
        </w:tc>
        <w:tc>
          <w:tcPr>
            <w:tcW w:w="6112" w:type="dxa"/>
            <w:vAlign w:val="center"/>
          </w:tcPr>
          <w:p>
            <w:pPr>
              <w:pStyle w:val="2"/>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1、未按招标文件明示的规定签字盖章的；</w:t>
            </w:r>
          </w:p>
          <w:p>
            <w:pPr>
              <w:pStyle w:val="2"/>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2、投标文件的关键内容（供货期、质量标准、品牌、型号等）未填写或填写字迹模糊、达不到采购要求的；</w:t>
            </w:r>
          </w:p>
          <w:p>
            <w:pPr>
              <w:pStyle w:val="2"/>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3、投标报价超出招标控制价的；</w:t>
            </w:r>
          </w:p>
          <w:p>
            <w:pPr>
              <w:pStyle w:val="2"/>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4、供应商递交两份或多份内容不同的投标文件，或在一份投标文件中对同一招标项目有两个或多个报价，且未声明哪一个有效的；</w:t>
            </w:r>
          </w:p>
          <w:p>
            <w:pPr>
              <w:pStyle w:val="2"/>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5、相关资格证明文件不合格的；</w:t>
            </w:r>
          </w:p>
          <w:p>
            <w:pPr>
              <w:pStyle w:val="2"/>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6、未按要求在报价明细表中标明品牌、型号及技术参数的。</w:t>
            </w:r>
          </w:p>
          <w:p>
            <w:pPr>
              <w:pStyle w:val="2"/>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7、附有采购人不能接受的条件的；</w:t>
            </w:r>
          </w:p>
          <w:p>
            <w:pPr>
              <w:pStyle w:val="2"/>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8、评标过程中，如因两个或两个以上投标人在同一台计算或同一个IP上传响应文件，而被不见面开标系统提示为“投标文件制作机器码一致”的，则视其投标无效。</w:t>
            </w:r>
          </w:p>
          <w:p>
            <w:pPr>
              <w:pStyle w:val="2"/>
              <w:ind w:firstLine="0" w:firstLineChars="0"/>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10、投标文件有明显不符合招标文件其它要求和有关法律法规的。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10.9</w:t>
            </w:r>
          </w:p>
        </w:tc>
        <w:tc>
          <w:tcPr>
            <w:tcW w:w="8430" w:type="dxa"/>
            <w:gridSpan w:val="2"/>
            <w:vAlign w:val="center"/>
          </w:tcPr>
          <w:p>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本招标文件解释权归采购人</w:t>
            </w:r>
          </w:p>
        </w:tc>
      </w:tr>
    </w:tbl>
    <w:p>
      <w:pPr>
        <w:pStyle w:val="20"/>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9" w:name="_Toc426369479"/>
      <w:bookmarkStart w:id="10" w:name="_Toc23082"/>
      <w:bookmarkStart w:id="11" w:name="_Toc403122491"/>
      <w:bookmarkStart w:id="12" w:name="_Toc23576"/>
      <w:bookmarkStart w:id="13" w:name="_Toc9048"/>
      <w:bookmarkStart w:id="14" w:name="_Toc26894"/>
      <w:bookmarkStart w:id="15" w:name="_Toc403122503"/>
      <w:bookmarkStart w:id="16" w:name="_Toc426369491"/>
      <w:r>
        <w:rPr>
          <w:rFonts w:hint="eastAsia" w:asciiTheme="minorEastAsia" w:hAnsiTheme="minorEastAsia" w:eastAsiaTheme="minorEastAsia" w:cstheme="minorEastAsia"/>
          <w:color w:val="auto"/>
          <w:sz w:val="24"/>
          <w:szCs w:val="24"/>
          <w:highlight w:val="none"/>
        </w:rPr>
        <w:t>1. 总则</w:t>
      </w:r>
      <w:bookmarkEnd w:id="9"/>
      <w:bookmarkEnd w:id="10"/>
      <w:bookmarkEnd w:id="11"/>
      <w:bookmarkEnd w:id="12"/>
      <w:bookmarkEnd w:id="13"/>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 w:name="_Toc426369480"/>
      <w:bookmarkStart w:id="18" w:name="_Toc274249575"/>
      <w:bookmarkStart w:id="19" w:name="_Toc403122492"/>
      <w:bookmarkStart w:id="20" w:name="_Toc279599771"/>
      <w:r>
        <w:rPr>
          <w:rFonts w:hint="eastAsia" w:asciiTheme="minorEastAsia" w:hAnsiTheme="minorEastAsia" w:eastAsiaTheme="minorEastAsia" w:cstheme="minorEastAsia"/>
          <w:b/>
          <w:bCs/>
          <w:color w:val="auto"/>
          <w:sz w:val="24"/>
          <w:highlight w:val="none"/>
        </w:rPr>
        <w:t>1.1 项目概况</w:t>
      </w:r>
      <w:bookmarkEnd w:id="17"/>
      <w:bookmarkEnd w:id="18"/>
      <w:bookmarkEnd w:id="19"/>
      <w:bookmarkEnd w:id="2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根据</w:t>
      </w:r>
      <w:r>
        <w:rPr>
          <w:rFonts w:hint="eastAsia" w:asciiTheme="minorEastAsia" w:hAnsiTheme="minorEastAsia" w:eastAsiaTheme="minorEastAsia" w:cstheme="minorEastAsia"/>
          <w:bCs/>
          <w:color w:val="auto"/>
          <w:szCs w:val="21"/>
          <w:highlight w:val="none"/>
        </w:rPr>
        <w:t>《中华人民共和国政府采购法》</w:t>
      </w:r>
      <w:r>
        <w:rPr>
          <w:rFonts w:hint="eastAsia" w:asciiTheme="minorEastAsia" w:hAnsiTheme="minorEastAsia" w:eastAsiaTheme="minorEastAsia" w:cstheme="minorEastAsia"/>
          <w:color w:val="auto"/>
          <w:szCs w:val="21"/>
          <w:highlight w:val="none"/>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 w:name="_Toc274249576"/>
      <w:bookmarkStart w:id="22" w:name="_Toc403122493"/>
      <w:bookmarkStart w:id="23" w:name="_Toc279599772"/>
      <w:bookmarkStart w:id="24" w:name="_Toc426369481"/>
      <w:r>
        <w:rPr>
          <w:rFonts w:hint="eastAsia" w:asciiTheme="minorEastAsia" w:hAnsiTheme="minorEastAsia" w:eastAsiaTheme="minorEastAsia" w:cstheme="minorEastAsia"/>
          <w:b/>
          <w:bCs/>
          <w:color w:val="auto"/>
          <w:sz w:val="24"/>
          <w:highlight w:val="none"/>
        </w:rPr>
        <w:t>1.2 资金来源和落实情况</w:t>
      </w:r>
      <w:bookmarkEnd w:id="21"/>
      <w:bookmarkEnd w:id="22"/>
      <w:bookmarkEnd w:id="23"/>
      <w:bookmarkEnd w:id="24"/>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1.2.2  本招标项目的资金落实情况：见供应商须知前附表。 </w:t>
      </w:r>
    </w:p>
    <w:p>
      <w:pPr>
        <w:spacing w:line="500" w:lineRule="exact"/>
        <w:ind w:firstLine="482" w:firstLineChars="200"/>
        <w:rPr>
          <w:rFonts w:hint="eastAsia" w:asciiTheme="minorEastAsia" w:hAnsiTheme="minorEastAsia" w:eastAsiaTheme="minorEastAsia" w:cstheme="minorEastAsia"/>
          <w:b/>
          <w:bCs/>
          <w:color w:val="auto"/>
          <w:sz w:val="24"/>
          <w:highlight w:val="none"/>
          <w:lang w:eastAsia="zh-CN"/>
        </w:rPr>
      </w:pPr>
      <w:bookmarkStart w:id="25" w:name="_Toc279599773"/>
      <w:bookmarkStart w:id="26" w:name="_Toc403122494"/>
      <w:bookmarkStart w:id="27" w:name="_Toc274249577"/>
      <w:bookmarkStart w:id="28" w:name="_Toc426369482"/>
      <w:r>
        <w:rPr>
          <w:rFonts w:hint="eastAsia" w:asciiTheme="minorEastAsia" w:hAnsiTheme="minorEastAsia" w:eastAsiaTheme="minorEastAsia" w:cstheme="minorEastAsia"/>
          <w:b/>
          <w:bCs/>
          <w:color w:val="auto"/>
          <w:sz w:val="24"/>
          <w:highlight w:val="none"/>
        </w:rPr>
        <w:t>1.3 采购内容、</w:t>
      </w:r>
      <w:r>
        <w:rPr>
          <w:rFonts w:hint="eastAsia" w:asciiTheme="minorEastAsia" w:hAnsiTheme="minorEastAsia" w:eastAsiaTheme="minorEastAsia" w:cstheme="minorEastAsia"/>
          <w:b/>
          <w:bCs/>
          <w:color w:val="auto"/>
          <w:sz w:val="24"/>
          <w:highlight w:val="none"/>
          <w:lang w:val="en-US" w:eastAsia="zh-CN"/>
        </w:rPr>
        <w:t>供货期</w:t>
      </w:r>
      <w:r>
        <w:rPr>
          <w:rFonts w:hint="eastAsia" w:asciiTheme="minorEastAsia" w:hAnsiTheme="minorEastAsia" w:eastAsiaTheme="minorEastAsia" w:cstheme="minorEastAsia"/>
          <w:b/>
          <w:bCs/>
          <w:color w:val="auto"/>
          <w:sz w:val="24"/>
          <w:highlight w:val="none"/>
        </w:rPr>
        <w:t>和质量</w:t>
      </w:r>
      <w:bookmarkEnd w:id="25"/>
      <w:bookmarkEnd w:id="26"/>
      <w:bookmarkEnd w:id="27"/>
      <w:bookmarkEnd w:id="28"/>
      <w:r>
        <w:rPr>
          <w:rFonts w:hint="eastAsia" w:asciiTheme="minorEastAsia" w:hAnsiTheme="minorEastAsia" w:eastAsiaTheme="minorEastAsia" w:cstheme="minorEastAsia"/>
          <w:b/>
          <w:bCs/>
          <w:color w:val="auto"/>
          <w:sz w:val="24"/>
          <w:highlight w:val="none"/>
          <w:lang w:val="en-US" w:eastAsia="zh-CN"/>
        </w:rPr>
        <w:t>标准</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1.3.4  本次招标的质保期要求：见供应商须知前附表。 </w:t>
      </w:r>
      <w:r>
        <w:rPr>
          <w:rFonts w:hint="eastAsia" w:asciiTheme="minorEastAsia" w:hAnsiTheme="minorEastAsia" w:eastAsiaTheme="minorEastAsia" w:cstheme="minorEastAsia"/>
          <w:color w:val="auto"/>
          <w:szCs w:val="21"/>
          <w:highlight w:val="none"/>
        </w:rPr>
        <w:tab/>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9" w:name="_Toc279599774"/>
      <w:bookmarkStart w:id="30" w:name="_Toc403122495"/>
      <w:bookmarkStart w:id="31" w:name="_Toc426369483"/>
      <w:bookmarkStart w:id="32" w:name="_Toc274249578"/>
      <w:r>
        <w:rPr>
          <w:rFonts w:hint="eastAsia" w:asciiTheme="minorEastAsia" w:hAnsiTheme="minorEastAsia" w:eastAsiaTheme="minorEastAsia" w:cstheme="minorEastAsia"/>
          <w:b/>
          <w:bCs/>
          <w:color w:val="auto"/>
          <w:sz w:val="24"/>
          <w:highlight w:val="none"/>
        </w:rPr>
        <w:t>1.4 供应商资格要求</w:t>
      </w:r>
      <w:bookmarkEnd w:id="29"/>
      <w:bookmarkEnd w:id="30"/>
      <w:bookmarkEnd w:id="31"/>
      <w:bookmarkEnd w:id="3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（1）供应商资质条件：见供应商须知前附表； </w:t>
      </w:r>
    </w:p>
    <w:p>
      <w:pPr>
        <w:spacing w:line="440" w:lineRule="exact"/>
        <w:ind w:firstLine="420" w:firstLineChars="200"/>
        <w:rPr>
          <w:rFonts w:asciiTheme="minorEastAsia" w:hAnsiTheme="minorEastAsia" w:eastAsiaTheme="minorEastAsia" w:cstheme="minorEastAsia"/>
          <w:color w:val="auto"/>
          <w:szCs w:val="21"/>
          <w:highlight w:val="none"/>
        </w:rPr>
      </w:pPr>
      <w:bookmarkStart w:id="33" w:name="_Toc403122496"/>
      <w:bookmarkStart w:id="34" w:name="_Toc274249579"/>
      <w:bookmarkStart w:id="35" w:name="_Toc279599775"/>
      <w:r>
        <w:rPr>
          <w:rFonts w:hint="eastAsia" w:asciiTheme="minorEastAsia" w:hAnsiTheme="minorEastAsia" w:eastAsiaTheme="minorEastAsia" w:cstheme="minorEastAsia"/>
          <w:color w:val="auto"/>
          <w:szCs w:val="21"/>
          <w:highlight w:val="none"/>
        </w:rPr>
        <w:t>1.4.2 本次招标不接受联合体投标。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6" w:name="_Toc426369484"/>
      <w:r>
        <w:rPr>
          <w:rFonts w:hint="eastAsia" w:asciiTheme="minorEastAsia" w:hAnsiTheme="minorEastAsia" w:eastAsiaTheme="minorEastAsia" w:cstheme="minorEastAsia"/>
          <w:b/>
          <w:bCs/>
          <w:color w:val="auto"/>
          <w:sz w:val="24"/>
          <w:highlight w:val="none"/>
        </w:rPr>
        <w:t>1.5 费用承担</w:t>
      </w:r>
      <w:bookmarkEnd w:id="33"/>
      <w:bookmarkEnd w:id="34"/>
      <w:bookmarkEnd w:id="35"/>
      <w:bookmarkEnd w:id="3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37" w:name="_Toc403122497"/>
      <w:bookmarkStart w:id="38" w:name="_Toc426369485"/>
      <w:r>
        <w:rPr>
          <w:rFonts w:hint="eastAsia" w:asciiTheme="minorEastAsia" w:hAnsiTheme="minorEastAsia" w:eastAsiaTheme="minorEastAsia" w:cstheme="minorEastAsia"/>
          <w:b/>
          <w:bCs/>
          <w:color w:val="auto"/>
          <w:sz w:val="24"/>
          <w:highlight w:val="none"/>
        </w:rPr>
        <w:t>1.6 保密</w:t>
      </w:r>
      <w:bookmarkEnd w:id="37"/>
      <w:bookmarkEnd w:id="3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参与招标投标活动的各方应对招标文件和投标文件中的商业和技术等秘密保密，违者应对由此造成的后果承担法律责任。</w:t>
      </w:r>
    </w:p>
    <w:p>
      <w:pPr>
        <w:spacing w:line="500" w:lineRule="exact"/>
        <w:ind w:firstLine="482" w:firstLineChars="200"/>
        <w:rPr>
          <w:rFonts w:hint="eastAsia" w:asciiTheme="minorEastAsia" w:hAnsiTheme="minorEastAsia" w:eastAsiaTheme="minorEastAsia" w:cstheme="minorEastAsia"/>
          <w:b/>
          <w:bCs/>
          <w:color w:val="auto"/>
          <w:sz w:val="24"/>
          <w:highlight w:val="none"/>
          <w:lang w:val="en-US" w:eastAsia="zh-CN"/>
        </w:rPr>
      </w:pPr>
      <w:bookmarkStart w:id="39" w:name="_Toc279599777"/>
      <w:bookmarkStart w:id="40" w:name="_Toc403122498"/>
      <w:bookmarkStart w:id="41" w:name="_Toc274249581"/>
      <w:bookmarkStart w:id="42" w:name="_Toc426369486"/>
      <w:r>
        <w:rPr>
          <w:rFonts w:hint="eastAsia" w:asciiTheme="minorEastAsia" w:hAnsiTheme="minorEastAsia" w:eastAsiaTheme="minorEastAsia" w:cstheme="minorEastAsia"/>
          <w:b/>
          <w:bCs/>
          <w:color w:val="auto"/>
          <w:sz w:val="24"/>
          <w:highlight w:val="none"/>
        </w:rPr>
        <w:t>1.7 语言文字</w:t>
      </w:r>
      <w:bookmarkEnd w:id="39"/>
      <w:bookmarkEnd w:id="40"/>
      <w:bookmarkEnd w:id="41"/>
      <w:bookmarkEnd w:id="42"/>
      <w:r>
        <w:rPr>
          <w:rFonts w:hint="eastAsia" w:asciiTheme="minorEastAsia" w:hAnsiTheme="minorEastAsia" w:eastAsiaTheme="minorEastAsia" w:cstheme="minorEastAsia"/>
          <w:b/>
          <w:bCs/>
          <w:color w:val="auto"/>
          <w:sz w:val="24"/>
          <w:highlight w:val="none"/>
          <w:lang w:val="en-US" w:eastAsia="zh-CN"/>
        </w:rPr>
        <w:t xml:space="preserve"> </w:t>
      </w:r>
    </w:p>
    <w:p>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1.7.1 采购文件以及投标人与采购人、采购代理机构就有关投标事宜的所有来往函电均应使用简体中文书写。</w:t>
      </w:r>
    </w:p>
    <w:p>
      <w:pPr>
        <w:pStyle w:val="5"/>
        <w:ind w:firstLine="420" w:firstLineChars="200"/>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43" w:name="_Toc403122499"/>
      <w:bookmarkStart w:id="44" w:name="_Toc426369487"/>
    </w:p>
    <w:p>
      <w:pPr>
        <w:pStyle w:val="5"/>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1.8 计量单位</w:t>
      </w:r>
      <w:bookmarkEnd w:id="43"/>
      <w:bookmarkEnd w:id="44"/>
    </w:p>
    <w:p>
      <w:pPr>
        <w:spacing w:line="44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1.8.1关于投标计量单位，采购文件已有明确规定的，使用采购文件规定的计量单位；采购文件没有规定的，应采用中华人民共和国法定计量单位。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1.8.2本响应性文件所表述的时间均为北京时间。</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5" w:name="_Toc403122500"/>
      <w:bookmarkStart w:id="46" w:name="_Toc426369488"/>
      <w:bookmarkStart w:id="47" w:name="_Toc279599779"/>
      <w:bookmarkStart w:id="48" w:name="_Toc274249583"/>
      <w:r>
        <w:rPr>
          <w:rFonts w:hint="eastAsia" w:asciiTheme="minorEastAsia" w:hAnsiTheme="minorEastAsia" w:eastAsiaTheme="minorEastAsia" w:cstheme="minorEastAsia"/>
          <w:b/>
          <w:bCs/>
          <w:color w:val="auto"/>
          <w:sz w:val="24"/>
          <w:highlight w:val="none"/>
        </w:rPr>
        <w:t>1.9 踏勘现场</w:t>
      </w:r>
      <w:bookmarkEnd w:id="45"/>
      <w:bookmarkEnd w:id="46"/>
      <w:bookmarkEnd w:id="47"/>
      <w:bookmarkEnd w:id="48"/>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49" w:name="_Toc274249584"/>
      <w:bookmarkStart w:id="50" w:name="_Toc426369489"/>
      <w:bookmarkStart w:id="51" w:name="_Toc279599780"/>
      <w:bookmarkStart w:id="52" w:name="_Toc403122501"/>
      <w:r>
        <w:rPr>
          <w:rFonts w:hint="eastAsia" w:asciiTheme="minorEastAsia" w:hAnsiTheme="minorEastAsia" w:eastAsiaTheme="minorEastAsia" w:cstheme="minorEastAsia"/>
          <w:b/>
          <w:bCs/>
          <w:color w:val="auto"/>
          <w:sz w:val="24"/>
          <w:highlight w:val="none"/>
        </w:rPr>
        <w:t>1.10 投标预备会</w:t>
      </w:r>
      <w:bookmarkEnd w:id="49"/>
      <w:bookmarkEnd w:id="50"/>
      <w:bookmarkEnd w:id="51"/>
      <w:bookmarkEnd w:id="5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1.10.1 本次招标不召开投标预备会。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3" w:name="_Toc274249585"/>
      <w:bookmarkStart w:id="54" w:name="_Toc403122502"/>
      <w:bookmarkStart w:id="55" w:name="_Toc279599781"/>
      <w:bookmarkStart w:id="56" w:name="_Toc426369490"/>
      <w:r>
        <w:rPr>
          <w:rFonts w:hint="eastAsia" w:asciiTheme="minorEastAsia" w:hAnsiTheme="minorEastAsia" w:eastAsiaTheme="minorEastAsia" w:cstheme="minorEastAsia"/>
          <w:b/>
          <w:bCs/>
          <w:color w:val="auto"/>
          <w:sz w:val="24"/>
          <w:highlight w:val="none"/>
        </w:rPr>
        <w:t>1.11 分包</w:t>
      </w:r>
      <w:bookmarkEnd w:id="53"/>
      <w:bookmarkEnd w:id="54"/>
      <w:bookmarkEnd w:id="55"/>
      <w:bookmarkEnd w:id="5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本次招标项目不允许分包。 </w:t>
      </w:r>
    </w:p>
    <w:p>
      <w:pPr>
        <w:pStyle w:val="20"/>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57" w:name="_Toc28663"/>
      <w:bookmarkStart w:id="58" w:name="_Toc9121"/>
      <w:r>
        <w:rPr>
          <w:rFonts w:hint="eastAsia" w:asciiTheme="minorEastAsia" w:hAnsiTheme="minorEastAsia" w:eastAsiaTheme="minorEastAsia" w:cstheme="minorEastAsia"/>
          <w:color w:val="auto"/>
          <w:sz w:val="24"/>
          <w:szCs w:val="24"/>
          <w:highlight w:val="none"/>
        </w:rPr>
        <w:t>2. 招标文件</w:t>
      </w:r>
      <w:bookmarkEnd w:id="14"/>
      <w:bookmarkEnd w:id="15"/>
      <w:bookmarkEnd w:id="16"/>
      <w:bookmarkEnd w:id="57"/>
      <w:bookmarkEnd w:id="58"/>
    </w:p>
    <w:p>
      <w:pPr>
        <w:spacing w:line="500" w:lineRule="exact"/>
        <w:ind w:firstLine="482" w:firstLineChars="200"/>
        <w:rPr>
          <w:rFonts w:asciiTheme="minorEastAsia" w:hAnsiTheme="minorEastAsia" w:eastAsiaTheme="minorEastAsia" w:cstheme="minorEastAsia"/>
          <w:b/>
          <w:bCs/>
          <w:color w:val="auto"/>
          <w:sz w:val="24"/>
          <w:highlight w:val="none"/>
        </w:rPr>
      </w:pPr>
      <w:bookmarkStart w:id="59" w:name="_Toc274249587"/>
      <w:bookmarkStart w:id="60" w:name="_Toc426369492"/>
      <w:bookmarkStart w:id="61" w:name="_Toc279599783"/>
      <w:bookmarkStart w:id="62" w:name="_Toc403122504"/>
      <w:r>
        <w:rPr>
          <w:rFonts w:hint="eastAsia" w:asciiTheme="minorEastAsia" w:hAnsiTheme="minorEastAsia" w:eastAsiaTheme="minorEastAsia" w:cstheme="minorEastAsia"/>
          <w:b/>
          <w:bCs/>
          <w:color w:val="auto"/>
          <w:sz w:val="24"/>
          <w:highlight w:val="none"/>
        </w:rPr>
        <w:t>2.1 招标文件的组成</w:t>
      </w:r>
      <w:bookmarkEnd w:id="59"/>
      <w:bookmarkEnd w:id="60"/>
      <w:bookmarkEnd w:id="61"/>
      <w:bookmarkEnd w:id="62"/>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本招标文件包括：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招标公告；</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供应商须知；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评标办法（综合评分法）；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合同条款及格式；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采购需求及参数； </w:t>
      </w:r>
    </w:p>
    <w:p>
      <w:pPr>
        <w:numPr>
          <w:ilvl w:val="0"/>
          <w:numId w:val="6"/>
        </w:numPr>
        <w:tabs>
          <w:tab w:val="left" w:pos="525"/>
          <w:tab w:val="left" w:pos="630"/>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投标文件格式；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63" w:name="_Toc279599784"/>
      <w:bookmarkStart w:id="64" w:name="_Toc426369493"/>
      <w:bookmarkStart w:id="65" w:name="_Toc274249588"/>
      <w:bookmarkStart w:id="66" w:name="_Toc403122505"/>
      <w:r>
        <w:rPr>
          <w:rFonts w:hint="eastAsia" w:asciiTheme="minorEastAsia" w:hAnsiTheme="minorEastAsia" w:eastAsiaTheme="minorEastAsia" w:cstheme="minorEastAsia"/>
          <w:b/>
          <w:bCs/>
          <w:color w:val="auto"/>
          <w:sz w:val="24"/>
          <w:highlight w:val="none"/>
        </w:rPr>
        <w:t>2.2 招标文件的澄清</w:t>
      </w:r>
      <w:bookmarkEnd w:id="63"/>
      <w:bookmarkEnd w:id="64"/>
      <w:bookmarkEnd w:id="65"/>
      <w:bookmarkEnd w:id="66"/>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67" w:name="_Toc426369494"/>
      <w:bookmarkStart w:id="68" w:name="_Toc279599785"/>
      <w:bookmarkStart w:id="69" w:name="_Toc274249589"/>
      <w:bookmarkStart w:id="70" w:name="_Toc403122506"/>
      <w:r>
        <w:rPr>
          <w:rFonts w:hint="eastAsia" w:asciiTheme="minorEastAsia" w:hAnsiTheme="minorEastAsia" w:eastAsiaTheme="minorEastAsia" w:cstheme="minorEastAsia"/>
          <w:b/>
          <w:bCs/>
          <w:color w:val="auto"/>
          <w:sz w:val="24"/>
          <w:highlight w:val="none"/>
        </w:rPr>
        <w:t>2.3 招标文件的修改</w:t>
      </w:r>
      <w:bookmarkEnd w:id="67"/>
      <w:bookmarkEnd w:id="68"/>
      <w:bookmarkEnd w:id="69"/>
      <w:bookmarkEnd w:id="70"/>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2.3.2  供应商收到修改内容后，应在供应商须知前附表规定的时间内以书面形式通知采购人，确认已收到该修改。 </w:t>
      </w:r>
      <w:bookmarkStart w:id="71" w:name="_Toc403122507"/>
      <w:bookmarkStart w:id="72" w:name="_Toc426369495"/>
      <w:bookmarkStart w:id="73" w:name="_Toc23265"/>
    </w:p>
    <w:p>
      <w:pPr>
        <w:pStyle w:val="20"/>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74" w:name="_Toc22914"/>
      <w:bookmarkStart w:id="75" w:name="_Toc13865"/>
      <w:r>
        <w:rPr>
          <w:rFonts w:hint="eastAsia" w:asciiTheme="minorEastAsia" w:hAnsiTheme="minorEastAsia" w:eastAsiaTheme="minorEastAsia" w:cstheme="minorEastAsia"/>
          <w:color w:val="auto"/>
          <w:sz w:val="24"/>
          <w:szCs w:val="24"/>
          <w:highlight w:val="none"/>
        </w:rPr>
        <w:t>3. 投标文件</w:t>
      </w:r>
      <w:bookmarkEnd w:id="71"/>
      <w:bookmarkEnd w:id="72"/>
      <w:bookmarkEnd w:id="73"/>
      <w:bookmarkEnd w:id="74"/>
      <w:bookmarkEnd w:id="75"/>
    </w:p>
    <w:p>
      <w:pPr>
        <w:spacing w:line="500" w:lineRule="exact"/>
        <w:ind w:firstLine="482" w:firstLineChars="200"/>
        <w:rPr>
          <w:rFonts w:asciiTheme="minorEastAsia" w:hAnsiTheme="minorEastAsia" w:eastAsiaTheme="minorEastAsia" w:cstheme="minorEastAsia"/>
          <w:b/>
          <w:bCs/>
          <w:color w:val="auto"/>
          <w:sz w:val="24"/>
          <w:highlight w:val="none"/>
        </w:rPr>
      </w:pPr>
      <w:bookmarkStart w:id="76" w:name="_Toc279599787"/>
      <w:bookmarkStart w:id="77" w:name="_Toc403122508"/>
      <w:bookmarkStart w:id="78" w:name="_Toc426369496"/>
      <w:bookmarkStart w:id="79" w:name="_Toc274249591"/>
      <w:r>
        <w:rPr>
          <w:rFonts w:hint="eastAsia" w:asciiTheme="minorEastAsia" w:hAnsiTheme="minorEastAsia" w:eastAsiaTheme="minorEastAsia" w:cstheme="minorEastAsia"/>
          <w:b/>
          <w:bCs/>
          <w:color w:val="auto"/>
          <w:sz w:val="24"/>
          <w:highlight w:val="none"/>
        </w:rPr>
        <w:t>3.1 投标文件的组成</w:t>
      </w:r>
      <w:bookmarkEnd w:id="76"/>
      <w:bookmarkEnd w:id="77"/>
      <w:bookmarkEnd w:id="78"/>
      <w:bookmarkEnd w:id="79"/>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3.1.1 投标文件应包括下列内容： </w:t>
      </w:r>
    </w:p>
    <w:p>
      <w:pPr>
        <w:spacing w:line="440" w:lineRule="exact"/>
        <w:ind w:firstLine="420" w:firstLineChars="200"/>
        <w:rPr>
          <w:rFonts w:ascii="宋体" w:hAnsi="宋体" w:cs="宋体"/>
          <w:color w:val="auto"/>
          <w:szCs w:val="21"/>
          <w:highlight w:val="none"/>
        </w:rPr>
      </w:pPr>
      <w:bookmarkStart w:id="80" w:name="_Toc279599788"/>
      <w:bookmarkStart w:id="81" w:name="_Toc274249592"/>
      <w:bookmarkStart w:id="82" w:name="_Toc426369497"/>
      <w:bookmarkStart w:id="83" w:name="_Toc403122509"/>
      <w:r>
        <w:rPr>
          <w:rFonts w:hint="eastAsia" w:ascii="宋体" w:hAnsi="宋体" w:cs="宋体"/>
          <w:color w:val="auto"/>
          <w:szCs w:val="21"/>
          <w:highlight w:val="none"/>
        </w:rPr>
        <w:t>一、投标函及开标一览表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（一）投标函</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（二）开标一览表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（三）报价明细表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二、法定代表人身份证明书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三、授权委托书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、项目供货及安装保证措施、售后服务方案等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、资格证明文件；</w:t>
      </w:r>
    </w:p>
    <w:p>
      <w:pPr>
        <w:pStyle w:val="21"/>
        <w:spacing w:line="440" w:lineRule="exact"/>
        <w:ind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ascii="宋体" w:hAnsi="宋体" w:eastAsia="宋体" w:cs="宋体"/>
          <w:color w:val="auto"/>
          <w:sz w:val="21"/>
          <w:szCs w:val="21"/>
          <w:highlight w:val="none"/>
        </w:rPr>
        <w:t>、供应商服务承诺和优惠承诺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、供应商所投产品属于当期政府采购清单规定的节能环保产品的证明材料；</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、中小企业声明函（如为中小企业）；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、残疾人福利性单位声明函（如有）；</w:t>
      </w:r>
    </w:p>
    <w:p>
      <w:pPr>
        <w:spacing w:line="440" w:lineRule="exact"/>
        <w:ind w:firstLine="420" w:firstLineChars="200"/>
        <w:rPr>
          <w:rFonts w:ascii="宋体" w:hAnsi="宋体" w:cs="宋体"/>
          <w:color w:val="auto"/>
          <w:szCs w:val="21"/>
          <w:highlight w:val="yellow"/>
        </w:rPr>
      </w:pPr>
      <w:r>
        <w:rPr>
          <w:rFonts w:hint="eastAsia" w:ascii="宋体" w:hAnsi="宋体" w:cs="宋体"/>
          <w:color w:val="auto"/>
          <w:szCs w:val="21"/>
          <w:highlight w:val="none"/>
        </w:rPr>
        <w:t>十、招标文件要求的或投标人认为需要加以说明的其他内容。</w:t>
      </w:r>
    </w:p>
    <w:p>
      <w:pPr>
        <w:spacing w:line="50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 投标报价</w:t>
      </w:r>
      <w:bookmarkEnd w:id="80"/>
      <w:bookmarkEnd w:id="81"/>
      <w:bookmarkEnd w:id="82"/>
      <w:bookmarkEnd w:id="83"/>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3.2.1投标报价包括：供应商的投标报价应包括货物本身的费用、包装费、运输费、装卸费、运输过程保险费、安装费、质量保证费</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相关的伴随服务费、货物本身已支付或将支付的各种税费以及其它交付使用前的所有费用。投标价不是唯一的或不是固定不变的响应文件将被作为非响应性投标而予以拒绝。</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3.2.2投标报价在中标后不得修改。</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4" w:name="_Toc274249593"/>
      <w:bookmarkStart w:id="85" w:name="_Toc279599789"/>
      <w:bookmarkStart w:id="86" w:name="_Toc403122510"/>
      <w:bookmarkStart w:id="87" w:name="_Toc426369498"/>
      <w:r>
        <w:rPr>
          <w:rFonts w:hint="eastAsia" w:asciiTheme="minorEastAsia" w:hAnsiTheme="minorEastAsia" w:eastAsiaTheme="minorEastAsia" w:cstheme="minorEastAsia"/>
          <w:b/>
          <w:bCs/>
          <w:color w:val="auto"/>
          <w:sz w:val="24"/>
          <w:highlight w:val="none"/>
        </w:rPr>
        <w:t>3.3 投标有效期</w:t>
      </w:r>
      <w:bookmarkEnd w:id="84"/>
      <w:bookmarkEnd w:id="85"/>
      <w:bookmarkEnd w:id="86"/>
      <w:bookmarkEnd w:id="87"/>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88" w:name="_Toc403122512"/>
      <w:bookmarkStart w:id="89" w:name="_Toc274249595"/>
      <w:bookmarkStart w:id="90" w:name="_Toc279599791"/>
      <w:bookmarkStart w:id="91" w:name="_Toc426369501"/>
      <w:r>
        <w:rPr>
          <w:rFonts w:hint="eastAsia" w:asciiTheme="minorEastAsia" w:hAnsiTheme="minorEastAsia" w:eastAsiaTheme="minorEastAsia" w:cstheme="minorEastAsia"/>
          <w:b/>
          <w:bCs/>
          <w:color w:val="auto"/>
          <w:sz w:val="24"/>
          <w:highlight w:val="none"/>
        </w:rPr>
        <w:t>3.5 资格审查资料</w:t>
      </w:r>
      <w:bookmarkEnd w:id="88"/>
      <w:bookmarkEnd w:id="89"/>
      <w:bookmarkEnd w:id="90"/>
      <w:bookmarkEnd w:id="91"/>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3.5.1</w:t>
      </w:r>
      <w:r>
        <w:rPr>
          <w:rFonts w:hint="eastAsia" w:ascii="宋体" w:hAnsi="宋体" w:cs="宋体"/>
          <w:color w:val="auto"/>
          <w:kern w:val="0"/>
          <w:szCs w:val="21"/>
          <w:highlight w:val="none"/>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color w:val="auto"/>
          <w:szCs w:val="21"/>
          <w:highlight w:val="none"/>
        </w:rPr>
        <w:t xml:space="preserve">。 </w:t>
      </w:r>
    </w:p>
    <w:p>
      <w:pPr>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3.5.2招标文件规定的供应商资格条件。</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2" w:name="_Toc403122513"/>
      <w:bookmarkStart w:id="93" w:name="_Toc279599792"/>
      <w:bookmarkStart w:id="94" w:name="_Toc426369502"/>
      <w:bookmarkStart w:id="95" w:name="_Toc274249596"/>
      <w:r>
        <w:rPr>
          <w:rFonts w:hint="eastAsia" w:asciiTheme="minorEastAsia" w:hAnsiTheme="minorEastAsia" w:eastAsiaTheme="minorEastAsia" w:cstheme="minorEastAsia"/>
          <w:b/>
          <w:bCs/>
          <w:color w:val="auto"/>
          <w:sz w:val="24"/>
          <w:highlight w:val="none"/>
        </w:rPr>
        <w:t>3.6 备选投标方案</w:t>
      </w:r>
      <w:bookmarkEnd w:id="92"/>
      <w:bookmarkEnd w:id="93"/>
      <w:bookmarkEnd w:id="94"/>
      <w:bookmarkEnd w:id="95"/>
    </w:p>
    <w:p>
      <w:pPr>
        <w:tabs>
          <w:tab w:val="left" w:pos="3570"/>
        </w:tabs>
        <w:spacing w:line="42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供应商不得递交备选投标方案。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96" w:name="_Toc403122514"/>
      <w:bookmarkStart w:id="97" w:name="_Toc279599793"/>
      <w:bookmarkStart w:id="98" w:name="_Toc274249597"/>
      <w:bookmarkStart w:id="99" w:name="_Toc426369503"/>
      <w:r>
        <w:rPr>
          <w:rFonts w:hint="eastAsia" w:asciiTheme="minorEastAsia" w:hAnsiTheme="minorEastAsia" w:eastAsiaTheme="minorEastAsia" w:cstheme="minorEastAsia"/>
          <w:b/>
          <w:bCs/>
          <w:color w:val="auto"/>
          <w:sz w:val="24"/>
          <w:highlight w:val="none"/>
        </w:rPr>
        <w:t>3.7 投标文件的编制</w:t>
      </w:r>
      <w:bookmarkEnd w:id="96"/>
      <w:bookmarkEnd w:id="97"/>
      <w:bookmarkEnd w:id="98"/>
      <w:bookmarkEnd w:id="99"/>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3.7.1 投标文件应按招标文件中要求</w:t>
      </w:r>
      <w:r>
        <w:rPr>
          <w:rFonts w:hint="eastAsia" w:ascii="宋体" w:hAnsi="宋体" w:cs="宋体"/>
          <w:color w:val="auto"/>
          <w:kern w:val="0"/>
          <w:szCs w:val="21"/>
          <w:highlight w:val="none"/>
        </w:rPr>
        <w:t>使用焦作市公共资源交易系统投标文件制作专用工具软件编制</w:t>
      </w:r>
      <w:r>
        <w:rPr>
          <w:rFonts w:hint="eastAsia" w:asciiTheme="minorEastAsia" w:hAnsiTheme="minorEastAsia" w:eastAsiaTheme="minorEastAsia" w:cstheme="minorEastAsia"/>
          <w:color w:val="auto"/>
          <w:szCs w:val="21"/>
          <w:highlight w:val="none"/>
        </w:rPr>
        <w:t xml:space="preserve">。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3.7.2  投标文件应当对招标文件有关</w:t>
      </w:r>
      <w:r>
        <w:rPr>
          <w:rFonts w:hint="eastAsia" w:asciiTheme="minorEastAsia" w:hAnsiTheme="minorEastAsia" w:eastAsiaTheme="minorEastAsia" w:cstheme="minorEastAsia"/>
          <w:color w:val="auto"/>
          <w:szCs w:val="21"/>
          <w:highlight w:val="none"/>
          <w:lang w:val="en-US" w:eastAsia="zh-CN"/>
        </w:rPr>
        <w:t>供货安装期</w:t>
      </w:r>
      <w:r>
        <w:rPr>
          <w:rFonts w:hint="eastAsia" w:asciiTheme="minorEastAsia" w:hAnsiTheme="minorEastAsia" w:eastAsiaTheme="minorEastAsia" w:cstheme="minorEastAsia"/>
          <w:color w:val="auto"/>
          <w:szCs w:val="21"/>
          <w:highlight w:val="none"/>
        </w:rPr>
        <w:t>、投标有效期、质量要求、采购要求及服务内容、等实质性内容作出响应。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3.7.3 </w:t>
      </w:r>
      <w:r>
        <w:rPr>
          <w:rFonts w:hint="eastAsia" w:ascii="宋体" w:hAnsi="宋体" w:cs="宋体"/>
          <w:color w:val="auto"/>
          <w:kern w:val="0"/>
          <w:szCs w:val="21"/>
          <w:highlight w:val="none"/>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pPr>
        <w:pStyle w:val="20"/>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00" w:name="_Toc26998"/>
      <w:bookmarkStart w:id="101" w:name="_Toc31809"/>
      <w:bookmarkStart w:id="102" w:name="_Toc403122515"/>
      <w:bookmarkStart w:id="103" w:name="_Toc30100"/>
      <w:bookmarkStart w:id="104" w:name="_Toc426369504"/>
      <w:r>
        <w:rPr>
          <w:rFonts w:hint="eastAsia" w:asciiTheme="minorEastAsia" w:hAnsiTheme="minorEastAsia" w:eastAsiaTheme="minorEastAsia" w:cstheme="minorEastAsia"/>
          <w:color w:val="auto"/>
          <w:sz w:val="24"/>
          <w:szCs w:val="24"/>
          <w:highlight w:val="none"/>
        </w:rPr>
        <w:t>4. 投标</w:t>
      </w:r>
      <w:bookmarkEnd w:id="100"/>
      <w:bookmarkEnd w:id="101"/>
      <w:bookmarkEnd w:id="102"/>
      <w:bookmarkEnd w:id="103"/>
      <w:bookmarkEnd w:id="104"/>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5" w:name="_Toc274249599"/>
      <w:bookmarkStart w:id="106" w:name="_Toc403122516"/>
      <w:bookmarkStart w:id="107" w:name="_Toc426369505"/>
      <w:bookmarkStart w:id="108" w:name="_Toc279599795"/>
      <w:r>
        <w:rPr>
          <w:rFonts w:hint="eastAsia" w:asciiTheme="minorEastAsia" w:hAnsiTheme="minorEastAsia" w:eastAsiaTheme="minorEastAsia" w:cstheme="minorEastAsia"/>
          <w:b/>
          <w:bCs/>
          <w:color w:val="auto"/>
          <w:sz w:val="24"/>
          <w:highlight w:val="none"/>
        </w:rPr>
        <w:t>4.1 投标文件的密封和标记</w:t>
      </w:r>
      <w:bookmarkEnd w:id="105"/>
      <w:bookmarkEnd w:id="106"/>
      <w:bookmarkEnd w:id="107"/>
      <w:bookmarkEnd w:id="108"/>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szCs w:val="21"/>
          <w:highlight w:val="none"/>
        </w:rPr>
        <w:t>4.1.1.本项目采用</w:t>
      </w:r>
      <w:r>
        <w:rPr>
          <w:rFonts w:hint="eastAsia" w:ascii="宋体" w:hAnsi="宋体" w:cs="宋体"/>
          <w:color w:val="auto"/>
          <w:kern w:val="0"/>
          <w:szCs w:val="21"/>
          <w:highlight w:val="none"/>
          <w:lang w:val="zh-CN"/>
        </w:rPr>
        <w:t>网上上传的电子投标文件</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应使用数字证书认证并加密。</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09" w:name="_Toc274249600"/>
      <w:bookmarkStart w:id="110" w:name="_Toc426369506"/>
      <w:bookmarkStart w:id="111" w:name="_Toc279599796"/>
      <w:bookmarkStart w:id="112" w:name="_Toc403122517"/>
      <w:r>
        <w:rPr>
          <w:rFonts w:hint="eastAsia" w:asciiTheme="minorEastAsia" w:hAnsiTheme="minorEastAsia" w:eastAsiaTheme="minorEastAsia" w:cstheme="minorEastAsia"/>
          <w:b/>
          <w:bCs/>
          <w:color w:val="auto"/>
          <w:sz w:val="24"/>
          <w:highlight w:val="none"/>
        </w:rPr>
        <w:t>4.2 投标文件的递交</w:t>
      </w:r>
      <w:bookmarkEnd w:id="109"/>
      <w:bookmarkEnd w:id="110"/>
      <w:bookmarkEnd w:id="111"/>
      <w:bookmarkEnd w:id="112"/>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4.2.1</w:t>
      </w:r>
      <w:r>
        <w:rPr>
          <w:rFonts w:hint="eastAsia" w:ascii="宋体" w:hAnsi="宋体" w:cs="宋体"/>
          <w:color w:val="auto"/>
          <w:kern w:val="0"/>
          <w:szCs w:val="21"/>
          <w:highlight w:val="none"/>
          <w:lang w:val="zh-CN"/>
        </w:rPr>
        <w:t>所有投标文件必须在本招标文件中规定的投标截止时间之前</w:t>
      </w:r>
      <w:r>
        <w:rPr>
          <w:rFonts w:hint="eastAsia" w:ascii="宋体" w:hAnsi="宋体" w:cs="宋体"/>
          <w:color w:val="auto"/>
          <w:kern w:val="0"/>
          <w:szCs w:val="21"/>
          <w:highlight w:val="none"/>
        </w:rPr>
        <w:t>提前上传，按要求</w:t>
      </w:r>
      <w:r>
        <w:rPr>
          <w:rFonts w:hint="eastAsia" w:ascii="宋体" w:hAnsi="宋体"/>
          <w:color w:val="auto"/>
          <w:szCs w:val="21"/>
          <w:highlight w:val="none"/>
        </w:rPr>
        <w:t>在线签到、解密文件等，解密时间为投标截止时后30分钟内，</w:t>
      </w:r>
      <w:r>
        <w:rPr>
          <w:rFonts w:hint="eastAsia" w:ascii="宋体" w:hAnsi="宋体" w:cs="宋体"/>
          <w:color w:val="auto"/>
          <w:kern w:val="0"/>
          <w:szCs w:val="21"/>
          <w:highlight w:val="none"/>
        </w:rPr>
        <w:t>不能按时上传、解密者视为自动放弃投标。</w:t>
      </w:r>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w:t>
      </w:r>
      <w:r>
        <w:rPr>
          <w:rFonts w:hint="eastAsia" w:ascii="宋体" w:hAnsi="宋体" w:cs="宋体"/>
          <w:color w:val="auto"/>
          <w:kern w:val="0"/>
          <w:szCs w:val="21"/>
          <w:highlight w:val="none"/>
          <w:lang w:val="zh-CN"/>
        </w:rPr>
        <w:t>2.采购人拒绝接收在投标文件递交截止时间后上传的投标文件。</w:t>
      </w:r>
      <w:bookmarkStart w:id="113" w:name="_Hlt26954754"/>
      <w:bookmarkEnd w:id="113"/>
      <w:bookmarkStart w:id="114" w:name="_Hlt26954862"/>
      <w:bookmarkEnd w:id="114"/>
    </w:p>
    <w:p>
      <w:pPr>
        <w:spacing w:line="400" w:lineRule="exact"/>
        <w:ind w:firstLine="420" w:firstLineChars="200"/>
        <w:rPr>
          <w:rFonts w:asciiTheme="minorEastAsia" w:hAnsiTheme="minorEastAsia" w:eastAsiaTheme="minorEastAsia" w:cstheme="minorEastAsia"/>
          <w:color w:val="auto"/>
          <w:szCs w:val="21"/>
          <w:highlight w:val="none"/>
        </w:rPr>
      </w:pP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15" w:name="_Toc426369507"/>
      <w:bookmarkStart w:id="116" w:name="_Toc403122518"/>
      <w:bookmarkStart w:id="117" w:name="_Toc274249601"/>
      <w:bookmarkStart w:id="118" w:name="_Toc279599797"/>
      <w:r>
        <w:rPr>
          <w:rFonts w:hint="eastAsia" w:asciiTheme="minorEastAsia" w:hAnsiTheme="minorEastAsia" w:eastAsiaTheme="minorEastAsia" w:cstheme="minorEastAsia"/>
          <w:b/>
          <w:bCs/>
          <w:color w:val="auto"/>
          <w:sz w:val="24"/>
          <w:highlight w:val="none"/>
        </w:rPr>
        <w:t>4.3 投标文件的修改与撤回</w:t>
      </w:r>
      <w:bookmarkEnd w:id="115"/>
      <w:bookmarkEnd w:id="116"/>
      <w:bookmarkEnd w:id="117"/>
      <w:bookmarkEnd w:id="118"/>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4.3.3  修改的内容为投标文件的组成部分。修改的投标文件应按照本章第 3 条、第 4 条规定进行编制、密封、标记和递交，并标明“修改”字样。 </w:t>
      </w:r>
    </w:p>
    <w:p>
      <w:pPr>
        <w:pStyle w:val="20"/>
        <w:spacing w:before="120" w:after="120" w:line="500" w:lineRule="exact"/>
        <w:ind w:right="-1029" w:rightChars="-490" w:firstLine="482" w:firstLineChars="200"/>
        <w:jc w:val="left"/>
        <w:rPr>
          <w:rFonts w:asciiTheme="minorEastAsia" w:hAnsiTheme="minorEastAsia" w:eastAsiaTheme="minorEastAsia" w:cstheme="minorEastAsia"/>
          <w:color w:val="auto"/>
          <w:sz w:val="24"/>
          <w:szCs w:val="24"/>
          <w:highlight w:val="none"/>
        </w:rPr>
      </w:pPr>
      <w:bookmarkStart w:id="119" w:name="_Toc18170"/>
      <w:bookmarkStart w:id="120" w:name="_Toc32449"/>
      <w:bookmarkStart w:id="121" w:name="_Toc403122519"/>
      <w:bookmarkStart w:id="122" w:name="_Toc426369508"/>
      <w:bookmarkStart w:id="123" w:name="_Toc5457"/>
      <w:r>
        <w:rPr>
          <w:rFonts w:hint="eastAsia" w:asciiTheme="minorEastAsia" w:hAnsiTheme="minorEastAsia" w:eastAsiaTheme="minorEastAsia" w:cstheme="minorEastAsia"/>
          <w:color w:val="auto"/>
          <w:sz w:val="24"/>
          <w:szCs w:val="24"/>
          <w:highlight w:val="none"/>
        </w:rPr>
        <w:t>5. 开标</w:t>
      </w:r>
      <w:bookmarkEnd w:id="119"/>
      <w:bookmarkEnd w:id="120"/>
      <w:bookmarkEnd w:id="121"/>
      <w:bookmarkEnd w:id="122"/>
      <w:bookmarkEnd w:id="12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所有投标文件必须在本招标文件中规定的投标截止时间之前提前上传投标文件，按要求解密投标文件，不能按时上传、解密者视为自动放弃投标。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5.1.2投标人不足3家的，不得开标。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24" w:name="_Toc274249603"/>
      <w:bookmarkStart w:id="125" w:name="_Toc403122520"/>
      <w:bookmarkStart w:id="126" w:name="_Toc279599799"/>
      <w:bookmarkStart w:id="127" w:name="_Toc426369509"/>
      <w:r>
        <w:rPr>
          <w:rFonts w:hint="eastAsia" w:asciiTheme="minorEastAsia" w:hAnsiTheme="minorEastAsia" w:eastAsiaTheme="minorEastAsia" w:cstheme="minorEastAsia"/>
          <w:b/>
          <w:bCs/>
          <w:color w:val="auto"/>
          <w:sz w:val="24"/>
          <w:highlight w:val="none"/>
        </w:rPr>
        <w:t>5.2 开标时间和地点</w:t>
      </w:r>
      <w:bookmarkEnd w:id="124"/>
      <w:bookmarkEnd w:id="125"/>
      <w:bookmarkEnd w:id="126"/>
      <w:bookmarkEnd w:id="127"/>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28" w:name="_Toc403122521"/>
      <w:bookmarkStart w:id="129" w:name="_Toc426369510"/>
      <w:bookmarkStart w:id="130" w:name="_Toc274249604"/>
      <w:bookmarkStart w:id="131" w:name="_Toc279599800"/>
      <w:r>
        <w:rPr>
          <w:rFonts w:hint="eastAsia" w:asciiTheme="minorEastAsia" w:hAnsiTheme="minorEastAsia" w:eastAsiaTheme="minorEastAsia" w:cstheme="minorEastAsia"/>
          <w:b/>
          <w:bCs/>
          <w:color w:val="auto"/>
          <w:sz w:val="24"/>
          <w:highlight w:val="none"/>
        </w:rPr>
        <w:t>5.3开标程序</w:t>
      </w:r>
      <w:bookmarkEnd w:id="128"/>
      <w:bookmarkEnd w:id="129"/>
      <w:bookmarkEnd w:id="130"/>
      <w:bookmarkEnd w:id="131"/>
    </w:p>
    <w:p>
      <w:pPr>
        <w:spacing w:line="400" w:lineRule="exact"/>
        <w:ind w:firstLine="420" w:firstLineChars="200"/>
        <w:rPr>
          <w:rFonts w:asciiTheme="minorEastAsia" w:hAnsiTheme="minorEastAsia" w:eastAsiaTheme="minorEastAsia" w:cstheme="minorEastAsia"/>
          <w:color w:val="auto"/>
          <w:szCs w:val="21"/>
          <w:highlight w:val="none"/>
          <w:lang w:val="zh-CN"/>
        </w:rPr>
      </w:pPr>
      <w:bookmarkStart w:id="132" w:name="_Toc426369511"/>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zh-CN"/>
        </w:rPr>
        <w:t>.1本</w:t>
      </w: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zCs w:val="21"/>
          <w:highlight w:val="none"/>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主持人按下列程序进行开标：</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）宣布开标人、唱标人、记录人、监标人等有关人员姓名；</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val="zh-CN"/>
        </w:rPr>
        <w:t>）电子投标文件解密；</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val="zh-CN"/>
        </w:rPr>
        <w:t>）宣布投标文件开标顺序，电子唱标并记录在案；</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lang w:val="zh-CN"/>
        </w:rPr>
        <w:t>）投标人代表、采购人、监标人等有关人员在开标记录上签字确认；</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lang w:val="zh-CN"/>
        </w:rPr>
        <w:t>）开标结束。</w:t>
      </w:r>
    </w:p>
    <w:p>
      <w:pPr>
        <w:spacing w:line="400" w:lineRule="exact"/>
        <w:ind w:firstLine="630" w:firstLineChars="3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5.3.</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rPr>
        <w:t>开标时出现下列情况的，采购人将拒绝其投标文件。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（1）经检查数字证书无效的投标文件；</w:t>
      </w:r>
    </w:p>
    <w:p>
      <w:pPr>
        <w:spacing w:line="40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（2）投标人未按投标人须知前附表规定的时间内解密投标文件的；</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5.4开标异议</w:t>
      </w:r>
      <w:bookmarkEnd w:id="132"/>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bookmarkStart w:id="133" w:name="_Toc403122522"/>
      <w:bookmarkStart w:id="134" w:name="_Toc426369512"/>
      <w:bookmarkStart w:id="135" w:name="_Toc21662"/>
      <w:bookmarkStart w:id="136" w:name="_Toc12881"/>
      <w:r>
        <w:rPr>
          <w:rFonts w:hint="eastAsia" w:asciiTheme="minorEastAsia" w:hAnsiTheme="minorEastAsia" w:eastAsiaTheme="minorEastAsia" w:cstheme="minorEastAsia"/>
          <w:color w:val="auto"/>
          <w:szCs w:val="21"/>
          <w:highlight w:val="none"/>
          <w:lang w:val="en-US" w:eastAsia="zh-CN"/>
        </w:rPr>
        <w:t>5.4.1</w:t>
      </w:r>
      <w:r>
        <w:rPr>
          <w:rFonts w:hint="eastAsia" w:asciiTheme="minorEastAsia" w:hAnsiTheme="minorEastAsia" w:eastAsiaTheme="minorEastAsia" w:cstheme="minorEastAsia"/>
          <w:color w:val="auto"/>
          <w:szCs w:val="21"/>
          <w:highlight w:val="none"/>
          <w:lang w:val="zh-CN"/>
        </w:rPr>
        <w:t>投标人对开标有异议的，应当在开标现场提出（</w:t>
      </w:r>
      <w:bookmarkStart w:id="137" w:name="_Toc12998"/>
      <w:r>
        <w:rPr>
          <w:rFonts w:hint="eastAsia" w:asciiTheme="minorEastAsia" w:hAnsiTheme="minorEastAsia" w:eastAsiaTheme="minorEastAsia" w:cstheme="minorEastAsia"/>
          <w:color w:val="auto"/>
          <w:szCs w:val="21"/>
          <w:highlight w:val="none"/>
          <w:lang w:val="zh-CN"/>
        </w:rPr>
        <w:t>语音异议</w:t>
      </w:r>
      <w:bookmarkEnd w:id="137"/>
      <w:r>
        <w:rPr>
          <w:rFonts w:hint="eastAsia" w:asciiTheme="minorEastAsia" w:hAnsiTheme="minorEastAsia" w:eastAsiaTheme="minorEastAsia" w:cstheme="minorEastAsia"/>
          <w:color w:val="auto"/>
          <w:szCs w:val="21"/>
          <w:highlight w:val="none"/>
          <w:lang w:val="zh-CN"/>
        </w:rPr>
        <w:t>、</w:t>
      </w:r>
      <w:bookmarkStart w:id="138" w:name="_Toc20745"/>
      <w:r>
        <w:rPr>
          <w:rFonts w:hint="eastAsia" w:asciiTheme="minorEastAsia" w:hAnsiTheme="minorEastAsia" w:eastAsiaTheme="minorEastAsia" w:cstheme="minorEastAsia"/>
          <w:color w:val="auto"/>
          <w:szCs w:val="21"/>
          <w:highlight w:val="none"/>
          <w:lang w:val="zh-CN"/>
        </w:rPr>
        <w:t>文字异议</w:t>
      </w:r>
      <w:bookmarkEnd w:id="138"/>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采购</w:t>
      </w:r>
      <w:r>
        <w:rPr>
          <w:rFonts w:hint="eastAsia" w:asciiTheme="minorEastAsia" w:hAnsiTheme="minorEastAsia" w:eastAsiaTheme="minorEastAsia" w:cstheme="minorEastAsia"/>
          <w:color w:val="auto"/>
          <w:szCs w:val="21"/>
          <w:highlight w:val="none"/>
          <w:lang w:val="zh-CN"/>
        </w:rPr>
        <w:t>人当场作出答复，并制作记录。</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5.4.2</w:t>
      </w:r>
      <w:r>
        <w:rPr>
          <w:rFonts w:hint="eastAsia" w:asciiTheme="minorEastAsia" w:hAnsiTheme="minorEastAsia" w:eastAsiaTheme="minorEastAsia" w:cstheme="minorEastAsia"/>
          <w:color w:val="auto"/>
          <w:szCs w:val="21"/>
          <w:highlight w:val="none"/>
          <w:lang w:val="zh-CN"/>
        </w:rPr>
        <w:t>开标异常处理</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当出现以下情况时，应对未开标的项目中止电子开标，对原有资料及信息作出妥善保密处理，并在恢复正常后及时安排时间开标：</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(l）系统服务器发生故障，无法访问或无法使用系统；</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 xml:space="preserve">(2） </w:t>
      </w:r>
      <w:r>
        <w:rPr>
          <w:rFonts w:hint="eastAsia" w:asciiTheme="minorEastAsia" w:hAnsiTheme="minorEastAsia" w:eastAsiaTheme="minorEastAsia" w:cstheme="minorEastAsia"/>
          <w:color w:val="auto"/>
          <w:szCs w:val="21"/>
          <w:highlight w:val="none"/>
          <w:lang w:val="zh-CN"/>
        </w:rPr>
        <w:t>系统的软件或数据库出现错误，不能进行正常操作；</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val="zh-CN"/>
        </w:rPr>
        <w:t>）系统发现有安全漏洞，有潜在的泄密危险；</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val="zh-CN"/>
        </w:rPr>
        <w:t>）出现断电事故且短时间内无法恢复供电；</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 xml:space="preserve">（5） </w:t>
      </w:r>
      <w:r>
        <w:rPr>
          <w:rFonts w:hint="eastAsia" w:asciiTheme="minorEastAsia" w:hAnsiTheme="minorEastAsia" w:eastAsiaTheme="minorEastAsia" w:cstheme="minorEastAsia"/>
          <w:color w:val="auto"/>
          <w:szCs w:val="21"/>
          <w:highlight w:val="none"/>
          <w:lang w:val="zh-CN"/>
        </w:rPr>
        <w:t>其他无法保证招投标过程正常进行的情形</w:t>
      </w:r>
      <w:r>
        <w:rPr>
          <w:rFonts w:hint="eastAsia" w:asciiTheme="minorEastAsia" w:hAnsiTheme="minorEastAsia" w:eastAsiaTheme="minorEastAsia" w:cstheme="minorEastAsia"/>
          <w:color w:val="auto"/>
          <w:szCs w:val="21"/>
          <w:highlight w:val="none"/>
          <w:lang w:val="zh-CN" w:eastAsia="zh-CN"/>
        </w:rPr>
        <w:t>；</w:t>
      </w:r>
    </w:p>
    <w:p>
      <w:pPr>
        <w:spacing w:line="400" w:lineRule="exact"/>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w:t>
      </w:r>
      <w:bookmarkStart w:id="139" w:name="_Toc9927"/>
      <w:bookmarkStart w:id="140" w:name="_Toc13445"/>
      <w:r>
        <w:rPr>
          <w:rFonts w:hint="eastAsia" w:asciiTheme="minorEastAsia" w:hAnsiTheme="minorEastAsia" w:eastAsiaTheme="minorEastAsia" w:cstheme="minorEastAsia"/>
          <w:b/>
          <w:bCs/>
          <w:color w:val="auto"/>
          <w:szCs w:val="21"/>
          <w:highlight w:val="none"/>
        </w:rPr>
        <w:t>5.资格审查工作</w:t>
      </w:r>
      <w:bookmarkEnd w:id="139"/>
      <w:bookmarkEnd w:id="140"/>
    </w:p>
    <w:p>
      <w:pPr>
        <w:spacing w:line="400" w:lineRule="exact"/>
        <w:ind w:firstLine="420" w:firstLineChars="200"/>
        <w:rPr>
          <w:rFonts w:asciiTheme="minorEastAsia" w:hAnsiTheme="minorEastAsia" w:eastAsiaTheme="minorEastAsia" w:cstheme="minorEastAsia"/>
          <w:color w:val="auto"/>
          <w:szCs w:val="21"/>
          <w:highlight w:val="none"/>
        </w:rPr>
      </w:pPr>
      <w:bookmarkStart w:id="141" w:name="_Toc25275"/>
      <w:bookmarkStart w:id="142" w:name="_Toc25448"/>
      <w:bookmarkStart w:id="143" w:name="_Toc18806"/>
      <w:bookmarkStart w:id="144" w:name="_Toc18888"/>
      <w:bookmarkStart w:id="145" w:name="_Toc22488"/>
      <w:bookmarkStart w:id="146" w:name="_Toc18803"/>
      <w:bookmarkStart w:id="147" w:name="_Toc15919"/>
      <w:r>
        <w:rPr>
          <w:rFonts w:hint="eastAsia" w:asciiTheme="minorEastAsia" w:hAnsiTheme="minorEastAsia" w:eastAsiaTheme="minorEastAsia" w:cstheme="minorEastAsia"/>
          <w:color w:val="auto"/>
          <w:szCs w:val="21"/>
          <w:highlight w:val="none"/>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41"/>
      <w:bookmarkEnd w:id="142"/>
      <w:bookmarkEnd w:id="143"/>
      <w:bookmarkEnd w:id="144"/>
      <w:bookmarkEnd w:id="145"/>
      <w:bookmarkEnd w:id="146"/>
      <w:bookmarkEnd w:id="147"/>
    </w:p>
    <w:p>
      <w:pPr>
        <w:pStyle w:val="20"/>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48" w:name="_Toc6889"/>
      <w:r>
        <w:rPr>
          <w:rFonts w:hint="eastAsia" w:asciiTheme="minorEastAsia" w:hAnsiTheme="minorEastAsia" w:eastAsiaTheme="minorEastAsia" w:cstheme="minorEastAsia"/>
          <w:color w:val="auto"/>
          <w:sz w:val="24"/>
          <w:szCs w:val="24"/>
          <w:highlight w:val="none"/>
        </w:rPr>
        <w:t>6. 评标</w:t>
      </w:r>
      <w:bookmarkEnd w:id="133"/>
      <w:bookmarkEnd w:id="134"/>
      <w:bookmarkEnd w:id="135"/>
      <w:bookmarkEnd w:id="136"/>
      <w:bookmarkEnd w:id="148"/>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49" w:name="_Toc274249606"/>
      <w:bookmarkStart w:id="150" w:name="_Toc426369513"/>
      <w:bookmarkStart w:id="151" w:name="_Toc403122523"/>
      <w:bookmarkStart w:id="152" w:name="_Toc279599802"/>
      <w:r>
        <w:rPr>
          <w:rFonts w:hint="eastAsia" w:asciiTheme="minorEastAsia" w:hAnsiTheme="minorEastAsia" w:eastAsiaTheme="minorEastAsia" w:cstheme="minorEastAsia"/>
          <w:b/>
          <w:bCs/>
          <w:color w:val="auto"/>
          <w:sz w:val="24"/>
          <w:highlight w:val="none"/>
        </w:rPr>
        <w:t>6.1 评标委员会</w:t>
      </w:r>
      <w:bookmarkEnd w:id="149"/>
      <w:bookmarkEnd w:id="150"/>
      <w:bookmarkEnd w:id="151"/>
      <w:bookmarkEnd w:id="15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53" w:name="_Toc403122524"/>
      <w:bookmarkStart w:id="154" w:name="_Toc274249607"/>
      <w:bookmarkStart w:id="155" w:name="_Toc426369514"/>
      <w:bookmarkStart w:id="156" w:name="_Toc279599803"/>
      <w:r>
        <w:rPr>
          <w:rFonts w:hint="eastAsia" w:asciiTheme="minorEastAsia" w:hAnsiTheme="minorEastAsia" w:eastAsiaTheme="minorEastAsia" w:cstheme="minorEastAsia"/>
          <w:b/>
          <w:bCs/>
          <w:color w:val="auto"/>
          <w:sz w:val="24"/>
          <w:highlight w:val="none"/>
        </w:rPr>
        <w:t>6.2 评标原则</w:t>
      </w:r>
      <w:bookmarkEnd w:id="153"/>
      <w:bookmarkEnd w:id="154"/>
      <w:bookmarkEnd w:id="155"/>
      <w:bookmarkEnd w:id="15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评标活动遵循公平、公正、科学和择优的原则。 </w:t>
      </w:r>
    </w:p>
    <w:p>
      <w:pPr>
        <w:spacing w:line="400" w:lineRule="exact"/>
        <w:ind w:firstLine="482" w:firstLineChars="200"/>
        <w:rPr>
          <w:rFonts w:hint="eastAsia" w:asciiTheme="minorEastAsia" w:hAnsiTheme="minorEastAsia" w:eastAsiaTheme="minorEastAsia" w:cstheme="minorEastAsia"/>
          <w:color w:val="auto"/>
          <w:szCs w:val="21"/>
          <w:highlight w:val="none"/>
        </w:rPr>
      </w:pPr>
      <w:bookmarkStart w:id="157" w:name="_Toc403122525"/>
      <w:bookmarkStart w:id="158" w:name="_Toc426369515"/>
      <w:bookmarkStart w:id="159" w:name="_Toc279599804"/>
      <w:bookmarkStart w:id="160" w:name="_Toc274249608"/>
      <w:r>
        <w:rPr>
          <w:rFonts w:hint="eastAsia" w:asciiTheme="minorEastAsia" w:hAnsiTheme="minorEastAsia" w:eastAsiaTheme="minorEastAsia" w:cstheme="minorEastAsia"/>
          <w:b/>
          <w:bCs/>
          <w:color w:val="auto"/>
          <w:sz w:val="24"/>
          <w:highlight w:val="none"/>
        </w:rPr>
        <w:t>6.3 评标</w:t>
      </w:r>
      <w:bookmarkEnd w:id="157"/>
      <w:bookmarkEnd w:id="158"/>
      <w:bookmarkEnd w:id="159"/>
      <w:bookmarkEnd w:id="160"/>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6.3.1</w:t>
      </w:r>
      <w:r>
        <w:rPr>
          <w:rFonts w:hint="eastAsia" w:asciiTheme="minorEastAsia" w:hAnsiTheme="minorEastAsia" w:eastAsiaTheme="minorEastAsia" w:cstheme="minorEastAsia"/>
          <w:color w:val="auto"/>
          <w:szCs w:val="21"/>
          <w:highlight w:val="none"/>
        </w:rPr>
        <w:t>在评审过程中，评标委员会发现投标人有下列情形之一的，视为投标人相互串通投标，按照无效投标处理并依据法律、法规追究其相关责任。具体表现形式如下：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同投标人的投标文件由同一单位或者个人编制；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（2）不同投标人委托同一单位或者个人办理投标事宜；</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（3）不同投标人的投标文件载明的项目管理成员或者联系人员为同一人；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（4）不同投标人的投标文件异常一致或者投标报价呈规律性差异；</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）不同投标人的投标文件相互混装；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）有证据证明投标人与</w:t>
      </w:r>
      <w:r>
        <w:rPr>
          <w:rFonts w:hint="eastAsia" w:asciiTheme="minorEastAsia" w:hAnsiTheme="minorEastAsia" w:eastAsiaTheme="minorEastAsia" w:cstheme="minorEastAsia"/>
          <w:color w:val="auto"/>
          <w:szCs w:val="21"/>
          <w:highlight w:val="none"/>
          <w:lang w:eastAsia="zh-CN"/>
        </w:rPr>
        <w:t>采购人</w:t>
      </w:r>
      <w:r>
        <w:rPr>
          <w:rFonts w:hint="eastAsia" w:asciiTheme="minorEastAsia" w:hAnsiTheme="minorEastAsia" w:eastAsiaTheme="minorEastAsia" w:cstheme="minorEastAsia"/>
          <w:color w:val="auto"/>
          <w:szCs w:val="21"/>
          <w:highlight w:val="none"/>
        </w:rPr>
        <w:t>、采购代理机构或者其他投标人串通的其他情形；</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（1）审查、评价投标文件是否符合招标文件的实质性要求；</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（2）要求投标人对投标文件有关事项作出澄清或者说明；</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（3）对投标文件进行比较和评价；</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（4）确定中标候选人名单；</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color w:val="auto"/>
          <w:spacing w:val="1"/>
          <w:kern w:val="0"/>
          <w:szCs w:val="21"/>
          <w:highlight w:val="none"/>
        </w:rPr>
      </w:pPr>
      <w:r>
        <w:rPr>
          <w:rFonts w:hint="eastAsia" w:ascii="宋体" w:hAnsi="宋体" w:cs="宋体"/>
          <w:b/>
          <w:bCs/>
          <w:color w:val="auto"/>
          <w:spacing w:val="1"/>
          <w:kern w:val="0"/>
          <w:szCs w:val="21"/>
          <w:highlight w:val="none"/>
        </w:rPr>
        <w:t>6.4  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招标采购中，出现下列情形之一的，应予废标：</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（2）出现影响采购公正的违法、违规行为的；</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（3）投标人的报价均超过了采购预算，采购人不能支付的；</w:t>
      </w:r>
    </w:p>
    <w:p>
      <w:pPr>
        <w:spacing w:line="400" w:lineRule="exact"/>
        <w:ind w:firstLine="420" w:firstLineChars="200"/>
        <w:rPr>
          <w:color w:val="auto"/>
          <w:highlight w:val="none"/>
        </w:rPr>
      </w:pPr>
      <w:r>
        <w:rPr>
          <w:rFonts w:hint="eastAsia" w:asciiTheme="minorEastAsia" w:hAnsiTheme="minorEastAsia" w:eastAsiaTheme="minorEastAsia" w:cstheme="minorEastAsia"/>
          <w:color w:val="auto"/>
          <w:szCs w:val="21"/>
          <w:highlight w:val="none"/>
        </w:rPr>
        <w:t>（4）因重大变故，采购任务取消的。废标后，采购人应当将废标理由通知所有投标人。</w:t>
      </w:r>
    </w:p>
    <w:p>
      <w:pPr>
        <w:pStyle w:val="20"/>
        <w:spacing w:before="120" w:after="120" w:line="500" w:lineRule="exact"/>
        <w:ind w:right="-1029" w:rightChars="-490" w:firstLine="482" w:firstLineChars="200"/>
        <w:jc w:val="both"/>
        <w:rPr>
          <w:color w:val="auto"/>
          <w:highlight w:val="none"/>
        </w:rPr>
      </w:pPr>
      <w:bookmarkStart w:id="161" w:name="_Toc426369516"/>
      <w:bookmarkStart w:id="162" w:name="_Toc26569"/>
      <w:bookmarkStart w:id="163" w:name="_Toc403122526"/>
      <w:bookmarkStart w:id="164" w:name="_Toc22968"/>
      <w:bookmarkStart w:id="165" w:name="_Toc17811"/>
      <w:r>
        <w:rPr>
          <w:rFonts w:hint="eastAsia" w:asciiTheme="minorEastAsia" w:hAnsiTheme="minorEastAsia" w:eastAsiaTheme="minorEastAsia" w:cstheme="minorEastAsia"/>
          <w:color w:val="auto"/>
          <w:sz w:val="24"/>
          <w:szCs w:val="24"/>
          <w:highlight w:val="none"/>
        </w:rPr>
        <w:t>7. 合同授予</w:t>
      </w:r>
      <w:bookmarkEnd w:id="161"/>
      <w:bookmarkEnd w:id="162"/>
      <w:bookmarkEnd w:id="163"/>
      <w:bookmarkEnd w:id="164"/>
      <w:bookmarkEnd w:id="165"/>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66" w:name="_Toc426369517"/>
      <w:bookmarkStart w:id="167" w:name="_Toc279599806"/>
      <w:bookmarkStart w:id="168" w:name="_Toc403122527"/>
      <w:bookmarkStart w:id="169" w:name="_Toc274249610"/>
      <w:r>
        <w:rPr>
          <w:rFonts w:hint="eastAsia" w:asciiTheme="minorEastAsia" w:hAnsiTheme="minorEastAsia" w:eastAsiaTheme="minorEastAsia" w:cstheme="minorEastAsia"/>
          <w:b/>
          <w:bCs/>
          <w:color w:val="auto"/>
          <w:sz w:val="24"/>
          <w:highlight w:val="none"/>
        </w:rPr>
        <w:t>7.1 定标方式</w:t>
      </w:r>
      <w:bookmarkEnd w:id="166"/>
      <w:bookmarkEnd w:id="167"/>
      <w:bookmarkEnd w:id="168"/>
      <w:bookmarkEnd w:id="169"/>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0" w:name="_Toc426369518"/>
      <w:bookmarkStart w:id="171" w:name="_Toc279599807"/>
      <w:bookmarkStart w:id="172" w:name="_Toc274249611"/>
      <w:bookmarkStart w:id="173" w:name="_Toc403122528"/>
      <w:r>
        <w:rPr>
          <w:rFonts w:hint="eastAsia" w:asciiTheme="minorEastAsia" w:hAnsiTheme="minorEastAsia" w:eastAsiaTheme="minorEastAsia" w:cstheme="minorEastAsia"/>
          <w:b/>
          <w:bCs/>
          <w:color w:val="auto"/>
          <w:sz w:val="24"/>
          <w:highlight w:val="none"/>
        </w:rPr>
        <w:t>7.2 中标通知</w:t>
      </w:r>
      <w:bookmarkEnd w:id="170"/>
      <w:bookmarkEnd w:id="171"/>
      <w:bookmarkEnd w:id="172"/>
      <w:bookmarkEnd w:id="173"/>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4" w:name="_Toc279599808"/>
      <w:bookmarkStart w:id="175" w:name="_Toc311550376"/>
      <w:bookmarkStart w:id="176" w:name="_Toc274249612"/>
      <w:bookmarkStart w:id="177" w:name="_Toc426369519"/>
      <w:bookmarkStart w:id="178" w:name="_Toc403122529"/>
      <w:r>
        <w:rPr>
          <w:rFonts w:hint="eastAsia" w:asciiTheme="minorEastAsia" w:hAnsiTheme="minorEastAsia" w:eastAsiaTheme="minorEastAsia" w:cstheme="minorEastAsia"/>
          <w:b/>
          <w:bCs/>
          <w:color w:val="auto"/>
          <w:sz w:val="24"/>
          <w:highlight w:val="none"/>
        </w:rPr>
        <w:t>7.3履约</w:t>
      </w:r>
      <w:bookmarkEnd w:id="174"/>
      <w:bookmarkEnd w:id="175"/>
      <w:bookmarkEnd w:id="176"/>
      <w:r>
        <w:rPr>
          <w:rFonts w:hint="eastAsia" w:asciiTheme="minorEastAsia" w:hAnsiTheme="minorEastAsia" w:eastAsiaTheme="minorEastAsia" w:cstheme="minorEastAsia"/>
          <w:b/>
          <w:bCs/>
          <w:color w:val="auto"/>
          <w:sz w:val="24"/>
          <w:highlight w:val="none"/>
        </w:rPr>
        <w:t>保证金</w:t>
      </w:r>
      <w:bookmarkEnd w:id="177"/>
      <w:bookmarkEnd w:id="178"/>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7.3.1履约保证金：无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7.3.2投标保证金：无</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79" w:name="_Toc279599809"/>
      <w:bookmarkStart w:id="180" w:name="_Toc274249613"/>
      <w:bookmarkStart w:id="181" w:name="_Toc403122530"/>
      <w:bookmarkStart w:id="182" w:name="_Toc426369520"/>
      <w:r>
        <w:rPr>
          <w:rFonts w:hint="eastAsia" w:asciiTheme="minorEastAsia" w:hAnsiTheme="minorEastAsia" w:eastAsiaTheme="minorEastAsia" w:cstheme="minorEastAsia"/>
          <w:b/>
          <w:bCs/>
          <w:color w:val="auto"/>
          <w:sz w:val="24"/>
          <w:highlight w:val="none"/>
        </w:rPr>
        <w:t>7.4 签订合同</w:t>
      </w:r>
      <w:bookmarkEnd w:id="179"/>
      <w:bookmarkEnd w:id="180"/>
      <w:bookmarkEnd w:id="181"/>
      <w:bookmarkEnd w:id="18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7.4.2  发出中标通知书后，采购人无正当理由拒签合同的，给中标人造成损失的，还应当赔偿损失。</w:t>
      </w:r>
    </w:p>
    <w:p>
      <w:pPr>
        <w:pStyle w:val="20"/>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83" w:name="_Toc10417"/>
      <w:bookmarkStart w:id="184" w:name="_Toc426369521"/>
      <w:bookmarkStart w:id="185" w:name="_Toc30009"/>
      <w:bookmarkStart w:id="186" w:name="_Toc10541"/>
      <w:bookmarkStart w:id="187" w:name="_Toc403122531"/>
      <w:r>
        <w:rPr>
          <w:rFonts w:hint="eastAsia" w:asciiTheme="minorEastAsia" w:hAnsiTheme="minorEastAsia" w:eastAsiaTheme="minorEastAsia" w:cstheme="minorEastAsia"/>
          <w:color w:val="auto"/>
          <w:sz w:val="24"/>
          <w:szCs w:val="24"/>
          <w:highlight w:val="none"/>
        </w:rPr>
        <w:t>8. 重新招标</w:t>
      </w:r>
      <w:bookmarkEnd w:id="183"/>
      <w:bookmarkEnd w:id="184"/>
      <w:bookmarkEnd w:id="185"/>
      <w:bookmarkEnd w:id="186"/>
      <w:bookmarkEnd w:id="187"/>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88" w:name="_Toc426369522"/>
      <w:bookmarkStart w:id="189" w:name="_Toc274249615"/>
      <w:bookmarkStart w:id="190" w:name="_Toc279599811"/>
      <w:bookmarkStart w:id="191" w:name="_Toc403122532"/>
      <w:r>
        <w:rPr>
          <w:rFonts w:hint="eastAsia" w:asciiTheme="minorEastAsia" w:hAnsiTheme="minorEastAsia" w:eastAsiaTheme="minorEastAsia" w:cstheme="minorEastAsia"/>
          <w:b/>
          <w:bCs/>
          <w:color w:val="auto"/>
          <w:sz w:val="24"/>
          <w:highlight w:val="none"/>
        </w:rPr>
        <w:t>8.1 重新招标</w:t>
      </w:r>
      <w:bookmarkEnd w:id="188"/>
      <w:bookmarkEnd w:id="189"/>
      <w:bookmarkEnd w:id="190"/>
      <w:bookmarkEnd w:id="191"/>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有下列情形之一的，采购人将重新招标：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（1）投标截止时间止，供应商少于3个的； </w:t>
      </w:r>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（2）经评标委员会评审后否决所有投标的。 </w:t>
      </w:r>
    </w:p>
    <w:p>
      <w:pPr>
        <w:pStyle w:val="20"/>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192" w:name="_Toc403122533"/>
      <w:bookmarkStart w:id="193" w:name="_Toc27398"/>
      <w:bookmarkStart w:id="194" w:name="_Toc3760"/>
      <w:bookmarkStart w:id="195" w:name="_Toc426369523"/>
      <w:bookmarkStart w:id="196" w:name="_Toc10372"/>
      <w:r>
        <w:rPr>
          <w:rFonts w:hint="eastAsia" w:asciiTheme="minorEastAsia" w:hAnsiTheme="minorEastAsia" w:eastAsiaTheme="minorEastAsia" w:cstheme="minorEastAsia"/>
          <w:color w:val="auto"/>
          <w:sz w:val="24"/>
          <w:szCs w:val="24"/>
          <w:highlight w:val="none"/>
        </w:rPr>
        <w:t>9. 纪律和监督</w:t>
      </w:r>
      <w:bookmarkEnd w:id="192"/>
      <w:bookmarkEnd w:id="193"/>
      <w:bookmarkEnd w:id="194"/>
      <w:bookmarkEnd w:id="195"/>
      <w:bookmarkEnd w:id="196"/>
    </w:p>
    <w:p>
      <w:pPr>
        <w:spacing w:line="500" w:lineRule="exact"/>
        <w:ind w:firstLine="482" w:firstLineChars="200"/>
        <w:rPr>
          <w:rFonts w:asciiTheme="minorEastAsia" w:hAnsiTheme="minorEastAsia" w:eastAsiaTheme="minorEastAsia" w:cstheme="minorEastAsia"/>
          <w:b/>
          <w:bCs/>
          <w:color w:val="auto"/>
          <w:sz w:val="24"/>
          <w:highlight w:val="none"/>
        </w:rPr>
      </w:pPr>
      <w:bookmarkStart w:id="197" w:name="_Toc426369524"/>
      <w:bookmarkStart w:id="198" w:name="_Toc403122534"/>
      <w:bookmarkStart w:id="199" w:name="_Toc279599814"/>
      <w:bookmarkStart w:id="200" w:name="_Toc274249618"/>
      <w:r>
        <w:rPr>
          <w:rFonts w:hint="eastAsia" w:asciiTheme="minorEastAsia" w:hAnsiTheme="minorEastAsia" w:eastAsiaTheme="minorEastAsia" w:cstheme="minorEastAsia"/>
          <w:b/>
          <w:bCs/>
          <w:color w:val="auto"/>
          <w:sz w:val="24"/>
          <w:highlight w:val="none"/>
        </w:rPr>
        <w:t>9.1 对采购人的纪律要求</w:t>
      </w:r>
      <w:bookmarkEnd w:id="197"/>
      <w:bookmarkEnd w:id="198"/>
      <w:bookmarkEnd w:id="199"/>
      <w:bookmarkEnd w:id="200"/>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1" w:name="_Toc279599815"/>
      <w:bookmarkStart w:id="202" w:name="_Toc274249619"/>
      <w:bookmarkStart w:id="203" w:name="_Toc403122535"/>
      <w:bookmarkStart w:id="204" w:name="_Toc426369525"/>
      <w:r>
        <w:rPr>
          <w:rFonts w:hint="eastAsia" w:asciiTheme="minorEastAsia" w:hAnsiTheme="minorEastAsia" w:eastAsiaTheme="minorEastAsia" w:cstheme="minorEastAsia"/>
          <w:b/>
          <w:bCs/>
          <w:color w:val="auto"/>
          <w:sz w:val="24"/>
          <w:highlight w:val="none"/>
        </w:rPr>
        <w:t>9.2 对投标人的纪律要求</w:t>
      </w:r>
      <w:bookmarkEnd w:id="201"/>
      <w:bookmarkEnd w:id="202"/>
      <w:bookmarkEnd w:id="203"/>
      <w:bookmarkEnd w:id="204"/>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5" w:name="_Toc279599816"/>
      <w:bookmarkStart w:id="206" w:name="_Toc274249620"/>
      <w:bookmarkStart w:id="207" w:name="_Toc403122536"/>
      <w:bookmarkStart w:id="208" w:name="_Toc426369526"/>
      <w:r>
        <w:rPr>
          <w:rFonts w:hint="eastAsia" w:asciiTheme="minorEastAsia" w:hAnsiTheme="minorEastAsia" w:eastAsiaTheme="minorEastAsia" w:cstheme="minorEastAsia"/>
          <w:b/>
          <w:bCs/>
          <w:color w:val="auto"/>
          <w:sz w:val="24"/>
          <w:highlight w:val="none"/>
        </w:rPr>
        <w:t>9.3 对评标委员会成员的纪律要求</w:t>
      </w:r>
      <w:bookmarkEnd w:id="205"/>
      <w:bookmarkEnd w:id="206"/>
      <w:bookmarkEnd w:id="207"/>
      <w:bookmarkEnd w:id="208"/>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09" w:name="_Toc426369527"/>
      <w:bookmarkStart w:id="210" w:name="_Toc274249621"/>
      <w:bookmarkStart w:id="211" w:name="_Toc279599817"/>
      <w:bookmarkStart w:id="212" w:name="_Toc403122537"/>
      <w:r>
        <w:rPr>
          <w:rFonts w:hint="eastAsia" w:asciiTheme="minorEastAsia" w:hAnsiTheme="minorEastAsia" w:eastAsiaTheme="minorEastAsia" w:cstheme="minorEastAsia"/>
          <w:b/>
          <w:bCs/>
          <w:color w:val="auto"/>
          <w:sz w:val="24"/>
          <w:highlight w:val="none"/>
        </w:rPr>
        <w:t>9.4 对与评标活动有关的工作人员的纪律要求</w:t>
      </w:r>
      <w:bookmarkEnd w:id="209"/>
      <w:bookmarkEnd w:id="210"/>
      <w:bookmarkEnd w:id="211"/>
      <w:bookmarkEnd w:id="212"/>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color w:val="auto"/>
          <w:sz w:val="24"/>
          <w:highlight w:val="none"/>
        </w:rPr>
      </w:pPr>
      <w:bookmarkStart w:id="213" w:name="_Toc274249622"/>
      <w:bookmarkStart w:id="214" w:name="_Toc279599818"/>
      <w:bookmarkStart w:id="215" w:name="_Toc403122538"/>
      <w:bookmarkStart w:id="216" w:name="_Toc426369528"/>
      <w:r>
        <w:rPr>
          <w:rFonts w:hint="eastAsia" w:asciiTheme="minorEastAsia" w:hAnsiTheme="minorEastAsia" w:eastAsiaTheme="minorEastAsia" w:cstheme="minorEastAsia"/>
          <w:b/>
          <w:bCs/>
          <w:color w:val="auto"/>
          <w:sz w:val="24"/>
          <w:highlight w:val="none"/>
        </w:rPr>
        <w:t>9.5 投诉</w:t>
      </w:r>
      <w:bookmarkEnd w:id="213"/>
      <w:bookmarkEnd w:id="214"/>
      <w:bookmarkEnd w:id="215"/>
      <w:bookmarkEnd w:id="216"/>
    </w:p>
    <w:p>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供应商和其他利害关系人认为本次招标活动违反法律、法规和规章规定的，有权向有关行政监督部门投诉。 </w:t>
      </w:r>
    </w:p>
    <w:p>
      <w:pPr>
        <w:pStyle w:val="20"/>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highlight w:val="none"/>
        </w:rPr>
      </w:pPr>
      <w:bookmarkStart w:id="217" w:name="_Toc10880"/>
      <w:bookmarkStart w:id="218" w:name="_Toc13281"/>
      <w:bookmarkStart w:id="219" w:name="_Toc426369529"/>
      <w:bookmarkStart w:id="220" w:name="_Toc25080"/>
      <w:bookmarkStart w:id="221" w:name="_Toc403122539"/>
      <w:r>
        <w:rPr>
          <w:rFonts w:hint="eastAsia" w:asciiTheme="minorEastAsia" w:hAnsiTheme="minorEastAsia" w:eastAsiaTheme="minorEastAsia" w:cstheme="minorEastAsia"/>
          <w:color w:val="auto"/>
          <w:sz w:val="24"/>
          <w:szCs w:val="24"/>
          <w:highlight w:val="none"/>
        </w:rPr>
        <w:t>10. 需要补充的其他内容</w:t>
      </w:r>
      <w:bookmarkEnd w:id="217"/>
      <w:bookmarkEnd w:id="218"/>
      <w:bookmarkEnd w:id="219"/>
      <w:bookmarkEnd w:id="220"/>
      <w:bookmarkEnd w:id="221"/>
    </w:p>
    <w:p>
      <w:pPr>
        <w:autoSpaceDE w:val="0"/>
        <w:autoSpaceDN w:val="0"/>
        <w:adjustRightInd w:val="0"/>
        <w:spacing w:line="44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10.1 费用承担</w:t>
      </w:r>
    </w:p>
    <w:p>
      <w:pPr>
        <w:autoSpaceDE w:val="0"/>
        <w:autoSpaceDN w:val="0"/>
        <w:adjustRightInd w:val="0"/>
        <w:spacing w:line="440" w:lineRule="exact"/>
        <w:ind w:left="17" w:leftChars="8" w:firstLine="420" w:firstLineChars="200"/>
        <w:jc w:val="left"/>
        <w:rPr>
          <w:rFonts w:ascii="宋体" w:hAnsi="宋体" w:cs="宋体"/>
          <w:color w:val="auto"/>
          <w:szCs w:val="21"/>
          <w:highlight w:val="none"/>
        </w:rPr>
      </w:pPr>
      <w:r>
        <w:rPr>
          <w:rFonts w:hint="eastAsia" w:ascii="宋体" w:hAnsi="宋体" w:cs="宋体"/>
          <w:color w:val="auto"/>
          <w:szCs w:val="21"/>
          <w:highlight w:val="none"/>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（2）招标代理服务费由中标人支付。</w:t>
      </w:r>
    </w:p>
    <w:p>
      <w:pPr>
        <w:autoSpaceDE w:val="0"/>
        <w:autoSpaceDN w:val="0"/>
        <w:adjustRightInd w:val="0"/>
        <w:spacing w:line="5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（3）供应商与采购人签订合同后，将合同报采购代理机构备案。</w:t>
      </w:r>
    </w:p>
    <w:p>
      <w:pPr>
        <w:pStyle w:val="34"/>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10.2本招标文件未尽事宜，按《中华人民共和国政府采购法》等法律法规的有关规定执行。</w:t>
      </w:r>
    </w:p>
    <w:p>
      <w:pPr>
        <w:pStyle w:val="1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20"/>
        <w:numPr>
          <w:ilvl w:val="0"/>
          <w:numId w:val="7"/>
        </w:numPr>
        <w:spacing w:line="600" w:lineRule="exact"/>
        <w:ind w:right="-63" w:rightChars="-30"/>
        <w:rPr>
          <w:rFonts w:asciiTheme="minorEastAsia" w:hAnsiTheme="minorEastAsia" w:eastAsiaTheme="minorEastAsia" w:cstheme="minorEastAsia"/>
          <w:color w:val="auto"/>
          <w:sz w:val="36"/>
          <w:szCs w:val="36"/>
          <w:highlight w:val="none"/>
        </w:rPr>
      </w:pPr>
      <w:bookmarkStart w:id="222" w:name="_Toc28433"/>
      <w:bookmarkStart w:id="223" w:name="_Toc403122540"/>
      <w:bookmarkStart w:id="224" w:name="_Toc426369530"/>
      <w:bookmarkStart w:id="225" w:name="_Toc8251"/>
      <w:r>
        <w:rPr>
          <w:rFonts w:hint="eastAsia" w:asciiTheme="minorEastAsia" w:hAnsiTheme="minorEastAsia" w:eastAsiaTheme="minorEastAsia" w:cstheme="minorEastAsia"/>
          <w:color w:val="auto"/>
          <w:sz w:val="36"/>
          <w:szCs w:val="36"/>
          <w:highlight w:val="none"/>
        </w:rPr>
        <w:t>评标办法</w:t>
      </w:r>
      <w:bookmarkEnd w:id="222"/>
      <w:bookmarkEnd w:id="223"/>
      <w:bookmarkEnd w:id="224"/>
      <w:r>
        <w:rPr>
          <w:rFonts w:hint="eastAsia" w:asciiTheme="minorEastAsia" w:hAnsiTheme="minorEastAsia" w:eastAsiaTheme="minorEastAsia" w:cstheme="minorEastAsia"/>
          <w:color w:val="auto"/>
          <w:sz w:val="36"/>
          <w:szCs w:val="36"/>
          <w:highlight w:val="none"/>
        </w:rPr>
        <w:t>（综合评分法）</w:t>
      </w:r>
      <w:bookmarkEnd w:id="225"/>
    </w:p>
    <w:p>
      <w:pPr>
        <w:pStyle w:val="35"/>
        <w:spacing w:line="540" w:lineRule="exact"/>
        <w:jc w:val="center"/>
        <w:outlineLvl w:val="2"/>
        <w:rPr>
          <w:rFonts w:asciiTheme="minorEastAsia" w:hAnsiTheme="minorEastAsia" w:eastAsiaTheme="minorEastAsia" w:cstheme="minorEastAsia"/>
          <w:b/>
          <w:bCs/>
          <w:color w:val="auto"/>
          <w:sz w:val="28"/>
          <w:szCs w:val="28"/>
          <w:highlight w:val="none"/>
        </w:rPr>
      </w:pPr>
      <w:bookmarkStart w:id="226" w:name="_Toc17859"/>
      <w:bookmarkStart w:id="227" w:name="_Toc29947"/>
      <w:bookmarkStart w:id="228" w:name="_Toc30933"/>
      <w:bookmarkStart w:id="229" w:name="_Toc9561"/>
      <w:bookmarkStart w:id="230" w:name="_Toc21885"/>
      <w:bookmarkStart w:id="231" w:name="_Toc16529"/>
      <w:bookmarkStart w:id="232" w:name="_Toc2761070"/>
      <w:r>
        <w:rPr>
          <w:rFonts w:hint="eastAsia" w:asciiTheme="minorEastAsia" w:hAnsiTheme="minorEastAsia" w:eastAsiaTheme="minorEastAsia" w:cstheme="minorEastAsia"/>
          <w:b/>
          <w:bCs/>
          <w:color w:val="auto"/>
          <w:sz w:val="28"/>
          <w:szCs w:val="28"/>
          <w:highlight w:val="none"/>
        </w:rPr>
        <w:t>（一）评分办法前附表</w:t>
      </w:r>
      <w:bookmarkEnd w:id="226"/>
      <w:bookmarkEnd w:id="227"/>
      <w:bookmarkEnd w:id="228"/>
      <w:bookmarkEnd w:id="229"/>
      <w:bookmarkEnd w:id="230"/>
    </w:p>
    <w:bookmarkEnd w:id="231"/>
    <w:p>
      <w:pPr>
        <w:pStyle w:val="2"/>
        <w:ind w:firstLine="0" w:firstLineChars="0"/>
        <w:rPr>
          <w:rFonts w:hint="eastAsia" w:asciiTheme="minorEastAsia" w:hAnsiTheme="minorEastAsia" w:eastAsiaTheme="minorEastAsia" w:cstheme="minorEastAsia"/>
          <w:b/>
          <w:bCs/>
          <w:color w:val="auto"/>
          <w:sz w:val="24"/>
          <w:szCs w:val="24"/>
          <w:highlight w:val="none"/>
        </w:rPr>
      </w:pPr>
      <w:bookmarkStart w:id="233" w:name="_Toc403122541"/>
      <w:bookmarkStart w:id="234" w:name="_Toc31084"/>
      <w:bookmarkStart w:id="235" w:name="_Toc426369531"/>
    </w:p>
    <w:tbl>
      <w:tblPr>
        <w:tblStyle w:val="22"/>
        <w:tblpPr w:leftFromText="180" w:rightFromText="180" w:vertAnchor="text" w:horzAnchor="page" w:tblpX="1155" w:tblpY="363"/>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38"/>
        <w:gridCol w:w="2141"/>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exact"/>
        </w:trPr>
        <w:tc>
          <w:tcPr>
            <w:tcW w:w="1095" w:type="dxa"/>
            <w:noWrap w:val="0"/>
            <w:vAlign w:val="center"/>
          </w:tcPr>
          <w:p>
            <w:pPr>
              <w:spacing w:line="560" w:lineRule="exact"/>
              <w:ind w:firstLine="0" w:firstLine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审查主体</w:t>
            </w:r>
          </w:p>
        </w:tc>
        <w:tc>
          <w:tcPr>
            <w:tcW w:w="3179" w:type="dxa"/>
            <w:gridSpan w:val="2"/>
            <w:noWrap w:val="0"/>
            <w:vAlign w:val="center"/>
          </w:tcPr>
          <w:p>
            <w:pPr>
              <w:spacing w:line="560" w:lineRule="exact"/>
              <w:ind w:firstLine="562"/>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w:t>
            </w:r>
          </w:p>
        </w:tc>
        <w:tc>
          <w:tcPr>
            <w:tcW w:w="5602" w:type="dxa"/>
            <w:noWrap w:val="0"/>
            <w:vAlign w:val="center"/>
          </w:tcPr>
          <w:p>
            <w:pPr>
              <w:tabs>
                <w:tab w:val="left" w:pos="417"/>
                <w:tab w:val="center" w:pos="2999"/>
              </w:tabs>
              <w:spacing w:line="560" w:lineRule="exact"/>
              <w:ind w:firstLine="562"/>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exact"/>
        </w:trPr>
        <w:tc>
          <w:tcPr>
            <w:tcW w:w="1095" w:type="dxa"/>
            <w:vMerge w:val="restart"/>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资格审查小组</w:t>
            </w:r>
          </w:p>
        </w:tc>
        <w:tc>
          <w:tcPr>
            <w:tcW w:w="1038" w:type="dxa"/>
            <w:vMerge w:val="restart"/>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一、资格评审标准</w:t>
            </w:r>
          </w:p>
        </w:tc>
        <w:tc>
          <w:tcPr>
            <w:tcW w:w="2141"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营业执照、税务登记证、组织机构代码证</w:t>
            </w:r>
          </w:p>
        </w:tc>
        <w:tc>
          <w:tcPr>
            <w:tcW w:w="5602" w:type="dxa"/>
            <w:noWrap w:val="0"/>
            <w:vAlign w:val="center"/>
          </w:tcPr>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exact"/>
        </w:trPr>
        <w:tc>
          <w:tcPr>
            <w:tcW w:w="1095" w:type="dxa"/>
            <w:vMerge w:val="continue"/>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1038" w:type="dxa"/>
            <w:vMerge w:val="continue"/>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141"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法定代表人证明或法人授权委托书</w:t>
            </w:r>
          </w:p>
        </w:tc>
        <w:tc>
          <w:tcPr>
            <w:tcW w:w="5602" w:type="dxa"/>
            <w:noWrap w:val="0"/>
            <w:vAlign w:val="center"/>
          </w:tcPr>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95" w:type="dxa"/>
            <w:vMerge w:val="continue"/>
            <w:noWrap w:val="0"/>
            <w:vAlign w:val="center"/>
          </w:tcPr>
          <w:p>
            <w:pPr>
              <w:spacing w:line="560" w:lineRule="exact"/>
              <w:ind w:firstLine="560"/>
              <w:jc w:val="center"/>
              <w:rPr>
                <w:rFonts w:hint="eastAsia" w:asciiTheme="minorEastAsia" w:hAnsiTheme="minorEastAsia" w:eastAsiaTheme="minorEastAsia" w:cstheme="minorEastAsia"/>
                <w:color w:val="auto"/>
                <w:sz w:val="21"/>
                <w:szCs w:val="21"/>
                <w:highlight w:val="none"/>
              </w:rPr>
            </w:pPr>
          </w:p>
        </w:tc>
        <w:tc>
          <w:tcPr>
            <w:tcW w:w="1038" w:type="dxa"/>
            <w:vMerge w:val="continue"/>
            <w:noWrap w:val="0"/>
            <w:vAlign w:val="center"/>
          </w:tcPr>
          <w:p>
            <w:pPr>
              <w:spacing w:line="560" w:lineRule="exact"/>
              <w:ind w:firstLine="560"/>
              <w:jc w:val="center"/>
              <w:rPr>
                <w:rFonts w:hint="eastAsia" w:asciiTheme="minorEastAsia" w:hAnsiTheme="minorEastAsia" w:eastAsiaTheme="minorEastAsia" w:cstheme="minorEastAsia"/>
                <w:color w:val="auto"/>
                <w:sz w:val="21"/>
                <w:szCs w:val="21"/>
                <w:highlight w:val="none"/>
              </w:rPr>
            </w:pPr>
          </w:p>
        </w:tc>
        <w:tc>
          <w:tcPr>
            <w:tcW w:w="2141" w:type="dxa"/>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信誉要求</w:t>
            </w:r>
          </w:p>
        </w:tc>
        <w:tc>
          <w:tcPr>
            <w:tcW w:w="5602" w:type="dxa"/>
            <w:noWrap w:val="0"/>
            <w:vAlign w:val="center"/>
          </w:tcPr>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1095" w:type="dxa"/>
            <w:vMerge w:val="continue"/>
            <w:tcBorders>
              <w:bottom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1"/>
                <w:szCs w:val="21"/>
                <w:highlight w:val="none"/>
              </w:rPr>
            </w:pPr>
          </w:p>
        </w:tc>
        <w:tc>
          <w:tcPr>
            <w:tcW w:w="1038" w:type="dxa"/>
            <w:vMerge w:val="continue"/>
            <w:tcBorders>
              <w:bottom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1"/>
                <w:szCs w:val="21"/>
                <w:highlight w:val="none"/>
              </w:rPr>
            </w:pPr>
          </w:p>
        </w:tc>
        <w:tc>
          <w:tcPr>
            <w:tcW w:w="2141" w:type="dxa"/>
            <w:tcBorders>
              <w:bottom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其他要求</w:t>
            </w:r>
          </w:p>
        </w:tc>
        <w:tc>
          <w:tcPr>
            <w:tcW w:w="5602" w:type="dxa"/>
            <w:tcBorders>
              <w:bottom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符合第二章“供应商须知”第1.4.1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w:t>
            </w:r>
          </w:p>
        </w:tc>
        <w:tc>
          <w:tcPr>
            <w:tcW w:w="103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二、形式评审标准</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供应商名称</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1"/>
                <w:szCs w:val="21"/>
                <w:highlight w:val="none"/>
              </w:rPr>
            </w:pPr>
          </w:p>
        </w:tc>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1"/>
                <w:szCs w:val="21"/>
                <w:highlight w:val="none"/>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投标函签字盖章</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1"/>
                <w:szCs w:val="21"/>
                <w:highlight w:val="none"/>
              </w:rPr>
            </w:pPr>
          </w:p>
        </w:tc>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1"/>
                <w:szCs w:val="21"/>
                <w:highlight w:val="none"/>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投标文件格式</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1"/>
                <w:szCs w:val="21"/>
                <w:highlight w:val="none"/>
              </w:rPr>
            </w:pPr>
          </w:p>
        </w:tc>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1"/>
                <w:szCs w:val="21"/>
                <w:highlight w:val="none"/>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报价唯一</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center"/>
              <w:rPr>
                <w:rFonts w:hint="eastAsia" w:asciiTheme="minorEastAsia" w:hAnsiTheme="minorEastAsia" w:eastAsiaTheme="minorEastAsia" w:cstheme="minorEastAsia"/>
                <w:color w:val="auto"/>
                <w:sz w:val="21"/>
                <w:szCs w:val="21"/>
                <w:highlight w:val="none"/>
              </w:rPr>
            </w:pPr>
          </w:p>
        </w:tc>
        <w:tc>
          <w:tcPr>
            <w:tcW w:w="103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三、响应性评审标准</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采购内容</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1"/>
                <w:szCs w:val="21"/>
                <w:highlight w:val="none"/>
              </w:rPr>
            </w:pPr>
          </w:p>
        </w:tc>
        <w:tc>
          <w:tcPr>
            <w:tcW w:w="1038"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1"/>
                <w:szCs w:val="21"/>
                <w:highlight w:val="none"/>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iCs/>
                <w:color w:val="auto"/>
                <w:sz w:val="21"/>
                <w:szCs w:val="21"/>
                <w:highlight w:val="none"/>
              </w:rPr>
              <w:t>供货期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1"/>
                <w:szCs w:val="21"/>
                <w:highlight w:val="none"/>
              </w:rPr>
            </w:pPr>
          </w:p>
        </w:tc>
        <w:tc>
          <w:tcPr>
            <w:tcW w:w="1038"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1"/>
                <w:szCs w:val="21"/>
                <w:highlight w:val="none"/>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质量</w:t>
            </w:r>
            <w:r>
              <w:rPr>
                <w:rFonts w:hint="eastAsia" w:asciiTheme="minorEastAsia" w:hAnsiTheme="minorEastAsia" w:eastAsiaTheme="minorEastAsia" w:cstheme="minorEastAsia"/>
                <w:color w:val="auto"/>
                <w:sz w:val="21"/>
                <w:szCs w:val="21"/>
                <w:highlight w:val="none"/>
                <w:lang w:val="en-US" w:eastAsia="zh-CN"/>
              </w:rPr>
              <w:t>标准</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1"/>
                <w:szCs w:val="21"/>
                <w:highlight w:val="none"/>
              </w:rPr>
            </w:pPr>
          </w:p>
        </w:tc>
        <w:tc>
          <w:tcPr>
            <w:tcW w:w="1038"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1"/>
                <w:szCs w:val="21"/>
                <w:highlight w:val="none"/>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质保期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highlight w:val="none"/>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1"/>
                <w:szCs w:val="21"/>
                <w:highlight w:val="none"/>
              </w:rPr>
            </w:pPr>
          </w:p>
        </w:tc>
        <w:tc>
          <w:tcPr>
            <w:tcW w:w="1038"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1"/>
                <w:szCs w:val="21"/>
                <w:highlight w:val="none"/>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商务报价</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1"/>
                <w:szCs w:val="21"/>
                <w:highlight w:val="none"/>
              </w:rPr>
            </w:pPr>
          </w:p>
        </w:tc>
        <w:tc>
          <w:tcPr>
            <w:tcW w:w="1038"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1"/>
                <w:szCs w:val="21"/>
                <w:highlight w:val="none"/>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投标有效期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1"/>
                <w:szCs w:val="21"/>
                <w:highlight w:val="none"/>
              </w:rPr>
            </w:pPr>
          </w:p>
        </w:tc>
        <w:tc>
          <w:tcPr>
            <w:tcW w:w="1038"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1"/>
                <w:szCs w:val="21"/>
                <w:highlight w:val="none"/>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权利义务</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1"/>
                <w:szCs w:val="21"/>
                <w:highlight w:val="none"/>
              </w:rPr>
            </w:pPr>
          </w:p>
        </w:tc>
        <w:tc>
          <w:tcPr>
            <w:tcW w:w="1038"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1"/>
                <w:szCs w:val="21"/>
                <w:highlight w:val="none"/>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技术标准和要求</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符合第五章“采购需求及</w:t>
            </w:r>
            <w:r>
              <w:rPr>
                <w:rFonts w:hint="eastAsia" w:asciiTheme="minorEastAsia" w:hAnsiTheme="minorEastAsia" w:eastAsiaTheme="minorEastAsia" w:cstheme="minorEastAsia"/>
                <w:color w:val="auto"/>
                <w:sz w:val="21"/>
                <w:szCs w:val="21"/>
                <w:highlight w:val="none"/>
                <w:lang w:val="en-US" w:eastAsia="zh-CN"/>
              </w:rPr>
              <w:t>技术</w:t>
            </w:r>
            <w:r>
              <w:rPr>
                <w:rFonts w:hint="eastAsia" w:asciiTheme="minorEastAsia" w:hAnsiTheme="minorEastAsia" w:eastAsiaTheme="minorEastAsia" w:cstheme="minorEastAsia"/>
                <w:color w:val="auto"/>
                <w:sz w:val="21"/>
                <w:szCs w:val="21"/>
                <w:highlight w:val="none"/>
              </w:rPr>
              <w:t>参数</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”规定，若不符合第五章技术标准和要求规定，将不再进行评审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1"/>
                <w:szCs w:val="21"/>
                <w:highlight w:val="none"/>
              </w:rPr>
            </w:pPr>
          </w:p>
        </w:tc>
        <w:tc>
          <w:tcPr>
            <w:tcW w:w="1038" w:type="dxa"/>
            <w:vMerge w:val="continue"/>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rPr>
                <w:rFonts w:hint="eastAsia" w:asciiTheme="minorEastAsia" w:hAnsiTheme="minorEastAsia" w:eastAsiaTheme="minorEastAsia" w:cstheme="minorEastAsia"/>
                <w:color w:val="auto"/>
                <w:sz w:val="21"/>
                <w:szCs w:val="21"/>
                <w:highlight w:val="none"/>
              </w:rPr>
            </w:pPr>
          </w:p>
        </w:tc>
        <w:tc>
          <w:tcPr>
            <w:tcW w:w="21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投标文件的其他响应</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Theme="minorEastAsia" w:hAnsiTheme="minorEastAsia" w:eastAsiaTheme="minorEastAsia" w:cstheme="minorEastAsia"/>
                <w:color w:val="auto"/>
                <w:sz w:val="21"/>
                <w:szCs w:val="21"/>
                <w:highlight w:val="none"/>
              </w:rPr>
            </w:pPr>
            <w:bookmarkStart w:id="309" w:name="_GoBack"/>
            <w:r>
              <w:rPr>
                <w:rFonts w:hint="eastAsia" w:asciiTheme="minorEastAsia" w:hAnsiTheme="minorEastAsia" w:eastAsiaTheme="minorEastAsia" w:cstheme="minorEastAsia"/>
                <w:color w:val="auto"/>
                <w:sz w:val="21"/>
                <w:szCs w:val="21"/>
                <w:highlight w:val="none"/>
              </w:rPr>
              <w:t>符合法律、法规和招标文件中规定的其他实质性要求的</w:t>
            </w:r>
            <w:bookmarkEnd w:id="309"/>
          </w:p>
        </w:tc>
      </w:tr>
    </w:tbl>
    <w:p>
      <w:pPr>
        <w:spacing w:line="560" w:lineRule="exact"/>
        <w:ind w:firstLine="560"/>
        <w:rPr>
          <w:rFonts w:hint="eastAsia" w:asciiTheme="minorEastAsia" w:hAnsiTheme="minorEastAsia" w:eastAsiaTheme="minorEastAsia" w:cstheme="minorEastAsia"/>
          <w:vanish/>
          <w:color w:val="auto"/>
          <w:sz w:val="21"/>
          <w:szCs w:val="21"/>
          <w:highlight w:val="none"/>
        </w:rPr>
      </w:pPr>
    </w:p>
    <w:tbl>
      <w:tblPr>
        <w:tblStyle w:val="22"/>
        <w:tblpPr w:leftFromText="180" w:rightFromText="180" w:vertAnchor="text" w:horzAnchor="page" w:tblpX="1144" w:tblpY="453"/>
        <w:tblOverlap w:val="never"/>
        <w:tblW w:w="9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1396"/>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213" w:type="dxa"/>
            <w:noWrap w:val="0"/>
            <w:vAlign w:val="center"/>
          </w:tcPr>
          <w:p>
            <w:pPr>
              <w:autoSpaceDE w:val="0"/>
              <w:autoSpaceDN w:val="0"/>
              <w:adjustRightInd w:val="0"/>
              <w:spacing w:line="560" w:lineRule="exact"/>
              <w:ind w:left="38" w:leftChars="18" w:firstLine="562"/>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项目</w:t>
            </w:r>
          </w:p>
        </w:tc>
        <w:tc>
          <w:tcPr>
            <w:tcW w:w="1396" w:type="dxa"/>
            <w:noWrap w:val="0"/>
            <w:vAlign w:val="center"/>
          </w:tcPr>
          <w:p>
            <w:pPr>
              <w:autoSpaceDE w:val="0"/>
              <w:autoSpaceDN w:val="0"/>
              <w:adjustRightInd w:val="0"/>
              <w:spacing w:line="560" w:lineRule="exact"/>
              <w:ind w:firstLine="0" w:firstLineChars="0"/>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评分因素</w:t>
            </w:r>
          </w:p>
        </w:tc>
        <w:tc>
          <w:tcPr>
            <w:tcW w:w="6253" w:type="dxa"/>
            <w:noWrap w:val="0"/>
            <w:vAlign w:val="center"/>
          </w:tcPr>
          <w:p>
            <w:pPr>
              <w:autoSpaceDE w:val="0"/>
              <w:autoSpaceDN w:val="0"/>
              <w:adjustRightInd w:val="0"/>
              <w:spacing w:line="560" w:lineRule="exact"/>
              <w:ind w:left="38" w:leftChars="18" w:firstLine="562"/>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3" w:type="dxa"/>
            <w:noWrap w:val="0"/>
            <w:vAlign w:val="center"/>
          </w:tcPr>
          <w:p>
            <w:pPr>
              <w:widowControl/>
              <w:spacing w:line="560" w:lineRule="exact"/>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报价得分（30分）</w:t>
            </w:r>
          </w:p>
        </w:tc>
        <w:tc>
          <w:tcPr>
            <w:tcW w:w="1396" w:type="dxa"/>
            <w:noWrap w:val="0"/>
            <w:vAlign w:val="center"/>
          </w:tcPr>
          <w:p>
            <w:pPr>
              <w:widowControl/>
              <w:spacing w:line="560" w:lineRule="exact"/>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投标报价评分标准</w:t>
            </w:r>
          </w:p>
        </w:tc>
        <w:tc>
          <w:tcPr>
            <w:tcW w:w="6253" w:type="dxa"/>
            <w:noWrap w:val="0"/>
            <w:vAlign w:val="center"/>
          </w:tcPr>
          <w:p>
            <w:pPr>
              <w:autoSpaceDE w:val="0"/>
              <w:autoSpaceDN w:val="0"/>
              <w:adjustRightInd w:val="0"/>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投标报价分采用低价优先法计算，即满足招标文件要求且投标报价最低的为评标基准价，其价格分为满分（即30分）。其他投标人的价格分统一按照下列公式计算：</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报价得分=(评标基准价／投标报价)×价格权值（30分）。</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注：以上计算过程中按四舍五入保留两位小数。</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对小型或微型企业投标的扶持：（如有）</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2.1投标供应商为小型或微型企业时，报价给予C1的价格扣除（C1的取值为6%），即：评标价＝投标报价（最后报价）×(1－C1）；</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小微企业应当列明本项目中所投的“小型和微型企业产品的清单”并提供《中小企业声明函》（见格式）。</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2.2按照《政府采购促进中小企业发展管理办法》有关规定，中小企业的标准为：</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2.2.1提供本企业制造的货物、承担的工程或者服务，或者提供其他中小企业制造的货物，不包括提供或使用大型企业注册商标的货物；</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2.2.2本规定所称中小企业划分标准，是指国务院有关部门根据企业从业人员、营业收入、资产总额等指标制定的中小企业划型标准（工信部联企业[2011]300号）；</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2.2.3小型、微型企业提供有中型企业制造的货物的，视同为中型企业；小型、微型、中型企业提供有大型企业制造的货物的，视同为大型企业。</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同一投标人，小微企业、监狱、残疾人福利性企业同一产品价格扣除优惠只享受一次，不得重复享受。</w:t>
            </w:r>
          </w:p>
          <w:p>
            <w:pPr>
              <w:autoSpaceDE w:val="0"/>
              <w:autoSpaceDN w:val="0"/>
              <w:adjustRightInd w:val="0"/>
              <w:spacing w:line="560" w:lineRule="exact"/>
              <w:ind w:firstLine="560"/>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3" w:type="dxa"/>
            <w:vMerge w:val="restart"/>
            <w:noWrap w:val="0"/>
            <w:vAlign w:val="center"/>
          </w:tcPr>
          <w:p>
            <w:pPr>
              <w:widowControl/>
              <w:spacing w:line="560" w:lineRule="exact"/>
              <w:ind w:firstLine="0" w:firstLine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Cs/>
                <w:color w:val="auto"/>
                <w:sz w:val="21"/>
                <w:szCs w:val="21"/>
                <w:highlight w:val="none"/>
              </w:rPr>
              <w:t>技术部分（</w:t>
            </w:r>
            <w:r>
              <w:rPr>
                <w:rFonts w:hint="eastAsia" w:asciiTheme="minorEastAsia" w:hAnsiTheme="minorEastAsia" w:eastAsiaTheme="minorEastAsia" w:cstheme="minorEastAsia"/>
                <w:bCs/>
                <w:color w:val="auto"/>
                <w:sz w:val="21"/>
                <w:szCs w:val="21"/>
                <w:highlight w:val="none"/>
                <w:lang w:val="en-US" w:eastAsia="zh-CN"/>
              </w:rPr>
              <w:t>40</w:t>
            </w:r>
            <w:r>
              <w:rPr>
                <w:rFonts w:hint="eastAsia" w:asciiTheme="minorEastAsia" w:hAnsiTheme="minorEastAsia" w:eastAsiaTheme="minorEastAsia" w:cstheme="minorEastAsia"/>
                <w:bCs/>
                <w:color w:val="auto"/>
                <w:sz w:val="21"/>
                <w:szCs w:val="21"/>
                <w:highlight w:val="none"/>
              </w:rPr>
              <w:t>分）</w:t>
            </w:r>
          </w:p>
        </w:tc>
        <w:tc>
          <w:tcPr>
            <w:tcW w:w="1396" w:type="dxa"/>
            <w:noWrap w:val="0"/>
            <w:vAlign w:val="center"/>
          </w:tcPr>
          <w:p>
            <w:pPr>
              <w:pStyle w:val="33"/>
              <w:snapToGrid w:val="0"/>
              <w:spacing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highlight w:val="none"/>
              </w:rPr>
              <w:t>技术参数（</w:t>
            </w:r>
            <w:r>
              <w:rPr>
                <w:rFonts w:hint="eastAsia" w:asciiTheme="minorEastAsia" w:hAnsiTheme="minorEastAsia" w:eastAsiaTheme="minorEastAsia" w:cstheme="minorEastAsia"/>
                <w:color w:val="auto"/>
                <w:sz w:val="21"/>
                <w:szCs w:val="21"/>
                <w:highlight w:val="none"/>
                <w:lang w:val="en-US" w:eastAsia="zh-CN"/>
              </w:rPr>
              <w:t>35</w:t>
            </w:r>
            <w:r>
              <w:rPr>
                <w:rFonts w:hint="eastAsia" w:asciiTheme="minorEastAsia" w:hAnsiTheme="minorEastAsia" w:eastAsiaTheme="minorEastAsia" w:cstheme="minorEastAsia"/>
                <w:color w:val="auto"/>
                <w:sz w:val="21"/>
                <w:szCs w:val="21"/>
                <w:highlight w:val="none"/>
              </w:rPr>
              <w:t>分）</w:t>
            </w:r>
          </w:p>
          <w:p>
            <w:pPr>
              <w:autoSpaceDE w:val="0"/>
              <w:autoSpaceDN w:val="0"/>
              <w:adjustRightInd w:val="0"/>
              <w:spacing w:line="56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6253" w:type="dxa"/>
            <w:noWrap w:val="0"/>
            <w:vAlign w:val="center"/>
          </w:tcPr>
          <w:p>
            <w:pPr>
              <w:autoSpaceDE w:val="0"/>
              <w:autoSpaceDN w:val="0"/>
              <w:adjustRightInd w:val="0"/>
              <w:spacing w:line="5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投标技术</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完全满足招标文件技术参数要求或优于招标文件中技术参数要求的，</w:t>
            </w:r>
            <w:r>
              <w:rPr>
                <w:rFonts w:hint="eastAsia" w:asciiTheme="minorEastAsia" w:hAnsiTheme="minorEastAsia" w:eastAsiaTheme="minorEastAsia" w:cstheme="minorEastAsia"/>
                <w:color w:val="auto"/>
                <w:sz w:val="21"/>
                <w:szCs w:val="21"/>
                <w:highlight w:val="none"/>
                <w:lang w:val="en-US" w:eastAsia="zh-CN"/>
              </w:rPr>
              <w:t>完全满足</w:t>
            </w:r>
            <w:r>
              <w:rPr>
                <w:rFonts w:hint="eastAsia" w:asciiTheme="minorEastAsia" w:hAnsiTheme="minorEastAsia" w:eastAsiaTheme="minorEastAsia" w:cstheme="minorEastAsia"/>
                <w:color w:val="auto"/>
                <w:sz w:val="21"/>
                <w:szCs w:val="21"/>
                <w:highlight w:val="none"/>
              </w:rPr>
              <w:t>得满分</w:t>
            </w:r>
            <w:r>
              <w:rPr>
                <w:rFonts w:hint="eastAsia" w:asciiTheme="minorEastAsia" w:hAnsiTheme="minorEastAsia" w:eastAsiaTheme="minorEastAsia" w:cstheme="minorEastAsia"/>
                <w:color w:val="auto"/>
                <w:sz w:val="21"/>
                <w:szCs w:val="21"/>
                <w:highlight w:val="none"/>
                <w:lang w:val="en-US" w:eastAsia="zh-CN"/>
              </w:rPr>
              <w:t>35</w:t>
            </w:r>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2213" w:type="dxa"/>
            <w:vMerge w:val="continue"/>
            <w:noWrap w:val="0"/>
            <w:vAlign w:val="center"/>
          </w:tcPr>
          <w:p>
            <w:pPr>
              <w:widowControl/>
              <w:spacing w:line="560" w:lineRule="exact"/>
              <w:ind w:firstLine="562"/>
              <w:jc w:val="center"/>
              <w:rPr>
                <w:rFonts w:hint="eastAsia" w:asciiTheme="minorEastAsia" w:hAnsiTheme="minorEastAsia" w:eastAsiaTheme="minorEastAsia" w:cstheme="minorEastAsia"/>
                <w:b/>
                <w:color w:val="auto"/>
                <w:sz w:val="21"/>
                <w:szCs w:val="21"/>
                <w:highlight w:val="none"/>
              </w:rPr>
            </w:pPr>
          </w:p>
        </w:tc>
        <w:tc>
          <w:tcPr>
            <w:tcW w:w="1396" w:type="dxa"/>
            <w:noWrap w:val="0"/>
            <w:vAlign w:val="center"/>
          </w:tcPr>
          <w:p>
            <w:pPr>
              <w:pStyle w:val="33"/>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培训计划</w:t>
            </w:r>
          </w:p>
          <w:p>
            <w:pPr>
              <w:autoSpaceDE w:val="0"/>
              <w:autoSpaceDN w:val="0"/>
              <w:adjustRightInd w:val="0"/>
              <w:spacing w:line="560" w:lineRule="exact"/>
              <w:ind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（5分）</w:t>
            </w:r>
          </w:p>
        </w:tc>
        <w:tc>
          <w:tcPr>
            <w:tcW w:w="6253" w:type="dxa"/>
            <w:noWrap w:val="0"/>
            <w:vAlign w:val="center"/>
          </w:tcPr>
          <w:p>
            <w:pPr>
              <w:autoSpaceDE w:val="0"/>
              <w:autoSpaceDN w:val="0"/>
              <w:adjustRightInd w:val="0"/>
              <w:spacing w:line="560" w:lineRule="exact"/>
              <w:ind w:firstLine="583"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根据供应商提供的</w:t>
            </w:r>
            <w:r>
              <w:rPr>
                <w:rFonts w:hint="eastAsia" w:asciiTheme="minorEastAsia" w:hAnsiTheme="minorEastAsia" w:eastAsiaTheme="minorEastAsia" w:cstheme="minorEastAsia"/>
                <w:kern w:val="2"/>
                <w:sz w:val="21"/>
                <w:szCs w:val="21"/>
              </w:rPr>
              <w:t>产品使用、操作培训内容全面性、培训计划安排合理性</w:t>
            </w:r>
            <w:r>
              <w:rPr>
                <w:rFonts w:hint="eastAsia" w:asciiTheme="minorEastAsia" w:hAnsiTheme="minorEastAsia" w:eastAsiaTheme="minorEastAsia" w:cstheme="minorEastAsia"/>
                <w:sz w:val="21"/>
                <w:szCs w:val="21"/>
              </w:rPr>
              <w:t>进行综合评审，</w:t>
            </w:r>
            <w:r>
              <w:rPr>
                <w:rFonts w:hint="eastAsia" w:asciiTheme="minorEastAsia" w:hAnsiTheme="minorEastAsia" w:eastAsiaTheme="minorEastAsia" w:cstheme="minorEastAsia"/>
                <w:color w:val="auto"/>
                <w:sz w:val="21"/>
                <w:szCs w:val="21"/>
                <w:highlight w:val="none"/>
              </w:rPr>
              <w:t>优者的得 5 分，良好的得 3 分，一般的得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213" w:type="dxa"/>
            <w:vMerge w:val="restart"/>
            <w:noWrap w:val="0"/>
            <w:vAlign w:val="center"/>
          </w:tcPr>
          <w:p>
            <w:pPr>
              <w:widowControl/>
              <w:spacing w:line="560" w:lineRule="exact"/>
              <w:ind w:firstLine="0" w:firstLineChars="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商务部分（</w:t>
            </w:r>
            <w:r>
              <w:rPr>
                <w:rFonts w:hint="eastAsia" w:asciiTheme="minorEastAsia" w:hAnsiTheme="minorEastAsia" w:eastAsiaTheme="minorEastAsia" w:cstheme="minorEastAsia"/>
                <w:bCs/>
                <w:color w:val="auto"/>
                <w:sz w:val="21"/>
                <w:szCs w:val="21"/>
                <w:highlight w:val="none"/>
                <w:lang w:val="en-US" w:eastAsia="zh-CN"/>
              </w:rPr>
              <w:t>30</w:t>
            </w:r>
            <w:r>
              <w:rPr>
                <w:rFonts w:hint="eastAsia" w:asciiTheme="minorEastAsia" w:hAnsiTheme="minorEastAsia" w:eastAsiaTheme="minorEastAsia" w:cstheme="minorEastAsia"/>
                <w:bCs/>
                <w:color w:val="auto"/>
                <w:sz w:val="21"/>
                <w:szCs w:val="21"/>
                <w:highlight w:val="none"/>
              </w:rPr>
              <w:t>分）</w:t>
            </w:r>
          </w:p>
          <w:p>
            <w:pPr>
              <w:widowControl/>
              <w:spacing w:line="560" w:lineRule="exact"/>
              <w:ind w:firstLine="562"/>
              <w:jc w:val="center"/>
              <w:rPr>
                <w:rFonts w:hint="eastAsia" w:asciiTheme="minorEastAsia" w:hAnsiTheme="minorEastAsia" w:eastAsiaTheme="minorEastAsia" w:cstheme="minorEastAsia"/>
                <w:b/>
                <w:color w:val="auto"/>
                <w:sz w:val="21"/>
                <w:szCs w:val="21"/>
                <w:highlight w:val="none"/>
              </w:rPr>
            </w:pPr>
          </w:p>
        </w:tc>
        <w:tc>
          <w:tcPr>
            <w:tcW w:w="1396"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企业信用等级</w:t>
            </w:r>
          </w:p>
          <w:p>
            <w:pPr>
              <w:widowControl/>
              <w:spacing w:line="56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（2分）</w:t>
            </w:r>
          </w:p>
        </w:tc>
        <w:tc>
          <w:tcPr>
            <w:tcW w:w="6253" w:type="dxa"/>
            <w:noWrap w:val="0"/>
            <w:vAlign w:val="center"/>
          </w:tcPr>
          <w:p>
            <w:pPr>
              <w:pStyle w:val="33"/>
              <w:snapToGrid w:val="0"/>
              <w:spacing w:line="360" w:lineRule="auto"/>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供应商具有AAA信用等级证书的得2分，具有AA信用等级证书的得1分，不提供或提供其他等级不得分。</w:t>
            </w:r>
          </w:p>
          <w:p>
            <w:pPr>
              <w:widowControl/>
              <w:spacing w:line="560" w:lineRule="exact"/>
              <w:ind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lang w:val="en-US" w:eastAsia="zh-CN" w:bidi="ar-SA"/>
              </w:rPr>
              <w:t>注：供应商须提供加盖企业电子章的信用等级证书；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213" w:type="dxa"/>
            <w:vMerge w:val="continue"/>
            <w:noWrap w:val="0"/>
            <w:vAlign w:val="center"/>
          </w:tcPr>
          <w:p>
            <w:pPr>
              <w:widowControl/>
              <w:spacing w:line="560" w:lineRule="exact"/>
              <w:ind w:firstLine="562"/>
              <w:jc w:val="center"/>
              <w:rPr>
                <w:rFonts w:hint="eastAsia" w:asciiTheme="minorEastAsia" w:hAnsiTheme="minorEastAsia" w:eastAsiaTheme="minorEastAsia" w:cstheme="minorEastAsia"/>
                <w:b/>
                <w:color w:val="auto"/>
                <w:sz w:val="21"/>
                <w:szCs w:val="21"/>
                <w:highlight w:val="none"/>
              </w:rPr>
            </w:pPr>
          </w:p>
        </w:tc>
        <w:tc>
          <w:tcPr>
            <w:tcW w:w="1396" w:type="dxa"/>
            <w:noWrap w:val="0"/>
            <w:vAlign w:val="center"/>
          </w:tcPr>
          <w:p>
            <w:pPr>
              <w:pStyle w:val="33"/>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企业业绩</w:t>
            </w:r>
          </w:p>
          <w:p>
            <w:pPr>
              <w:widowControl/>
              <w:spacing w:line="5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（8分）</w:t>
            </w:r>
          </w:p>
        </w:tc>
        <w:tc>
          <w:tcPr>
            <w:tcW w:w="6253" w:type="dxa"/>
            <w:noWrap w:val="0"/>
            <w:vAlign w:val="center"/>
          </w:tcPr>
          <w:p>
            <w:pPr>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供应商提供2019年1月1日（以合同签订时间为准）以来的类似项目业绩，每提供一份得2分，最多得8分。</w:t>
            </w:r>
          </w:p>
          <w:p>
            <w:pPr>
              <w:widowControl/>
              <w:spacing w:line="5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注：须提供业绩合同及中标通知书，缺项不得分；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213" w:type="dxa"/>
            <w:vMerge w:val="continue"/>
            <w:noWrap w:val="0"/>
            <w:vAlign w:val="center"/>
          </w:tcPr>
          <w:p>
            <w:pPr>
              <w:widowControl/>
              <w:spacing w:line="560" w:lineRule="exact"/>
              <w:ind w:firstLine="562"/>
              <w:jc w:val="center"/>
              <w:rPr>
                <w:rFonts w:hint="eastAsia" w:asciiTheme="minorEastAsia" w:hAnsiTheme="minorEastAsia" w:eastAsiaTheme="minorEastAsia" w:cstheme="minorEastAsia"/>
                <w:b/>
                <w:color w:val="auto"/>
                <w:sz w:val="21"/>
                <w:szCs w:val="21"/>
                <w:highlight w:val="none"/>
              </w:rPr>
            </w:pPr>
          </w:p>
        </w:tc>
        <w:tc>
          <w:tcPr>
            <w:tcW w:w="1396" w:type="dxa"/>
            <w:noWrap w:val="0"/>
            <w:vAlign w:val="center"/>
          </w:tcPr>
          <w:p>
            <w:pPr>
              <w:pStyle w:val="45"/>
              <w:spacing w:before="1" w:line="5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企业证书</w:t>
            </w:r>
          </w:p>
          <w:p>
            <w:pPr>
              <w:pStyle w:val="45"/>
              <w:spacing w:before="1" w:line="5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（5分）</w:t>
            </w:r>
          </w:p>
        </w:tc>
        <w:tc>
          <w:tcPr>
            <w:tcW w:w="6253" w:type="dxa"/>
            <w:noWrap w:val="0"/>
            <w:vAlign w:val="center"/>
          </w:tcPr>
          <w:p>
            <w:pPr>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1.供应商具有效期内的质量管理体系认证证书、环境管理体系认证证书以及职业健康安全管理体系认证每提供一项得1分，最高得3分，缺项不得分。</w:t>
            </w:r>
          </w:p>
          <w:p>
            <w:pPr>
              <w:widowControl/>
              <w:spacing w:line="560" w:lineRule="exact"/>
              <w:ind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2.供应商具有五星级售后服务认证证书得2分，缺项不得分。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213" w:type="dxa"/>
            <w:vMerge w:val="continue"/>
            <w:noWrap w:val="0"/>
            <w:vAlign w:val="center"/>
          </w:tcPr>
          <w:p>
            <w:pPr>
              <w:widowControl/>
              <w:spacing w:line="560" w:lineRule="exact"/>
              <w:ind w:firstLine="562"/>
              <w:jc w:val="center"/>
              <w:rPr>
                <w:rFonts w:hint="eastAsia" w:asciiTheme="minorEastAsia" w:hAnsiTheme="minorEastAsia" w:eastAsiaTheme="minorEastAsia" w:cstheme="minorEastAsia"/>
                <w:b/>
                <w:color w:val="auto"/>
                <w:sz w:val="21"/>
                <w:szCs w:val="21"/>
                <w:highlight w:val="none"/>
              </w:rPr>
            </w:pPr>
          </w:p>
        </w:tc>
        <w:tc>
          <w:tcPr>
            <w:tcW w:w="1396" w:type="dxa"/>
            <w:noWrap w:val="0"/>
            <w:vAlign w:val="center"/>
          </w:tcPr>
          <w:p>
            <w:pPr>
              <w:pStyle w:val="45"/>
              <w:spacing w:before="1" w:line="5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供货能力</w:t>
            </w:r>
            <w:r>
              <w:rPr>
                <w:rFonts w:hint="eastAsia" w:asciiTheme="minorEastAsia" w:hAnsiTheme="minorEastAsia" w:eastAsiaTheme="minorEastAsia" w:cstheme="minorEastAsia"/>
                <w:sz w:val="21"/>
                <w:szCs w:val="21"/>
              </w:rPr>
              <w:t>（5分）</w:t>
            </w:r>
          </w:p>
        </w:tc>
        <w:tc>
          <w:tcPr>
            <w:tcW w:w="6253" w:type="dxa"/>
            <w:noWrap w:val="0"/>
            <w:vAlign w:val="center"/>
          </w:tcPr>
          <w:p>
            <w:pPr>
              <w:widowControl/>
              <w:spacing w:line="560" w:lineRule="exact"/>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满足招标文件要求，根据供应商提供的供货方案，设备调试、质量保证期内免费维修等。</w:t>
            </w:r>
            <w:r>
              <w:rPr>
                <w:rFonts w:hint="eastAsia" w:asciiTheme="minorEastAsia" w:hAnsiTheme="minorEastAsia" w:eastAsiaTheme="minorEastAsia" w:cstheme="minorEastAsia"/>
                <w:color w:val="auto"/>
                <w:sz w:val="21"/>
                <w:szCs w:val="21"/>
                <w:highlight w:val="none"/>
              </w:rPr>
              <w:t>优者的得 5 分，良好的得 3 分，一般的得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213" w:type="dxa"/>
            <w:vMerge w:val="continue"/>
            <w:noWrap w:val="0"/>
            <w:vAlign w:val="center"/>
          </w:tcPr>
          <w:p>
            <w:pPr>
              <w:widowControl/>
              <w:spacing w:line="560" w:lineRule="exact"/>
              <w:ind w:firstLine="562"/>
              <w:jc w:val="center"/>
              <w:rPr>
                <w:rFonts w:hint="eastAsia" w:asciiTheme="minorEastAsia" w:hAnsiTheme="minorEastAsia" w:eastAsiaTheme="minorEastAsia" w:cstheme="minorEastAsia"/>
                <w:b/>
                <w:color w:val="auto"/>
                <w:sz w:val="21"/>
                <w:szCs w:val="21"/>
                <w:highlight w:val="none"/>
              </w:rPr>
            </w:pPr>
          </w:p>
        </w:tc>
        <w:tc>
          <w:tcPr>
            <w:tcW w:w="1396" w:type="dxa"/>
            <w:noWrap w:val="0"/>
            <w:vAlign w:val="center"/>
          </w:tcPr>
          <w:p>
            <w:pPr>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服务承诺</w:t>
            </w:r>
          </w:p>
          <w:p>
            <w:pPr>
              <w:pStyle w:val="45"/>
              <w:spacing w:before="1" w:line="56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color w:val="auto"/>
                <w:sz w:val="21"/>
                <w:szCs w:val="21"/>
                <w:highlight w:val="none"/>
                <w:lang w:val="en-US" w:eastAsia="zh-CN"/>
              </w:rPr>
              <w:t xml:space="preserve"> </w:t>
            </w:r>
          </w:p>
        </w:tc>
        <w:tc>
          <w:tcPr>
            <w:tcW w:w="6253" w:type="dxa"/>
            <w:noWrap w:val="0"/>
            <w:vAlign w:val="center"/>
          </w:tcPr>
          <w:p>
            <w:pPr>
              <w:widowControl/>
              <w:spacing w:line="560" w:lineRule="exact"/>
              <w:ind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根据供应商提供的售后服务承诺内容是否科学合理、售后服务系统是否完善、针对性及综合实力，是否能够充分满足</w:t>
            </w:r>
            <w:r>
              <w:rPr>
                <w:rFonts w:hint="eastAsia" w:asciiTheme="minorEastAsia" w:hAnsiTheme="minorEastAsia" w:eastAsiaTheme="minorEastAsia" w:cstheme="minorEastAsia"/>
                <w:sz w:val="21"/>
                <w:szCs w:val="21"/>
                <w:lang w:val="en-US" w:eastAsia="zh-CN"/>
              </w:rPr>
              <w:t>采购</w:t>
            </w:r>
            <w:r>
              <w:rPr>
                <w:rFonts w:hint="eastAsia" w:asciiTheme="minorEastAsia" w:hAnsiTheme="minorEastAsia" w:eastAsiaTheme="minorEastAsia" w:cstheme="minorEastAsia"/>
                <w:sz w:val="21"/>
                <w:szCs w:val="21"/>
              </w:rPr>
              <w:t>人的需求进行综合评审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auto"/>
                <w:sz w:val="21"/>
                <w:szCs w:val="21"/>
                <w:highlight w:val="none"/>
              </w:rPr>
              <w:t>优者的得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 xml:space="preserve">分，良好的得 </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分，一般的得 </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213" w:type="dxa"/>
            <w:vMerge w:val="continue"/>
            <w:noWrap w:val="0"/>
            <w:vAlign w:val="center"/>
          </w:tcPr>
          <w:p>
            <w:pPr>
              <w:widowControl/>
              <w:spacing w:line="560" w:lineRule="exact"/>
              <w:ind w:firstLine="562"/>
              <w:jc w:val="center"/>
              <w:rPr>
                <w:rFonts w:hint="eastAsia" w:asciiTheme="minorEastAsia" w:hAnsiTheme="minorEastAsia" w:eastAsiaTheme="minorEastAsia" w:cstheme="minorEastAsia"/>
                <w:b/>
                <w:color w:val="auto"/>
                <w:sz w:val="21"/>
                <w:szCs w:val="21"/>
                <w:highlight w:val="none"/>
              </w:rPr>
            </w:pPr>
          </w:p>
        </w:tc>
        <w:tc>
          <w:tcPr>
            <w:tcW w:w="1396" w:type="dxa"/>
            <w:noWrap w:val="0"/>
            <w:vAlign w:val="center"/>
          </w:tcPr>
          <w:p>
            <w:pPr>
              <w:pStyle w:val="33"/>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优惠承诺</w:t>
            </w:r>
          </w:p>
          <w:p>
            <w:pPr>
              <w:pStyle w:val="45"/>
              <w:spacing w:before="1"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（5分）</w:t>
            </w:r>
          </w:p>
        </w:tc>
        <w:tc>
          <w:tcPr>
            <w:tcW w:w="6253" w:type="dxa"/>
            <w:noWrap w:val="0"/>
            <w:vAlign w:val="center"/>
          </w:tcPr>
          <w:p>
            <w:pPr>
              <w:widowControl/>
              <w:spacing w:line="560" w:lineRule="exact"/>
              <w:ind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根据供应商提供的具有实质性优惠承诺是否针对性强，是否对采购人有实质性作用进行综合评审，</w:t>
            </w:r>
            <w:r>
              <w:rPr>
                <w:rFonts w:hint="eastAsia" w:asciiTheme="minorEastAsia" w:hAnsiTheme="minorEastAsia" w:eastAsiaTheme="minorEastAsia" w:cstheme="minorEastAsia"/>
                <w:color w:val="auto"/>
                <w:sz w:val="21"/>
                <w:szCs w:val="21"/>
                <w:highlight w:val="none"/>
              </w:rPr>
              <w:t>优者的得 5 分，良好的得 3 分，一般的得 1 分。</w:t>
            </w:r>
          </w:p>
        </w:tc>
      </w:tr>
    </w:tbl>
    <w:p>
      <w:pPr>
        <w:pStyle w:val="11"/>
        <w:rPr>
          <w:rFonts w:hint="eastAsia" w:asciiTheme="minorEastAsia" w:hAnsiTheme="minorEastAsia" w:eastAsiaTheme="minorEastAsia" w:cstheme="minorEastAsia"/>
          <w:color w:val="auto"/>
          <w:sz w:val="24"/>
          <w:szCs w:val="24"/>
          <w:highlight w:val="none"/>
        </w:rPr>
      </w:pPr>
    </w:p>
    <w:p>
      <w:pPr>
        <w:numPr>
          <w:ilvl w:val="0"/>
          <w:numId w:val="8"/>
        </w:numPr>
        <w:tabs>
          <w:tab w:val="left" w:pos="170"/>
          <w:tab w:val="left" w:pos="303"/>
          <w:tab w:val="left" w:pos="420"/>
        </w:tabs>
        <w:adjustRightInd w:val="0"/>
        <w:snapToGrid w:val="0"/>
        <w:spacing w:line="560" w:lineRule="exact"/>
        <w:ind w:left="0" w:firstLine="0"/>
        <w:outlineLvl w:val="1"/>
        <w:rPr>
          <w:rFonts w:ascii="宋体" w:hAnsi="宋体" w:cs="仿宋_GB2312"/>
          <w:b/>
          <w:color w:val="auto"/>
          <w:sz w:val="28"/>
          <w:szCs w:val="28"/>
          <w:highlight w:val="none"/>
        </w:rPr>
      </w:pPr>
      <w:bookmarkStart w:id="236" w:name="_Toc19403"/>
      <w:bookmarkStart w:id="237" w:name="_Toc466017207"/>
      <w:bookmarkStart w:id="238" w:name="_Toc21064"/>
      <w:bookmarkStart w:id="239" w:name="_Toc454147538"/>
      <w:bookmarkStart w:id="240" w:name="_Toc465502579"/>
      <w:r>
        <w:rPr>
          <w:rFonts w:hint="eastAsia" w:ascii="宋体" w:hAnsi="宋体" w:cs="仿宋_GB2312"/>
          <w:b/>
          <w:color w:val="auto"/>
          <w:sz w:val="28"/>
          <w:szCs w:val="28"/>
          <w:highlight w:val="none"/>
        </w:rPr>
        <w:t xml:space="preserve"> </w:t>
      </w:r>
      <w:bookmarkStart w:id="241" w:name="_Toc6843"/>
      <w:r>
        <w:rPr>
          <w:rFonts w:hint="eastAsia" w:ascii="宋体" w:hAnsi="宋体" w:cs="仿宋_GB2312"/>
          <w:b/>
          <w:color w:val="auto"/>
          <w:sz w:val="28"/>
          <w:szCs w:val="28"/>
          <w:highlight w:val="none"/>
        </w:rPr>
        <w:t>评标准则和评标方法</w:t>
      </w:r>
      <w:bookmarkEnd w:id="236"/>
      <w:bookmarkEnd w:id="237"/>
      <w:bookmarkEnd w:id="238"/>
      <w:bookmarkEnd w:id="239"/>
      <w:bookmarkEnd w:id="240"/>
      <w:bookmarkEnd w:id="241"/>
    </w:p>
    <w:p>
      <w:pPr>
        <w:adjustRightInd w:val="0"/>
        <w:snapToGrid w:val="0"/>
        <w:spacing w:line="560" w:lineRule="exact"/>
        <w:rPr>
          <w:color w:val="auto"/>
          <w:szCs w:val="21"/>
          <w:highlight w:val="none"/>
        </w:rPr>
      </w:pPr>
      <w:r>
        <w:rPr>
          <w:rFonts w:hint="eastAsia"/>
          <w:color w:val="auto"/>
          <w:szCs w:val="21"/>
          <w:highlight w:val="none"/>
        </w:rPr>
        <w:t>1.1 评标过程将遵循“公平、公正、科学、择优”的原则进行。</w:t>
      </w:r>
    </w:p>
    <w:p>
      <w:pPr>
        <w:adjustRightInd w:val="0"/>
        <w:snapToGrid w:val="0"/>
        <w:spacing w:line="560" w:lineRule="exact"/>
        <w:rPr>
          <w:color w:val="auto"/>
          <w:szCs w:val="21"/>
          <w:highlight w:val="none"/>
        </w:rPr>
      </w:pPr>
      <w:r>
        <w:rPr>
          <w:rFonts w:hint="eastAsia"/>
          <w:color w:val="auto"/>
          <w:szCs w:val="21"/>
          <w:highlight w:val="none"/>
        </w:rPr>
        <w:t>1.2 评标将严格按照招标文件的要求和条件进行。</w:t>
      </w:r>
    </w:p>
    <w:p>
      <w:pPr>
        <w:adjustRightInd w:val="0"/>
        <w:snapToGrid w:val="0"/>
        <w:spacing w:line="560" w:lineRule="exact"/>
        <w:rPr>
          <w:color w:val="auto"/>
          <w:szCs w:val="21"/>
          <w:highlight w:val="none"/>
        </w:rPr>
      </w:pPr>
      <w:r>
        <w:rPr>
          <w:rFonts w:hint="eastAsia"/>
          <w:color w:val="auto"/>
          <w:szCs w:val="21"/>
          <w:highlight w:val="none"/>
        </w:rPr>
        <w:t>1.3 本次评标采用综合评分法。</w:t>
      </w:r>
    </w:p>
    <w:p>
      <w:pPr>
        <w:numPr>
          <w:ilvl w:val="0"/>
          <w:numId w:val="8"/>
        </w:numPr>
        <w:tabs>
          <w:tab w:val="left" w:pos="170"/>
          <w:tab w:val="left" w:pos="303"/>
          <w:tab w:val="left" w:pos="420"/>
        </w:tabs>
        <w:adjustRightInd w:val="0"/>
        <w:snapToGrid w:val="0"/>
        <w:spacing w:line="560" w:lineRule="exact"/>
        <w:ind w:left="0" w:firstLine="0"/>
        <w:outlineLvl w:val="1"/>
        <w:rPr>
          <w:rFonts w:ascii="宋体" w:hAnsi="宋体" w:cs="仿宋_GB2312"/>
          <w:b/>
          <w:color w:val="auto"/>
          <w:sz w:val="28"/>
          <w:szCs w:val="28"/>
          <w:highlight w:val="none"/>
        </w:rPr>
      </w:pPr>
      <w:bookmarkStart w:id="242" w:name="_Toc454147539"/>
      <w:bookmarkStart w:id="243" w:name="_Toc466017208"/>
      <w:bookmarkStart w:id="244" w:name="_Toc13195"/>
      <w:bookmarkStart w:id="245" w:name="_Toc7951"/>
      <w:bookmarkStart w:id="246" w:name="_Toc15449"/>
      <w:bookmarkStart w:id="247" w:name="_Toc465502580"/>
      <w:r>
        <w:rPr>
          <w:rFonts w:hint="eastAsia" w:ascii="宋体" w:hAnsi="宋体" w:cs="仿宋_GB2312"/>
          <w:b/>
          <w:color w:val="auto"/>
          <w:sz w:val="28"/>
          <w:szCs w:val="28"/>
          <w:highlight w:val="none"/>
        </w:rPr>
        <w:t>评审标准</w:t>
      </w:r>
      <w:bookmarkEnd w:id="242"/>
      <w:bookmarkEnd w:id="243"/>
      <w:bookmarkEnd w:id="244"/>
      <w:bookmarkEnd w:id="245"/>
      <w:bookmarkEnd w:id="246"/>
      <w:bookmarkEnd w:id="247"/>
    </w:p>
    <w:p>
      <w:pPr>
        <w:adjustRightInd w:val="0"/>
        <w:snapToGrid w:val="0"/>
        <w:spacing w:line="560" w:lineRule="exact"/>
        <w:rPr>
          <w:color w:val="auto"/>
          <w:szCs w:val="21"/>
          <w:highlight w:val="none"/>
        </w:rPr>
      </w:pPr>
      <w:r>
        <w:rPr>
          <w:rFonts w:hint="eastAsia"/>
          <w:color w:val="auto"/>
          <w:szCs w:val="21"/>
          <w:highlight w:val="none"/>
        </w:rPr>
        <w:t>2.1 资格评审标准：详见《评分办法前附表》中资格评审标准。</w:t>
      </w:r>
    </w:p>
    <w:p>
      <w:pPr>
        <w:adjustRightInd w:val="0"/>
        <w:snapToGrid w:val="0"/>
        <w:spacing w:line="560" w:lineRule="exact"/>
        <w:rPr>
          <w:color w:val="auto"/>
          <w:szCs w:val="21"/>
          <w:highlight w:val="none"/>
        </w:rPr>
      </w:pPr>
      <w:r>
        <w:rPr>
          <w:rFonts w:hint="eastAsia"/>
          <w:color w:val="auto"/>
          <w:szCs w:val="21"/>
          <w:highlight w:val="none"/>
        </w:rPr>
        <w:t>2.2 评分标准：详见《评分办法前附表》报价部分、技术部分、商务部分评审因素。</w:t>
      </w:r>
    </w:p>
    <w:p>
      <w:pPr>
        <w:numPr>
          <w:ilvl w:val="0"/>
          <w:numId w:val="8"/>
        </w:numPr>
        <w:tabs>
          <w:tab w:val="left" w:pos="170"/>
          <w:tab w:val="left" w:pos="303"/>
          <w:tab w:val="left" w:pos="420"/>
        </w:tabs>
        <w:adjustRightInd w:val="0"/>
        <w:snapToGrid w:val="0"/>
        <w:spacing w:line="560" w:lineRule="exact"/>
        <w:ind w:left="0" w:firstLine="0"/>
        <w:outlineLvl w:val="1"/>
        <w:rPr>
          <w:rFonts w:ascii="宋体" w:hAnsi="宋体" w:cs="仿宋_GB2312"/>
          <w:b/>
          <w:color w:val="auto"/>
          <w:sz w:val="28"/>
          <w:szCs w:val="28"/>
          <w:highlight w:val="none"/>
        </w:rPr>
      </w:pPr>
      <w:bookmarkStart w:id="248" w:name="_Toc11065"/>
      <w:bookmarkStart w:id="249" w:name="_Toc19609"/>
      <w:r>
        <w:rPr>
          <w:rFonts w:hint="eastAsia" w:ascii="宋体" w:hAnsi="宋体" w:cs="仿宋_GB2312"/>
          <w:b/>
          <w:color w:val="auto"/>
          <w:sz w:val="28"/>
          <w:szCs w:val="28"/>
          <w:highlight w:val="none"/>
        </w:rPr>
        <w:t>评标程序</w:t>
      </w:r>
      <w:bookmarkEnd w:id="248"/>
      <w:bookmarkEnd w:id="249"/>
    </w:p>
    <w:p>
      <w:pPr>
        <w:adjustRightInd w:val="0"/>
        <w:snapToGrid w:val="0"/>
        <w:spacing w:line="560" w:lineRule="exact"/>
        <w:rPr>
          <w:b/>
          <w:bCs/>
          <w:color w:val="auto"/>
          <w:sz w:val="24"/>
          <w:highlight w:val="none"/>
        </w:rPr>
      </w:pPr>
      <w:r>
        <w:rPr>
          <w:rFonts w:hint="eastAsia"/>
          <w:b/>
          <w:bCs/>
          <w:color w:val="auto"/>
          <w:sz w:val="24"/>
          <w:highlight w:val="none"/>
        </w:rPr>
        <w:t>3.1初步评审</w:t>
      </w:r>
    </w:p>
    <w:p>
      <w:pPr>
        <w:adjustRightInd w:val="0"/>
        <w:snapToGrid w:val="0"/>
        <w:spacing w:line="560" w:lineRule="exact"/>
        <w:rPr>
          <w:color w:val="auto"/>
          <w:highlight w:val="none"/>
          <w:lang w:val="zh-CN"/>
        </w:rPr>
      </w:pPr>
      <w:r>
        <w:rPr>
          <w:rFonts w:hint="eastAsia" w:ascii="Times New Roman" w:hAnsi="Times New Roman"/>
          <w:color w:val="auto"/>
          <w:szCs w:val="21"/>
          <w:highlight w:val="none"/>
        </w:rPr>
        <w:t xml:space="preserve">3.11 </w:t>
      </w:r>
      <w:r>
        <w:rPr>
          <w:rFonts w:hint="eastAsia" w:ascii="Times New Roman" w:hAnsi="Times New Roman"/>
          <w:color w:val="auto"/>
          <w:szCs w:val="21"/>
          <w:highlight w:val="none"/>
          <w:lang w:val="zh-CN"/>
        </w:rPr>
        <w:t>采购人或代理机构可以要求投标人提交第二章“投标人须知”规定的有关证明。采购人或代理机构依据本章第2.1款规定的标准对投标文件进行资格评审。有一项</w:t>
      </w:r>
      <w:r>
        <w:rPr>
          <w:rFonts w:hint="eastAsia"/>
          <w:color w:val="auto"/>
          <w:highlight w:val="none"/>
          <w:lang w:val="zh-CN"/>
        </w:rPr>
        <w:t>不符合资格评审标准的，作无效投标处理。</w:t>
      </w:r>
    </w:p>
    <w:p>
      <w:pPr>
        <w:adjustRightInd w:val="0"/>
        <w:snapToGrid w:val="0"/>
        <w:spacing w:line="560" w:lineRule="exact"/>
        <w:rPr>
          <w:color w:val="auto"/>
          <w:highlight w:val="none"/>
          <w:lang w:val="zh-CN"/>
        </w:rPr>
      </w:pPr>
      <w:r>
        <w:rPr>
          <w:rFonts w:hint="eastAsia"/>
          <w:color w:val="auto"/>
          <w:highlight w:val="none"/>
        </w:rPr>
        <w:t xml:space="preserve">3.12 </w:t>
      </w:r>
      <w:r>
        <w:rPr>
          <w:rFonts w:hint="eastAsia"/>
          <w:color w:val="auto"/>
          <w:highlight w:val="none"/>
          <w:lang w:val="zh-CN"/>
        </w:rPr>
        <w:t>投标文件属下列情况之一的，应当在资格性、符合性检查时按照无效投标处理：</w:t>
      </w:r>
    </w:p>
    <w:p>
      <w:pPr>
        <w:numPr>
          <w:ilvl w:val="0"/>
          <w:numId w:val="9"/>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未按照招标文件规定要求签署、盖章的；</w:t>
      </w:r>
    </w:p>
    <w:p>
      <w:pPr>
        <w:numPr>
          <w:ilvl w:val="0"/>
          <w:numId w:val="9"/>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不具备招标文件中规定资格要求的；</w:t>
      </w:r>
    </w:p>
    <w:p>
      <w:pPr>
        <w:numPr>
          <w:ilvl w:val="0"/>
          <w:numId w:val="9"/>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不符合法律、法规和招标文件中规定的其他实质性要求的。</w:t>
      </w:r>
    </w:p>
    <w:p>
      <w:pPr>
        <w:adjustRightInd w:val="0"/>
        <w:snapToGrid w:val="0"/>
        <w:spacing w:line="560" w:lineRule="exact"/>
        <w:rPr>
          <w:color w:val="auto"/>
          <w:highlight w:val="none"/>
          <w:lang w:val="zh-CN"/>
        </w:rPr>
      </w:pPr>
      <w:r>
        <w:rPr>
          <w:rFonts w:hint="eastAsia"/>
          <w:color w:val="auto"/>
          <w:highlight w:val="none"/>
        </w:rPr>
        <w:t xml:space="preserve">3.13 </w:t>
      </w:r>
      <w:r>
        <w:rPr>
          <w:rFonts w:hint="eastAsia"/>
          <w:color w:val="auto"/>
          <w:highlight w:val="none"/>
          <w:lang w:val="zh-CN"/>
        </w:rPr>
        <w:t>投标报价有算数错误的，评标委员会按以下原则对投标报价进行修正，修正的价格经投标人书面确认后具有约束力。投标人不接受修正价格的，其投标作无效投标处理。</w:t>
      </w:r>
    </w:p>
    <w:p>
      <w:pPr>
        <w:numPr>
          <w:ilvl w:val="0"/>
          <w:numId w:val="10"/>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投标文件中的大写金额与小写金额不一致的，以大写金额为准；</w:t>
      </w:r>
    </w:p>
    <w:p>
      <w:pPr>
        <w:numPr>
          <w:ilvl w:val="0"/>
          <w:numId w:val="10"/>
        </w:numPr>
        <w:autoSpaceDE w:val="0"/>
        <w:autoSpaceDN w:val="0"/>
        <w:adjustRightInd w:val="0"/>
        <w:snapToGrid w:val="0"/>
        <w:spacing w:line="560" w:lineRule="exact"/>
        <w:jc w:val="left"/>
        <w:rPr>
          <w:rFonts w:ascii="宋体" w:hAnsi="宋体" w:cs="宋体"/>
          <w:color w:val="auto"/>
          <w:highlight w:val="none"/>
        </w:rPr>
      </w:pPr>
      <w:r>
        <w:rPr>
          <w:rFonts w:hint="eastAsia" w:ascii="宋体" w:hAnsi="宋体" w:cs="宋体"/>
          <w:color w:val="auto"/>
          <w:highlight w:val="none"/>
        </w:rPr>
        <w:t>投标文件中开标一览表内容与投标文件中明细表内容不一致的，以开标一览表为准。</w:t>
      </w:r>
    </w:p>
    <w:p>
      <w:pPr>
        <w:adjustRightInd w:val="0"/>
        <w:snapToGrid w:val="0"/>
        <w:spacing w:line="560" w:lineRule="exact"/>
        <w:rPr>
          <w:b/>
          <w:bCs/>
          <w:color w:val="auto"/>
          <w:sz w:val="24"/>
          <w:highlight w:val="none"/>
        </w:rPr>
      </w:pPr>
      <w:r>
        <w:rPr>
          <w:rFonts w:hint="eastAsia"/>
          <w:b/>
          <w:bCs/>
          <w:color w:val="auto"/>
          <w:sz w:val="24"/>
          <w:highlight w:val="none"/>
        </w:rPr>
        <w:t>3.2 详细评审</w:t>
      </w:r>
    </w:p>
    <w:p>
      <w:pPr>
        <w:adjustRightInd w:val="0"/>
        <w:snapToGrid w:val="0"/>
        <w:spacing w:line="560" w:lineRule="exact"/>
        <w:rPr>
          <w:color w:val="auto"/>
          <w:highlight w:val="none"/>
          <w:lang w:val="zh-CN"/>
        </w:rPr>
      </w:pPr>
      <w:r>
        <w:rPr>
          <w:rFonts w:hint="eastAsia"/>
          <w:color w:val="auto"/>
          <w:highlight w:val="none"/>
        </w:rPr>
        <w:t xml:space="preserve">3.2.1 </w:t>
      </w:r>
      <w:r>
        <w:rPr>
          <w:rFonts w:hint="eastAsia"/>
          <w:color w:val="auto"/>
          <w:highlight w:val="none"/>
          <w:lang w:val="zh-CN"/>
        </w:rPr>
        <w:t>评标委员会按本章</w:t>
      </w:r>
      <w:r>
        <w:rPr>
          <w:rFonts w:hint="eastAsia"/>
          <w:color w:val="auto"/>
          <w:highlight w:val="none"/>
          <w:lang w:val="en-US" w:eastAsia="zh-CN"/>
        </w:rPr>
        <w:t>的</w:t>
      </w:r>
      <w:r>
        <w:rPr>
          <w:rFonts w:hint="eastAsia"/>
          <w:color w:val="auto"/>
          <w:highlight w:val="none"/>
          <w:lang w:val="zh-CN"/>
        </w:rPr>
        <w:t>评分标准进行打分，并计算出综合评审得分。</w:t>
      </w:r>
    </w:p>
    <w:p>
      <w:pPr>
        <w:adjustRightInd w:val="0"/>
        <w:snapToGrid w:val="0"/>
        <w:spacing w:line="560" w:lineRule="exact"/>
        <w:rPr>
          <w:color w:val="auto"/>
          <w:highlight w:val="none"/>
          <w:lang w:val="zh-CN"/>
        </w:rPr>
      </w:pPr>
      <w:r>
        <w:rPr>
          <w:rFonts w:hint="eastAsia"/>
          <w:color w:val="auto"/>
          <w:highlight w:val="none"/>
        </w:rPr>
        <w:t xml:space="preserve">3.2.2 </w:t>
      </w:r>
      <w:r>
        <w:rPr>
          <w:rFonts w:hint="eastAsia"/>
          <w:color w:val="auto"/>
          <w:highlight w:val="none"/>
          <w:lang w:val="zh-CN"/>
        </w:rPr>
        <w:t>评标委员会发现投标人的投标总报价</w:t>
      </w:r>
      <w:r>
        <w:rPr>
          <w:rFonts w:hint="eastAsia"/>
          <w:color w:val="auto"/>
          <w:highlight w:val="none"/>
        </w:rPr>
        <w:t>高</w:t>
      </w:r>
      <w:r>
        <w:rPr>
          <w:rFonts w:hint="eastAsia"/>
          <w:color w:val="auto"/>
          <w:highlight w:val="none"/>
          <w:lang w:val="zh-CN"/>
        </w:rPr>
        <w:t>于</w:t>
      </w:r>
      <w:r>
        <w:rPr>
          <w:rFonts w:hint="eastAsia"/>
          <w:color w:val="auto"/>
          <w:highlight w:val="none"/>
        </w:rPr>
        <w:t>招标文件规定的控制价</w:t>
      </w:r>
      <w:r>
        <w:rPr>
          <w:rFonts w:hint="eastAsia"/>
          <w:color w:val="auto"/>
          <w:highlight w:val="none"/>
          <w:lang w:val="zh-CN"/>
        </w:rPr>
        <w:t>，评标委员会应按无效投标处理。</w:t>
      </w:r>
    </w:p>
    <w:p>
      <w:pPr>
        <w:adjustRightInd w:val="0"/>
        <w:snapToGrid w:val="0"/>
        <w:spacing w:line="560" w:lineRule="exact"/>
        <w:rPr>
          <w:b/>
          <w:bCs/>
          <w:color w:val="auto"/>
          <w:sz w:val="24"/>
          <w:highlight w:val="none"/>
        </w:rPr>
      </w:pPr>
      <w:r>
        <w:rPr>
          <w:rFonts w:hint="eastAsia"/>
          <w:b/>
          <w:bCs/>
          <w:color w:val="auto"/>
          <w:sz w:val="24"/>
          <w:highlight w:val="none"/>
        </w:rPr>
        <w:t>3.3 投标文件的澄清和补正</w:t>
      </w:r>
    </w:p>
    <w:p>
      <w:pPr>
        <w:adjustRightInd w:val="0"/>
        <w:snapToGrid w:val="0"/>
        <w:spacing w:line="560" w:lineRule="exact"/>
        <w:rPr>
          <w:color w:val="auto"/>
          <w:highlight w:val="none"/>
          <w:lang w:val="zh-CN"/>
        </w:rPr>
      </w:pPr>
      <w:r>
        <w:rPr>
          <w:rFonts w:hint="eastAsia"/>
          <w:color w:val="auto"/>
          <w:highlight w:val="none"/>
        </w:rPr>
        <w:t xml:space="preserve">3.3.1 </w:t>
      </w:r>
      <w:r>
        <w:rPr>
          <w:rFonts w:hint="eastAsia"/>
          <w:color w:val="auto"/>
          <w:highlight w:val="none"/>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rPr>
          <w:color w:val="auto"/>
          <w:highlight w:val="none"/>
          <w:lang w:val="zh-CN"/>
        </w:rPr>
      </w:pPr>
      <w:r>
        <w:rPr>
          <w:rFonts w:hint="eastAsia"/>
          <w:color w:val="auto"/>
          <w:highlight w:val="none"/>
        </w:rPr>
        <w:t xml:space="preserve">3.3.2 </w:t>
      </w:r>
      <w:r>
        <w:rPr>
          <w:rFonts w:hint="eastAsia"/>
          <w:color w:val="auto"/>
          <w:highlight w:val="none"/>
          <w:lang w:val="zh-CN"/>
        </w:rPr>
        <w:t>澄清、说明和补正不得改变投标文件的实质性内容（算术性错误修正的除外）。投标人的书面澄清、说明和补正属于投标文件的组成部分。</w:t>
      </w:r>
    </w:p>
    <w:p>
      <w:pPr>
        <w:adjustRightInd w:val="0"/>
        <w:snapToGrid w:val="0"/>
        <w:spacing w:line="560" w:lineRule="exact"/>
        <w:rPr>
          <w:b/>
          <w:bCs/>
          <w:color w:val="auto"/>
          <w:sz w:val="24"/>
          <w:highlight w:val="none"/>
        </w:rPr>
      </w:pPr>
      <w:r>
        <w:rPr>
          <w:rFonts w:hint="eastAsia"/>
          <w:b/>
          <w:bCs/>
          <w:color w:val="auto"/>
          <w:sz w:val="24"/>
          <w:highlight w:val="none"/>
        </w:rPr>
        <w:t>3.4 评标结果</w:t>
      </w:r>
    </w:p>
    <w:p>
      <w:pPr>
        <w:adjustRightInd w:val="0"/>
        <w:snapToGrid w:val="0"/>
        <w:spacing w:line="560" w:lineRule="exact"/>
        <w:rPr>
          <w:rFonts w:hint="eastAsia" w:eastAsia="宋体"/>
          <w:color w:val="auto"/>
          <w:highlight w:val="none"/>
          <w:lang w:val="en-US" w:eastAsia="zh-CN"/>
        </w:rPr>
      </w:pPr>
      <w:r>
        <w:rPr>
          <w:rFonts w:hint="eastAsia"/>
          <w:color w:val="auto"/>
          <w:highlight w:val="none"/>
        </w:rPr>
        <w:t xml:space="preserve">3.4.1 </w:t>
      </w:r>
      <w:r>
        <w:rPr>
          <w:rFonts w:hint="eastAsia"/>
          <w:color w:val="auto"/>
          <w:highlight w:val="none"/>
          <w:lang w:val="zh-CN"/>
        </w:rPr>
        <w:t>投标人得分=投标报价得分+</w:t>
      </w:r>
      <w:r>
        <w:rPr>
          <w:rFonts w:hint="eastAsia"/>
          <w:color w:val="auto"/>
          <w:highlight w:val="none"/>
        </w:rPr>
        <w:t>技术部分得分</w:t>
      </w:r>
      <w:r>
        <w:rPr>
          <w:rFonts w:hint="eastAsia"/>
          <w:color w:val="auto"/>
          <w:highlight w:val="none"/>
          <w:lang w:val="zh-CN"/>
        </w:rPr>
        <w:t>+</w:t>
      </w:r>
      <w:r>
        <w:rPr>
          <w:rFonts w:hint="eastAsia"/>
          <w:color w:val="auto"/>
          <w:highlight w:val="none"/>
        </w:rPr>
        <w:t>商务部分得分</w:t>
      </w:r>
    </w:p>
    <w:p>
      <w:pPr>
        <w:adjustRightInd w:val="0"/>
        <w:snapToGrid w:val="0"/>
        <w:spacing w:line="560" w:lineRule="exact"/>
        <w:rPr>
          <w:color w:val="auto"/>
          <w:highlight w:val="none"/>
          <w:lang w:val="zh-CN"/>
        </w:rPr>
      </w:pPr>
      <w:r>
        <w:rPr>
          <w:rFonts w:hint="eastAsia"/>
          <w:color w:val="auto"/>
          <w:highlight w:val="none"/>
        </w:rPr>
        <w:t>3.4.2</w:t>
      </w:r>
      <w:r>
        <w:rPr>
          <w:rFonts w:hint="eastAsia"/>
          <w:color w:val="auto"/>
          <w:highlight w:val="none"/>
          <w:lang w:val="zh-CN"/>
        </w:rPr>
        <w:t>投标人最终得分为评标委员会完成评审后所有评分的算术平均值，作为该投标人最终得分。</w:t>
      </w:r>
    </w:p>
    <w:p>
      <w:pPr>
        <w:adjustRightInd w:val="0"/>
        <w:snapToGrid w:val="0"/>
        <w:spacing w:line="560" w:lineRule="exact"/>
        <w:rPr>
          <w:color w:val="auto"/>
          <w:highlight w:val="none"/>
          <w:lang w:val="zh-CN"/>
        </w:rPr>
      </w:pPr>
      <w:r>
        <w:rPr>
          <w:rFonts w:hint="eastAsia"/>
          <w:color w:val="auto"/>
          <w:highlight w:val="none"/>
        </w:rPr>
        <w:t xml:space="preserve">3.4.3 </w:t>
      </w:r>
      <w:r>
        <w:rPr>
          <w:rFonts w:hint="eastAsia"/>
          <w:color w:val="auto"/>
          <w:highlight w:val="none"/>
          <w:lang w:val="zh-CN"/>
        </w:rPr>
        <w:t>投标人最终得分相同的，投标报价</w:t>
      </w:r>
      <w:r>
        <w:rPr>
          <w:rFonts w:hint="eastAsia"/>
          <w:color w:val="auto"/>
          <w:highlight w:val="none"/>
        </w:rPr>
        <w:t>低</w:t>
      </w:r>
      <w:r>
        <w:rPr>
          <w:rFonts w:hint="eastAsia"/>
          <w:color w:val="auto"/>
          <w:highlight w:val="none"/>
          <w:lang w:val="zh-CN"/>
        </w:rPr>
        <w:t>的优先，</w:t>
      </w:r>
      <w:r>
        <w:rPr>
          <w:rFonts w:hint="eastAsia"/>
          <w:color w:val="auto"/>
          <w:highlight w:val="none"/>
        </w:rPr>
        <w:t>投标报价也相同的以技术得分高的优先，技术得分也相同的由采购人自行确定</w:t>
      </w:r>
      <w:r>
        <w:rPr>
          <w:rFonts w:hint="eastAsia"/>
          <w:color w:val="auto"/>
          <w:highlight w:val="none"/>
          <w:lang w:val="zh-CN"/>
        </w:rPr>
        <w:t>。</w:t>
      </w:r>
    </w:p>
    <w:p>
      <w:pPr>
        <w:adjustRightInd w:val="0"/>
        <w:snapToGrid w:val="0"/>
        <w:spacing w:line="560" w:lineRule="exact"/>
        <w:rPr>
          <w:color w:val="auto"/>
          <w:highlight w:val="none"/>
          <w:lang w:val="zh-CN"/>
        </w:rPr>
      </w:pPr>
      <w:r>
        <w:rPr>
          <w:rFonts w:hint="eastAsia"/>
          <w:color w:val="auto"/>
          <w:highlight w:val="none"/>
        </w:rPr>
        <w:t xml:space="preserve">3.4.4 </w:t>
      </w:r>
      <w:r>
        <w:rPr>
          <w:rFonts w:hint="eastAsia"/>
          <w:color w:val="auto"/>
          <w:highlight w:val="none"/>
          <w:lang w:val="zh-CN"/>
        </w:rPr>
        <w:t>计分过程中按四舍五入的法则，最终结果取至小数点后两位。</w:t>
      </w:r>
    </w:p>
    <w:p>
      <w:pPr>
        <w:adjustRightInd w:val="0"/>
        <w:snapToGrid w:val="0"/>
        <w:spacing w:line="560" w:lineRule="exact"/>
        <w:rPr>
          <w:color w:val="auto"/>
          <w:highlight w:val="none"/>
          <w:lang w:val="zh-CN"/>
        </w:rPr>
      </w:pPr>
      <w:r>
        <w:rPr>
          <w:rFonts w:hint="eastAsia"/>
          <w:color w:val="auto"/>
          <w:highlight w:val="none"/>
        </w:rPr>
        <w:t xml:space="preserve">3.4.5 </w:t>
      </w:r>
      <w:r>
        <w:rPr>
          <w:rFonts w:hint="eastAsia"/>
          <w:color w:val="auto"/>
          <w:highlight w:val="none"/>
          <w:lang w:val="zh-CN"/>
        </w:rPr>
        <w:t>评标委员会按照得分由高到低的顺序推荐</w:t>
      </w:r>
      <w:r>
        <w:rPr>
          <w:rFonts w:hint="eastAsia"/>
          <w:color w:val="auto"/>
          <w:highlight w:val="none"/>
        </w:rPr>
        <w:t>1-3名</w:t>
      </w:r>
      <w:r>
        <w:rPr>
          <w:rFonts w:hint="eastAsia"/>
          <w:color w:val="auto"/>
          <w:highlight w:val="none"/>
          <w:lang w:val="zh-CN"/>
        </w:rPr>
        <w:t>中标候选人。</w:t>
      </w:r>
    </w:p>
    <w:p>
      <w:pPr>
        <w:adjustRightInd w:val="0"/>
        <w:snapToGrid w:val="0"/>
        <w:spacing w:line="560" w:lineRule="exact"/>
        <w:rPr>
          <w:color w:val="auto"/>
          <w:highlight w:val="none"/>
          <w:lang w:val="zh-CN"/>
        </w:rPr>
      </w:pPr>
      <w:r>
        <w:rPr>
          <w:rFonts w:hint="eastAsia"/>
          <w:color w:val="auto"/>
          <w:highlight w:val="none"/>
        </w:rPr>
        <w:t xml:space="preserve">3.4.6 </w:t>
      </w:r>
      <w:r>
        <w:rPr>
          <w:rFonts w:hint="eastAsia"/>
          <w:color w:val="auto"/>
          <w:highlight w:val="none"/>
          <w:lang w:val="zh-CN"/>
        </w:rPr>
        <w:t>评标委员会完成评标后，应当向采购人提交书面评标报告。</w:t>
      </w:r>
    </w:p>
    <w:p>
      <w:pPr>
        <w:adjustRightInd w:val="0"/>
        <w:snapToGrid w:val="0"/>
        <w:spacing w:line="560" w:lineRule="exact"/>
        <w:rPr>
          <w:b/>
          <w:bCs/>
          <w:color w:val="auto"/>
          <w:sz w:val="24"/>
          <w:highlight w:val="none"/>
          <w:lang w:val="zh-CN"/>
        </w:rPr>
      </w:pPr>
      <w:r>
        <w:rPr>
          <w:rFonts w:hint="eastAsia"/>
          <w:b/>
          <w:bCs/>
          <w:color w:val="auto"/>
          <w:sz w:val="24"/>
          <w:highlight w:val="none"/>
        </w:rPr>
        <w:t xml:space="preserve">3.5 </w:t>
      </w:r>
      <w:r>
        <w:rPr>
          <w:rFonts w:hint="eastAsia"/>
          <w:b/>
          <w:bCs/>
          <w:color w:val="auto"/>
          <w:sz w:val="24"/>
          <w:highlight w:val="none"/>
          <w:lang w:val="zh-CN"/>
        </w:rPr>
        <w:t>顺延中标人或重新招标</w:t>
      </w:r>
    </w:p>
    <w:p>
      <w:pPr>
        <w:adjustRightInd w:val="0"/>
        <w:snapToGrid w:val="0"/>
        <w:spacing w:line="560" w:lineRule="exact"/>
        <w:rPr>
          <w:color w:val="auto"/>
          <w:highlight w:val="none"/>
          <w:lang w:val="zh-CN"/>
        </w:rPr>
      </w:pPr>
      <w:r>
        <w:rPr>
          <w:rFonts w:hint="eastAsia"/>
          <w:color w:val="auto"/>
          <w:highlight w:val="none"/>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rPr>
          <w:b/>
          <w:bCs/>
          <w:color w:val="auto"/>
          <w:sz w:val="24"/>
          <w:highlight w:val="none"/>
        </w:rPr>
      </w:pPr>
      <w:bookmarkStart w:id="250" w:name="_Toc28863"/>
      <w:bookmarkStart w:id="251" w:name="_Toc17922"/>
      <w:bookmarkStart w:id="252" w:name="_Toc16293"/>
      <w:bookmarkStart w:id="253" w:name="_Toc19590"/>
      <w:bookmarkStart w:id="254" w:name="_Toc11630"/>
      <w:bookmarkStart w:id="255" w:name="_Toc7468"/>
      <w:bookmarkStart w:id="256" w:name="_Toc54"/>
      <w:r>
        <w:rPr>
          <w:rFonts w:hint="eastAsia"/>
          <w:b/>
          <w:bCs/>
          <w:color w:val="auto"/>
          <w:sz w:val="24"/>
          <w:highlight w:val="none"/>
        </w:rPr>
        <w:t>3.6 保密及其他注意事项</w:t>
      </w:r>
      <w:bookmarkEnd w:id="250"/>
      <w:bookmarkEnd w:id="251"/>
      <w:bookmarkEnd w:id="252"/>
      <w:bookmarkEnd w:id="253"/>
      <w:bookmarkEnd w:id="254"/>
      <w:bookmarkEnd w:id="255"/>
      <w:bookmarkEnd w:id="256"/>
    </w:p>
    <w:p>
      <w:pPr>
        <w:adjustRightInd w:val="0"/>
        <w:snapToGrid w:val="0"/>
        <w:spacing w:line="560" w:lineRule="exact"/>
        <w:rPr>
          <w:color w:val="auto"/>
          <w:highlight w:val="none"/>
          <w:lang w:val="zh-CN"/>
        </w:rPr>
      </w:pPr>
      <w:r>
        <w:rPr>
          <w:rFonts w:hint="eastAsia"/>
          <w:color w:val="auto"/>
          <w:highlight w:val="none"/>
        </w:rPr>
        <w:t xml:space="preserve">3.6.1 </w:t>
      </w:r>
      <w:r>
        <w:rPr>
          <w:rFonts w:hint="eastAsia"/>
          <w:color w:val="auto"/>
          <w:highlight w:val="none"/>
          <w:lang w:val="zh-CN"/>
        </w:rPr>
        <w:t>在评标期间，投标企业不得向评标委员会成员询问评标情况，不得进行旨在影响中标结果的活动。</w:t>
      </w:r>
    </w:p>
    <w:p>
      <w:pPr>
        <w:adjustRightInd w:val="0"/>
        <w:snapToGrid w:val="0"/>
        <w:spacing w:line="560" w:lineRule="exact"/>
        <w:rPr>
          <w:color w:val="auto"/>
          <w:highlight w:val="none"/>
          <w:lang w:val="zh-CN"/>
        </w:rPr>
      </w:pPr>
      <w:r>
        <w:rPr>
          <w:rFonts w:hint="eastAsia"/>
          <w:color w:val="auto"/>
          <w:highlight w:val="none"/>
        </w:rPr>
        <w:t xml:space="preserve">3.6.2 </w:t>
      </w:r>
      <w:r>
        <w:rPr>
          <w:rFonts w:hint="eastAsia"/>
          <w:color w:val="auto"/>
          <w:highlight w:val="none"/>
          <w:lang w:val="zh-CN"/>
        </w:rPr>
        <w:t>在评标结束后，凡与评标情况有接触的任何人不得也不应将评标情况扩散出评标委员会成员之外。</w:t>
      </w:r>
    </w:p>
    <w:p>
      <w:pPr>
        <w:adjustRightInd w:val="0"/>
        <w:snapToGrid w:val="0"/>
        <w:spacing w:line="560" w:lineRule="exact"/>
        <w:rPr>
          <w:rFonts w:ascii="方正小标宋简体" w:hAnsi="方正小标宋简体" w:eastAsia="方正小标宋简体" w:cs="方正小标宋简体"/>
          <w:color w:val="auto"/>
          <w:sz w:val="44"/>
          <w:szCs w:val="44"/>
          <w:highlight w:val="none"/>
        </w:rPr>
      </w:pPr>
      <w:r>
        <w:rPr>
          <w:rFonts w:hint="eastAsia"/>
          <w:color w:val="auto"/>
          <w:highlight w:val="none"/>
        </w:rPr>
        <w:t>3.6.3</w:t>
      </w:r>
      <w:r>
        <w:rPr>
          <w:rFonts w:hint="eastAsia"/>
          <w:color w:val="auto"/>
          <w:highlight w:val="none"/>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bCs/>
          <w:color w:val="auto"/>
          <w:kern w:val="0"/>
          <w:szCs w:val="21"/>
          <w:highlight w:val="none"/>
        </w:rPr>
        <w:br w:type="page"/>
      </w:r>
    </w:p>
    <w:p>
      <w:pPr>
        <w:pStyle w:val="20"/>
        <w:numPr>
          <w:ilvl w:val="0"/>
          <w:numId w:val="7"/>
        </w:numPr>
        <w:spacing w:line="600" w:lineRule="exact"/>
        <w:ind w:left="0" w:leftChars="0" w:right="-63" w:rightChars="-30" w:firstLine="0" w:firstLineChars="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 </w:t>
      </w:r>
      <w:bookmarkStart w:id="257" w:name="_Toc7325"/>
      <w:r>
        <w:rPr>
          <w:rFonts w:hint="eastAsia" w:asciiTheme="minorEastAsia" w:hAnsiTheme="minorEastAsia" w:eastAsiaTheme="minorEastAsia" w:cstheme="minorEastAsia"/>
          <w:color w:val="auto"/>
          <w:sz w:val="36"/>
          <w:szCs w:val="36"/>
          <w:highlight w:val="none"/>
        </w:rPr>
        <w:t>合同条款及格式</w:t>
      </w:r>
      <w:bookmarkEnd w:id="233"/>
      <w:bookmarkEnd w:id="234"/>
      <w:bookmarkEnd w:id="235"/>
      <w:bookmarkEnd w:id="257"/>
    </w:p>
    <w:p>
      <w:pPr>
        <w:numPr>
          <w:ilvl w:val="0"/>
          <w:numId w:val="0"/>
        </w:numPr>
        <w:ind w:leftChars="0"/>
        <w:rPr>
          <w:rFonts w:hint="default" w:eastAsia="宋体"/>
          <w:color w:val="auto"/>
          <w:highlight w:val="none"/>
          <w:lang w:val="en-US" w:eastAsia="zh-CN"/>
        </w:rPr>
      </w:pPr>
      <w:r>
        <w:rPr>
          <w:rFonts w:hint="eastAsia"/>
          <w:color w:val="auto"/>
          <w:highlight w:val="none"/>
          <w:lang w:val="en-US" w:eastAsia="zh-CN"/>
        </w:rPr>
        <w:t xml:space="preserve">                                 </w:t>
      </w:r>
      <w:r>
        <w:rPr>
          <w:rFonts w:hint="eastAsia"/>
          <w:b/>
          <w:bCs/>
          <w:color w:val="auto"/>
          <w:highlight w:val="none"/>
          <w:lang w:val="en-US" w:eastAsia="zh-CN"/>
        </w:rPr>
        <w:t xml:space="preserve">  （仅供参考）</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color w:val="auto"/>
          <w:sz w:val="24"/>
          <w:szCs w:val="24"/>
          <w:highlight w:val="none"/>
        </w:rPr>
      </w:pPr>
      <w:bookmarkStart w:id="258" w:name="_Toc12807"/>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甲方：（采购单位）</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乙方：（供应商 ）</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甲、乙双方持采购人、采购代理公司签发的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采购项目成交通知书，根据</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文件、响应性文件的内容，并经双方协商一致，达成以下合同条款：</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一、本合同所指货物为此次采购的货物（注明品名、规格、数量、单价等技术要求），合同总价款为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二、货物质量要求及乙方对质量负责条件和期限：</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乙方提供的货物达到乙方响应文件及澄清中的技术标准。（售后服务要求按</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文件及响应性文件相应条款制订）</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三、交货时间、地点、方式、验收：</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乙方应于202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年 月 日前按甲方要求在</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（甲方指定地点）将货物运送达到验收条件。货物运送产生的费用由乙方负责。由甲方组织相关人员进行验收。</w:t>
      </w:r>
    </w:p>
    <w:p>
      <w:pPr>
        <w:pageBreakBefore w:val="0"/>
        <w:numPr>
          <w:ilvl w:val="0"/>
          <w:numId w:val="11"/>
        </w:numPr>
        <w:kinsoku/>
        <w:wordWrap/>
        <w:overflowPunct/>
        <w:topLinePunct w:val="0"/>
        <w:bidi w:val="0"/>
        <w:adjustRightInd w:val="0"/>
        <w:spacing w:beforeAutospacing="0" w:afterAutospacing="0" w:line="360" w:lineRule="auto"/>
        <w:ind w:left="-60" w:leftChars="0" w:firstLine="480" w:firstLineChars="0"/>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付款方式</w:t>
      </w:r>
      <w:r>
        <w:rPr>
          <w:rFonts w:hint="eastAsia" w:asciiTheme="minorEastAsia" w:hAnsiTheme="minorEastAsia" w:eastAsiaTheme="minorEastAsia" w:cstheme="minorEastAsia"/>
          <w:color w:val="auto"/>
          <w:sz w:val="21"/>
          <w:szCs w:val="21"/>
          <w:highlight w:val="none"/>
          <w:lang w:val="en-US" w:eastAsia="zh-CN"/>
        </w:rPr>
        <w:t>：供货完毕货物验收合格后，支付总价款的95%，剩余5%作为质保金，质保期结束后无任何质量问题一次性无息支付。</w:t>
      </w:r>
    </w:p>
    <w:p>
      <w:pPr>
        <w:pageBreakBefore w:val="0"/>
        <w:numPr>
          <w:ilvl w:val="0"/>
          <w:numId w:val="11"/>
        </w:numPr>
        <w:kinsoku/>
        <w:wordWrap/>
        <w:overflowPunct/>
        <w:topLinePunct w:val="0"/>
        <w:bidi w:val="0"/>
        <w:adjustRightInd w:val="0"/>
        <w:spacing w:beforeAutospacing="0" w:afterAutospacing="0" w:line="360" w:lineRule="auto"/>
        <w:ind w:left="-60" w:leftChars="0" w:firstLine="480" w:firstLineChars="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违约责任：甲方无正当理由拒收货物、拒付货款的，向乙方偿付拒收拒付部分货物款总额的________违约金。</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乙方所交货物的规格型号、技术要求、质量品质等不符合合同规定，甲方有权拒收货物，乙方应负责更换并承担因更换而支付的全部实际费用。因更换而造成逾期交货，则按逾期交货处理。</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乙方不能交付货物的，乙方向甲方支付未交付部分货物款总额____违约金。</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若因中标人原因不能按期按质供货的，将扣除中标人2万元的违约金，同时每超过一天另扣除合同金额的千分之一。</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六、因货物的质量问题发生争议，由甲方所在地市级技术监督单位进行质量鉴定。</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七、甲乙双方应严格遵守投标要求和供应商须知，如有违反，按投标要求和供应商须知规定予以处理。</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八、</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文件及其修改补充、投标文件及其修改补充澄清均为本合同的组成部分。</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十、合同生效及其它：</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本合同经甲、乙双方代表签字、加盖公章和骑缝章后生效。本合同一式五份，甲乙双方各持两份。</w:t>
      </w:r>
      <w:r>
        <w:rPr>
          <w:rFonts w:hint="eastAsia" w:asciiTheme="minorEastAsia" w:hAnsiTheme="minorEastAsia" w:eastAsiaTheme="minorEastAsia" w:cstheme="minorEastAsia"/>
          <w:color w:val="auto"/>
          <w:sz w:val="21"/>
          <w:szCs w:val="21"/>
          <w:highlight w:val="none"/>
          <w:lang w:val="en-US" w:eastAsia="zh-CN"/>
        </w:rPr>
        <w:t>合同签订后在2个工作日内，采购人将合同在焦作市政府采购网公示并备案。</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 xml:space="preserve">              甲方：</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 xml:space="preserve">              地址：</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                   法定代表人：</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                   委托代理人：</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 xml:space="preserve">                         电话：</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 xml:space="preserve">                  开户银行：</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银行账号：</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 xml:space="preserve">                  银行账号：</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签约时间：                     签约地点：</w:t>
      </w:r>
    </w:p>
    <w:p>
      <w:pPr>
        <w:pageBreakBefore w:val="0"/>
        <w:kinsoku/>
        <w:wordWrap/>
        <w:overflowPunct/>
        <w:topLinePunct w:val="0"/>
        <w:bidi w:val="0"/>
        <w:adjustRightInd w:val="0"/>
        <w:spacing w:beforeAutospacing="0" w:afterAutospacing="0" w:line="360" w:lineRule="auto"/>
        <w:ind w:firstLine="420" w:firstLineChars="200"/>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重要提示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rPr>
        <w:t>以上合同文本</w:t>
      </w:r>
      <w:r>
        <w:rPr>
          <w:rFonts w:hint="eastAsia" w:asciiTheme="minorEastAsia" w:hAnsiTheme="minorEastAsia" w:eastAsiaTheme="minorEastAsia" w:cstheme="minorEastAsia"/>
          <w:b/>
          <w:bCs/>
          <w:color w:val="auto"/>
          <w:sz w:val="21"/>
          <w:szCs w:val="21"/>
          <w:highlight w:val="none"/>
          <w:lang w:val="en-US" w:eastAsia="zh-CN"/>
        </w:rPr>
        <w:t>作为签订合同的重要依据，涉及付款方式、供应商名称等实质性内容不得变更。</w:t>
      </w:r>
    </w:p>
    <w:p>
      <w:pPr>
        <w:pStyle w:val="9"/>
        <w:jc w:val="center"/>
        <w:outlineLvl w:val="0"/>
        <w:rPr>
          <w:rFonts w:hint="eastAsia" w:asciiTheme="minorEastAsia" w:hAnsiTheme="minorEastAsia" w:eastAsiaTheme="minorEastAsia" w:cstheme="minorEastAsia"/>
          <w:b/>
          <w:bCs/>
          <w:color w:val="auto"/>
          <w:sz w:val="21"/>
          <w:szCs w:val="21"/>
          <w:highlight w:val="none"/>
        </w:rPr>
      </w:pPr>
    </w:p>
    <w:p>
      <w:pPr>
        <w:pStyle w:val="9"/>
        <w:jc w:val="center"/>
        <w:outlineLvl w:val="0"/>
        <w:rPr>
          <w:rFonts w:hint="eastAsia" w:asciiTheme="minorEastAsia" w:hAnsiTheme="minorEastAsia" w:eastAsiaTheme="minorEastAsia" w:cstheme="minorEastAsia"/>
          <w:b/>
          <w:bCs/>
          <w:color w:val="auto"/>
          <w:sz w:val="21"/>
          <w:szCs w:val="21"/>
          <w:highlight w:val="none"/>
        </w:rPr>
      </w:pPr>
    </w:p>
    <w:p>
      <w:pPr>
        <w:pStyle w:val="9"/>
        <w:jc w:val="center"/>
        <w:outlineLvl w:val="0"/>
        <w:rPr>
          <w:rFonts w:hint="eastAsia" w:asciiTheme="minorEastAsia" w:hAnsiTheme="minorEastAsia" w:eastAsiaTheme="minorEastAsia" w:cstheme="minorEastAsia"/>
          <w:b/>
          <w:bCs/>
          <w:color w:val="auto"/>
          <w:sz w:val="21"/>
          <w:szCs w:val="21"/>
          <w:highlight w:val="none"/>
        </w:rPr>
      </w:pPr>
    </w:p>
    <w:p>
      <w:pPr>
        <w:pStyle w:val="9"/>
        <w:jc w:val="center"/>
        <w:outlineLvl w:val="0"/>
        <w:rPr>
          <w:rFonts w:hint="eastAsia" w:asciiTheme="minorEastAsia" w:hAnsiTheme="minorEastAsia" w:eastAsiaTheme="minorEastAsia" w:cstheme="minorEastAsia"/>
          <w:b/>
          <w:bCs/>
          <w:color w:val="auto"/>
          <w:sz w:val="21"/>
          <w:szCs w:val="21"/>
          <w:highlight w:val="none"/>
        </w:rPr>
      </w:pPr>
    </w:p>
    <w:p>
      <w:pPr>
        <w:pStyle w:val="9"/>
        <w:jc w:val="center"/>
        <w:outlineLvl w:val="0"/>
        <w:rPr>
          <w:rFonts w:hint="eastAsia" w:asciiTheme="minorEastAsia" w:hAnsiTheme="minorEastAsia" w:eastAsiaTheme="minorEastAsia" w:cstheme="minorEastAsia"/>
          <w:b/>
          <w:bCs/>
          <w:color w:val="auto"/>
          <w:sz w:val="21"/>
          <w:szCs w:val="21"/>
          <w:highlight w:val="none"/>
        </w:rPr>
      </w:pPr>
    </w:p>
    <w:p>
      <w:pPr>
        <w:pStyle w:val="9"/>
        <w:jc w:val="center"/>
        <w:outlineLvl w:val="0"/>
        <w:rPr>
          <w:rFonts w:hint="eastAsia" w:asciiTheme="minorEastAsia" w:hAnsiTheme="minorEastAsia" w:eastAsiaTheme="minorEastAsia" w:cstheme="minorEastAsia"/>
          <w:b/>
          <w:bCs/>
          <w:color w:val="auto"/>
          <w:sz w:val="21"/>
          <w:szCs w:val="21"/>
          <w:highlight w:val="none"/>
        </w:rPr>
      </w:pPr>
    </w:p>
    <w:p>
      <w:pPr>
        <w:pStyle w:val="9"/>
        <w:jc w:val="center"/>
        <w:outlineLvl w:val="0"/>
        <w:rPr>
          <w:rFonts w:hint="eastAsia" w:asciiTheme="minorEastAsia" w:hAnsiTheme="minorEastAsia" w:eastAsiaTheme="minorEastAsia" w:cstheme="minorEastAsia"/>
          <w:b/>
          <w:bCs/>
          <w:color w:val="auto"/>
          <w:sz w:val="21"/>
          <w:szCs w:val="21"/>
          <w:highlight w:val="none"/>
        </w:rPr>
      </w:pPr>
    </w:p>
    <w:p>
      <w:pPr>
        <w:pStyle w:val="9"/>
        <w:jc w:val="center"/>
        <w:outlineLvl w:val="0"/>
        <w:rPr>
          <w:rFonts w:hint="eastAsia"/>
          <w:b/>
          <w:bCs/>
          <w:color w:val="auto"/>
          <w:sz w:val="32"/>
          <w:szCs w:val="32"/>
          <w:highlight w:val="none"/>
        </w:rPr>
      </w:pPr>
    </w:p>
    <w:p>
      <w:pPr>
        <w:pStyle w:val="9"/>
        <w:jc w:val="center"/>
        <w:outlineLvl w:val="0"/>
        <w:rPr>
          <w:rFonts w:hint="eastAsia"/>
          <w:b/>
          <w:bCs/>
          <w:color w:val="auto"/>
          <w:sz w:val="32"/>
          <w:szCs w:val="32"/>
          <w:highlight w:val="none"/>
        </w:rPr>
      </w:pPr>
      <w:bookmarkStart w:id="259" w:name="_Toc18967"/>
      <w:r>
        <w:rPr>
          <w:rFonts w:hint="eastAsia"/>
          <w:b/>
          <w:bCs/>
          <w:color w:val="auto"/>
          <w:sz w:val="32"/>
          <w:szCs w:val="32"/>
          <w:highlight w:val="none"/>
        </w:rPr>
        <w:t>第五章</w:t>
      </w:r>
      <w:bookmarkEnd w:id="259"/>
      <w:r>
        <w:rPr>
          <w:rFonts w:hint="eastAsia"/>
          <w:b/>
          <w:bCs/>
          <w:color w:val="auto"/>
          <w:sz w:val="32"/>
          <w:szCs w:val="32"/>
          <w:highlight w:val="none"/>
          <w:lang w:val="en-US" w:eastAsia="zh-CN"/>
        </w:rPr>
        <w:t xml:space="preserve">   </w:t>
      </w:r>
      <w:r>
        <w:rPr>
          <w:rFonts w:hint="eastAsia"/>
          <w:b/>
          <w:bCs/>
          <w:color w:val="auto"/>
          <w:sz w:val="32"/>
          <w:szCs w:val="32"/>
          <w:highlight w:val="none"/>
        </w:rPr>
        <w:t>采购需求及</w:t>
      </w:r>
      <w:r>
        <w:rPr>
          <w:rFonts w:hint="eastAsia"/>
          <w:b/>
          <w:bCs/>
          <w:color w:val="auto"/>
          <w:sz w:val="32"/>
          <w:szCs w:val="32"/>
          <w:highlight w:val="none"/>
          <w:lang w:val="en-US" w:eastAsia="zh-CN"/>
        </w:rPr>
        <w:t>技术</w:t>
      </w:r>
      <w:r>
        <w:rPr>
          <w:rFonts w:hint="eastAsia"/>
          <w:b/>
          <w:bCs/>
          <w:color w:val="auto"/>
          <w:sz w:val="32"/>
          <w:szCs w:val="32"/>
          <w:highlight w:val="none"/>
        </w:rPr>
        <w:t>参数</w:t>
      </w:r>
      <w:r>
        <w:rPr>
          <w:rFonts w:hint="eastAsia"/>
          <w:b/>
          <w:bCs/>
          <w:color w:val="auto"/>
          <w:sz w:val="32"/>
          <w:szCs w:val="32"/>
          <w:highlight w:val="none"/>
          <w:lang w:val="en-US" w:eastAsia="zh-CN"/>
        </w:rPr>
        <w:t>要求</w:t>
      </w:r>
    </w:p>
    <w:tbl>
      <w:tblPr>
        <w:tblStyle w:val="22"/>
        <w:tblW w:w="8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9"/>
        <w:gridCol w:w="1225"/>
        <w:gridCol w:w="4578"/>
        <w:gridCol w:w="796"/>
        <w:gridCol w:w="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序号</w:t>
            </w:r>
          </w:p>
        </w:tc>
        <w:tc>
          <w:tcPr>
            <w:tcW w:w="12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名称</w:t>
            </w:r>
          </w:p>
        </w:tc>
        <w:tc>
          <w:tcPr>
            <w:tcW w:w="45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参数</w:t>
            </w:r>
          </w:p>
        </w:tc>
        <w:tc>
          <w:tcPr>
            <w:tcW w:w="7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9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p>
        </w:tc>
        <w:tc>
          <w:tcPr>
            <w:tcW w:w="12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风力灭火机</w:t>
            </w:r>
          </w:p>
        </w:tc>
        <w:tc>
          <w:tcPr>
            <w:tcW w:w="45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发动机型式：二冲程风冷环保发动机</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2.发动机功率：≥3.0kW/7000r/min</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3.发动机排量：≤75.6cc </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4.有效灭火距离：≥1.91m</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5.风机出风口风量：≥0.49m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/s</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.手感振动：≤1.9m/s</w:t>
            </w:r>
            <w:r>
              <w:rPr>
                <w:rFonts w:hint="eastAsia" w:asciiTheme="minorEastAsia" w:hAnsiTheme="minorEastAsia" w:eastAsiaTheme="minorEastAsia" w:cstheme="minorEastAsia"/>
                <w:sz w:val="21"/>
                <w:szCs w:val="21"/>
                <w:vertAlign w:val="superscript"/>
              </w:rPr>
              <w:t>2</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7.常温启动时间：≤5s</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8.一次加油连续工作时间：≥95min</w:t>
            </w:r>
          </w:p>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9.整机净重：≤9.8kg</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.油管全包围结构，</w:t>
            </w:r>
            <w:r>
              <w:rPr>
                <w:rFonts w:hint="eastAsia" w:asciiTheme="minorEastAsia" w:hAnsiTheme="minorEastAsia" w:eastAsiaTheme="minorEastAsia" w:cstheme="minorEastAsia"/>
                <w:sz w:val="21"/>
                <w:szCs w:val="21"/>
                <w:lang w:val="en-US" w:eastAsia="zh-CN"/>
              </w:rPr>
              <w:t>满足</w:t>
            </w:r>
            <w:r>
              <w:rPr>
                <w:rFonts w:hint="eastAsia" w:asciiTheme="minorEastAsia" w:hAnsiTheme="minorEastAsia" w:eastAsiaTheme="minorEastAsia" w:cstheme="minorEastAsia"/>
                <w:sz w:val="21"/>
                <w:szCs w:val="21"/>
              </w:rPr>
              <w:t>防护要求；</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.风筒前端为不锈钢材质，与次节风筒连接方式为金属风筒嵌入式，满足苛刻环境工况使用。</w:t>
            </w:r>
          </w:p>
          <w:p>
            <w:pPr>
              <w:adjustRightInd w:val="0"/>
              <w:snapToGrid w:val="0"/>
              <w:spacing w:line="360"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具有省级及以上</w:t>
            </w:r>
            <w:r>
              <w:rPr>
                <w:rFonts w:hint="eastAsia" w:asciiTheme="minorEastAsia" w:hAnsiTheme="minorEastAsia" w:eastAsiaTheme="minorEastAsia" w:cstheme="minorEastAsia"/>
                <w:sz w:val="21"/>
                <w:szCs w:val="21"/>
              </w:rPr>
              <w:t>权威机构的检测报告（原件备查）</w:t>
            </w:r>
          </w:p>
        </w:tc>
        <w:tc>
          <w:tcPr>
            <w:tcW w:w="7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p>
        </w:tc>
        <w:tc>
          <w:tcPr>
            <w:tcW w:w="12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油锯</w:t>
            </w:r>
          </w:p>
        </w:tc>
        <w:tc>
          <w:tcPr>
            <w:tcW w:w="45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发动机型式：二冲程环保风冷发动机</w:t>
            </w:r>
          </w:p>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2.标定功率：≥2.6kw</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3.最低燃油消耗率：≤525g/kW.h</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4.主机比质量：≥1.8kg/kW</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5.锯切效率：≥78cm</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/s</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6.最高链速：≥21m/s</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7.发动机最高转速：≥11000rpm</w:t>
            </w:r>
          </w:p>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8.一体式手把，结构稳定，重量轻；</w:t>
            </w:r>
          </w:p>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9.加减速性能好，可360°翻转使用，满足各种复杂工况</w:t>
            </w:r>
          </w:p>
          <w:p>
            <w:pPr>
              <w:adjustRightInd w:val="0"/>
              <w:snapToGrid w:val="0"/>
              <w:spacing w:line="360"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lang w:eastAsia="zh-CN"/>
              </w:rPr>
              <w:t>具有省级及以上</w:t>
            </w:r>
            <w:r>
              <w:rPr>
                <w:rFonts w:hint="eastAsia" w:asciiTheme="minorEastAsia" w:hAnsiTheme="minorEastAsia" w:eastAsiaTheme="minorEastAsia" w:cstheme="minorEastAsia"/>
                <w:sz w:val="21"/>
                <w:szCs w:val="21"/>
              </w:rPr>
              <w:t>权威机构的检测报告（原件备查）</w:t>
            </w:r>
          </w:p>
        </w:tc>
        <w:tc>
          <w:tcPr>
            <w:tcW w:w="7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9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w:t>
            </w:r>
          </w:p>
        </w:tc>
        <w:tc>
          <w:tcPr>
            <w:tcW w:w="12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割灌机</w:t>
            </w:r>
          </w:p>
        </w:tc>
        <w:tc>
          <w:tcPr>
            <w:tcW w:w="45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1.发动机型式：二冲程风冷环保型发动机；</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2.发动机功率：≥1.5kw/7500rpm</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3.常温启动时间：≤5s</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4.硬轴杆部材质为40Cr，硬轴两端连接位置为20CrMo渗碳</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5.净质量：≤6.8kg</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6.产品耐久时间：≥300h</w:t>
            </w:r>
          </w:p>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7.机器双滤芯过滤系统，满足苛刻环境下使用；</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8.采用进口高强度、高精度传动零件，运转强劲平稳；</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9.机器可360°旋转使用，不熄火</w:t>
            </w:r>
          </w:p>
          <w:p>
            <w:pPr>
              <w:adjustRightInd w:val="0"/>
              <w:snapToGrid w:val="0"/>
              <w:spacing w:line="360"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lang w:eastAsia="zh-CN"/>
              </w:rPr>
              <w:t>具有省级及以上</w:t>
            </w:r>
            <w:r>
              <w:rPr>
                <w:rFonts w:hint="eastAsia" w:asciiTheme="minorEastAsia" w:hAnsiTheme="minorEastAsia" w:eastAsiaTheme="minorEastAsia" w:cstheme="minorEastAsia"/>
                <w:sz w:val="21"/>
                <w:szCs w:val="21"/>
              </w:rPr>
              <w:t>权威机构的检测报告（原件备查）</w:t>
            </w:r>
          </w:p>
        </w:tc>
        <w:tc>
          <w:tcPr>
            <w:tcW w:w="7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9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w:t>
            </w:r>
          </w:p>
        </w:tc>
        <w:tc>
          <w:tcPr>
            <w:tcW w:w="12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清火组合</w:t>
            </w:r>
          </w:p>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工具</w:t>
            </w:r>
          </w:p>
        </w:tc>
        <w:tc>
          <w:tcPr>
            <w:tcW w:w="45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1.工具包防潮材料、防火迷彩帆布，能合理放置以上7种工具。</w:t>
            </w:r>
          </w:p>
          <w:p>
            <w:pPr>
              <w:adjustRightInd w:val="0"/>
              <w:snapToGrid w:val="0"/>
              <w:spacing w:line="360"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2.工具包采用防雨牛津布。有背带。公母钉加固。</w:t>
            </w:r>
          </w:p>
          <w:p>
            <w:pPr>
              <w:adjustRightInd w:val="0"/>
              <w:snapToGrid w:val="0"/>
              <w:spacing w:line="360"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3.活动手柄：2节，可单独使用也可连接使用，可与锹、拍子、耙子任意组合使用。</w:t>
            </w:r>
          </w:p>
          <w:p>
            <w:pPr>
              <w:adjustRightInd w:val="0"/>
              <w:snapToGrid w:val="0"/>
              <w:spacing w:line="360"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4.锹硬度（HRG）A级≥40；锹淬火区域≥身长2/3；钢锹在400N静载荷作用下，允许永久变形量≤2；锹镐合一。</w:t>
            </w:r>
          </w:p>
          <w:p>
            <w:pPr>
              <w:adjustRightInd w:val="0"/>
              <w:snapToGrid w:val="0"/>
              <w:spacing w:line="360"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5.砍刀：组合砍刀：重量≥0.75KG，刀长≥300mm，刀背厚≥4.5mm，有镰刀头，可割小灌木。</w:t>
            </w:r>
          </w:p>
          <w:p>
            <w:pPr>
              <w:adjustRightInd w:val="0"/>
              <w:snapToGrid w:val="0"/>
              <w:spacing w:line="360"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6.斧子：锻钢制造，重量≥0.76kg，刃宽40mm，可切割。手柄为木柄，牢固可靠。</w:t>
            </w:r>
          </w:p>
          <w:p>
            <w:pPr>
              <w:adjustRightInd w:val="0"/>
              <w:snapToGrid w:val="0"/>
              <w:spacing w:line="360"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7.手锯：组合锯：鱼头锯，长400mm，锯齿厚≥0.6mm。</w:t>
            </w:r>
          </w:p>
          <w:p>
            <w:pPr>
              <w:adjustRightInd w:val="0"/>
              <w:snapToGrid w:val="0"/>
              <w:spacing w:line="360"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8.拍子：阻燃胶条，14～16条，条宽25mm，厚≥3mm。内有加强棉线3-4层。用两道喉箍捆绑，有加固钉。可与工具杆连接。</w:t>
            </w:r>
          </w:p>
          <w:p>
            <w:pPr>
              <w:adjustRightInd w:val="0"/>
              <w:snapToGrid w:val="0"/>
              <w:spacing w:line="360"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9.耙子：5齿钉耙。方管为梁焊接钢筋为齿，可与工具杆连接。</w:t>
            </w:r>
          </w:p>
        </w:tc>
        <w:tc>
          <w:tcPr>
            <w:tcW w:w="7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highlight w:val="yellow"/>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highlight w:val="yellow"/>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w:t>
            </w:r>
          </w:p>
        </w:tc>
        <w:tc>
          <w:tcPr>
            <w:tcW w:w="12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灭火机加油器（10L）</w:t>
            </w:r>
          </w:p>
        </w:tc>
        <w:tc>
          <w:tcPr>
            <w:tcW w:w="45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1.加油器满足便携式背负、手动喷射式2种型式；</w:t>
            </w:r>
          </w:p>
          <w:p>
            <w:pPr>
              <w:adjustRightInd w:val="0"/>
              <w:snapToGrid w:val="0"/>
              <w:spacing w:line="360"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2.加油枪具有良好的抗腐蚀性能；</w:t>
            </w:r>
          </w:p>
          <w:p>
            <w:pPr>
              <w:adjustRightInd w:val="0"/>
              <w:snapToGrid w:val="0"/>
              <w:spacing w:line="360"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3.油桶汽油容量10L；</w:t>
            </w:r>
          </w:p>
          <w:p>
            <w:pPr>
              <w:adjustRightInd w:val="0"/>
              <w:snapToGrid w:val="0"/>
              <w:spacing w:line="360"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4.加油器由汽油桶、内置式机油桶、加油枪和专用背带等组成；</w:t>
            </w:r>
          </w:p>
          <w:p>
            <w:pPr>
              <w:adjustRightInd w:val="0"/>
              <w:snapToGrid w:val="0"/>
              <w:spacing w:line="360"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5.内置式机油容器容量：≥1L，带有容量刻度，使用时可以根据风力灭火机的使用要求进行燃料的混合，给每台风力灭火机加油时间≤30s；</w:t>
            </w:r>
          </w:p>
          <w:p>
            <w:pPr>
              <w:adjustRightInd w:val="0"/>
              <w:snapToGrid w:val="0"/>
              <w:spacing w:line="360"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加油枪：长≥440mm 、宽≥130mm；</w:t>
            </w:r>
          </w:p>
          <w:p>
            <w:pPr>
              <w:adjustRightInd w:val="0"/>
              <w:snapToGrid w:val="0"/>
              <w:spacing w:line="360"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连接油管可与加油防火机械接口通用。</w:t>
            </w:r>
          </w:p>
        </w:tc>
        <w:tc>
          <w:tcPr>
            <w:tcW w:w="7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6</w:t>
            </w:r>
          </w:p>
        </w:tc>
        <w:tc>
          <w:tcPr>
            <w:tcW w:w="12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风水灭火机</w:t>
            </w:r>
          </w:p>
        </w:tc>
        <w:tc>
          <w:tcPr>
            <w:tcW w:w="457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1.整机：背负式，可以风力、喷水、喷泡沫灭火；</w:t>
            </w:r>
          </w:p>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2.有效风力灭火距离：≥1.91 m;</w:t>
            </w:r>
          </w:p>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3.最大喷水量：≥9L/min；喷泡沫: ≥8.5L/min</w:t>
            </w:r>
          </w:p>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4.出风口风量：≥0.46 m³/s；</w:t>
            </w:r>
          </w:p>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5.有效喷水距离：≥10.5m；喷泡沫: ≥8.2m;</w:t>
            </w:r>
          </w:p>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6.喷水的垂直高度：≥6m；喷泡沫: ≥5m;</w:t>
            </w:r>
          </w:p>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7.常温起动性能：≤3S；</w:t>
            </w:r>
          </w:p>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8.发动机功率：≥4.5kw/7000r/min;</w:t>
            </w:r>
          </w:p>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 一次加油时间连续工作时间：≥69 min；</w:t>
            </w:r>
          </w:p>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10.整备质量（水囊）：≤34kw</w:t>
            </w:r>
          </w:p>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11.手感振动：≤3.1m/s²；</w:t>
            </w:r>
          </w:p>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12.装水方式：水囊式（水囊能快速更换，保证风水灭火机有效长时间的投入灭火工作中），内层为0.65mm聚氯乙烯涂层布，采用高分子聚合夹网材料高周波熔接，无漏水、漏气；</w:t>
            </w:r>
          </w:p>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13.装水容积：≥20L；</w:t>
            </w:r>
          </w:p>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14.出水方式：水泵驱动出水；</w:t>
            </w:r>
          </w:p>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15.风水灭火机自带集成自动供电功能，为夜间灭火应急照明系统和应急通话系统（手机）提供可靠的电源；</w:t>
            </w:r>
          </w:p>
          <w:p>
            <w:pPr>
              <w:widowControl/>
              <w:adjustRightInd w:val="0"/>
              <w:snapToGrid w:val="0"/>
              <w:spacing w:line="360" w:lineRule="auto"/>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16.启动方式：启动器同时具有电启动和手启动功能（电启动含二级齿轮传动和超越离合器；）</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17.每10台机器配备一组电启动专用装置，</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7</w:t>
            </w:r>
          </w:p>
        </w:tc>
        <w:tc>
          <w:tcPr>
            <w:tcW w:w="12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2号工具</w:t>
            </w: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1.手柄：直径（3±0.5）厘米；长度（130±5）厘米；杆体挺直，无裂痕。</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2.拍头材质：内有加强棉线的橡胶条，厚度为0.28厘米左右；条数为18条，橡胶条宽度约为2cm；切割均匀无裂口</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9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highlight w:val="none"/>
                <w:lang w:val="en-US" w:eastAsia="zh-CN"/>
              </w:rPr>
              <w:t>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8</w:t>
            </w:r>
          </w:p>
        </w:tc>
        <w:tc>
          <w:tcPr>
            <w:tcW w:w="12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防护头盔</w:t>
            </w: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1.头盔帽壳采用对人体无害，抗冲击、质地坚韧的材料制作，外观烤漆处理，颜色为桔红色；</w:t>
            </w:r>
          </w:p>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2.PC材质面罩，厚度2mm，面罩透光率：≥90％；</w:t>
            </w:r>
          </w:p>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3.内衬配备减震织带，与盔体连接牢固，帽箍大小可调节，配有森林防火行业标志帽徽；</w:t>
            </w:r>
          </w:p>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4.配有专用铝箔披肩，为可装卸式、材质为具有阻燃性纤维织物，可与防火服连接一起，对头部、肩部形成整体保护；</w:t>
            </w:r>
          </w:p>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5.头盔重量g：≤800；佩戴高度mm：80±5；披肩氧指数%：≥35。</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9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9</w:t>
            </w:r>
          </w:p>
        </w:tc>
        <w:tc>
          <w:tcPr>
            <w:tcW w:w="12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防护眼镜</w:t>
            </w: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镜框由富有弹性的皮带制成，材质柔软,配带舒适，防风沙、耐用。</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9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10</w:t>
            </w:r>
          </w:p>
        </w:tc>
        <w:tc>
          <w:tcPr>
            <w:tcW w:w="12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阻燃服装</w:t>
            </w: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1.阻燃服透气性好、纯棉阻燃。衣领可立，与头盔连成一体；重点部位双线加固缝制，包档处理，防刮、耐磨；胸前，背后，腿部配有醒目反光条；桔红色立体口袋设计。面料用达到国家阻燃防护服GB 8965.1-2009标准。</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2.采用永久阻燃直贡缎面料加工而成；面料透湿量大于6000g/(m2.24h)；</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3.面料热稳定性（尺寸变化率）≤10%；</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4.服装甲醛含量:非直接接触皮肤≤300mg/kg；</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5.服装成品PH值在4-9之间；</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6.前胸、后胸、手臂、腿部有醒目反光材料，胸前有“森林消防”刺绣胸章，左臂有“森林防火”专用臂章，背后有“森林消防”字样，反光条总宽度5CM,反光部分3CM，确保扑火人员的夜间可视度；</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7.胸口和裤腿口采用紧扣设计，防止灰尘进入，阻燃时间小于2秒；</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8.采用钩、扣便于连结解脱，扣、钩不易燃，不易融，上衣有五个立体口袋设计合理，裤子有两个立体口袋设计，有隔热和存储物品作用；</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lang w:eastAsia="zh-CN"/>
              </w:rPr>
            </w:pPr>
            <w:r>
              <w:rPr>
                <w:rFonts w:hint="eastAsia" w:asciiTheme="minorEastAsia" w:hAnsiTheme="minorEastAsia" w:eastAsiaTheme="minorEastAsia" w:cstheme="minorEastAsia"/>
                <w:kern w:val="2"/>
                <w:sz w:val="21"/>
                <w:szCs w:val="21"/>
                <w:highlight w:val="none"/>
              </w:rPr>
              <w:t>9.</w:t>
            </w:r>
            <w:r>
              <w:rPr>
                <w:rFonts w:hint="eastAsia" w:asciiTheme="minorEastAsia" w:hAnsiTheme="minorEastAsia" w:eastAsiaTheme="minorEastAsia" w:cstheme="minorEastAsia"/>
                <w:sz w:val="21"/>
                <w:szCs w:val="21"/>
                <w:highlight w:val="none"/>
                <w:lang w:eastAsia="zh-CN"/>
              </w:rPr>
              <w:t>具有省级及以上</w:t>
            </w:r>
            <w:r>
              <w:rPr>
                <w:rFonts w:hint="eastAsia" w:asciiTheme="minorEastAsia" w:hAnsiTheme="minorEastAsia" w:eastAsiaTheme="minorEastAsia" w:cstheme="minorEastAsia"/>
                <w:sz w:val="21"/>
                <w:szCs w:val="21"/>
                <w:highlight w:val="none"/>
              </w:rPr>
              <w:t>权威机构的检测报告</w:t>
            </w:r>
            <w:r>
              <w:rPr>
                <w:rFonts w:hint="eastAsia" w:asciiTheme="minorEastAsia" w:hAnsiTheme="minorEastAsia" w:eastAsiaTheme="minorEastAsia" w:cstheme="minorEastAsia"/>
                <w:sz w:val="21"/>
                <w:szCs w:val="21"/>
                <w:highlight w:val="none"/>
                <w:lang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9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11</w:t>
            </w:r>
          </w:p>
        </w:tc>
        <w:tc>
          <w:tcPr>
            <w:tcW w:w="12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防火手套</w:t>
            </w: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1、面料：手掌采用头层纯皮制作；手腕处采用桔红色永久阻燃面料，抗刮耐磨；</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2、整体设计：手套腕部加有桔红色26cm永久阻燃袖子，可有效保护手部、小臂等部位，同时具有良好的舒适性和透气性。</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9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12</w:t>
            </w:r>
          </w:p>
        </w:tc>
        <w:tc>
          <w:tcPr>
            <w:tcW w:w="12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三防靴</w:t>
            </w: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1.采用欧标防砸钢头，凯芙拉中底防穿刺、阻燃橡胶大底，阻燃纯棉帆布，阻燃牛皮，阻燃鞋带，阻燃车线制作、多角度反光条设计，满足小腿部及足部防护需求，适合长度行军及山岳攀爬灭火作战</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具有阻燃、耐磨、耐切割、外底耐弯折、防滑、电绝缘、防穿刺等多功能性能</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2.阻燃性能：损毁长度≤20mm,自熄时间≤0s</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lang w:eastAsia="zh-CN"/>
              </w:rPr>
            </w:pPr>
            <w:r>
              <w:rPr>
                <w:rFonts w:hint="eastAsia" w:asciiTheme="minorEastAsia" w:hAnsiTheme="minorEastAsia" w:eastAsiaTheme="minorEastAsia" w:cstheme="minorEastAsia"/>
                <w:kern w:val="2"/>
                <w:sz w:val="21"/>
                <w:szCs w:val="21"/>
                <w:highlight w:val="none"/>
              </w:rPr>
              <w:t>3.靴头性能：靴头分别经10.78kN静压力试验合冲击锤质量为23kg,落下高度为300mm的冲击试验后，其间隙高度均不应小于15mm</w:t>
            </w:r>
            <w:r>
              <w:rPr>
                <w:rFonts w:hint="eastAsia" w:asciiTheme="minorEastAsia" w:hAnsiTheme="minorEastAsia" w:eastAsiaTheme="minorEastAsia" w:cstheme="minorEastAsia"/>
                <w:kern w:val="2"/>
                <w:sz w:val="21"/>
                <w:szCs w:val="21"/>
                <w:highlight w:val="none"/>
                <w:lang w:eastAsia="zh-CN"/>
              </w:rPr>
              <w:t>；</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lang w:eastAsia="zh-CN"/>
              </w:rPr>
            </w:pPr>
            <w:r>
              <w:rPr>
                <w:rFonts w:hint="eastAsia" w:asciiTheme="minorEastAsia" w:hAnsiTheme="minorEastAsia" w:eastAsiaTheme="minorEastAsia" w:cstheme="minorEastAsia"/>
                <w:kern w:val="2"/>
                <w:sz w:val="21"/>
                <w:szCs w:val="21"/>
                <w:highlight w:val="none"/>
              </w:rPr>
              <w:t>4.靴帮耐磨性能：靴帮材料在经过</w:t>
            </w:r>
            <w:r>
              <w:rPr>
                <w:rFonts w:hint="eastAsia" w:asciiTheme="minorEastAsia" w:hAnsiTheme="minorEastAsia" w:eastAsiaTheme="minorEastAsia" w:cstheme="minorEastAsia"/>
                <w:kern w:val="2"/>
                <w:sz w:val="21"/>
                <w:szCs w:val="21"/>
                <w:highlight w:val="none"/>
                <w:lang w:val="en-US" w:eastAsia="zh-CN"/>
              </w:rPr>
              <w:t>不少于</w:t>
            </w:r>
            <w:r>
              <w:rPr>
                <w:rFonts w:hint="eastAsia" w:asciiTheme="minorEastAsia" w:hAnsiTheme="minorEastAsia" w:eastAsiaTheme="minorEastAsia" w:cstheme="minorEastAsia"/>
                <w:kern w:val="2"/>
                <w:sz w:val="21"/>
                <w:szCs w:val="21"/>
                <w:highlight w:val="none"/>
              </w:rPr>
              <w:t>20000次循环摩擦后未出现被磨穿的现象</w:t>
            </w:r>
            <w:r>
              <w:rPr>
                <w:rFonts w:hint="eastAsia" w:asciiTheme="minorEastAsia" w:hAnsiTheme="minorEastAsia" w:eastAsiaTheme="minorEastAsia" w:cstheme="minorEastAsia"/>
                <w:kern w:val="2"/>
                <w:sz w:val="21"/>
                <w:szCs w:val="21"/>
                <w:highlight w:val="none"/>
                <w:lang w:eastAsia="zh-CN"/>
              </w:rPr>
              <w:t>；</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lang w:eastAsia="zh-CN"/>
              </w:rPr>
            </w:pPr>
            <w:r>
              <w:rPr>
                <w:rFonts w:hint="eastAsia" w:asciiTheme="minorEastAsia" w:hAnsiTheme="minorEastAsia" w:eastAsiaTheme="minorEastAsia" w:cstheme="minorEastAsia"/>
                <w:kern w:val="2"/>
                <w:sz w:val="21"/>
                <w:szCs w:val="21"/>
                <w:highlight w:val="none"/>
              </w:rPr>
              <w:t>5.靴帮切割性能：靴帮材料在经抗切割试验后，未被割穿</w:t>
            </w:r>
            <w:r>
              <w:rPr>
                <w:rFonts w:hint="eastAsia" w:asciiTheme="minorEastAsia" w:hAnsiTheme="minorEastAsia" w:eastAsiaTheme="minorEastAsia" w:cstheme="minorEastAsia"/>
                <w:kern w:val="2"/>
                <w:sz w:val="21"/>
                <w:szCs w:val="21"/>
                <w:highlight w:val="none"/>
                <w:lang w:eastAsia="zh-CN"/>
              </w:rPr>
              <w:t>；</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lang w:eastAsia="zh-CN"/>
              </w:rPr>
            </w:pPr>
            <w:r>
              <w:rPr>
                <w:rFonts w:hint="eastAsia" w:asciiTheme="minorEastAsia" w:hAnsiTheme="minorEastAsia" w:eastAsiaTheme="minorEastAsia" w:cstheme="minorEastAsia"/>
                <w:kern w:val="2"/>
                <w:sz w:val="21"/>
                <w:szCs w:val="21"/>
                <w:highlight w:val="none"/>
              </w:rPr>
              <w:t>6.外底耐弯折性能：靴底经过10万次弯折试验后，外底缝隙长度≤6.8mm,鞋底未断裂</w:t>
            </w:r>
            <w:r>
              <w:rPr>
                <w:rFonts w:hint="eastAsia" w:asciiTheme="minorEastAsia" w:hAnsiTheme="minorEastAsia" w:eastAsiaTheme="minorEastAsia" w:cstheme="minorEastAsia"/>
                <w:kern w:val="2"/>
                <w:sz w:val="21"/>
                <w:szCs w:val="21"/>
                <w:highlight w:val="none"/>
                <w:lang w:eastAsia="zh-CN"/>
              </w:rPr>
              <w:t>；</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7.防滑性能：始滑角≥15°</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8.电绝缘性能：在5000V击穿电压下，泄露电流≤0.12mA</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9.靴底抗穿刺性能：靴底的抗穿刺力≥1100N</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lang w:eastAsia="zh-CN"/>
              </w:rPr>
            </w:pPr>
            <w:r>
              <w:rPr>
                <w:rFonts w:hint="eastAsia" w:asciiTheme="minorEastAsia" w:hAnsiTheme="minorEastAsia" w:eastAsiaTheme="minorEastAsia" w:cstheme="minorEastAsia"/>
                <w:kern w:val="2"/>
                <w:sz w:val="21"/>
                <w:szCs w:val="21"/>
                <w:highlight w:val="none"/>
              </w:rPr>
              <w:t>10.</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eastAsia="zh-CN"/>
              </w:rPr>
              <w:t>具有省级及以上</w:t>
            </w:r>
            <w:r>
              <w:rPr>
                <w:rFonts w:hint="eastAsia" w:asciiTheme="minorEastAsia" w:hAnsiTheme="minorEastAsia" w:eastAsiaTheme="minorEastAsia" w:cstheme="minorEastAsia"/>
                <w:sz w:val="21"/>
                <w:szCs w:val="21"/>
                <w:highlight w:val="none"/>
              </w:rPr>
              <w:t>权威机构的检测报告</w:t>
            </w:r>
            <w:r>
              <w:rPr>
                <w:rFonts w:hint="eastAsia" w:asciiTheme="minorEastAsia" w:hAnsiTheme="minorEastAsia" w:eastAsiaTheme="minorEastAsia" w:cstheme="minorEastAsia"/>
                <w:sz w:val="21"/>
                <w:szCs w:val="21"/>
                <w:highlight w:val="none"/>
                <w:lang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9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13</w:t>
            </w:r>
          </w:p>
        </w:tc>
        <w:tc>
          <w:tcPr>
            <w:tcW w:w="12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4L灭火弹</w:t>
            </w: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1.充装量：4L</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2.灭火种类：A B C E</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3.灭火级别：2A 113B</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4.有效保护半径：≥1.05m</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5.有效灭火面积：≥4.2㎡</w:t>
            </w:r>
          </w:p>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rPr>
              <w:t>6</w:t>
            </w:r>
            <w:r>
              <w:rPr>
                <w:rFonts w:hint="eastAsia" w:asciiTheme="minorEastAsia" w:hAnsiTheme="minorEastAsia" w:eastAsiaTheme="minorEastAsia" w:cstheme="minorEastAsia"/>
                <w:kern w:val="2"/>
                <w:sz w:val="21"/>
                <w:szCs w:val="21"/>
              </w:rPr>
              <w:t>.</w:t>
            </w:r>
            <w:r>
              <w:rPr>
                <w:rFonts w:hint="eastAsia" w:asciiTheme="minorEastAsia" w:hAnsiTheme="minorEastAsia" w:eastAsiaTheme="minorEastAsia" w:cstheme="minorEastAsia"/>
                <w:sz w:val="21"/>
                <w:szCs w:val="21"/>
              </w:rPr>
              <w:t>启动时间：≤2s</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具有省级及以上</w:t>
            </w:r>
            <w:r>
              <w:rPr>
                <w:rFonts w:hint="eastAsia" w:asciiTheme="minorEastAsia" w:hAnsiTheme="minorEastAsia" w:eastAsiaTheme="minorEastAsia" w:cstheme="minorEastAsia"/>
                <w:sz w:val="21"/>
                <w:szCs w:val="21"/>
                <w:highlight w:val="none"/>
              </w:rPr>
              <w:t>权威机构的检测报告</w:t>
            </w:r>
            <w:r>
              <w:rPr>
                <w:rFonts w:hint="eastAsia" w:asciiTheme="minorEastAsia" w:hAnsiTheme="minorEastAsia" w:eastAsiaTheme="minorEastAsia" w:cstheme="minorEastAsia"/>
                <w:sz w:val="21"/>
                <w:szCs w:val="21"/>
                <w:highlight w:val="none"/>
                <w:lang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9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14</w:t>
            </w:r>
          </w:p>
        </w:tc>
        <w:tc>
          <w:tcPr>
            <w:tcW w:w="12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105灭火弹</w:t>
            </w: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1.口径105mm；</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2.最大射程：≥1000m；</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3.最小射程：≤300m（低角直射≤150m）；</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4.初速：123±3m/s；</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5.灭火面积：单发灭火剂静态抛撒面积≥150m2 ；</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6.引信：隔爆型机械触发引信；</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7.灭火剂≥4.5KG（ABC超细干粉灭火剂）；</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8.击发方式：机械击发；</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9.使用环境温度：-20℃～+50℃；</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9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15</w:t>
            </w:r>
          </w:p>
        </w:tc>
        <w:tc>
          <w:tcPr>
            <w:tcW w:w="12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60型森林灭火炮</w:t>
            </w: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口径：60mm</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射程：射角11°，作用距离≥60m；射角15°，作用距离≥80m</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立靶精度：11°射角，55米处立靶，纵向≤1m，横向≤1m</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发射方式：火箭式</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发射器全重：≤6kg</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发射器长度：≤950mm</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点火方式：电点火</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点火电压：DC 6V</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安全电流：≤50mA（不发火电流）</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 可靠发火电流：≥400mA</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环境适应性：温度-20℃～+55℃</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勤务性：可适应汽车、火车、船舶、运输机运载</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发射噪声: ≤170db</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 前冲后坐力: ≤1.5kg·m/s</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 炮尾安全区域: 距离炮尾10m 15°区域以外</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 作用可靠性: 可靠度0.9，置信水平0.8</w:t>
            </w:r>
          </w:p>
        </w:tc>
        <w:tc>
          <w:tcPr>
            <w:tcW w:w="7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16</w:t>
            </w:r>
          </w:p>
        </w:tc>
        <w:tc>
          <w:tcPr>
            <w:tcW w:w="12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60灭火弹</w:t>
            </w:r>
          </w:p>
        </w:tc>
        <w:tc>
          <w:tcPr>
            <w:tcW w:w="45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1.口径60mm</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2.全弹长：≤500mm；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3.全弹重：≤2.0kg；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4.灭火剂抛撒半径：</w:t>
            </w:r>
            <w:r>
              <w:rPr>
                <w:rFonts w:hint="eastAsia" w:asciiTheme="minorEastAsia" w:hAnsiTheme="minorEastAsia" w:eastAsiaTheme="minorEastAsia" w:cstheme="minorEastAsia"/>
                <w:kern w:val="2"/>
                <w:sz w:val="21"/>
                <w:szCs w:val="21"/>
              </w:rPr>
              <w:t>≥</w:t>
            </w:r>
            <w:r>
              <w:rPr>
                <w:rFonts w:hint="eastAsia" w:asciiTheme="minorEastAsia" w:hAnsiTheme="minorEastAsia" w:eastAsiaTheme="minorEastAsia" w:cstheme="minorEastAsia"/>
                <w:sz w:val="21"/>
                <w:szCs w:val="21"/>
              </w:rPr>
              <w:t xml:space="preserve">3.0m；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5.灭火剂有效装填量：0.7 kg；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6.灭火弹作用可靠度 0.9，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7.置信度 0.8；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.发射噪声：≤70 db；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 xml:space="preserve">.前冲后坐力：1.5 kgm/s；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.灭火剂:干粉；</w:t>
            </w:r>
          </w:p>
        </w:tc>
        <w:tc>
          <w:tcPr>
            <w:tcW w:w="7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9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17</w:t>
            </w:r>
          </w:p>
        </w:tc>
        <w:tc>
          <w:tcPr>
            <w:tcW w:w="12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背负式消防水泵</w:t>
            </w: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1.发动机型式：单缸、二冲程、强制风冷汽油机；</w:t>
            </w:r>
          </w:p>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2.输出功率≥8hp/7000r/min；</w:t>
            </w:r>
          </w:p>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3.泵体结构：三级离心泵；</w:t>
            </w:r>
          </w:p>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4.最大扬程≥170m；</w:t>
            </w:r>
          </w:p>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5.工作压力≥1.7MPa；</w:t>
            </w:r>
          </w:p>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6.起动方式：手机APP遥控起动、一键电起动、手拉起动；</w:t>
            </w:r>
          </w:p>
          <w:p>
            <w:pPr>
              <w:pStyle w:val="21"/>
              <w:autoSpaceDE w:val="0"/>
              <w:autoSpaceDN w:val="0"/>
              <w:adjustRightInd w:val="0"/>
              <w:snapToGrid w:val="0"/>
              <w:spacing w:after="0" w:line="360" w:lineRule="auto"/>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7.水泵有中继功能，可以自行感应压力起动；</w:t>
            </w:r>
          </w:p>
          <w:p>
            <w:pPr>
              <w:pStyle w:val="21"/>
              <w:autoSpaceDE w:val="0"/>
              <w:autoSpaceDN w:val="0"/>
              <w:adjustRightInd w:val="0"/>
              <w:snapToGrid w:val="0"/>
              <w:spacing w:after="0" w:line="360" w:lineRule="auto"/>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8.发动机有自发电功能，可对起动电源充电；</w:t>
            </w:r>
          </w:p>
          <w:p>
            <w:pPr>
              <w:pStyle w:val="21"/>
              <w:autoSpaceDE w:val="0"/>
              <w:autoSpaceDN w:val="0"/>
              <w:adjustRightInd w:val="0"/>
              <w:snapToGrid w:val="0"/>
              <w:spacing w:after="0" w:line="360" w:lineRule="auto"/>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9.发动机电子点火，发动机配有电子超速切断自动复位装置；</w:t>
            </w:r>
          </w:p>
          <w:p>
            <w:pPr>
              <w:pStyle w:val="21"/>
              <w:autoSpaceDE w:val="0"/>
              <w:autoSpaceDN w:val="0"/>
              <w:adjustRightInd w:val="0"/>
              <w:snapToGrid w:val="0"/>
              <w:spacing w:after="0" w:line="360" w:lineRule="auto"/>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10.化油器为电喷式，可精确控制进油量，提高机器性能；</w:t>
            </w:r>
          </w:p>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11.最大流量≥25m3/h；</w:t>
            </w:r>
          </w:p>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12.排量≤135.4ml；</w:t>
            </w:r>
          </w:p>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13.燃油箱容积≥25L；</w:t>
            </w:r>
          </w:p>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14.整机重量≤15kg；</w:t>
            </w:r>
          </w:p>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15.进水口直径：50mm；出水口直径：38mm；</w:t>
            </w:r>
          </w:p>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16.可手提，可背负；</w:t>
            </w:r>
          </w:p>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17.标准配置：水泵主机一台、25 升汽油油箱一套（含背包、防老化油管）、高压防寒吸水管和底阀一套、引水器一套、直流水枪一套、直流水雾喷枪一套、止水箍、阀门三通一套、逆止阀一套、止水钳、专用扳手、转换接头、1.5"BSP 外螺纹快速接头、1.5"BSP内螺纹快速接头；</w:t>
            </w:r>
          </w:p>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highlight w:val="none"/>
              </w:rPr>
              <w:t xml:space="preserve">18. </w:t>
            </w:r>
            <w:r>
              <w:rPr>
                <w:rFonts w:hint="eastAsia" w:asciiTheme="minorEastAsia" w:hAnsiTheme="minorEastAsia" w:eastAsiaTheme="minorEastAsia" w:cstheme="minorEastAsia"/>
                <w:sz w:val="21"/>
                <w:szCs w:val="21"/>
                <w:highlight w:val="none"/>
                <w:lang w:eastAsia="zh-CN"/>
              </w:rPr>
              <w:t>具有省级及以上</w:t>
            </w:r>
            <w:r>
              <w:rPr>
                <w:rFonts w:hint="eastAsia" w:asciiTheme="minorEastAsia" w:hAnsiTheme="minorEastAsia" w:eastAsiaTheme="minorEastAsia" w:cstheme="minorEastAsia"/>
                <w:sz w:val="21"/>
                <w:szCs w:val="21"/>
                <w:highlight w:val="none"/>
              </w:rPr>
              <w:t>权威机构的检测报告</w:t>
            </w:r>
            <w:r>
              <w:rPr>
                <w:rFonts w:hint="eastAsia" w:asciiTheme="minorEastAsia" w:hAnsiTheme="minorEastAsia" w:eastAsiaTheme="minorEastAsia" w:cstheme="minorEastAsia"/>
                <w:sz w:val="21"/>
                <w:szCs w:val="21"/>
                <w:highlight w:val="none"/>
                <w:lang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9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18</w:t>
            </w:r>
          </w:p>
        </w:tc>
        <w:tc>
          <w:tcPr>
            <w:tcW w:w="12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手抬式消防水泵</w:t>
            </w:r>
          </w:p>
        </w:tc>
        <w:tc>
          <w:tcPr>
            <w:tcW w:w="45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1.发动机形式：单缸、四冲程、风冷，配气结构为链条传动方式</w:t>
            </w:r>
          </w:p>
          <w:p>
            <w:pPr>
              <w:adjustRightInd w:val="0"/>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2.发动机凸轮结构：顶置凸轮，甩块减压结构</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3.泵体形式：隔膜泵（自吸）</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4.发动机功率：≥9Kw/4000r/min</w:t>
            </w:r>
          </w:p>
          <w:p>
            <w:pPr>
              <w:autoSpaceDE w:val="0"/>
              <w:autoSpaceDN w:val="0"/>
              <w:adjustRightInd w:val="0"/>
              <w:snapToGrid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5.起动方式：一体式手起动、电起动；</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6.整机净重：≤50 kg</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7.吸水口公称直径：40mm</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8.出水口公称直径：40mm</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9.额定流量：≥120L/min</w:t>
            </w:r>
          </w:p>
          <w:p>
            <w:pPr>
              <w:adjustRightInd w:val="0"/>
              <w:snapToGrid w:val="0"/>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10.最大流量：≥125L/min</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11.额定压力：≥5 MPa</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12.最大工作压力：≥6 MPa</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13.吸深：≥6 m</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14.连续工作时间：≥3.5 h</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15.整机扬程：≥500m</w:t>
            </w:r>
            <w:r>
              <w:rPr>
                <w:rFonts w:hint="eastAsia" w:asciiTheme="minorEastAsia" w:hAnsiTheme="minorEastAsia" w:eastAsiaTheme="minorEastAsia" w:cstheme="minorEastAsia"/>
                <w:sz w:val="21"/>
                <w:szCs w:val="21"/>
                <w:highlight w:val="none"/>
              </w:rPr>
              <w:br w:type="textWrapping"/>
            </w:r>
            <w:r>
              <w:rPr>
                <w:rFonts w:hint="eastAsia" w:asciiTheme="minorEastAsia" w:hAnsiTheme="minorEastAsia" w:eastAsiaTheme="minorEastAsia" w:cstheme="minorEastAsia"/>
                <w:sz w:val="21"/>
                <w:szCs w:val="21"/>
                <w:highlight w:val="none"/>
              </w:rPr>
              <w:t>16.噪声：≤91 db（A）</w:t>
            </w:r>
          </w:p>
          <w:p>
            <w:pPr>
              <w:pStyle w:val="21"/>
              <w:adjustRightInd w:val="0"/>
              <w:snapToGrid w:val="0"/>
              <w:spacing w:after="0" w:line="360" w:lineRule="auto"/>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17.起动性能：≤3 s</w:t>
            </w:r>
          </w:p>
          <w:p>
            <w:pPr>
              <w:pStyle w:val="21"/>
              <w:adjustRightInd w:val="0"/>
              <w:snapToGrid w:val="0"/>
              <w:spacing w:after="0" w:line="360" w:lineRule="auto"/>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18.最大射程：≥28m</w:t>
            </w:r>
          </w:p>
          <w:p>
            <w:pPr>
              <w:pStyle w:val="21"/>
              <w:adjustRightInd w:val="0"/>
              <w:snapToGrid w:val="0"/>
              <w:spacing w:after="0" w:line="360" w:lineRule="auto"/>
              <w:ind w:firstLine="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19.配有伸缩式照明灯，最高达1.5m</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highlight w:val="none"/>
                <w:lang w:eastAsia="zh-CN"/>
              </w:rPr>
            </w:pPr>
            <w:r>
              <w:rPr>
                <w:rFonts w:hint="eastAsia" w:asciiTheme="minorEastAsia" w:hAnsiTheme="minorEastAsia" w:eastAsiaTheme="minorEastAsia" w:cstheme="minorEastAsia"/>
                <w:sz w:val="21"/>
                <w:szCs w:val="21"/>
                <w:highlight w:val="none"/>
              </w:rPr>
              <w:t>20.</w:t>
            </w:r>
            <w:r>
              <w:rPr>
                <w:rFonts w:hint="eastAsia" w:asciiTheme="minorEastAsia" w:hAnsiTheme="minorEastAsia" w:eastAsiaTheme="minorEastAsia" w:cstheme="minorEastAsia"/>
                <w:sz w:val="21"/>
                <w:szCs w:val="21"/>
                <w:highlight w:val="none"/>
                <w:lang w:eastAsia="zh-CN"/>
              </w:rPr>
              <w:t>具有省级及以上</w:t>
            </w:r>
            <w:r>
              <w:rPr>
                <w:rFonts w:hint="eastAsia" w:asciiTheme="minorEastAsia" w:hAnsiTheme="minorEastAsia" w:eastAsiaTheme="minorEastAsia" w:cstheme="minorEastAsia"/>
                <w:sz w:val="21"/>
                <w:szCs w:val="21"/>
                <w:highlight w:val="none"/>
              </w:rPr>
              <w:t>权威机构的检测报告</w:t>
            </w:r>
            <w:r>
              <w:rPr>
                <w:rFonts w:hint="eastAsia" w:asciiTheme="minorEastAsia" w:hAnsiTheme="minorEastAsia" w:eastAsiaTheme="minorEastAsia" w:cstheme="minorEastAsia"/>
                <w:sz w:val="21"/>
                <w:szCs w:val="21"/>
                <w:highlight w:val="none"/>
                <w:lang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19</w:t>
            </w:r>
          </w:p>
        </w:tc>
        <w:tc>
          <w:tcPr>
            <w:tcW w:w="12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消防水带</w:t>
            </w: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1.材料:外层全涤纶长丝编织，聚氨酯衬里 </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2.工作压力:≥20公斤</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3.爆破压力:≥65公斤</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4.尺寸:≤11/2" </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5.长度:30m </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6.延伸率(%):≤4.5 </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7.附着强度织物层与衬里(N/25mm):≥25</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8.扯断伸长率:≥380 </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9.单位长度质量(g/m):≤200 </w:t>
            </w:r>
          </w:p>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sz w:val="21"/>
                <w:szCs w:val="21"/>
              </w:rPr>
              <w:t xml:space="preserve">10. </w:t>
            </w:r>
            <w:r>
              <w:rPr>
                <w:rFonts w:hint="eastAsia" w:asciiTheme="minorEastAsia" w:hAnsiTheme="minorEastAsia" w:eastAsiaTheme="minorEastAsia" w:cstheme="minorEastAsia"/>
                <w:sz w:val="21"/>
                <w:szCs w:val="21"/>
                <w:lang w:eastAsia="zh-CN"/>
              </w:rPr>
              <w:t>具有省级及以上</w:t>
            </w:r>
            <w:r>
              <w:rPr>
                <w:rFonts w:hint="eastAsia" w:asciiTheme="minorEastAsia" w:hAnsiTheme="minorEastAsia" w:eastAsiaTheme="minorEastAsia" w:cstheme="minorEastAsia"/>
                <w:sz w:val="21"/>
                <w:szCs w:val="21"/>
              </w:rPr>
              <w:t>权威机构的检测报告和3C证书</w:t>
            </w:r>
            <w:r>
              <w:rPr>
                <w:rFonts w:hint="eastAsia" w:asciiTheme="minorEastAsia" w:hAnsiTheme="minorEastAsia" w:eastAsiaTheme="minorEastAsia" w:cstheme="minorEastAsia"/>
                <w:sz w:val="21"/>
                <w:szCs w:val="21"/>
                <w:lang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2400</w:t>
            </w:r>
          </w:p>
        </w:tc>
        <w:tc>
          <w:tcPr>
            <w:tcW w:w="9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20</w:t>
            </w:r>
          </w:p>
        </w:tc>
        <w:tc>
          <w:tcPr>
            <w:tcW w:w="12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防火应急包</w:t>
            </w:r>
          </w:p>
        </w:tc>
        <w:tc>
          <w:tcPr>
            <w:tcW w:w="45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含应急包一个，急救包1包，求生哨1个，安全钩1个，安全绳10米，保温毯一个、荧光棒1个、防滑手套1双。</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9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r>
    </w:tbl>
    <w:p>
      <w:pPr>
        <w:widowControl/>
        <w:spacing w:line="560" w:lineRule="exact"/>
        <w:ind w:firstLine="482"/>
        <w:rPr>
          <w:b/>
          <w:bCs/>
          <w:color w:val="auto"/>
          <w:sz w:val="24"/>
          <w:szCs w:val="24"/>
          <w:highlight w:val="none"/>
        </w:rPr>
      </w:pPr>
      <w:r>
        <w:rPr>
          <w:b/>
          <w:bCs/>
          <w:color w:val="auto"/>
          <w:sz w:val="24"/>
          <w:szCs w:val="24"/>
          <w:highlight w:val="none"/>
        </w:rPr>
        <w:t>注：本招标项目必须要实质性满足技术要求和商务要求：</w:t>
      </w:r>
    </w:p>
    <w:p>
      <w:pPr>
        <w:pStyle w:val="10"/>
        <w:spacing w:line="560" w:lineRule="exact"/>
        <w:ind w:firstLine="482"/>
        <w:rPr>
          <w:b/>
          <w:bCs/>
          <w:color w:val="auto"/>
          <w:sz w:val="24"/>
          <w:szCs w:val="24"/>
          <w:highlight w:val="none"/>
        </w:rPr>
      </w:pPr>
      <w:r>
        <w:rPr>
          <w:rFonts w:ascii="Times New Roman" w:hAnsi="Times New Roman"/>
          <w:b/>
          <w:bCs/>
          <w:color w:val="auto"/>
          <w:sz w:val="24"/>
          <w:szCs w:val="24"/>
          <w:highlight w:val="none"/>
        </w:rPr>
        <w:t>1、</w:t>
      </w:r>
      <w:r>
        <w:rPr>
          <w:b/>
          <w:bCs/>
          <w:color w:val="auto"/>
          <w:sz w:val="24"/>
          <w:szCs w:val="24"/>
          <w:highlight w:val="none"/>
        </w:rPr>
        <w:t>投标人提供的货物必须是原装全新、高于或等于招标文件规定技术参数的产品。</w:t>
      </w:r>
    </w:p>
    <w:p>
      <w:pPr>
        <w:widowControl/>
        <w:spacing w:line="560" w:lineRule="exact"/>
        <w:ind w:firstLine="482"/>
        <w:rPr>
          <w:b/>
          <w:bCs/>
          <w:color w:val="auto"/>
          <w:sz w:val="24"/>
          <w:szCs w:val="24"/>
          <w:highlight w:val="none"/>
        </w:rPr>
      </w:pPr>
      <w:r>
        <w:rPr>
          <w:rFonts w:hint="eastAsia"/>
          <w:b/>
          <w:bCs/>
          <w:color w:val="auto"/>
          <w:sz w:val="24"/>
          <w:szCs w:val="24"/>
          <w:highlight w:val="none"/>
          <w:lang w:val="en-US" w:eastAsia="zh-CN"/>
        </w:rPr>
        <w:t>2</w:t>
      </w:r>
      <w:r>
        <w:rPr>
          <w:b/>
          <w:bCs/>
          <w:color w:val="auto"/>
          <w:sz w:val="24"/>
          <w:szCs w:val="24"/>
          <w:highlight w:val="none"/>
        </w:rPr>
        <w:t>、属于节能产品政府采购清单规定必须强制采购的, 必须采购当期节能产品政府采购清单内设备或产品；在价格、技术、服务等指标同等条件下，优先采购节能、环保产品（开标时需提供投标人所投产品属于政府采购清单规定的节能环保产品的证明材料）。</w:t>
      </w:r>
    </w:p>
    <w:p>
      <w:pPr>
        <w:pStyle w:val="9"/>
        <w:jc w:val="center"/>
        <w:outlineLvl w:val="0"/>
        <w:rPr>
          <w:rFonts w:hint="eastAsia"/>
          <w:b/>
          <w:bCs/>
          <w:color w:val="0000FF"/>
          <w:sz w:val="32"/>
          <w:szCs w:val="32"/>
          <w:highlight w:val="yellow"/>
        </w:rPr>
      </w:pPr>
    </w:p>
    <w:bookmarkEnd w:id="258"/>
    <w:p>
      <w:pPr>
        <w:pStyle w:val="4"/>
        <w:pageBreakBefore w:val="0"/>
        <w:numPr>
          <w:ilvl w:val="0"/>
          <w:numId w:val="0"/>
        </w:numPr>
        <w:kinsoku/>
        <w:wordWrap/>
        <w:overflowPunct/>
        <w:topLinePunct w:val="0"/>
        <w:bidi w:val="0"/>
        <w:spacing w:before="0" w:beforeAutospacing="0" w:after="0" w:afterAutospacing="0" w:line="360" w:lineRule="auto"/>
        <w:ind w:firstLine="643" w:firstLineChars="200"/>
        <w:jc w:val="center"/>
        <w:rPr>
          <w:rFonts w:hint="eastAsia"/>
          <w:color w:val="auto"/>
          <w:sz w:val="32"/>
          <w:szCs w:val="32"/>
          <w:highlight w:val="none"/>
          <w:lang w:eastAsia="zh-CN"/>
        </w:rPr>
      </w:pPr>
      <w:bookmarkStart w:id="260" w:name="_Toc403122572"/>
      <w:bookmarkStart w:id="261" w:name="_Toc7906"/>
      <w:bookmarkStart w:id="262" w:name="_Toc426369533"/>
    </w:p>
    <w:p>
      <w:pPr>
        <w:rPr>
          <w:rFonts w:hint="eastAsia"/>
          <w:color w:val="auto"/>
          <w:sz w:val="32"/>
          <w:szCs w:val="32"/>
          <w:highlight w:val="none"/>
          <w:lang w:eastAsia="zh-CN"/>
        </w:rPr>
      </w:pPr>
    </w:p>
    <w:p>
      <w:pPr>
        <w:pStyle w:val="10"/>
        <w:rPr>
          <w:rFonts w:hint="eastAsia"/>
          <w:color w:val="auto"/>
          <w:sz w:val="32"/>
          <w:szCs w:val="32"/>
          <w:highlight w:val="none"/>
          <w:lang w:eastAsia="zh-CN"/>
        </w:rPr>
      </w:pPr>
    </w:p>
    <w:p>
      <w:pPr>
        <w:pStyle w:val="11"/>
        <w:rPr>
          <w:rFonts w:hint="eastAsia"/>
          <w:color w:val="auto"/>
          <w:sz w:val="32"/>
          <w:szCs w:val="32"/>
          <w:highlight w:val="none"/>
          <w:lang w:eastAsia="zh-CN"/>
        </w:rPr>
      </w:pPr>
    </w:p>
    <w:p>
      <w:pPr>
        <w:pStyle w:val="10"/>
        <w:rPr>
          <w:rFonts w:hint="eastAsia"/>
          <w:color w:val="auto"/>
          <w:sz w:val="32"/>
          <w:szCs w:val="32"/>
          <w:highlight w:val="none"/>
          <w:lang w:eastAsia="zh-CN"/>
        </w:rPr>
      </w:pPr>
    </w:p>
    <w:p>
      <w:pPr>
        <w:pStyle w:val="11"/>
        <w:rPr>
          <w:rFonts w:hint="eastAsia"/>
          <w:color w:val="auto"/>
          <w:sz w:val="32"/>
          <w:szCs w:val="32"/>
          <w:highlight w:val="none"/>
          <w:lang w:eastAsia="zh-CN"/>
        </w:rPr>
      </w:pPr>
    </w:p>
    <w:p>
      <w:pPr>
        <w:pStyle w:val="10"/>
        <w:rPr>
          <w:rFonts w:hint="eastAsia"/>
          <w:color w:val="auto"/>
          <w:sz w:val="32"/>
          <w:szCs w:val="32"/>
          <w:highlight w:val="none"/>
          <w:lang w:eastAsia="zh-CN"/>
        </w:rPr>
      </w:pPr>
    </w:p>
    <w:p>
      <w:pPr>
        <w:pStyle w:val="11"/>
        <w:rPr>
          <w:rFonts w:hint="eastAsia"/>
          <w:color w:val="auto"/>
          <w:sz w:val="32"/>
          <w:szCs w:val="32"/>
          <w:highlight w:val="none"/>
          <w:lang w:eastAsia="zh-CN"/>
        </w:rPr>
      </w:pPr>
    </w:p>
    <w:p>
      <w:pPr>
        <w:pStyle w:val="10"/>
        <w:rPr>
          <w:rFonts w:hint="eastAsia"/>
          <w:color w:val="auto"/>
          <w:sz w:val="32"/>
          <w:szCs w:val="32"/>
          <w:highlight w:val="none"/>
          <w:lang w:eastAsia="zh-CN"/>
        </w:rPr>
      </w:pPr>
    </w:p>
    <w:p>
      <w:pPr>
        <w:pStyle w:val="11"/>
        <w:rPr>
          <w:rFonts w:hint="eastAsia"/>
          <w:color w:val="auto"/>
          <w:sz w:val="32"/>
          <w:szCs w:val="32"/>
          <w:highlight w:val="none"/>
          <w:lang w:eastAsia="zh-CN"/>
        </w:rPr>
      </w:pPr>
    </w:p>
    <w:p>
      <w:pPr>
        <w:pStyle w:val="10"/>
        <w:rPr>
          <w:rFonts w:hint="eastAsia"/>
          <w:color w:val="auto"/>
          <w:sz w:val="32"/>
          <w:szCs w:val="32"/>
          <w:highlight w:val="none"/>
          <w:lang w:eastAsia="zh-CN"/>
        </w:rPr>
      </w:pPr>
    </w:p>
    <w:p>
      <w:pPr>
        <w:pStyle w:val="11"/>
        <w:rPr>
          <w:rFonts w:hint="eastAsia"/>
          <w:lang w:eastAsia="zh-CN"/>
        </w:rPr>
      </w:pPr>
    </w:p>
    <w:p>
      <w:pPr>
        <w:pStyle w:val="10"/>
        <w:rPr>
          <w:rFonts w:hint="eastAsia"/>
          <w:color w:val="auto"/>
          <w:sz w:val="32"/>
          <w:szCs w:val="32"/>
          <w:highlight w:val="none"/>
          <w:lang w:eastAsia="zh-CN"/>
        </w:rPr>
      </w:pPr>
    </w:p>
    <w:p>
      <w:pPr>
        <w:pStyle w:val="11"/>
        <w:rPr>
          <w:rFonts w:hint="eastAsia"/>
          <w:lang w:eastAsia="zh-CN"/>
        </w:rPr>
      </w:pPr>
    </w:p>
    <w:p>
      <w:pPr>
        <w:pStyle w:val="10"/>
        <w:rPr>
          <w:rFonts w:hint="eastAsia"/>
          <w:lang w:eastAsia="zh-CN"/>
        </w:rPr>
      </w:pPr>
    </w:p>
    <w:p>
      <w:pPr>
        <w:pStyle w:val="10"/>
        <w:rPr>
          <w:rFonts w:hint="eastAsia"/>
          <w:lang w:eastAsia="zh-CN"/>
        </w:rPr>
      </w:pPr>
    </w:p>
    <w:p>
      <w:pPr>
        <w:pStyle w:val="4"/>
        <w:pageBreakBefore w:val="0"/>
        <w:numPr>
          <w:ilvl w:val="0"/>
          <w:numId w:val="0"/>
        </w:numPr>
        <w:kinsoku/>
        <w:wordWrap/>
        <w:overflowPunct/>
        <w:topLinePunct w:val="0"/>
        <w:bidi w:val="0"/>
        <w:spacing w:before="0" w:beforeAutospacing="0" w:after="0" w:afterAutospacing="0" w:line="360" w:lineRule="auto"/>
        <w:ind w:firstLine="643" w:firstLineChars="200"/>
        <w:jc w:val="center"/>
        <w:rPr>
          <w:rFonts w:hint="eastAsia"/>
          <w:color w:val="auto"/>
          <w:sz w:val="32"/>
          <w:szCs w:val="32"/>
          <w:highlight w:val="none"/>
          <w:lang w:val="en-US" w:eastAsia="zh-CN"/>
        </w:rPr>
      </w:pPr>
      <w:r>
        <w:rPr>
          <w:rFonts w:hint="eastAsia"/>
          <w:color w:val="auto"/>
          <w:sz w:val="32"/>
          <w:szCs w:val="32"/>
          <w:highlight w:val="none"/>
          <w:lang w:eastAsia="zh-CN"/>
        </w:rPr>
        <w:t>第</w:t>
      </w:r>
      <w:r>
        <w:rPr>
          <w:rFonts w:hint="eastAsia"/>
          <w:color w:val="auto"/>
          <w:sz w:val="32"/>
          <w:szCs w:val="32"/>
          <w:highlight w:val="none"/>
          <w:lang w:val="en-US" w:eastAsia="zh-CN"/>
        </w:rPr>
        <w:t>六章 质疑与投诉</w:t>
      </w:r>
    </w:p>
    <w:p>
      <w:pPr>
        <w:rPr>
          <w:rFonts w:hint="eastAsia"/>
          <w:color w:val="auto"/>
          <w:highlight w:val="none"/>
          <w:lang w:val="en-US" w:eastAsia="zh-CN"/>
        </w:rPr>
      </w:pPr>
    </w:p>
    <w:p>
      <w:pPr>
        <w:pageBreakBefore w:val="0"/>
        <w:numPr>
          <w:ilvl w:val="0"/>
          <w:numId w:val="0"/>
        </w:numPr>
        <w:kinsoku/>
        <w:wordWrap/>
        <w:overflowPunct/>
        <w:topLinePunct w:val="0"/>
        <w:bidi w:val="0"/>
        <w:spacing w:beforeAutospacing="0" w:afterAutospacing="0"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一、质疑与答复</w:t>
      </w:r>
    </w:p>
    <w:p>
      <w:pPr>
        <w:pStyle w:val="21"/>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 参与政府采购活动的</w:t>
      </w:r>
      <w:r>
        <w:rPr>
          <w:rFonts w:hint="eastAsia" w:ascii="宋体" w:hAnsi="宋体" w:eastAsia="宋体" w:cs="宋体"/>
          <w:color w:val="auto"/>
          <w:sz w:val="21"/>
          <w:szCs w:val="21"/>
          <w:highlight w:val="none"/>
        </w:rPr>
        <w:t>供应商认为采购文件、采购过程、中标或者成交结果使自己的权益受到损害的，可以在知道或者应知其权益受到损害之日起7个工作日内，以书面形式向采购人、采购代理机构提出质疑。</w:t>
      </w:r>
    </w:p>
    <w:p>
      <w:pPr>
        <w:pStyle w:val="2"/>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lang w:eastAsia="zh-CN"/>
        </w:rPr>
        <w:t>供</w:t>
      </w:r>
      <w:r>
        <w:rPr>
          <w:rFonts w:hint="eastAsia" w:ascii="宋体" w:hAnsi="宋体" w:eastAsia="宋体" w:cs="宋体"/>
          <w:color w:val="auto"/>
          <w:sz w:val="21"/>
          <w:szCs w:val="21"/>
          <w:highlight w:val="none"/>
        </w:rPr>
        <w:t>应商提出质疑应当提交质疑函和必要的证明材料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政府采购供应商质疑函范本下载地址：</w:t>
      </w:r>
    </w:p>
    <w:p>
      <w:pPr>
        <w:pStyle w:val="2"/>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left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"http://download.ccgp.gov.cn/2018/zhiyihanfanben.zip；" </w:instrText>
      </w:r>
      <w:r>
        <w:rPr>
          <w:rFonts w:hint="eastAsia" w:ascii="宋体" w:hAnsi="宋体" w:eastAsia="宋体" w:cs="宋体"/>
          <w:color w:val="auto"/>
          <w:sz w:val="21"/>
          <w:szCs w:val="21"/>
          <w:highlight w:val="none"/>
          <w:lang w:val="en-US" w:eastAsia="zh-CN"/>
        </w:rPr>
        <w:fldChar w:fldCharType="separate"/>
      </w:r>
      <w:r>
        <w:rPr>
          <w:rStyle w:val="25"/>
          <w:rFonts w:hint="eastAsia" w:ascii="宋体" w:hAnsi="宋体" w:eastAsia="宋体" w:cs="宋体"/>
          <w:color w:val="auto"/>
          <w:sz w:val="21"/>
          <w:szCs w:val="21"/>
          <w:highlight w:val="none"/>
          <w:lang w:val="en-US" w:eastAsia="zh-CN"/>
        </w:rPr>
        <w:t>http://download.ccgp.gov.cn/2018/zhiyihanfanben.zip；</w:t>
      </w:r>
      <w:r>
        <w:rPr>
          <w:rFonts w:hint="eastAsia" w:ascii="宋体" w:hAnsi="宋体" w:eastAsia="宋体" w:cs="宋体"/>
          <w:color w:val="auto"/>
          <w:sz w:val="21"/>
          <w:szCs w:val="21"/>
          <w:highlight w:val="none"/>
          <w:lang w:val="en-US" w:eastAsia="zh-CN"/>
        </w:rPr>
        <w:fldChar w:fldCharType="end"/>
      </w:r>
    </w:p>
    <w:p>
      <w:pPr>
        <w:keepNext w:val="0"/>
        <w:keepLines w:val="0"/>
        <w:pageBreakBefore w:val="0"/>
        <w:widowControl w:val="0"/>
        <w:numPr>
          <w:ilvl w:val="0"/>
          <w:numId w:val="12"/>
        </w:numPr>
        <w:kinsoku/>
        <w:wordWrap/>
        <w:overflowPunct/>
        <w:topLinePunct w:val="0"/>
        <w:autoSpaceDE/>
        <w:autoSpaceDN/>
        <w:bidi w:val="0"/>
        <w:snapToGrid/>
        <w:spacing w:beforeAutospacing="0" w:afterAutospacing="0"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采购人、采购代理机构不得拒收质疑供应商在法定质疑期内发出的质疑函，应当在收到质疑函后7个工作日内作出答复，并以书面形式通知质疑供应商和其他有关供应商。</w:t>
      </w:r>
    </w:p>
    <w:p>
      <w:pPr>
        <w:keepNext w:val="0"/>
        <w:keepLines w:val="0"/>
        <w:pageBreakBefore w:val="0"/>
        <w:widowControl w:val="0"/>
        <w:numPr>
          <w:ilvl w:val="0"/>
          <w:numId w:val="12"/>
        </w:numPr>
        <w:kinsoku/>
        <w:wordWrap/>
        <w:overflowPunct/>
        <w:topLinePunct w:val="0"/>
        <w:autoSpaceDE/>
        <w:autoSpaceDN/>
        <w:bidi w:val="0"/>
        <w:snapToGrid/>
        <w:spacing w:beforeAutospacing="0" w:afterAutospacing="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供应商提出质疑应当提交质疑函和必要的证明材料。质疑函应当包括下列内容：</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供应商的姓名或者名称、地址、邮编、联系人及联系电话；</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质疑项目的名称、编号；</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具体、明确的质疑事项和与质疑事项相关的请求；</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必要的法律依据；</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提出质疑的日期；</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获取招标文件的凭证；</w:t>
      </w:r>
    </w:p>
    <w:p>
      <w:pPr>
        <w:keepNext w:val="0"/>
        <w:keepLines w:val="0"/>
        <w:pageBreakBefore w:val="0"/>
        <w:widowControl w:val="0"/>
        <w:numPr>
          <w:ilvl w:val="1"/>
          <w:numId w:val="12"/>
        </w:numPr>
        <w:kinsoku/>
        <w:wordWrap/>
        <w:overflowPunct/>
        <w:topLinePunct w:val="0"/>
        <w:autoSpaceDE/>
        <w:autoSpaceDN/>
        <w:bidi w:val="0"/>
        <w:snapToGrid/>
        <w:spacing w:beforeAutospacing="0" w:afterAutospacing="0" w:line="360" w:lineRule="auto"/>
        <w:ind w:left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以上资料一式二份（</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、采购代理机构各执一份）。</w:t>
      </w:r>
    </w:p>
    <w:p>
      <w:pPr>
        <w:keepNext w:val="0"/>
        <w:keepLines w:val="0"/>
        <w:pageBreakBefore w:val="0"/>
        <w:widowControl w:val="0"/>
        <w:numPr>
          <w:ilvl w:val="0"/>
          <w:numId w:val="12"/>
        </w:numPr>
        <w:kinsoku/>
        <w:wordWrap/>
        <w:overflowPunct/>
        <w:topLinePunct w:val="0"/>
        <w:autoSpaceDE/>
        <w:autoSpaceDN/>
        <w:bidi w:val="0"/>
        <w:snapToGrid/>
        <w:spacing w:beforeAutospacing="0" w:afterAutospacing="0"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投标人不得虚假质疑和恶意质疑，并对质疑内容的真实性承担责任。</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left="420" w:leftChars="20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二、投诉与处理</w:t>
      </w:r>
    </w:p>
    <w:p>
      <w:pPr>
        <w:pStyle w:val="21"/>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质疑供应商对采购人、采购代理机构的答复不满意，或者采购人、采购代理机构未在规定时间内作出答复的，可以在答复期满后15个工作日内向本办法第六条规定的财政部门提起投诉。</w:t>
      </w:r>
    </w:p>
    <w:p>
      <w:pPr>
        <w:keepNext w:val="0"/>
        <w:keepLines w:val="0"/>
        <w:pageBreakBefore w:val="0"/>
        <w:widowControl w:val="0"/>
        <w:kinsoku/>
        <w:wordWrap/>
        <w:overflowPunct/>
        <w:topLinePunct w:val="0"/>
        <w:autoSpaceDE/>
        <w:autoSpaceDN/>
        <w:bidi w:val="0"/>
        <w:snapToGrid/>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质疑供应商对采购人、采购代理机构的答复不满意，或者采购人、采购代理机构未在规定时间内作出答复的，可以在答复期满后15个工作日内向财政部门提起投诉。</w:t>
      </w:r>
    </w:p>
    <w:p>
      <w:pPr>
        <w:pStyle w:val="21"/>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投诉人投诉时,应当提交投诉书和必要的证明材料，并按照被投诉采购人、采购代理机构（以下简称被投诉人）和与投诉事项有关的供应商数量提供投诉书的副本。</w:t>
      </w:r>
      <w:r>
        <w:rPr>
          <w:rFonts w:hint="eastAsia" w:ascii="宋体" w:hAnsi="宋体" w:eastAsia="宋体" w:cs="宋体"/>
          <w:color w:val="auto"/>
          <w:sz w:val="21"/>
          <w:szCs w:val="21"/>
          <w:highlight w:val="none"/>
          <w:lang w:val="en-US" w:eastAsia="zh-CN"/>
        </w:rPr>
        <w:t>政府采购供应商投诉书范本下载地址：</w:t>
      </w:r>
    </w:p>
    <w:p>
      <w:pPr>
        <w:pStyle w:val="21"/>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"http://download.ccgp.gov.cn/2018/tousushufanben.zip" </w:instrText>
      </w:r>
      <w:r>
        <w:rPr>
          <w:rFonts w:hint="eastAsia" w:ascii="宋体" w:hAnsi="宋体" w:eastAsia="宋体" w:cs="宋体"/>
          <w:color w:val="auto"/>
          <w:sz w:val="21"/>
          <w:szCs w:val="21"/>
          <w:highlight w:val="none"/>
          <w:lang w:val="en-US" w:eastAsia="zh-CN"/>
        </w:rPr>
        <w:fldChar w:fldCharType="separate"/>
      </w:r>
      <w:r>
        <w:rPr>
          <w:rStyle w:val="25"/>
          <w:rFonts w:hint="eastAsia" w:ascii="宋体" w:hAnsi="宋体" w:eastAsia="宋体" w:cs="宋体"/>
          <w:color w:val="auto"/>
          <w:sz w:val="21"/>
          <w:szCs w:val="21"/>
          <w:highlight w:val="none"/>
          <w:lang w:val="en-US" w:eastAsia="zh-CN"/>
        </w:rPr>
        <w:t>http://download.ccgp.gov.cn/2018/tousushufanben.zip</w:t>
      </w:r>
      <w:r>
        <w:rPr>
          <w:rFonts w:hint="eastAsia" w:ascii="宋体" w:hAnsi="宋体" w:eastAsia="宋体" w:cs="宋体"/>
          <w:color w:val="auto"/>
          <w:sz w:val="21"/>
          <w:szCs w:val="21"/>
          <w:highlight w:val="none"/>
          <w:lang w:val="en-US" w:eastAsia="zh-CN"/>
        </w:rPr>
        <w:fldChar w:fldCharType="end"/>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财政部门自收到投诉之日起30个工作日内，对投诉事项作出处理决定</w:t>
      </w:r>
      <w:r>
        <w:rPr>
          <w:rFonts w:hint="eastAsia" w:ascii="宋体" w:hAnsi="宋体" w:eastAsia="宋体" w:cs="宋体"/>
          <w:color w:val="auto"/>
          <w:sz w:val="21"/>
          <w:szCs w:val="21"/>
          <w:highlight w:val="none"/>
          <w:lang w:val="en-US" w:eastAsia="zh-CN"/>
        </w:rPr>
        <w:t>并公示</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投诉人在全国范围12个月内三次以上投诉查无实据的，由财政部门列入不良行为记录名单。</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投诉人有财政部94号令第三十七条情形的，属于虚假、恶意投诉，由财政部门列入不良行为记录名单，禁止其1至3年内参加政府采购活动。</w:t>
      </w:r>
    </w:p>
    <w:p>
      <w:pPr>
        <w:pStyle w:val="2"/>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20" w:firstLineChars="200"/>
        <w:rPr>
          <w:rFonts w:hint="eastAsia" w:ascii="宋体" w:hAnsi="宋体" w:eastAsia="宋体" w:cs="宋体"/>
          <w:color w:val="auto"/>
          <w:sz w:val="21"/>
          <w:szCs w:val="21"/>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投诉联系电话：0391-8683273  地址：博爱县机关综合办公楼主楼1213室 </w:t>
      </w:r>
    </w:p>
    <w:p>
      <w:pPr>
        <w:rPr>
          <w:rFonts w:hint="eastAsia" w:ascii="宋体" w:hAnsi="宋体" w:eastAsia="宋体" w:cs="宋体"/>
          <w:b w:val="0"/>
          <w:bCs w:val="0"/>
          <w:color w:val="auto"/>
          <w:sz w:val="21"/>
          <w:szCs w:val="21"/>
          <w:highlight w:val="none"/>
          <w:lang w:val="en-US" w:eastAsia="zh-CN"/>
        </w:rPr>
      </w:pPr>
    </w:p>
    <w:p>
      <w:pPr>
        <w:pStyle w:val="5"/>
        <w:rPr>
          <w:rFonts w:hint="eastAsia"/>
          <w:color w:val="auto"/>
          <w:sz w:val="21"/>
          <w:szCs w:val="21"/>
          <w:highlight w:val="none"/>
        </w:rPr>
      </w:pPr>
    </w:p>
    <w:p>
      <w:pPr>
        <w:rPr>
          <w:rFonts w:hint="eastAsia"/>
          <w:color w:val="auto"/>
          <w:sz w:val="21"/>
          <w:szCs w:val="21"/>
          <w:highlight w:val="none"/>
        </w:rPr>
      </w:pPr>
    </w:p>
    <w:p>
      <w:pPr>
        <w:pStyle w:val="5"/>
        <w:rPr>
          <w:rFonts w:hint="eastAsia"/>
          <w:color w:val="auto"/>
          <w:sz w:val="21"/>
          <w:szCs w:val="21"/>
          <w:highlight w:val="none"/>
        </w:rPr>
      </w:pPr>
    </w:p>
    <w:p>
      <w:pPr>
        <w:rPr>
          <w:rFonts w:hint="eastAsia"/>
          <w:color w:val="auto"/>
          <w:sz w:val="21"/>
          <w:szCs w:val="21"/>
          <w:highlight w:val="none"/>
        </w:rPr>
      </w:pPr>
    </w:p>
    <w:p>
      <w:pPr>
        <w:pStyle w:val="5"/>
        <w:rPr>
          <w:rFonts w:hint="eastAsia"/>
          <w:color w:val="auto"/>
          <w:sz w:val="21"/>
          <w:szCs w:val="21"/>
          <w:highlight w:val="none"/>
        </w:rPr>
      </w:pPr>
    </w:p>
    <w:p>
      <w:pPr>
        <w:rPr>
          <w:rFonts w:hint="eastAsia"/>
          <w:color w:val="auto"/>
          <w:highlight w:val="none"/>
        </w:rPr>
      </w:pPr>
    </w:p>
    <w:p>
      <w:pPr>
        <w:pStyle w:val="11"/>
        <w:rPr>
          <w:color w:val="auto"/>
          <w:highlight w:val="none"/>
        </w:rPr>
      </w:pPr>
    </w:p>
    <w:p>
      <w:pPr>
        <w:pStyle w:val="10"/>
        <w:rPr>
          <w:color w:val="auto"/>
          <w:highlight w:val="none"/>
        </w:rPr>
      </w:pPr>
    </w:p>
    <w:p>
      <w:pPr>
        <w:pStyle w:val="11"/>
        <w:rPr>
          <w:color w:val="auto"/>
          <w:highlight w:val="none"/>
        </w:rPr>
      </w:pPr>
    </w:p>
    <w:p>
      <w:pPr>
        <w:pStyle w:val="10"/>
        <w:rPr>
          <w:color w:val="auto"/>
          <w:highlight w:val="none"/>
        </w:rPr>
      </w:pPr>
    </w:p>
    <w:p>
      <w:pPr>
        <w:pStyle w:val="11"/>
      </w:pPr>
    </w:p>
    <w:p>
      <w:pPr>
        <w:pStyle w:val="10"/>
        <w:rPr>
          <w:color w:val="auto"/>
          <w:highlight w:val="none"/>
        </w:rPr>
      </w:pPr>
    </w:p>
    <w:p>
      <w:pPr>
        <w:pStyle w:val="11"/>
      </w:pPr>
    </w:p>
    <w:p>
      <w:pPr>
        <w:pStyle w:val="21"/>
        <w:pageBreakBefore w:val="0"/>
        <w:kinsoku/>
        <w:wordWrap/>
        <w:overflowPunct/>
        <w:topLinePunct w:val="0"/>
        <w:bidi w:val="0"/>
        <w:spacing w:beforeAutospacing="0" w:after="0" w:afterAutospacing="0" w:line="360" w:lineRule="auto"/>
        <w:ind w:firstLine="643" w:firstLineChars="200"/>
        <w:jc w:val="center"/>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第七章 履约验收</w:t>
      </w:r>
    </w:p>
    <w:p>
      <w:pPr>
        <w:pStyle w:val="2"/>
        <w:rPr>
          <w:rFonts w:hint="eastAsia"/>
          <w:color w:val="auto"/>
          <w:highlight w:val="none"/>
          <w:lang w:val="en-US" w:eastAsia="zh-CN"/>
        </w:rPr>
      </w:pPr>
    </w:p>
    <w:p>
      <w:pPr>
        <w:pStyle w:val="21"/>
        <w:pageBreakBefore w:val="0"/>
        <w:kinsoku/>
        <w:wordWrap/>
        <w:overflowPunct/>
        <w:topLinePunct w:val="0"/>
        <w:bidi w:val="0"/>
        <w:spacing w:beforeAutospacing="0" w:after="0" w:afterAutospacing="0" w:line="360" w:lineRule="auto"/>
        <w:ind w:left="0" w:lef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供应商履约完成后，向采购人提出验收建议，采购人自收到验收建议之日起五个工作日内，采购人组织供应商参与，共同完成验收。技术复杂、专业性强等项目可适当延长验收时间。验收流程如下：</w:t>
      </w:r>
    </w:p>
    <w:p>
      <w:pPr>
        <w:pStyle w:val="21"/>
        <w:pageBreakBefore w:val="0"/>
        <w:numPr>
          <w:ilvl w:val="0"/>
          <w:numId w:val="13"/>
        </w:numPr>
        <w:kinsoku/>
        <w:wordWrap/>
        <w:overflowPunct/>
        <w:topLinePunct w:val="0"/>
        <w:bidi w:val="0"/>
        <w:spacing w:beforeAutospacing="0" w:after="0" w:afterAutospacing="0" w:line="360" w:lineRule="auto"/>
        <w:ind w:left="0" w:lef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pPr>
        <w:pStyle w:val="21"/>
        <w:pageBreakBefore w:val="0"/>
        <w:numPr>
          <w:ilvl w:val="0"/>
          <w:numId w:val="13"/>
        </w:numPr>
        <w:kinsoku/>
        <w:wordWrap/>
        <w:overflowPunct/>
        <w:topLinePunct w:val="0"/>
        <w:bidi w:val="0"/>
        <w:spacing w:beforeAutospacing="0" w:after="0" w:afterAutospacing="0" w:line="360" w:lineRule="auto"/>
        <w:ind w:left="0" w:lef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1"/>
        <w:pageBreakBefore w:val="0"/>
        <w:numPr>
          <w:ilvl w:val="0"/>
          <w:numId w:val="13"/>
        </w:numPr>
        <w:kinsoku/>
        <w:wordWrap/>
        <w:overflowPunct/>
        <w:topLinePunct w:val="0"/>
        <w:bidi w:val="0"/>
        <w:spacing w:beforeAutospacing="0" w:after="0" w:afterAutospacing="0" w:line="360" w:lineRule="auto"/>
        <w:ind w:left="0" w:lef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1"/>
        <w:pageBreakBefore w:val="0"/>
        <w:numPr>
          <w:ilvl w:val="0"/>
          <w:numId w:val="13"/>
        </w:numPr>
        <w:kinsoku/>
        <w:wordWrap/>
        <w:overflowPunct/>
        <w:topLinePunct w:val="0"/>
        <w:bidi w:val="0"/>
        <w:spacing w:beforeAutospacing="0" w:after="0" w:afterAutospacing="0" w:line="360" w:lineRule="auto"/>
        <w:ind w:left="0" w:lef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pPr>
        <w:pStyle w:val="10"/>
        <w:rPr>
          <w:rFonts w:hint="eastAsia" w:asciiTheme="minorEastAsia" w:hAnsiTheme="minorEastAsia" w:eastAsiaTheme="minorEastAsia" w:cstheme="minorEastAsia"/>
          <w:color w:val="auto"/>
          <w:sz w:val="21"/>
          <w:szCs w:val="21"/>
          <w:highlight w:val="none"/>
        </w:rPr>
      </w:pPr>
    </w:p>
    <w:p>
      <w:pPr>
        <w:pStyle w:val="11"/>
        <w:rPr>
          <w:rFonts w:hint="eastAsia" w:asciiTheme="minorEastAsia" w:hAnsiTheme="minorEastAsia" w:eastAsiaTheme="minorEastAsia" w:cstheme="minorEastAsia"/>
          <w:color w:val="auto"/>
          <w:sz w:val="21"/>
          <w:szCs w:val="21"/>
          <w:highlight w:val="none"/>
        </w:rPr>
      </w:pPr>
    </w:p>
    <w:p>
      <w:pPr>
        <w:pStyle w:val="10"/>
        <w:rPr>
          <w:rFonts w:hint="eastAsia" w:asciiTheme="minorEastAsia" w:hAnsiTheme="minorEastAsia" w:eastAsiaTheme="minorEastAsia" w:cstheme="minorEastAsia"/>
          <w:color w:val="auto"/>
          <w:sz w:val="21"/>
          <w:szCs w:val="21"/>
          <w:highlight w:val="none"/>
        </w:rPr>
      </w:pPr>
    </w:p>
    <w:p>
      <w:pPr>
        <w:pStyle w:val="11"/>
        <w:rPr>
          <w:rFonts w:hint="eastAsia" w:asciiTheme="minorEastAsia" w:hAnsiTheme="minorEastAsia" w:eastAsiaTheme="minorEastAsia" w:cstheme="minorEastAsia"/>
          <w:color w:val="auto"/>
          <w:sz w:val="21"/>
          <w:szCs w:val="21"/>
          <w:highlight w:val="none"/>
        </w:rPr>
      </w:pPr>
    </w:p>
    <w:p>
      <w:pPr>
        <w:pStyle w:val="10"/>
        <w:rPr>
          <w:rFonts w:hint="eastAsia" w:asciiTheme="minorEastAsia" w:hAnsiTheme="minorEastAsia" w:eastAsiaTheme="minorEastAsia" w:cstheme="minorEastAsia"/>
          <w:color w:val="auto"/>
          <w:sz w:val="21"/>
          <w:szCs w:val="21"/>
          <w:highlight w:val="none"/>
        </w:rPr>
      </w:pPr>
    </w:p>
    <w:p>
      <w:pPr>
        <w:pStyle w:val="11"/>
        <w:rPr>
          <w:rFonts w:hint="eastAsia" w:asciiTheme="minorEastAsia" w:hAnsiTheme="minorEastAsia" w:eastAsiaTheme="minorEastAsia" w:cstheme="minorEastAsia"/>
          <w:color w:val="auto"/>
          <w:sz w:val="21"/>
          <w:szCs w:val="21"/>
          <w:highlight w:val="none"/>
        </w:rPr>
      </w:pPr>
    </w:p>
    <w:p>
      <w:pPr>
        <w:pStyle w:val="10"/>
        <w:rPr>
          <w:rFonts w:hint="eastAsia"/>
        </w:rPr>
      </w:pPr>
    </w:p>
    <w:p>
      <w:pPr>
        <w:pStyle w:val="10"/>
        <w:rPr>
          <w:color w:val="auto"/>
          <w:highlight w:val="none"/>
        </w:rPr>
      </w:pPr>
    </w:p>
    <w:p>
      <w:pPr>
        <w:pStyle w:val="20"/>
        <w:spacing w:line="600" w:lineRule="exact"/>
        <w:ind w:right="-63" w:rightChars="-30"/>
        <w:rPr>
          <w:rFonts w:asciiTheme="minorEastAsia" w:hAnsiTheme="minorEastAsia" w:eastAsiaTheme="minorEastAsia" w:cstheme="minorEastAsia"/>
          <w:color w:val="auto"/>
          <w:sz w:val="36"/>
          <w:szCs w:val="36"/>
          <w:highlight w:val="none"/>
        </w:rPr>
      </w:pPr>
      <w:bookmarkStart w:id="263" w:name="_Toc12999"/>
      <w:r>
        <w:rPr>
          <w:rFonts w:hint="eastAsia" w:asciiTheme="minorEastAsia" w:hAnsiTheme="minorEastAsia" w:eastAsiaTheme="minorEastAsia" w:cstheme="minorEastAsia"/>
          <w:color w:val="auto"/>
          <w:sz w:val="36"/>
          <w:szCs w:val="36"/>
          <w:highlight w:val="none"/>
        </w:rPr>
        <w:t>第</w:t>
      </w:r>
      <w:r>
        <w:rPr>
          <w:rFonts w:hint="eastAsia" w:asciiTheme="minorEastAsia" w:hAnsiTheme="minorEastAsia" w:eastAsiaTheme="minorEastAsia" w:cstheme="minorEastAsia"/>
          <w:color w:val="auto"/>
          <w:sz w:val="36"/>
          <w:szCs w:val="36"/>
          <w:highlight w:val="none"/>
          <w:lang w:val="en-US" w:eastAsia="zh-CN"/>
        </w:rPr>
        <w:t>八</w:t>
      </w:r>
      <w:r>
        <w:rPr>
          <w:rFonts w:hint="eastAsia" w:asciiTheme="minorEastAsia" w:hAnsiTheme="minorEastAsia" w:eastAsiaTheme="minorEastAsia" w:cstheme="minorEastAsia"/>
          <w:color w:val="auto"/>
          <w:sz w:val="36"/>
          <w:szCs w:val="36"/>
          <w:highlight w:val="none"/>
        </w:rPr>
        <w:t>章  投标文件格式</w:t>
      </w:r>
      <w:bookmarkEnd w:id="260"/>
      <w:bookmarkEnd w:id="261"/>
      <w:bookmarkEnd w:id="262"/>
      <w:bookmarkEnd w:id="263"/>
    </w:p>
    <w:p>
      <w:pPr>
        <w:rPr>
          <w:rFonts w:asciiTheme="minorEastAsia" w:hAnsiTheme="minorEastAsia" w:eastAsiaTheme="minorEastAsia" w:cstheme="minorEastAsia"/>
          <w:color w:val="auto"/>
          <w:highlight w:val="none"/>
        </w:rPr>
      </w:pPr>
      <w:bookmarkStart w:id="264" w:name="_Toc402961301"/>
      <w:bookmarkStart w:id="265" w:name="_Toc27452"/>
      <w:bookmarkStart w:id="266" w:name="_Toc18905"/>
      <w:bookmarkStart w:id="267" w:name="_Toc403122573"/>
    </w:p>
    <w:bookmarkEnd w:id="264"/>
    <w:bookmarkEnd w:id="265"/>
    <w:bookmarkEnd w:id="266"/>
    <w:bookmarkEnd w:id="267"/>
    <w:p>
      <w:pPr>
        <w:ind w:firstLine="2891" w:firstLineChars="8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t xml:space="preserve">（项目名称）                   </w:t>
      </w:r>
      <w:r>
        <w:rPr>
          <w:rFonts w:hint="eastAsia" w:asciiTheme="minorEastAsia" w:hAnsiTheme="minorEastAsia" w:eastAsiaTheme="minorEastAsia" w:cstheme="minorEastAsia"/>
          <w:b/>
          <w:bCs/>
          <w:color w:val="auto"/>
          <w:sz w:val="28"/>
          <w:szCs w:val="28"/>
          <w:highlight w:val="none"/>
        </w:rPr>
        <w:t>正本/副本</w:t>
      </w:r>
    </w:p>
    <w:p>
      <w:pPr>
        <w:spacing w:line="360" w:lineRule="auto"/>
        <w:jc w:val="center"/>
        <w:rPr>
          <w:rFonts w:asciiTheme="minorEastAsia" w:hAnsiTheme="minorEastAsia" w:eastAsiaTheme="minorEastAsia" w:cstheme="minorEastAsia"/>
          <w:b/>
          <w:color w:val="auto"/>
          <w:sz w:val="32"/>
          <w:szCs w:val="32"/>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360" w:lineRule="auto"/>
        <w:jc w:val="center"/>
        <w:rPr>
          <w:rFonts w:asciiTheme="minorEastAsia" w:hAnsiTheme="minorEastAsia" w:eastAsiaTheme="minorEastAsia" w:cstheme="minorEastAsia"/>
          <w:b/>
          <w:color w:val="auto"/>
          <w:spacing w:val="24"/>
          <w:kern w:val="10"/>
          <w:sz w:val="52"/>
          <w:szCs w:val="52"/>
          <w:highlight w:val="none"/>
        </w:rPr>
      </w:pPr>
      <w:r>
        <w:rPr>
          <w:rFonts w:hint="eastAsia" w:asciiTheme="minorEastAsia" w:hAnsiTheme="minorEastAsia" w:eastAsiaTheme="minorEastAsia" w:cstheme="minorEastAsia"/>
          <w:b/>
          <w:color w:val="auto"/>
          <w:spacing w:val="24"/>
          <w:kern w:val="10"/>
          <w:sz w:val="52"/>
          <w:szCs w:val="52"/>
          <w:highlight w:val="none"/>
        </w:rPr>
        <w:t>投  标  文  件</w:t>
      </w:r>
    </w:p>
    <w:p>
      <w:pPr>
        <w:jc w:val="center"/>
        <w:rPr>
          <w:rFonts w:asciiTheme="minorEastAsia" w:hAnsiTheme="minorEastAsia" w:eastAsiaTheme="minorEastAsia" w:cstheme="minorEastAsia"/>
          <w:color w:val="auto"/>
          <w:sz w:val="24"/>
          <w:highlight w:val="none"/>
        </w:rPr>
      </w:pPr>
    </w:p>
    <w:p>
      <w:pPr>
        <w:pStyle w:val="8"/>
        <w:rPr>
          <w:rFonts w:hint="eastAsia"/>
          <w:color w:val="auto"/>
          <w:highlight w:val="none"/>
          <w:lang w:eastAsia="zh-CN"/>
        </w:rPr>
      </w:pPr>
      <w:r>
        <w:rPr>
          <w:rFonts w:hint="eastAsia" w:asciiTheme="minorEastAsia" w:hAnsiTheme="minorEastAsia" w:eastAsiaTheme="minorEastAsia" w:cstheme="minorEastAsia"/>
          <w:color w:val="auto"/>
          <w:sz w:val="24"/>
          <w:highlight w:val="none"/>
          <w:lang w:val="en-US" w:eastAsia="zh-CN"/>
        </w:rPr>
        <w:t xml:space="preserve"> </w:t>
      </w: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（封面）</w:t>
      </w: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b/>
          <w:color w:val="auto"/>
          <w:sz w:val="24"/>
          <w:highlight w:val="none"/>
        </w:rPr>
      </w:pPr>
    </w:p>
    <w:p>
      <w:pPr>
        <w:pStyle w:val="13"/>
        <w:spacing w:line="600" w:lineRule="exact"/>
        <w:ind w:left="1050" w:leftChars="500" w:firstLine="1152" w:firstLineChars="45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pacing w:val="8"/>
          <w:sz w:val="24"/>
          <w:highlight w:val="none"/>
        </w:rPr>
        <w:t>供  应  商：</w:t>
      </w:r>
      <w:r>
        <w:rPr>
          <w:rFonts w:asciiTheme="minorEastAsia" w:hAnsiTheme="minorEastAsia" w:eastAsiaTheme="minorEastAsia" w:cstheme="minorEastAsia"/>
          <w:color w:val="auto"/>
          <w:sz w:val="24"/>
          <w:highlight w:val="none"/>
        </w:rPr>
        <w:t>（单位公章）</w:t>
      </w:r>
    </w:p>
    <w:p>
      <w:pPr>
        <w:pStyle w:val="13"/>
        <w:spacing w:line="600" w:lineRule="exact"/>
        <w:ind w:left="1050" w:leftChars="500" w:firstLine="1200" w:firstLineChars="500"/>
        <w:rPr>
          <w:rFonts w:hint="default"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法定代表人或</w:t>
      </w:r>
      <w:r>
        <w:rPr>
          <w:rFonts w:asciiTheme="minorEastAsia" w:hAnsiTheme="minorEastAsia" w:eastAsiaTheme="minorEastAsia" w:cstheme="minorEastAsia"/>
          <w:color w:val="auto"/>
          <w:spacing w:val="12"/>
          <w:sz w:val="24"/>
          <w:highlight w:val="none"/>
        </w:rPr>
        <w:t>委托代理人：</w:t>
      </w:r>
      <w:r>
        <w:rPr>
          <w:rFonts w:asciiTheme="minorEastAsia" w:hAnsiTheme="minorEastAsia" w:eastAsiaTheme="minorEastAsia" w:cstheme="minorEastAsia"/>
          <w:color w:val="auto"/>
          <w:sz w:val="24"/>
          <w:highlight w:val="none"/>
        </w:rPr>
        <w:t xml:space="preserve">（签字或盖章）  </w:t>
      </w:r>
    </w:p>
    <w:p>
      <w:pPr>
        <w:pStyle w:val="13"/>
        <w:spacing w:line="600" w:lineRule="exact"/>
        <w:ind w:left="1050" w:leftChars="500" w:firstLine="1200" w:firstLineChars="500"/>
        <w:rPr>
          <w:rFonts w:hint="default" w:asciiTheme="minorEastAsia" w:hAnsiTheme="minorEastAsia" w:eastAsiaTheme="minorEastAsia" w:cstheme="minorEastAsia"/>
          <w:b/>
          <w:bCs/>
          <w:color w:val="auto"/>
          <w:sz w:val="28"/>
          <w:szCs w:val="28"/>
          <w:highlight w:val="none"/>
        </w:rPr>
      </w:pPr>
      <w:r>
        <w:rPr>
          <w:rFonts w:asciiTheme="minorEastAsia" w:hAnsiTheme="minorEastAsia" w:eastAsiaTheme="minorEastAsia" w:cstheme="minorEastAsia"/>
          <w:color w:val="auto"/>
          <w:sz w:val="24"/>
          <w:highlight w:val="none"/>
        </w:rPr>
        <w:t>日       期：       年    月    日</w:t>
      </w:r>
    </w:p>
    <w:p>
      <w:pPr>
        <w:ind w:firstLine="540" w:firstLineChars="192"/>
        <w:jc w:val="center"/>
        <w:rPr>
          <w:rFonts w:asciiTheme="minorEastAsia" w:hAnsiTheme="minorEastAsia" w:eastAsiaTheme="minorEastAsia" w:cstheme="minorEastAsia"/>
          <w:b/>
          <w:bCs/>
          <w:color w:val="auto"/>
          <w:sz w:val="28"/>
          <w:szCs w:val="28"/>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pStyle w:val="2"/>
        <w:rPr>
          <w:rFonts w:asciiTheme="minorEastAsia" w:hAnsiTheme="minorEastAsia" w:eastAsiaTheme="minorEastAsia" w:cstheme="minorEastAsia"/>
          <w:b/>
          <w:bCs/>
          <w:color w:val="auto"/>
          <w:sz w:val="44"/>
          <w:szCs w:val="44"/>
          <w:highlight w:val="none"/>
        </w:rPr>
      </w:pPr>
    </w:p>
    <w:p>
      <w:pPr>
        <w:rPr>
          <w:rFonts w:asciiTheme="minorEastAsia" w:hAnsiTheme="minorEastAsia" w:eastAsiaTheme="minorEastAsia" w:cstheme="minorEastAsia"/>
          <w:b/>
          <w:bCs/>
          <w:color w:val="auto"/>
          <w:sz w:val="44"/>
          <w:szCs w:val="44"/>
          <w:highlight w:val="none"/>
        </w:rPr>
      </w:pPr>
    </w:p>
    <w:p>
      <w:pPr>
        <w:pStyle w:val="2"/>
      </w:pPr>
    </w:p>
    <w:p>
      <w:pPr>
        <w:ind w:firstLine="848" w:firstLineChars="192"/>
        <w:jc w:val="center"/>
        <w:rPr>
          <w:rFonts w:asciiTheme="minorEastAsia" w:hAnsiTheme="minorEastAsia" w:eastAsiaTheme="minorEastAsia" w:cstheme="minorEastAsia"/>
          <w:b/>
          <w:bCs/>
          <w:color w:val="auto"/>
          <w:sz w:val="44"/>
          <w:szCs w:val="44"/>
          <w:highlight w:val="none"/>
        </w:rPr>
      </w:pPr>
    </w:p>
    <w:p>
      <w:pPr>
        <w:ind w:firstLine="848" w:firstLineChars="192"/>
        <w:jc w:val="center"/>
        <w:rPr>
          <w:rFonts w:asciiTheme="minorEastAsia" w:hAnsiTheme="minorEastAsia" w:eastAsiaTheme="minorEastAsia" w:cstheme="minorEastAsia"/>
          <w:b/>
          <w:bCs/>
          <w:color w:val="auto"/>
          <w:sz w:val="44"/>
          <w:szCs w:val="4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asciiTheme="minorEastAsia" w:hAnsiTheme="minorEastAsia" w:eastAsiaTheme="minorEastAsia" w:cstheme="minorEastAsia"/>
          <w:b/>
          <w:bCs/>
          <w:color w:val="auto"/>
          <w:sz w:val="28"/>
          <w:szCs w:val="28"/>
          <w:highlight w:val="none"/>
        </w:rPr>
      </w:pPr>
      <w:bookmarkStart w:id="268" w:name="_Toc31547"/>
      <w:bookmarkStart w:id="269" w:name="_Toc2130"/>
      <w:r>
        <w:rPr>
          <w:rFonts w:asciiTheme="minorEastAsia" w:hAnsiTheme="minorEastAsia" w:eastAsiaTheme="minorEastAsia" w:cstheme="minorEastAsia"/>
          <w:color w:val="auto"/>
          <w:szCs w:val="21"/>
          <w:highlight w:val="none"/>
        </w:rPr>
        <w:t>（自拟）</w:t>
      </w:r>
      <w:r>
        <w:rPr>
          <w:rFonts w:hint="eastAsia" w:asciiTheme="minorEastAsia" w:hAnsiTheme="minorEastAsia" w:eastAsiaTheme="minorEastAsia" w:cstheme="minorEastAsia"/>
          <w:color w:val="auto"/>
          <w:szCs w:val="21"/>
          <w:highlight w:val="none"/>
        </w:rPr>
        <w:br w:type="page"/>
      </w:r>
      <w:bookmarkStart w:id="270" w:name="_Toc1921"/>
      <w:r>
        <w:rPr>
          <w:rFonts w:hint="eastAsia" w:asciiTheme="minorEastAsia" w:hAnsiTheme="minorEastAsia" w:eastAsiaTheme="minorEastAsia" w:cstheme="minorEastAsia"/>
          <w:b/>
          <w:bCs/>
          <w:color w:val="auto"/>
          <w:sz w:val="30"/>
          <w:szCs w:val="30"/>
          <w:highlight w:val="none"/>
        </w:rPr>
        <w:t>一、投标函</w:t>
      </w:r>
      <w:bookmarkEnd w:id="268"/>
      <w:r>
        <w:rPr>
          <w:rFonts w:hint="eastAsia" w:asciiTheme="minorEastAsia" w:hAnsiTheme="minorEastAsia" w:eastAsiaTheme="minorEastAsia" w:cstheme="minorEastAsia"/>
          <w:b/>
          <w:bCs/>
          <w:color w:val="auto"/>
          <w:sz w:val="30"/>
          <w:szCs w:val="30"/>
          <w:highlight w:val="none"/>
        </w:rPr>
        <w:t>及开标一览表</w:t>
      </w:r>
      <w:bookmarkEnd w:id="269"/>
      <w:bookmarkEnd w:id="270"/>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jc w:val="center"/>
        <w:textAlignment w:val="auto"/>
        <w:outlineLvl w:val="2"/>
        <w:rPr>
          <w:rFonts w:hint="eastAsia" w:asciiTheme="minorEastAsia" w:hAnsiTheme="minorEastAsia" w:eastAsiaTheme="minorEastAsia" w:cstheme="minorEastAsia"/>
          <w:b/>
          <w:color w:val="auto"/>
          <w:sz w:val="28"/>
          <w:szCs w:val="28"/>
          <w:highlight w:val="none"/>
        </w:rPr>
      </w:pPr>
      <w:bookmarkStart w:id="271" w:name="_Toc27218"/>
      <w:bookmarkStart w:id="272" w:name="_Toc28684"/>
      <w:bookmarkStart w:id="273" w:name="_Toc12044"/>
      <w:bookmarkStart w:id="274" w:name="_Toc600"/>
      <w:r>
        <w:rPr>
          <w:rFonts w:hint="eastAsia" w:asciiTheme="minorEastAsia" w:hAnsiTheme="minorEastAsia" w:eastAsiaTheme="minorEastAsia" w:cstheme="minorEastAsia"/>
          <w:b/>
          <w:color w:val="auto"/>
          <w:sz w:val="28"/>
          <w:szCs w:val="28"/>
          <w:highlight w:val="none"/>
        </w:rPr>
        <w:t>投标函</w:t>
      </w:r>
      <w:bookmarkEnd w:id="271"/>
      <w:bookmarkEnd w:id="272"/>
      <w:bookmarkEnd w:id="273"/>
      <w:bookmarkEnd w:id="274"/>
    </w:p>
    <w:p>
      <w:pPr>
        <w:pStyle w:val="2"/>
        <w:numPr>
          <w:ilvl w:val="0"/>
          <w:numId w:val="0"/>
        </w:numPr>
      </w:pPr>
    </w:p>
    <w:p>
      <w:pPr>
        <w:pageBreakBefore w:val="0"/>
        <w:widowControl/>
        <w:kinsoku/>
        <w:wordWrap/>
        <w:overflowPunct/>
        <w:topLinePunct w:val="0"/>
        <w:bidi w:val="0"/>
        <w:spacing w:beforeAutospacing="0" w:afterAutospacing="0" w:line="360" w:lineRule="auto"/>
        <w:ind w:firstLine="562" w:firstLineChars="200"/>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pStyle w:val="21"/>
        <w:pageBreakBefore w:val="0"/>
        <w:kinsoku/>
        <w:wordWrap/>
        <w:overflowPunct/>
        <w:topLinePunct w:val="0"/>
        <w:bidi w:val="0"/>
        <w:spacing w:beforeAutospacing="0" w:after="0" w:afterAutospacing="0"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我单位已收到的</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项目（采购编号：</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）采购文件及有关纪要通知，现对参与投标及中标后工作，做出如下郑重承诺：</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1、我方愿以总价为人民币（大写）</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（小写）￥ </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元，供货期：</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lang w:val="en-US" w:eastAsia="zh-CN" w:bidi="ar-SA"/>
        </w:rPr>
        <w:t xml:space="preserve"> ，按合同约定实施和完成本项目。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trike/>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2、</w:t>
      </w:r>
      <w:r>
        <w:rPr>
          <w:rFonts w:hint="eastAsia" w:ascii="宋体" w:hAnsi="宋体"/>
          <w:strike w:val="0"/>
          <w:color w:val="auto"/>
          <w:sz w:val="24"/>
          <w:highlight w:val="none"/>
        </w:rPr>
        <w:t>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w:t>
      </w:r>
      <w:r>
        <w:rPr>
          <w:rFonts w:hint="eastAsia" w:ascii="宋体" w:hAnsi="宋体"/>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3、我方明白采购人不一定接纳最低投标报价的采购，也不需要采购人解释选择或否决任何供应商的原因和理由。</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4、我方参与本项目投标的所有资料</w:t>
      </w:r>
      <w:r>
        <w:rPr>
          <w:rFonts w:hint="eastAsia" w:ascii="宋体" w:hAnsi="宋体" w:cs="宋体"/>
          <w:color w:val="auto"/>
          <w:kern w:val="2"/>
          <w:sz w:val="24"/>
          <w:szCs w:val="24"/>
          <w:highlight w:val="none"/>
          <w:lang w:val="en-US" w:eastAsia="zh-CN" w:bidi="ar-SA"/>
        </w:rPr>
        <w:t>真实</w:t>
      </w:r>
      <w:r>
        <w:rPr>
          <w:rFonts w:hint="eastAsia" w:ascii="宋体" w:hAnsi="宋体" w:eastAsia="宋体" w:cs="宋体"/>
          <w:color w:val="auto"/>
          <w:kern w:val="2"/>
          <w:sz w:val="24"/>
          <w:szCs w:val="24"/>
          <w:highlight w:val="none"/>
          <w:lang w:val="en-US" w:eastAsia="zh-CN" w:bidi="ar-SA"/>
        </w:rPr>
        <w:t>有效，未在响应文件中提供虚假材料，无陪标、串标等违法行为。若相关部门查实或被不见面开标系统提示为“投标文件制作机器码一致”的，同意被视为投标无效，接受报监管部门依法作出的处理。</w:t>
      </w:r>
    </w:p>
    <w:p>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供应商：（盖章）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法定代表人或授权委托代理人：（签字或盖章）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b/>
          <w:bCs/>
          <w:color w:val="auto"/>
          <w:kern w:val="0"/>
          <w:sz w:val="32"/>
          <w:szCs w:val="32"/>
          <w:highlight w:val="none"/>
        </w:rPr>
      </w:pPr>
      <w:r>
        <w:rPr>
          <w:rFonts w:hint="eastAsia" w:ascii="宋体" w:hAnsi="宋体"/>
          <w:color w:val="auto"/>
          <w:kern w:val="0"/>
          <w:sz w:val="24"/>
          <w:highlight w:val="none"/>
        </w:rPr>
        <w:t>年      月      日</w:t>
      </w:r>
    </w:p>
    <w:p>
      <w:pPr>
        <w:spacing w:line="500" w:lineRule="exact"/>
        <w:jc w:val="center"/>
        <w:outlineLvl w:val="2"/>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br w:type="page"/>
      </w:r>
      <w:bookmarkStart w:id="275" w:name="_Toc9543"/>
      <w:bookmarkStart w:id="276" w:name="_Toc31291"/>
      <w:bookmarkStart w:id="277" w:name="_Toc208"/>
      <w:bookmarkStart w:id="278" w:name="_Toc14778"/>
      <w:r>
        <w:rPr>
          <w:rFonts w:hint="eastAsia" w:asciiTheme="minorEastAsia" w:hAnsiTheme="minorEastAsia" w:eastAsiaTheme="minorEastAsia" w:cstheme="minorEastAsia"/>
          <w:b/>
          <w:bCs/>
          <w:color w:val="auto"/>
          <w:sz w:val="28"/>
          <w:szCs w:val="28"/>
          <w:highlight w:val="none"/>
        </w:rPr>
        <w:t>（二） 开标一览表</w:t>
      </w:r>
      <w:bookmarkEnd w:id="275"/>
      <w:bookmarkEnd w:id="276"/>
      <w:bookmarkEnd w:id="277"/>
      <w:bookmarkEnd w:id="278"/>
    </w:p>
    <w:p>
      <w:pPr>
        <w:jc w:val="center"/>
        <w:rPr>
          <w:rFonts w:asciiTheme="minorEastAsia" w:hAnsiTheme="minorEastAsia" w:eastAsiaTheme="minorEastAsia" w:cstheme="minorEastAsia"/>
          <w:b/>
          <w:bCs/>
          <w:color w:val="auto"/>
          <w:sz w:val="28"/>
          <w:highlight w:val="none"/>
        </w:rPr>
      </w:pPr>
    </w:p>
    <w:tbl>
      <w:tblPr>
        <w:tblStyle w:val="22"/>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 标 人</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投标总报价</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（大写）                                </w:t>
            </w:r>
          </w:p>
          <w:p>
            <w:pPr>
              <w:pStyle w:val="3"/>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质量标准</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color w:val="auto"/>
                <w:sz w:val="24"/>
                <w:highlight w:val="yellow"/>
              </w:rPr>
            </w:pPr>
            <w:r>
              <w:rPr>
                <w:rFonts w:hint="eastAsia" w:asciiTheme="minorEastAsia" w:hAnsiTheme="minorEastAsia" w:eastAsiaTheme="minorEastAsia" w:cstheme="minorEastAsia"/>
                <w:bCs/>
                <w:iCs/>
                <w:color w:val="auto"/>
                <w:sz w:val="24"/>
                <w:highlight w:val="none"/>
              </w:rPr>
              <w:t>供货期</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hint="eastAsia" w:asciiTheme="minorEastAsia" w:hAnsiTheme="minorEastAsia" w:eastAsiaTheme="minorEastAsia" w:cstheme="minorEastAsia"/>
                <w:bCs/>
                <w:iCs/>
                <w:color w:val="auto"/>
                <w:sz w:val="24"/>
                <w:highlight w:val="yellow"/>
                <w:lang w:val="en-US" w:eastAsia="zh-CN"/>
              </w:rPr>
            </w:pPr>
            <w:r>
              <w:rPr>
                <w:rFonts w:hint="eastAsia" w:asciiTheme="minorEastAsia" w:hAnsiTheme="minorEastAsia" w:eastAsiaTheme="minorEastAsia" w:cstheme="minorEastAsia"/>
                <w:bCs/>
                <w:iCs/>
                <w:color w:val="auto"/>
                <w:sz w:val="24"/>
                <w:highlight w:val="none"/>
                <w:lang w:val="en-US" w:eastAsia="zh-CN"/>
              </w:rPr>
              <w:t>质保期</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color w:val="auto"/>
                <w:sz w:val="24"/>
                <w:highlight w:val="yellow"/>
              </w:rPr>
            </w:pPr>
            <w:r>
              <w:rPr>
                <w:rFonts w:hint="eastAsia" w:asciiTheme="minorEastAsia" w:hAnsiTheme="minorEastAsia" w:eastAsiaTheme="minorEastAsia" w:cstheme="minorEastAsia"/>
                <w:bCs/>
                <w:iCs/>
                <w:color w:val="auto"/>
                <w:sz w:val="24"/>
                <w:highlight w:val="none"/>
              </w:rPr>
              <w:t>投标有效期</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3"/>
              <w:spacing w:line="400" w:lineRule="exact"/>
              <w:ind w:firstLine="480"/>
              <w:rPr>
                <w:rFonts w:asciiTheme="minorEastAsia" w:hAnsiTheme="minorEastAsia" w:eastAsiaTheme="minorEastAsia" w:cstheme="minorEastAsia"/>
                <w:bCs/>
                <w:iCs/>
                <w:color w:val="auto"/>
                <w:sz w:val="24"/>
                <w:highlight w:val="none"/>
              </w:rPr>
            </w:pPr>
            <w:r>
              <w:rPr>
                <w:rFonts w:hint="eastAsia" w:asciiTheme="minorEastAsia" w:hAnsiTheme="minorEastAsia" w:eastAsiaTheme="minorEastAsia" w:cstheme="minorEastAsia"/>
                <w:color w:val="auto"/>
                <w:sz w:val="24"/>
                <w:szCs w:val="20"/>
                <w:highlight w:val="none"/>
              </w:rPr>
              <w:t>备注：</w:t>
            </w:r>
          </w:p>
        </w:tc>
        <w:tc>
          <w:tcPr>
            <w:tcW w:w="5898" w:type="dxa"/>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3"/>
              <w:spacing w:line="400" w:lineRule="exact"/>
              <w:ind w:firstLine="480"/>
              <w:rPr>
                <w:rFonts w:asciiTheme="minorEastAsia" w:hAnsiTheme="minorEastAsia" w:eastAsiaTheme="minorEastAsia" w:cstheme="minorEastAsia"/>
                <w:color w:val="auto"/>
                <w:sz w:val="24"/>
                <w:szCs w:val="20"/>
                <w:highlight w:val="none"/>
              </w:rPr>
            </w:pPr>
          </w:p>
        </w:tc>
      </w:tr>
    </w:tbl>
    <w:p>
      <w:pPr>
        <w:spacing w:line="360" w:lineRule="exact"/>
        <w:jc w:val="right"/>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p>
    <w:p>
      <w:pPr>
        <w:ind w:firstLine="3240" w:firstLineChars="1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供应商：（单位公章）</w:t>
      </w:r>
    </w:p>
    <w:p>
      <w:pPr>
        <w:ind w:left="1050" w:leftChars="500"/>
        <w:jc w:val="center"/>
        <w:rPr>
          <w:rFonts w:asciiTheme="minorEastAsia" w:hAnsiTheme="minorEastAsia" w:eastAsiaTheme="minorEastAsia" w:cstheme="minorEastAsia"/>
          <w:color w:val="auto"/>
          <w:sz w:val="24"/>
          <w:highlight w:val="none"/>
        </w:rPr>
      </w:pPr>
    </w:p>
    <w:p>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法定代表人</w:t>
      </w:r>
      <w:r>
        <w:rPr>
          <w:rFonts w:hint="eastAsia" w:asciiTheme="minorEastAsia" w:hAnsiTheme="minorEastAsia" w:eastAsiaTheme="minorEastAsia" w:cstheme="minorEastAsia"/>
          <w:color w:val="auto"/>
          <w:sz w:val="24"/>
          <w:szCs w:val="20"/>
          <w:highlight w:val="none"/>
        </w:rPr>
        <w:t>或其委托代理人</w:t>
      </w:r>
      <w:r>
        <w:rPr>
          <w:rFonts w:hint="eastAsia" w:asciiTheme="minorEastAsia" w:hAnsiTheme="minorEastAsia" w:eastAsiaTheme="minorEastAsia" w:cstheme="minorEastAsia"/>
          <w:color w:val="auto"/>
          <w:sz w:val="24"/>
          <w:highlight w:val="none"/>
        </w:rPr>
        <w:t>：（签字或盖章）</w:t>
      </w:r>
    </w:p>
    <w:p>
      <w:pPr>
        <w:ind w:left="1050" w:leftChars="500"/>
        <w:jc w:val="center"/>
        <w:rPr>
          <w:rFonts w:asciiTheme="minorEastAsia" w:hAnsiTheme="minorEastAsia" w:eastAsiaTheme="minorEastAsia" w:cstheme="minorEastAsia"/>
          <w:color w:val="auto"/>
          <w:sz w:val="24"/>
          <w:highlight w:val="none"/>
        </w:rPr>
      </w:pPr>
    </w:p>
    <w:p>
      <w:pPr>
        <w:ind w:left="1050" w:leftChars="5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     年   月   日</w:t>
      </w: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pStyle w:val="10"/>
        <w:rPr>
          <w:rFonts w:asciiTheme="minorEastAsia" w:hAnsiTheme="minorEastAsia" w:eastAsiaTheme="minorEastAsia" w:cstheme="minorEastAsia"/>
          <w:color w:val="auto"/>
          <w:sz w:val="24"/>
          <w:highlight w:val="none"/>
        </w:rPr>
      </w:pPr>
    </w:p>
    <w:p>
      <w:pPr>
        <w:pStyle w:val="20"/>
        <w:spacing w:before="120" w:after="120" w:line="500" w:lineRule="exact"/>
        <w:ind w:right="29" w:rightChars="14"/>
        <w:outlineLvl w:val="1"/>
        <w:rPr>
          <w:rFonts w:asciiTheme="minorEastAsia" w:hAnsiTheme="minorEastAsia" w:eastAsiaTheme="minorEastAsia" w:cstheme="minorEastAsia"/>
          <w:color w:val="auto"/>
          <w:sz w:val="24"/>
          <w:highlight w:val="none"/>
        </w:rPr>
      </w:pPr>
    </w:p>
    <w:p>
      <w:pPr>
        <w:pStyle w:val="20"/>
        <w:spacing w:before="120" w:after="120" w:line="500" w:lineRule="exact"/>
        <w:ind w:right="29" w:rightChars="14"/>
        <w:outlineLvl w:val="1"/>
        <w:rPr>
          <w:rFonts w:asciiTheme="minorEastAsia" w:hAnsiTheme="minorEastAsia" w:eastAsiaTheme="minorEastAsia" w:cstheme="minorEastAsia"/>
          <w:color w:val="auto"/>
          <w:sz w:val="24"/>
          <w:highlight w:val="none"/>
        </w:rPr>
        <w:sectPr>
          <w:headerReference r:id="rId9" w:type="default"/>
          <w:footerReference r:id="rId10" w:type="default"/>
          <w:pgSz w:w="11907" w:h="16840"/>
          <w:pgMar w:top="1276" w:right="1116" w:bottom="1417" w:left="911" w:header="850" w:footer="998" w:gutter="0"/>
          <w:pgNumType w:fmt="numberInDash"/>
          <w:cols w:space="720" w:num="1"/>
          <w:docGrid w:type="lines" w:linePitch="380" w:charSpace="0"/>
        </w:sectPr>
      </w:pPr>
    </w:p>
    <w:p>
      <w:pPr>
        <w:spacing w:line="500" w:lineRule="exact"/>
        <w:jc w:val="center"/>
        <w:outlineLvl w:val="2"/>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（三）报价明细表</w:t>
      </w:r>
    </w:p>
    <w:p>
      <w:pPr>
        <w:spacing w:line="440" w:lineRule="exact"/>
        <w:ind w:firstLine="308" w:firstLineChars="147"/>
        <w:rPr>
          <w:rFonts w:ascii="宋体" w:hAnsi="宋体" w:cs="宋体"/>
          <w:bCs/>
          <w:color w:val="auto"/>
          <w:szCs w:val="21"/>
          <w:highlight w:val="none"/>
        </w:rPr>
      </w:pPr>
    </w:p>
    <w:tbl>
      <w:tblPr>
        <w:tblStyle w:val="22"/>
        <w:tblW w:w="991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2518"/>
        <w:gridCol w:w="772"/>
        <w:gridCol w:w="723"/>
        <w:gridCol w:w="818"/>
        <w:gridCol w:w="93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307" w:type="dxa"/>
            <w:vMerge w:val="restart"/>
            <w:tcBorders>
              <w:top w:val="single" w:color="auto" w:sz="4" w:space="0"/>
              <w:left w:val="single" w:color="auto" w:sz="4" w:space="0"/>
              <w:right w:val="single" w:color="auto" w:sz="4" w:space="0"/>
            </w:tcBorders>
            <w:noWrap/>
            <w:vAlign w:val="center"/>
          </w:tcPr>
          <w:p>
            <w:pPr>
              <w:pStyle w:val="19"/>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名称</w:t>
            </w:r>
          </w:p>
        </w:tc>
        <w:tc>
          <w:tcPr>
            <w:tcW w:w="4218" w:type="dxa"/>
            <w:gridSpan w:val="3"/>
            <w:tcBorders>
              <w:top w:val="single" w:color="auto" w:sz="4" w:space="0"/>
              <w:left w:val="single" w:color="auto" w:sz="4" w:space="0"/>
              <w:bottom w:val="single" w:color="auto" w:sz="4" w:space="0"/>
              <w:right w:val="single" w:color="auto" w:sz="4" w:space="0"/>
            </w:tcBorders>
            <w:noWrap/>
            <w:vAlign w:val="center"/>
          </w:tcPr>
          <w:p>
            <w:pPr>
              <w:pStyle w:val="19"/>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所投设备</w:t>
            </w:r>
          </w:p>
        </w:tc>
        <w:tc>
          <w:tcPr>
            <w:tcW w:w="772" w:type="dxa"/>
            <w:vMerge w:val="restart"/>
            <w:tcBorders>
              <w:top w:val="single" w:color="auto" w:sz="4" w:space="0"/>
              <w:left w:val="single" w:color="auto" w:sz="4" w:space="0"/>
              <w:right w:val="single" w:color="auto" w:sz="4" w:space="0"/>
            </w:tcBorders>
            <w:noWrap/>
            <w:vAlign w:val="center"/>
          </w:tcPr>
          <w:p>
            <w:pPr>
              <w:pStyle w:val="19"/>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单位</w:t>
            </w:r>
          </w:p>
        </w:tc>
        <w:tc>
          <w:tcPr>
            <w:tcW w:w="723" w:type="dxa"/>
            <w:vMerge w:val="restart"/>
            <w:tcBorders>
              <w:top w:val="single" w:color="auto" w:sz="4" w:space="0"/>
              <w:left w:val="single" w:color="auto" w:sz="4" w:space="0"/>
              <w:right w:val="single" w:color="auto" w:sz="4" w:space="0"/>
            </w:tcBorders>
            <w:noWrap/>
            <w:vAlign w:val="center"/>
          </w:tcPr>
          <w:p>
            <w:pPr>
              <w:pStyle w:val="19"/>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数量</w:t>
            </w:r>
          </w:p>
        </w:tc>
        <w:tc>
          <w:tcPr>
            <w:tcW w:w="818" w:type="dxa"/>
            <w:vMerge w:val="restart"/>
            <w:tcBorders>
              <w:top w:val="single" w:color="auto" w:sz="4" w:space="0"/>
              <w:left w:val="single" w:color="auto" w:sz="4" w:space="0"/>
              <w:right w:val="single" w:color="auto" w:sz="4" w:space="0"/>
            </w:tcBorders>
            <w:noWrap/>
            <w:vAlign w:val="center"/>
          </w:tcPr>
          <w:p>
            <w:pPr>
              <w:pStyle w:val="19"/>
              <w:widowControl w:val="0"/>
              <w:adjustRightInd w:val="0"/>
              <w:spacing w:before="0" w:beforeAutospacing="0" w:after="0" w:afterAutospacing="0" w:line="480" w:lineRule="exact"/>
              <w:ind w:firstLine="235" w:firstLineChars="98"/>
              <w:jc w:val="center"/>
              <w:rPr>
                <w:bCs/>
                <w:color w:val="auto"/>
                <w:highlight w:val="none"/>
              </w:rPr>
            </w:pPr>
          </w:p>
          <w:p>
            <w:pPr>
              <w:pStyle w:val="19"/>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单价（元）</w:t>
            </w:r>
          </w:p>
          <w:p>
            <w:pPr>
              <w:pStyle w:val="19"/>
              <w:widowControl w:val="0"/>
              <w:adjustRightInd w:val="0"/>
              <w:spacing w:before="0" w:beforeAutospacing="0" w:after="0" w:afterAutospacing="0" w:line="480" w:lineRule="exact"/>
              <w:ind w:firstLine="235" w:firstLineChars="98"/>
              <w:jc w:val="center"/>
              <w:rPr>
                <w:bCs/>
                <w:color w:val="auto"/>
                <w:highlight w:val="none"/>
              </w:rPr>
            </w:pPr>
          </w:p>
        </w:tc>
        <w:tc>
          <w:tcPr>
            <w:tcW w:w="937" w:type="dxa"/>
            <w:vMerge w:val="restart"/>
            <w:tcBorders>
              <w:top w:val="single" w:color="auto" w:sz="4" w:space="0"/>
              <w:left w:val="single" w:color="auto" w:sz="4" w:space="0"/>
              <w:right w:val="single" w:color="auto" w:sz="4" w:space="0"/>
            </w:tcBorders>
            <w:noWrap/>
            <w:vAlign w:val="center"/>
          </w:tcPr>
          <w:p>
            <w:pPr>
              <w:pStyle w:val="19"/>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合价（元）</w:t>
            </w:r>
          </w:p>
        </w:tc>
        <w:tc>
          <w:tcPr>
            <w:tcW w:w="1142" w:type="dxa"/>
            <w:vMerge w:val="restart"/>
            <w:tcBorders>
              <w:top w:val="single" w:color="auto" w:sz="4" w:space="0"/>
              <w:left w:val="single" w:color="auto" w:sz="4" w:space="0"/>
              <w:right w:val="single" w:color="auto" w:sz="4" w:space="0"/>
            </w:tcBorders>
            <w:noWrap/>
          </w:tcPr>
          <w:p>
            <w:pPr>
              <w:pStyle w:val="19"/>
              <w:widowControl w:val="0"/>
              <w:adjustRightInd w:val="0"/>
              <w:spacing w:before="0" w:beforeAutospacing="0" w:after="0" w:afterAutospacing="0" w:line="480" w:lineRule="exact"/>
              <w:jc w:val="both"/>
              <w:rPr>
                <w:bCs/>
                <w:color w:val="auto"/>
                <w:highlight w:val="none"/>
              </w:rPr>
            </w:pPr>
            <w:r>
              <w:rPr>
                <w:rFonts w:hint="eastAsia"/>
                <w:bCs/>
                <w:color w:val="auto"/>
                <w:highlight w:val="none"/>
                <w:lang w:val="en-US" w:eastAsia="zh-CN"/>
              </w:rPr>
              <w:t xml:space="preserve"> </w:t>
            </w:r>
            <w:r>
              <w:rPr>
                <w:rFonts w:hint="eastAsia"/>
                <w:bCs/>
                <w:color w:val="auto"/>
                <w:highlight w:val="none"/>
              </w:rPr>
              <w:br w:type="textWrapping"/>
            </w: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307" w:type="dxa"/>
            <w:vMerge w:val="continue"/>
            <w:tcBorders>
              <w:left w:val="single" w:color="auto" w:sz="4" w:space="0"/>
              <w:bottom w:val="single" w:color="auto" w:sz="4" w:space="0"/>
              <w:right w:val="single" w:color="auto" w:sz="4" w:space="0"/>
            </w:tcBorders>
            <w:noWrap/>
            <w:vAlign w:val="center"/>
          </w:tcPr>
          <w:p>
            <w:pPr>
              <w:pStyle w:val="19"/>
              <w:widowControl w:val="0"/>
              <w:adjustRightInd w:val="0"/>
              <w:spacing w:before="0" w:beforeAutospacing="0" w:after="0" w:afterAutospacing="0" w:line="480" w:lineRule="exact"/>
              <w:jc w:val="center"/>
              <w:rPr>
                <w:bCs/>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19"/>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品牌</w:t>
            </w:r>
          </w:p>
        </w:tc>
        <w:tc>
          <w:tcPr>
            <w:tcW w:w="849" w:type="dxa"/>
            <w:tcBorders>
              <w:top w:val="single" w:color="auto" w:sz="4" w:space="0"/>
              <w:left w:val="single" w:color="auto" w:sz="4" w:space="0"/>
              <w:bottom w:val="single" w:color="auto" w:sz="4" w:space="0"/>
              <w:right w:val="single" w:color="auto" w:sz="4" w:space="0"/>
            </w:tcBorders>
            <w:noWrap/>
            <w:vAlign w:val="center"/>
          </w:tcPr>
          <w:p>
            <w:pPr>
              <w:pStyle w:val="19"/>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型号</w:t>
            </w:r>
          </w:p>
        </w:tc>
        <w:tc>
          <w:tcPr>
            <w:tcW w:w="2518" w:type="dxa"/>
            <w:tcBorders>
              <w:top w:val="single" w:color="auto" w:sz="4" w:space="0"/>
              <w:left w:val="single" w:color="auto" w:sz="4" w:space="0"/>
              <w:bottom w:val="single" w:color="auto" w:sz="4" w:space="0"/>
              <w:right w:val="single" w:color="auto" w:sz="4" w:space="0"/>
            </w:tcBorders>
            <w:noWrap/>
            <w:vAlign w:val="center"/>
          </w:tcPr>
          <w:p>
            <w:pPr>
              <w:pStyle w:val="19"/>
              <w:widowControl w:val="0"/>
              <w:adjustRightInd w:val="0"/>
              <w:spacing w:before="0" w:beforeAutospacing="0" w:after="0" w:afterAutospacing="0" w:line="480" w:lineRule="exact"/>
              <w:jc w:val="center"/>
              <w:rPr>
                <w:bCs/>
                <w:color w:val="auto"/>
                <w:highlight w:val="none"/>
              </w:rPr>
            </w:pPr>
            <w:r>
              <w:rPr>
                <w:rFonts w:hint="eastAsia"/>
                <w:bCs/>
                <w:color w:val="auto"/>
                <w:highlight w:val="none"/>
              </w:rPr>
              <w:t>技术参数</w:t>
            </w:r>
          </w:p>
        </w:tc>
        <w:tc>
          <w:tcPr>
            <w:tcW w:w="772" w:type="dxa"/>
            <w:vMerge w:val="continue"/>
            <w:tcBorders>
              <w:left w:val="single" w:color="auto" w:sz="4" w:space="0"/>
              <w:bottom w:val="single" w:color="auto" w:sz="4" w:space="0"/>
              <w:right w:val="single" w:color="auto" w:sz="4" w:space="0"/>
            </w:tcBorders>
            <w:noWrap/>
            <w:vAlign w:val="center"/>
          </w:tcPr>
          <w:p>
            <w:pPr>
              <w:pStyle w:val="19"/>
              <w:widowControl w:val="0"/>
              <w:adjustRightInd w:val="0"/>
              <w:spacing w:before="0" w:beforeAutospacing="0" w:after="0" w:afterAutospacing="0" w:line="480" w:lineRule="exact"/>
              <w:jc w:val="center"/>
              <w:rPr>
                <w:bCs/>
                <w:color w:val="auto"/>
                <w:highlight w:val="yellow"/>
              </w:rPr>
            </w:pPr>
          </w:p>
        </w:tc>
        <w:tc>
          <w:tcPr>
            <w:tcW w:w="723" w:type="dxa"/>
            <w:vMerge w:val="continue"/>
            <w:tcBorders>
              <w:left w:val="single" w:color="auto" w:sz="4" w:space="0"/>
              <w:bottom w:val="single" w:color="auto" w:sz="4" w:space="0"/>
              <w:right w:val="single" w:color="auto" w:sz="4" w:space="0"/>
            </w:tcBorders>
            <w:noWrap/>
            <w:vAlign w:val="center"/>
          </w:tcPr>
          <w:p>
            <w:pPr>
              <w:pStyle w:val="19"/>
              <w:widowControl w:val="0"/>
              <w:adjustRightInd w:val="0"/>
              <w:spacing w:before="0" w:beforeAutospacing="0" w:after="0" w:afterAutospacing="0" w:line="480" w:lineRule="exact"/>
              <w:jc w:val="center"/>
              <w:rPr>
                <w:bCs/>
                <w:color w:val="auto"/>
                <w:highlight w:val="yellow"/>
              </w:rPr>
            </w:pPr>
          </w:p>
        </w:tc>
        <w:tc>
          <w:tcPr>
            <w:tcW w:w="818" w:type="dxa"/>
            <w:vMerge w:val="continue"/>
            <w:tcBorders>
              <w:left w:val="single" w:color="auto" w:sz="4" w:space="0"/>
              <w:bottom w:val="single" w:color="auto" w:sz="4" w:space="0"/>
              <w:right w:val="single" w:color="auto" w:sz="4" w:space="0"/>
            </w:tcBorders>
            <w:noWrap/>
            <w:vAlign w:val="center"/>
          </w:tcPr>
          <w:p>
            <w:pPr>
              <w:pStyle w:val="19"/>
              <w:widowControl w:val="0"/>
              <w:adjustRightInd w:val="0"/>
              <w:spacing w:before="0" w:beforeAutospacing="0" w:after="0" w:afterAutospacing="0" w:line="480" w:lineRule="exact"/>
              <w:ind w:firstLine="235" w:firstLineChars="98"/>
              <w:jc w:val="center"/>
              <w:rPr>
                <w:bCs/>
                <w:color w:val="auto"/>
                <w:highlight w:val="yellow"/>
              </w:rPr>
            </w:pPr>
          </w:p>
        </w:tc>
        <w:tc>
          <w:tcPr>
            <w:tcW w:w="937" w:type="dxa"/>
            <w:vMerge w:val="continue"/>
            <w:tcBorders>
              <w:left w:val="single" w:color="auto" w:sz="4" w:space="0"/>
              <w:bottom w:val="single" w:color="auto" w:sz="4" w:space="0"/>
              <w:right w:val="single" w:color="auto" w:sz="4" w:space="0"/>
            </w:tcBorders>
            <w:noWrap/>
            <w:vAlign w:val="center"/>
          </w:tcPr>
          <w:p>
            <w:pPr>
              <w:pStyle w:val="19"/>
              <w:widowControl w:val="0"/>
              <w:adjustRightInd w:val="0"/>
              <w:spacing w:before="0" w:beforeAutospacing="0" w:after="0" w:afterAutospacing="0" w:line="480" w:lineRule="exact"/>
              <w:jc w:val="center"/>
              <w:rPr>
                <w:bCs/>
                <w:color w:val="auto"/>
                <w:highlight w:val="none"/>
              </w:rPr>
            </w:pPr>
          </w:p>
        </w:tc>
        <w:tc>
          <w:tcPr>
            <w:tcW w:w="1142" w:type="dxa"/>
            <w:vMerge w:val="continue"/>
            <w:tcBorders>
              <w:left w:val="single" w:color="auto" w:sz="4" w:space="0"/>
              <w:bottom w:val="single" w:color="auto" w:sz="4" w:space="0"/>
              <w:right w:val="single" w:color="auto" w:sz="4" w:space="0"/>
            </w:tcBorders>
            <w:noWrap/>
          </w:tcPr>
          <w:p>
            <w:pPr>
              <w:pStyle w:val="19"/>
              <w:widowControl w:val="0"/>
              <w:adjustRightInd w:val="0"/>
              <w:spacing w:before="0" w:beforeAutospacing="0" w:after="0" w:afterAutospacing="0" w:line="480" w:lineRule="exact"/>
              <w:ind w:left="105" w:leftChars="50" w:firstLine="115" w:firstLineChars="48"/>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yellow"/>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yellow"/>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yellow"/>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yellow"/>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yellow"/>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yellow"/>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25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7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723"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81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93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307" w:type="dxa"/>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Cs/>
                <w:color w:val="auto"/>
                <w:sz w:val="24"/>
                <w:highlight w:val="none"/>
              </w:rPr>
              <w:t>合计（元）</w:t>
            </w:r>
          </w:p>
        </w:tc>
        <w:tc>
          <w:tcPr>
            <w:tcW w:w="8610" w:type="dxa"/>
            <w:gridSpan w:val="8"/>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trPr>
        <w:tc>
          <w:tcPr>
            <w:tcW w:w="9917" w:type="dxa"/>
            <w:gridSpan w:val="9"/>
            <w:tcBorders>
              <w:top w:val="single" w:color="auto" w:sz="4" w:space="0"/>
              <w:left w:val="single" w:color="auto" w:sz="4" w:space="0"/>
              <w:bottom w:val="single" w:color="auto" w:sz="4" w:space="0"/>
              <w:right w:val="single" w:color="auto" w:sz="4" w:space="0"/>
            </w:tcBorders>
            <w:noWrap/>
          </w:tcPr>
          <w:p>
            <w:pPr>
              <w:spacing w:line="480" w:lineRule="exact"/>
              <w:rPr>
                <w:rFonts w:ascii="宋体" w:hAnsi="宋体" w:cs="宋体"/>
                <w:bCs/>
                <w:color w:val="auto"/>
                <w:sz w:val="24"/>
                <w:highlight w:val="none"/>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2、涉及有国家标准的产品，须填写名称、品牌、型号及技术参数、报价等本表内容（若品牌、型号等填写的与实际不符，按照无效标处理）。</w:t>
            </w:r>
          </w:p>
        </w:tc>
      </w:tr>
    </w:tbl>
    <w:p>
      <w:pPr>
        <w:spacing w:line="480" w:lineRule="exact"/>
        <w:jc w:val="right"/>
        <w:rPr>
          <w:rFonts w:ascii="宋体" w:hAnsi="宋体" w:cs="宋体"/>
          <w:bCs/>
          <w:color w:val="auto"/>
          <w:sz w:val="24"/>
          <w:highlight w:val="none"/>
        </w:rPr>
      </w:pPr>
      <w:r>
        <w:rPr>
          <w:rFonts w:hint="eastAsia" w:ascii="宋体" w:hAnsi="宋体" w:cs="宋体"/>
          <w:bCs/>
          <w:color w:val="auto"/>
          <w:sz w:val="24"/>
          <w:highlight w:val="none"/>
        </w:rPr>
        <w:t>供应商：（单位公章）</w:t>
      </w:r>
    </w:p>
    <w:p>
      <w:pPr>
        <w:spacing w:line="480" w:lineRule="exact"/>
        <w:jc w:val="right"/>
        <w:rPr>
          <w:rFonts w:ascii="宋体" w:hAnsi="宋体" w:cs="宋体"/>
          <w:bCs/>
          <w:color w:val="auto"/>
          <w:sz w:val="24"/>
          <w:highlight w:val="none"/>
        </w:rPr>
      </w:pPr>
      <w:r>
        <w:rPr>
          <w:rFonts w:hint="eastAsia" w:ascii="宋体" w:hAnsi="宋体" w:cs="宋体"/>
          <w:bCs/>
          <w:color w:val="auto"/>
          <w:sz w:val="24"/>
          <w:highlight w:val="none"/>
        </w:rPr>
        <w:t xml:space="preserve">     法定代表人</w:t>
      </w:r>
      <w:r>
        <w:rPr>
          <w:rFonts w:hint="eastAsia" w:ascii="宋体" w:hAnsi="宋体" w:cs="宋体"/>
          <w:bCs/>
          <w:color w:val="auto"/>
          <w:sz w:val="24"/>
          <w:szCs w:val="20"/>
          <w:highlight w:val="none"/>
        </w:rPr>
        <w:t>或其委托代理人</w:t>
      </w:r>
      <w:r>
        <w:rPr>
          <w:rFonts w:hint="eastAsia" w:ascii="宋体" w:hAnsi="宋体" w:cs="宋体"/>
          <w:bCs/>
          <w:color w:val="auto"/>
          <w:sz w:val="24"/>
          <w:highlight w:val="none"/>
        </w:rPr>
        <w:t>：（签字或盖章）</w:t>
      </w:r>
    </w:p>
    <w:p>
      <w:pPr>
        <w:ind w:left="1050" w:leftChars="500"/>
        <w:jc w:val="right"/>
        <w:rPr>
          <w:rFonts w:ascii="宋体" w:hAnsi="宋体" w:cs="宋体"/>
          <w:bCs/>
          <w:color w:val="auto"/>
          <w:sz w:val="24"/>
          <w:highlight w:val="none"/>
        </w:rPr>
      </w:pPr>
      <w:r>
        <w:rPr>
          <w:rFonts w:hint="eastAsia" w:ascii="宋体" w:hAnsi="宋体" w:cs="宋体"/>
          <w:bCs/>
          <w:color w:val="auto"/>
          <w:sz w:val="24"/>
          <w:highlight w:val="none"/>
        </w:rPr>
        <w:t xml:space="preserve">                日  期：     年   月   日</w:t>
      </w:r>
    </w:p>
    <w:p>
      <w:pPr>
        <w:autoSpaceDE w:val="0"/>
        <w:autoSpaceDN w:val="0"/>
        <w:adjustRightInd w:val="0"/>
        <w:spacing w:line="440" w:lineRule="exact"/>
        <w:jc w:val="right"/>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hint="eastAsia"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（四）技术偏离表</w:t>
      </w:r>
    </w:p>
    <w:p>
      <w:pPr>
        <w:spacing w:line="440" w:lineRule="exact"/>
        <w:rPr>
          <w:rFonts w:ascii="宋体" w:hAnsi="宋体" w:cs="宋体"/>
          <w:color w:val="auto"/>
          <w:sz w:val="32"/>
          <w:highlight w:val="none"/>
        </w:rPr>
      </w:pPr>
    </w:p>
    <w:tbl>
      <w:tblPr>
        <w:tblStyle w:val="22"/>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ign w:val="center"/>
          </w:tcPr>
          <w:p>
            <w:pPr>
              <w:spacing w:line="440" w:lineRule="exact"/>
              <w:ind w:left="-141"/>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05"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货物名称</w:t>
            </w:r>
          </w:p>
        </w:tc>
        <w:tc>
          <w:tcPr>
            <w:tcW w:w="2137" w:type="dxa"/>
            <w:tcBorders>
              <w:top w:val="single" w:color="auto" w:sz="12"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招标技术要求</w:t>
            </w:r>
          </w:p>
        </w:tc>
        <w:tc>
          <w:tcPr>
            <w:tcW w:w="2270" w:type="dxa"/>
            <w:tcBorders>
              <w:top w:val="single" w:color="auto" w:sz="12" w:space="0"/>
              <w:left w:val="single" w:color="auto" w:sz="6" w:space="0"/>
              <w:bottom w:val="single" w:color="auto" w:sz="6" w:space="0"/>
              <w:right w:val="single" w:color="auto" w:sz="6" w:space="0"/>
            </w:tcBorders>
            <w:noWrap/>
            <w:vAlign w:val="center"/>
          </w:tcPr>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ign w:val="center"/>
          </w:tcPr>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偏离说明</w:t>
            </w:r>
          </w:p>
          <w:p>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pStyle w:val="19"/>
              <w:widowControl w:val="0"/>
              <w:tabs>
                <w:tab w:val="left" w:pos="420"/>
              </w:tabs>
              <w:spacing w:before="0" w:beforeAutospacing="0" w:after="0" w:afterAutospacing="0" w:line="440" w:lineRule="exact"/>
              <w:jc w:val="both"/>
              <w:rPr>
                <w:bCs/>
                <w:color w:val="auto"/>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ign w:val="center"/>
          </w:tcPr>
          <w:p>
            <w:pPr>
              <w:spacing w:line="440" w:lineRule="exact"/>
              <w:jc w:val="center"/>
              <w:rPr>
                <w:rFonts w:ascii="宋体" w:hAnsi="宋体" w:cs="宋体"/>
                <w:bCs/>
                <w:color w:val="auto"/>
                <w:sz w:val="32"/>
                <w:highlight w:val="none"/>
              </w:rPr>
            </w:pPr>
          </w:p>
        </w:tc>
        <w:tc>
          <w:tcPr>
            <w:tcW w:w="2005"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137"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24"/>
                <w:highlight w:val="none"/>
              </w:rPr>
            </w:pPr>
          </w:p>
        </w:tc>
        <w:tc>
          <w:tcPr>
            <w:tcW w:w="2270"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宋体"/>
                <w:bCs/>
                <w:color w:val="auto"/>
                <w:sz w:val="18"/>
                <w:highlight w:val="none"/>
              </w:rPr>
            </w:pPr>
          </w:p>
        </w:tc>
        <w:tc>
          <w:tcPr>
            <w:tcW w:w="2718" w:type="dxa"/>
            <w:tcBorders>
              <w:top w:val="single" w:color="auto" w:sz="6" w:space="0"/>
              <w:left w:val="single" w:color="auto" w:sz="6" w:space="0"/>
              <w:bottom w:val="single" w:color="auto" w:sz="6" w:space="0"/>
              <w:right w:val="single" w:color="auto" w:sz="12" w:space="0"/>
            </w:tcBorders>
            <w:noWrap/>
            <w:vAlign w:val="center"/>
          </w:tcPr>
          <w:p>
            <w:pPr>
              <w:spacing w:line="440" w:lineRule="exact"/>
              <w:jc w:val="center"/>
              <w:rPr>
                <w:rFonts w:ascii="宋体" w:hAnsi="宋体" w:cs="宋体"/>
                <w:bCs/>
                <w:color w:val="auto"/>
                <w:sz w:val="18"/>
                <w:highlight w:val="none"/>
              </w:rPr>
            </w:pPr>
          </w:p>
        </w:tc>
      </w:tr>
    </w:tbl>
    <w:p>
      <w:pPr>
        <w:ind w:firstLine="480" w:firstLineChars="200"/>
        <w:rPr>
          <w:rFonts w:ascii="宋体" w:hAnsi="宋体"/>
          <w:color w:val="auto"/>
          <w:sz w:val="24"/>
          <w:szCs w:val="24"/>
          <w:highlight w:val="none"/>
        </w:rPr>
      </w:pPr>
      <w:r>
        <w:rPr>
          <w:rFonts w:hint="eastAsia" w:ascii="宋体" w:hAnsi="宋体"/>
          <w:color w:val="auto"/>
          <w:sz w:val="24"/>
          <w:szCs w:val="24"/>
          <w:highlight w:val="none"/>
        </w:rPr>
        <w:t>注：投标人须对照招标文件技术规格，将自己所投的所有货物的功能、技术性能、配置等内容按照上表格式与招标文件要求逐条填写，</w:t>
      </w:r>
      <w:r>
        <w:rPr>
          <w:rFonts w:hint="eastAsia" w:ascii="宋体" w:hAnsi="宋体"/>
          <w:b/>
          <w:bCs/>
          <w:color w:val="auto"/>
          <w:sz w:val="24"/>
          <w:szCs w:val="24"/>
          <w:highlight w:val="none"/>
        </w:rPr>
        <w:t>供应商必须提供所投设备的具体参数值，并在偏离说明栏中标明技术及配置的实际响应情况</w:t>
      </w:r>
      <w:r>
        <w:rPr>
          <w:rFonts w:hint="eastAsia" w:ascii="宋体" w:hAnsi="宋体"/>
          <w:color w:val="auto"/>
          <w:sz w:val="24"/>
          <w:szCs w:val="24"/>
          <w:highlight w:val="none"/>
        </w:rPr>
        <w:t>：</w:t>
      </w:r>
    </w:p>
    <w:p>
      <w:pPr>
        <w:ind w:firstLine="480" w:firstLineChars="200"/>
        <w:rPr>
          <w:rFonts w:ascii="宋体" w:hAnsi="宋体"/>
          <w:color w:val="auto"/>
          <w:sz w:val="24"/>
          <w:szCs w:val="24"/>
          <w:highlight w:val="none"/>
        </w:rPr>
      </w:pPr>
      <w:r>
        <w:rPr>
          <w:rFonts w:hint="eastAsia" w:ascii="宋体" w:hAnsi="宋体"/>
          <w:color w:val="auto"/>
          <w:sz w:val="24"/>
          <w:szCs w:val="24"/>
          <w:highlight w:val="none"/>
        </w:rPr>
        <w:t>1、偏离说明栏中必须标明技术及配置的响应情况，整项货物及该项货物各部分相应情况须按下列要求填写，任何不真实响应都将按无效投标处理：</w:t>
      </w:r>
    </w:p>
    <w:p>
      <w:pPr>
        <w:numPr>
          <w:ilvl w:val="0"/>
          <w:numId w:val="15"/>
        </w:numPr>
        <w:ind w:firstLine="480" w:firstLineChars="200"/>
        <w:rPr>
          <w:rFonts w:ascii="宋体" w:hAnsi="宋体"/>
          <w:color w:val="auto"/>
          <w:sz w:val="24"/>
          <w:szCs w:val="24"/>
          <w:highlight w:val="none"/>
        </w:rPr>
      </w:pPr>
      <w:r>
        <w:rPr>
          <w:rFonts w:hint="eastAsia" w:ascii="宋体" w:hAnsi="宋体"/>
          <w:color w:val="auto"/>
          <w:sz w:val="24"/>
          <w:szCs w:val="24"/>
          <w:highlight w:val="none"/>
        </w:rPr>
        <w:t>对应项中的所有技术参数、性能和配置全部符合招标文件要求的才能填写“符合”；</w:t>
      </w:r>
    </w:p>
    <w:p>
      <w:pPr>
        <w:numPr>
          <w:ilvl w:val="0"/>
          <w:numId w:val="15"/>
        </w:numPr>
        <w:ind w:firstLine="480" w:firstLineChars="200"/>
        <w:rPr>
          <w:rFonts w:ascii="宋体" w:hAnsi="宋体"/>
          <w:color w:val="auto"/>
          <w:sz w:val="24"/>
          <w:szCs w:val="24"/>
          <w:highlight w:val="none"/>
        </w:rPr>
      </w:pPr>
      <w:r>
        <w:rPr>
          <w:rFonts w:hint="eastAsia" w:ascii="宋体" w:hAnsi="宋体"/>
          <w:color w:val="auto"/>
          <w:sz w:val="24"/>
          <w:szCs w:val="24"/>
          <w:highlight w:val="none"/>
        </w:rPr>
        <w:t>对应项中的所有技术参数、性能和配置全部符合招标文件要求并且其中有一个或以上指标优于招标文件要求的，可填写“正偏离”；</w:t>
      </w:r>
    </w:p>
    <w:p>
      <w:pPr>
        <w:spacing w:line="600" w:lineRule="exact"/>
        <w:rPr>
          <w:rFonts w:ascii="宋体" w:hAnsi="宋体" w:cs="宋体"/>
          <w:color w:val="auto"/>
          <w:sz w:val="24"/>
          <w:highlight w:val="none"/>
        </w:rPr>
      </w:pPr>
    </w:p>
    <w:p>
      <w:pPr>
        <w:spacing w:line="600" w:lineRule="exact"/>
        <w:rPr>
          <w:rFonts w:ascii="宋体" w:hAnsi="宋体" w:cs="宋体"/>
          <w:color w:val="auto"/>
          <w:sz w:val="24"/>
          <w:highlight w:val="none"/>
          <w:u w:val="single"/>
        </w:rPr>
      </w:pPr>
      <w:r>
        <w:rPr>
          <w:rFonts w:hint="eastAsia" w:asciiTheme="minorEastAsia" w:hAnsiTheme="minorEastAsia" w:eastAsiaTheme="minorEastAsia" w:cstheme="minorEastAsia"/>
          <w:color w:val="auto"/>
          <w:sz w:val="24"/>
          <w:highlight w:val="none"/>
        </w:rPr>
        <w:t>供应商</w:t>
      </w:r>
      <w:r>
        <w:rPr>
          <w:rFonts w:hint="eastAsia" w:ascii="宋体" w:hAnsi="宋体" w:cs="宋体"/>
          <w:color w:val="auto"/>
          <w:sz w:val="24"/>
          <w:highlight w:val="none"/>
        </w:rPr>
        <w:t>（盖章）：</w:t>
      </w:r>
    </w:p>
    <w:p>
      <w:pPr>
        <w:spacing w:line="600" w:lineRule="exact"/>
        <w:rPr>
          <w:rFonts w:ascii="宋体" w:hAnsi="宋体" w:cs="宋体"/>
          <w:color w:val="auto"/>
          <w:sz w:val="24"/>
          <w:highlight w:val="none"/>
        </w:rPr>
      </w:pPr>
      <w:r>
        <w:rPr>
          <w:rFonts w:hint="eastAsia" w:ascii="宋体" w:hAnsi="宋体" w:cs="宋体"/>
          <w:color w:val="auto"/>
          <w:sz w:val="24"/>
          <w:highlight w:val="none"/>
        </w:rPr>
        <w:t>法人代表或授权委托人（签字或盖章）：</w:t>
      </w:r>
    </w:p>
    <w:p>
      <w:pPr>
        <w:ind w:firstLine="480"/>
        <w:rPr>
          <w:rFonts w:ascii="宋体" w:hAnsi="宋体" w:cs="宋体"/>
          <w:color w:val="auto"/>
          <w:sz w:val="24"/>
          <w:highlight w:val="none"/>
        </w:rPr>
        <w:sectPr>
          <w:pgSz w:w="11907" w:h="16840"/>
          <w:pgMar w:top="1276" w:right="1117" w:bottom="1417" w:left="913" w:header="850" w:footer="998" w:gutter="0"/>
          <w:pgNumType w:fmt="numberInDash"/>
          <w:cols w:space="0" w:num="1"/>
          <w:docGrid w:type="lines" w:linePitch="379" w:charSpace="0"/>
        </w:sectPr>
      </w:pPr>
      <w:r>
        <w:rPr>
          <w:rFonts w:hint="eastAsia" w:ascii="宋体" w:hAnsi="宋体" w:cs="宋体"/>
          <w:color w:val="auto"/>
          <w:sz w:val="24"/>
          <w:highlight w:val="none"/>
        </w:rPr>
        <w:t xml:space="preserve">                                         年    月    日  </w:t>
      </w:r>
    </w:p>
    <w:p>
      <w:pPr>
        <w:pStyle w:val="2"/>
        <w:ind w:firstLine="480"/>
        <w:rPr>
          <w:rFonts w:asciiTheme="minorEastAsia" w:hAnsiTheme="minorEastAsia" w:eastAsiaTheme="minorEastAsia" w:cstheme="minorEastAsia"/>
          <w:color w:val="auto"/>
          <w:sz w:val="24"/>
          <w:highlight w:val="none"/>
        </w:rPr>
      </w:pPr>
    </w:p>
    <w:p>
      <w:pPr>
        <w:pStyle w:val="20"/>
        <w:numPr>
          <w:ilvl w:val="0"/>
          <w:numId w:val="16"/>
        </w:numPr>
        <w:spacing w:before="120" w:after="120" w:line="500" w:lineRule="exact"/>
        <w:ind w:right="29" w:rightChars="14"/>
        <w:outlineLvl w:val="1"/>
        <w:rPr>
          <w:rFonts w:hint="eastAsia" w:asciiTheme="minorEastAsia" w:hAnsiTheme="minorEastAsia" w:eastAsiaTheme="minorEastAsia" w:cstheme="minorEastAsia"/>
          <w:color w:val="auto"/>
          <w:sz w:val="30"/>
          <w:szCs w:val="30"/>
          <w:highlight w:val="none"/>
        </w:rPr>
      </w:pPr>
      <w:bookmarkStart w:id="279" w:name="_Toc26698"/>
      <w:bookmarkStart w:id="280" w:name="_Toc5614"/>
      <w:bookmarkStart w:id="281" w:name="_Toc2213"/>
      <w:r>
        <w:rPr>
          <w:rFonts w:hint="eastAsia" w:asciiTheme="minorEastAsia" w:hAnsiTheme="minorEastAsia" w:eastAsiaTheme="minorEastAsia" w:cstheme="minorEastAsia"/>
          <w:color w:val="auto"/>
          <w:sz w:val="30"/>
          <w:szCs w:val="30"/>
          <w:highlight w:val="none"/>
        </w:rPr>
        <w:t>法定代表人身份证明书</w:t>
      </w:r>
      <w:bookmarkEnd w:id="279"/>
      <w:bookmarkEnd w:id="280"/>
      <w:bookmarkEnd w:id="281"/>
    </w:p>
    <w:p>
      <w:pPr>
        <w:numPr>
          <w:ilvl w:val="0"/>
          <w:numId w:val="0"/>
        </w:numPr>
        <w:rPr>
          <w:color w:val="auto"/>
          <w:highlight w:val="none"/>
        </w:rPr>
      </w:pP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pPr>
        <w:pStyle w:val="5"/>
        <w:rPr>
          <w:rFonts w:hint="eastAsia" w:ascii="宋体" w:hAnsi="宋体"/>
          <w:color w:val="auto"/>
          <w:sz w:val="24"/>
          <w:highlight w:val="none"/>
        </w:rPr>
      </w:pPr>
      <w:r>
        <w:rPr>
          <w:color w:val="auto"/>
          <w:sz w:val="24"/>
          <w:highlight w:val="none"/>
        </w:rPr>
        <w:pict>
          <v:shape id="_x0000_s2050" o:spid="_x0000_s2050" o:spt="176" type="#_x0000_t176" style="position:absolute;left:0pt;margin-left:208.6pt;margin-top:27.3pt;height:166pt;width:246.8pt;z-index:251661312;mso-width-relative:page;mso-height-relative:page;" fillcolor="#FFFFFF" filled="t" stroked="t" coordsize="21600,21600" adj="2700">
            <v:path/>
            <v:fill on="t" color2="#FFFFFF" focussize="0,0"/>
            <v:stroke color="#000000" joinstyle="miter"/>
            <v:imagedata o:title=""/>
            <o:lock v:ext="edit" aspectratio="f"/>
            <v:textbox>
              <w:txbxContent>
                <w:p/>
              </w:txbxContent>
            </v:textbox>
          </v:shape>
        </w:pict>
      </w:r>
      <w:r>
        <w:rPr>
          <w:color w:val="auto"/>
          <w:sz w:val="24"/>
          <w:highlight w:val="none"/>
        </w:rPr>
        <w:pict>
          <v:shape id="_x0000_s2051" o:spid="_x0000_s2051" o:spt="176" type="#_x0000_t176" style="position:absolute;left:0pt;margin-left:-23.4pt;margin-top:21.65pt;height:176pt;width:229.35pt;z-index:251659264;mso-width-relative:page;mso-height-relative:page;" fillcolor="#FFFFFF" filled="t" stroked="t" coordsize="21600,21600" adj="2700">
            <v:path/>
            <v:fill on="t" color2="#FFFFFF" focussize="0,0"/>
            <v:stroke color="#000000" joinstyle="miter"/>
            <v:imagedata o:title=""/>
            <o:lock v:ext="edit" aspectratio="f"/>
            <v:textbox>
              <w:txbxContent>
                <w:p/>
              </w:txbxContent>
            </v:textbox>
          </v:shape>
        </w:pict>
      </w:r>
    </w:p>
    <w:p>
      <w:pPr>
        <w:rPr>
          <w:rFonts w:hint="eastAsia" w:ascii="宋体" w:hAnsi="宋体"/>
          <w:color w:val="auto"/>
          <w:sz w:val="24"/>
          <w:highlight w:val="none"/>
        </w:rPr>
      </w:pPr>
    </w:p>
    <w:p>
      <w:pPr>
        <w:pStyle w:val="5"/>
        <w:rPr>
          <w:rFonts w:hint="eastAsia" w:ascii="宋体" w:hAnsi="宋体"/>
          <w:color w:val="auto"/>
          <w:sz w:val="24"/>
          <w:highlight w:val="none"/>
        </w:rPr>
      </w:pPr>
      <w:r>
        <w:rPr>
          <w:color w:val="auto"/>
          <w:sz w:val="24"/>
          <w:highlight w:val="none"/>
        </w:rPr>
        <w:pict>
          <v:shape id="_x0000_s2053" o:spid="_x0000_s2053" o:spt="202" type="#_x0000_t202" style="position:absolute;left:0pt;margin-left:-8.3pt;margin-top:32.8pt;height:23.35pt;width:221.3pt;z-index:251660288;mso-width-relative:page;mso-height-relative:page;" fillcolor="#FFFFFF" filled="t" stroked="t" coordsize="21600,21600">
            <v:path/>
            <v:fill on="t" focussize="0,0"/>
            <v:stroke/>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w:r>
      <w:r>
        <w:rPr>
          <w:color w:val="auto"/>
          <w:sz w:val="24"/>
          <w:highlight w:val="none"/>
        </w:rPr>
        <w:pict>
          <v:shape id="_x0000_s2052" o:spid="_x0000_s2052" o:spt="202" type="#_x0000_t202" style="position:absolute;left:0pt;margin-left:219pt;margin-top:28.45pt;height:23.35pt;width:221.3pt;z-index:251662336;mso-width-relative:page;mso-height-relative:page;" fillcolor="#FFFFFF" filled="t" stroked="t" coordsize="21600,21600">
            <v:path/>
            <v:fill on="t" focussize="0,0"/>
            <v:stroke/>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w:r>
    </w:p>
    <w:p>
      <w:pPr>
        <w:rPr>
          <w:rFonts w:hint="eastAsia" w:ascii="宋体" w:hAnsi="宋体"/>
          <w:color w:val="auto"/>
          <w:sz w:val="24"/>
          <w:highlight w:val="none"/>
        </w:rPr>
      </w:pPr>
    </w:p>
    <w:p>
      <w:pPr>
        <w:pStyle w:val="5"/>
        <w:rPr>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spacing w:line="440" w:lineRule="exact"/>
        <w:rPr>
          <w:rFonts w:asciiTheme="minorEastAsia" w:hAnsiTheme="minorEastAsia" w:eastAsiaTheme="minorEastAsia" w:cstheme="minorEastAsia"/>
          <w:color w:val="auto"/>
          <w:highlight w:val="none"/>
        </w:rPr>
      </w:pPr>
    </w:p>
    <w:p>
      <w:pPr>
        <w:pStyle w:val="20"/>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bookmarkStart w:id="282" w:name="_Toc15395"/>
      <w:bookmarkStart w:id="283" w:name="_Toc6009"/>
    </w:p>
    <w:p>
      <w:pPr>
        <w:pStyle w:val="20"/>
        <w:spacing w:before="120" w:after="120" w:line="500" w:lineRule="exact"/>
        <w:ind w:right="29" w:rightChars="14"/>
        <w:outlineLvl w:val="1"/>
        <w:rPr>
          <w:rFonts w:asciiTheme="minorEastAsia" w:hAnsiTheme="minorEastAsia" w:eastAsiaTheme="minorEastAsia" w:cstheme="minorEastAsia"/>
          <w:color w:val="auto"/>
          <w:sz w:val="30"/>
          <w:szCs w:val="30"/>
          <w:highlight w:val="none"/>
        </w:rPr>
      </w:pPr>
      <w:bookmarkStart w:id="284" w:name="_Toc17980"/>
      <w:r>
        <w:rPr>
          <w:rFonts w:hint="eastAsia" w:asciiTheme="minorEastAsia" w:hAnsiTheme="minorEastAsia" w:eastAsiaTheme="minorEastAsia" w:cstheme="minorEastAsia"/>
          <w:color w:val="auto"/>
          <w:sz w:val="30"/>
          <w:szCs w:val="30"/>
          <w:highlight w:val="none"/>
        </w:rPr>
        <w:t>三、授权委托书</w:t>
      </w:r>
      <w:bookmarkEnd w:id="282"/>
      <w:bookmarkEnd w:id="283"/>
      <w:bookmarkEnd w:id="284"/>
    </w:p>
    <w:p>
      <w:pPr>
        <w:pStyle w:val="5"/>
        <w:rPr>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w:pict>
          <v:shape id="_x0000_s2055" o:spid="_x0000_s2055" o:spt="176" type="#_x0000_t176" style="position:absolute;left:0pt;margin-left:-28.65pt;margin-top:12.5pt;height:176pt;width:240.2pt;z-index:251663360;mso-width-relative:page;mso-height-relative:page;" fillcolor="#FFFFFF" filled="t" stroked="t" coordsize="21600,21600" adj="2700">
            <v:path/>
            <v:fill on="t" color2="#FFFFFF" focussize="0,0"/>
            <v:stroke color="#000000" joinstyle="miter"/>
            <v:imagedata o:title=""/>
            <o:lock v:ext="edit" aspectratio="f"/>
            <v:textbox>
              <w:txbxContent>
                <w:p/>
              </w:txbxContent>
            </v:textbox>
          </v:shape>
        </w:pict>
      </w:r>
      <w:r>
        <w:rPr>
          <w:color w:val="auto"/>
          <w:sz w:val="24"/>
          <w:highlight w:val="none"/>
        </w:rPr>
        <w:pict>
          <v:shape id="_x0000_s2054" o:spid="_x0000_s2054" o:spt="176" type="#_x0000_t176" style="position:absolute;left:0pt;margin-left:212.25pt;margin-top:14.15pt;height:176pt;width:246.8pt;z-index:251664384;mso-width-relative:page;mso-height-relative:page;" fillcolor="#FFFFFF" filled="t" stroked="t" coordsize="21600,21600" adj="2700">
            <v:path/>
            <v:fill on="t" focussize="0,0"/>
            <v:stroke/>
            <v:imagedata o:title=""/>
            <o:lock v:ext="edit" aspectratio="f"/>
          </v:shape>
        </w:pic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w:pict>
          <v:shape id="_x0000_s2056" o:spid="_x0000_s2056" o:spt="202" type="#_x0000_t202" style="position:absolute;left:0pt;margin-left:-20.9pt;margin-top:21.5pt;height:23.35pt;width:221.3pt;z-index:251665408;mso-width-relative:page;mso-height-relative:page;" fillcolor="#FFFFFF" filled="t" stroked="t" coordsize="21600,21600">
            <v:path/>
            <v:fill on="t" focussize="0,0"/>
            <v:stroke/>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w:r>
      <w:r>
        <w:rPr>
          <w:color w:val="auto"/>
          <w:sz w:val="24"/>
          <w:highlight w:val="none"/>
        </w:rPr>
        <w:pict>
          <v:shape id="_x0000_s2057" o:spid="_x0000_s2057" o:spt="202" type="#_x0000_t202" style="position:absolute;left:0pt;margin-left:222.45pt;margin-top:18.5pt;height:23.35pt;width:221.3pt;z-index:251666432;mso-width-relative:page;mso-height-relative:page;" fillcolor="#FFFFFF" filled="t" stroked="t" coordsize="21600,21600">
            <v:path/>
            <v:fill on="t" focussize="0,0"/>
            <v:stroke/>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asciiTheme="minorEastAsia" w:hAnsiTheme="minorEastAsia" w:eastAsiaTheme="minorEastAsia" w:cstheme="minorEastAsia"/>
          <w:color w:val="auto"/>
          <w:kern w:val="2"/>
          <w:sz w:val="30"/>
          <w:szCs w:val="30"/>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bookmarkEnd w:id="232"/>
    </w:p>
    <w:p>
      <w:pPr>
        <w:pStyle w:val="19"/>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19"/>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19"/>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19"/>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kern w:val="2"/>
          <w:sz w:val="30"/>
          <w:szCs w:val="30"/>
          <w:highlight w:val="none"/>
        </w:rPr>
      </w:pPr>
    </w:p>
    <w:p>
      <w:pPr>
        <w:pStyle w:val="19"/>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color w:val="auto"/>
          <w:kern w:val="2"/>
          <w:sz w:val="30"/>
          <w:szCs w:val="30"/>
          <w:highlight w:val="none"/>
        </w:rPr>
      </w:pPr>
    </w:p>
    <w:p>
      <w:pPr>
        <w:pStyle w:val="19"/>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sz w:val="30"/>
          <w:szCs w:val="30"/>
          <w:highlight w:val="none"/>
        </w:rPr>
      </w:pPr>
      <w:bookmarkStart w:id="285" w:name="_Toc8304"/>
      <w:bookmarkStart w:id="286" w:name="_Toc25161"/>
      <w:r>
        <w:rPr>
          <w:rFonts w:hint="eastAsia" w:asciiTheme="minorEastAsia" w:hAnsiTheme="minorEastAsia" w:eastAsiaTheme="minorEastAsia" w:cstheme="minorEastAsia"/>
          <w:b/>
          <w:color w:val="auto"/>
          <w:kern w:val="2"/>
          <w:sz w:val="30"/>
          <w:szCs w:val="30"/>
          <w:highlight w:val="none"/>
          <w:lang w:val="en-US" w:eastAsia="zh-CN"/>
        </w:rPr>
        <w:t>四</w:t>
      </w:r>
      <w:r>
        <w:rPr>
          <w:rFonts w:hint="eastAsia" w:asciiTheme="minorEastAsia" w:hAnsiTheme="minorEastAsia" w:eastAsiaTheme="minorEastAsia" w:cstheme="minorEastAsia"/>
          <w:b/>
          <w:color w:val="auto"/>
          <w:kern w:val="2"/>
          <w:sz w:val="30"/>
          <w:szCs w:val="30"/>
          <w:highlight w:val="none"/>
        </w:rPr>
        <w:t>、项目供货保证措施、售后服务方案</w:t>
      </w:r>
      <w:bookmarkEnd w:id="285"/>
      <w:r>
        <w:rPr>
          <w:rFonts w:hint="eastAsia" w:asciiTheme="minorEastAsia" w:hAnsiTheme="minorEastAsia" w:eastAsiaTheme="minorEastAsia" w:cstheme="minorEastAsia"/>
          <w:b/>
          <w:color w:val="auto"/>
          <w:kern w:val="2"/>
          <w:sz w:val="30"/>
          <w:szCs w:val="30"/>
          <w:highlight w:val="none"/>
        </w:rPr>
        <w:t>等</w:t>
      </w:r>
      <w:bookmarkEnd w:id="286"/>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rPr>
          <w:rFonts w:asciiTheme="minorEastAsia" w:hAnsiTheme="minorEastAsia" w:eastAsiaTheme="minorEastAsia" w:cstheme="minorEastAsia"/>
          <w:b/>
          <w:color w:val="auto"/>
          <w:sz w:val="30"/>
          <w:szCs w:val="30"/>
          <w:highlight w:val="none"/>
        </w:rPr>
      </w:pPr>
    </w:p>
    <w:p>
      <w:pPr>
        <w:ind w:left="420"/>
        <w:rPr>
          <w:rFonts w:asciiTheme="minorEastAsia" w:hAnsiTheme="minorEastAsia" w:eastAsiaTheme="minorEastAsia" w:cstheme="minorEastAsia"/>
          <w:b/>
          <w:color w:val="auto"/>
          <w:sz w:val="30"/>
          <w:szCs w:val="30"/>
          <w:highlight w:val="none"/>
        </w:rPr>
      </w:pPr>
    </w:p>
    <w:p>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bookmarkStart w:id="287" w:name="_Toc10043"/>
    </w:p>
    <w:p>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autoSpaceDE w:val="0"/>
        <w:autoSpaceDN w:val="0"/>
        <w:adjustRightInd w:val="0"/>
        <w:spacing w:line="440" w:lineRule="exact"/>
        <w:jc w:val="center"/>
        <w:rPr>
          <w:rFonts w:ascii="宋体" w:hAnsi="宋体" w:cs="宋体"/>
          <w:b/>
          <w:color w:val="auto"/>
          <w:sz w:val="30"/>
          <w:szCs w:val="30"/>
          <w:highlight w:val="none"/>
        </w:rPr>
      </w:pPr>
    </w:p>
    <w:p>
      <w:pPr>
        <w:pStyle w:val="19"/>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88" w:name="_Toc29492"/>
      <w:bookmarkStart w:id="289" w:name="_Toc20650"/>
      <w:bookmarkStart w:id="290" w:name="_Toc30146"/>
      <w:r>
        <w:rPr>
          <w:rFonts w:hint="eastAsia" w:asciiTheme="minorEastAsia" w:hAnsiTheme="minorEastAsia" w:eastAsiaTheme="minorEastAsia" w:cstheme="minorEastAsia"/>
          <w:b/>
          <w:color w:val="auto"/>
          <w:kern w:val="2"/>
          <w:sz w:val="30"/>
          <w:szCs w:val="30"/>
          <w:highlight w:val="none"/>
          <w:lang w:val="en-US" w:eastAsia="zh-CN"/>
        </w:rPr>
        <w:t>五</w:t>
      </w:r>
      <w:r>
        <w:rPr>
          <w:rFonts w:hint="eastAsia" w:asciiTheme="minorEastAsia" w:hAnsiTheme="minorEastAsia" w:eastAsiaTheme="minorEastAsia" w:cstheme="minorEastAsia"/>
          <w:b/>
          <w:color w:val="auto"/>
          <w:kern w:val="2"/>
          <w:sz w:val="30"/>
          <w:szCs w:val="30"/>
          <w:highlight w:val="none"/>
        </w:rPr>
        <w:t>、资格证明文件</w:t>
      </w:r>
      <w:bookmarkEnd w:id="287"/>
      <w:bookmarkEnd w:id="288"/>
      <w:bookmarkEnd w:id="289"/>
      <w:bookmarkEnd w:id="290"/>
    </w:p>
    <w:p>
      <w:pPr>
        <w:spacing w:line="400" w:lineRule="exact"/>
        <w:jc w:val="left"/>
        <w:rPr>
          <w:rFonts w:asciiTheme="minorEastAsia" w:hAnsiTheme="minorEastAsia" w:eastAsiaTheme="minorEastAsia" w:cstheme="minorEastAsia"/>
          <w:bCs/>
          <w:color w:val="auto"/>
          <w:sz w:val="24"/>
          <w:highlight w:val="none"/>
        </w:rPr>
      </w:pPr>
    </w:p>
    <w:p>
      <w:pPr>
        <w:spacing w:line="400" w:lineRule="exact"/>
        <w:jc w:val="left"/>
        <w:rPr>
          <w:color w:val="auto"/>
          <w:sz w:val="24"/>
          <w:highlight w:val="none"/>
        </w:rPr>
      </w:pPr>
    </w:p>
    <w:p>
      <w:pPr>
        <w:spacing w:line="400" w:lineRule="exact"/>
        <w:jc w:val="left"/>
        <w:rPr>
          <w:color w:val="auto"/>
          <w:sz w:val="24"/>
          <w:highlight w:val="none"/>
        </w:rPr>
      </w:pPr>
      <w:r>
        <w:rPr>
          <w:rFonts w:hint="eastAsia"/>
          <w:color w:val="auto"/>
          <w:sz w:val="24"/>
          <w:highlight w:val="none"/>
        </w:rPr>
        <w:t>一、 供应商营业执照副本（三证合一）；</w:t>
      </w:r>
    </w:p>
    <w:p>
      <w:pPr>
        <w:spacing w:line="400" w:lineRule="exact"/>
        <w:jc w:val="left"/>
        <w:rPr>
          <w:color w:val="auto"/>
          <w:sz w:val="24"/>
          <w:highlight w:val="none"/>
        </w:rPr>
      </w:pPr>
      <w:r>
        <w:rPr>
          <w:rFonts w:hint="eastAsia"/>
          <w:color w:val="auto"/>
          <w:sz w:val="24"/>
          <w:highlight w:val="none"/>
        </w:rPr>
        <w:t>二、符合《中华人民共和国政府采购法》第二十二条规定:</w:t>
      </w:r>
    </w:p>
    <w:p>
      <w:pPr>
        <w:spacing w:line="400" w:lineRule="exact"/>
        <w:ind w:firstLine="480" w:firstLineChars="200"/>
        <w:jc w:val="left"/>
        <w:rPr>
          <w:color w:val="auto"/>
          <w:sz w:val="24"/>
          <w:highlight w:val="none"/>
        </w:rPr>
      </w:pPr>
      <w:r>
        <w:rPr>
          <w:rFonts w:hint="eastAsia"/>
          <w:color w:val="auto"/>
          <w:sz w:val="24"/>
          <w:highlight w:val="none"/>
        </w:rPr>
        <w:t>2.1.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spacing w:line="400" w:lineRule="exact"/>
        <w:ind w:firstLine="480" w:firstLineChars="200"/>
        <w:jc w:val="left"/>
        <w:rPr>
          <w:color w:val="auto"/>
          <w:sz w:val="24"/>
          <w:highlight w:val="none"/>
        </w:rPr>
      </w:pPr>
      <w:r>
        <w:rPr>
          <w:rFonts w:hint="eastAsia"/>
          <w:color w:val="auto"/>
          <w:sz w:val="24"/>
          <w:highlight w:val="none"/>
        </w:rPr>
        <w:t>2.2.参加政府采购活动前三年内无重大违法记录的书面声明；</w:t>
      </w:r>
    </w:p>
    <w:p>
      <w:pPr>
        <w:spacing w:line="400" w:lineRule="exact"/>
        <w:jc w:val="left"/>
        <w:rPr>
          <w:color w:val="auto"/>
          <w:sz w:val="24"/>
          <w:highlight w:val="none"/>
        </w:rPr>
      </w:pPr>
      <w:r>
        <w:rPr>
          <w:rFonts w:hint="eastAsia"/>
          <w:color w:val="auto"/>
          <w:sz w:val="24"/>
          <w:highlight w:val="none"/>
        </w:rPr>
        <w:t>三、招标文件中要求的其他资格证明材料。</w:t>
      </w:r>
    </w:p>
    <w:p>
      <w:pPr>
        <w:pStyle w:val="2"/>
        <w:ind w:firstLine="482"/>
        <w:rPr>
          <w:b/>
          <w:bCs/>
          <w:color w:val="auto"/>
          <w:highlight w:val="none"/>
        </w:rPr>
      </w:pPr>
      <w:r>
        <w:rPr>
          <w:rFonts w:hint="eastAsia"/>
          <w:b/>
          <w:bCs/>
          <w:color w:val="auto"/>
          <w:sz w:val="24"/>
          <w:highlight w:val="none"/>
        </w:rPr>
        <w:t>备注：以上资格证明文件须提供原件的扫描件。</w:t>
      </w:r>
    </w:p>
    <w:p>
      <w:pPr>
        <w:pStyle w:val="2"/>
        <w:rPr>
          <w:color w:val="auto"/>
          <w:highlight w:val="none"/>
        </w:rPr>
      </w:pPr>
    </w:p>
    <w:p>
      <w:pPr>
        <w:autoSpaceDE w:val="0"/>
        <w:autoSpaceDN w:val="0"/>
        <w:adjustRightInd w:val="0"/>
        <w:spacing w:line="440" w:lineRule="exact"/>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21"/>
        <w:ind w:firstLine="281"/>
        <w:rPr>
          <w:rFonts w:hint="default" w:asciiTheme="minorEastAsia" w:hAnsiTheme="minorEastAsia" w:eastAsiaTheme="minorEastAsia" w:cstheme="minorEastAsia"/>
          <w:b/>
          <w:color w:val="auto"/>
          <w:sz w:val="28"/>
          <w:highlight w:val="none"/>
        </w:rPr>
      </w:pPr>
    </w:p>
    <w:p>
      <w:pPr>
        <w:pStyle w:val="2"/>
        <w:ind w:firstLine="562"/>
        <w:rPr>
          <w:rFonts w:asciiTheme="minorEastAsia" w:hAnsiTheme="minorEastAsia" w:eastAsiaTheme="minorEastAsia" w:cstheme="minorEastAsia"/>
          <w:b/>
          <w:color w:val="auto"/>
          <w:sz w:val="28"/>
          <w:highlight w:val="none"/>
        </w:rPr>
      </w:pPr>
    </w:p>
    <w:p>
      <w:pPr>
        <w:pStyle w:val="2"/>
        <w:ind w:firstLine="562"/>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widowControl/>
        <w:rPr>
          <w:rFonts w:asciiTheme="minorEastAsia" w:hAnsiTheme="minorEastAsia" w:eastAsiaTheme="minorEastAsia" w:cstheme="minorEastAsia"/>
          <w:color w:val="auto"/>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widowControl/>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autoSpaceDE w:val="0"/>
        <w:autoSpaceDN w:val="0"/>
        <w:adjustRightInd w:val="0"/>
        <w:spacing w:line="440" w:lineRule="exact"/>
        <w:jc w:val="center"/>
        <w:rPr>
          <w:rFonts w:asciiTheme="minorEastAsia" w:hAnsiTheme="minorEastAsia" w:eastAsiaTheme="minorEastAsia" w:cstheme="minorEastAsia"/>
          <w:b/>
          <w:color w:val="auto"/>
          <w:sz w:val="28"/>
          <w:highlight w:val="none"/>
        </w:rPr>
      </w:pPr>
    </w:p>
    <w:p>
      <w:pPr>
        <w:pStyle w:val="19"/>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bookmarkStart w:id="291" w:name="_Toc8330"/>
      <w:bookmarkStart w:id="292" w:name="_Toc6465"/>
      <w:bookmarkStart w:id="293" w:name="_Toc31553"/>
    </w:p>
    <w:p>
      <w:pPr>
        <w:pStyle w:val="19"/>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color w:val="auto"/>
          <w:kern w:val="2"/>
          <w:sz w:val="30"/>
          <w:szCs w:val="30"/>
          <w:highlight w:val="none"/>
        </w:rPr>
      </w:pPr>
    </w:p>
    <w:p>
      <w:pPr>
        <w:pStyle w:val="19"/>
        <w:widowControl w:val="0"/>
        <w:numPr>
          <w:ilvl w:val="0"/>
          <w:numId w:val="0"/>
        </w:numPr>
        <w:tabs>
          <w:tab w:val="left" w:pos="0"/>
        </w:tabs>
        <w:spacing w:before="120" w:beforeAutospacing="0" w:after="120" w:afterAutospacing="0" w:line="500" w:lineRule="exact"/>
        <w:ind w:right="29" w:rightChars="14" w:firstLine="3313" w:firstLineChars="1100"/>
        <w:jc w:val="left"/>
        <w:outlineLvl w:val="1"/>
        <w:rPr>
          <w:rFonts w:asciiTheme="minorEastAsia" w:hAnsiTheme="minorEastAsia" w:eastAsiaTheme="minorEastAsia" w:cstheme="minorEastAsia"/>
          <w:b/>
          <w:color w:val="auto"/>
          <w:kern w:val="2"/>
          <w:sz w:val="30"/>
          <w:szCs w:val="30"/>
          <w:highlight w:val="none"/>
        </w:rPr>
      </w:pPr>
      <w:bookmarkStart w:id="294" w:name="_Toc4390"/>
      <w:r>
        <w:rPr>
          <w:rFonts w:hint="eastAsia" w:asciiTheme="minorEastAsia" w:hAnsiTheme="minorEastAsia" w:eastAsiaTheme="minorEastAsia" w:cstheme="minorEastAsia"/>
          <w:b/>
          <w:color w:val="auto"/>
          <w:kern w:val="2"/>
          <w:sz w:val="30"/>
          <w:szCs w:val="30"/>
          <w:highlight w:val="none"/>
          <w:lang w:val="en-US" w:eastAsia="zh-CN"/>
        </w:rPr>
        <w:t>六、</w:t>
      </w:r>
      <w:r>
        <w:rPr>
          <w:rFonts w:hint="eastAsia" w:asciiTheme="minorEastAsia" w:hAnsiTheme="minorEastAsia" w:eastAsiaTheme="minorEastAsia" w:cstheme="minorEastAsia"/>
          <w:b/>
          <w:color w:val="auto"/>
          <w:kern w:val="2"/>
          <w:sz w:val="30"/>
          <w:szCs w:val="30"/>
          <w:highlight w:val="none"/>
        </w:rPr>
        <w:t>供应商服务承诺和优惠承诺</w:t>
      </w:r>
      <w:bookmarkEnd w:id="294"/>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p>
    <w:p>
      <w:pPr>
        <w:pStyle w:val="19"/>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color w:val="auto"/>
          <w:sz w:val="30"/>
          <w:szCs w:val="30"/>
          <w:highlight w:val="none"/>
        </w:rPr>
      </w:pPr>
      <w:bookmarkStart w:id="295" w:name="_Toc700"/>
      <w:r>
        <w:rPr>
          <w:rFonts w:hint="eastAsia" w:asciiTheme="minorEastAsia" w:hAnsiTheme="minorEastAsia" w:eastAsiaTheme="minorEastAsia" w:cstheme="minorEastAsia"/>
          <w:b/>
          <w:color w:val="auto"/>
          <w:kern w:val="2"/>
          <w:sz w:val="30"/>
          <w:szCs w:val="30"/>
          <w:highlight w:val="none"/>
          <w:lang w:val="en-US" w:eastAsia="zh-CN"/>
        </w:rPr>
        <w:t>七</w:t>
      </w:r>
      <w:r>
        <w:rPr>
          <w:rFonts w:hint="eastAsia" w:asciiTheme="minorEastAsia" w:hAnsiTheme="minorEastAsia" w:eastAsiaTheme="minorEastAsia" w:cstheme="minorEastAsia"/>
          <w:b/>
          <w:color w:val="auto"/>
          <w:kern w:val="2"/>
          <w:sz w:val="30"/>
          <w:szCs w:val="30"/>
          <w:highlight w:val="none"/>
        </w:rPr>
        <w:t>、供应商所投产品属于当期政府采购清单规定的节能环保产品的</w:t>
      </w:r>
      <w:bookmarkEnd w:id="291"/>
      <w:bookmarkEnd w:id="295"/>
    </w:p>
    <w:p>
      <w:pPr>
        <w:pStyle w:val="19"/>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296" w:name="_Toc28422"/>
      <w:bookmarkStart w:id="297" w:name="_Toc24210"/>
      <w:bookmarkStart w:id="298" w:name="_Toc18925"/>
      <w:bookmarkStart w:id="299" w:name="_Toc21287"/>
      <w:r>
        <w:rPr>
          <w:rFonts w:hint="eastAsia" w:asciiTheme="minorEastAsia" w:hAnsiTheme="minorEastAsia" w:eastAsiaTheme="minorEastAsia" w:cstheme="minorEastAsia"/>
          <w:b/>
          <w:color w:val="auto"/>
          <w:kern w:val="2"/>
          <w:sz w:val="30"/>
          <w:szCs w:val="30"/>
          <w:highlight w:val="none"/>
        </w:rPr>
        <w:t>证明材料</w:t>
      </w:r>
      <w:bookmarkEnd w:id="292"/>
      <w:bookmarkEnd w:id="296"/>
      <w:bookmarkEnd w:id="297"/>
      <w:bookmarkEnd w:id="298"/>
      <w:r>
        <w:rPr>
          <w:rFonts w:hint="eastAsia" w:asciiTheme="minorEastAsia" w:hAnsiTheme="minorEastAsia" w:eastAsiaTheme="minorEastAsia" w:cstheme="minorEastAsia"/>
          <w:b/>
          <w:color w:val="auto"/>
          <w:kern w:val="2"/>
          <w:sz w:val="30"/>
          <w:szCs w:val="30"/>
          <w:highlight w:val="none"/>
        </w:rPr>
        <w:t>（如有）</w:t>
      </w:r>
      <w:bookmarkEnd w:id="299"/>
    </w:p>
    <w:p>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9"/>
        <w:widowControl w:val="0"/>
        <w:spacing w:before="120" w:beforeAutospacing="0" w:after="120" w:afterAutospacing="0" w:line="500" w:lineRule="exact"/>
        <w:ind w:right="29" w:rightChars="14"/>
        <w:jc w:val="center"/>
        <w:rPr>
          <w:rFonts w:asciiTheme="minorEastAsia" w:hAnsiTheme="minorEastAsia" w:eastAsiaTheme="minorEastAsia" w:cstheme="minorEastAsia"/>
          <w:color w:val="auto"/>
          <w:sz w:val="30"/>
          <w:szCs w:val="30"/>
          <w:highlight w:val="none"/>
        </w:rPr>
      </w:pPr>
    </w:p>
    <w:p>
      <w:pPr>
        <w:pStyle w:val="19"/>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color w:val="auto"/>
          <w:sz w:val="30"/>
          <w:szCs w:val="30"/>
          <w:highlight w:val="none"/>
        </w:rPr>
      </w:pPr>
      <w:bookmarkStart w:id="300" w:name="_Toc23227"/>
      <w:bookmarkStart w:id="301" w:name="_Toc10717"/>
      <w:bookmarkStart w:id="302" w:name="_Toc24850"/>
      <w:r>
        <w:rPr>
          <w:rFonts w:hint="eastAsia" w:asciiTheme="minorEastAsia" w:hAnsiTheme="minorEastAsia" w:eastAsiaTheme="minorEastAsia" w:cstheme="minorEastAsia"/>
          <w:b/>
          <w:color w:val="auto"/>
          <w:kern w:val="2"/>
          <w:sz w:val="30"/>
          <w:szCs w:val="30"/>
          <w:highlight w:val="none"/>
          <w:lang w:val="en-US" w:eastAsia="zh-CN"/>
        </w:rPr>
        <w:t>八</w:t>
      </w:r>
      <w:r>
        <w:rPr>
          <w:rFonts w:hint="eastAsia" w:asciiTheme="minorEastAsia" w:hAnsiTheme="minorEastAsia" w:eastAsiaTheme="minorEastAsia" w:cstheme="minorEastAsia"/>
          <w:b/>
          <w:color w:val="auto"/>
          <w:kern w:val="2"/>
          <w:sz w:val="30"/>
          <w:szCs w:val="30"/>
          <w:highlight w:val="none"/>
        </w:rPr>
        <w:t>、中小企业声明函（如有）</w:t>
      </w:r>
      <w:bookmarkEnd w:id="300"/>
      <w:bookmarkEnd w:id="301"/>
      <w:bookmarkEnd w:id="302"/>
    </w:p>
    <w:p>
      <w:pPr>
        <w:pStyle w:val="19"/>
        <w:shd w:val="clear" w:color="auto" w:fill="FFFFFF"/>
        <w:spacing w:line="315" w:lineRule="atLeast"/>
        <w:ind w:firstLine="420"/>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　　　　　　　　　　　　　　　企业名称（</w:t>
      </w:r>
      <w:r>
        <w:rPr>
          <w:rFonts w:hint="eastAsia" w:asciiTheme="minorEastAsia" w:hAnsiTheme="minorEastAsia" w:eastAsiaTheme="minorEastAsia" w:cstheme="minorEastAsia"/>
          <w:bCs/>
          <w:color w:val="auto"/>
          <w:sz w:val="24"/>
          <w:highlight w:val="none"/>
        </w:rPr>
        <w:t>盖单位公章</w:t>
      </w:r>
      <w:r>
        <w:rPr>
          <w:rFonts w:hint="eastAsia" w:asciiTheme="minorEastAsia" w:hAnsiTheme="minorEastAsia" w:eastAsiaTheme="minorEastAsia" w:cstheme="minorEastAsia"/>
          <w:color w:val="auto"/>
          <w:kern w:val="0"/>
          <w:sz w:val="24"/>
          <w:highlight w:val="none"/>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color w:val="auto"/>
          <w:kern w:val="0"/>
          <w:sz w:val="24"/>
          <w:highlight w:val="none"/>
          <w:shd w:val="clear" w:color="auto" w:fill="FFFFFF"/>
        </w:rPr>
      </w:pPr>
      <w:r>
        <w:rPr>
          <w:rFonts w:hint="eastAsia" w:asciiTheme="minorEastAsia" w:hAnsiTheme="minorEastAsia" w:eastAsiaTheme="minorEastAsia" w:cstheme="minorEastAsia"/>
          <w:color w:val="auto"/>
          <w:kern w:val="0"/>
          <w:sz w:val="24"/>
          <w:highlight w:val="none"/>
          <w:shd w:val="clear" w:color="auto" w:fill="FFFFFF"/>
        </w:rPr>
        <w:t>　　　　　　　　　　　　　　　　　　日期：</w:t>
      </w:r>
    </w:p>
    <w:p>
      <w:pPr>
        <w:spacing w:line="600" w:lineRule="exact"/>
        <w:rPr>
          <w:rFonts w:asciiTheme="minorEastAsia" w:hAnsiTheme="minorEastAsia" w:eastAsiaTheme="minorEastAsia" w:cstheme="minorEastAsia"/>
          <w:color w:val="auto"/>
          <w:sz w:val="30"/>
          <w:szCs w:val="30"/>
          <w:highlight w:val="none"/>
        </w:rPr>
      </w:pPr>
    </w:p>
    <w:p>
      <w:pPr>
        <w:pStyle w:val="19"/>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color w:val="auto"/>
          <w:kern w:val="2"/>
          <w:sz w:val="30"/>
          <w:szCs w:val="30"/>
          <w:highlight w:val="none"/>
        </w:rPr>
        <w:br w:type="page"/>
      </w:r>
      <w:bookmarkStart w:id="303" w:name="_Toc11708"/>
      <w:bookmarkStart w:id="304" w:name="_Toc20881"/>
      <w:bookmarkStart w:id="305" w:name="_Toc30170"/>
      <w:bookmarkStart w:id="306" w:name="_Toc14292"/>
      <w:r>
        <w:rPr>
          <w:rFonts w:hint="eastAsia" w:asciiTheme="minorEastAsia" w:hAnsiTheme="minorEastAsia" w:eastAsiaTheme="minorEastAsia" w:cstheme="minorEastAsia"/>
          <w:b/>
          <w:color w:val="auto"/>
          <w:kern w:val="2"/>
          <w:sz w:val="30"/>
          <w:szCs w:val="30"/>
          <w:highlight w:val="none"/>
          <w:lang w:val="en-US" w:eastAsia="zh-CN"/>
        </w:rPr>
        <w:t>九</w:t>
      </w:r>
      <w:r>
        <w:rPr>
          <w:rFonts w:hint="eastAsia" w:asciiTheme="minorEastAsia" w:hAnsiTheme="minorEastAsia" w:eastAsiaTheme="minorEastAsia" w:cstheme="minorEastAsia"/>
          <w:b/>
          <w:color w:val="auto"/>
          <w:kern w:val="2"/>
          <w:sz w:val="30"/>
          <w:szCs w:val="30"/>
          <w:highlight w:val="none"/>
        </w:rPr>
        <w:t>、残疾人福利性单位声明函（如有）</w:t>
      </w:r>
      <w:bookmarkEnd w:id="303"/>
      <w:bookmarkEnd w:id="304"/>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p>
      <w:pPr>
        <w:spacing w:afterLines="200"/>
        <w:ind w:firstLine="2259" w:firstLineChars="750"/>
        <w:rPr>
          <w:rFonts w:asciiTheme="minorEastAsia" w:hAnsiTheme="minorEastAsia" w:eastAsiaTheme="minorEastAsia" w:cstheme="minorEastAsia"/>
          <w:b/>
          <w:color w:val="auto"/>
          <w:sz w:val="30"/>
          <w:szCs w:val="30"/>
          <w:highlight w:val="none"/>
        </w:rPr>
      </w:pPr>
    </w:p>
    <w:bookmarkEnd w:id="293"/>
    <w:bookmarkEnd w:id="305"/>
    <w:bookmarkEnd w:id="306"/>
    <w:p>
      <w:pPr>
        <w:rPr>
          <w:rFonts w:ascii="Times New Roman" w:hAnsi="Times New Roman" w:eastAsia="仿宋"/>
          <w:color w:val="auto"/>
          <w:sz w:val="32"/>
          <w:szCs w:val="32"/>
          <w:highlight w:val="none"/>
          <w:shd w:val="clear" w:color="FFFFFF" w:fill="D9D9D9"/>
        </w:rPr>
      </w:pPr>
    </w:p>
    <w:p>
      <w:pPr>
        <w:pStyle w:val="6"/>
        <w:rPr>
          <w:color w:val="auto"/>
          <w:highlight w:val="none"/>
          <w:shd w:val="clear" w:color="FFFFFF" w:fill="D9D9D9"/>
        </w:rPr>
      </w:pPr>
    </w:p>
    <w:p>
      <w:pPr>
        <w:pStyle w:val="19"/>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color w:val="auto"/>
          <w:kern w:val="2"/>
          <w:sz w:val="30"/>
          <w:szCs w:val="30"/>
          <w:highlight w:val="none"/>
          <w:shd w:val="clear" w:color="FFFFFF" w:fill="D9D9D9"/>
        </w:rPr>
      </w:pPr>
    </w:p>
    <w:p>
      <w:pPr>
        <w:pStyle w:val="19"/>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color w:val="auto"/>
          <w:kern w:val="2"/>
          <w:sz w:val="30"/>
          <w:szCs w:val="30"/>
          <w:highlight w:val="none"/>
        </w:rPr>
      </w:pPr>
      <w:bookmarkStart w:id="307" w:name="_Toc16608"/>
      <w:bookmarkStart w:id="308" w:name="_Toc18605"/>
      <w:r>
        <w:rPr>
          <w:rFonts w:hint="eastAsia" w:asciiTheme="minorEastAsia" w:hAnsiTheme="minorEastAsia" w:eastAsiaTheme="minorEastAsia" w:cstheme="minorEastAsia"/>
          <w:b/>
          <w:color w:val="auto"/>
          <w:kern w:val="2"/>
          <w:sz w:val="30"/>
          <w:szCs w:val="30"/>
          <w:highlight w:val="none"/>
        </w:rPr>
        <w:t>十、招标文件要求的或供应商认为须提交的其他材料</w:t>
      </w:r>
      <w:bookmarkEnd w:id="307"/>
      <w:bookmarkEnd w:id="308"/>
    </w:p>
    <w:p>
      <w:pPr>
        <w:spacing w:line="360" w:lineRule="auto"/>
        <w:rPr>
          <w:rFonts w:asciiTheme="minorEastAsia" w:hAnsiTheme="minorEastAsia" w:eastAsiaTheme="minorEastAsia" w:cstheme="minorEastAsia"/>
          <w:color w:val="auto"/>
          <w:sz w:val="24"/>
          <w:highlight w:val="none"/>
          <w:shd w:val="clear" w:color="FFFFFF" w:fill="D9D9D9"/>
        </w:rPr>
      </w:pPr>
    </w:p>
    <w:p>
      <w:pPr>
        <w:spacing w:line="600" w:lineRule="exact"/>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招标文件规定的其他资料及供应商认为需要提交的其他材料。</w:t>
      </w:r>
    </w:p>
    <w:p>
      <w:pPr>
        <w:spacing w:line="600" w:lineRule="exact"/>
        <w:ind w:firstLine="600" w:firstLineChars="200"/>
        <w:rPr>
          <w:rFonts w:ascii="仿宋" w:hAnsi="仿宋" w:eastAsia="仿宋" w:cs="仿宋"/>
          <w:color w:val="auto"/>
          <w:sz w:val="30"/>
          <w:szCs w:val="30"/>
          <w:highlight w:val="none"/>
        </w:rPr>
      </w:pPr>
    </w:p>
    <w:p>
      <w:pPr>
        <w:widowControl/>
        <w:spacing w:line="580" w:lineRule="atLeast"/>
        <w:jc w:val="center"/>
        <w:rPr>
          <w:rFonts w:asciiTheme="minorEastAsia" w:hAnsiTheme="minorEastAsia" w:eastAsiaTheme="minorEastAsia" w:cstheme="minorEastAsia"/>
          <w:b/>
          <w:color w:val="auto"/>
          <w:kern w:val="0"/>
          <w:sz w:val="32"/>
          <w:szCs w:val="32"/>
          <w:highlight w:val="none"/>
        </w:rPr>
      </w:pPr>
    </w:p>
    <w:p>
      <w:pPr>
        <w:pStyle w:val="44"/>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44"/>
        <w:rPr>
          <w:rFonts w:asciiTheme="minorEastAsia" w:hAnsiTheme="minorEastAsia" w:eastAsiaTheme="minorEastAsia" w:cstheme="minorEastAsia"/>
          <w:b/>
          <w:bCs/>
          <w:color w:val="auto"/>
          <w:kern w:val="0"/>
          <w:sz w:val="32"/>
          <w:szCs w:val="32"/>
          <w:highlight w:val="none"/>
        </w:rPr>
      </w:pPr>
    </w:p>
    <w:p>
      <w:pPr>
        <w:rPr>
          <w:rFonts w:asciiTheme="minorEastAsia" w:hAnsiTheme="minorEastAsia" w:eastAsiaTheme="minorEastAsia" w:cstheme="minorEastAsia"/>
          <w:b/>
          <w:bCs/>
          <w:color w:val="auto"/>
          <w:kern w:val="0"/>
          <w:sz w:val="32"/>
          <w:szCs w:val="32"/>
          <w:highlight w:val="none"/>
        </w:rPr>
      </w:pPr>
    </w:p>
    <w:p>
      <w:pPr>
        <w:pStyle w:val="44"/>
        <w:rPr>
          <w:rFonts w:asciiTheme="minorEastAsia" w:hAnsiTheme="minorEastAsia" w:eastAsiaTheme="minorEastAsia" w:cstheme="minorEastAsia"/>
          <w:b/>
          <w:bCs/>
          <w:color w:val="auto"/>
          <w:kern w:val="0"/>
          <w:sz w:val="32"/>
          <w:szCs w:val="32"/>
          <w:highlight w:val="none"/>
        </w:rPr>
      </w:pPr>
    </w:p>
    <w:p>
      <w:pPr>
        <w:spacing w:line="440" w:lineRule="exact"/>
        <w:jc w:val="center"/>
        <w:rPr>
          <w:rFonts w:hint="eastAsia" w:ascii="宋体" w:hAnsi="宋体" w:cs="宋体"/>
          <w:b/>
          <w:color w:val="auto"/>
          <w:sz w:val="36"/>
          <w:szCs w:val="36"/>
          <w:highlight w:val="none"/>
        </w:rPr>
      </w:pPr>
    </w:p>
    <w:p>
      <w:pPr>
        <w:spacing w:line="440" w:lineRule="exact"/>
        <w:jc w:val="center"/>
        <w:rPr>
          <w:rFonts w:hint="eastAsia" w:ascii="宋体" w:hAnsi="宋体" w:cs="宋体"/>
          <w:b/>
          <w:color w:val="auto"/>
          <w:sz w:val="36"/>
          <w:szCs w:val="36"/>
          <w:highlight w:val="none"/>
        </w:rPr>
      </w:pPr>
      <w:r>
        <w:rPr>
          <w:rFonts w:ascii="宋体" w:hAnsi="宋体" w:cs="宋体"/>
          <w:color w:val="auto"/>
          <w:kern w:val="0"/>
          <w:sz w:val="24"/>
          <w:highlight w:val="none"/>
        </w:rPr>
        <w:br w:type="page"/>
      </w:r>
    </w:p>
    <w:p>
      <w:pPr>
        <w:pageBreakBefore w:val="0"/>
        <w:kinsoku/>
        <w:wordWrap/>
        <w:overflowPunct/>
        <w:topLinePunct w:val="0"/>
        <w:bidi w:val="0"/>
        <w:spacing w:beforeAutospacing="0" w:afterAutospacing="0" w:line="360" w:lineRule="auto"/>
        <w:ind w:left="0" w:leftChars="0" w:firstLine="0" w:firstLineChars="0"/>
        <w:jc w:val="center"/>
        <w:rPr>
          <w:rFonts w:hint="eastAsia" w:asciiTheme="majorEastAsia" w:hAnsiTheme="majorEastAsia" w:eastAsiaTheme="majorEastAsia" w:cstheme="majorEastAsia"/>
          <w:b/>
          <w:bCs w:val="0"/>
          <w:color w:val="auto"/>
          <w:sz w:val="36"/>
          <w:szCs w:val="36"/>
          <w:highlight w:val="none"/>
        </w:rPr>
      </w:pPr>
      <w:r>
        <w:rPr>
          <w:rFonts w:hint="eastAsia" w:asciiTheme="majorEastAsia" w:hAnsiTheme="majorEastAsia" w:eastAsiaTheme="majorEastAsia" w:cstheme="majorEastAsia"/>
          <w:b/>
          <w:bCs w:val="0"/>
          <w:color w:val="auto"/>
          <w:sz w:val="36"/>
          <w:szCs w:val="36"/>
          <w:highlight w:val="none"/>
        </w:rPr>
        <w:t>优化和提升政府采购政策</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一、全面取消采购文件费用和投标保证金费用。</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二、免收履约保证金。确因项目需要的，应以保函等非现金形式收取，比例不得超过合同金额的</w:t>
      </w:r>
      <w:r>
        <w:rPr>
          <w:rFonts w:hint="eastAsia" w:asciiTheme="minorEastAsia" w:hAnsiTheme="minorEastAsia" w:eastAsiaTheme="minorEastAsia" w:cstheme="minorEastAsia"/>
          <w:color w:val="auto"/>
          <w:sz w:val="24"/>
          <w:szCs w:val="24"/>
          <w:highlight w:val="none"/>
          <w:u w:val="single"/>
          <w:lang w:val="en-US" w:eastAsia="zh-CN"/>
        </w:rPr>
        <w:t>6</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，并按约定的时间和条件退还。</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三、评标结果确认时限。自评标（评审）结束后应2个工作日内确定中标供应商，</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个工作日内公告结果，同时发送中标通知书。</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四、合同签订时限。自中标通知书发出之日起</w:t>
      </w:r>
      <w:r>
        <w:rPr>
          <w:rFonts w:hint="eastAsia" w:asciiTheme="minorEastAsia" w:hAnsiTheme="minorEastAsia" w:eastAsiaTheme="minorEastAsia" w:cstheme="minorEastAsia"/>
          <w:color w:val="auto"/>
          <w:sz w:val="24"/>
          <w:szCs w:val="24"/>
          <w:highlight w:val="none"/>
          <w:u w:val="single"/>
          <w:lang w:val="en-US" w:eastAsia="zh-CN"/>
        </w:rPr>
        <w:t>15</w:t>
      </w:r>
      <w:r>
        <w:rPr>
          <w:rFonts w:hint="eastAsia" w:asciiTheme="minorEastAsia" w:hAnsiTheme="minorEastAsia" w:eastAsiaTheme="minorEastAsia" w:cstheme="minorEastAsia"/>
          <w:color w:val="auto"/>
          <w:sz w:val="24"/>
          <w:szCs w:val="24"/>
          <w:highlight w:val="none"/>
        </w:rPr>
        <w:t xml:space="preserve">日内，按照采购文件和投标文件确定的事项签订政府采购合同。 </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五、合同公告和备案时限。自合同签订之日起2个工作日内。</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六、项目验收。自收到供应商项目验收建议之日起5个工作日内组织验收；验收结束后2个工作日内出具《验收报告》，并在焦作市政府采购网公告验收结果。</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七、资金支付。按照合同约定的条件及时支付资金，不得因机构变更、人员更替、政策调整等原因拒绝或延迟资金支付。</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在政府采购活动中，若发现采购人或采购代理机构未按以上政策执行的，可向监督部门举报反映。</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监督单位：</w:t>
      </w:r>
      <w:r>
        <w:rPr>
          <w:rFonts w:hint="eastAsia" w:asciiTheme="minorEastAsia" w:hAnsiTheme="minorEastAsia" w:eastAsiaTheme="minorEastAsia" w:cstheme="minorEastAsia"/>
          <w:color w:val="auto"/>
          <w:sz w:val="24"/>
          <w:szCs w:val="24"/>
          <w:highlight w:val="none"/>
          <w:shd w:val="clear" w:color="auto" w:fill="FFFFFF"/>
          <w:lang w:eastAsia="zh-CN"/>
        </w:rPr>
        <w:t>博爱县</w:t>
      </w:r>
      <w:r>
        <w:rPr>
          <w:rFonts w:hint="eastAsia" w:asciiTheme="minorEastAsia" w:hAnsiTheme="minorEastAsia" w:eastAsiaTheme="minorEastAsia" w:cstheme="minorEastAsia"/>
          <w:color w:val="auto"/>
          <w:sz w:val="24"/>
          <w:szCs w:val="24"/>
          <w:highlight w:val="none"/>
          <w:shd w:val="clear" w:color="auto" w:fill="FFFFFF"/>
        </w:rPr>
        <w:t>财政局政府采购监督管理办公室</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监督电话：0391-8683273</w:t>
      </w:r>
    </w:p>
    <w:p>
      <w:pPr>
        <w:pageBreakBefore w:val="0"/>
        <w:shd w:val="clear" w:color="auto" w:fill="FFFFFF"/>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地址：博爱县发展大道188号机关综合办公楼主楼1213室</w:t>
      </w:r>
    </w:p>
    <w:p>
      <w:pPr>
        <w:spacing w:line="440" w:lineRule="exact"/>
        <w:jc w:val="center"/>
        <w:rPr>
          <w:rFonts w:hint="eastAsia" w:ascii="宋体" w:hAnsi="宋体" w:cs="宋体"/>
          <w:b/>
          <w:color w:val="auto"/>
          <w:sz w:val="36"/>
          <w:szCs w:val="36"/>
          <w:highlight w:val="none"/>
        </w:rPr>
      </w:pPr>
    </w:p>
    <w:p>
      <w:pPr>
        <w:spacing w:line="440" w:lineRule="exact"/>
        <w:jc w:val="center"/>
        <w:rPr>
          <w:rFonts w:hint="eastAsia" w:ascii="宋体" w:hAnsi="宋体" w:cs="宋体"/>
          <w:b/>
          <w:color w:val="auto"/>
          <w:sz w:val="36"/>
          <w:szCs w:val="36"/>
          <w:highlight w:val="none"/>
        </w:rPr>
      </w:pPr>
    </w:p>
    <w:p>
      <w:pPr>
        <w:pStyle w:val="5"/>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spacing w:line="440" w:lineRule="exact"/>
        <w:jc w:val="center"/>
        <w:rPr>
          <w:rFonts w:hint="eastAsia" w:ascii="宋体" w:hAnsi="宋体" w:cs="宋体"/>
          <w:b/>
          <w:color w:val="auto"/>
          <w:sz w:val="36"/>
          <w:szCs w:val="36"/>
          <w:highlight w:val="none"/>
        </w:rPr>
      </w:pPr>
    </w:p>
    <w:p>
      <w:pPr>
        <w:spacing w:line="44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河南省政府采购合同融资政策告知函</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各供应商：</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欢迎贵公司参与河南省政府采购活动！</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420" w:firstLineChars="175"/>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贷款渠道和提供贷款的金融机构，可在河南省政府采购网“河南省政府采购合同融资平台”查询联系。</w:t>
      </w:r>
    </w:p>
    <w:p>
      <w:pPr>
        <w:jc w:val="center"/>
        <w:rPr>
          <w:rFonts w:ascii="宋体" w:hAnsi="宋体"/>
          <w:b/>
          <w:color w:val="auto"/>
          <w:sz w:val="32"/>
          <w:szCs w:val="32"/>
          <w:highlight w:val="none"/>
        </w:rPr>
      </w:pPr>
      <w:r>
        <w:rPr>
          <w:rFonts w:hint="eastAsia" w:ascii="宋体" w:hAnsi="宋体"/>
          <w:b/>
          <w:color w:val="auto"/>
          <w:sz w:val="32"/>
          <w:szCs w:val="32"/>
          <w:highlight w:val="none"/>
        </w:rPr>
        <w:t>焦作市政府采购合同融资合作企业</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23"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名称</w:t>
            </w:r>
          </w:p>
        </w:tc>
        <w:tc>
          <w:tcPr>
            <w:tcW w:w="1353"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联系人</w:t>
            </w:r>
          </w:p>
        </w:tc>
        <w:tc>
          <w:tcPr>
            <w:tcW w:w="2064"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联系电话</w:t>
            </w:r>
          </w:p>
        </w:tc>
        <w:tc>
          <w:tcPr>
            <w:tcW w:w="2558" w:type="dxa"/>
            <w:vAlign w:val="center"/>
          </w:tcPr>
          <w:p>
            <w:pPr>
              <w:widowControl/>
              <w:tabs>
                <w:tab w:val="left" w:pos="0"/>
              </w:tabs>
              <w:jc w:val="center"/>
              <w:rPr>
                <w:rFonts w:ascii="黑体" w:hAnsi="黑体" w:eastAsia="黑体"/>
                <w:color w:val="auto"/>
                <w:sz w:val="30"/>
                <w:szCs w:val="30"/>
                <w:highlight w:val="none"/>
              </w:rPr>
            </w:pPr>
            <w:r>
              <w:rPr>
                <w:rFonts w:hint="eastAsia" w:ascii="黑体" w:hAnsi="黑体" w:eastAsia="黑体"/>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中国农业银行股份有限公司</w:t>
            </w:r>
          </w:p>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薛国战</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0391-2878039       13839109026</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曹阳</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0391-8825171  13839118160</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中国建设银行股份有限公司焦作分行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李华莹</w:t>
            </w:r>
          </w:p>
        </w:tc>
        <w:tc>
          <w:tcPr>
            <w:tcW w:w="2064"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0391-3918471</w:t>
            </w:r>
          </w:p>
        </w:tc>
        <w:tc>
          <w:tcPr>
            <w:tcW w:w="2558"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中国邮政储蓄银行股份有限公司焦作市分行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李天祥</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0391-2981968 13523359082</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焦作中旅银行股份有限公司</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周建林</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0391-2116963 15893053027 </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中信银行股份有限公司焦作分行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color w:val="auto"/>
                <w:sz w:val="24"/>
                <w:highlight w:val="none"/>
              </w:rPr>
            </w:pPr>
            <w:r>
              <w:rPr>
                <w:rFonts w:hint="eastAsia" w:ascii="宋体" w:hAnsi="宋体" w:cs="宋体"/>
                <w:color w:val="auto"/>
                <w:sz w:val="24"/>
                <w:highlight w:val="none"/>
              </w:rPr>
              <w:t>周江江</w:t>
            </w:r>
          </w:p>
        </w:tc>
        <w:tc>
          <w:tcPr>
            <w:tcW w:w="2064"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17639185001</w:t>
            </w:r>
          </w:p>
        </w:tc>
        <w:tc>
          <w:tcPr>
            <w:tcW w:w="2558" w:type="dxa"/>
            <w:shd w:val="solid" w:color="FFFFFF"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bCs/>
                <w:color w:val="auto"/>
                <w:sz w:val="24"/>
                <w:highlight w:val="none"/>
              </w:rPr>
              <w:t>中国光大银行股份有限公司焦作分行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王海宾</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0391-8787996 13598534626</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中原银行股份有限公司焦作分行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赵伟</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0391-8796520 15738533033</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23" w:type="dxa"/>
            <w:shd w:val="clear" w:color="auto" w:fill="auto"/>
            <w:vAlign w:val="center"/>
          </w:tcPr>
          <w:p>
            <w:pPr>
              <w:widowControl/>
              <w:tabs>
                <w:tab w:val="left" w:pos="0"/>
              </w:tabs>
              <w:spacing w:line="360" w:lineRule="exact"/>
              <w:rPr>
                <w:rFonts w:ascii="宋体" w:hAnsi="宋体" w:cs="宋体"/>
                <w:color w:val="auto"/>
                <w:sz w:val="24"/>
                <w:highlight w:val="none"/>
              </w:rPr>
            </w:pPr>
            <w:r>
              <w:rPr>
                <w:rFonts w:hint="eastAsia" w:ascii="宋体" w:hAnsi="宋体" w:cs="宋体"/>
                <w:color w:val="auto"/>
                <w:sz w:val="24"/>
                <w:highlight w:val="none"/>
              </w:rPr>
              <w:t>广发银行股份有限公司焦作分行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color w:val="auto"/>
                <w:sz w:val="24"/>
                <w:highlight w:val="none"/>
              </w:rPr>
            </w:pPr>
            <w:r>
              <w:rPr>
                <w:rFonts w:hint="eastAsia" w:ascii="宋体" w:hAnsi="宋体" w:cs="宋体"/>
                <w:color w:val="auto"/>
                <w:sz w:val="24"/>
                <w:highlight w:val="none"/>
                <w:shd w:val="clear" w:color="auto" w:fill="FFFFFF"/>
              </w:rPr>
              <w:t>张嘉强</w:t>
            </w:r>
          </w:p>
        </w:tc>
        <w:tc>
          <w:tcPr>
            <w:tcW w:w="2064"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0391-653785 13203910032</w:t>
            </w:r>
          </w:p>
        </w:tc>
        <w:tc>
          <w:tcPr>
            <w:tcW w:w="2558" w:type="dxa"/>
            <w:shd w:val="solid" w:color="FFFFFF" w:fill="auto"/>
            <w:vAlign w:val="center"/>
          </w:tcPr>
          <w:p>
            <w:pPr>
              <w:shd w:val="solid" w:color="FFFFFF" w:fill="auto"/>
              <w:autoSpaceDN w:val="0"/>
              <w:jc w:val="center"/>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焦作市塔南路1736号嘉隆金融中心</w:t>
            </w:r>
          </w:p>
        </w:tc>
      </w:tr>
    </w:tbl>
    <w:p>
      <w:pPr>
        <w:rPr>
          <w:rFonts w:ascii="宋体" w:hAnsi="宋体" w:cs="宋体"/>
          <w:color w:val="auto"/>
          <w:sz w:val="24"/>
          <w:highlight w:val="none"/>
        </w:rPr>
      </w:pPr>
      <w:r>
        <w:rPr>
          <w:rFonts w:hint="eastAsia" w:ascii="宋体" w:hAnsi="宋体" w:cs="宋体"/>
          <w:color w:val="auto"/>
          <w:sz w:val="24"/>
          <w:highlight w:val="none"/>
        </w:rPr>
        <w:t>备注：融资服务机构名单和人员联系方式会随时变化。具体情况可登录“焦作市政府采购网”政府采购合同融资平台查询。</w:t>
      </w:r>
    </w:p>
    <w:p>
      <w:pPr>
        <w:rPr>
          <w:rFonts w:ascii="宋体" w:hAnsi="宋体" w:cs="宋体"/>
          <w:color w:val="auto"/>
          <w:sz w:val="24"/>
          <w:highlight w:val="none"/>
        </w:rPr>
      </w:pPr>
    </w:p>
    <w:p>
      <w:pPr>
        <w:rPr>
          <w:color w:val="auto"/>
          <w:highlight w:val="none"/>
        </w:rPr>
      </w:pPr>
    </w:p>
    <w:sectPr>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30" o:spid="_x0000_s1030"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8" o:spid="_x0000_s1028"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shape>
      </w:pict>
    </w:r>
    <w:r>
      <w:pict>
        <v:shape id="_x0000_s1029" o:spid="_x0000_s1029"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Cetyl5sQEAAF0DAAAOAAAAAAAAAAEAIAAAACcBAABkcnMvZTJvRG9jLnhtbFBLBQYAAAAABgAG&#10;AFkBAABKBQAAAAA=&#10;">
          <v:path/>
          <v:fill on="f" focussize="0,0"/>
          <v:stroke on="f" joinstyle="miter"/>
          <v:imagedata o:title=""/>
          <o:lock v:ext="edit"/>
          <v:textbox>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16"/>
        <w:szCs w:val="22"/>
      </w:rPr>
    </w:pPr>
    <w:r>
      <w:rPr>
        <w:sz w:val="20"/>
        <w:szCs w:val="22"/>
      </w:rPr>
      <w:pict>
        <v:shape id="_x0000_s1027" o:spid="_x0000_s1027"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W9GljSAQAApQMAAA4AAABkcnMvZTJvRG9jLnhtbK1TzY7TMBC+I/EO&#10;lu80yXY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LimxzODAT79+nn7/Pf35&#10;QZZJnt5DjVm3HvPi8N4NuDSzH9CZWA8ymPRFPgTjKO7xLK4YIuHp0dvyqsQIx1C1rC4v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hb0aWNIBAAClAwAADgAAAAAAAAABACAAAAAfAQAA&#10;ZHJzL2Uyb0RvYy54bWxQSwUGAAAAAAYABgBZAQAAYwU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- 34 -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FB039FA"/>
    <w:multiLevelType w:val="singleLevel"/>
    <w:tmpl w:val="9FB039FA"/>
    <w:lvl w:ilvl="0" w:tentative="0">
      <w:start w:val="2"/>
      <w:numFmt w:val="chineseCounting"/>
      <w:suff w:val="nothing"/>
      <w:lvlText w:val="%1、"/>
      <w:lvlJc w:val="left"/>
      <w:rPr>
        <w:rFonts w:hint="eastAsia"/>
      </w:rPr>
    </w:lvl>
  </w:abstractNum>
  <w:abstractNum w:abstractNumId="3">
    <w:nsid w:val="A2C6ACF8"/>
    <w:multiLevelType w:val="singleLevel"/>
    <w:tmpl w:val="A2C6ACF8"/>
    <w:lvl w:ilvl="0" w:tentative="0">
      <w:start w:val="1"/>
      <w:numFmt w:val="decimal"/>
      <w:suff w:val="nothing"/>
      <w:lvlText w:val="（%1）"/>
      <w:lvlJc w:val="left"/>
      <w:pPr>
        <w:ind w:left="480" w:firstLine="0"/>
      </w:pPr>
      <w:rPr>
        <w:rFonts w:hint="default"/>
        <w:b w:val="0"/>
        <w:bCs w:val="0"/>
      </w:rPr>
    </w:lvl>
  </w:abstractNum>
  <w:abstractNum w:abstractNumId="4">
    <w:nsid w:val="A58974FB"/>
    <w:multiLevelType w:val="singleLevel"/>
    <w:tmpl w:val="A58974FB"/>
    <w:lvl w:ilvl="0" w:tentative="0">
      <w:start w:val="1"/>
      <w:numFmt w:val="decimal"/>
      <w:suff w:val="space"/>
      <w:lvlText w:val="%1."/>
      <w:lvlJc w:val="left"/>
    </w:lvl>
  </w:abstractNum>
  <w:abstractNum w:abstractNumId="5">
    <w:nsid w:val="B940B7CB"/>
    <w:multiLevelType w:val="singleLevel"/>
    <w:tmpl w:val="B940B7CB"/>
    <w:lvl w:ilvl="0" w:tentative="0">
      <w:start w:val="3"/>
      <w:numFmt w:val="decimal"/>
      <w:suff w:val="nothing"/>
      <w:lvlText w:val="%1、"/>
      <w:lvlJc w:val="left"/>
    </w:lvl>
  </w:abstractNum>
  <w:abstractNum w:abstractNumId="6">
    <w:nsid w:val="E25B3C03"/>
    <w:multiLevelType w:val="singleLevel"/>
    <w:tmpl w:val="E25B3C03"/>
    <w:lvl w:ilvl="0" w:tentative="0">
      <w:start w:val="1"/>
      <w:numFmt w:val="decimal"/>
      <w:suff w:val="nothing"/>
      <w:lvlText w:val="（%1）"/>
      <w:lvlJc w:val="left"/>
    </w:lvl>
  </w:abstractNum>
  <w:abstractNum w:abstractNumId="7">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74054F6"/>
    <w:multiLevelType w:val="multilevel"/>
    <w:tmpl w:val="074054F6"/>
    <w:lvl w:ilvl="0" w:tentative="0">
      <w:start w:val="1"/>
      <w:numFmt w:val="decimal"/>
      <w:pStyle w:val="29"/>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1C58BAF0"/>
    <w:multiLevelType w:val="singleLevel"/>
    <w:tmpl w:val="1C58BAF0"/>
    <w:lvl w:ilvl="0" w:tentative="0">
      <w:start w:val="1"/>
      <w:numFmt w:val="decimal"/>
      <w:suff w:val="nothing"/>
      <w:lvlText w:val="（%1）"/>
      <w:lvlJc w:val="left"/>
    </w:lvl>
  </w:abstractNum>
  <w:abstractNum w:abstractNumId="10">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2E675402"/>
    <w:multiLevelType w:val="singleLevel"/>
    <w:tmpl w:val="2E675402"/>
    <w:lvl w:ilvl="0" w:tentative="0">
      <w:start w:val="1"/>
      <w:numFmt w:val="chineseCounting"/>
      <w:suff w:val="nothing"/>
      <w:lvlText w:val="（%1）"/>
      <w:lvlJc w:val="left"/>
      <w:rPr>
        <w:rFonts w:hint="eastAsia"/>
      </w:rPr>
    </w:lvl>
  </w:abstractNum>
  <w:abstractNum w:abstractNumId="12">
    <w:nsid w:val="59CCA2E1"/>
    <w:multiLevelType w:val="singleLevel"/>
    <w:tmpl w:val="59CCA2E1"/>
    <w:lvl w:ilvl="0" w:tentative="0">
      <w:start w:val="1"/>
      <w:numFmt w:val="decimal"/>
      <w:suff w:val="nothing"/>
      <w:lvlText w:val="（%1）"/>
      <w:lvlJc w:val="left"/>
    </w:lvl>
  </w:abstractNum>
  <w:abstractNum w:abstractNumId="13">
    <w:nsid w:val="5A693C2F"/>
    <w:multiLevelType w:val="singleLevel"/>
    <w:tmpl w:val="5A693C2F"/>
    <w:lvl w:ilvl="0" w:tentative="0">
      <w:start w:val="3"/>
      <w:numFmt w:val="chineseCounting"/>
      <w:suff w:val="space"/>
      <w:lvlText w:val="第%1章"/>
      <w:lvlJc w:val="left"/>
    </w:lvl>
  </w:abstractNum>
  <w:abstractNum w:abstractNumId="14">
    <w:nsid w:val="75324FB0"/>
    <w:multiLevelType w:val="singleLevel"/>
    <w:tmpl w:val="75324FB0"/>
    <w:lvl w:ilvl="0" w:tentative="0">
      <w:start w:val="1"/>
      <w:numFmt w:val="chineseCounting"/>
      <w:suff w:val="space"/>
      <w:lvlText w:val="第%1章"/>
      <w:lvlJc w:val="left"/>
      <w:pPr>
        <w:ind w:left="630"/>
      </w:pPr>
      <w:rPr>
        <w:rFonts w:hint="eastAsia"/>
      </w:rPr>
    </w:lvl>
  </w:abstractNum>
  <w:abstractNum w:abstractNumId="15">
    <w:nsid w:val="768FB672"/>
    <w:multiLevelType w:val="singleLevel"/>
    <w:tmpl w:val="768FB672"/>
    <w:lvl w:ilvl="0" w:tentative="0">
      <w:start w:val="4"/>
      <w:numFmt w:val="chineseCounting"/>
      <w:suff w:val="nothing"/>
      <w:lvlText w:val="%1、"/>
      <w:lvlJc w:val="left"/>
      <w:pPr>
        <w:ind w:left="-60"/>
      </w:pPr>
      <w:rPr>
        <w:rFonts w:hint="eastAsia"/>
      </w:rPr>
    </w:lvl>
  </w:abstractNum>
  <w:num w:numId="1">
    <w:abstractNumId w:val="8"/>
  </w:num>
  <w:num w:numId="2">
    <w:abstractNumId w:val="5"/>
  </w:num>
  <w:num w:numId="3">
    <w:abstractNumId w:val="3"/>
  </w:num>
  <w:num w:numId="4">
    <w:abstractNumId w:val="14"/>
  </w:num>
  <w:num w:numId="5">
    <w:abstractNumId w:val="0"/>
  </w:num>
  <w:num w:numId="6">
    <w:abstractNumId w:val="7"/>
  </w:num>
  <w:num w:numId="7">
    <w:abstractNumId w:val="13"/>
  </w:num>
  <w:num w:numId="8">
    <w:abstractNumId w:val="1"/>
  </w:num>
  <w:num w:numId="9">
    <w:abstractNumId w:val="9"/>
  </w:num>
  <w:num w:numId="10">
    <w:abstractNumId w:val="6"/>
  </w:num>
  <w:num w:numId="11">
    <w:abstractNumId w:val="15"/>
  </w:num>
  <w:num w:numId="12">
    <w:abstractNumId w:val="10"/>
  </w:num>
  <w:num w:numId="13">
    <w:abstractNumId w:val="4"/>
  </w:num>
  <w:num w:numId="14">
    <w:abstractNumId w:val="11"/>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Q4NDAyZTFmN2Y0NjRlNDgyMzUxOWI3NWU4MjI2MGYifQ=="/>
  </w:docVars>
  <w:rsids>
    <w:rsidRoot w:val="00CF3BAF"/>
    <w:rsid w:val="00281BCC"/>
    <w:rsid w:val="0034193D"/>
    <w:rsid w:val="00382698"/>
    <w:rsid w:val="00666E50"/>
    <w:rsid w:val="006B2CA3"/>
    <w:rsid w:val="00C94A06"/>
    <w:rsid w:val="00C94AF7"/>
    <w:rsid w:val="00CF3BAF"/>
    <w:rsid w:val="00E61A34"/>
    <w:rsid w:val="00FB3E02"/>
    <w:rsid w:val="019C74BD"/>
    <w:rsid w:val="01A249C3"/>
    <w:rsid w:val="01CD0413"/>
    <w:rsid w:val="0224187C"/>
    <w:rsid w:val="02534437"/>
    <w:rsid w:val="02A079AD"/>
    <w:rsid w:val="02AD7AC3"/>
    <w:rsid w:val="02D346FD"/>
    <w:rsid w:val="04351B1E"/>
    <w:rsid w:val="049A5F70"/>
    <w:rsid w:val="061F1094"/>
    <w:rsid w:val="064B3EA8"/>
    <w:rsid w:val="06F1337E"/>
    <w:rsid w:val="074D4119"/>
    <w:rsid w:val="07997BA5"/>
    <w:rsid w:val="083A174E"/>
    <w:rsid w:val="083B347B"/>
    <w:rsid w:val="08B6562F"/>
    <w:rsid w:val="0A645EB1"/>
    <w:rsid w:val="0B057D70"/>
    <w:rsid w:val="0C076843"/>
    <w:rsid w:val="0C2D57D1"/>
    <w:rsid w:val="0CD05128"/>
    <w:rsid w:val="0D792EC2"/>
    <w:rsid w:val="0D81592D"/>
    <w:rsid w:val="0D8716C8"/>
    <w:rsid w:val="0E651252"/>
    <w:rsid w:val="0EA33B28"/>
    <w:rsid w:val="0EDC105C"/>
    <w:rsid w:val="0EDE6CBA"/>
    <w:rsid w:val="0F0410E0"/>
    <w:rsid w:val="0FE73EE9"/>
    <w:rsid w:val="1012372A"/>
    <w:rsid w:val="10544429"/>
    <w:rsid w:val="11A25357"/>
    <w:rsid w:val="11B34CF4"/>
    <w:rsid w:val="13732E71"/>
    <w:rsid w:val="143C687A"/>
    <w:rsid w:val="144162BD"/>
    <w:rsid w:val="14860849"/>
    <w:rsid w:val="14E629C1"/>
    <w:rsid w:val="16997753"/>
    <w:rsid w:val="169D288C"/>
    <w:rsid w:val="179C380B"/>
    <w:rsid w:val="196A7BE4"/>
    <w:rsid w:val="19EF2318"/>
    <w:rsid w:val="1A913822"/>
    <w:rsid w:val="1B33310F"/>
    <w:rsid w:val="1BD529D4"/>
    <w:rsid w:val="1BE9127A"/>
    <w:rsid w:val="1CD57C9C"/>
    <w:rsid w:val="1D1E6C5C"/>
    <w:rsid w:val="1D5A65E9"/>
    <w:rsid w:val="1DC13FCB"/>
    <w:rsid w:val="1E212A6F"/>
    <w:rsid w:val="1E360353"/>
    <w:rsid w:val="1EB33136"/>
    <w:rsid w:val="1EE937D9"/>
    <w:rsid w:val="1F111512"/>
    <w:rsid w:val="1FCF0C21"/>
    <w:rsid w:val="22851F14"/>
    <w:rsid w:val="23C21A0E"/>
    <w:rsid w:val="24581EC9"/>
    <w:rsid w:val="245D7AC3"/>
    <w:rsid w:val="2671382C"/>
    <w:rsid w:val="26AF355A"/>
    <w:rsid w:val="27070CA1"/>
    <w:rsid w:val="287019A1"/>
    <w:rsid w:val="28BD1C36"/>
    <w:rsid w:val="29AD1F3E"/>
    <w:rsid w:val="2A334727"/>
    <w:rsid w:val="2C5243EF"/>
    <w:rsid w:val="2D4759F0"/>
    <w:rsid w:val="2D4B17C9"/>
    <w:rsid w:val="2E7164C1"/>
    <w:rsid w:val="2ED80964"/>
    <w:rsid w:val="30204B81"/>
    <w:rsid w:val="3054090C"/>
    <w:rsid w:val="30766F52"/>
    <w:rsid w:val="315E08FB"/>
    <w:rsid w:val="32AC094E"/>
    <w:rsid w:val="34BF0E0C"/>
    <w:rsid w:val="356103C1"/>
    <w:rsid w:val="35624307"/>
    <w:rsid w:val="36F2243E"/>
    <w:rsid w:val="385E298D"/>
    <w:rsid w:val="38C56745"/>
    <w:rsid w:val="3AC405E4"/>
    <w:rsid w:val="3B680882"/>
    <w:rsid w:val="3C3E4D0D"/>
    <w:rsid w:val="3C5740DD"/>
    <w:rsid w:val="3C875BD5"/>
    <w:rsid w:val="3D3F6549"/>
    <w:rsid w:val="3D6E3B32"/>
    <w:rsid w:val="3DA476DF"/>
    <w:rsid w:val="3E8E1D06"/>
    <w:rsid w:val="3F51170A"/>
    <w:rsid w:val="3FD66319"/>
    <w:rsid w:val="407C1AED"/>
    <w:rsid w:val="40AE6405"/>
    <w:rsid w:val="40E2372C"/>
    <w:rsid w:val="417B430D"/>
    <w:rsid w:val="41A82C28"/>
    <w:rsid w:val="420C4EF5"/>
    <w:rsid w:val="42181E5B"/>
    <w:rsid w:val="42F65BA4"/>
    <w:rsid w:val="4453447A"/>
    <w:rsid w:val="459B770E"/>
    <w:rsid w:val="471C20EE"/>
    <w:rsid w:val="486E372E"/>
    <w:rsid w:val="492E33C0"/>
    <w:rsid w:val="495261A3"/>
    <w:rsid w:val="4C4814B5"/>
    <w:rsid w:val="4D8C494F"/>
    <w:rsid w:val="4E7C3AE4"/>
    <w:rsid w:val="4FDA48F5"/>
    <w:rsid w:val="51171D45"/>
    <w:rsid w:val="51B11685"/>
    <w:rsid w:val="51F82BBB"/>
    <w:rsid w:val="522B7DE8"/>
    <w:rsid w:val="522D3402"/>
    <w:rsid w:val="52DC6BD6"/>
    <w:rsid w:val="52EB6588"/>
    <w:rsid w:val="551C7980"/>
    <w:rsid w:val="5549056E"/>
    <w:rsid w:val="55C81AB9"/>
    <w:rsid w:val="5664557C"/>
    <w:rsid w:val="56BB3C75"/>
    <w:rsid w:val="56DE7067"/>
    <w:rsid w:val="570955B4"/>
    <w:rsid w:val="5725657E"/>
    <w:rsid w:val="57527C3E"/>
    <w:rsid w:val="5783793E"/>
    <w:rsid w:val="57CC2BA0"/>
    <w:rsid w:val="58DF3A45"/>
    <w:rsid w:val="598D26AC"/>
    <w:rsid w:val="599F77C9"/>
    <w:rsid w:val="59C95F43"/>
    <w:rsid w:val="5A93268F"/>
    <w:rsid w:val="5AB2046A"/>
    <w:rsid w:val="5AC82B93"/>
    <w:rsid w:val="5AE6318E"/>
    <w:rsid w:val="5C8E651C"/>
    <w:rsid w:val="5D120EE1"/>
    <w:rsid w:val="5D7C6FEB"/>
    <w:rsid w:val="5DB443B5"/>
    <w:rsid w:val="5DC012A8"/>
    <w:rsid w:val="5E313880"/>
    <w:rsid w:val="5E803BCC"/>
    <w:rsid w:val="5EAE4FD3"/>
    <w:rsid w:val="5F09244A"/>
    <w:rsid w:val="5F9177D9"/>
    <w:rsid w:val="602A334A"/>
    <w:rsid w:val="60B25AEA"/>
    <w:rsid w:val="615C6151"/>
    <w:rsid w:val="61BD2A1D"/>
    <w:rsid w:val="62047871"/>
    <w:rsid w:val="622B3906"/>
    <w:rsid w:val="62494283"/>
    <w:rsid w:val="62EF46F3"/>
    <w:rsid w:val="64CA3CB4"/>
    <w:rsid w:val="64EC0669"/>
    <w:rsid w:val="65EF7DA6"/>
    <w:rsid w:val="66F10A4A"/>
    <w:rsid w:val="67477DD7"/>
    <w:rsid w:val="67923FAF"/>
    <w:rsid w:val="67AB689B"/>
    <w:rsid w:val="682E6AFE"/>
    <w:rsid w:val="68AF4719"/>
    <w:rsid w:val="68B476C6"/>
    <w:rsid w:val="69676C0C"/>
    <w:rsid w:val="698D10CC"/>
    <w:rsid w:val="69AE1092"/>
    <w:rsid w:val="6BD36CF4"/>
    <w:rsid w:val="6D0A63C2"/>
    <w:rsid w:val="6D2917A9"/>
    <w:rsid w:val="6D4E6E2B"/>
    <w:rsid w:val="6EE37D9F"/>
    <w:rsid w:val="6F33431F"/>
    <w:rsid w:val="6FE0340A"/>
    <w:rsid w:val="70822713"/>
    <w:rsid w:val="70B46F74"/>
    <w:rsid w:val="72D134DE"/>
    <w:rsid w:val="72FD1EE3"/>
    <w:rsid w:val="73900C02"/>
    <w:rsid w:val="73BE334D"/>
    <w:rsid w:val="74E538AA"/>
    <w:rsid w:val="75CC203F"/>
    <w:rsid w:val="75F6021B"/>
    <w:rsid w:val="77463913"/>
    <w:rsid w:val="79992F3A"/>
    <w:rsid w:val="79EC68CF"/>
    <w:rsid w:val="7A921700"/>
    <w:rsid w:val="7A9D7487"/>
    <w:rsid w:val="7C1A207B"/>
    <w:rsid w:val="7C537629"/>
    <w:rsid w:val="7CC83F86"/>
    <w:rsid w:val="7CCA3711"/>
    <w:rsid w:val="7D1F193A"/>
    <w:rsid w:val="7D86745E"/>
    <w:rsid w:val="7EF95A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eastAsia="宋体"/>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6">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ind w:firstLine="560" w:firstLineChars="200"/>
    </w:pPr>
    <w:rPr>
      <w:rFonts w:ascii="Times New Roman" w:hAnsi="Times New Roman"/>
    </w:rPr>
  </w:style>
  <w:style w:type="paragraph" w:styleId="7">
    <w:name w:val="caption"/>
    <w:basedOn w:val="1"/>
    <w:next w:val="1"/>
    <w:qFormat/>
    <w:uiPriority w:val="0"/>
    <w:rPr>
      <w:rFonts w:ascii="Arial" w:hAnsi="Arial" w:eastAsia="黑体" w:cstheme="minorBidi"/>
      <w:sz w:val="20"/>
    </w:rPr>
  </w:style>
  <w:style w:type="paragraph" w:styleId="8">
    <w:name w:val="toa heading"/>
    <w:basedOn w:val="1"/>
    <w:next w:val="1"/>
    <w:unhideWhenUsed/>
    <w:qFormat/>
    <w:uiPriority w:val="99"/>
    <w:pPr>
      <w:spacing w:before="120"/>
    </w:pPr>
    <w:rPr>
      <w:rFonts w:ascii="Arial" w:hAnsi="Arial" w:cs="Arial"/>
      <w:sz w:val="24"/>
    </w:rPr>
  </w:style>
  <w:style w:type="paragraph" w:styleId="9">
    <w:name w:val="Body Text 3"/>
    <w:basedOn w:val="1"/>
    <w:unhideWhenUsed/>
    <w:qFormat/>
    <w:uiPriority w:val="0"/>
    <w:pPr>
      <w:spacing w:after="120"/>
    </w:pPr>
    <w:rPr>
      <w:rFonts w:ascii="Times New Roman" w:hAnsi="Times New Roman"/>
      <w:sz w:val="16"/>
      <w:szCs w:val="16"/>
    </w:rPr>
  </w:style>
  <w:style w:type="paragraph" w:styleId="10">
    <w:name w:val="Body Text"/>
    <w:basedOn w:val="1"/>
    <w:next w:val="11"/>
    <w:qFormat/>
    <w:uiPriority w:val="0"/>
    <w:rPr>
      <w:rFonts w:ascii="Times New Roman" w:hAnsi="Times New Roman"/>
    </w:rPr>
  </w:style>
  <w:style w:type="paragraph" w:styleId="11">
    <w:name w:val="Body Text 2"/>
    <w:basedOn w:val="1"/>
    <w:next w:val="10"/>
    <w:unhideWhenUsed/>
    <w:qFormat/>
    <w:uiPriority w:val="0"/>
    <w:pPr>
      <w:spacing w:after="120" w:line="480" w:lineRule="auto"/>
    </w:pPr>
    <w:rPr>
      <w:rFonts w:ascii="Times New Roman" w:hAnsi="Times New Roman"/>
    </w:rPr>
  </w:style>
  <w:style w:type="paragraph" w:styleId="12">
    <w:name w:val="toc 3"/>
    <w:basedOn w:val="1"/>
    <w:next w:val="1"/>
    <w:qFormat/>
    <w:uiPriority w:val="0"/>
    <w:pPr>
      <w:ind w:left="840" w:leftChars="400"/>
    </w:pPr>
  </w:style>
  <w:style w:type="paragraph" w:styleId="13">
    <w:name w:val="Plain Text"/>
    <w:basedOn w:val="1"/>
    <w:qFormat/>
    <w:uiPriority w:val="0"/>
    <w:rPr>
      <w:rFonts w:hint="eastAsia" w:ascii="宋体" w:hAnsi="Courier New"/>
      <w:szCs w:val="21"/>
    </w:rPr>
  </w:style>
  <w:style w:type="paragraph" w:styleId="14">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5">
    <w:name w:val="envelope return"/>
    <w:basedOn w:val="1"/>
    <w:qFormat/>
    <w:uiPriority w:val="99"/>
    <w:pPr>
      <w:snapToGrid w:val="0"/>
    </w:pPr>
    <w:rPr>
      <w:rFonts w:ascii="Arial" w:hAnsi="Arial" w:cs="Arial"/>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7">
    <w:name w:val="toc 1"/>
    <w:basedOn w:val="1"/>
    <w:next w:val="1"/>
    <w:qFormat/>
    <w:uiPriority w:val="0"/>
    <w:rPr>
      <w:rFonts w:ascii="Times New Roman" w:hAnsi="Times New Roman"/>
    </w:rPr>
  </w:style>
  <w:style w:type="paragraph" w:styleId="18">
    <w:name w:val="toc 2"/>
    <w:basedOn w:val="1"/>
    <w:next w:val="1"/>
    <w:qFormat/>
    <w:uiPriority w:val="0"/>
    <w:pPr>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21">
    <w:name w:val="Body Text First Indent"/>
    <w:basedOn w:val="10"/>
    <w:next w:val="2"/>
    <w:unhideWhenUsed/>
    <w:qFormat/>
    <w:uiPriority w:val="0"/>
    <w:pPr>
      <w:ind w:firstLine="420" w:firstLineChars="100"/>
    </w:pPr>
    <w:rPr>
      <w:rFonts w:hint="eastAsia" w:ascii="楷体_GB2312" w:eastAsia="楷体_GB2312"/>
      <w:sz w:val="32"/>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qFormat/>
    <w:uiPriority w:val="99"/>
    <w:rPr>
      <w:rFonts w:cs="Times New Roman"/>
      <w:color w:val="0000FF"/>
      <w:u w:val="single"/>
    </w:rPr>
  </w:style>
  <w:style w:type="paragraph" w:customStyle="1" w:styleId="26">
    <w:name w:val="style4"/>
    <w:basedOn w:val="27"/>
    <w:next w:val="28"/>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27">
    <w:name w:val="正文_0"/>
    <w:next w:val="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Style1"/>
    <w:next w:val="30"/>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30">
    <w:name w:val="*正文"/>
    <w:basedOn w:val="1"/>
    <w:qFormat/>
    <w:uiPriority w:val="0"/>
    <w:pPr>
      <w:ind w:firstLine="200" w:firstLineChars="200"/>
    </w:pPr>
    <w:rPr>
      <w:rFonts w:ascii="宋体" w:hAnsi="宋体"/>
      <w:szCs w:val="22"/>
    </w:rPr>
  </w:style>
  <w:style w:type="paragraph" w:customStyle="1" w:styleId="31">
    <w:name w:val="Body Text First Indent1"/>
    <w:basedOn w:val="10"/>
    <w:qFormat/>
    <w:uiPriority w:val="0"/>
    <w:pPr>
      <w:ind w:firstLine="420" w:firstLineChars="100"/>
    </w:pPr>
  </w:style>
  <w:style w:type="paragraph" w:customStyle="1" w:styleId="32">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33">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34">
    <w:name w:val="表格文字"/>
    <w:basedOn w:val="1"/>
    <w:next w:val="10"/>
    <w:qFormat/>
    <w:uiPriority w:val="0"/>
    <w:pPr>
      <w:adjustRightInd w:val="0"/>
      <w:spacing w:line="420" w:lineRule="atLeast"/>
      <w:jc w:val="left"/>
      <w:textAlignment w:val="baseline"/>
    </w:pPr>
    <w:rPr>
      <w:kern w:val="0"/>
    </w:rPr>
  </w:style>
  <w:style w:type="paragraph" w:customStyle="1" w:styleId="35">
    <w:name w:val="p0"/>
    <w:basedOn w:val="36"/>
    <w:qFormat/>
    <w:uiPriority w:val="0"/>
    <w:pPr>
      <w:widowControl/>
    </w:pPr>
    <w:rPr>
      <w:rFonts w:ascii="Times New Roman" w:hAnsi="Times New Roman"/>
      <w:kern w:val="0"/>
      <w:szCs w:val="21"/>
    </w:rPr>
  </w:style>
  <w:style w:type="paragraph" w:customStyle="1" w:styleId="36">
    <w:name w:val="正文1"/>
    <w:next w:val="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文本1"/>
    <w:basedOn w:val="36"/>
    <w:qFormat/>
    <w:uiPriority w:val="99"/>
    <w:rPr>
      <w:rFonts w:eastAsia="楷体_GB2312"/>
      <w:sz w:val="28"/>
    </w:rPr>
  </w:style>
  <w:style w:type="character" w:customStyle="1" w:styleId="38">
    <w:name w:val="NormalCharacter"/>
    <w:qFormat/>
    <w:uiPriority w:val="0"/>
    <w:rPr>
      <w:rFonts w:ascii="Book Antiqua" w:hAnsi="Book Antiqua" w:eastAsia="宋体" w:cs="Times New Roman"/>
      <w:kern w:val="2"/>
      <w:sz w:val="21"/>
      <w:szCs w:val="24"/>
      <w:lang w:val="en-US" w:eastAsia="zh-CN" w:bidi="ar-SA"/>
    </w:rPr>
  </w:style>
  <w:style w:type="paragraph" w:customStyle="1" w:styleId="39">
    <w:name w:val="BodyText1I"/>
    <w:basedOn w:val="40"/>
    <w:next w:val="42"/>
    <w:qFormat/>
    <w:uiPriority w:val="0"/>
    <w:pPr>
      <w:ind w:firstLine="420" w:firstLineChars="100"/>
    </w:pPr>
    <w:rPr>
      <w:rFonts w:ascii="楷体_GB2312"/>
      <w:sz w:val="32"/>
    </w:rPr>
  </w:style>
  <w:style w:type="paragraph" w:customStyle="1" w:styleId="40">
    <w:name w:val="BodyText"/>
    <w:basedOn w:val="1"/>
    <w:next w:val="41"/>
    <w:qFormat/>
    <w:uiPriority w:val="0"/>
    <w:pPr>
      <w:textAlignment w:val="baseline"/>
    </w:pPr>
    <w:rPr>
      <w:rFonts w:ascii="Calibri" w:hAnsi="Calibri" w:eastAsia="楷体_GB2312"/>
      <w:kern w:val="0"/>
      <w:sz w:val="28"/>
    </w:rPr>
  </w:style>
  <w:style w:type="paragraph" w:customStyle="1" w:styleId="41">
    <w:name w:val="BodyText2"/>
    <w:basedOn w:val="1"/>
    <w:next w:val="40"/>
    <w:qFormat/>
    <w:uiPriority w:val="0"/>
    <w:pPr>
      <w:spacing w:after="120" w:line="480" w:lineRule="auto"/>
      <w:textAlignment w:val="baseline"/>
    </w:pPr>
  </w:style>
  <w:style w:type="paragraph" w:customStyle="1" w:styleId="42">
    <w:name w:val="BodyText1I2"/>
    <w:basedOn w:val="43"/>
    <w:qFormat/>
    <w:uiPriority w:val="0"/>
    <w:pPr>
      <w:ind w:firstLine="420" w:firstLineChars="200"/>
    </w:pPr>
  </w:style>
  <w:style w:type="paragraph" w:customStyle="1" w:styleId="43">
    <w:name w:val="BodyTextIndent"/>
    <w:basedOn w:val="1"/>
    <w:qFormat/>
    <w:uiPriority w:val="0"/>
    <w:pPr>
      <w:spacing w:after="120"/>
      <w:ind w:left="420" w:leftChars="200"/>
      <w:textAlignment w:val="baseline"/>
    </w:pPr>
  </w:style>
  <w:style w:type="paragraph" w:customStyle="1" w:styleId="44">
    <w:name w:val="TOAHeading"/>
    <w:basedOn w:val="1"/>
    <w:next w:val="1"/>
    <w:qFormat/>
    <w:uiPriority w:val="0"/>
    <w:pPr>
      <w:spacing w:before="120"/>
      <w:textAlignment w:val="baseline"/>
    </w:pPr>
    <w:rPr>
      <w:rFonts w:ascii="Arial" w:hAnsi="Arial"/>
      <w:sz w:val="24"/>
      <w:szCs w:val="22"/>
    </w:rPr>
  </w:style>
  <w:style w:type="paragraph" w:customStyle="1" w:styleId="45">
    <w:name w:val="Table Paragraph"/>
    <w:basedOn w:val="1"/>
    <w:qFormat/>
    <w:uiPriority w:val="1"/>
    <w:rPr>
      <w:rFonts w:ascii="宋体" w:hAnsi="宋体" w:cs="宋体"/>
      <w:lang w:val="zh-CN" w:bidi="zh-CN"/>
    </w:rPr>
  </w:style>
  <w:style w:type="paragraph" w:styleId="46">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47">
    <w:name w:val="_Style 41"/>
    <w:basedOn w:val="1"/>
    <w:next w:val="46"/>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28"/>
    <customShpInfo spid="_x0000_s1029"/>
    <customShpInfo spid="_x0000_s1027"/>
    <customShpInfo spid="_x0000_s2050"/>
    <customShpInfo spid="_x0000_s2051"/>
    <customShpInfo spid="_x0000_s2053"/>
    <customShpInfo spid="_x0000_s2052"/>
    <customShpInfo spid="_x0000_s2055"/>
    <customShpInfo spid="_x0000_s2054"/>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24085</Words>
  <Characters>27063</Characters>
  <Lines>199</Lines>
  <Paragraphs>56</Paragraphs>
  <TotalTime>10</TotalTime>
  <ScaleCrop>false</ScaleCrop>
  <LinksUpToDate>false</LinksUpToDate>
  <CharactersWithSpaces>28576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2022-03-04T08:07:00Z</dcterms:created>
  <dc:creator>DELL</dc:creator>
  <cp:lastModifiedBy>DELL</cp:lastModifiedBy>
  <cp:lastPrinted>2021-12-29T10:01:00Z</cp:lastPrinted>
  <dcterms:modified xsi:type="dcterms:W3CDTF">2022-05-17T09:00:39Z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4232ED472E1C4CA09004CBEC284CE638</vt:lpwstr>
  </property>
</Properties>
</file>