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heme="minorEastAsia" w:hAnsiTheme="minorEastAsia" w:eastAsiaTheme="minorEastAsia" w:cstheme="minorEastAsia"/>
        </w:rPr>
      </w:pPr>
      <w:bookmarkStart w:id="0" w:name="_Toc281574833"/>
    </w:p>
    <w:p>
      <w:pPr>
        <w:pStyle w:val="21"/>
        <w:rPr>
          <w:rFonts w:asciiTheme="minorEastAsia" w:hAnsiTheme="minorEastAsia" w:eastAsiaTheme="minorEastAsia" w:cstheme="minorEastAsia"/>
        </w:rPr>
      </w:pPr>
    </w:p>
    <w:p>
      <w:pPr>
        <w:spacing w:line="360" w:lineRule="auto"/>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 xml:space="preserve">博爱县农村人居环境综合整治项目选取PPP咨询服务机构采购项目 </w:t>
      </w:r>
    </w:p>
    <w:p>
      <w:pPr>
        <w:spacing w:line="360" w:lineRule="auto"/>
        <w:jc w:val="center"/>
        <w:rPr>
          <w:rFonts w:asciiTheme="majorEastAsia" w:hAnsiTheme="majorEastAsia" w:eastAsiaTheme="majorEastAsia" w:cstheme="majorEastAsia"/>
          <w:b/>
          <w:bCs/>
          <w:sz w:val="44"/>
          <w:szCs w:val="44"/>
        </w:rPr>
      </w:pPr>
    </w:p>
    <w:p>
      <w:pPr>
        <w:spacing w:line="360" w:lineRule="auto"/>
        <w:jc w:val="center"/>
        <w:rPr>
          <w:rFonts w:asciiTheme="minorEastAsia" w:hAnsiTheme="minorEastAsia" w:eastAsiaTheme="minorEastAsia" w:cstheme="minorEastAsia"/>
          <w:b/>
          <w:sz w:val="120"/>
          <w:szCs w:val="120"/>
        </w:rPr>
      </w:pPr>
      <w:r>
        <w:rPr>
          <w:rFonts w:hint="eastAsia" w:asciiTheme="majorEastAsia" w:hAnsiTheme="majorEastAsia" w:eastAsiaTheme="majorEastAsia" w:cstheme="majorEastAsia"/>
          <w:b/>
          <w:bCs/>
          <w:sz w:val="44"/>
          <w:szCs w:val="44"/>
        </w:rPr>
        <w:t xml:space="preserve"> </w:t>
      </w:r>
    </w:p>
    <w:p>
      <w:pPr>
        <w:pStyle w:val="3"/>
      </w:pPr>
    </w:p>
    <w:p>
      <w:pPr>
        <w:spacing w:line="360" w:lineRule="auto"/>
        <w:jc w:val="center"/>
        <w:rPr>
          <w:rFonts w:asciiTheme="minorEastAsia" w:hAnsiTheme="minorEastAsia" w:eastAsiaTheme="minorEastAsia" w:cstheme="minorEastAsia"/>
          <w:b/>
          <w:sz w:val="120"/>
          <w:szCs w:val="120"/>
        </w:rPr>
      </w:pPr>
      <w:r>
        <w:rPr>
          <w:rFonts w:hint="eastAsia" w:asciiTheme="minorEastAsia" w:hAnsiTheme="minorEastAsia" w:eastAsiaTheme="minorEastAsia" w:cstheme="minorEastAsia"/>
          <w:b/>
          <w:sz w:val="120"/>
          <w:szCs w:val="120"/>
        </w:rPr>
        <w:t>招 标 文 件</w:t>
      </w:r>
    </w:p>
    <w:p>
      <w:pPr>
        <w:spacing w:line="360" w:lineRule="auto"/>
        <w:jc w:val="cente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采购编号：博政采购〔2022〕43号</w:t>
      </w:r>
    </w:p>
    <w:p>
      <w:pPr>
        <w:jc w:val="center"/>
        <w:rPr>
          <w:rFonts w:asciiTheme="minorEastAsia" w:hAnsiTheme="minorEastAsia" w:eastAsiaTheme="minorEastAsia" w:cstheme="minorEastAsia"/>
          <w:sz w:val="30"/>
        </w:rPr>
      </w:pPr>
    </w:p>
    <w:p>
      <w:pPr>
        <w:rPr>
          <w:rFonts w:asciiTheme="minorEastAsia" w:hAnsiTheme="minorEastAsia" w:eastAsiaTheme="minorEastAsia" w:cstheme="minorEastAsia"/>
          <w:sz w:val="30"/>
        </w:rPr>
      </w:pPr>
    </w:p>
    <w:p>
      <w:pPr>
        <w:rPr>
          <w:rFonts w:asciiTheme="minorEastAsia" w:hAnsiTheme="minorEastAsia" w:eastAsiaTheme="minorEastAsia" w:cstheme="minorEastAsia"/>
        </w:rPr>
      </w:pPr>
    </w:p>
    <w:p>
      <w:pPr>
        <w:pStyle w:val="3"/>
        <w:rPr>
          <w:rFonts w:asciiTheme="minorEastAsia" w:hAnsiTheme="minorEastAsia" w:eastAsiaTheme="minorEastAsia" w:cstheme="minorEastAsia"/>
        </w:rPr>
      </w:pPr>
    </w:p>
    <w:p>
      <w:pPr>
        <w:pStyle w:val="21"/>
        <w:rPr>
          <w:rFonts w:asciiTheme="minorEastAsia" w:hAnsiTheme="minorEastAsia" w:eastAsiaTheme="minorEastAsia" w:cstheme="minorEastAsia"/>
        </w:rPr>
      </w:pPr>
    </w:p>
    <w:p>
      <w:pPr>
        <w:pStyle w:val="3"/>
      </w:pPr>
    </w:p>
    <w:p>
      <w:pPr>
        <w:ind w:firstLine="1928" w:firstLineChars="60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采 购 人：焦作市生态环境局博爱分局</w:t>
      </w:r>
    </w:p>
    <w:p>
      <w:pPr>
        <w:ind w:firstLine="1928" w:firstLineChars="60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代理机构：博爱县城市建设项目管理有限公司</w:t>
      </w:r>
    </w:p>
    <w:p>
      <w:pPr>
        <w:ind w:firstLine="1928" w:firstLineChars="600"/>
        <w:rPr>
          <w:rFonts w:asciiTheme="minorEastAsia" w:hAnsiTheme="minorEastAsia" w:eastAsiaTheme="minorEastAsia" w:cstheme="minorEastAsia"/>
          <w:b/>
          <w:bCs/>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597" w:right="1116" w:bottom="1417" w:left="1331" w:header="624" w:footer="998" w:gutter="0"/>
          <w:pgNumType w:fmt="numberInDash" w:start="1"/>
          <w:cols w:space="720" w:num="1"/>
          <w:titlePg/>
          <w:docGrid w:type="lines" w:linePitch="380" w:charSpace="0"/>
        </w:sectPr>
      </w:pPr>
      <w:r>
        <w:rPr>
          <w:rFonts w:hint="eastAsia" w:asciiTheme="minorEastAsia" w:hAnsiTheme="minorEastAsia" w:eastAsiaTheme="minorEastAsia" w:cstheme="minorEastAsia"/>
          <w:b/>
          <w:bCs/>
          <w:sz w:val="32"/>
          <w:szCs w:val="32"/>
        </w:rPr>
        <w:t>日    期：2022年</w:t>
      </w:r>
      <w:r>
        <w:rPr>
          <w:rFonts w:hint="eastAsia" w:asciiTheme="minorEastAsia" w:hAnsiTheme="minorEastAsia" w:eastAsiaTheme="minorEastAsia" w:cstheme="minorEastAsia"/>
          <w:b/>
          <w:bCs/>
          <w:sz w:val="32"/>
          <w:szCs w:val="32"/>
          <w:lang w:val="en-US" w:eastAsia="zh-CN"/>
        </w:rPr>
        <w:t>6</w:t>
      </w:r>
      <w:r>
        <w:rPr>
          <w:rFonts w:hint="eastAsia" w:asciiTheme="minorEastAsia" w:hAnsiTheme="minorEastAsia" w:eastAsiaTheme="minorEastAsia" w:cstheme="minorEastAsia"/>
          <w:b/>
          <w:bCs/>
          <w:sz w:val="32"/>
          <w:szCs w:val="32"/>
        </w:rPr>
        <w:t>月</w:t>
      </w:r>
    </w:p>
    <w:p>
      <w:pPr>
        <w:jc w:val="center"/>
        <w:rPr>
          <w:rFonts w:asciiTheme="minorEastAsia" w:hAnsiTheme="minorEastAsia" w:eastAsiaTheme="minorEastAsia" w:cstheme="minorEastAsia"/>
          <w:b/>
          <w:bCs/>
          <w:sz w:val="32"/>
          <w:szCs w:val="32"/>
        </w:rPr>
      </w:pPr>
    </w:p>
    <w:p>
      <w:pPr>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目     录</w:t>
      </w:r>
    </w:p>
    <w:p>
      <w:pPr>
        <w:pStyle w:val="19"/>
        <w:tabs>
          <w:tab w:val="right" w:leader="dot" w:pos="9880"/>
        </w:tabs>
      </w:pPr>
      <w:r>
        <w:rPr>
          <w:rFonts w:hint="eastAsia" w:asciiTheme="minorEastAsia" w:hAnsiTheme="minorEastAsia" w:eastAsiaTheme="minorEastAsia" w:cstheme="minorEastAsia"/>
          <w:b/>
          <w:bCs/>
          <w:szCs w:val="21"/>
          <w:lang w:val="zh-CN"/>
        </w:rPr>
        <w:fldChar w:fldCharType="begin"/>
      </w:r>
      <w:r>
        <w:rPr>
          <w:rFonts w:hint="eastAsia" w:asciiTheme="minorEastAsia" w:hAnsiTheme="minorEastAsia" w:eastAsiaTheme="minorEastAsia" w:cstheme="minorEastAsia"/>
          <w:b/>
          <w:bCs/>
          <w:szCs w:val="21"/>
          <w:lang w:val="zh-CN"/>
        </w:rPr>
        <w:instrText xml:space="preserve"> TOC \o "1-3" \h \z \u </w:instrText>
      </w:r>
      <w:r>
        <w:rPr>
          <w:rFonts w:hint="eastAsia" w:asciiTheme="minorEastAsia" w:hAnsiTheme="minorEastAsia" w:eastAsiaTheme="minorEastAsia" w:cstheme="minorEastAsia"/>
          <w:b/>
          <w:bCs/>
          <w:szCs w:val="21"/>
          <w:lang w:val="zh-CN"/>
        </w:rPr>
        <w:fldChar w:fldCharType="separate"/>
      </w:r>
      <w:r>
        <w:fldChar w:fldCharType="begin"/>
      </w:r>
      <w:r>
        <w:instrText xml:space="preserve"> HYPERLINK \l "_Toc2925" </w:instrText>
      </w:r>
      <w:r>
        <w:fldChar w:fldCharType="separate"/>
      </w:r>
      <w:r>
        <w:rPr>
          <w:rFonts w:hint="eastAsia"/>
        </w:rPr>
        <w:t>重要事项提示</w:t>
      </w:r>
      <w:r>
        <w:tab/>
      </w:r>
      <w:r>
        <w:fldChar w:fldCharType="begin"/>
      </w:r>
      <w:r>
        <w:instrText xml:space="preserve"> PAGEREF _Toc2925 \h </w:instrText>
      </w:r>
      <w:r>
        <w:fldChar w:fldCharType="separate"/>
      </w:r>
      <w:r>
        <w:t>- 3 -</w:t>
      </w:r>
      <w:r>
        <w:fldChar w:fldCharType="end"/>
      </w:r>
      <w:r>
        <w:fldChar w:fldCharType="end"/>
      </w:r>
    </w:p>
    <w:p>
      <w:pPr>
        <w:pStyle w:val="19"/>
        <w:tabs>
          <w:tab w:val="right" w:leader="dot" w:pos="9880"/>
        </w:tabs>
      </w:pPr>
      <w:r>
        <w:fldChar w:fldCharType="begin"/>
      </w:r>
      <w:r>
        <w:instrText xml:space="preserve"> HYPERLINK \l "_Toc20833" </w:instrText>
      </w:r>
      <w:r>
        <w:fldChar w:fldCharType="separate"/>
      </w:r>
      <w:r>
        <w:rPr>
          <w:rFonts w:hint="eastAsia"/>
        </w:rPr>
        <w:t xml:space="preserve">第一章 </w:t>
      </w:r>
      <w:r>
        <w:rPr>
          <w:rFonts w:hint="eastAsia" w:asciiTheme="minorEastAsia" w:hAnsiTheme="minorEastAsia" w:eastAsiaTheme="minorEastAsia" w:cstheme="minorEastAsia"/>
          <w:bCs/>
        </w:rPr>
        <w:t>招标公告</w:t>
      </w:r>
      <w:r>
        <w:tab/>
      </w:r>
      <w:r>
        <w:fldChar w:fldCharType="begin"/>
      </w:r>
      <w:r>
        <w:instrText xml:space="preserve"> PAGEREF _Toc20833 \h </w:instrText>
      </w:r>
      <w:r>
        <w:fldChar w:fldCharType="separate"/>
      </w:r>
      <w:r>
        <w:t>- 5 -</w:t>
      </w:r>
      <w:r>
        <w:fldChar w:fldCharType="end"/>
      </w:r>
      <w:r>
        <w:fldChar w:fldCharType="end"/>
      </w:r>
    </w:p>
    <w:p>
      <w:pPr>
        <w:pStyle w:val="19"/>
        <w:tabs>
          <w:tab w:val="right" w:leader="dot" w:pos="9880"/>
        </w:tabs>
      </w:pPr>
      <w:r>
        <w:fldChar w:fldCharType="begin"/>
      </w:r>
      <w:r>
        <w:instrText xml:space="preserve"> HYPERLINK \l "_Toc24528" </w:instrText>
      </w:r>
      <w:r>
        <w:fldChar w:fldCharType="separate"/>
      </w:r>
      <w:r>
        <w:rPr>
          <w:rFonts w:hint="eastAsia" w:asciiTheme="minorEastAsia" w:hAnsiTheme="minorEastAsia" w:eastAsiaTheme="minorEastAsia" w:cstheme="minorEastAsia"/>
          <w:szCs w:val="32"/>
        </w:rPr>
        <w:t>第二章  投标人须知</w:t>
      </w:r>
      <w:r>
        <w:tab/>
      </w:r>
      <w:r>
        <w:fldChar w:fldCharType="begin"/>
      </w:r>
      <w:r>
        <w:instrText xml:space="preserve"> PAGEREF _Toc24528 \h </w:instrText>
      </w:r>
      <w:r>
        <w:fldChar w:fldCharType="separate"/>
      </w:r>
      <w:r>
        <w:t>- 8 -</w:t>
      </w:r>
      <w:r>
        <w:fldChar w:fldCharType="end"/>
      </w:r>
      <w:r>
        <w:fldChar w:fldCharType="end"/>
      </w:r>
    </w:p>
    <w:p>
      <w:pPr>
        <w:pStyle w:val="19"/>
        <w:tabs>
          <w:tab w:val="right" w:leader="dot" w:pos="9880"/>
        </w:tabs>
      </w:pPr>
      <w:r>
        <w:fldChar w:fldCharType="begin"/>
      </w:r>
      <w:r>
        <w:instrText xml:space="preserve"> HYPERLINK \l "_Toc15953" </w:instrText>
      </w:r>
      <w:r>
        <w:fldChar w:fldCharType="separate"/>
      </w:r>
      <w:r>
        <w:rPr>
          <w:rFonts w:hint="eastAsia" w:asciiTheme="minorEastAsia" w:hAnsiTheme="minorEastAsia" w:eastAsiaTheme="minorEastAsia" w:cstheme="minorEastAsia"/>
          <w:szCs w:val="30"/>
        </w:rPr>
        <w:t>投标人须知前附表</w:t>
      </w:r>
      <w:r>
        <w:tab/>
      </w:r>
      <w:r>
        <w:fldChar w:fldCharType="begin"/>
      </w:r>
      <w:r>
        <w:instrText xml:space="preserve"> PAGEREF _Toc15953 \h </w:instrText>
      </w:r>
      <w:r>
        <w:fldChar w:fldCharType="separate"/>
      </w:r>
      <w:r>
        <w:t>- 8 -</w:t>
      </w:r>
      <w:r>
        <w:fldChar w:fldCharType="end"/>
      </w:r>
      <w:r>
        <w:fldChar w:fldCharType="end"/>
      </w:r>
    </w:p>
    <w:p>
      <w:pPr>
        <w:pStyle w:val="19"/>
        <w:tabs>
          <w:tab w:val="right" w:leader="dot" w:pos="9880"/>
        </w:tabs>
      </w:pPr>
      <w:r>
        <w:fldChar w:fldCharType="begin"/>
      </w:r>
      <w:r>
        <w:instrText xml:space="preserve"> HYPERLINK \l "_Toc17744" </w:instrText>
      </w:r>
      <w:r>
        <w:fldChar w:fldCharType="separate"/>
      </w:r>
      <w:r>
        <w:rPr>
          <w:rFonts w:hint="eastAsia" w:asciiTheme="minorEastAsia" w:hAnsiTheme="minorEastAsia" w:eastAsiaTheme="minorEastAsia" w:cstheme="minorEastAsia"/>
        </w:rPr>
        <w:t>1. 总则</w:t>
      </w:r>
      <w:r>
        <w:tab/>
      </w:r>
      <w:r>
        <w:fldChar w:fldCharType="begin"/>
      </w:r>
      <w:r>
        <w:instrText xml:space="preserve"> PAGEREF _Toc17744 \h </w:instrText>
      </w:r>
      <w:r>
        <w:fldChar w:fldCharType="separate"/>
      </w:r>
      <w:r>
        <w:t>- 13 -</w:t>
      </w:r>
      <w:r>
        <w:fldChar w:fldCharType="end"/>
      </w:r>
      <w:r>
        <w:fldChar w:fldCharType="end"/>
      </w:r>
    </w:p>
    <w:p>
      <w:pPr>
        <w:pStyle w:val="19"/>
        <w:tabs>
          <w:tab w:val="right" w:leader="dot" w:pos="9880"/>
        </w:tabs>
      </w:pPr>
      <w:r>
        <w:fldChar w:fldCharType="begin"/>
      </w:r>
      <w:r>
        <w:instrText xml:space="preserve"> HYPERLINK \l "_Toc5496" </w:instrText>
      </w:r>
      <w:r>
        <w:fldChar w:fldCharType="separate"/>
      </w:r>
      <w:r>
        <w:rPr>
          <w:rFonts w:hint="eastAsia" w:asciiTheme="minorEastAsia" w:hAnsiTheme="minorEastAsia" w:eastAsiaTheme="minorEastAsia" w:cstheme="minorEastAsia"/>
        </w:rPr>
        <w:t>2. 招标文件</w:t>
      </w:r>
      <w:r>
        <w:tab/>
      </w:r>
      <w:r>
        <w:fldChar w:fldCharType="begin"/>
      </w:r>
      <w:r>
        <w:instrText xml:space="preserve"> PAGEREF _Toc5496 \h </w:instrText>
      </w:r>
      <w:r>
        <w:fldChar w:fldCharType="separate"/>
      </w:r>
      <w:r>
        <w:t>- 14 -</w:t>
      </w:r>
      <w:r>
        <w:fldChar w:fldCharType="end"/>
      </w:r>
      <w:r>
        <w:fldChar w:fldCharType="end"/>
      </w:r>
    </w:p>
    <w:p>
      <w:pPr>
        <w:pStyle w:val="19"/>
        <w:tabs>
          <w:tab w:val="right" w:leader="dot" w:pos="9880"/>
        </w:tabs>
      </w:pPr>
      <w:r>
        <w:fldChar w:fldCharType="begin"/>
      </w:r>
      <w:r>
        <w:instrText xml:space="preserve"> HYPERLINK \l "_Toc17990" </w:instrText>
      </w:r>
      <w:r>
        <w:fldChar w:fldCharType="separate"/>
      </w:r>
      <w:r>
        <w:rPr>
          <w:rFonts w:hint="eastAsia" w:asciiTheme="minorEastAsia" w:hAnsiTheme="minorEastAsia" w:eastAsiaTheme="minorEastAsia" w:cstheme="minorEastAsia"/>
        </w:rPr>
        <w:t>3. 投标文件</w:t>
      </w:r>
      <w:r>
        <w:tab/>
      </w:r>
      <w:r>
        <w:fldChar w:fldCharType="begin"/>
      </w:r>
      <w:r>
        <w:instrText xml:space="preserve"> PAGEREF _Toc17990 \h </w:instrText>
      </w:r>
      <w:r>
        <w:fldChar w:fldCharType="separate"/>
      </w:r>
      <w:r>
        <w:t>- 15 -</w:t>
      </w:r>
      <w:r>
        <w:fldChar w:fldCharType="end"/>
      </w:r>
      <w:r>
        <w:fldChar w:fldCharType="end"/>
      </w:r>
    </w:p>
    <w:p>
      <w:pPr>
        <w:pStyle w:val="19"/>
        <w:tabs>
          <w:tab w:val="right" w:leader="dot" w:pos="9880"/>
        </w:tabs>
      </w:pPr>
      <w:r>
        <w:fldChar w:fldCharType="begin"/>
      </w:r>
      <w:r>
        <w:instrText xml:space="preserve"> HYPERLINK \l "_Toc15900" </w:instrText>
      </w:r>
      <w:r>
        <w:fldChar w:fldCharType="separate"/>
      </w:r>
      <w:r>
        <w:rPr>
          <w:rFonts w:hint="eastAsia" w:asciiTheme="minorEastAsia" w:hAnsiTheme="minorEastAsia" w:eastAsiaTheme="minorEastAsia" w:cstheme="minorEastAsia"/>
        </w:rPr>
        <w:t>4. 投标</w:t>
      </w:r>
      <w:r>
        <w:tab/>
      </w:r>
      <w:r>
        <w:fldChar w:fldCharType="begin"/>
      </w:r>
      <w:r>
        <w:instrText xml:space="preserve"> PAGEREF _Toc15900 \h </w:instrText>
      </w:r>
      <w:r>
        <w:fldChar w:fldCharType="separate"/>
      </w:r>
      <w:r>
        <w:t>- 16 -</w:t>
      </w:r>
      <w:r>
        <w:fldChar w:fldCharType="end"/>
      </w:r>
      <w:r>
        <w:fldChar w:fldCharType="end"/>
      </w:r>
    </w:p>
    <w:p>
      <w:pPr>
        <w:pStyle w:val="19"/>
        <w:tabs>
          <w:tab w:val="right" w:leader="dot" w:pos="9880"/>
        </w:tabs>
      </w:pPr>
      <w:r>
        <w:fldChar w:fldCharType="begin"/>
      </w:r>
      <w:r>
        <w:instrText xml:space="preserve"> HYPERLINK \l "_Toc19012" </w:instrText>
      </w:r>
      <w:r>
        <w:fldChar w:fldCharType="separate"/>
      </w:r>
      <w:r>
        <w:rPr>
          <w:rFonts w:hint="eastAsia" w:asciiTheme="minorEastAsia" w:hAnsiTheme="minorEastAsia" w:eastAsiaTheme="minorEastAsia" w:cstheme="minorEastAsia"/>
        </w:rPr>
        <w:t>5. 开标</w:t>
      </w:r>
      <w:r>
        <w:tab/>
      </w:r>
      <w:r>
        <w:fldChar w:fldCharType="begin"/>
      </w:r>
      <w:r>
        <w:instrText xml:space="preserve"> PAGEREF _Toc19012 \h </w:instrText>
      </w:r>
      <w:r>
        <w:fldChar w:fldCharType="separate"/>
      </w:r>
      <w:r>
        <w:t>- 17 -</w:t>
      </w:r>
      <w:r>
        <w:fldChar w:fldCharType="end"/>
      </w:r>
      <w:r>
        <w:fldChar w:fldCharType="end"/>
      </w:r>
    </w:p>
    <w:p>
      <w:pPr>
        <w:pStyle w:val="19"/>
        <w:tabs>
          <w:tab w:val="right" w:leader="dot" w:pos="9880"/>
        </w:tabs>
      </w:pPr>
      <w:r>
        <w:fldChar w:fldCharType="begin"/>
      </w:r>
      <w:r>
        <w:instrText xml:space="preserve"> HYPERLINK \l "_Toc21373" </w:instrText>
      </w:r>
      <w:r>
        <w:fldChar w:fldCharType="separate"/>
      </w:r>
      <w:r>
        <w:rPr>
          <w:rFonts w:hint="eastAsia" w:asciiTheme="minorEastAsia" w:hAnsiTheme="minorEastAsia" w:eastAsiaTheme="minorEastAsia" w:cstheme="minorEastAsia"/>
        </w:rPr>
        <w:t>6. 评标</w:t>
      </w:r>
      <w:r>
        <w:tab/>
      </w:r>
      <w:r>
        <w:fldChar w:fldCharType="begin"/>
      </w:r>
      <w:r>
        <w:instrText xml:space="preserve"> PAGEREF _Toc21373 \h </w:instrText>
      </w:r>
      <w:r>
        <w:fldChar w:fldCharType="separate"/>
      </w:r>
      <w:r>
        <w:t>- 18 -</w:t>
      </w:r>
      <w:r>
        <w:fldChar w:fldCharType="end"/>
      </w:r>
      <w:r>
        <w:fldChar w:fldCharType="end"/>
      </w:r>
    </w:p>
    <w:p>
      <w:pPr>
        <w:pStyle w:val="19"/>
        <w:tabs>
          <w:tab w:val="right" w:leader="dot" w:pos="9880"/>
        </w:tabs>
      </w:pPr>
      <w:r>
        <w:fldChar w:fldCharType="begin"/>
      </w:r>
      <w:r>
        <w:instrText xml:space="preserve"> HYPERLINK \l "_Toc21680" </w:instrText>
      </w:r>
      <w:r>
        <w:fldChar w:fldCharType="separate"/>
      </w:r>
      <w:r>
        <w:rPr>
          <w:rFonts w:hint="eastAsia" w:asciiTheme="minorEastAsia" w:hAnsiTheme="minorEastAsia" w:eastAsiaTheme="minorEastAsia" w:cstheme="minorEastAsia"/>
        </w:rPr>
        <w:t>7. 合同授予</w:t>
      </w:r>
      <w:r>
        <w:tab/>
      </w:r>
      <w:r>
        <w:fldChar w:fldCharType="begin"/>
      </w:r>
      <w:r>
        <w:instrText xml:space="preserve"> PAGEREF _Toc21680 \h </w:instrText>
      </w:r>
      <w:r>
        <w:fldChar w:fldCharType="separate"/>
      </w:r>
      <w:r>
        <w:t>- 19 -</w:t>
      </w:r>
      <w:r>
        <w:fldChar w:fldCharType="end"/>
      </w:r>
      <w:r>
        <w:fldChar w:fldCharType="end"/>
      </w:r>
    </w:p>
    <w:p>
      <w:pPr>
        <w:pStyle w:val="19"/>
        <w:tabs>
          <w:tab w:val="right" w:leader="dot" w:pos="9880"/>
        </w:tabs>
      </w:pPr>
      <w:r>
        <w:fldChar w:fldCharType="begin"/>
      </w:r>
      <w:r>
        <w:instrText xml:space="preserve"> HYPERLINK \l "_Toc18607" </w:instrText>
      </w:r>
      <w:r>
        <w:fldChar w:fldCharType="separate"/>
      </w:r>
      <w:r>
        <w:rPr>
          <w:rFonts w:hint="eastAsia" w:asciiTheme="minorEastAsia" w:hAnsiTheme="minorEastAsia" w:eastAsiaTheme="minorEastAsia" w:cstheme="minorEastAsia"/>
        </w:rPr>
        <w:t>8. 重新招标</w:t>
      </w:r>
      <w:r>
        <w:tab/>
      </w:r>
      <w:r>
        <w:fldChar w:fldCharType="begin"/>
      </w:r>
      <w:r>
        <w:instrText xml:space="preserve"> PAGEREF _Toc18607 \h </w:instrText>
      </w:r>
      <w:r>
        <w:fldChar w:fldCharType="separate"/>
      </w:r>
      <w:r>
        <w:t>- 20 -</w:t>
      </w:r>
      <w:r>
        <w:fldChar w:fldCharType="end"/>
      </w:r>
      <w:r>
        <w:fldChar w:fldCharType="end"/>
      </w:r>
    </w:p>
    <w:p>
      <w:pPr>
        <w:pStyle w:val="19"/>
        <w:tabs>
          <w:tab w:val="right" w:leader="dot" w:pos="9880"/>
        </w:tabs>
      </w:pPr>
      <w:r>
        <w:fldChar w:fldCharType="begin"/>
      </w:r>
      <w:r>
        <w:instrText xml:space="preserve"> HYPERLINK \l "_Toc23389" </w:instrText>
      </w:r>
      <w:r>
        <w:fldChar w:fldCharType="separate"/>
      </w:r>
      <w:r>
        <w:rPr>
          <w:rFonts w:hint="eastAsia" w:asciiTheme="minorEastAsia" w:hAnsiTheme="minorEastAsia" w:eastAsiaTheme="minorEastAsia" w:cstheme="minorEastAsia"/>
        </w:rPr>
        <w:t>9. 纪律和监督</w:t>
      </w:r>
      <w:r>
        <w:tab/>
      </w:r>
      <w:r>
        <w:fldChar w:fldCharType="begin"/>
      </w:r>
      <w:r>
        <w:instrText xml:space="preserve"> PAGEREF _Toc23389 \h </w:instrText>
      </w:r>
      <w:r>
        <w:fldChar w:fldCharType="separate"/>
      </w:r>
      <w:r>
        <w:t>- 20 -</w:t>
      </w:r>
      <w:r>
        <w:fldChar w:fldCharType="end"/>
      </w:r>
      <w:r>
        <w:fldChar w:fldCharType="end"/>
      </w:r>
    </w:p>
    <w:p>
      <w:pPr>
        <w:pStyle w:val="19"/>
        <w:tabs>
          <w:tab w:val="right" w:leader="dot" w:pos="9880"/>
        </w:tabs>
      </w:pPr>
      <w:r>
        <w:fldChar w:fldCharType="begin"/>
      </w:r>
      <w:r>
        <w:instrText xml:space="preserve"> HYPERLINK \l "_Toc5888" </w:instrText>
      </w:r>
      <w:r>
        <w:fldChar w:fldCharType="separate"/>
      </w:r>
      <w:r>
        <w:rPr>
          <w:rFonts w:hint="eastAsia" w:asciiTheme="minorEastAsia" w:hAnsiTheme="minorEastAsia" w:eastAsiaTheme="minorEastAsia" w:cstheme="minorEastAsia"/>
        </w:rPr>
        <w:t>10. 需要补充的其他内容</w:t>
      </w:r>
      <w:r>
        <w:tab/>
      </w:r>
      <w:r>
        <w:fldChar w:fldCharType="begin"/>
      </w:r>
      <w:r>
        <w:instrText xml:space="preserve"> PAGEREF _Toc5888 \h </w:instrText>
      </w:r>
      <w:r>
        <w:fldChar w:fldCharType="separate"/>
      </w:r>
      <w:r>
        <w:t>- 21 -</w:t>
      </w:r>
      <w:r>
        <w:fldChar w:fldCharType="end"/>
      </w:r>
      <w:r>
        <w:fldChar w:fldCharType="end"/>
      </w:r>
    </w:p>
    <w:p>
      <w:pPr>
        <w:pStyle w:val="19"/>
        <w:tabs>
          <w:tab w:val="right" w:leader="dot" w:pos="9880"/>
        </w:tabs>
      </w:pPr>
      <w:r>
        <w:fldChar w:fldCharType="begin"/>
      </w:r>
      <w:r>
        <w:instrText xml:space="preserve"> HYPERLINK \l "_Toc2565" </w:instrText>
      </w:r>
      <w:r>
        <w:fldChar w:fldCharType="separate"/>
      </w:r>
      <w:r>
        <w:rPr>
          <w:rFonts w:asciiTheme="minorEastAsia" w:hAnsiTheme="minorEastAsia" w:eastAsiaTheme="minorEastAsia" w:cstheme="minorEastAsia"/>
          <w:szCs w:val="36"/>
        </w:rPr>
        <w:t xml:space="preserve">第三章 </w:t>
      </w:r>
      <w:r>
        <w:rPr>
          <w:rFonts w:hint="eastAsia" w:asciiTheme="minorEastAsia" w:hAnsiTheme="minorEastAsia" w:eastAsiaTheme="minorEastAsia" w:cstheme="minorEastAsia"/>
          <w:szCs w:val="36"/>
        </w:rPr>
        <w:t>评标办法（综合评分法）</w:t>
      </w:r>
      <w:r>
        <w:tab/>
      </w:r>
      <w:r>
        <w:fldChar w:fldCharType="begin"/>
      </w:r>
      <w:r>
        <w:instrText xml:space="preserve"> PAGEREF _Toc2565 \h </w:instrText>
      </w:r>
      <w:r>
        <w:fldChar w:fldCharType="separate"/>
      </w:r>
      <w:r>
        <w:t>- 26 -</w:t>
      </w:r>
      <w:r>
        <w:fldChar w:fldCharType="end"/>
      </w:r>
      <w:r>
        <w:fldChar w:fldCharType="end"/>
      </w:r>
    </w:p>
    <w:p>
      <w:pPr>
        <w:pStyle w:val="19"/>
        <w:tabs>
          <w:tab w:val="right" w:leader="dot" w:pos="9880"/>
        </w:tabs>
      </w:pPr>
      <w:r>
        <w:fldChar w:fldCharType="begin"/>
      </w:r>
      <w:r>
        <w:instrText xml:space="preserve"> HYPERLINK \l "_Toc9424" </w:instrText>
      </w:r>
      <w:r>
        <w:fldChar w:fldCharType="separate"/>
      </w:r>
      <w:r>
        <w:rPr>
          <w:rFonts w:asciiTheme="minorEastAsia" w:hAnsiTheme="minorEastAsia" w:eastAsiaTheme="minorEastAsia" w:cstheme="minorEastAsia"/>
          <w:szCs w:val="36"/>
        </w:rPr>
        <w:t xml:space="preserve">第四章 </w:t>
      </w:r>
      <w:r>
        <w:rPr>
          <w:rFonts w:hint="eastAsia" w:asciiTheme="minorEastAsia" w:hAnsiTheme="minorEastAsia" w:eastAsiaTheme="minorEastAsia" w:cstheme="minorEastAsia"/>
          <w:szCs w:val="36"/>
        </w:rPr>
        <w:t>合同条款及格式</w:t>
      </w:r>
      <w:r>
        <w:tab/>
      </w:r>
      <w:r>
        <w:fldChar w:fldCharType="begin"/>
      </w:r>
      <w:r>
        <w:instrText xml:space="preserve"> PAGEREF _Toc9424 \h </w:instrText>
      </w:r>
      <w:r>
        <w:fldChar w:fldCharType="separate"/>
      </w:r>
      <w:r>
        <w:t>- 33 -</w:t>
      </w:r>
      <w:r>
        <w:fldChar w:fldCharType="end"/>
      </w:r>
      <w:r>
        <w:fldChar w:fldCharType="end"/>
      </w:r>
    </w:p>
    <w:p>
      <w:pPr>
        <w:pStyle w:val="19"/>
        <w:tabs>
          <w:tab w:val="right" w:leader="dot" w:pos="9880"/>
        </w:tabs>
      </w:pPr>
      <w:r>
        <w:fldChar w:fldCharType="begin"/>
      </w:r>
      <w:r>
        <w:instrText xml:space="preserve"> HYPERLINK \l "_Toc18602" </w:instrText>
      </w:r>
      <w:r>
        <w:fldChar w:fldCharType="separate"/>
      </w:r>
      <w:r>
        <w:rPr>
          <w:rFonts w:hint="eastAsia"/>
          <w:bCs/>
          <w:szCs w:val="32"/>
        </w:rPr>
        <w:t>第五章服务内容及需求</w:t>
      </w:r>
      <w:r>
        <w:tab/>
      </w:r>
      <w:r>
        <w:fldChar w:fldCharType="begin"/>
      </w:r>
      <w:r>
        <w:instrText xml:space="preserve"> PAGEREF _Toc18602 \h </w:instrText>
      </w:r>
      <w:r>
        <w:fldChar w:fldCharType="separate"/>
      </w:r>
      <w:r>
        <w:t>- 35 -</w:t>
      </w:r>
      <w:r>
        <w:fldChar w:fldCharType="end"/>
      </w:r>
      <w:r>
        <w:fldChar w:fldCharType="end"/>
      </w:r>
    </w:p>
    <w:p>
      <w:pPr>
        <w:pStyle w:val="19"/>
        <w:tabs>
          <w:tab w:val="right" w:leader="dot" w:pos="9880"/>
        </w:tabs>
      </w:pPr>
      <w:r>
        <w:fldChar w:fldCharType="begin"/>
      </w:r>
      <w:r>
        <w:instrText xml:space="preserve"> HYPERLINK \l "_Toc18577" </w:instrText>
      </w:r>
      <w:r>
        <w:fldChar w:fldCharType="separate"/>
      </w:r>
      <w:r>
        <w:rPr>
          <w:rFonts w:hint="eastAsia"/>
          <w:szCs w:val="32"/>
        </w:rPr>
        <w:t>第六章 质疑与投诉</w:t>
      </w:r>
      <w:r>
        <w:tab/>
      </w:r>
      <w:r>
        <w:fldChar w:fldCharType="begin"/>
      </w:r>
      <w:r>
        <w:instrText xml:space="preserve"> PAGEREF _Toc18577 \h </w:instrText>
      </w:r>
      <w:r>
        <w:fldChar w:fldCharType="separate"/>
      </w:r>
      <w:r>
        <w:t>- 40 -</w:t>
      </w:r>
      <w:r>
        <w:fldChar w:fldCharType="end"/>
      </w:r>
      <w:r>
        <w:fldChar w:fldCharType="end"/>
      </w:r>
    </w:p>
    <w:p>
      <w:pPr>
        <w:pStyle w:val="19"/>
        <w:tabs>
          <w:tab w:val="right" w:leader="dot" w:pos="9880"/>
        </w:tabs>
      </w:pPr>
      <w:r>
        <w:rPr>
          <w:rFonts w:hint="eastAsia" w:asciiTheme="minorEastAsia" w:hAnsiTheme="minorEastAsia" w:eastAsiaTheme="minorEastAsia" w:cstheme="minorEastAsia"/>
          <w:bCs/>
          <w:caps/>
          <w:szCs w:val="21"/>
          <w:lang w:val="zh-CN"/>
        </w:rPr>
        <w:t>第七章</w:t>
      </w:r>
      <w:r>
        <w:rPr>
          <w:rFonts w:hint="eastAsia" w:asciiTheme="minorEastAsia" w:hAnsiTheme="minorEastAsia" w:eastAsiaTheme="minorEastAsia" w:cstheme="minorEastAsia"/>
          <w:bCs/>
          <w:caps/>
          <w:szCs w:val="21"/>
        </w:rPr>
        <w:t xml:space="preserve"> </w:t>
      </w:r>
      <w:r>
        <w:fldChar w:fldCharType="begin"/>
      </w:r>
      <w:r>
        <w:instrText xml:space="preserve"> HYPERLINK \l "_Toc3437" </w:instrText>
      </w:r>
      <w:r>
        <w:fldChar w:fldCharType="separate"/>
      </w:r>
      <w:r>
        <w:rPr>
          <w:rFonts w:hint="eastAsia" w:asciiTheme="minorEastAsia" w:hAnsiTheme="minorEastAsia" w:eastAsiaTheme="minorEastAsia" w:cstheme="minorEastAsia"/>
          <w:bCs/>
          <w:caps/>
          <w:szCs w:val="21"/>
          <w:lang w:val="zh-CN"/>
        </w:rPr>
        <w:t>履约验收</w:t>
      </w:r>
      <w:r>
        <w:tab/>
      </w:r>
      <w:r>
        <w:fldChar w:fldCharType="begin"/>
      </w:r>
      <w:r>
        <w:instrText xml:space="preserve"> PAGEREF _Toc3437 \h </w:instrText>
      </w:r>
      <w:r>
        <w:fldChar w:fldCharType="separate"/>
      </w:r>
      <w:r>
        <w:t>- 41 -</w:t>
      </w:r>
      <w:r>
        <w:fldChar w:fldCharType="end"/>
      </w:r>
      <w:r>
        <w:fldChar w:fldCharType="end"/>
      </w:r>
    </w:p>
    <w:p>
      <w:pPr>
        <w:pStyle w:val="19"/>
        <w:tabs>
          <w:tab w:val="right" w:leader="dot" w:pos="9880"/>
        </w:tabs>
      </w:pPr>
      <w:r>
        <w:fldChar w:fldCharType="begin"/>
      </w:r>
      <w:r>
        <w:instrText xml:space="preserve"> HYPERLINK \l "_Toc7253" </w:instrText>
      </w:r>
      <w:r>
        <w:fldChar w:fldCharType="separate"/>
      </w:r>
      <w:r>
        <w:rPr>
          <w:rFonts w:hint="eastAsia" w:asciiTheme="minorEastAsia" w:hAnsiTheme="minorEastAsia" w:eastAsiaTheme="minorEastAsia" w:cstheme="minorEastAsia"/>
          <w:szCs w:val="36"/>
        </w:rPr>
        <w:t>第八章  投标文件格式</w:t>
      </w:r>
      <w:r>
        <w:tab/>
      </w:r>
      <w:r>
        <w:fldChar w:fldCharType="begin"/>
      </w:r>
      <w:r>
        <w:instrText xml:space="preserve"> PAGEREF _Toc7253 \h </w:instrText>
      </w:r>
      <w:r>
        <w:fldChar w:fldCharType="separate"/>
      </w:r>
      <w:r>
        <w:t>- 43 -</w:t>
      </w:r>
      <w:r>
        <w:fldChar w:fldCharType="end"/>
      </w:r>
      <w:r>
        <w:fldChar w:fldCharType="end"/>
      </w:r>
    </w:p>
    <w:p>
      <w:pPr>
        <w:pStyle w:val="20"/>
        <w:tabs>
          <w:tab w:val="right" w:leader="dot" w:pos="9880"/>
        </w:tabs>
      </w:pPr>
    </w:p>
    <w:p>
      <w:pPr>
        <w:spacing w:line="520" w:lineRule="exact"/>
        <w:ind w:right="-273" w:rightChars="-130"/>
        <w:rPr>
          <w:rFonts w:asciiTheme="minorEastAsia" w:hAnsiTheme="minorEastAsia" w:eastAsiaTheme="minorEastAsia" w:cstheme="minorEastAsia"/>
          <w:bCs/>
        </w:rPr>
      </w:pPr>
      <w:r>
        <w:rPr>
          <w:rFonts w:hint="eastAsia" w:asciiTheme="minorEastAsia" w:hAnsiTheme="minorEastAsia" w:eastAsiaTheme="minorEastAsia" w:cstheme="minorEastAsia"/>
          <w:bCs/>
          <w:caps/>
          <w:szCs w:val="21"/>
          <w:lang w:val="zh-CN"/>
        </w:rPr>
        <w:fldChar w:fldCharType="end"/>
      </w:r>
    </w:p>
    <w:p>
      <w:pPr>
        <w:pStyle w:val="23"/>
        <w:spacing w:line="360" w:lineRule="auto"/>
        <w:ind w:right="-63" w:rightChars="-30"/>
        <w:rPr>
          <w:rFonts w:asciiTheme="minorEastAsia" w:hAnsiTheme="minorEastAsia" w:eastAsiaTheme="minorEastAsia" w:cstheme="minorEastAsia"/>
          <w:bCs/>
        </w:rPr>
      </w:pPr>
    </w:p>
    <w:p>
      <w:pPr>
        <w:pStyle w:val="23"/>
        <w:spacing w:line="360" w:lineRule="auto"/>
        <w:ind w:right="-63" w:rightChars="-30"/>
        <w:rPr>
          <w:rFonts w:asciiTheme="minorEastAsia" w:hAnsiTheme="minorEastAsia" w:eastAsiaTheme="minorEastAsia" w:cstheme="minorEastAsia"/>
          <w:bCs/>
        </w:rPr>
      </w:pPr>
    </w:p>
    <w:p>
      <w:pPr>
        <w:pStyle w:val="23"/>
        <w:spacing w:line="360" w:lineRule="auto"/>
        <w:ind w:right="-63" w:rightChars="-30"/>
        <w:rPr>
          <w:rFonts w:asciiTheme="minorEastAsia" w:hAnsiTheme="minorEastAsia" w:eastAsiaTheme="minorEastAsia" w:cstheme="minorEastAsia"/>
          <w:bCs/>
        </w:rPr>
      </w:pPr>
    </w:p>
    <w:p>
      <w:pPr>
        <w:pStyle w:val="23"/>
        <w:spacing w:line="360" w:lineRule="auto"/>
        <w:ind w:right="-63" w:rightChars="-30"/>
        <w:rPr>
          <w:rFonts w:asciiTheme="minorEastAsia" w:hAnsiTheme="minorEastAsia" w:eastAsiaTheme="minorEastAsia" w:cstheme="minorEastAsia"/>
          <w:bCs/>
        </w:rPr>
      </w:pPr>
    </w:p>
    <w:p>
      <w:pPr>
        <w:pStyle w:val="5"/>
        <w:rPr>
          <w:rFonts w:ascii="宋体" w:hAnsi="宋体" w:cs="宋体"/>
        </w:rPr>
      </w:pPr>
      <w:bookmarkStart w:id="1" w:name="_Toc2925"/>
      <w:r>
        <w:rPr>
          <w:rFonts w:hint="eastAsia"/>
        </w:rPr>
        <w:t>重要事项提示</w:t>
      </w:r>
      <w:bookmarkEnd w:id="1"/>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各潜在投标人：</w:t>
      </w:r>
    </w:p>
    <w:p>
      <w:pPr>
        <w:spacing w:line="360" w:lineRule="auto"/>
        <w:ind w:firstLine="480" w:firstLineChars="200"/>
        <w:rPr>
          <w:rFonts w:ascii="宋体" w:hAnsi="宋体" w:cs="宋体"/>
          <w:sz w:val="24"/>
        </w:rPr>
      </w:pPr>
      <w:r>
        <w:rPr>
          <w:rFonts w:hint="eastAsia" w:ascii="宋体" w:hAnsi="宋体" w:cs="宋体"/>
          <w:sz w:val="24"/>
        </w:rPr>
        <w:t>以下环节是此采购文件中需要重点关注的环节，对以下内容的忽视，可能是影响贵公司中标的重要因素。请在编制响应文件参与政府采购时高度重视。</w:t>
      </w:r>
    </w:p>
    <w:p>
      <w:pPr>
        <w:spacing w:line="360" w:lineRule="auto"/>
        <w:ind w:firstLine="480" w:firstLineChars="200"/>
        <w:rPr>
          <w:rFonts w:ascii="宋体" w:hAnsi="宋体" w:cs="宋体"/>
          <w:sz w:val="24"/>
        </w:rPr>
      </w:pPr>
      <w:r>
        <w:rPr>
          <w:rFonts w:hint="eastAsia" w:ascii="宋体" w:hAnsi="宋体" w:cs="宋体"/>
          <w:sz w:val="24"/>
        </w:rPr>
        <w:t>1、采购文件应通过焦作市公共资源交易中心网站会员系统进行网上下载；未使用</w:t>
      </w:r>
      <w:r>
        <w:rPr>
          <w:rFonts w:hint="eastAsia" w:ascii="宋体" w:hAnsi="宋体"/>
          <w:bCs/>
          <w:kern w:val="0"/>
          <w:sz w:val="24"/>
        </w:rPr>
        <w:t>企业 CA 密匙</w:t>
      </w:r>
      <w:r>
        <w:rPr>
          <w:rFonts w:hint="eastAsia" w:ascii="宋体" w:hAnsi="宋体" w:cs="宋体"/>
          <w:sz w:val="24"/>
        </w:rPr>
        <w:t>登录焦作市公共资源交易中心网站会员系统进行网上下载文件的，投标视为无效；</w:t>
      </w:r>
    </w:p>
    <w:p>
      <w:pPr>
        <w:pStyle w:val="22"/>
        <w:spacing w:before="0" w:beforeAutospacing="0" w:after="0" w:afterAutospacing="0" w:line="360" w:lineRule="auto"/>
        <w:ind w:firstLine="480" w:firstLineChars="200"/>
        <w:jc w:val="both"/>
      </w:pPr>
      <w:r>
        <w:rPr>
          <w:rFonts w:hint="eastAsia"/>
        </w:rPr>
        <w:t>2、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pPr>
        <w:pStyle w:val="22"/>
        <w:spacing w:before="0" w:beforeAutospacing="0" w:after="0" w:afterAutospacing="0" w:line="360" w:lineRule="auto"/>
        <w:ind w:firstLine="480" w:firstLineChars="200"/>
        <w:jc w:val="both"/>
      </w:pPr>
      <w:r>
        <w:rPr>
          <w:rFonts w:hint="eastAsia"/>
        </w:rPr>
        <w:t>（http://122.112.246.33/BidOpening/bidopeninghallaction/hall/login ），按要求解密投标文件。因文件未及时上传导致投标失败的责任由投标人自行承担，具体要求详见招标文件。 平台统一技术服务电话：400-998-0000，服务 QQ：4008503300，服务时间：周一至周日 8：00-17：30。</w:t>
      </w:r>
    </w:p>
    <w:p>
      <w:pPr>
        <w:pStyle w:val="22"/>
        <w:spacing w:before="0" w:beforeAutospacing="0" w:after="0" w:afterAutospacing="0" w:line="360" w:lineRule="auto"/>
        <w:ind w:firstLine="480" w:firstLineChars="200"/>
        <w:jc w:val="both"/>
      </w:pPr>
      <w:r>
        <w:rPr>
          <w:rFonts w:hint="eastAsia"/>
        </w:rPr>
        <w:t>投标人无需到现场参加开标会议，无需到达现场提交原件资料。投标人应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pStyle w:val="22"/>
        <w:numPr>
          <w:ilvl w:val="0"/>
          <w:numId w:val="2"/>
        </w:numPr>
        <w:spacing w:before="0" w:beforeAutospacing="0" w:after="0" w:afterAutospacing="0" w:line="360" w:lineRule="auto"/>
        <w:ind w:firstLine="480" w:firstLineChars="200"/>
        <w:jc w:val="both"/>
      </w:pPr>
      <w:r>
        <w:rPr>
          <w:rFonts w:hint="eastAsia"/>
        </w:rPr>
        <w:t>有下列情形之一的，将作为自动放弃、无效投标或废标处理：</w:t>
      </w:r>
    </w:p>
    <w:p>
      <w:pPr>
        <w:widowControl/>
        <w:spacing w:line="360" w:lineRule="auto"/>
        <w:ind w:firstLine="480" w:firstLineChars="200"/>
        <w:rPr>
          <w:rFonts w:ascii="宋体" w:hAnsi="宋体"/>
          <w:kern w:val="0"/>
          <w:sz w:val="24"/>
        </w:rPr>
      </w:pPr>
      <w:r>
        <w:rPr>
          <w:rFonts w:hint="eastAsia" w:ascii="宋体" w:hAnsi="宋体"/>
          <w:kern w:val="0"/>
          <w:sz w:val="24"/>
        </w:rPr>
        <w:t>3.1. 未按招标文件明示的规定签字或盖章的；</w:t>
      </w:r>
    </w:p>
    <w:p>
      <w:pPr>
        <w:widowControl/>
        <w:spacing w:line="360" w:lineRule="auto"/>
        <w:ind w:firstLine="480" w:firstLineChars="200"/>
        <w:rPr>
          <w:rFonts w:ascii="宋体" w:hAnsi="宋体"/>
          <w:kern w:val="0"/>
          <w:sz w:val="24"/>
        </w:rPr>
      </w:pPr>
      <w:r>
        <w:rPr>
          <w:rFonts w:hint="eastAsia" w:ascii="宋体" w:hAnsi="宋体"/>
          <w:kern w:val="0"/>
          <w:sz w:val="24"/>
        </w:rPr>
        <w:t>3.2. 投标文件的关键内容（投标报价、服务</w:t>
      </w:r>
      <w:r>
        <w:rPr>
          <w:rFonts w:hint="eastAsia" w:ascii="宋体" w:hAnsi="宋体" w:cs="宋体"/>
          <w:kern w:val="0"/>
          <w:sz w:val="24"/>
        </w:rPr>
        <w:t>期</w:t>
      </w:r>
      <w:r>
        <w:rPr>
          <w:rFonts w:hint="eastAsia" w:ascii="宋体" w:hAnsi="宋体"/>
          <w:kern w:val="0"/>
          <w:sz w:val="24"/>
        </w:rPr>
        <w:t>、质量要求等）未填写或填写字迹模糊无法辨认的；</w:t>
      </w:r>
    </w:p>
    <w:p>
      <w:pPr>
        <w:widowControl/>
        <w:spacing w:line="360" w:lineRule="auto"/>
        <w:ind w:firstLine="480" w:firstLineChars="200"/>
        <w:rPr>
          <w:rFonts w:ascii="宋体" w:hAnsi="宋体"/>
          <w:kern w:val="0"/>
          <w:sz w:val="24"/>
        </w:rPr>
      </w:pPr>
      <w:r>
        <w:rPr>
          <w:rFonts w:hint="eastAsia" w:ascii="宋体" w:hAnsi="宋体"/>
          <w:kern w:val="0"/>
          <w:sz w:val="24"/>
        </w:rPr>
        <w:t>3.3. 采购报价超出控制价的；</w:t>
      </w:r>
    </w:p>
    <w:p>
      <w:pPr>
        <w:widowControl/>
        <w:spacing w:line="360" w:lineRule="auto"/>
        <w:ind w:firstLine="480" w:firstLineChars="200"/>
        <w:rPr>
          <w:rFonts w:ascii="宋体" w:hAnsi="宋体"/>
          <w:kern w:val="0"/>
          <w:sz w:val="24"/>
        </w:rPr>
      </w:pPr>
      <w:r>
        <w:rPr>
          <w:rFonts w:hint="eastAsia" w:ascii="宋体" w:hAnsi="宋体"/>
          <w:kern w:val="0"/>
          <w:sz w:val="24"/>
        </w:rPr>
        <w:t>3.4. 投标文件中对同一项目有两个或多个报价，且未声明哪一个有效的；</w:t>
      </w:r>
    </w:p>
    <w:p>
      <w:pPr>
        <w:widowControl/>
        <w:spacing w:line="360" w:lineRule="auto"/>
        <w:ind w:firstLine="480" w:firstLineChars="200"/>
        <w:rPr>
          <w:rFonts w:ascii="宋体" w:hAnsi="宋体"/>
          <w:kern w:val="0"/>
          <w:sz w:val="24"/>
        </w:rPr>
      </w:pPr>
      <w:r>
        <w:rPr>
          <w:rFonts w:hint="eastAsia" w:ascii="宋体" w:hAnsi="宋体"/>
          <w:kern w:val="0"/>
          <w:sz w:val="24"/>
        </w:rPr>
        <w:t>3.5. 相关资格证明文件不合格的；</w:t>
      </w:r>
    </w:p>
    <w:p>
      <w:pPr>
        <w:widowControl/>
        <w:spacing w:line="360" w:lineRule="auto"/>
        <w:ind w:firstLine="480" w:firstLineChars="200"/>
        <w:rPr>
          <w:rFonts w:ascii="宋体" w:hAnsi="宋体"/>
          <w:kern w:val="0"/>
          <w:sz w:val="24"/>
        </w:rPr>
      </w:pPr>
      <w:r>
        <w:rPr>
          <w:rFonts w:hint="eastAsia" w:ascii="宋体" w:hAnsi="宋体"/>
          <w:kern w:val="0"/>
          <w:sz w:val="24"/>
        </w:rPr>
        <w:t>3.6. 投标文件中附有采购人不能接受的条件的；</w:t>
      </w:r>
    </w:p>
    <w:p>
      <w:pPr>
        <w:widowControl/>
        <w:spacing w:line="360" w:lineRule="auto"/>
        <w:ind w:firstLine="480" w:firstLineChars="200"/>
        <w:rPr>
          <w:rFonts w:ascii="宋体" w:hAnsi="宋体"/>
          <w:kern w:val="0"/>
          <w:sz w:val="24"/>
        </w:rPr>
      </w:pPr>
      <w:r>
        <w:rPr>
          <w:rFonts w:hint="eastAsia" w:ascii="宋体" w:hAnsi="宋体"/>
          <w:kern w:val="0"/>
          <w:sz w:val="24"/>
        </w:rPr>
        <w:t>3.7. 投标文件有明显不符合竞争性谈判文件其它要求和有关法律法规的；</w:t>
      </w:r>
    </w:p>
    <w:p>
      <w:pPr>
        <w:widowControl/>
        <w:spacing w:line="360" w:lineRule="auto"/>
        <w:ind w:firstLine="480" w:firstLineChars="200"/>
      </w:pPr>
      <w:r>
        <w:rPr>
          <w:rFonts w:hint="eastAsia" w:ascii="宋体" w:hAnsi="宋体"/>
          <w:kern w:val="0"/>
          <w:sz w:val="24"/>
        </w:rPr>
        <w:t>3.8. 评标过程中，如因两个或两个以上投标人在同一台计算或同一个IP上传投标文件，而被不见面开标系统提示为“投标文件制作机器码一致”的，则视其投标无效；</w:t>
      </w:r>
    </w:p>
    <w:p>
      <w:pPr>
        <w:widowControl/>
        <w:spacing w:line="360" w:lineRule="auto"/>
        <w:ind w:firstLine="480" w:firstLineChars="200"/>
        <w:rPr>
          <w:rFonts w:ascii="宋体" w:hAnsi="宋体"/>
          <w:kern w:val="0"/>
          <w:sz w:val="24"/>
        </w:rPr>
      </w:pPr>
      <w:r>
        <w:rPr>
          <w:rFonts w:hint="eastAsia" w:ascii="宋体" w:hAnsi="宋体"/>
          <w:kern w:val="0"/>
          <w:sz w:val="24"/>
        </w:rPr>
        <w:t>3.9. 在评标过程中，评标委员会发现投标单位的报价明显低于其它报价，使得其报价可能低于其个别成本的，应当要求该投标单位作出书面说明并提供相关证明材料。投标单位不能合理说明或者不能提供相关证明材料的，由评标委员会认定该投标单位以低于成本报价竞标，其报价应作废标处理。</w:t>
      </w:r>
    </w:p>
    <w:p>
      <w:pPr>
        <w:pStyle w:val="5"/>
        <w:spacing w:before="0" w:after="0" w:line="360" w:lineRule="auto"/>
        <w:ind w:firstLine="643" w:firstLineChars="200"/>
        <w:rPr>
          <w:rFonts w:ascii="宋体" w:hAnsi="宋体" w:cs="宋体"/>
          <w:sz w:val="32"/>
          <w:szCs w:val="32"/>
        </w:rPr>
      </w:pPr>
    </w:p>
    <w:p>
      <w:pPr>
        <w:pStyle w:val="5"/>
        <w:spacing w:before="0" w:after="0" w:line="360" w:lineRule="auto"/>
        <w:ind w:firstLine="643" w:firstLineChars="200"/>
        <w:rPr>
          <w:rFonts w:ascii="宋体" w:hAnsi="宋体" w:cs="宋体"/>
          <w:sz w:val="32"/>
          <w:szCs w:val="32"/>
        </w:rPr>
      </w:pPr>
    </w:p>
    <w:p>
      <w:pPr>
        <w:rPr>
          <w:rFonts w:ascii="宋体" w:hAnsi="宋体" w:cs="宋体"/>
          <w:b/>
          <w:bCs/>
          <w:sz w:val="32"/>
          <w:szCs w:val="32"/>
        </w:rPr>
      </w:pPr>
    </w:p>
    <w:p>
      <w:pPr>
        <w:jc w:val="center"/>
        <w:rPr>
          <w:rFonts w:asciiTheme="minorEastAsia" w:hAnsiTheme="minorEastAsia" w:eastAsiaTheme="minorEastAsia" w:cstheme="minorEastAsia"/>
          <w:b/>
          <w:bCs/>
          <w:sz w:val="32"/>
          <w:szCs w:val="32"/>
        </w:rPr>
      </w:pPr>
    </w:p>
    <w:p>
      <w:pPr>
        <w:pStyle w:val="23"/>
        <w:spacing w:line="360" w:lineRule="auto"/>
        <w:ind w:right="-63" w:rightChars="-30"/>
        <w:jc w:val="both"/>
        <w:rPr>
          <w:rFonts w:asciiTheme="minorEastAsia" w:hAnsiTheme="minorEastAsia" w:eastAsiaTheme="minorEastAsia" w:cstheme="minorEastAsia"/>
          <w:bCs/>
        </w:rPr>
      </w:pPr>
    </w:p>
    <w:p>
      <w:pPr>
        <w:rPr>
          <w:rFonts w:eastAsiaTheme="minorEastAsia"/>
        </w:rPr>
      </w:pPr>
    </w:p>
    <w:p>
      <w:pPr>
        <w:pStyle w:val="6"/>
      </w:pPr>
    </w:p>
    <w:p/>
    <w:p>
      <w:pPr>
        <w:pStyle w:val="23"/>
        <w:numPr>
          <w:ilvl w:val="0"/>
          <w:numId w:val="3"/>
        </w:numPr>
        <w:spacing w:line="360" w:lineRule="auto"/>
        <w:ind w:right="-63" w:rightChars="-30"/>
      </w:pPr>
      <w:r>
        <w:rPr>
          <w:rFonts w:hint="eastAsia" w:asciiTheme="minorEastAsia" w:hAnsiTheme="minorEastAsia" w:eastAsiaTheme="minorEastAsia" w:cstheme="minorEastAsia"/>
          <w:bCs/>
        </w:rPr>
        <w:t xml:space="preserve">  </w:t>
      </w:r>
      <w:bookmarkStart w:id="2" w:name="_Toc20833"/>
      <w:r>
        <w:rPr>
          <w:rFonts w:hint="eastAsia" w:asciiTheme="minorEastAsia" w:hAnsiTheme="minorEastAsia" w:eastAsiaTheme="minorEastAsia" w:cstheme="minorEastAsia"/>
          <w:bCs/>
        </w:rPr>
        <w:t>招标公告</w:t>
      </w:r>
      <w:bookmarkEnd w:id="2"/>
    </w:p>
    <w:p>
      <w:pPr>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博爱县农村人居环境综合整治项目选取PPP咨询服务机构采购项目</w:t>
      </w:r>
    </w:p>
    <w:p>
      <w:pPr>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招标公告（不见面开标） </w:t>
      </w:r>
    </w:p>
    <w:tbl>
      <w:tblPr>
        <w:tblStyle w:val="25"/>
        <w:tblW w:w="90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61" w:type="dxa"/>
          </w:tcPr>
          <w:p>
            <w:pPr>
              <w:pStyle w:val="24"/>
              <w:spacing w:line="440" w:lineRule="exact"/>
              <w:ind w:firstLine="480"/>
              <w:rPr>
                <w:rFonts w:ascii="宋体" w:hAnsi="宋体" w:cs="宋体"/>
                <w:sz w:val="24"/>
              </w:rPr>
            </w:pPr>
            <w:r>
              <w:rPr>
                <w:rFonts w:hint="eastAsia" w:ascii="宋体" w:hAnsi="宋体" w:cs="宋体"/>
                <w:sz w:val="24"/>
              </w:rPr>
              <w:t>项目概况：博爱县农村人居环境综合整治项目选取PPP咨询服务机构采购项目的潜在投标人应在焦作市公共资源交易中心网站获取采购文件，并于</w:t>
            </w:r>
            <w:r>
              <w:rPr>
                <w:rFonts w:hint="eastAsia" w:ascii="宋体" w:hAnsi="宋体" w:cs="宋体"/>
                <w:sz w:val="24"/>
                <w:u w:val="single"/>
              </w:rPr>
              <w:t>2022年</w:t>
            </w:r>
            <w:r>
              <w:rPr>
                <w:rFonts w:hint="eastAsia" w:ascii="宋体" w:hAnsi="宋体" w:cs="宋体"/>
                <w:sz w:val="24"/>
                <w:u w:val="single"/>
                <w:lang w:val="en-US" w:eastAsia="zh-CN"/>
              </w:rPr>
              <w:t>6</w:t>
            </w:r>
            <w:r>
              <w:rPr>
                <w:rFonts w:hint="eastAsia" w:ascii="宋体" w:hAnsi="宋体" w:cs="宋体"/>
                <w:sz w:val="24"/>
                <w:u w:val="single"/>
              </w:rPr>
              <w:t>月</w:t>
            </w:r>
            <w:r>
              <w:rPr>
                <w:rFonts w:hint="eastAsia" w:ascii="宋体" w:hAnsi="宋体" w:cs="宋体"/>
                <w:sz w:val="24"/>
                <w:u w:val="single"/>
                <w:lang w:val="en-US" w:eastAsia="zh-CN"/>
              </w:rPr>
              <w:t>30</w:t>
            </w:r>
            <w:r>
              <w:rPr>
                <w:rFonts w:hint="eastAsia" w:ascii="宋体" w:hAnsi="宋体" w:cs="宋体"/>
                <w:sz w:val="24"/>
                <w:u w:val="single"/>
              </w:rPr>
              <w:t>日上午9点00分（北京时间）</w:t>
            </w:r>
            <w:r>
              <w:rPr>
                <w:rFonts w:hint="eastAsia" w:ascii="宋体" w:hAnsi="宋体" w:cs="宋体"/>
                <w:sz w:val="24"/>
              </w:rPr>
              <w:t>前提交投标文件。</w:t>
            </w:r>
          </w:p>
        </w:tc>
      </w:tr>
    </w:tbl>
    <w:p>
      <w:pPr>
        <w:pStyle w:val="35"/>
        <w:spacing w:line="440" w:lineRule="exact"/>
        <w:ind w:left="0" w:firstLine="0"/>
        <w:rPr>
          <w:b/>
          <w:bCs/>
          <w:sz w:val="24"/>
          <w:lang w:eastAsia="zh-CN"/>
        </w:rPr>
      </w:pPr>
    </w:p>
    <w:p>
      <w:pPr>
        <w:pStyle w:val="35"/>
        <w:spacing w:line="440" w:lineRule="exact"/>
        <w:ind w:left="0" w:firstLine="0"/>
        <w:rPr>
          <w:b/>
          <w:bCs/>
          <w:sz w:val="24"/>
          <w:lang w:eastAsia="zh-CN"/>
        </w:rPr>
      </w:pPr>
      <w:r>
        <w:rPr>
          <w:rFonts w:hint="eastAsia"/>
          <w:b/>
          <w:bCs/>
          <w:sz w:val="24"/>
          <w:lang w:eastAsia="zh-CN"/>
        </w:rPr>
        <w:t>一、项目基本情况</w:t>
      </w:r>
    </w:p>
    <w:p>
      <w:pPr>
        <w:pStyle w:val="35"/>
        <w:spacing w:line="440" w:lineRule="exact"/>
        <w:ind w:left="0" w:firstLine="480" w:firstLineChars="200"/>
        <w:rPr>
          <w:sz w:val="24"/>
          <w:lang w:eastAsia="zh-CN"/>
        </w:rPr>
      </w:pPr>
      <w:r>
        <w:rPr>
          <w:rFonts w:hint="eastAsia"/>
          <w:sz w:val="24"/>
          <w:lang w:eastAsia="zh-CN"/>
        </w:rPr>
        <w:t>采购编号：博政采购〔2022〕43号</w:t>
      </w:r>
    </w:p>
    <w:p>
      <w:pPr>
        <w:pStyle w:val="35"/>
        <w:spacing w:line="440" w:lineRule="exact"/>
        <w:ind w:left="0" w:firstLine="480" w:firstLineChars="200"/>
        <w:rPr>
          <w:sz w:val="24"/>
          <w:lang w:eastAsia="zh-CN"/>
        </w:rPr>
      </w:pPr>
      <w:r>
        <w:rPr>
          <w:rFonts w:hint="eastAsia"/>
          <w:sz w:val="24"/>
          <w:lang w:eastAsia="zh-CN"/>
        </w:rPr>
        <w:t>项目名称：博爱县农村人居环境综合整治项目选取PPP咨询服务机构采购项目</w:t>
      </w:r>
    </w:p>
    <w:p>
      <w:pPr>
        <w:pStyle w:val="35"/>
        <w:spacing w:line="440" w:lineRule="exact"/>
        <w:ind w:left="0" w:firstLine="480" w:firstLineChars="200"/>
        <w:rPr>
          <w:sz w:val="24"/>
          <w:lang w:eastAsia="zh-CN"/>
        </w:rPr>
      </w:pPr>
      <w:r>
        <w:rPr>
          <w:rFonts w:hint="eastAsia"/>
          <w:sz w:val="24"/>
          <w:lang w:eastAsia="zh-CN"/>
        </w:rPr>
        <w:t>采购方式：公开招标</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预算金额：800000元。</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采购内容：选取一家专业的PPP咨询服务机构为博爱县农村人居环境综合整治项目PPP模式提供咨询服务（详见招标文件）。</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服务期：</w:t>
      </w:r>
      <w:r>
        <w:rPr>
          <w:rFonts w:hint="eastAsia" w:ascii="宋体" w:hAnsi="宋体" w:cs="宋体"/>
          <w:color w:val="auto"/>
          <w:kern w:val="0"/>
          <w:sz w:val="24"/>
        </w:rPr>
        <w:t>自签订咨询服务合同始，至项目落地采购人与社会资本方签署正式合同止</w:t>
      </w:r>
      <w:r>
        <w:rPr>
          <w:rFonts w:hint="eastAsia" w:ascii="宋体" w:hAnsi="宋体" w:cs="宋体"/>
          <w:kern w:val="0"/>
          <w:sz w:val="24"/>
        </w:rPr>
        <w:t>。</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质量标准：合格，符合国家、行业规范标准。</w:t>
      </w:r>
    </w:p>
    <w:p>
      <w:pPr>
        <w:adjustRightInd w:val="0"/>
        <w:snapToGrid w:val="0"/>
        <w:spacing w:line="440" w:lineRule="exact"/>
        <w:rPr>
          <w:rFonts w:ascii="宋体" w:hAnsi="宋体" w:cs="宋体"/>
          <w:kern w:val="0"/>
          <w:sz w:val="24"/>
        </w:rPr>
      </w:pPr>
      <w:r>
        <w:rPr>
          <w:rFonts w:hint="eastAsia" w:ascii="宋体" w:hAnsi="宋体" w:cs="宋体"/>
          <w:b/>
          <w:bCs/>
          <w:kern w:val="0"/>
          <w:sz w:val="24"/>
        </w:rPr>
        <w:t>二、申请人资格要求：</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1、符合《中华人民共和国政府采购法》第二十二条之规定；</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2、落实政府采购政策需满足的资格要求：促进中小企业和监狱企业发展扶持政策、政府强制采购节能产品、节能产品及环境标志产品优先采购。</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3、本项目的特定资格要求：</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3.1投标人须具有有效的营业执照，并具有实施完成本项目的经营实力和完善的售后服务体系；</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投标人，拒绝参与政府采购活动，同时对信用信息查询记录和证据进行打印存档； </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3.3本项目不接受联合体投标；</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3.4资格审查方式：资格后审。</w:t>
      </w:r>
    </w:p>
    <w:p>
      <w:pPr>
        <w:widowControl/>
        <w:spacing w:line="440" w:lineRule="exact"/>
        <w:jc w:val="left"/>
        <w:rPr>
          <w:rFonts w:ascii="宋体" w:hAnsi="宋体" w:cs="宋体"/>
          <w:b/>
          <w:bCs/>
          <w:kern w:val="0"/>
          <w:sz w:val="24"/>
        </w:rPr>
      </w:pPr>
      <w:r>
        <w:rPr>
          <w:rFonts w:hint="eastAsia" w:ascii="宋体" w:hAnsi="宋体" w:cs="宋体"/>
          <w:b/>
          <w:bCs/>
          <w:kern w:val="0"/>
          <w:sz w:val="24"/>
        </w:rPr>
        <w:t>三、获取采购文件</w:t>
      </w:r>
    </w:p>
    <w:p>
      <w:pPr>
        <w:pStyle w:val="22"/>
        <w:shd w:val="clear" w:color="auto" w:fill="FFFFFF"/>
        <w:autoSpaceDE w:val="0"/>
        <w:spacing w:before="0" w:beforeAutospacing="0" w:after="0" w:afterAutospacing="0" w:line="440" w:lineRule="atLeast"/>
        <w:ind w:firstLine="480" w:firstLineChars="200"/>
      </w:pPr>
      <w:r>
        <w:rPr>
          <w:rFonts w:hint="eastAsia"/>
        </w:rPr>
        <w:t>1.时间：</w:t>
      </w:r>
      <w:r>
        <w:rPr>
          <w:rFonts w:hint="eastAsia"/>
          <w:u w:val="single"/>
        </w:rPr>
        <w:t>2022年</w:t>
      </w:r>
      <w:r>
        <w:rPr>
          <w:rFonts w:hint="eastAsia"/>
          <w:u w:val="single"/>
          <w:lang w:val="en-US" w:eastAsia="zh-CN"/>
        </w:rPr>
        <w:t>6</w:t>
      </w:r>
      <w:r>
        <w:rPr>
          <w:rFonts w:hint="eastAsia"/>
          <w:u w:val="single"/>
        </w:rPr>
        <w:t>月</w:t>
      </w:r>
      <w:r>
        <w:rPr>
          <w:rFonts w:hint="eastAsia"/>
          <w:u w:val="single"/>
          <w:lang w:val="en-US" w:eastAsia="zh-CN"/>
        </w:rPr>
        <w:t>9</w:t>
      </w:r>
      <w:r>
        <w:rPr>
          <w:rFonts w:hint="eastAsia"/>
          <w:u w:val="single"/>
        </w:rPr>
        <w:t>日至2022年</w:t>
      </w:r>
      <w:r>
        <w:rPr>
          <w:rFonts w:hint="eastAsia"/>
          <w:u w:val="single"/>
          <w:lang w:val="en-US" w:eastAsia="zh-CN"/>
        </w:rPr>
        <w:t>6</w:t>
      </w:r>
      <w:r>
        <w:rPr>
          <w:rFonts w:hint="eastAsia"/>
          <w:u w:val="single"/>
        </w:rPr>
        <w:t>月</w:t>
      </w:r>
      <w:r>
        <w:rPr>
          <w:rFonts w:hint="eastAsia"/>
          <w:u w:val="single"/>
          <w:lang w:val="en-US" w:eastAsia="zh-CN"/>
        </w:rPr>
        <w:t>15</w:t>
      </w:r>
      <w:r>
        <w:rPr>
          <w:rFonts w:hint="eastAsia"/>
          <w:u w:val="single"/>
        </w:rPr>
        <w:t>日（北</w:t>
      </w:r>
      <w:r>
        <w:rPr>
          <w:rFonts w:hint="eastAsia"/>
        </w:rPr>
        <w:t>京时间）；</w:t>
      </w:r>
      <w:r>
        <w:rPr>
          <w:rFonts w:hint="eastAsia"/>
        </w:rPr>
        <w:br w:type="textWrapping"/>
      </w:r>
      <w:r>
        <w:rPr>
          <w:rFonts w:hint="eastAsia"/>
        </w:rPr>
        <w:t>  2.地点：</w:t>
      </w:r>
      <w:r>
        <w:rPr>
          <w:rFonts w:hint="eastAsia"/>
          <w:shd w:val="clear" w:color="auto" w:fill="FFFFFF"/>
        </w:rPr>
        <w:t>凡有意参加投标者，请登陆焦作市公共资源交易中心网站会员系统进行网上下载。（联系电话：0391-3568920，QQ：232850725、361532918（群）；</w:t>
      </w:r>
    </w:p>
    <w:p>
      <w:pPr>
        <w:pStyle w:val="22"/>
        <w:shd w:val="clear" w:color="auto" w:fill="FFFFFF"/>
        <w:autoSpaceDE w:val="0"/>
        <w:spacing w:before="0" w:beforeAutospacing="0" w:after="0" w:afterAutospacing="0" w:line="440" w:lineRule="atLeast"/>
      </w:pPr>
      <w:r>
        <w:rPr>
          <w:rFonts w:hint="eastAsia"/>
        </w:rPr>
        <w:t>  3.方式：网上下载；</w:t>
      </w:r>
    </w:p>
    <w:p>
      <w:pPr>
        <w:adjustRightInd w:val="0"/>
        <w:snapToGrid w:val="0"/>
        <w:spacing w:line="440" w:lineRule="exact"/>
        <w:rPr>
          <w:rFonts w:ascii="宋体" w:hAnsi="宋体" w:cs="宋体"/>
          <w:b/>
          <w:kern w:val="0"/>
          <w:sz w:val="24"/>
        </w:rPr>
      </w:pPr>
      <w:r>
        <w:rPr>
          <w:rFonts w:hint="eastAsia" w:ascii="宋体" w:hAnsi="宋体" w:cs="宋体"/>
          <w:b/>
          <w:kern w:val="0"/>
          <w:sz w:val="24"/>
        </w:rPr>
        <w:t>四、投标文件提交</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1.截止时间：</w:t>
      </w:r>
      <w:r>
        <w:rPr>
          <w:rFonts w:hint="eastAsia" w:ascii="宋体" w:hAnsi="宋体" w:cs="宋体"/>
          <w:kern w:val="0"/>
          <w:sz w:val="24"/>
          <w:u w:val="single"/>
        </w:rPr>
        <w:t>2022年</w:t>
      </w:r>
      <w:r>
        <w:rPr>
          <w:rFonts w:hint="eastAsia" w:ascii="宋体" w:hAnsi="宋体" w:cs="宋体"/>
          <w:kern w:val="0"/>
          <w:sz w:val="24"/>
          <w:u w:val="single"/>
          <w:lang w:val="en-US" w:eastAsia="zh-CN"/>
        </w:rPr>
        <w:t>6</w:t>
      </w:r>
      <w:r>
        <w:rPr>
          <w:rFonts w:hint="eastAsia" w:ascii="宋体" w:hAnsi="宋体" w:cs="宋体"/>
          <w:kern w:val="0"/>
          <w:sz w:val="24"/>
          <w:u w:val="single"/>
        </w:rPr>
        <w:t>月</w:t>
      </w:r>
      <w:r>
        <w:rPr>
          <w:rFonts w:hint="eastAsia" w:ascii="宋体" w:hAnsi="宋体" w:cs="宋体"/>
          <w:kern w:val="0"/>
          <w:sz w:val="24"/>
          <w:u w:val="single"/>
          <w:lang w:val="en-US" w:eastAsia="zh-CN"/>
        </w:rPr>
        <w:t>30</w:t>
      </w:r>
      <w:r>
        <w:rPr>
          <w:rFonts w:hint="eastAsia" w:ascii="宋体" w:hAnsi="宋体" w:cs="宋体"/>
          <w:kern w:val="0"/>
          <w:sz w:val="24"/>
          <w:u w:val="single"/>
        </w:rPr>
        <w:t>日上午</w:t>
      </w:r>
      <w:r>
        <w:rPr>
          <w:rFonts w:hint="eastAsia" w:ascii="宋体" w:hAnsi="宋体" w:cs="宋体"/>
          <w:kern w:val="0"/>
          <w:sz w:val="24"/>
          <w:u w:val="single"/>
          <w:lang w:val="en-US" w:eastAsia="zh-CN"/>
        </w:rPr>
        <w:t>09</w:t>
      </w:r>
      <w:r>
        <w:rPr>
          <w:rFonts w:hint="eastAsia" w:ascii="宋体" w:hAnsi="宋体" w:cs="宋体"/>
          <w:kern w:val="0"/>
          <w:sz w:val="24"/>
          <w:u w:val="single"/>
        </w:rPr>
        <w:t>点</w:t>
      </w:r>
      <w:r>
        <w:rPr>
          <w:rFonts w:hint="eastAsia" w:ascii="宋体" w:hAnsi="宋体" w:cs="宋体"/>
          <w:kern w:val="0"/>
          <w:sz w:val="24"/>
          <w:u w:val="single"/>
          <w:lang w:val="en-US" w:eastAsia="zh-CN"/>
        </w:rPr>
        <w:t>00</w:t>
      </w:r>
      <w:r>
        <w:rPr>
          <w:rFonts w:hint="eastAsia" w:ascii="宋体" w:hAnsi="宋体" w:cs="宋体"/>
          <w:kern w:val="0"/>
          <w:sz w:val="24"/>
          <w:u w:val="single"/>
        </w:rPr>
        <w:t>分（北京时间）；</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2.地点：博爱县公共资源交易中心二楼不见面开标二室；</w:t>
      </w:r>
    </w:p>
    <w:p>
      <w:pPr>
        <w:adjustRightInd w:val="0"/>
        <w:snapToGrid w:val="0"/>
        <w:spacing w:line="440" w:lineRule="exact"/>
        <w:rPr>
          <w:rFonts w:ascii="宋体" w:hAnsi="宋体" w:cs="宋体"/>
          <w:b/>
          <w:kern w:val="0"/>
          <w:sz w:val="24"/>
        </w:rPr>
      </w:pPr>
      <w:r>
        <w:rPr>
          <w:rFonts w:hint="eastAsia" w:ascii="宋体" w:hAnsi="宋体" w:cs="宋体"/>
          <w:b/>
          <w:kern w:val="0"/>
          <w:sz w:val="24"/>
        </w:rPr>
        <w:t>五、开启</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1.时间：</w:t>
      </w:r>
      <w:r>
        <w:rPr>
          <w:rFonts w:hint="eastAsia" w:ascii="宋体" w:hAnsi="宋体" w:cs="宋体"/>
          <w:kern w:val="0"/>
          <w:sz w:val="24"/>
          <w:u w:val="single"/>
        </w:rPr>
        <w:t>2022年</w:t>
      </w:r>
      <w:r>
        <w:rPr>
          <w:rFonts w:hint="eastAsia" w:ascii="宋体" w:hAnsi="宋体" w:cs="宋体"/>
          <w:kern w:val="0"/>
          <w:sz w:val="24"/>
          <w:u w:val="single"/>
          <w:lang w:val="en-US" w:eastAsia="zh-CN"/>
        </w:rPr>
        <w:t>6</w:t>
      </w:r>
      <w:r>
        <w:rPr>
          <w:rFonts w:hint="eastAsia" w:ascii="宋体" w:hAnsi="宋体" w:cs="宋体"/>
          <w:kern w:val="0"/>
          <w:sz w:val="24"/>
          <w:u w:val="single"/>
        </w:rPr>
        <w:t>月</w:t>
      </w:r>
      <w:r>
        <w:rPr>
          <w:rFonts w:hint="eastAsia" w:ascii="宋体" w:hAnsi="宋体" w:cs="宋体"/>
          <w:kern w:val="0"/>
          <w:sz w:val="24"/>
          <w:u w:val="single"/>
          <w:lang w:val="en-US" w:eastAsia="zh-CN"/>
        </w:rPr>
        <w:t>30</w:t>
      </w:r>
      <w:r>
        <w:rPr>
          <w:rFonts w:hint="eastAsia" w:ascii="宋体" w:hAnsi="宋体" w:cs="宋体"/>
          <w:kern w:val="0"/>
          <w:sz w:val="24"/>
          <w:u w:val="single"/>
        </w:rPr>
        <w:t>日上午</w:t>
      </w:r>
      <w:r>
        <w:rPr>
          <w:rFonts w:hint="eastAsia" w:ascii="宋体" w:hAnsi="宋体" w:cs="宋体"/>
          <w:kern w:val="0"/>
          <w:sz w:val="24"/>
          <w:u w:val="single"/>
          <w:lang w:val="en-US" w:eastAsia="zh-CN"/>
        </w:rPr>
        <w:t>09</w:t>
      </w:r>
      <w:r>
        <w:rPr>
          <w:rFonts w:hint="eastAsia" w:ascii="宋体" w:hAnsi="宋体" w:cs="宋体"/>
          <w:kern w:val="0"/>
          <w:sz w:val="24"/>
          <w:u w:val="single"/>
        </w:rPr>
        <w:t>点</w:t>
      </w:r>
      <w:r>
        <w:rPr>
          <w:rFonts w:hint="eastAsia" w:ascii="宋体" w:hAnsi="宋体" w:cs="宋体"/>
          <w:kern w:val="0"/>
          <w:sz w:val="24"/>
          <w:u w:val="single"/>
          <w:lang w:val="en-US" w:eastAsia="zh-CN"/>
        </w:rPr>
        <w:t>00</w:t>
      </w:r>
      <w:r>
        <w:rPr>
          <w:rFonts w:hint="eastAsia" w:ascii="宋体" w:hAnsi="宋体" w:cs="宋体"/>
          <w:kern w:val="0"/>
          <w:sz w:val="24"/>
          <w:u w:val="single"/>
        </w:rPr>
        <w:t>分（北京时间</w:t>
      </w:r>
      <w:r>
        <w:rPr>
          <w:rFonts w:hint="eastAsia" w:ascii="宋体" w:hAnsi="宋体" w:cs="宋体"/>
          <w:kern w:val="0"/>
          <w:sz w:val="24"/>
        </w:rPr>
        <w:t>）；</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2.地点：博爱县公共资源交易中心二楼不见面开标二室；</w:t>
      </w:r>
    </w:p>
    <w:p>
      <w:pPr>
        <w:adjustRightInd w:val="0"/>
        <w:snapToGrid w:val="0"/>
        <w:spacing w:line="440" w:lineRule="exact"/>
        <w:rPr>
          <w:rFonts w:ascii="宋体" w:hAnsi="宋体" w:cs="宋体"/>
          <w:b/>
          <w:bCs/>
          <w:sz w:val="24"/>
        </w:rPr>
      </w:pPr>
      <w:r>
        <w:rPr>
          <w:rFonts w:hint="eastAsia" w:ascii="宋体" w:hAnsi="宋体" w:cs="宋体"/>
          <w:b/>
          <w:bCs/>
          <w:sz w:val="24"/>
        </w:rPr>
        <w:t>六、公告期限</w:t>
      </w:r>
    </w:p>
    <w:p>
      <w:pPr>
        <w:adjustRightInd w:val="0"/>
        <w:snapToGrid w:val="0"/>
        <w:spacing w:line="440" w:lineRule="exact"/>
        <w:ind w:firstLine="480" w:firstLineChars="200"/>
        <w:rPr>
          <w:rFonts w:ascii="宋体" w:hAnsi="宋体" w:cs="宋体"/>
          <w:kern w:val="0"/>
          <w:sz w:val="24"/>
        </w:rPr>
      </w:pPr>
      <w:r>
        <w:rPr>
          <w:rFonts w:hint="eastAsia" w:ascii="宋体" w:hAnsi="宋体" w:cs="宋体"/>
          <w:sz w:val="24"/>
        </w:rPr>
        <w:t>自本公告发布之</w:t>
      </w:r>
      <w:r>
        <w:rPr>
          <w:rFonts w:hint="eastAsia" w:ascii="宋体" w:hAnsi="宋体" w:cs="宋体"/>
          <w:kern w:val="0"/>
          <w:sz w:val="24"/>
        </w:rPr>
        <w:t>日起5个工作日。</w:t>
      </w:r>
    </w:p>
    <w:p>
      <w:pPr>
        <w:pStyle w:val="22"/>
        <w:numPr>
          <w:ilvl w:val="0"/>
          <w:numId w:val="4"/>
        </w:numPr>
        <w:shd w:val="clear" w:color="auto" w:fill="FFFFFF"/>
        <w:autoSpaceDE w:val="0"/>
        <w:spacing w:before="0" w:beforeAutospacing="0" w:after="0" w:afterAutospacing="0" w:line="440" w:lineRule="exact"/>
        <w:rPr>
          <w:b/>
          <w:shd w:val="clear" w:color="auto" w:fill="FFFFFF"/>
        </w:rPr>
      </w:pPr>
      <w:r>
        <w:rPr>
          <w:rFonts w:hint="eastAsia"/>
          <w:b/>
          <w:shd w:val="clear" w:color="auto" w:fill="FFFFFF"/>
        </w:rPr>
        <w:t>其他补充事宜</w:t>
      </w:r>
    </w:p>
    <w:p>
      <w:pPr>
        <w:pStyle w:val="22"/>
        <w:shd w:val="clear" w:color="auto" w:fill="FFFFFF"/>
        <w:autoSpaceDE w:val="0"/>
        <w:spacing w:before="0" w:beforeAutospacing="0" w:after="0" w:afterAutospacing="0" w:line="440" w:lineRule="exact"/>
        <w:ind w:firstLine="480" w:firstLineChars="200"/>
        <w:rPr>
          <w:shd w:val="clear" w:color="auto" w:fill="FFFFFF"/>
        </w:rPr>
      </w:pPr>
      <w:r>
        <w:rPr>
          <w:rFonts w:hint="eastAsia"/>
          <w:shd w:val="clear" w:color="auto" w:fill="FFFFFF"/>
        </w:rPr>
        <w:t>1.本次本公告在</w:t>
      </w:r>
      <w:r>
        <w:rPr>
          <w:rFonts w:hint="eastAsia"/>
          <w:bCs/>
        </w:rPr>
        <w:t>中国招标投标公共服务平台、</w:t>
      </w:r>
      <w:r>
        <w:rPr>
          <w:rFonts w:hint="eastAsia"/>
          <w:shd w:val="clear" w:color="auto" w:fill="FFFFFF"/>
        </w:rPr>
        <w:t>河南省政府采购网、焦作市政府采购网、焦作市公共资源交易中心网、博爱县人民政府网、博爱县公共资源交易中心网http://www.baxggzyjyzx.cn/上发布。</w:t>
      </w:r>
    </w:p>
    <w:p>
      <w:pPr>
        <w:pStyle w:val="22"/>
        <w:spacing w:beforeAutospacing="0" w:afterAutospacing="0" w:line="440" w:lineRule="exact"/>
        <w:ind w:firstLine="468" w:firstLineChars="195"/>
        <w:jc w:val="both"/>
      </w:pPr>
      <w:r>
        <w:rPr>
          <w:rFonts w:hint="eastAsia"/>
        </w:rPr>
        <w:t>2.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pPr>
        <w:pStyle w:val="22"/>
        <w:spacing w:beforeAutospacing="0" w:afterAutospacing="0" w:line="440" w:lineRule="exact"/>
        <w:ind w:firstLine="468" w:firstLineChars="195"/>
        <w:jc w:val="both"/>
      </w:pPr>
      <w:r>
        <w:rPr>
          <w:rFonts w:hint="eastAsia"/>
        </w:rPr>
        <w:t>（http://122.112.246.33/BidOpening/bidopeninghallaction/hall/login ），按要求解密投标文件。因文件未及时上传导致投标失败的责任由投标人自行承担，具体要求详见招标文件。 平台统一技术服务电话：400-998-0000，服务 QQ：4008503300，服务时间：周一至周日 8：00-17：30。</w:t>
      </w:r>
    </w:p>
    <w:p>
      <w:pPr>
        <w:pStyle w:val="22"/>
        <w:spacing w:beforeAutospacing="0" w:afterAutospacing="0" w:line="440" w:lineRule="exact"/>
        <w:ind w:firstLine="468" w:firstLineChars="195"/>
        <w:jc w:val="both"/>
      </w:pPr>
      <w:r>
        <w:rPr>
          <w:rFonts w:hint="eastAsia"/>
        </w:rPr>
        <w:t>3.投标人无需到现场参加开标会议，无需到达现场提交原件资料。投标人应当在投标截止前，登录远程开标大厅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adjustRightInd w:val="0"/>
        <w:snapToGrid w:val="0"/>
        <w:spacing w:line="440" w:lineRule="exact"/>
        <w:rPr>
          <w:rFonts w:ascii="宋体" w:hAnsi="宋体" w:cs="宋体"/>
          <w:b/>
          <w:kern w:val="0"/>
          <w:sz w:val="24"/>
        </w:rPr>
      </w:pPr>
      <w:r>
        <w:rPr>
          <w:rFonts w:hint="eastAsia" w:ascii="宋体" w:hAnsi="宋体" w:cs="宋体"/>
          <w:b/>
          <w:kern w:val="0"/>
          <w:sz w:val="24"/>
        </w:rPr>
        <w:t>八、</w:t>
      </w:r>
      <w:r>
        <w:rPr>
          <w:rFonts w:hint="eastAsia" w:ascii="宋体" w:hAnsi="宋体" w:cs="宋体"/>
          <w:b/>
          <w:sz w:val="24"/>
          <w:shd w:val="clear" w:color="auto" w:fill="FFFFFF"/>
        </w:rPr>
        <w:t>凡对本次采购提出询问，请按以下方式联系</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1.采购人信息：</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 xml:space="preserve">采购人：焦作市生态环境局博爱分局 </w:t>
      </w:r>
    </w:p>
    <w:p>
      <w:pPr>
        <w:adjustRightInd w:val="0"/>
        <w:snapToGrid w:val="0"/>
        <w:spacing w:line="440" w:lineRule="exact"/>
        <w:ind w:firstLine="480" w:firstLineChars="200"/>
        <w:rPr>
          <w:rFonts w:ascii="宋体" w:hAnsi="宋体" w:cs="宋体"/>
          <w:bCs/>
          <w:sz w:val="24"/>
        </w:rPr>
      </w:pPr>
      <w:r>
        <w:rPr>
          <w:rFonts w:hint="eastAsia" w:ascii="宋体" w:hAnsi="宋体" w:cs="宋体"/>
          <w:kern w:val="0"/>
          <w:sz w:val="24"/>
        </w:rPr>
        <w:t>地址：博爱县团结路中段</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联系人：葛先生</w:t>
      </w:r>
      <w:r>
        <w:rPr>
          <w:rFonts w:hint="eastAsia" w:ascii="宋体" w:hAnsi="宋体" w:cs="宋体"/>
          <w:bCs/>
          <w:sz w:val="24"/>
        </w:rPr>
        <w:t xml:space="preserve"> </w:t>
      </w:r>
    </w:p>
    <w:p>
      <w:pPr>
        <w:adjustRightInd w:val="0"/>
        <w:snapToGrid w:val="0"/>
        <w:spacing w:line="440" w:lineRule="exact"/>
        <w:ind w:firstLine="480" w:firstLineChars="200"/>
        <w:rPr>
          <w:rFonts w:ascii="宋体" w:hAnsi="宋体" w:cs="宋体"/>
          <w:sz w:val="24"/>
        </w:rPr>
      </w:pPr>
      <w:r>
        <w:rPr>
          <w:rFonts w:hint="eastAsia" w:ascii="宋体" w:hAnsi="宋体" w:cs="宋体"/>
          <w:kern w:val="0"/>
          <w:sz w:val="24"/>
        </w:rPr>
        <w:t>电话：18839113113</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2.采购代理机构信息：</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 xml:space="preserve">名称：博爱县城市建设项目管理有限公司 </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地址：</w:t>
      </w:r>
      <w:r>
        <w:rPr>
          <w:rFonts w:hint="eastAsia" w:ascii="宋体" w:hAnsi="宋体" w:cs="宋体"/>
          <w:sz w:val="24"/>
          <w:shd w:val="clear" w:color="auto" w:fill="FFFFFF"/>
        </w:rPr>
        <w:t>博爱县发展大道188号机关办公楼东配楼806室</w:t>
      </w:r>
    </w:p>
    <w:p>
      <w:pPr>
        <w:adjustRightInd w:val="0"/>
        <w:snapToGrid w:val="0"/>
        <w:spacing w:line="440" w:lineRule="exact"/>
        <w:ind w:firstLine="480" w:firstLineChars="200"/>
        <w:rPr>
          <w:rFonts w:ascii="宋体" w:hAnsi="宋体" w:cs="宋体"/>
          <w:sz w:val="24"/>
        </w:rPr>
      </w:pPr>
      <w:r>
        <w:rPr>
          <w:rFonts w:hint="eastAsia" w:ascii="宋体" w:hAnsi="宋体" w:cs="宋体"/>
          <w:kern w:val="0"/>
          <w:sz w:val="24"/>
        </w:rPr>
        <w:t>联系人：贾先生</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电话：15139166295</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3.项目联系方式</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项目联系人：</w:t>
      </w:r>
      <w:r>
        <w:rPr>
          <w:rFonts w:hint="eastAsia" w:ascii="宋体" w:hAnsi="宋体" w:cs="宋体"/>
          <w:kern w:val="0"/>
          <w:sz w:val="24"/>
        </w:rPr>
        <w:t>葛先生</w:t>
      </w:r>
      <w:r>
        <w:rPr>
          <w:rFonts w:hint="eastAsia" w:ascii="宋体" w:hAnsi="宋体" w:cs="宋体"/>
          <w:bCs/>
          <w:sz w:val="24"/>
        </w:rPr>
        <w:t xml:space="preserve"> </w:t>
      </w:r>
      <w:r>
        <w:rPr>
          <w:rFonts w:hint="eastAsia" w:ascii="宋体" w:hAnsi="宋体" w:cs="宋体"/>
          <w:sz w:val="24"/>
        </w:rPr>
        <w:t xml:space="preserve"> </w:t>
      </w:r>
    </w:p>
    <w:p>
      <w:pPr>
        <w:adjustRightInd w:val="0"/>
        <w:snapToGrid w:val="0"/>
        <w:spacing w:line="440" w:lineRule="exact"/>
        <w:ind w:firstLine="480" w:firstLineChars="200"/>
        <w:rPr>
          <w:rFonts w:ascii="宋体" w:hAnsi="宋体" w:cs="宋体"/>
          <w:kern w:val="0"/>
          <w:sz w:val="24"/>
        </w:rPr>
      </w:pPr>
      <w:r>
        <w:rPr>
          <w:rFonts w:hint="eastAsia" w:ascii="宋体" w:hAnsi="宋体" w:cs="宋体"/>
          <w:sz w:val="24"/>
        </w:rPr>
        <w:t>电话：</w:t>
      </w:r>
      <w:r>
        <w:rPr>
          <w:rFonts w:hint="eastAsia" w:ascii="宋体" w:hAnsi="宋体" w:cs="宋体"/>
          <w:kern w:val="0"/>
          <w:sz w:val="24"/>
        </w:rPr>
        <w:t>18839113113</w:t>
      </w:r>
    </w:p>
    <w:p>
      <w:pPr>
        <w:widowControl/>
        <w:spacing w:line="440" w:lineRule="exact"/>
        <w:ind w:left="2940" w:firstLine="420"/>
        <w:rPr>
          <w:rFonts w:ascii="宋体" w:hAnsi="宋体" w:cs="宋体"/>
          <w:sz w:val="24"/>
        </w:rPr>
      </w:pPr>
    </w:p>
    <w:p>
      <w:pPr>
        <w:widowControl/>
        <w:spacing w:line="440" w:lineRule="exact"/>
        <w:ind w:left="2940" w:firstLine="420"/>
        <w:rPr>
          <w:rFonts w:ascii="宋体" w:hAnsi="宋体" w:cs="宋体"/>
          <w:sz w:val="24"/>
        </w:rPr>
      </w:pPr>
    </w:p>
    <w:p>
      <w:pPr>
        <w:widowControl/>
        <w:spacing w:line="440" w:lineRule="exact"/>
        <w:ind w:left="2940" w:firstLine="420"/>
        <w:rPr>
          <w:rFonts w:ascii="宋体" w:hAnsi="宋体" w:cs="宋体"/>
          <w:sz w:val="24"/>
        </w:rPr>
      </w:pPr>
    </w:p>
    <w:p>
      <w:pPr>
        <w:widowControl/>
        <w:spacing w:line="440" w:lineRule="exact"/>
        <w:ind w:left="2940" w:firstLine="420"/>
        <w:rPr>
          <w:rFonts w:ascii="宋体" w:hAnsi="宋体" w:cs="宋体"/>
          <w:sz w:val="24"/>
          <w:shd w:val="clear" w:color="auto" w:fill="FFFFFF"/>
        </w:rPr>
      </w:pPr>
      <w:r>
        <w:rPr>
          <w:rFonts w:hint="eastAsia" w:ascii="宋体" w:hAnsi="宋体" w:cs="宋体"/>
          <w:sz w:val="24"/>
        </w:rPr>
        <w:t>采购人：</w:t>
      </w:r>
      <w:r>
        <w:rPr>
          <w:rFonts w:hint="eastAsia" w:ascii="宋体" w:hAnsi="宋体" w:cs="宋体"/>
          <w:sz w:val="24"/>
          <w:shd w:val="clear" w:color="auto" w:fill="FFFFFF"/>
        </w:rPr>
        <w:t>焦作市生态环境局博爱分局</w:t>
      </w:r>
    </w:p>
    <w:p>
      <w:pPr>
        <w:widowControl/>
        <w:spacing w:line="440" w:lineRule="exact"/>
        <w:ind w:firstLine="2880" w:firstLineChars="1200"/>
        <w:jc w:val="left"/>
        <w:rPr>
          <w:rFonts w:ascii="宋体" w:hAnsi="宋体" w:cs="宋体"/>
          <w:sz w:val="24"/>
          <w:shd w:val="clear" w:color="auto" w:fill="FFFFFF"/>
        </w:rPr>
      </w:pPr>
      <w:r>
        <w:rPr>
          <w:rFonts w:hint="eastAsia" w:ascii="宋体" w:hAnsi="宋体" w:cs="宋体"/>
          <w:sz w:val="24"/>
          <w:shd w:val="clear" w:color="auto" w:fill="FFFFFF"/>
        </w:rPr>
        <w:t>采购代理机构：博爱县城市建设项目管理有限公司</w:t>
      </w:r>
    </w:p>
    <w:p>
      <w:pPr>
        <w:widowControl/>
        <w:spacing w:line="440" w:lineRule="exact"/>
        <w:ind w:left="2940" w:firstLine="420"/>
      </w:pPr>
      <w:r>
        <w:rPr>
          <w:rFonts w:hint="eastAsia" w:ascii="宋体" w:hAnsi="宋体" w:cs="宋体"/>
          <w:sz w:val="24"/>
        </w:rPr>
        <w:t>发布时间：2022年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8</w:t>
      </w:r>
      <w:r>
        <w:rPr>
          <w:rFonts w:hint="eastAsia" w:ascii="宋体" w:hAnsi="宋体" w:cs="宋体"/>
          <w:sz w:val="24"/>
        </w:rPr>
        <w:t>日</w:t>
      </w:r>
    </w:p>
    <w:p/>
    <w:p>
      <w:pPr>
        <w:autoSpaceDE w:val="0"/>
        <w:autoSpaceDN w:val="0"/>
        <w:adjustRightInd w:val="0"/>
        <w:spacing w:line="360" w:lineRule="auto"/>
        <w:jc w:val="center"/>
        <w:outlineLvl w:val="0"/>
        <w:rPr>
          <w:rFonts w:asciiTheme="minorEastAsia" w:hAnsiTheme="minorEastAsia" w:eastAsiaTheme="minorEastAsia" w:cstheme="minorEastAsia"/>
          <w:b/>
          <w:sz w:val="32"/>
          <w:szCs w:val="32"/>
        </w:rPr>
      </w:pPr>
    </w:p>
    <w:p>
      <w:pPr>
        <w:pStyle w:val="3"/>
        <w:rPr>
          <w:rFonts w:asciiTheme="minorEastAsia" w:hAnsiTheme="minorEastAsia" w:eastAsiaTheme="minorEastAsia" w:cstheme="minorEastAsia"/>
          <w:b/>
          <w:sz w:val="32"/>
          <w:szCs w:val="32"/>
        </w:rPr>
      </w:pPr>
    </w:p>
    <w:p>
      <w:pPr>
        <w:pStyle w:val="21"/>
        <w:rPr>
          <w:rFonts w:asciiTheme="minorEastAsia" w:hAnsiTheme="minorEastAsia" w:eastAsiaTheme="minorEastAsia" w:cstheme="minorEastAsia"/>
          <w:b/>
          <w:sz w:val="32"/>
          <w:szCs w:val="32"/>
        </w:rPr>
      </w:pPr>
      <w:bookmarkStart w:id="354" w:name="_GoBack"/>
      <w:bookmarkEnd w:id="354"/>
    </w:p>
    <w:p>
      <w:pPr>
        <w:pStyle w:val="3"/>
        <w:rPr>
          <w:rFonts w:asciiTheme="minorEastAsia" w:hAnsiTheme="minorEastAsia" w:eastAsiaTheme="minorEastAsia" w:cstheme="minorEastAsia"/>
          <w:b/>
          <w:sz w:val="32"/>
          <w:szCs w:val="32"/>
        </w:rPr>
      </w:pPr>
    </w:p>
    <w:p>
      <w:pPr>
        <w:pStyle w:val="3"/>
      </w:pPr>
    </w:p>
    <w:p>
      <w:pPr>
        <w:autoSpaceDE w:val="0"/>
        <w:autoSpaceDN w:val="0"/>
        <w:adjustRightInd w:val="0"/>
        <w:spacing w:line="360" w:lineRule="auto"/>
        <w:jc w:val="center"/>
        <w:outlineLvl w:val="0"/>
        <w:rPr>
          <w:rFonts w:asciiTheme="minorEastAsia" w:hAnsiTheme="minorEastAsia" w:eastAsiaTheme="minorEastAsia" w:cstheme="minorEastAsia"/>
          <w:b/>
          <w:sz w:val="32"/>
          <w:szCs w:val="32"/>
        </w:rPr>
      </w:pPr>
    </w:p>
    <w:p>
      <w:pPr>
        <w:autoSpaceDE w:val="0"/>
        <w:autoSpaceDN w:val="0"/>
        <w:adjustRightInd w:val="0"/>
        <w:spacing w:line="360" w:lineRule="auto"/>
        <w:jc w:val="center"/>
        <w:outlineLvl w:val="0"/>
        <w:rPr>
          <w:rFonts w:asciiTheme="minorEastAsia" w:hAnsiTheme="minorEastAsia" w:eastAsiaTheme="minorEastAsia" w:cstheme="minorEastAsia"/>
          <w:b/>
          <w:sz w:val="32"/>
          <w:szCs w:val="32"/>
        </w:rPr>
      </w:pPr>
    </w:p>
    <w:p>
      <w:pPr>
        <w:autoSpaceDE w:val="0"/>
        <w:autoSpaceDN w:val="0"/>
        <w:adjustRightInd w:val="0"/>
        <w:spacing w:line="360" w:lineRule="auto"/>
        <w:ind w:firstLine="3534" w:firstLineChars="1100"/>
        <w:outlineLvl w:val="0"/>
        <w:rPr>
          <w:rFonts w:asciiTheme="minorEastAsia" w:hAnsiTheme="minorEastAsia" w:eastAsiaTheme="minorEastAsia" w:cstheme="minorEastAsia"/>
          <w:b/>
          <w:sz w:val="32"/>
          <w:szCs w:val="32"/>
        </w:rPr>
      </w:pPr>
      <w:bookmarkStart w:id="3" w:name="_Toc24528"/>
      <w:r>
        <w:rPr>
          <w:rFonts w:hint="eastAsia" w:asciiTheme="minorEastAsia" w:hAnsiTheme="minorEastAsia" w:eastAsiaTheme="minorEastAsia" w:cstheme="minorEastAsia"/>
          <w:b/>
          <w:sz w:val="32"/>
          <w:szCs w:val="32"/>
        </w:rPr>
        <w:t>第二章  投标人须知</w:t>
      </w:r>
      <w:bookmarkEnd w:id="3"/>
    </w:p>
    <w:bookmarkEnd w:id="0"/>
    <w:p>
      <w:pPr>
        <w:pStyle w:val="23"/>
        <w:spacing w:before="0" w:after="0" w:line="360" w:lineRule="auto"/>
        <w:ind w:right="-23" w:rightChars="-11"/>
        <w:rPr>
          <w:rFonts w:asciiTheme="minorEastAsia" w:hAnsiTheme="minorEastAsia" w:eastAsiaTheme="minorEastAsia" w:cstheme="minorEastAsia"/>
          <w:sz w:val="30"/>
          <w:szCs w:val="30"/>
        </w:rPr>
      </w:pPr>
      <w:bookmarkStart w:id="4" w:name="_Toc14655"/>
      <w:bookmarkStart w:id="5" w:name="_Toc32497"/>
      <w:bookmarkStart w:id="6" w:name="_Toc9161"/>
      <w:bookmarkStart w:id="7" w:name="_Toc426369478"/>
      <w:bookmarkStart w:id="8" w:name="_Toc15953"/>
      <w:bookmarkStart w:id="9" w:name="_Toc403122490"/>
      <w:r>
        <w:rPr>
          <w:rFonts w:hint="eastAsia" w:asciiTheme="minorEastAsia" w:hAnsiTheme="minorEastAsia" w:eastAsiaTheme="minorEastAsia" w:cstheme="minorEastAsia"/>
          <w:sz w:val="30"/>
          <w:szCs w:val="30"/>
        </w:rPr>
        <w:t>投标人须知前附表</w:t>
      </w:r>
      <w:bookmarkEnd w:id="4"/>
      <w:bookmarkEnd w:id="5"/>
      <w:bookmarkEnd w:id="6"/>
      <w:bookmarkEnd w:id="7"/>
      <w:bookmarkEnd w:id="8"/>
      <w:bookmarkEnd w:id="9"/>
    </w:p>
    <w:tbl>
      <w:tblPr>
        <w:tblStyle w:val="25"/>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318"/>
        <w:gridCol w:w="6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b/>
              </w:rPr>
            </w:pPr>
            <w:r>
              <w:rPr>
                <w:rFonts w:asciiTheme="minorEastAsia" w:hAnsiTheme="minorEastAsia" w:eastAsiaTheme="minorEastAsia" w:cstheme="minorEastAsia"/>
                <w:b/>
              </w:rPr>
              <w:t>条款号</w:t>
            </w:r>
          </w:p>
        </w:tc>
        <w:tc>
          <w:tcPr>
            <w:tcW w:w="2318" w:type="dxa"/>
            <w:vAlign w:val="center"/>
          </w:tcPr>
          <w:p>
            <w:pPr>
              <w:pStyle w:val="15"/>
              <w:spacing w:line="360" w:lineRule="exact"/>
              <w:jc w:val="center"/>
              <w:rPr>
                <w:rFonts w:hint="default" w:asciiTheme="minorEastAsia" w:hAnsiTheme="minorEastAsia" w:eastAsiaTheme="minorEastAsia" w:cstheme="minorEastAsia"/>
                <w:b/>
              </w:rPr>
            </w:pPr>
            <w:r>
              <w:rPr>
                <w:rFonts w:asciiTheme="minorEastAsia" w:hAnsiTheme="minorEastAsia" w:eastAsiaTheme="minorEastAsia" w:cstheme="minorEastAsia"/>
                <w:b/>
              </w:rPr>
              <w:t>条款名称</w:t>
            </w:r>
          </w:p>
        </w:tc>
        <w:tc>
          <w:tcPr>
            <w:tcW w:w="6112" w:type="dxa"/>
            <w:vAlign w:val="center"/>
          </w:tcPr>
          <w:p>
            <w:pPr>
              <w:pStyle w:val="15"/>
              <w:spacing w:line="360" w:lineRule="exact"/>
              <w:jc w:val="center"/>
              <w:rPr>
                <w:rFonts w:hint="default" w:asciiTheme="minorEastAsia" w:hAnsiTheme="minorEastAsia" w:eastAsiaTheme="minorEastAsia" w:cstheme="minorEastAsia"/>
                <w:b/>
              </w:rPr>
            </w:pPr>
            <w:r>
              <w:rPr>
                <w:rFonts w:asciiTheme="minorEastAsia" w:hAnsiTheme="minorEastAsia" w:eastAsiaTheme="minorEastAsia" w:cstheme="minorEastAsia"/>
                <w:b/>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1.1.2</w:t>
            </w:r>
          </w:p>
        </w:tc>
        <w:tc>
          <w:tcPr>
            <w:tcW w:w="2318"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采购人</w:t>
            </w:r>
          </w:p>
        </w:tc>
        <w:tc>
          <w:tcPr>
            <w:tcW w:w="6112" w:type="dxa"/>
            <w:vAlign w:val="center"/>
          </w:tcPr>
          <w:p>
            <w:pPr>
              <w:pStyle w:val="15"/>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名称：焦作市生态环境局博爱分局</w:t>
            </w:r>
          </w:p>
          <w:p>
            <w:pPr>
              <w:pStyle w:val="15"/>
              <w:spacing w:line="360" w:lineRule="exact"/>
              <w:rPr>
                <w:rFonts w:hint="default" w:asciiTheme="minorEastAsia" w:hAnsiTheme="minorEastAsia" w:eastAsiaTheme="minorEastAsia" w:cstheme="minorEastAsia"/>
                <w:szCs w:val="24"/>
              </w:rPr>
            </w:pPr>
            <w:r>
              <w:rPr>
                <w:rFonts w:asciiTheme="minorEastAsia" w:hAnsiTheme="minorEastAsia" w:eastAsiaTheme="minorEastAsia" w:cstheme="minorEastAsia"/>
              </w:rPr>
              <w:t>联系</w:t>
            </w:r>
            <w:r>
              <w:rPr>
                <w:rFonts w:asciiTheme="minorEastAsia" w:hAnsiTheme="minorEastAsia" w:eastAsiaTheme="minorEastAsia" w:cstheme="minorEastAsia"/>
                <w:szCs w:val="24"/>
              </w:rPr>
              <w:t xml:space="preserve">人：葛先生  </w:t>
            </w:r>
          </w:p>
          <w:p>
            <w:pPr>
              <w:pStyle w:val="15"/>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szCs w:val="24"/>
              </w:rPr>
              <w:t>电话：18839113113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1.1.3</w:t>
            </w:r>
          </w:p>
        </w:tc>
        <w:tc>
          <w:tcPr>
            <w:tcW w:w="2318"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采购代理机构</w:t>
            </w:r>
          </w:p>
        </w:tc>
        <w:tc>
          <w:tcPr>
            <w:tcW w:w="6112" w:type="dxa"/>
            <w:vAlign w:val="center"/>
          </w:tcPr>
          <w:p>
            <w:pPr>
              <w:pStyle w:val="15"/>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 xml:space="preserve">采购代理机构：博爱县城市建设项目管理有限公司  </w:t>
            </w:r>
          </w:p>
          <w:p>
            <w:pPr>
              <w:pStyle w:val="15"/>
              <w:spacing w:line="360" w:lineRule="exact"/>
              <w:rPr>
                <w:rFonts w:hint="default" w:asciiTheme="minorEastAsia" w:hAnsiTheme="minorEastAsia" w:eastAsiaTheme="minorEastAsia" w:cstheme="minorEastAsia"/>
                <w:bCs/>
                <w:iCs/>
              </w:rPr>
            </w:pPr>
            <w:r>
              <w:rPr>
                <w:rFonts w:asciiTheme="minorEastAsia" w:hAnsiTheme="minorEastAsia" w:eastAsiaTheme="minorEastAsia" w:cstheme="minorEastAsia"/>
              </w:rPr>
              <w:t>联</w:t>
            </w:r>
            <w:r>
              <w:rPr>
                <w:rFonts w:asciiTheme="minorEastAsia" w:hAnsiTheme="minorEastAsia" w:eastAsiaTheme="minorEastAsia" w:cstheme="minorEastAsia"/>
                <w:bCs/>
                <w:iCs/>
              </w:rPr>
              <w:t xml:space="preserve">系人：贾先生      </w:t>
            </w:r>
          </w:p>
          <w:p>
            <w:pPr>
              <w:pStyle w:val="15"/>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bCs/>
                <w:iCs/>
              </w:rPr>
              <w:t>电话：15139166295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1.1.4</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6112" w:type="dxa"/>
            <w:vAlign w:val="center"/>
          </w:tcPr>
          <w:p>
            <w:pPr>
              <w:adjustRightInd w:val="0"/>
              <w:snapToGrid w:val="0"/>
              <w:spacing w:line="460" w:lineRule="exact"/>
              <w:rPr>
                <w:rFonts w:asciiTheme="minorEastAsia" w:hAnsiTheme="minorEastAsia" w:eastAsiaTheme="minorEastAsia" w:cstheme="minorEastAsia"/>
              </w:rPr>
            </w:pPr>
            <w:r>
              <w:rPr>
                <w:rFonts w:hint="eastAsia" w:asciiTheme="minorEastAsia" w:hAnsiTheme="minorEastAsia" w:eastAsiaTheme="minorEastAsia" w:cstheme="minorEastAsia"/>
                <w:bCs/>
                <w:iCs/>
                <w:szCs w:val="21"/>
              </w:rPr>
              <w:t>博爱县农村人居环境综合整治项目选取PPP咨询服务机构采购项目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1.1.5</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Cs/>
                <w:iCs/>
                <w:szCs w:val="21"/>
              </w:rPr>
              <w:t>项目地点</w:t>
            </w:r>
          </w:p>
        </w:tc>
        <w:tc>
          <w:tcPr>
            <w:tcW w:w="6112" w:type="dxa"/>
            <w:vAlign w:val="center"/>
          </w:tcPr>
          <w:p>
            <w:pPr>
              <w:pStyle w:val="15"/>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1.2.1</w:t>
            </w:r>
          </w:p>
        </w:tc>
        <w:tc>
          <w:tcPr>
            <w:tcW w:w="2318"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资金来源</w:t>
            </w:r>
          </w:p>
        </w:tc>
        <w:tc>
          <w:tcPr>
            <w:tcW w:w="6112" w:type="dxa"/>
            <w:vAlign w:val="center"/>
          </w:tcPr>
          <w:p>
            <w:pPr>
              <w:pStyle w:val="15"/>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本级财政资金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1.2.2</w:t>
            </w:r>
          </w:p>
        </w:tc>
        <w:tc>
          <w:tcPr>
            <w:tcW w:w="2318"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资金落实情况</w:t>
            </w:r>
          </w:p>
        </w:tc>
        <w:tc>
          <w:tcPr>
            <w:tcW w:w="6112" w:type="dxa"/>
            <w:vAlign w:val="center"/>
          </w:tcPr>
          <w:p>
            <w:pPr>
              <w:pStyle w:val="15"/>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1.3.1</w:t>
            </w:r>
          </w:p>
        </w:tc>
        <w:tc>
          <w:tcPr>
            <w:tcW w:w="2318" w:type="dxa"/>
            <w:vAlign w:val="center"/>
          </w:tcPr>
          <w:p>
            <w:pPr>
              <w:pStyle w:val="15"/>
              <w:spacing w:line="360" w:lineRule="exact"/>
              <w:ind w:firstLine="630" w:firstLineChars="300"/>
              <w:rPr>
                <w:rFonts w:hint="default" w:asciiTheme="minorEastAsia" w:hAnsiTheme="minorEastAsia" w:eastAsiaTheme="minorEastAsia" w:cstheme="minorEastAsia"/>
              </w:rPr>
            </w:pPr>
            <w:r>
              <w:rPr>
                <w:rFonts w:asciiTheme="minorEastAsia" w:hAnsiTheme="minorEastAsia" w:eastAsiaTheme="minorEastAsia" w:cstheme="minorEastAsia"/>
              </w:rPr>
              <w:t>采购内容</w:t>
            </w:r>
          </w:p>
        </w:tc>
        <w:tc>
          <w:tcPr>
            <w:tcW w:w="6112" w:type="dxa"/>
          </w:tcPr>
          <w:p>
            <w:pPr>
              <w:pStyle w:val="15"/>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 xml:space="preserve">选取一家专业的PPP咨询服务机构为博爱县农村人居环境综合整治项目PPP模式提供咨询服务。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1.3.2</w:t>
            </w:r>
          </w:p>
        </w:tc>
        <w:tc>
          <w:tcPr>
            <w:tcW w:w="2318" w:type="dxa"/>
            <w:vAlign w:val="center"/>
          </w:tcPr>
          <w:p>
            <w:pPr>
              <w:pStyle w:val="15"/>
              <w:spacing w:line="360" w:lineRule="exact"/>
              <w:jc w:val="center"/>
              <w:rPr>
                <w:rFonts w:hint="default" w:hAnsi="宋体" w:cs="宋体"/>
                <w:kern w:val="0"/>
              </w:rPr>
            </w:pPr>
            <w:r>
              <w:rPr>
                <w:rFonts w:hAnsi="宋体" w:cs="宋体"/>
                <w:kern w:val="0"/>
              </w:rPr>
              <w:t>服务期</w:t>
            </w:r>
          </w:p>
        </w:tc>
        <w:tc>
          <w:tcPr>
            <w:tcW w:w="6112" w:type="dxa"/>
            <w:vAlign w:val="center"/>
          </w:tcPr>
          <w:p>
            <w:pPr>
              <w:adjustRightInd w:val="0"/>
              <w:snapToGrid w:val="0"/>
              <w:spacing w:line="560" w:lineRule="exact"/>
              <w:rPr>
                <w:rFonts w:ascii="宋体" w:hAnsi="宋体" w:cs="宋体"/>
                <w:color w:val="auto"/>
                <w:kern w:val="0"/>
                <w:szCs w:val="21"/>
              </w:rPr>
            </w:pPr>
            <w:r>
              <w:rPr>
                <w:rFonts w:hint="eastAsia" w:ascii="宋体" w:hAnsi="宋体" w:cs="宋体"/>
                <w:color w:val="auto"/>
                <w:kern w:val="0"/>
                <w:szCs w:val="21"/>
              </w:rPr>
              <w:t>自签订咨询服务合同始，至项目落地采购人与社会资本方签署正式合同止。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1.3.3</w:t>
            </w:r>
          </w:p>
        </w:tc>
        <w:tc>
          <w:tcPr>
            <w:tcW w:w="2318" w:type="dxa"/>
            <w:vAlign w:val="center"/>
          </w:tcPr>
          <w:p>
            <w:pPr>
              <w:pStyle w:val="15"/>
              <w:spacing w:line="360" w:lineRule="exact"/>
              <w:jc w:val="center"/>
              <w:rPr>
                <w:rFonts w:hint="default" w:hAnsi="宋体" w:cs="宋体"/>
                <w:kern w:val="0"/>
              </w:rPr>
            </w:pPr>
            <w:r>
              <w:rPr>
                <w:rFonts w:hint="default" w:hAnsi="宋体" w:cs="宋体"/>
                <w:kern w:val="0"/>
              </w:rPr>
              <w:t>质量标准</w:t>
            </w:r>
          </w:p>
        </w:tc>
        <w:tc>
          <w:tcPr>
            <w:tcW w:w="6112" w:type="dxa"/>
            <w:vAlign w:val="center"/>
          </w:tcPr>
          <w:p>
            <w:pPr>
              <w:spacing w:line="400" w:lineRule="exact"/>
              <w:rPr>
                <w:rFonts w:ascii="宋体" w:hAnsi="宋体" w:cs="宋体"/>
                <w:kern w:val="0"/>
                <w:szCs w:val="21"/>
              </w:rPr>
            </w:pPr>
            <w:r>
              <w:rPr>
                <w:rFonts w:ascii="宋体" w:hAnsi="宋体" w:cs="宋体"/>
                <w:kern w:val="0"/>
                <w:szCs w:val="21"/>
              </w:rPr>
              <w:t>合格，符合国家、行业规范标准。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1.4.1</w:t>
            </w:r>
          </w:p>
        </w:tc>
        <w:tc>
          <w:tcPr>
            <w:tcW w:w="2318"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投标人资质条件</w:t>
            </w:r>
          </w:p>
        </w:tc>
        <w:tc>
          <w:tcPr>
            <w:tcW w:w="6112" w:type="dxa"/>
            <w:vAlign w:val="center"/>
          </w:tcPr>
          <w:p>
            <w:pPr>
              <w:pStyle w:val="15"/>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1、符合《中华人民共和国政府采购法》第二十二条之规定；</w:t>
            </w:r>
          </w:p>
          <w:p>
            <w:pPr>
              <w:pStyle w:val="15"/>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2、落实政府采购政策需满足的资格要求：促进中小企业和监狱企业发展扶持政策、政府强制采购节能产品、节能产品及环境标志产品优先采购。</w:t>
            </w:r>
          </w:p>
          <w:p>
            <w:pPr>
              <w:pStyle w:val="15"/>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3、本项目的特定资格要求：</w:t>
            </w:r>
          </w:p>
          <w:p>
            <w:pPr>
              <w:pStyle w:val="15"/>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3.1投标人须具有有效的营业执照，并具有实施完成本项目的经营实力和完善的售后服务体系；</w:t>
            </w:r>
          </w:p>
          <w:p>
            <w:pPr>
              <w:pStyle w:val="15"/>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投标人，拒绝参与政府采购活动，同时对信用信息查询记录和证据进行打印存档； </w:t>
            </w:r>
          </w:p>
          <w:p>
            <w:pPr>
              <w:pStyle w:val="15"/>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3.3本项目不接受联合体投标；</w:t>
            </w:r>
          </w:p>
          <w:p>
            <w:pPr>
              <w:pStyle w:val="15"/>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3.4资格审查方式：资格后审。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1.4.2</w:t>
            </w:r>
          </w:p>
        </w:tc>
        <w:tc>
          <w:tcPr>
            <w:tcW w:w="2318"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是否接受联合体</w:t>
            </w:r>
          </w:p>
        </w:tc>
        <w:tc>
          <w:tcPr>
            <w:tcW w:w="6112" w:type="dxa"/>
            <w:vAlign w:val="center"/>
          </w:tcPr>
          <w:p>
            <w:pPr>
              <w:pStyle w:val="15"/>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1.10.1</w:t>
            </w:r>
          </w:p>
        </w:tc>
        <w:tc>
          <w:tcPr>
            <w:tcW w:w="2318"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投标预备会</w:t>
            </w:r>
          </w:p>
        </w:tc>
        <w:tc>
          <w:tcPr>
            <w:tcW w:w="6112" w:type="dxa"/>
            <w:vAlign w:val="center"/>
          </w:tcPr>
          <w:p>
            <w:pPr>
              <w:pStyle w:val="15"/>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1.10.2</w:t>
            </w:r>
          </w:p>
        </w:tc>
        <w:tc>
          <w:tcPr>
            <w:tcW w:w="2318"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投标人提出问题的</w:t>
            </w:r>
          </w:p>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截止时间</w:t>
            </w:r>
          </w:p>
        </w:tc>
        <w:tc>
          <w:tcPr>
            <w:tcW w:w="6112" w:type="dxa"/>
            <w:vAlign w:val="center"/>
          </w:tcPr>
          <w:p>
            <w:pPr>
              <w:pStyle w:val="15"/>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1.10.3</w:t>
            </w:r>
          </w:p>
        </w:tc>
        <w:tc>
          <w:tcPr>
            <w:tcW w:w="2318"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采购人说明澄清的时间</w:t>
            </w:r>
          </w:p>
        </w:tc>
        <w:tc>
          <w:tcPr>
            <w:tcW w:w="6112" w:type="dxa"/>
            <w:vAlign w:val="center"/>
          </w:tcPr>
          <w:p>
            <w:pPr>
              <w:pStyle w:val="15"/>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招标文件规定的投标截止时间15天前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1.11</w:t>
            </w:r>
          </w:p>
        </w:tc>
        <w:tc>
          <w:tcPr>
            <w:tcW w:w="2318"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分包</w:t>
            </w:r>
          </w:p>
        </w:tc>
        <w:tc>
          <w:tcPr>
            <w:tcW w:w="6112" w:type="dxa"/>
            <w:vAlign w:val="center"/>
          </w:tcPr>
          <w:p>
            <w:pPr>
              <w:pStyle w:val="15"/>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1.12</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w:t>
            </w:r>
          </w:p>
        </w:tc>
        <w:tc>
          <w:tcPr>
            <w:tcW w:w="6112"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不允许负偏离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2.2.1</w:t>
            </w:r>
          </w:p>
        </w:tc>
        <w:tc>
          <w:tcPr>
            <w:tcW w:w="2318"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投标人要求澄清招标文件的截止时间</w:t>
            </w:r>
          </w:p>
        </w:tc>
        <w:tc>
          <w:tcPr>
            <w:tcW w:w="6112" w:type="dxa"/>
            <w:vAlign w:val="center"/>
          </w:tcPr>
          <w:p>
            <w:pPr>
              <w:pStyle w:val="15"/>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2.2.2</w:t>
            </w:r>
          </w:p>
        </w:tc>
        <w:tc>
          <w:tcPr>
            <w:tcW w:w="2318" w:type="dxa"/>
            <w:vAlign w:val="center"/>
          </w:tcPr>
          <w:p>
            <w:pPr>
              <w:pStyle w:val="15"/>
              <w:spacing w:line="360" w:lineRule="exact"/>
              <w:jc w:val="center"/>
              <w:rPr>
                <w:rFonts w:hint="default" w:asciiTheme="minorEastAsia" w:hAnsiTheme="minorEastAsia" w:eastAsiaTheme="minorEastAsia" w:cstheme="minorEastAsia"/>
                <w:b/>
                <w:bCs/>
              </w:rPr>
            </w:pPr>
            <w:r>
              <w:rPr>
                <w:rFonts w:asciiTheme="minorEastAsia" w:hAnsiTheme="minorEastAsia" w:eastAsiaTheme="minorEastAsia" w:cstheme="minorEastAsia"/>
              </w:rPr>
              <w:t>投标截止时间</w:t>
            </w:r>
          </w:p>
        </w:tc>
        <w:tc>
          <w:tcPr>
            <w:tcW w:w="6112" w:type="dxa"/>
            <w:vAlign w:val="center"/>
          </w:tcPr>
          <w:p>
            <w:pPr>
              <w:spacing w:line="360" w:lineRule="exact"/>
              <w:jc w:val="left"/>
              <w:rPr>
                <w:rFonts w:asciiTheme="minorEastAsia" w:hAnsiTheme="minorEastAsia" w:eastAsiaTheme="minorEastAsia" w:cstheme="minorEastAsia"/>
                <w:b/>
                <w:bCs/>
                <w:color w:val="auto"/>
              </w:rPr>
            </w:pPr>
            <w:r>
              <w:rPr>
                <w:rFonts w:hint="eastAsia" w:asciiTheme="minorEastAsia" w:hAnsiTheme="minorEastAsia" w:eastAsiaTheme="minorEastAsia" w:cstheme="minorEastAsia"/>
                <w:color w:val="auto"/>
                <w:szCs w:val="21"/>
              </w:rPr>
              <w:t>2022年</w:t>
            </w: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30</w:t>
            </w:r>
            <w:r>
              <w:rPr>
                <w:rFonts w:hint="eastAsia" w:asciiTheme="minorEastAsia" w:hAnsiTheme="minorEastAsia" w:eastAsiaTheme="minorEastAsia" w:cstheme="minorEastAsia"/>
                <w:color w:val="auto"/>
                <w:szCs w:val="21"/>
              </w:rPr>
              <w:t>日上午</w:t>
            </w:r>
            <w:r>
              <w:rPr>
                <w:rFonts w:hint="eastAsia" w:asciiTheme="minorEastAsia" w:hAnsiTheme="minorEastAsia" w:eastAsiaTheme="minorEastAsia" w:cstheme="minorEastAsia"/>
                <w:color w:val="auto"/>
                <w:szCs w:val="21"/>
                <w:lang w:val="en-US" w:eastAsia="zh-CN"/>
              </w:rPr>
              <w:t>09</w:t>
            </w:r>
            <w:r>
              <w:rPr>
                <w:rFonts w:hint="eastAsia" w:asciiTheme="minorEastAsia" w:hAnsiTheme="minorEastAsia" w:eastAsiaTheme="minorEastAsia" w:cstheme="minorEastAsia"/>
                <w:color w:val="auto"/>
                <w:szCs w:val="21"/>
              </w:rPr>
              <w:t>点</w:t>
            </w:r>
            <w:r>
              <w:rPr>
                <w:rFonts w:hint="eastAsia" w:asciiTheme="minorEastAsia" w:hAnsiTheme="minorEastAsia" w:eastAsiaTheme="minorEastAsia" w:cstheme="minorEastAsia"/>
                <w:color w:val="auto"/>
                <w:szCs w:val="21"/>
                <w:lang w:val="en-US" w:eastAsia="zh-CN"/>
              </w:rPr>
              <w:t>00</w:t>
            </w:r>
            <w:r>
              <w:rPr>
                <w:rFonts w:hint="eastAsia" w:asciiTheme="minorEastAsia" w:hAnsiTheme="minorEastAsia" w:eastAsiaTheme="minorEastAsia" w:cstheme="minorEastAsia"/>
                <w:color w:val="auto"/>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2.2.3</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投标人确认收到招标文件澄清的时间</w:t>
            </w:r>
          </w:p>
        </w:tc>
        <w:tc>
          <w:tcPr>
            <w:tcW w:w="6112"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招标文件澄清文件发出后4小时内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2.3.2</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投标人确认收到招标文件修改的时间</w:t>
            </w:r>
          </w:p>
        </w:tc>
        <w:tc>
          <w:tcPr>
            <w:tcW w:w="6112"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招标文件修改文件发出后4小时内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构成投标文件的</w:t>
            </w:r>
          </w:p>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其他材料</w:t>
            </w:r>
          </w:p>
        </w:tc>
        <w:tc>
          <w:tcPr>
            <w:tcW w:w="6112"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招标文件中要求的其他资料。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3.3.1</w:t>
            </w:r>
          </w:p>
        </w:tc>
        <w:tc>
          <w:tcPr>
            <w:tcW w:w="2318"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投标有效期</w:t>
            </w:r>
          </w:p>
        </w:tc>
        <w:tc>
          <w:tcPr>
            <w:tcW w:w="6112" w:type="dxa"/>
            <w:vAlign w:val="center"/>
          </w:tcPr>
          <w:p>
            <w:pPr>
              <w:pStyle w:val="15"/>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3.6</w:t>
            </w:r>
          </w:p>
        </w:tc>
        <w:tc>
          <w:tcPr>
            <w:tcW w:w="2318"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是否允许递交备选</w:t>
            </w:r>
          </w:p>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投标方案</w:t>
            </w:r>
          </w:p>
        </w:tc>
        <w:tc>
          <w:tcPr>
            <w:tcW w:w="6112" w:type="dxa"/>
            <w:vAlign w:val="center"/>
          </w:tcPr>
          <w:p>
            <w:pPr>
              <w:pStyle w:val="15"/>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shd w:val="clear" w:color="auto" w:fill="auto"/>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3.7.3</w:t>
            </w:r>
          </w:p>
        </w:tc>
        <w:tc>
          <w:tcPr>
            <w:tcW w:w="2318" w:type="dxa"/>
            <w:shd w:val="clear" w:color="auto" w:fill="auto"/>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签字盖章要求</w:t>
            </w:r>
          </w:p>
        </w:tc>
        <w:tc>
          <w:tcPr>
            <w:tcW w:w="6112" w:type="dxa"/>
            <w:shd w:val="clear" w:color="auto" w:fill="auto"/>
            <w:vAlign w:val="center"/>
          </w:tcPr>
          <w:p>
            <w:pPr>
              <w:spacing w:line="360" w:lineRule="exact"/>
              <w:jc w:val="left"/>
              <w:rPr>
                <w:rFonts w:ascii="宋体" w:hAnsi="宋体" w:cs="宋体"/>
                <w:b/>
                <w:bCs/>
                <w:szCs w:val="21"/>
              </w:rPr>
            </w:pPr>
            <w:r>
              <w:rPr>
                <w:rFonts w:hint="eastAsia" w:ascii="宋体" w:hAnsi="宋体" w:cs="宋体"/>
                <w:b/>
                <w:bCs/>
                <w:szCs w:val="21"/>
              </w:rPr>
              <w:t>（1）所有要求投标人加盖公章的地方都须加盖投标人单位的 CA 印章。</w:t>
            </w:r>
          </w:p>
          <w:p>
            <w:pPr>
              <w:pStyle w:val="15"/>
              <w:spacing w:line="360" w:lineRule="exact"/>
              <w:rPr>
                <w:rFonts w:hint="default" w:asciiTheme="minorEastAsia" w:hAnsiTheme="minorEastAsia" w:eastAsiaTheme="minorEastAsia" w:cstheme="minorEastAsia"/>
              </w:rPr>
            </w:pPr>
            <w:r>
              <w:rPr>
                <w:rFonts w:hAnsi="宋体" w:cs="宋体"/>
                <w:b/>
                <w:bCs/>
              </w:rPr>
              <w:t>（2）所有要求法定代表人或其委托代理人签字的地方都须加盖法定代表人CA 印章或其委托代理人签字。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3.7.4</w:t>
            </w:r>
          </w:p>
        </w:tc>
        <w:tc>
          <w:tcPr>
            <w:tcW w:w="2318"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投标文件份数</w:t>
            </w:r>
          </w:p>
        </w:tc>
        <w:tc>
          <w:tcPr>
            <w:tcW w:w="6112" w:type="dxa"/>
            <w:vAlign w:val="center"/>
          </w:tcPr>
          <w:p>
            <w:pPr>
              <w:pStyle w:val="15"/>
              <w:spacing w:line="360" w:lineRule="exact"/>
              <w:rPr>
                <w:rFonts w:hint="default" w:asciiTheme="minorEastAsia" w:hAnsiTheme="minorEastAsia" w:cstheme="minorEastAsia"/>
              </w:rPr>
            </w:pPr>
            <w:r>
              <w:rPr>
                <w:b/>
                <w:bCs/>
              </w:rPr>
              <w:t>加密的电子投标文件壹份（.jztf 格式在会员系统指定位置上传）；自备非加密的电子投标文件一份，如有紧急情况，在不见面开标按要求上传。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4.2.2</w:t>
            </w:r>
          </w:p>
        </w:tc>
        <w:tc>
          <w:tcPr>
            <w:tcW w:w="2318"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递交投标文件方式和</w:t>
            </w:r>
          </w:p>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地点</w:t>
            </w:r>
          </w:p>
        </w:tc>
        <w:tc>
          <w:tcPr>
            <w:tcW w:w="6112" w:type="dxa"/>
            <w:vAlign w:val="center"/>
          </w:tcPr>
          <w:p>
            <w:pPr>
              <w:pStyle w:val="15"/>
              <w:spacing w:line="400" w:lineRule="exact"/>
              <w:rPr>
                <w:rFonts w:hint="default" w:hAnsi="宋体"/>
              </w:rPr>
            </w:pPr>
            <w:r>
              <w:rPr>
                <w:rFonts w:hAnsi="宋体"/>
              </w:rPr>
              <w:t xml:space="preserve">本项目采用“远程不见面”开标方式，远程开标大厅网址为http://122.112.246.33/BidOpening/bidopeninghallaction/hall/login。投标人不需到开标现场参加开标会议，不需提交原件资料等。 </w:t>
            </w:r>
          </w:p>
          <w:p>
            <w:pPr>
              <w:pStyle w:val="15"/>
              <w:spacing w:line="400" w:lineRule="exact"/>
              <w:rPr>
                <w:rFonts w:hint="default" w:hAnsi="宋体"/>
              </w:rPr>
            </w:pPr>
            <w:r>
              <w:rPr>
                <w:rFonts w:hAnsi="宋体"/>
              </w:rPr>
              <w:t>（1）电子投标文件的递交</w:t>
            </w:r>
          </w:p>
          <w:p>
            <w:pPr>
              <w:pStyle w:val="15"/>
              <w:spacing w:line="400" w:lineRule="exact"/>
              <w:rPr>
                <w:rFonts w:hint="default" w:hAnsi="宋体"/>
              </w:rPr>
            </w:pPr>
            <w:r>
              <w:rPr>
                <w:rFonts w:hAnsi="宋体"/>
              </w:rPr>
              <w:t>a、各投标人应在投标截止时间前上传加密的电子投标文件</w:t>
            </w:r>
          </w:p>
          <w:p>
            <w:pPr>
              <w:pStyle w:val="15"/>
              <w:spacing w:line="400" w:lineRule="exact"/>
              <w:rPr>
                <w:rFonts w:hint="default" w:hAnsi="宋体"/>
              </w:rPr>
            </w:pPr>
            <w:r>
              <w:rPr>
                <w:rFonts w:hAnsi="宋体"/>
              </w:rPr>
              <w:t>（.jztf 格式）到会员系统的指定位置。上传时必须得到电脑“上传成功”的确认回复。请投标人在上传时认真检查上传投标文件是否完整、正确。</w:t>
            </w:r>
          </w:p>
          <w:p>
            <w:pPr>
              <w:pStyle w:val="15"/>
              <w:spacing w:line="400" w:lineRule="exact"/>
              <w:rPr>
                <w:rFonts w:hint="default" w:hAnsi="宋体"/>
              </w:rPr>
            </w:pPr>
            <w:r>
              <w:rPr>
                <w:rFonts w:hAnsi="宋体"/>
              </w:rPr>
              <w:t>b、如系统故故障需上传非加密文件时，投标人应按照采购人指示将非加密文件递交给采购人。</w:t>
            </w:r>
          </w:p>
          <w:p>
            <w:pPr>
              <w:pStyle w:val="15"/>
              <w:spacing w:line="360" w:lineRule="exact"/>
              <w:rPr>
                <w:rFonts w:hint="default"/>
              </w:rPr>
            </w:pPr>
            <w:r>
              <w:rPr>
                <w:rFonts w:hAnsi="宋体"/>
              </w:rPr>
              <w:t>C、投标人因交易中心投标系统无法上传电子投标文件时， 请在工作时间与博爱县公共资源交易中心联系，联系电话：0391-8623196。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4.2.3</w:t>
            </w:r>
          </w:p>
        </w:tc>
        <w:tc>
          <w:tcPr>
            <w:tcW w:w="2318"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是否退还投标文件</w:t>
            </w:r>
          </w:p>
        </w:tc>
        <w:tc>
          <w:tcPr>
            <w:tcW w:w="6112" w:type="dxa"/>
            <w:vAlign w:val="center"/>
          </w:tcPr>
          <w:p>
            <w:pPr>
              <w:pStyle w:val="15"/>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5.1</w:t>
            </w:r>
          </w:p>
        </w:tc>
        <w:tc>
          <w:tcPr>
            <w:tcW w:w="2318"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开标时间和地点</w:t>
            </w:r>
          </w:p>
        </w:tc>
        <w:tc>
          <w:tcPr>
            <w:tcW w:w="6112" w:type="dxa"/>
            <w:vAlign w:val="center"/>
          </w:tcPr>
          <w:p>
            <w:pPr>
              <w:adjustRightInd w:val="0"/>
              <w:snapToGrid w:val="0"/>
              <w:spacing w:line="400" w:lineRule="exact"/>
              <w:rPr>
                <w:rFonts w:ascii="宋体" w:hAnsi="宋体"/>
                <w:szCs w:val="21"/>
              </w:rPr>
            </w:pPr>
            <w:r>
              <w:rPr>
                <w:rFonts w:hint="eastAsia" w:ascii="宋体" w:hAnsi="宋体"/>
                <w:szCs w:val="21"/>
              </w:rPr>
              <w:t>开标时间：同投标截止时间。投标人应当在投标截止时间前，登录远程开标大厅，凭制作投标文件所用的企业 CA 密匙在线签到、解密文件等，解密时间为投标截止时后30分钟内。</w:t>
            </w:r>
          </w:p>
          <w:p>
            <w:pPr>
              <w:spacing w:line="360" w:lineRule="exact"/>
              <w:ind w:left="700" w:hanging="700"/>
              <w:jc w:val="left"/>
              <w:rPr>
                <w:rFonts w:asciiTheme="minorEastAsia" w:hAnsiTheme="minorEastAsia" w:eastAsiaTheme="minorEastAsia" w:cstheme="minorEastAsia"/>
              </w:rPr>
            </w:pPr>
            <w:r>
              <w:rPr>
                <w:rFonts w:hint="eastAsia" w:ascii="宋体" w:hAnsi="宋体"/>
                <w:szCs w:val="21"/>
              </w:rPr>
              <w:t>现场开标地点：博爱县公共资源交易中心二楼第一开标室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评标委员会的组建</w:t>
            </w:r>
          </w:p>
        </w:tc>
        <w:tc>
          <w:tcPr>
            <w:tcW w:w="6112" w:type="dxa"/>
            <w:vAlign w:val="center"/>
          </w:tcPr>
          <w:p>
            <w:pPr>
              <w:spacing w:line="360" w:lineRule="exact"/>
              <w:ind w:left="700" w:hanging="7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评标委员会构成：由采购人代表1名和政府采购专家库中随机抽</w:t>
            </w:r>
          </w:p>
          <w:p>
            <w:pPr>
              <w:spacing w:line="360" w:lineRule="exact"/>
              <w:ind w:left="700" w:hanging="7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取的评审专家4名共5人组成。</w:t>
            </w:r>
          </w:p>
          <w:p>
            <w:pPr>
              <w:spacing w:line="360" w:lineRule="exact"/>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rPr>
              <w:t>评审专家确定方式：在开标前从有关政府部门设立的评标专家中随机抽取确定。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是否授权评标委员会确定中标人</w:t>
            </w:r>
          </w:p>
        </w:tc>
        <w:tc>
          <w:tcPr>
            <w:tcW w:w="6112" w:type="dxa"/>
            <w:vAlign w:val="center"/>
          </w:tcPr>
          <w:p>
            <w:pPr>
              <w:spacing w:line="38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否，由评标委员会从认定的合理报价中，按得分由高到低的顺序，依次推荐1～3名中标候选人。</w:t>
            </w:r>
          </w:p>
          <w:p>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应当确定排名第一的中标候选人为中标人。排名第一的中标候选人放弃中标、因不可抗力不能履行合同，或者被查实存在影响中标结果的违法行为等情形，不符合中标条件的，采购人可以按照评标委员会提出的中标候选人名单排序依次确定其他中标候选人为中标人。</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非因不可抗力因素放弃中标的，或排名第一的中标候选人未按规定期限与采购人签订合同的，应赔偿采购人由此造成的损失，损失费的计算方法为该中标候选人的投标价与重新确定的中标人中标价的差额，将按相关规定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7.3.1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履约保证金</w:t>
            </w:r>
          </w:p>
        </w:tc>
        <w:tc>
          <w:tcPr>
            <w:tcW w:w="6112" w:type="dxa"/>
            <w:vAlign w:val="center"/>
          </w:tcPr>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pPr>
              <w:pStyle w:val="15"/>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7.3.2</w:t>
            </w:r>
          </w:p>
        </w:tc>
        <w:tc>
          <w:tcPr>
            <w:tcW w:w="2318" w:type="dxa"/>
            <w:shd w:val="clear" w:color="auto" w:fill="auto"/>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投标保证金</w:t>
            </w:r>
          </w:p>
        </w:tc>
        <w:tc>
          <w:tcPr>
            <w:tcW w:w="6112" w:type="dxa"/>
            <w:shd w:val="clear" w:color="auto" w:fill="auto"/>
            <w:vAlign w:val="center"/>
          </w:tcPr>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5" w:type="dxa"/>
            <w:vAlign w:val="bottom"/>
          </w:tcPr>
          <w:p>
            <w:pPr>
              <w:spacing w:line="36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10</w:t>
            </w:r>
          </w:p>
        </w:tc>
        <w:tc>
          <w:tcPr>
            <w:tcW w:w="8430" w:type="dxa"/>
            <w:gridSpan w:val="2"/>
            <w:vAlign w:val="bottom"/>
          </w:tcPr>
          <w:p>
            <w:pPr>
              <w:spacing w:line="36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预算金额</w:t>
            </w:r>
          </w:p>
        </w:tc>
        <w:tc>
          <w:tcPr>
            <w:tcW w:w="6112" w:type="dxa"/>
            <w:vAlign w:val="bottom"/>
          </w:tcPr>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1、本项目预算金额为：800000元</w:t>
            </w:r>
          </w:p>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2、控制价是采购人设置的最高限价，投标人的投标报价高于控制价的视为无效报价，其投标予以拒绝；</w:t>
            </w:r>
          </w:p>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3、当中标人的投标报价高于控制价的95%时，该中标人的中标价按控制价的95%执行。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10.2</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小型或微型企业（含监狱企业）</w:t>
            </w:r>
          </w:p>
        </w:tc>
        <w:tc>
          <w:tcPr>
            <w:tcW w:w="6112" w:type="dxa"/>
            <w:vAlign w:val="center"/>
          </w:tcPr>
          <w:p>
            <w:pPr>
              <w:autoSpaceDE w:val="0"/>
              <w:autoSpaceDN w:val="0"/>
              <w:adjustRightInd w:val="0"/>
              <w:spacing w:line="500" w:lineRule="exact"/>
              <w:jc w:val="left"/>
              <w:rPr>
                <w:rFonts w:ascii="宋体" w:hAnsi="宋体" w:cs="宋体"/>
                <w:kern w:val="0"/>
                <w:szCs w:val="21"/>
              </w:rPr>
            </w:pPr>
            <w:r>
              <w:rPr>
                <w:rFonts w:hint="eastAsia" w:ascii="宋体" w:hAnsi="宋体" w:cs="宋体"/>
                <w:kern w:val="0"/>
                <w:szCs w:val="21"/>
              </w:rPr>
              <w:t>1、对小型或微型企业投标的扶持：(如有）</w:t>
            </w:r>
          </w:p>
          <w:p>
            <w:pPr>
              <w:autoSpaceDE w:val="0"/>
              <w:autoSpaceDN w:val="0"/>
              <w:adjustRightInd w:val="0"/>
              <w:spacing w:line="500" w:lineRule="exact"/>
              <w:jc w:val="left"/>
              <w:rPr>
                <w:rFonts w:ascii="宋体" w:hAnsi="宋体" w:cs="宋体"/>
                <w:kern w:val="0"/>
                <w:szCs w:val="21"/>
              </w:rPr>
            </w:pPr>
            <w:r>
              <w:rPr>
                <w:rFonts w:hint="eastAsia" w:ascii="宋体" w:hAnsi="宋体" w:cs="宋体"/>
                <w:kern w:val="0"/>
                <w:szCs w:val="21"/>
              </w:rPr>
              <w:t>1.1投标投标人为小型或微型企业时，报价给予C1的价格扣除（C1的取值为</w:t>
            </w:r>
            <w:r>
              <w:rPr>
                <w:rFonts w:hint="eastAsia" w:ascii="宋体" w:hAnsi="宋体" w:cs="宋体"/>
                <w:kern w:val="0"/>
                <w:szCs w:val="21"/>
                <w:lang w:val="en-US" w:eastAsia="zh-CN"/>
              </w:rPr>
              <w:t>10</w:t>
            </w:r>
            <w:r>
              <w:rPr>
                <w:rFonts w:hint="eastAsia" w:ascii="宋体" w:hAnsi="宋体" w:cs="宋体"/>
                <w:kern w:val="0"/>
                <w:szCs w:val="21"/>
              </w:rPr>
              <w:t>%），即：评标价＝投标报价（最后报价）×(1－C1）；</w:t>
            </w:r>
          </w:p>
          <w:p>
            <w:pPr>
              <w:autoSpaceDE w:val="0"/>
              <w:autoSpaceDN w:val="0"/>
              <w:adjustRightInd w:val="0"/>
              <w:spacing w:line="500" w:lineRule="exact"/>
              <w:jc w:val="left"/>
              <w:rPr>
                <w:rFonts w:ascii="宋体" w:hAnsi="宋体" w:cs="宋体"/>
                <w:kern w:val="0"/>
                <w:szCs w:val="21"/>
              </w:rPr>
            </w:pPr>
            <w:r>
              <w:rPr>
                <w:rFonts w:hint="eastAsia" w:ascii="宋体" w:hAnsi="宋体" w:cs="宋体"/>
                <w:kern w:val="0"/>
                <w:szCs w:val="21"/>
              </w:rPr>
              <w:t>小微企业应当列明本项目中所投的“小型和微型企业产品的清单”并提供《中小企业声明函》（见格式）。</w:t>
            </w:r>
            <w:r>
              <w:rPr>
                <w:rFonts w:hint="eastAsia" w:ascii="宋体" w:hAnsi="宋体" w:cs="宋体"/>
                <w:kern w:val="0"/>
                <w:szCs w:val="21"/>
              </w:rPr>
              <w:br w:type="textWrapping"/>
            </w:r>
            <w:r>
              <w:rPr>
                <w:rFonts w:hint="eastAsia" w:ascii="宋体" w:hAnsi="宋体" w:cs="宋体"/>
                <w:kern w:val="0"/>
                <w:szCs w:val="21"/>
              </w:rPr>
              <w:t>1.2按照</w:t>
            </w:r>
            <w:r>
              <w:rPr>
                <w:rFonts w:hint="eastAsia" w:ascii="宋体" w:hAnsi="宋体" w:cs="宋体"/>
                <w:kern w:val="0"/>
                <w:sz w:val="24"/>
                <w:szCs w:val="22"/>
              </w:rPr>
              <w:t>《</w:t>
            </w:r>
            <w:r>
              <w:rPr>
                <w:rFonts w:hint="eastAsia" w:ascii="宋体" w:hAnsi="宋体" w:cs="宋体"/>
                <w:kern w:val="0"/>
                <w:szCs w:val="21"/>
              </w:rPr>
              <w:t>政府采购促进中小企业发展管理办法》有关规定，中小企业的标准为：</w:t>
            </w:r>
          </w:p>
          <w:p>
            <w:pPr>
              <w:autoSpaceDE w:val="0"/>
              <w:autoSpaceDN w:val="0"/>
              <w:adjustRightInd w:val="0"/>
              <w:spacing w:line="500" w:lineRule="exact"/>
              <w:jc w:val="left"/>
              <w:rPr>
                <w:rFonts w:ascii="宋体" w:hAnsi="宋体" w:cs="宋体"/>
                <w:kern w:val="0"/>
                <w:szCs w:val="21"/>
              </w:rPr>
            </w:pPr>
            <w:r>
              <w:rPr>
                <w:rFonts w:hint="eastAsia" w:ascii="宋体" w:hAnsi="宋体" w:cs="宋体"/>
                <w:kern w:val="0"/>
                <w:szCs w:val="21"/>
              </w:rPr>
              <w:t>1.2.1提供本企业制造的货物、承担的工程或者服务，或者提供其他中小企业制造的货物，不包括提供或使用大型企业注册商标的货物；</w:t>
            </w:r>
          </w:p>
          <w:p>
            <w:pPr>
              <w:autoSpaceDE w:val="0"/>
              <w:autoSpaceDN w:val="0"/>
              <w:adjustRightInd w:val="0"/>
              <w:spacing w:line="500" w:lineRule="exact"/>
              <w:jc w:val="left"/>
              <w:rPr>
                <w:rFonts w:ascii="宋体" w:hAnsi="宋体" w:cs="宋体"/>
                <w:kern w:val="0"/>
                <w:szCs w:val="21"/>
              </w:rPr>
            </w:pPr>
            <w:r>
              <w:rPr>
                <w:rFonts w:hint="eastAsia" w:ascii="宋体" w:hAnsi="宋体" w:cs="宋体"/>
                <w:kern w:val="0"/>
                <w:szCs w:val="21"/>
              </w:rPr>
              <w:t>1.2.2本规定所称中小企业划分标准，是指国务院有关部门根据企业从业人员、营业收入、资产总额等指标制定的中小企业划型标准（工信部联企业[2011]300号）；</w:t>
            </w:r>
          </w:p>
          <w:p>
            <w:pPr>
              <w:autoSpaceDE w:val="0"/>
              <w:autoSpaceDN w:val="0"/>
              <w:adjustRightInd w:val="0"/>
              <w:spacing w:line="500" w:lineRule="exact"/>
              <w:jc w:val="left"/>
              <w:rPr>
                <w:rFonts w:ascii="宋体" w:hAnsi="宋体" w:cs="宋体"/>
                <w:kern w:val="0"/>
                <w:szCs w:val="21"/>
              </w:rPr>
            </w:pPr>
            <w:r>
              <w:rPr>
                <w:rFonts w:hint="eastAsia" w:ascii="宋体" w:hAnsi="宋体" w:cs="宋体"/>
                <w:kern w:val="0"/>
                <w:szCs w:val="21"/>
              </w:rPr>
              <w:t>1.2.3小型、微型企业提供有中型企业制造的货物的，视同为中型企业；小型、微型、中型企业提供有大型企业制造的货物的，视同为大型企业。</w:t>
            </w:r>
          </w:p>
          <w:p>
            <w:pPr>
              <w:spacing w:line="440" w:lineRule="exact"/>
              <w:rPr>
                <w:rFonts w:ascii="宋体" w:hAnsi="宋体" w:cs="宋体"/>
                <w:bCs/>
              </w:rPr>
            </w:pPr>
            <w:r>
              <w:rPr>
                <w:rFonts w:hint="eastAsia" w:ascii="宋体" w:hAnsi="宋体" w:cs="宋体"/>
                <w:bCs/>
              </w:rPr>
              <w:t>2、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6%的扣除。</w:t>
            </w:r>
          </w:p>
          <w:p>
            <w:pPr>
              <w:spacing w:line="440" w:lineRule="exact"/>
              <w:ind w:firstLine="420" w:firstLineChars="200"/>
              <w:rPr>
                <w:rFonts w:asciiTheme="minorEastAsia" w:hAnsiTheme="minorEastAsia" w:eastAsiaTheme="minorEastAsia" w:cstheme="minorEastAsia"/>
                <w:szCs w:val="21"/>
              </w:rPr>
            </w:pPr>
            <w:r>
              <w:rPr>
                <w:rFonts w:hint="eastAsia" w:ascii="宋体" w:hAnsi="宋体" w:cs="宋体"/>
                <w:bCs/>
              </w:rPr>
              <w:t>同一投标人，小微企业、监狱、残疾人福利性企业同一产品价格扣除优惠只享受一次，不得重复享受。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10.3</w:t>
            </w:r>
          </w:p>
        </w:tc>
        <w:tc>
          <w:tcPr>
            <w:tcW w:w="2318" w:type="dxa"/>
            <w:vAlign w:val="center"/>
          </w:tcPr>
          <w:p>
            <w:pPr>
              <w:spacing w:line="360" w:lineRule="exact"/>
              <w:jc w:val="center"/>
              <w:rPr>
                <w:rFonts w:asciiTheme="minorEastAsia" w:hAnsiTheme="minorEastAsia" w:eastAsiaTheme="minorEastAsia" w:cstheme="minorEastAsia"/>
                <w:b/>
                <w:bCs/>
                <w:szCs w:val="21"/>
                <w:highlight w:val="red"/>
              </w:rPr>
            </w:pPr>
            <w:r>
              <w:rPr>
                <w:rFonts w:hint="eastAsia" w:asciiTheme="minorEastAsia" w:hAnsiTheme="minorEastAsia" w:eastAsiaTheme="minorEastAsia" w:cstheme="minorEastAsia"/>
                <w:szCs w:val="21"/>
              </w:rPr>
              <w:t>付款方式</w:t>
            </w:r>
          </w:p>
        </w:tc>
        <w:tc>
          <w:tcPr>
            <w:tcW w:w="6112" w:type="dxa"/>
            <w:vAlign w:val="center"/>
          </w:tcPr>
          <w:p>
            <w:pPr>
              <w:pStyle w:val="36"/>
              <w:snapToGrid w:val="0"/>
              <w:spacing w:line="560" w:lineRule="exact"/>
              <w:rPr>
                <w:rFonts w:hint="default" w:asciiTheme="minorEastAsia" w:hAnsiTheme="minorEastAsia" w:cstheme="minorEastAsia"/>
                <w:b/>
                <w:bCs/>
                <w:color w:val="auto"/>
                <w:szCs w:val="21"/>
                <w:highlight w:val="red"/>
              </w:rPr>
            </w:pPr>
            <w:r>
              <w:rPr>
                <w:rFonts w:hAnsi="宋体" w:cs="宋体"/>
                <w:bCs/>
                <w:color w:val="auto"/>
                <w:kern w:val="2"/>
                <w:sz w:val="21"/>
              </w:rPr>
              <w:t>完成“两评一案”编制及相关批复后付合同价80%，协助采购人完成采购工作，采购人完成签订PPP合同后支付合同价的20%。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10.4</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招标代理服务费</w:t>
            </w:r>
          </w:p>
        </w:tc>
        <w:tc>
          <w:tcPr>
            <w:tcW w:w="6112" w:type="dxa"/>
            <w:vAlign w:val="center"/>
          </w:tcPr>
          <w:p>
            <w:pPr>
              <w:spacing w:line="440" w:lineRule="exact"/>
              <w:rPr>
                <w:rFonts w:ascii="宋体" w:hAnsi="宋体" w:cs="宋体"/>
                <w:bCs/>
              </w:rPr>
            </w:pPr>
            <w:r>
              <w:rPr>
                <w:rFonts w:hint="eastAsia" w:ascii="宋体" w:hAnsi="宋体" w:cs="宋体"/>
                <w:bCs/>
              </w:rPr>
              <w:t>1、招标代理服务费依据国家发展改革委发改价格[2015]299号文件的规定收取，由中标人支付。招标代理费由招标代理机构通知中标企业结清后，领取中标通知书。</w:t>
            </w:r>
          </w:p>
          <w:p>
            <w:pPr>
              <w:pStyle w:val="37"/>
            </w:pPr>
            <w:r>
              <w:rPr>
                <w:rFonts w:hint="eastAsia" w:ascii="宋体" w:hAnsi="宋体" w:cs="宋体"/>
                <w:bCs/>
                <w:kern w:val="2"/>
              </w:rPr>
              <w:t>2、中标人在领取中标通知书时，将投标文件纸质版打印装订（投标文件正本壹份和副本肆份，每册应采用左侧粘贴方式，不得采用活页装订）递交采购人。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10.8</w:t>
            </w:r>
          </w:p>
        </w:tc>
        <w:tc>
          <w:tcPr>
            <w:tcW w:w="231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认定为不响应招标文件的其它条件</w:t>
            </w:r>
          </w:p>
        </w:tc>
        <w:tc>
          <w:tcPr>
            <w:tcW w:w="6112" w:type="dxa"/>
            <w:vAlign w:val="center"/>
          </w:tcPr>
          <w:p>
            <w:pPr>
              <w:pStyle w:val="24"/>
              <w:ind w:firstLine="0" w:firstLineChars="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1、未按招标文件明示的规定签字盖章的；</w:t>
            </w:r>
          </w:p>
          <w:p>
            <w:pPr>
              <w:pStyle w:val="24"/>
              <w:ind w:firstLine="0" w:firstLineChars="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2、投标文件的关键内容（服务期、质量标准等）未填写或填写字迹模糊、达不到采购要求的；</w:t>
            </w:r>
          </w:p>
          <w:p>
            <w:pPr>
              <w:pStyle w:val="24"/>
              <w:ind w:firstLine="0" w:firstLineChars="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3、投标报价超出招标控制价的；</w:t>
            </w:r>
          </w:p>
          <w:p>
            <w:pPr>
              <w:pStyle w:val="24"/>
              <w:ind w:firstLine="0" w:firstLineChars="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4、投标人递交两份或多份内容不同的投标文件，或在一份投标文件中对同一招标项目有两个或多个报价，且未声明哪一个有效的；</w:t>
            </w:r>
          </w:p>
          <w:p>
            <w:pPr>
              <w:pStyle w:val="24"/>
              <w:ind w:firstLine="0" w:firstLineChars="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5、相关资格证明文件不合格的；</w:t>
            </w:r>
          </w:p>
          <w:p>
            <w:pPr>
              <w:pStyle w:val="24"/>
              <w:ind w:firstLine="0" w:firstLineChars="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6、未按要求在报价明细表中标明品牌、型号及技术参数的。</w:t>
            </w:r>
          </w:p>
          <w:p>
            <w:pPr>
              <w:pStyle w:val="24"/>
              <w:ind w:firstLine="0" w:firstLineChars="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7、附有采购人不能接受的条件的；</w:t>
            </w:r>
          </w:p>
          <w:p>
            <w:pPr>
              <w:pStyle w:val="24"/>
              <w:ind w:firstLine="0" w:firstLineChars="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8、评标过程中，如因两个或两个以上投标人在同一台计算或同一个IP上传投标文件，而被不见面开标系统提示为“投标文件制作机器码一致”的，则视其投标无效。</w:t>
            </w:r>
          </w:p>
          <w:p>
            <w:pPr>
              <w:pStyle w:val="24"/>
              <w:ind w:firstLine="0" w:firstLineChars="0"/>
              <w:rPr>
                <w:b/>
                <w:bCs/>
              </w:rPr>
            </w:pPr>
            <w:r>
              <w:rPr>
                <w:rFonts w:hint="eastAsia" w:asciiTheme="minorEastAsia" w:hAnsiTheme="minorEastAsia" w:eastAsiaTheme="minorEastAsia" w:cstheme="minorEastAsia"/>
                <w:b/>
                <w:bCs/>
                <w:szCs w:val="21"/>
              </w:rPr>
              <w:t>10、投标文件有明显不符合招标文件其它要求和有关法律法规的。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10.9</w:t>
            </w:r>
          </w:p>
        </w:tc>
        <w:tc>
          <w:tcPr>
            <w:tcW w:w="8430" w:type="dxa"/>
            <w:gridSpan w:val="2"/>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本招标文件解释权归采购人</w:t>
            </w:r>
          </w:p>
        </w:tc>
      </w:tr>
    </w:tbl>
    <w:p>
      <w:pPr>
        <w:pStyle w:val="23"/>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10" w:name="_Toc23082"/>
      <w:bookmarkStart w:id="11" w:name="_Toc403122491"/>
      <w:bookmarkStart w:id="12" w:name="_Toc17744"/>
      <w:bookmarkStart w:id="13" w:name="_Toc9048"/>
      <w:bookmarkStart w:id="14" w:name="_Toc426369479"/>
      <w:bookmarkStart w:id="15" w:name="_Toc23576"/>
      <w:bookmarkStart w:id="16" w:name="_Toc426369491"/>
      <w:bookmarkStart w:id="17" w:name="_Toc26894"/>
      <w:bookmarkStart w:id="18" w:name="_Toc403122503"/>
      <w:r>
        <w:rPr>
          <w:rFonts w:hint="eastAsia" w:asciiTheme="minorEastAsia" w:hAnsiTheme="minorEastAsia" w:eastAsiaTheme="minorEastAsia" w:cstheme="minorEastAsia"/>
          <w:sz w:val="24"/>
          <w:szCs w:val="24"/>
        </w:rPr>
        <w:t>1. 总则</w:t>
      </w:r>
      <w:bookmarkEnd w:id="10"/>
      <w:bookmarkEnd w:id="11"/>
      <w:bookmarkEnd w:id="12"/>
      <w:bookmarkEnd w:id="13"/>
      <w:bookmarkEnd w:id="14"/>
      <w:bookmarkEnd w:id="15"/>
    </w:p>
    <w:p>
      <w:pPr>
        <w:spacing w:line="500" w:lineRule="exact"/>
        <w:ind w:firstLine="482" w:firstLineChars="200"/>
        <w:rPr>
          <w:rFonts w:asciiTheme="minorEastAsia" w:hAnsiTheme="minorEastAsia" w:eastAsiaTheme="minorEastAsia" w:cstheme="minorEastAsia"/>
          <w:b/>
          <w:bCs/>
          <w:sz w:val="24"/>
        </w:rPr>
      </w:pPr>
      <w:bookmarkStart w:id="19" w:name="_Toc274249575"/>
      <w:bookmarkStart w:id="20" w:name="_Toc403122492"/>
      <w:bookmarkStart w:id="21" w:name="_Toc279599771"/>
      <w:bookmarkStart w:id="22" w:name="_Toc426369480"/>
      <w:r>
        <w:rPr>
          <w:rFonts w:hint="eastAsia" w:asciiTheme="minorEastAsia" w:hAnsiTheme="minorEastAsia" w:eastAsiaTheme="minorEastAsia" w:cstheme="minorEastAsia"/>
          <w:b/>
          <w:bCs/>
          <w:sz w:val="24"/>
        </w:rPr>
        <w:t>1.1 项目概况</w:t>
      </w:r>
      <w:bookmarkEnd w:id="19"/>
      <w:bookmarkEnd w:id="20"/>
      <w:bookmarkEnd w:id="21"/>
      <w:bookmarkEnd w:id="22"/>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1.1.1 根据</w:t>
      </w:r>
      <w:r>
        <w:rPr>
          <w:rFonts w:hint="eastAsia" w:asciiTheme="minorEastAsia" w:hAnsiTheme="minorEastAsia" w:eastAsiaTheme="minorEastAsia" w:cstheme="minorEastAsia"/>
          <w:bCs/>
          <w:szCs w:val="21"/>
        </w:rPr>
        <w:t>《中华人民共和国政府采购法》</w:t>
      </w:r>
      <w:r>
        <w:rPr>
          <w:rFonts w:hint="eastAsia" w:asciiTheme="minorEastAsia" w:hAnsiTheme="minorEastAsia" w:eastAsiaTheme="minorEastAsia" w:cstheme="minorEastAsia"/>
          <w:szCs w:val="21"/>
        </w:rPr>
        <w:t xml:space="preserve">等有关法律、法规和规章的规定，本招标项目已具备招标条件，现对本招标项目进行公开招标。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1.1.2  本招标项目采购人：见投标人须知前附表。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1.1.3  本招标项目采购代理机构：见投标人须知前附表。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1.1.4  本招标项目名称：见投标人须知前附表。 </w:t>
      </w:r>
    </w:p>
    <w:p>
      <w:pPr>
        <w:spacing w:line="500" w:lineRule="exact"/>
        <w:ind w:firstLine="482" w:firstLineChars="200"/>
        <w:rPr>
          <w:rFonts w:asciiTheme="minorEastAsia" w:hAnsiTheme="minorEastAsia" w:eastAsiaTheme="minorEastAsia" w:cstheme="minorEastAsia"/>
          <w:b/>
          <w:bCs/>
          <w:sz w:val="24"/>
        </w:rPr>
      </w:pPr>
      <w:bookmarkStart w:id="23" w:name="_Toc274249576"/>
      <w:bookmarkStart w:id="24" w:name="_Toc403122493"/>
      <w:bookmarkStart w:id="25" w:name="_Toc279599772"/>
      <w:bookmarkStart w:id="26" w:name="_Toc426369481"/>
      <w:r>
        <w:rPr>
          <w:rFonts w:hint="eastAsia" w:asciiTheme="minorEastAsia" w:hAnsiTheme="minorEastAsia" w:eastAsiaTheme="minorEastAsia" w:cstheme="minorEastAsia"/>
          <w:b/>
          <w:bCs/>
          <w:sz w:val="24"/>
        </w:rPr>
        <w:t>1.2 资金来源和落实情况</w:t>
      </w:r>
      <w:bookmarkEnd w:id="23"/>
      <w:bookmarkEnd w:id="24"/>
      <w:bookmarkEnd w:id="25"/>
      <w:bookmarkEnd w:id="26"/>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1.2.1  本招标项目的资金来源：见投标人须知前附表。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1.2.2  本招标项目的资金落实情况：见投标人须知前附表。 </w:t>
      </w:r>
    </w:p>
    <w:p>
      <w:pPr>
        <w:spacing w:line="500" w:lineRule="exact"/>
        <w:ind w:firstLine="482" w:firstLineChars="200"/>
        <w:rPr>
          <w:rFonts w:asciiTheme="minorEastAsia" w:hAnsiTheme="minorEastAsia" w:eastAsiaTheme="minorEastAsia" w:cstheme="minorEastAsia"/>
          <w:b/>
          <w:bCs/>
          <w:sz w:val="24"/>
        </w:rPr>
      </w:pPr>
      <w:bookmarkStart w:id="27" w:name="_Toc403122494"/>
      <w:bookmarkStart w:id="28" w:name="_Toc279599773"/>
      <w:bookmarkStart w:id="29" w:name="_Toc274249577"/>
      <w:bookmarkStart w:id="30" w:name="_Toc426369482"/>
      <w:r>
        <w:rPr>
          <w:rFonts w:hint="eastAsia" w:asciiTheme="minorEastAsia" w:hAnsiTheme="minorEastAsia" w:eastAsiaTheme="minorEastAsia" w:cstheme="minorEastAsia"/>
          <w:b/>
          <w:bCs/>
          <w:sz w:val="24"/>
        </w:rPr>
        <w:t>1.3 采购内容、服务期和质量</w:t>
      </w:r>
      <w:bookmarkEnd w:id="27"/>
      <w:bookmarkEnd w:id="28"/>
      <w:bookmarkEnd w:id="29"/>
      <w:bookmarkEnd w:id="30"/>
      <w:r>
        <w:rPr>
          <w:rFonts w:hint="eastAsia" w:asciiTheme="minorEastAsia" w:hAnsiTheme="minorEastAsia" w:eastAsiaTheme="minorEastAsia" w:cstheme="minorEastAsia"/>
          <w:b/>
          <w:bCs/>
          <w:sz w:val="24"/>
        </w:rPr>
        <w:t>标准</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1.3.1  本次招标采购内容：见投标人须知前附表。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1.3.2  本次招标的项目完成期：见投标人须知前附表。 </w:t>
      </w:r>
    </w:p>
    <w:p>
      <w:pPr>
        <w:tabs>
          <w:tab w:val="right" w:pos="904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1.3.3  本次招标的质量要求：见投标人须知前附表。 </w:t>
      </w:r>
    </w:p>
    <w:p>
      <w:pPr>
        <w:tabs>
          <w:tab w:val="right" w:pos="904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1.3.4  本次招标的质保期要求：见投标人须知前附表。 </w:t>
      </w:r>
      <w:r>
        <w:rPr>
          <w:rFonts w:hint="eastAsia" w:asciiTheme="minorEastAsia" w:hAnsiTheme="minorEastAsia" w:eastAsiaTheme="minorEastAsia" w:cstheme="minorEastAsia"/>
          <w:szCs w:val="21"/>
        </w:rPr>
        <w:tab/>
      </w:r>
    </w:p>
    <w:p>
      <w:pPr>
        <w:spacing w:line="500" w:lineRule="exact"/>
        <w:ind w:firstLine="482" w:firstLineChars="200"/>
        <w:rPr>
          <w:rFonts w:asciiTheme="minorEastAsia" w:hAnsiTheme="minorEastAsia" w:eastAsiaTheme="minorEastAsia" w:cstheme="minorEastAsia"/>
          <w:b/>
          <w:bCs/>
          <w:sz w:val="24"/>
        </w:rPr>
      </w:pPr>
      <w:bookmarkStart w:id="31" w:name="_Toc426369483"/>
      <w:bookmarkStart w:id="32" w:name="_Toc403122495"/>
      <w:bookmarkStart w:id="33" w:name="_Toc279599774"/>
      <w:bookmarkStart w:id="34" w:name="_Toc274249578"/>
      <w:r>
        <w:rPr>
          <w:rFonts w:hint="eastAsia" w:asciiTheme="minorEastAsia" w:hAnsiTheme="minorEastAsia" w:eastAsiaTheme="minorEastAsia" w:cstheme="minorEastAsia"/>
          <w:b/>
          <w:bCs/>
          <w:sz w:val="24"/>
        </w:rPr>
        <w:t>1.4 投标人资格要求</w:t>
      </w:r>
      <w:bookmarkEnd w:id="31"/>
      <w:bookmarkEnd w:id="32"/>
      <w:bookmarkEnd w:id="33"/>
      <w:bookmarkEnd w:id="34"/>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1.4.1 投标人应具备承担本招标项目的资质条件。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（1）投标人资质条件：见投标人须知前附表； </w:t>
      </w:r>
    </w:p>
    <w:p>
      <w:pPr>
        <w:spacing w:line="440" w:lineRule="exact"/>
        <w:ind w:firstLine="420" w:firstLineChars="200"/>
        <w:rPr>
          <w:rFonts w:asciiTheme="minorEastAsia" w:hAnsiTheme="minorEastAsia" w:eastAsiaTheme="minorEastAsia" w:cstheme="minorEastAsia"/>
          <w:szCs w:val="21"/>
        </w:rPr>
      </w:pPr>
      <w:bookmarkStart w:id="35" w:name="_Toc279599775"/>
      <w:bookmarkStart w:id="36" w:name="_Toc274249579"/>
      <w:bookmarkStart w:id="37" w:name="_Toc403122496"/>
      <w:r>
        <w:rPr>
          <w:rFonts w:hint="eastAsia" w:asciiTheme="minorEastAsia" w:hAnsiTheme="minorEastAsia" w:eastAsiaTheme="minorEastAsia" w:cstheme="minorEastAsia"/>
          <w:szCs w:val="21"/>
        </w:rPr>
        <w:t>1.4.2 本次招标不接受联合体投标。</w:t>
      </w:r>
    </w:p>
    <w:p>
      <w:pPr>
        <w:spacing w:line="500" w:lineRule="exact"/>
        <w:ind w:firstLine="482" w:firstLineChars="200"/>
        <w:rPr>
          <w:rFonts w:asciiTheme="minorEastAsia" w:hAnsiTheme="minorEastAsia" w:eastAsiaTheme="minorEastAsia" w:cstheme="minorEastAsia"/>
          <w:b/>
          <w:bCs/>
          <w:sz w:val="24"/>
        </w:rPr>
      </w:pPr>
      <w:bookmarkStart w:id="38" w:name="_Toc426369484"/>
      <w:r>
        <w:rPr>
          <w:rFonts w:hint="eastAsia" w:asciiTheme="minorEastAsia" w:hAnsiTheme="minorEastAsia" w:eastAsiaTheme="minorEastAsia" w:cstheme="minorEastAsia"/>
          <w:b/>
          <w:bCs/>
          <w:sz w:val="24"/>
        </w:rPr>
        <w:t>1.5 费用承担</w:t>
      </w:r>
      <w:bookmarkEnd w:id="35"/>
      <w:bookmarkEnd w:id="36"/>
      <w:bookmarkEnd w:id="37"/>
      <w:bookmarkEnd w:id="38"/>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投标人准备和参加投标活动发生的费用自理。 </w:t>
      </w:r>
    </w:p>
    <w:p>
      <w:pPr>
        <w:spacing w:line="500" w:lineRule="exact"/>
        <w:ind w:firstLine="482" w:firstLineChars="200"/>
        <w:rPr>
          <w:rFonts w:asciiTheme="minorEastAsia" w:hAnsiTheme="minorEastAsia" w:eastAsiaTheme="minorEastAsia" w:cstheme="minorEastAsia"/>
          <w:b/>
          <w:bCs/>
          <w:sz w:val="24"/>
        </w:rPr>
      </w:pPr>
      <w:bookmarkStart w:id="39" w:name="_Toc426369485"/>
      <w:bookmarkStart w:id="40" w:name="_Toc403122497"/>
      <w:r>
        <w:rPr>
          <w:rFonts w:hint="eastAsia" w:asciiTheme="minorEastAsia" w:hAnsiTheme="minorEastAsia" w:eastAsiaTheme="minorEastAsia" w:cstheme="minorEastAsia"/>
          <w:b/>
          <w:bCs/>
          <w:sz w:val="24"/>
        </w:rPr>
        <w:t>1.6 保密</w:t>
      </w:r>
      <w:bookmarkEnd w:id="39"/>
      <w:bookmarkEnd w:id="40"/>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参与招标投标活动的各方应对招标文件和投标文件中的商业和技术等秘密保密，违者应对由此造成的后果承担法律责任。</w:t>
      </w:r>
    </w:p>
    <w:p>
      <w:pPr>
        <w:spacing w:line="500" w:lineRule="exact"/>
        <w:ind w:firstLine="482" w:firstLineChars="200"/>
        <w:rPr>
          <w:rFonts w:asciiTheme="minorEastAsia" w:hAnsiTheme="minorEastAsia" w:eastAsiaTheme="minorEastAsia" w:cstheme="minorEastAsia"/>
          <w:b/>
          <w:bCs/>
          <w:sz w:val="24"/>
        </w:rPr>
      </w:pPr>
      <w:bookmarkStart w:id="41" w:name="_Toc274249581"/>
      <w:bookmarkStart w:id="42" w:name="_Toc403122498"/>
      <w:bookmarkStart w:id="43" w:name="_Toc279599777"/>
      <w:bookmarkStart w:id="44" w:name="_Toc426369486"/>
      <w:r>
        <w:rPr>
          <w:rFonts w:hint="eastAsia" w:asciiTheme="minorEastAsia" w:hAnsiTheme="minorEastAsia" w:eastAsiaTheme="minorEastAsia" w:cstheme="minorEastAsia"/>
          <w:b/>
          <w:bCs/>
          <w:sz w:val="24"/>
        </w:rPr>
        <w:t>1.7 语言文字</w:t>
      </w:r>
      <w:bookmarkEnd w:id="41"/>
      <w:bookmarkEnd w:id="42"/>
      <w:bookmarkEnd w:id="43"/>
      <w:bookmarkEnd w:id="44"/>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1.7.1 采购文件以及投标人与采购人、采购代理机构就有关投标事宜的所有来往函电均应使用简体中文书写。</w:t>
      </w:r>
    </w:p>
    <w:p>
      <w:pPr>
        <w:pStyle w:val="6"/>
        <w:ind w:firstLine="420" w:firstLineChars="200"/>
        <w:rPr>
          <w:rFonts w:asciiTheme="minorEastAsia" w:hAnsiTheme="minorEastAsia" w:eastAsiaTheme="minorEastAsia" w:cstheme="minorEastAsia"/>
          <w:b w:val="0"/>
          <w:bCs w:val="0"/>
          <w:sz w:val="21"/>
          <w:szCs w:val="21"/>
        </w:rPr>
      </w:pPr>
      <w:bookmarkStart w:id="45" w:name="_Toc18685"/>
      <w:r>
        <w:rPr>
          <w:rFonts w:hint="eastAsia" w:asciiTheme="minorEastAsia" w:hAnsiTheme="minorEastAsia" w:eastAsiaTheme="minorEastAsia" w:cstheme="minorEastAsia"/>
          <w:b w:val="0"/>
          <w:bCs w:val="0"/>
          <w:sz w:val="21"/>
          <w:szCs w:val="21"/>
        </w:rPr>
        <w:t>1.7.2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bookmarkEnd w:id="45"/>
      <w:bookmarkStart w:id="46" w:name="_Toc426369487"/>
      <w:bookmarkStart w:id="47" w:name="_Toc403122499"/>
    </w:p>
    <w:p>
      <w:pPr>
        <w:pStyle w:val="6"/>
        <w:ind w:firstLine="482" w:firstLineChars="200"/>
        <w:rPr>
          <w:rFonts w:asciiTheme="minorEastAsia" w:hAnsiTheme="minorEastAsia" w:eastAsiaTheme="minorEastAsia" w:cstheme="minorEastAsia"/>
          <w:sz w:val="24"/>
        </w:rPr>
      </w:pPr>
      <w:bookmarkStart w:id="48" w:name="_Toc13161"/>
      <w:r>
        <w:rPr>
          <w:rFonts w:hint="eastAsia" w:asciiTheme="minorEastAsia" w:hAnsiTheme="minorEastAsia" w:eastAsiaTheme="minorEastAsia" w:cstheme="minorEastAsia"/>
          <w:sz w:val="24"/>
        </w:rPr>
        <w:t>1.8 计量单位</w:t>
      </w:r>
      <w:bookmarkEnd w:id="46"/>
      <w:bookmarkEnd w:id="47"/>
      <w:bookmarkEnd w:id="48"/>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1.8.1关于投标计量单位，采购文件已有明确规定的，使用采购文件规定的计量单位；采购文件没有规定的，应采用中华人民共和国法定计量单位。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1.8.2本响应性文件所表述的时间均为北京时间。</w:t>
      </w:r>
    </w:p>
    <w:p>
      <w:pPr>
        <w:spacing w:line="500" w:lineRule="exact"/>
        <w:ind w:firstLine="482" w:firstLineChars="200"/>
        <w:rPr>
          <w:rFonts w:asciiTheme="minorEastAsia" w:hAnsiTheme="minorEastAsia" w:eastAsiaTheme="minorEastAsia" w:cstheme="minorEastAsia"/>
          <w:b/>
          <w:bCs/>
          <w:sz w:val="24"/>
        </w:rPr>
      </w:pPr>
      <w:bookmarkStart w:id="49" w:name="_Toc279599779"/>
      <w:bookmarkStart w:id="50" w:name="_Toc426369488"/>
      <w:bookmarkStart w:id="51" w:name="_Toc274249583"/>
      <w:bookmarkStart w:id="52" w:name="_Toc403122500"/>
      <w:r>
        <w:rPr>
          <w:rFonts w:hint="eastAsia" w:asciiTheme="minorEastAsia" w:hAnsiTheme="minorEastAsia" w:eastAsiaTheme="minorEastAsia" w:cstheme="minorEastAsia"/>
          <w:b/>
          <w:bCs/>
          <w:sz w:val="24"/>
        </w:rPr>
        <w:t>1.9 踏勘现场</w:t>
      </w:r>
      <w:bookmarkEnd w:id="49"/>
      <w:bookmarkEnd w:id="50"/>
      <w:bookmarkEnd w:id="51"/>
      <w:bookmarkEnd w:id="52"/>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1.9.1  由于项目特殊性，本次招标需投标人自行勘查。 </w:t>
      </w:r>
    </w:p>
    <w:p>
      <w:pPr>
        <w:spacing w:line="500" w:lineRule="exact"/>
        <w:ind w:firstLine="482" w:firstLineChars="200"/>
        <w:rPr>
          <w:rFonts w:asciiTheme="minorEastAsia" w:hAnsiTheme="minorEastAsia" w:eastAsiaTheme="minorEastAsia" w:cstheme="minorEastAsia"/>
          <w:b/>
          <w:bCs/>
          <w:sz w:val="24"/>
        </w:rPr>
      </w:pPr>
      <w:bookmarkStart w:id="53" w:name="_Toc403122501"/>
      <w:bookmarkStart w:id="54" w:name="_Toc274249584"/>
      <w:bookmarkStart w:id="55" w:name="_Toc279599780"/>
      <w:bookmarkStart w:id="56" w:name="_Toc426369489"/>
      <w:r>
        <w:rPr>
          <w:rFonts w:hint="eastAsia" w:asciiTheme="minorEastAsia" w:hAnsiTheme="minorEastAsia" w:eastAsiaTheme="minorEastAsia" w:cstheme="minorEastAsia"/>
          <w:b/>
          <w:bCs/>
          <w:sz w:val="24"/>
        </w:rPr>
        <w:t>1.10 投标预备会</w:t>
      </w:r>
      <w:bookmarkEnd w:id="53"/>
      <w:bookmarkEnd w:id="54"/>
      <w:bookmarkEnd w:id="55"/>
      <w:bookmarkEnd w:id="56"/>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1.10.1 本次招标不召开投标预备会。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1.10.2 投标人应在投标人须知前附表规定的时间前，以书面形式将提出的问题送达招标代理人。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1.10.3 采购人在投标人须知前附表规定的时间内，将对投标人所提问题的澄清，以书面方式通知所有已领取招标文件的投标人。该澄清内容为招标文件的组成部分。 </w:t>
      </w:r>
    </w:p>
    <w:p>
      <w:pPr>
        <w:spacing w:line="500" w:lineRule="exact"/>
        <w:ind w:firstLine="482" w:firstLineChars="200"/>
        <w:rPr>
          <w:rFonts w:asciiTheme="minorEastAsia" w:hAnsiTheme="minorEastAsia" w:eastAsiaTheme="minorEastAsia" w:cstheme="minorEastAsia"/>
          <w:b/>
          <w:bCs/>
          <w:sz w:val="24"/>
        </w:rPr>
      </w:pPr>
      <w:bookmarkStart w:id="57" w:name="_Toc403122502"/>
      <w:bookmarkStart w:id="58" w:name="_Toc274249585"/>
      <w:bookmarkStart w:id="59" w:name="_Toc279599781"/>
      <w:bookmarkStart w:id="60" w:name="_Toc426369490"/>
      <w:r>
        <w:rPr>
          <w:rFonts w:hint="eastAsia" w:asciiTheme="minorEastAsia" w:hAnsiTheme="minorEastAsia" w:eastAsiaTheme="minorEastAsia" w:cstheme="minorEastAsia"/>
          <w:b/>
          <w:bCs/>
          <w:sz w:val="24"/>
        </w:rPr>
        <w:t>1.11 分包</w:t>
      </w:r>
      <w:bookmarkEnd w:id="57"/>
      <w:bookmarkEnd w:id="58"/>
      <w:bookmarkEnd w:id="59"/>
      <w:bookmarkEnd w:id="60"/>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本次招标项目不允许分包。 </w:t>
      </w:r>
    </w:p>
    <w:p>
      <w:pPr>
        <w:pStyle w:val="23"/>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61" w:name="_Toc9121"/>
      <w:bookmarkStart w:id="62" w:name="_Toc28663"/>
      <w:bookmarkStart w:id="63" w:name="_Toc5496"/>
      <w:r>
        <w:rPr>
          <w:rFonts w:hint="eastAsia" w:asciiTheme="minorEastAsia" w:hAnsiTheme="minorEastAsia" w:eastAsiaTheme="minorEastAsia" w:cstheme="minorEastAsia"/>
          <w:sz w:val="24"/>
          <w:szCs w:val="24"/>
        </w:rPr>
        <w:t>2. 招标文件</w:t>
      </w:r>
      <w:bookmarkEnd w:id="16"/>
      <w:bookmarkEnd w:id="17"/>
      <w:bookmarkEnd w:id="18"/>
      <w:bookmarkEnd w:id="61"/>
      <w:bookmarkEnd w:id="62"/>
      <w:bookmarkEnd w:id="63"/>
    </w:p>
    <w:p>
      <w:pPr>
        <w:spacing w:line="500" w:lineRule="exact"/>
        <w:ind w:firstLine="482" w:firstLineChars="200"/>
        <w:rPr>
          <w:rFonts w:asciiTheme="minorEastAsia" w:hAnsiTheme="minorEastAsia" w:eastAsiaTheme="minorEastAsia" w:cstheme="minorEastAsia"/>
          <w:b/>
          <w:bCs/>
          <w:sz w:val="24"/>
        </w:rPr>
      </w:pPr>
      <w:bookmarkStart w:id="64" w:name="_Toc279599783"/>
      <w:bookmarkStart w:id="65" w:name="_Toc403122504"/>
      <w:bookmarkStart w:id="66" w:name="_Toc274249587"/>
      <w:bookmarkStart w:id="67" w:name="_Toc426369492"/>
      <w:r>
        <w:rPr>
          <w:rFonts w:hint="eastAsia" w:asciiTheme="minorEastAsia" w:hAnsiTheme="minorEastAsia" w:eastAsiaTheme="minorEastAsia" w:cstheme="minorEastAsia"/>
          <w:b/>
          <w:bCs/>
          <w:sz w:val="24"/>
        </w:rPr>
        <w:t>2.1 招标文件的组成</w:t>
      </w:r>
      <w:bookmarkEnd w:id="64"/>
      <w:bookmarkEnd w:id="65"/>
      <w:bookmarkEnd w:id="66"/>
      <w:bookmarkEnd w:id="67"/>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本招标文件包括： </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招标公告；</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投标人须知； </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评标办法（综合评分法）； </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合同条款及格式； </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采购需求及参数； </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投标文件格式；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根据本章第 1.10 款、第 2.2 款和第2.3款对招标文件所作的澄清、修改，构成招标文件的组成部分。 </w:t>
      </w:r>
    </w:p>
    <w:p>
      <w:pPr>
        <w:spacing w:line="500" w:lineRule="exact"/>
        <w:ind w:firstLine="482" w:firstLineChars="200"/>
        <w:rPr>
          <w:rFonts w:asciiTheme="minorEastAsia" w:hAnsiTheme="minorEastAsia" w:eastAsiaTheme="minorEastAsia" w:cstheme="minorEastAsia"/>
          <w:b/>
          <w:bCs/>
          <w:sz w:val="24"/>
        </w:rPr>
      </w:pPr>
      <w:bookmarkStart w:id="68" w:name="_Toc279599784"/>
      <w:bookmarkStart w:id="69" w:name="_Toc403122505"/>
      <w:bookmarkStart w:id="70" w:name="_Toc274249588"/>
      <w:bookmarkStart w:id="71" w:name="_Toc426369493"/>
      <w:r>
        <w:rPr>
          <w:rFonts w:hint="eastAsia" w:asciiTheme="minorEastAsia" w:hAnsiTheme="minorEastAsia" w:eastAsiaTheme="minorEastAsia" w:cstheme="minorEastAsia"/>
          <w:b/>
          <w:bCs/>
          <w:sz w:val="24"/>
        </w:rPr>
        <w:t>2.2 招标文件的澄清</w:t>
      </w:r>
      <w:bookmarkEnd w:id="68"/>
      <w:bookmarkEnd w:id="69"/>
      <w:bookmarkEnd w:id="70"/>
      <w:bookmarkEnd w:id="71"/>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2.2.1 投标人应仔细阅读和检查招标文件的全部内容。如发现缺页或附件不全，应及时向采购人提出，以便补齐。如有疑问，应在投标人须知前附表规定的时间前以书面形式（包括信函、电报、传真等可以有形地表现所载内容的形式，下同），要求采购人对招标文件予以澄清。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2.2.2 招标文件的澄清将在投标人须知前附表规定的投标截止时间15天前以书面形式发给所有购买招标文件的投标人，但不指明澄清问题的来源。如果澄清发出的时间距投标截止时间不足 15 天，相应延长投标截止时间。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2.2.3 投标人在收到澄清后，应在投标人须知前附表规定的时间内以书面形式通知采购人，确认已收到该澄清。 </w:t>
      </w:r>
    </w:p>
    <w:p>
      <w:pPr>
        <w:spacing w:line="500" w:lineRule="exact"/>
        <w:ind w:firstLine="482" w:firstLineChars="200"/>
        <w:rPr>
          <w:rFonts w:asciiTheme="minorEastAsia" w:hAnsiTheme="minorEastAsia" w:eastAsiaTheme="minorEastAsia" w:cstheme="minorEastAsia"/>
          <w:b/>
          <w:bCs/>
          <w:sz w:val="24"/>
        </w:rPr>
      </w:pPr>
      <w:bookmarkStart w:id="72" w:name="_Toc274249589"/>
      <w:bookmarkStart w:id="73" w:name="_Toc426369494"/>
      <w:bookmarkStart w:id="74" w:name="_Toc403122506"/>
      <w:bookmarkStart w:id="75" w:name="_Toc279599785"/>
      <w:r>
        <w:rPr>
          <w:rFonts w:hint="eastAsia" w:asciiTheme="minorEastAsia" w:hAnsiTheme="minorEastAsia" w:eastAsiaTheme="minorEastAsia" w:cstheme="minorEastAsia"/>
          <w:b/>
          <w:bCs/>
          <w:sz w:val="24"/>
        </w:rPr>
        <w:t>2.3 招标文件的修改</w:t>
      </w:r>
      <w:bookmarkEnd w:id="72"/>
      <w:bookmarkEnd w:id="73"/>
      <w:bookmarkEnd w:id="74"/>
      <w:bookmarkEnd w:id="75"/>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2.3.1  在投标截止时间 15天前，采购人可以书面形式修改招标文件，并通知所有已购买招标文件的投标人。如果修改招标文件的时间距投标截止时间不足 15 天，相应延长投标截止时间。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2.3.2  投标人收到修改内容后，应在投标人须知前附表规定的时间内以书面形式通知采购人，确认已收到该修改。 </w:t>
      </w:r>
      <w:bookmarkStart w:id="76" w:name="_Toc426369495"/>
      <w:bookmarkStart w:id="77" w:name="_Toc403122507"/>
      <w:bookmarkStart w:id="78" w:name="_Toc23265"/>
    </w:p>
    <w:p>
      <w:pPr>
        <w:pStyle w:val="23"/>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79" w:name="_Toc13865"/>
      <w:bookmarkStart w:id="80" w:name="_Toc17990"/>
      <w:bookmarkStart w:id="81" w:name="_Toc22914"/>
      <w:r>
        <w:rPr>
          <w:rFonts w:hint="eastAsia" w:asciiTheme="minorEastAsia" w:hAnsiTheme="minorEastAsia" w:eastAsiaTheme="minorEastAsia" w:cstheme="minorEastAsia"/>
          <w:sz w:val="24"/>
          <w:szCs w:val="24"/>
        </w:rPr>
        <w:t>3. 投标文件</w:t>
      </w:r>
      <w:bookmarkEnd w:id="76"/>
      <w:bookmarkEnd w:id="77"/>
      <w:bookmarkEnd w:id="78"/>
      <w:bookmarkEnd w:id="79"/>
      <w:bookmarkEnd w:id="80"/>
      <w:bookmarkEnd w:id="81"/>
    </w:p>
    <w:p>
      <w:pPr>
        <w:spacing w:line="500" w:lineRule="exact"/>
        <w:ind w:firstLine="482" w:firstLineChars="200"/>
        <w:rPr>
          <w:rFonts w:asciiTheme="minorEastAsia" w:hAnsiTheme="minorEastAsia" w:eastAsiaTheme="minorEastAsia" w:cstheme="minorEastAsia"/>
          <w:b/>
          <w:bCs/>
          <w:sz w:val="24"/>
        </w:rPr>
      </w:pPr>
      <w:bookmarkStart w:id="82" w:name="_Toc403122508"/>
      <w:bookmarkStart w:id="83" w:name="_Toc274249591"/>
      <w:bookmarkStart w:id="84" w:name="_Toc279599787"/>
      <w:bookmarkStart w:id="85" w:name="_Toc426369496"/>
      <w:r>
        <w:rPr>
          <w:rFonts w:hint="eastAsia" w:asciiTheme="minorEastAsia" w:hAnsiTheme="minorEastAsia" w:eastAsiaTheme="minorEastAsia" w:cstheme="minorEastAsia"/>
          <w:b/>
          <w:bCs/>
          <w:sz w:val="24"/>
        </w:rPr>
        <w:t>3.1 投标文件的组成</w:t>
      </w:r>
      <w:bookmarkEnd w:id="82"/>
      <w:bookmarkEnd w:id="83"/>
      <w:bookmarkEnd w:id="84"/>
      <w:bookmarkEnd w:id="85"/>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3.1.1 投标文件应包括下列内容： </w:t>
      </w:r>
    </w:p>
    <w:p>
      <w:pPr>
        <w:spacing w:line="440" w:lineRule="exact"/>
        <w:ind w:firstLine="420" w:firstLineChars="200"/>
        <w:rPr>
          <w:rFonts w:ascii="宋体" w:hAnsi="宋体" w:cs="宋体"/>
          <w:szCs w:val="21"/>
        </w:rPr>
      </w:pPr>
      <w:bookmarkStart w:id="86" w:name="_Toc274249592"/>
      <w:bookmarkStart w:id="87" w:name="_Toc403122509"/>
      <w:bookmarkStart w:id="88" w:name="_Toc426369497"/>
      <w:bookmarkStart w:id="89" w:name="_Toc279599788"/>
      <w:r>
        <w:rPr>
          <w:rFonts w:hint="eastAsia" w:ascii="宋体" w:hAnsi="宋体" w:cs="宋体"/>
          <w:szCs w:val="21"/>
        </w:rPr>
        <w:t>一、投标函及开标一览表</w:t>
      </w:r>
    </w:p>
    <w:p>
      <w:pPr>
        <w:spacing w:line="440" w:lineRule="exact"/>
        <w:ind w:firstLine="420" w:firstLineChars="200"/>
        <w:rPr>
          <w:rFonts w:ascii="宋体" w:hAnsi="宋体" w:cs="宋体"/>
          <w:szCs w:val="21"/>
        </w:rPr>
      </w:pPr>
      <w:r>
        <w:rPr>
          <w:rFonts w:hint="eastAsia" w:ascii="宋体" w:hAnsi="宋体" w:cs="宋体"/>
          <w:szCs w:val="21"/>
        </w:rPr>
        <w:t>（一）投标函</w:t>
      </w:r>
    </w:p>
    <w:p>
      <w:pPr>
        <w:spacing w:line="440" w:lineRule="exact"/>
        <w:ind w:firstLine="420" w:firstLineChars="200"/>
        <w:rPr>
          <w:rFonts w:ascii="宋体" w:hAnsi="宋体" w:cs="宋体"/>
          <w:szCs w:val="21"/>
        </w:rPr>
      </w:pPr>
      <w:r>
        <w:rPr>
          <w:rFonts w:hint="eastAsia" w:ascii="宋体" w:hAnsi="宋体" w:cs="宋体"/>
          <w:szCs w:val="21"/>
        </w:rPr>
        <w:t>（二）开标一览表</w:t>
      </w:r>
    </w:p>
    <w:p>
      <w:pPr>
        <w:spacing w:line="440" w:lineRule="exact"/>
        <w:ind w:firstLine="420" w:firstLineChars="200"/>
        <w:rPr>
          <w:rFonts w:ascii="宋体" w:hAnsi="宋体" w:cs="宋体"/>
          <w:szCs w:val="21"/>
        </w:rPr>
      </w:pPr>
      <w:r>
        <w:rPr>
          <w:rFonts w:hint="eastAsia" w:ascii="宋体" w:hAnsi="宋体" w:cs="宋体"/>
          <w:szCs w:val="21"/>
        </w:rPr>
        <w:t>二、法定代表人身份证明书</w:t>
      </w:r>
    </w:p>
    <w:p>
      <w:pPr>
        <w:spacing w:line="440" w:lineRule="exact"/>
        <w:ind w:firstLine="420" w:firstLineChars="200"/>
        <w:rPr>
          <w:rFonts w:ascii="宋体" w:hAnsi="宋体" w:cs="宋体"/>
          <w:szCs w:val="21"/>
        </w:rPr>
      </w:pPr>
      <w:r>
        <w:rPr>
          <w:rFonts w:hint="eastAsia" w:ascii="宋体" w:hAnsi="宋体" w:cs="宋体"/>
          <w:szCs w:val="21"/>
        </w:rPr>
        <w:t>三、授权委托书</w:t>
      </w:r>
    </w:p>
    <w:p>
      <w:pPr>
        <w:spacing w:line="440" w:lineRule="exact"/>
        <w:ind w:firstLine="420" w:firstLineChars="200"/>
        <w:rPr>
          <w:rFonts w:ascii="宋体" w:hAnsi="宋体" w:cs="宋体"/>
          <w:szCs w:val="21"/>
        </w:rPr>
      </w:pPr>
      <w:r>
        <w:rPr>
          <w:rFonts w:hint="eastAsia" w:ascii="宋体" w:hAnsi="宋体" w:cs="宋体"/>
          <w:szCs w:val="21"/>
        </w:rPr>
        <w:t>四、项目实施方案、措施等</w:t>
      </w:r>
    </w:p>
    <w:p>
      <w:pPr>
        <w:spacing w:line="440" w:lineRule="exact"/>
        <w:ind w:firstLine="420" w:firstLineChars="200"/>
        <w:rPr>
          <w:rFonts w:ascii="宋体" w:hAnsi="宋体" w:cs="宋体"/>
          <w:szCs w:val="21"/>
        </w:rPr>
      </w:pPr>
      <w:r>
        <w:rPr>
          <w:rFonts w:hint="eastAsia" w:ascii="宋体" w:hAnsi="宋体" w:cs="宋体"/>
          <w:szCs w:val="21"/>
        </w:rPr>
        <w:t>五、资格证明文件；</w:t>
      </w:r>
    </w:p>
    <w:p>
      <w:pPr>
        <w:pStyle w:val="2"/>
        <w:spacing w:line="440" w:lineRule="exact"/>
        <w:ind w:firstLineChars="200"/>
        <w:rPr>
          <w:rFonts w:hint="default" w:ascii="宋体" w:hAnsi="宋体" w:eastAsia="宋体" w:cs="宋体"/>
          <w:sz w:val="21"/>
          <w:szCs w:val="21"/>
        </w:rPr>
      </w:pPr>
      <w:r>
        <w:rPr>
          <w:rFonts w:ascii="宋体" w:hAnsi="宋体" w:eastAsia="宋体" w:cs="宋体"/>
          <w:sz w:val="21"/>
          <w:szCs w:val="21"/>
        </w:rPr>
        <w:t>六、投标人服务承诺和优惠承诺</w:t>
      </w:r>
    </w:p>
    <w:p>
      <w:pPr>
        <w:spacing w:line="440" w:lineRule="exact"/>
        <w:ind w:firstLine="420" w:firstLineChars="200"/>
        <w:rPr>
          <w:rFonts w:ascii="宋体" w:hAnsi="宋体" w:cs="宋体"/>
          <w:szCs w:val="21"/>
        </w:rPr>
      </w:pPr>
      <w:r>
        <w:rPr>
          <w:rFonts w:hint="eastAsia" w:ascii="宋体" w:hAnsi="宋体" w:cs="宋体"/>
          <w:szCs w:val="21"/>
        </w:rPr>
        <w:t>七、中小企业声明函（如为中小企业）；</w:t>
      </w:r>
    </w:p>
    <w:p>
      <w:pPr>
        <w:spacing w:line="440" w:lineRule="exact"/>
        <w:ind w:firstLine="420" w:firstLineChars="200"/>
        <w:rPr>
          <w:rFonts w:ascii="宋体" w:hAnsi="宋体" w:cs="宋体"/>
          <w:szCs w:val="21"/>
        </w:rPr>
      </w:pPr>
      <w:r>
        <w:rPr>
          <w:rFonts w:hint="eastAsia" w:ascii="宋体" w:hAnsi="宋体" w:cs="宋体"/>
          <w:szCs w:val="21"/>
        </w:rPr>
        <w:t>八、残疾人福利性单位声明函（如有）；</w:t>
      </w:r>
    </w:p>
    <w:p>
      <w:pPr>
        <w:spacing w:line="440" w:lineRule="exact"/>
        <w:ind w:firstLine="420" w:firstLineChars="200"/>
        <w:rPr>
          <w:rFonts w:ascii="宋体" w:hAnsi="宋体" w:cs="宋体"/>
          <w:szCs w:val="21"/>
        </w:rPr>
      </w:pPr>
      <w:r>
        <w:rPr>
          <w:rFonts w:hint="eastAsia" w:ascii="宋体" w:hAnsi="宋体" w:cs="宋体"/>
          <w:szCs w:val="21"/>
        </w:rPr>
        <w:t>九、招标文件要求的或投标人认为需要加以说明的其他内容。</w:t>
      </w:r>
    </w:p>
    <w:p>
      <w:pPr>
        <w:spacing w:line="500" w:lineRule="exact"/>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3.2 投标报价</w:t>
      </w:r>
      <w:bookmarkEnd w:id="86"/>
      <w:bookmarkEnd w:id="87"/>
      <w:bookmarkEnd w:id="88"/>
      <w:bookmarkEnd w:id="89"/>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3.2.1投标报价包括：投标人的投标报价应包括所有服务工作以及由承包人承担的义务、责任和风险等全部费用。投标人所报的投标价在磋商有效期内是固定不变的，投标人不得以任何理由予以变更。</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3.2.2投标报价在中标后不得修改。</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3.2.3投标人只能提出一个不变价格，采购人不接受任何选择价。</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3.2.4投标人必须对招标范围内的所有服务投标。</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3.2.5全部报价均应以人民币为计量币种，并以人民币进行结算。</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3.2.6投标报价原则是各投标人依据自身实力、管理水平，结合企业所在地区的人工工资标准，在确保项目质量，确保项目成本的基础上，自主报价、自负盈亏。</w:t>
      </w:r>
    </w:p>
    <w:p>
      <w:pPr>
        <w:widowControl/>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3.2.7若投标函中的内容与投标一览表内容不一致时，以投标一览表内容为准。若投标一览表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500" w:lineRule="exact"/>
        <w:ind w:firstLine="482" w:firstLineChars="200"/>
        <w:rPr>
          <w:rFonts w:asciiTheme="minorEastAsia" w:hAnsiTheme="minorEastAsia" w:eastAsiaTheme="minorEastAsia" w:cstheme="minorEastAsia"/>
          <w:b/>
          <w:bCs/>
          <w:sz w:val="24"/>
        </w:rPr>
      </w:pPr>
      <w:bookmarkStart w:id="90" w:name="_Toc279599789"/>
      <w:bookmarkStart w:id="91" w:name="_Toc274249593"/>
      <w:bookmarkStart w:id="92" w:name="_Toc426369498"/>
      <w:bookmarkStart w:id="93" w:name="_Toc403122510"/>
      <w:r>
        <w:rPr>
          <w:rFonts w:hint="eastAsia" w:asciiTheme="minorEastAsia" w:hAnsiTheme="minorEastAsia" w:eastAsiaTheme="minorEastAsia" w:cstheme="minorEastAsia"/>
          <w:b/>
          <w:bCs/>
          <w:sz w:val="24"/>
        </w:rPr>
        <w:t>3.3 投标有效期</w:t>
      </w:r>
      <w:bookmarkEnd w:id="90"/>
      <w:bookmarkEnd w:id="91"/>
      <w:bookmarkEnd w:id="92"/>
      <w:bookmarkEnd w:id="93"/>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3.3.1在投标人须知前附表规定的投标有效期内，投标人不得要求撤销或修改其投标文件。 </w:t>
      </w:r>
    </w:p>
    <w:p>
      <w:pPr>
        <w:spacing w:line="500" w:lineRule="exact"/>
        <w:ind w:firstLine="482" w:firstLineChars="200"/>
        <w:rPr>
          <w:rFonts w:asciiTheme="minorEastAsia" w:hAnsiTheme="minorEastAsia" w:eastAsiaTheme="minorEastAsia" w:cstheme="minorEastAsia"/>
          <w:b/>
          <w:bCs/>
          <w:sz w:val="24"/>
        </w:rPr>
      </w:pPr>
      <w:bookmarkStart w:id="94" w:name="_Toc274249595"/>
      <w:bookmarkStart w:id="95" w:name="_Toc279599791"/>
      <w:bookmarkStart w:id="96" w:name="_Toc426369501"/>
      <w:bookmarkStart w:id="97" w:name="_Toc403122512"/>
      <w:r>
        <w:rPr>
          <w:rFonts w:hint="eastAsia" w:asciiTheme="minorEastAsia" w:hAnsiTheme="minorEastAsia" w:eastAsiaTheme="minorEastAsia" w:cstheme="minorEastAsia"/>
          <w:b/>
          <w:bCs/>
          <w:sz w:val="24"/>
        </w:rPr>
        <w:t>3.5 资格审查资料</w:t>
      </w:r>
      <w:bookmarkEnd w:id="94"/>
      <w:bookmarkEnd w:id="95"/>
      <w:bookmarkEnd w:id="96"/>
      <w:bookmarkEnd w:id="97"/>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3.5.1</w:t>
      </w:r>
      <w:r>
        <w:rPr>
          <w:rFonts w:hint="eastAsia" w:ascii="宋体" w:hAnsi="宋体" w:cs="宋体"/>
          <w:kern w:val="0"/>
          <w:szCs w:val="21"/>
        </w:rPr>
        <w:t>依据“投标人须知前附表”中的要求提交相应的资格证明文件，作为投标文件的一部分，以证明其有资格进行投标和有能力履行合同</w:t>
      </w:r>
      <w:r>
        <w:rPr>
          <w:rFonts w:hint="eastAsia" w:asciiTheme="minorEastAsia" w:hAnsiTheme="minorEastAsia" w:eastAsiaTheme="minorEastAsia" w:cstheme="minorEastAsia"/>
          <w:szCs w:val="21"/>
        </w:rPr>
        <w:t xml:space="preserve">。 </w:t>
      </w:r>
    </w:p>
    <w:p>
      <w:pPr>
        <w:spacing w:line="420" w:lineRule="exact"/>
        <w:ind w:firstLine="420" w:firstLineChars="200"/>
        <w:rPr>
          <w:rFonts w:asciiTheme="minorEastAsia" w:hAnsiTheme="minorEastAsia" w:eastAsiaTheme="minorEastAsia" w:cstheme="minorEastAsia"/>
          <w:szCs w:val="21"/>
        </w:rPr>
      </w:pPr>
      <w:r>
        <w:rPr>
          <w:rFonts w:hint="eastAsia" w:ascii="宋体" w:hAnsi="宋体" w:cs="宋体"/>
          <w:szCs w:val="21"/>
        </w:rPr>
        <w:t>3.5.2招标文件规定的投标人资格条件。</w:t>
      </w:r>
    </w:p>
    <w:p>
      <w:pPr>
        <w:spacing w:line="500" w:lineRule="exact"/>
        <w:ind w:firstLine="482" w:firstLineChars="200"/>
        <w:rPr>
          <w:rFonts w:asciiTheme="minorEastAsia" w:hAnsiTheme="minorEastAsia" w:eastAsiaTheme="minorEastAsia" w:cstheme="minorEastAsia"/>
          <w:b/>
          <w:bCs/>
          <w:sz w:val="24"/>
        </w:rPr>
      </w:pPr>
      <w:bookmarkStart w:id="98" w:name="_Toc274249596"/>
      <w:bookmarkStart w:id="99" w:name="_Toc403122513"/>
      <w:bookmarkStart w:id="100" w:name="_Toc426369502"/>
      <w:bookmarkStart w:id="101" w:name="_Toc279599792"/>
      <w:r>
        <w:rPr>
          <w:rFonts w:hint="eastAsia" w:asciiTheme="minorEastAsia" w:hAnsiTheme="minorEastAsia" w:eastAsiaTheme="minorEastAsia" w:cstheme="minorEastAsia"/>
          <w:b/>
          <w:bCs/>
          <w:sz w:val="24"/>
        </w:rPr>
        <w:t>3.6 备选投标方案</w:t>
      </w:r>
      <w:bookmarkEnd w:id="98"/>
      <w:bookmarkEnd w:id="99"/>
      <w:bookmarkEnd w:id="100"/>
      <w:bookmarkEnd w:id="101"/>
    </w:p>
    <w:p>
      <w:pPr>
        <w:tabs>
          <w:tab w:val="left" w:pos="3570"/>
        </w:tabs>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投标人不得递交备选投标方案。 </w:t>
      </w:r>
    </w:p>
    <w:p>
      <w:pPr>
        <w:spacing w:line="500" w:lineRule="exact"/>
        <w:ind w:firstLine="482" w:firstLineChars="200"/>
        <w:rPr>
          <w:rFonts w:asciiTheme="minorEastAsia" w:hAnsiTheme="minorEastAsia" w:eastAsiaTheme="minorEastAsia" w:cstheme="minorEastAsia"/>
          <w:b/>
          <w:bCs/>
          <w:sz w:val="24"/>
        </w:rPr>
      </w:pPr>
      <w:bookmarkStart w:id="102" w:name="_Toc274249597"/>
      <w:bookmarkStart w:id="103" w:name="_Toc403122514"/>
      <w:bookmarkStart w:id="104" w:name="_Toc279599793"/>
      <w:bookmarkStart w:id="105" w:name="_Toc426369503"/>
      <w:r>
        <w:rPr>
          <w:rFonts w:hint="eastAsia" w:asciiTheme="minorEastAsia" w:hAnsiTheme="minorEastAsia" w:eastAsiaTheme="minorEastAsia" w:cstheme="minorEastAsia"/>
          <w:b/>
          <w:bCs/>
          <w:sz w:val="24"/>
        </w:rPr>
        <w:t>3.7 投标文件的编制</w:t>
      </w:r>
      <w:bookmarkEnd w:id="102"/>
      <w:bookmarkEnd w:id="103"/>
      <w:bookmarkEnd w:id="104"/>
      <w:bookmarkEnd w:id="105"/>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3.7.1 投标文件应按招标文件中要求</w:t>
      </w:r>
      <w:r>
        <w:rPr>
          <w:rFonts w:hint="eastAsia" w:ascii="宋体" w:hAnsi="宋体" w:cs="宋体"/>
          <w:kern w:val="0"/>
          <w:szCs w:val="21"/>
        </w:rPr>
        <w:t>使用焦作市公共资源交易系统投标文件制作专用工具软件编制</w:t>
      </w:r>
      <w:r>
        <w:rPr>
          <w:rFonts w:hint="eastAsia" w:asciiTheme="minorEastAsia" w:hAnsiTheme="minorEastAsia" w:eastAsiaTheme="minorEastAsia" w:cstheme="minorEastAsia"/>
          <w:szCs w:val="21"/>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3.7.2  投标文件应当对招标文件有关服务期、投标有效期、质量要求、采购要求及服务内容、等实质性内容作出响应。</w:t>
      </w:r>
    </w:p>
    <w:p>
      <w:pPr>
        <w:autoSpaceDE w:val="0"/>
        <w:autoSpaceDN w:val="0"/>
        <w:adjustRightInd w:val="0"/>
        <w:spacing w:line="44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3.7.3 </w:t>
      </w:r>
      <w:r>
        <w:rPr>
          <w:rFonts w:hint="eastAsia" w:ascii="宋体" w:hAnsi="宋体" w:cs="宋体"/>
          <w:kern w:val="0"/>
          <w:szCs w:val="21"/>
        </w:rPr>
        <w:t>本项目采用电子开评标方式，潜在投标人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w:t>
      </w:r>
    </w:p>
    <w:p>
      <w:pPr>
        <w:pStyle w:val="23"/>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106" w:name="_Toc403122515"/>
      <w:bookmarkStart w:id="107" w:name="_Toc26998"/>
      <w:bookmarkStart w:id="108" w:name="_Toc30100"/>
      <w:bookmarkStart w:id="109" w:name="_Toc31809"/>
      <w:bookmarkStart w:id="110" w:name="_Toc426369504"/>
      <w:bookmarkStart w:id="111" w:name="_Toc15900"/>
      <w:r>
        <w:rPr>
          <w:rFonts w:hint="eastAsia" w:asciiTheme="minorEastAsia" w:hAnsiTheme="minorEastAsia" w:eastAsiaTheme="minorEastAsia" w:cstheme="minorEastAsia"/>
          <w:sz w:val="24"/>
          <w:szCs w:val="24"/>
        </w:rPr>
        <w:t>4. 投标</w:t>
      </w:r>
      <w:bookmarkEnd w:id="106"/>
      <w:bookmarkEnd w:id="107"/>
      <w:bookmarkEnd w:id="108"/>
      <w:bookmarkEnd w:id="109"/>
      <w:bookmarkEnd w:id="110"/>
      <w:bookmarkEnd w:id="111"/>
    </w:p>
    <w:p>
      <w:pPr>
        <w:spacing w:line="500" w:lineRule="exact"/>
        <w:ind w:firstLine="482" w:firstLineChars="200"/>
        <w:rPr>
          <w:rFonts w:asciiTheme="minorEastAsia" w:hAnsiTheme="minorEastAsia" w:eastAsiaTheme="minorEastAsia" w:cstheme="minorEastAsia"/>
          <w:b/>
          <w:bCs/>
          <w:sz w:val="24"/>
        </w:rPr>
      </w:pPr>
      <w:bookmarkStart w:id="112" w:name="_Toc279599795"/>
      <w:bookmarkStart w:id="113" w:name="_Toc274249599"/>
      <w:bookmarkStart w:id="114" w:name="_Toc403122516"/>
      <w:bookmarkStart w:id="115" w:name="_Toc426369505"/>
      <w:r>
        <w:rPr>
          <w:rFonts w:hint="eastAsia" w:asciiTheme="minorEastAsia" w:hAnsiTheme="minorEastAsia" w:eastAsiaTheme="minorEastAsia" w:cstheme="minorEastAsia"/>
          <w:b/>
          <w:bCs/>
          <w:sz w:val="24"/>
        </w:rPr>
        <w:t>4.1 投标文件的密封和标记</w:t>
      </w:r>
      <w:bookmarkEnd w:id="112"/>
      <w:bookmarkEnd w:id="113"/>
      <w:bookmarkEnd w:id="114"/>
      <w:bookmarkEnd w:id="115"/>
    </w:p>
    <w:p>
      <w:pPr>
        <w:autoSpaceDE w:val="0"/>
        <w:autoSpaceDN w:val="0"/>
        <w:adjustRightInd w:val="0"/>
        <w:spacing w:line="440" w:lineRule="exact"/>
        <w:ind w:firstLine="420" w:firstLineChars="200"/>
        <w:jc w:val="left"/>
        <w:rPr>
          <w:rFonts w:asciiTheme="minorEastAsia" w:hAnsiTheme="minorEastAsia" w:eastAsiaTheme="minorEastAsia" w:cstheme="minorEastAsia"/>
          <w:szCs w:val="21"/>
        </w:rPr>
      </w:pPr>
      <w:r>
        <w:rPr>
          <w:rFonts w:hint="eastAsia" w:ascii="宋体" w:hAnsi="宋体" w:cs="宋体"/>
          <w:kern w:val="0"/>
          <w:szCs w:val="21"/>
        </w:rPr>
        <w:t>4.1.1.本项目采用</w:t>
      </w:r>
      <w:r>
        <w:rPr>
          <w:rFonts w:hint="eastAsia" w:ascii="宋体" w:hAnsi="宋体" w:cs="宋体"/>
          <w:kern w:val="0"/>
          <w:szCs w:val="21"/>
          <w:lang w:val="zh-CN"/>
        </w:rPr>
        <w:t>网上上传的电子投标文件</w:t>
      </w:r>
      <w:r>
        <w:rPr>
          <w:rFonts w:hint="eastAsia" w:ascii="宋体" w:hAnsi="宋体" w:cs="宋体"/>
          <w:kern w:val="0"/>
          <w:szCs w:val="21"/>
        </w:rPr>
        <w:t>,</w:t>
      </w:r>
      <w:r>
        <w:rPr>
          <w:rFonts w:hint="eastAsia" w:ascii="宋体" w:hAnsi="宋体" w:cs="宋体"/>
          <w:kern w:val="0"/>
          <w:szCs w:val="21"/>
          <w:lang w:val="zh-CN"/>
        </w:rPr>
        <w:t>应使用数字证书认证并加密。</w:t>
      </w:r>
    </w:p>
    <w:p>
      <w:pPr>
        <w:spacing w:line="500" w:lineRule="exact"/>
        <w:ind w:firstLine="482" w:firstLineChars="200"/>
        <w:rPr>
          <w:rFonts w:asciiTheme="minorEastAsia" w:hAnsiTheme="minorEastAsia" w:eastAsiaTheme="minorEastAsia" w:cstheme="minorEastAsia"/>
          <w:b/>
          <w:bCs/>
          <w:sz w:val="24"/>
        </w:rPr>
      </w:pPr>
      <w:bookmarkStart w:id="116" w:name="_Toc279599796"/>
      <w:bookmarkStart w:id="117" w:name="_Toc274249600"/>
      <w:bookmarkStart w:id="118" w:name="_Toc426369506"/>
      <w:bookmarkStart w:id="119" w:name="_Toc403122517"/>
      <w:r>
        <w:rPr>
          <w:rFonts w:hint="eastAsia" w:asciiTheme="minorEastAsia" w:hAnsiTheme="minorEastAsia" w:eastAsiaTheme="minorEastAsia" w:cstheme="minorEastAsia"/>
          <w:b/>
          <w:bCs/>
          <w:sz w:val="24"/>
        </w:rPr>
        <w:t>4.2 投标文件的递交</w:t>
      </w:r>
      <w:bookmarkEnd w:id="116"/>
      <w:bookmarkEnd w:id="117"/>
      <w:bookmarkEnd w:id="118"/>
      <w:bookmarkEnd w:id="119"/>
    </w:p>
    <w:p>
      <w:pPr>
        <w:autoSpaceDE w:val="0"/>
        <w:autoSpaceDN w:val="0"/>
        <w:adjustRightInd w:val="0"/>
        <w:spacing w:line="440" w:lineRule="exact"/>
        <w:ind w:firstLine="420" w:firstLineChars="200"/>
        <w:jc w:val="left"/>
        <w:rPr>
          <w:rFonts w:ascii="宋体" w:hAnsi="宋体" w:cs="宋体"/>
          <w:kern w:val="0"/>
          <w:szCs w:val="21"/>
          <w:lang w:val="zh-CN"/>
        </w:rPr>
      </w:pPr>
      <w:r>
        <w:rPr>
          <w:rFonts w:hint="eastAsia" w:ascii="宋体" w:hAnsi="宋体" w:cs="宋体"/>
          <w:kern w:val="0"/>
          <w:szCs w:val="21"/>
        </w:rPr>
        <w:t>4.2.1</w:t>
      </w:r>
      <w:r>
        <w:rPr>
          <w:rFonts w:hint="eastAsia" w:ascii="宋体" w:hAnsi="宋体" w:cs="宋体"/>
          <w:kern w:val="0"/>
          <w:szCs w:val="21"/>
          <w:lang w:val="zh-CN"/>
        </w:rPr>
        <w:t>所有投标文件必须在本招标文件中规定的投标截止时间之前</w:t>
      </w:r>
      <w:r>
        <w:rPr>
          <w:rFonts w:hint="eastAsia" w:ascii="宋体" w:hAnsi="宋体" w:cs="宋体"/>
          <w:kern w:val="0"/>
          <w:szCs w:val="21"/>
        </w:rPr>
        <w:t>提前上传，按要求</w:t>
      </w:r>
      <w:r>
        <w:rPr>
          <w:rFonts w:hint="eastAsia" w:ascii="宋体" w:hAnsi="宋体"/>
          <w:szCs w:val="21"/>
        </w:rPr>
        <w:t>解密文件等，解密时间为投标截止时后30分钟内，</w:t>
      </w:r>
      <w:r>
        <w:rPr>
          <w:rFonts w:hint="eastAsia" w:ascii="宋体" w:hAnsi="宋体" w:cs="宋体"/>
          <w:kern w:val="0"/>
          <w:szCs w:val="21"/>
        </w:rPr>
        <w:t>不能按时上传、解密者视为自动放弃投标。</w:t>
      </w:r>
    </w:p>
    <w:p>
      <w:pPr>
        <w:autoSpaceDE w:val="0"/>
        <w:autoSpaceDN w:val="0"/>
        <w:adjustRightInd w:val="0"/>
        <w:spacing w:line="440" w:lineRule="exact"/>
        <w:ind w:firstLine="420" w:firstLineChars="200"/>
        <w:jc w:val="left"/>
        <w:rPr>
          <w:rFonts w:ascii="宋体" w:hAnsi="宋体" w:cs="宋体"/>
          <w:kern w:val="0"/>
          <w:szCs w:val="21"/>
          <w:lang w:val="zh-CN"/>
        </w:rPr>
      </w:pPr>
      <w:r>
        <w:rPr>
          <w:rFonts w:hint="eastAsia" w:ascii="宋体" w:hAnsi="宋体" w:cs="宋体"/>
          <w:kern w:val="0"/>
          <w:szCs w:val="21"/>
        </w:rPr>
        <w:t>4.2.</w:t>
      </w:r>
      <w:r>
        <w:rPr>
          <w:rFonts w:hint="eastAsia" w:ascii="宋体" w:hAnsi="宋体" w:cs="宋体"/>
          <w:kern w:val="0"/>
          <w:szCs w:val="21"/>
          <w:lang w:val="zh-CN"/>
        </w:rPr>
        <w:t>2.采购人拒绝接收在投标文件递交截止时间后上传的投标文件。</w:t>
      </w:r>
      <w:bookmarkStart w:id="120" w:name="_Hlt26954862"/>
      <w:bookmarkEnd w:id="120"/>
      <w:bookmarkStart w:id="121" w:name="_Hlt26954754"/>
      <w:bookmarkEnd w:id="121"/>
    </w:p>
    <w:p>
      <w:pPr>
        <w:spacing w:line="500" w:lineRule="exact"/>
        <w:ind w:firstLine="482" w:firstLineChars="200"/>
        <w:rPr>
          <w:rFonts w:asciiTheme="minorEastAsia" w:hAnsiTheme="minorEastAsia" w:eastAsiaTheme="minorEastAsia" w:cstheme="minorEastAsia"/>
          <w:b/>
          <w:bCs/>
          <w:sz w:val="24"/>
        </w:rPr>
      </w:pPr>
      <w:bookmarkStart w:id="122" w:name="_Toc426369507"/>
      <w:bookmarkStart w:id="123" w:name="_Toc274249601"/>
      <w:bookmarkStart w:id="124" w:name="_Toc403122518"/>
      <w:bookmarkStart w:id="125" w:name="_Toc279599797"/>
      <w:r>
        <w:rPr>
          <w:rFonts w:hint="eastAsia" w:asciiTheme="minorEastAsia" w:hAnsiTheme="minorEastAsia" w:eastAsiaTheme="minorEastAsia" w:cstheme="minorEastAsia"/>
          <w:b/>
          <w:bCs/>
          <w:sz w:val="24"/>
        </w:rPr>
        <w:t>4.3 投标文件的修改与撤回</w:t>
      </w:r>
      <w:bookmarkEnd w:id="122"/>
      <w:bookmarkEnd w:id="123"/>
      <w:bookmarkEnd w:id="124"/>
      <w:bookmarkEnd w:id="125"/>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4.3.1  在本章第 2.2.2 项规定的投标截止时间前，投标人可以修改或撤回已递交的投标文件。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4.3.2  投标人修改或撤回已递交投标文件的书面通知应按照本章第 3.7.3 项的要求签字盖章。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4.3.3  修改的内容为投标文件的组成部分。修改的投标文件应按照本章第 3 条、第 4 条规定进行编制、密封、标记和递交，并标明“修改”字样。 </w:t>
      </w:r>
    </w:p>
    <w:p>
      <w:pPr>
        <w:pStyle w:val="23"/>
        <w:spacing w:before="120" w:after="120" w:line="500" w:lineRule="exact"/>
        <w:ind w:right="-1029" w:rightChars="-490" w:firstLine="482" w:firstLineChars="200"/>
        <w:jc w:val="left"/>
        <w:rPr>
          <w:rFonts w:asciiTheme="minorEastAsia" w:hAnsiTheme="minorEastAsia" w:eastAsiaTheme="minorEastAsia" w:cstheme="minorEastAsia"/>
          <w:sz w:val="24"/>
          <w:szCs w:val="24"/>
        </w:rPr>
      </w:pPr>
      <w:bookmarkStart w:id="126" w:name="_Toc19012"/>
      <w:bookmarkStart w:id="127" w:name="_Toc5457"/>
      <w:bookmarkStart w:id="128" w:name="_Toc18170"/>
      <w:bookmarkStart w:id="129" w:name="_Toc426369508"/>
      <w:bookmarkStart w:id="130" w:name="_Toc403122519"/>
      <w:bookmarkStart w:id="131" w:name="_Toc32449"/>
      <w:r>
        <w:rPr>
          <w:rFonts w:hint="eastAsia" w:asciiTheme="minorEastAsia" w:hAnsiTheme="minorEastAsia" w:eastAsiaTheme="minorEastAsia" w:cstheme="minorEastAsia"/>
          <w:sz w:val="24"/>
          <w:szCs w:val="24"/>
        </w:rPr>
        <w:t>5. 开标</w:t>
      </w:r>
      <w:bookmarkEnd w:id="126"/>
      <w:bookmarkEnd w:id="127"/>
      <w:bookmarkEnd w:id="128"/>
      <w:bookmarkEnd w:id="129"/>
      <w:bookmarkEnd w:id="130"/>
      <w:bookmarkEnd w:id="131"/>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 .1采购人在规定的投标截止时间（开标时间）和投标人须知前附表规定的地点公开开标。本项目采用“远程不见面”的开标方式,载明远程开标大厅网址（http://122.112.246.33/BidOpening/bidopeninghallaction/hall/login ）。投标人无需到现场参加开标会议，无需到达现场提交原件资料。投标人应当投标截止前，登录远程开标大厅，在线准时参加开标活动并进行文件解密、答疑澄清等。在规定时间内投标文件未解密的投标人，视为放弃投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所有投标文件必须在本招标文件中规定的投标截止时间之前提前上传投标文件，按要求解密投标文件，不能按时上传、解密者视为自动放弃投标。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5.1.2投标人不足3家的，不得开标。  </w:t>
      </w:r>
    </w:p>
    <w:p>
      <w:pPr>
        <w:spacing w:line="500" w:lineRule="exact"/>
        <w:ind w:firstLine="482" w:firstLineChars="200"/>
        <w:rPr>
          <w:rFonts w:asciiTheme="minorEastAsia" w:hAnsiTheme="minorEastAsia" w:eastAsiaTheme="minorEastAsia" w:cstheme="minorEastAsia"/>
          <w:b/>
          <w:bCs/>
          <w:sz w:val="24"/>
        </w:rPr>
      </w:pPr>
      <w:bookmarkStart w:id="132" w:name="_Toc426369509"/>
      <w:bookmarkStart w:id="133" w:name="_Toc274249603"/>
      <w:bookmarkStart w:id="134" w:name="_Toc403122520"/>
      <w:bookmarkStart w:id="135" w:name="_Toc279599799"/>
      <w:r>
        <w:rPr>
          <w:rFonts w:hint="eastAsia" w:asciiTheme="minorEastAsia" w:hAnsiTheme="minorEastAsia" w:eastAsiaTheme="minorEastAsia" w:cstheme="minorEastAsia"/>
          <w:b/>
          <w:bCs/>
          <w:sz w:val="24"/>
        </w:rPr>
        <w:t>5.2 开标时间和地点</w:t>
      </w:r>
      <w:bookmarkEnd w:id="132"/>
      <w:bookmarkEnd w:id="133"/>
      <w:bookmarkEnd w:id="134"/>
      <w:bookmarkEnd w:id="135"/>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采购人在本章第 2.2.2 项规定的投标截止时间（开标时间）和投标人须知前附表规定的地点公开开标。</w:t>
      </w:r>
    </w:p>
    <w:p>
      <w:pPr>
        <w:spacing w:line="500" w:lineRule="exact"/>
        <w:ind w:firstLine="482" w:firstLineChars="200"/>
        <w:rPr>
          <w:rFonts w:asciiTheme="minorEastAsia" w:hAnsiTheme="minorEastAsia" w:eastAsiaTheme="minorEastAsia" w:cstheme="minorEastAsia"/>
          <w:b/>
          <w:bCs/>
          <w:sz w:val="24"/>
        </w:rPr>
      </w:pPr>
      <w:bookmarkStart w:id="136" w:name="_Toc426369510"/>
      <w:bookmarkStart w:id="137" w:name="_Toc274249604"/>
      <w:bookmarkStart w:id="138" w:name="_Toc279599800"/>
      <w:bookmarkStart w:id="139" w:name="_Toc403122521"/>
      <w:r>
        <w:rPr>
          <w:rFonts w:hint="eastAsia" w:asciiTheme="minorEastAsia" w:hAnsiTheme="minorEastAsia" w:eastAsiaTheme="minorEastAsia" w:cstheme="minorEastAsia"/>
          <w:b/>
          <w:bCs/>
          <w:sz w:val="24"/>
        </w:rPr>
        <w:t>5.3开标程序</w:t>
      </w:r>
      <w:bookmarkEnd w:id="136"/>
      <w:bookmarkEnd w:id="137"/>
      <w:bookmarkEnd w:id="138"/>
      <w:bookmarkEnd w:id="139"/>
    </w:p>
    <w:p>
      <w:pPr>
        <w:spacing w:line="400" w:lineRule="exact"/>
        <w:ind w:firstLine="420" w:firstLineChars="200"/>
        <w:rPr>
          <w:rFonts w:asciiTheme="minorEastAsia" w:hAnsiTheme="minorEastAsia" w:eastAsiaTheme="minorEastAsia" w:cstheme="minorEastAsia"/>
          <w:szCs w:val="21"/>
          <w:lang w:val="zh-CN"/>
        </w:rPr>
      </w:pPr>
      <w:bookmarkStart w:id="140" w:name="_Toc426369511"/>
      <w:r>
        <w:rPr>
          <w:rFonts w:hint="eastAsia" w:asciiTheme="minorEastAsia" w:hAnsiTheme="minorEastAsia" w:eastAsiaTheme="minorEastAsia" w:cstheme="minorEastAsia"/>
          <w:szCs w:val="21"/>
        </w:rPr>
        <w:t>5.3</w:t>
      </w:r>
      <w:r>
        <w:rPr>
          <w:rFonts w:hint="eastAsia" w:asciiTheme="minorEastAsia" w:hAnsiTheme="minorEastAsia" w:eastAsiaTheme="minorEastAsia" w:cstheme="minorEastAsia"/>
          <w:szCs w:val="21"/>
          <w:lang w:val="zh-CN"/>
        </w:rPr>
        <w:t>.1本</w:t>
      </w:r>
      <w:r>
        <w:rPr>
          <w:rFonts w:hint="eastAsia" w:asciiTheme="minorEastAsia" w:hAnsiTheme="minorEastAsia" w:eastAsiaTheme="minorEastAsia" w:cstheme="minorEastAsia"/>
          <w:szCs w:val="21"/>
        </w:rPr>
        <w:t>项目</w:t>
      </w:r>
      <w:r>
        <w:rPr>
          <w:rFonts w:hint="eastAsia" w:asciiTheme="minorEastAsia" w:hAnsiTheme="minorEastAsia" w:eastAsiaTheme="minorEastAsia" w:cstheme="minorEastAsia"/>
          <w:szCs w:val="21"/>
          <w:lang w:val="zh-CN"/>
        </w:rPr>
        <w:t>采用电子开标。投标截止时间到达后，各投标人对电子投标文件进行解密。解密完成后各投标人的电子投标文件的实质性内容将自动显示在网页中。投标人在投标截止时间前未上传电子投标文件的将被视为放弃投标。</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主持人按下列程序进行开标：</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(l）宣布投标截止时间已到，不再接收投标文件；</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zh-CN"/>
        </w:rPr>
        <w:t>）宣布开标人、唱标人、记录人、监标人等有关人员姓名；</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）电子投标文件解密；</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lang w:val="zh-CN"/>
        </w:rPr>
        <w:t>）宣布投标文件开标顺序，电子唱标并记录在案；</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）投标人代表、采购人、监标人等有关人员在开标记录上签字确认；</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val="zh-CN"/>
        </w:rPr>
        <w:t>）开标结束。</w:t>
      </w:r>
    </w:p>
    <w:p>
      <w:pPr>
        <w:spacing w:line="400" w:lineRule="exact"/>
        <w:ind w:firstLine="630" w:firstLineChars="3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5.3.</w:t>
      </w: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zh-CN"/>
        </w:rPr>
        <w:t>开标时出现下列情况的，采购人将拒绝其投标文件。</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（1）经检查数字证书无效的投标文件；</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（2）投标人未按投标人须知前附表规定的时间内解密投标文件的；</w:t>
      </w:r>
    </w:p>
    <w:p>
      <w:pPr>
        <w:spacing w:line="400" w:lineRule="exact"/>
        <w:ind w:firstLine="420" w:firstLineChars="200"/>
        <w:rPr>
          <w:rFonts w:asciiTheme="minorEastAsia" w:hAnsiTheme="minorEastAsia" w:eastAsiaTheme="minorEastAsia" w:cstheme="minorEastAsia"/>
          <w:szCs w:val="21"/>
          <w:lang w:val="zh-CN"/>
        </w:rPr>
      </w:pPr>
    </w:p>
    <w:p>
      <w:pPr>
        <w:spacing w:line="400" w:lineRule="exact"/>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5.4开标异议</w:t>
      </w:r>
      <w:bookmarkEnd w:id="140"/>
    </w:p>
    <w:p>
      <w:pPr>
        <w:spacing w:line="400" w:lineRule="exact"/>
        <w:ind w:firstLine="420" w:firstLineChars="200"/>
        <w:rPr>
          <w:rFonts w:asciiTheme="minorEastAsia" w:hAnsiTheme="minorEastAsia" w:eastAsiaTheme="minorEastAsia" w:cstheme="minorEastAsia"/>
          <w:szCs w:val="21"/>
          <w:lang w:val="zh-CN"/>
        </w:rPr>
      </w:pPr>
      <w:bookmarkStart w:id="141" w:name="_Toc403122522"/>
      <w:bookmarkStart w:id="142" w:name="_Toc426369512"/>
      <w:bookmarkStart w:id="143" w:name="_Toc12881"/>
      <w:bookmarkStart w:id="144" w:name="_Toc21662"/>
      <w:r>
        <w:rPr>
          <w:rFonts w:hint="eastAsia" w:asciiTheme="minorEastAsia" w:hAnsiTheme="minorEastAsia" w:eastAsiaTheme="minorEastAsia" w:cstheme="minorEastAsia"/>
          <w:szCs w:val="21"/>
        </w:rPr>
        <w:t>5.4.1</w:t>
      </w:r>
      <w:r>
        <w:rPr>
          <w:rFonts w:hint="eastAsia" w:asciiTheme="minorEastAsia" w:hAnsiTheme="minorEastAsia" w:eastAsiaTheme="minorEastAsia" w:cstheme="minorEastAsia"/>
          <w:szCs w:val="21"/>
          <w:lang w:val="zh-CN"/>
        </w:rPr>
        <w:t>投标人对开标有异议的，应当在开标现场提出（</w:t>
      </w:r>
      <w:bookmarkStart w:id="145" w:name="_Toc12998"/>
      <w:r>
        <w:rPr>
          <w:rFonts w:hint="eastAsia" w:asciiTheme="minorEastAsia" w:hAnsiTheme="minorEastAsia" w:eastAsiaTheme="minorEastAsia" w:cstheme="minorEastAsia"/>
          <w:szCs w:val="21"/>
          <w:lang w:val="zh-CN"/>
        </w:rPr>
        <w:t>语音异议</w:t>
      </w:r>
      <w:bookmarkEnd w:id="145"/>
      <w:r>
        <w:rPr>
          <w:rFonts w:hint="eastAsia" w:asciiTheme="minorEastAsia" w:hAnsiTheme="minorEastAsia" w:eastAsiaTheme="minorEastAsia" w:cstheme="minorEastAsia"/>
          <w:szCs w:val="21"/>
          <w:lang w:val="zh-CN"/>
        </w:rPr>
        <w:t>、</w:t>
      </w:r>
      <w:bookmarkStart w:id="146" w:name="_Toc20745"/>
      <w:r>
        <w:rPr>
          <w:rFonts w:hint="eastAsia" w:asciiTheme="minorEastAsia" w:hAnsiTheme="minorEastAsia" w:eastAsiaTheme="minorEastAsia" w:cstheme="minorEastAsia"/>
          <w:szCs w:val="21"/>
          <w:lang w:val="zh-CN"/>
        </w:rPr>
        <w:t>文字异议</w:t>
      </w:r>
      <w:bookmarkEnd w:id="146"/>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采购人</w:t>
      </w:r>
      <w:r>
        <w:rPr>
          <w:rFonts w:hint="eastAsia" w:asciiTheme="minorEastAsia" w:hAnsiTheme="minorEastAsia" w:eastAsiaTheme="minorEastAsia" w:cstheme="minorEastAsia"/>
          <w:szCs w:val="21"/>
          <w:lang w:val="zh-CN"/>
        </w:rPr>
        <w:t>当场作出答复，并制作记录。</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5.4.2</w:t>
      </w:r>
      <w:r>
        <w:rPr>
          <w:rFonts w:hint="eastAsia" w:asciiTheme="minorEastAsia" w:hAnsiTheme="minorEastAsia" w:eastAsiaTheme="minorEastAsia" w:cstheme="minorEastAsia"/>
          <w:szCs w:val="21"/>
          <w:lang w:val="zh-CN"/>
        </w:rPr>
        <w:t>开标异常处理</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当出现以下情况时，应对未开标的项目中止电子开标，对原有资料及信息作出妥善保密处理，并在恢复正常后及时安排时间开标：</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(l）系统服务器发生故障，无法访问或无法使用系统；</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 xml:space="preserve">(2） </w:t>
      </w:r>
      <w:r>
        <w:rPr>
          <w:rFonts w:hint="eastAsia" w:asciiTheme="minorEastAsia" w:hAnsiTheme="minorEastAsia" w:eastAsiaTheme="minorEastAsia" w:cstheme="minorEastAsia"/>
          <w:szCs w:val="21"/>
          <w:lang w:val="zh-CN"/>
        </w:rPr>
        <w:t>系统的软件或数据库出现错误，不能进行正常操作；</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）系统发现有安全漏洞，有潜在的泄密危险；</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lang w:val="zh-CN"/>
        </w:rPr>
        <w:t>）出现断电事故且短时间内无法恢复供电；</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 xml:space="preserve">（5） </w:t>
      </w:r>
      <w:r>
        <w:rPr>
          <w:rFonts w:hint="eastAsia" w:asciiTheme="minorEastAsia" w:hAnsiTheme="minorEastAsia" w:eastAsiaTheme="minorEastAsia" w:cstheme="minorEastAsia"/>
          <w:szCs w:val="21"/>
          <w:lang w:val="zh-CN"/>
        </w:rPr>
        <w:t>其他无法保证招投标过程正常进行的情形；</w:t>
      </w:r>
    </w:p>
    <w:p>
      <w:pPr>
        <w:spacing w:line="400" w:lineRule="exact"/>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w:t>
      </w:r>
      <w:bookmarkStart w:id="147" w:name="_Toc13445"/>
      <w:bookmarkStart w:id="148" w:name="_Toc9927"/>
      <w:r>
        <w:rPr>
          <w:rFonts w:hint="eastAsia" w:asciiTheme="minorEastAsia" w:hAnsiTheme="minorEastAsia" w:eastAsiaTheme="minorEastAsia" w:cstheme="minorEastAsia"/>
          <w:b/>
          <w:bCs/>
          <w:szCs w:val="21"/>
        </w:rPr>
        <w:t>5.资格审查工作</w:t>
      </w:r>
      <w:bookmarkEnd w:id="147"/>
      <w:bookmarkEnd w:id="148"/>
    </w:p>
    <w:p>
      <w:pPr>
        <w:spacing w:line="400" w:lineRule="exact"/>
        <w:ind w:firstLine="420" w:firstLineChars="200"/>
        <w:rPr>
          <w:rFonts w:asciiTheme="minorEastAsia" w:hAnsiTheme="minorEastAsia" w:eastAsiaTheme="minorEastAsia" w:cstheme="minorEastAsia"/>
          <w:szCs w:val="21"/>
        </w:rPr>
      </w:pPr>
      <w:bookmarkStart w:id="149" w:name="_Toc22488"/>
      <w:bookmarkStart w:id="150" w:name="_Toc25275"/>
      <w:bookmarkStart w:id="151" w:name="_Toc18803"/>
      <w:bookmarkStart w:id="152" w:name="_Toc25448"/>
      <w:bookmarkStart w:id="153" w:name="_Toc15919"/>
      <w:bookmarkStart w:id="154" w:name="_Toc18888"/>
      <w:bookmarkStart w:id="155" w:name="_Toc18806"/>
      <w:r>
        <w:rPr>
          <w:rFonts w:hint="eastAsia" w:asciiTheme="minorEastAsia" w:hAnsiTheme="minorEastAsia" w:eastAsiaTheme="minorEastAsia" w:cstheme="minorEastAsia"/>
          <w:szCs w:val="21"/>
          <w:lang w:val="zh-CN"/>
        </w:rPr>
        <w:t>采购人或代理机构根据有关法律法规和招标文件的规定，对投标人的资格进行审查，审查每个投标人提交的资格证明材料是否齐全、完整、合法、有效。资格性审查通过不足3家的，将不再进行下一步评审。</w:t>
      </w:r>
      <w:bookmarkEnd w:id="149"/>
      <w:bookmarkEnd w:id="150"/>
      <w:bookmarkEnd w:id="151"/>
      <w:bookmarkEnd w:id="152"/>
      <w:bookmarkEnd w:id="153"/>
      <w:bookmarkEnd w:id="154"/>
      <w:bookmarkEnd w:id="155"/>
    </w:p>
    <w:p>
      <w:pPr>
        <w:pStyle w:val="23"/>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156" w:name="_Toc21373"/>
      <w:bookmarkStart w:id="157" w:name="_Toc6889"/>
      <w:r>
        <w:rPr>
          <w:rFonts w:hint="eastAsia" w:asciiTheme="minorEastAsia" w:hAnsiTheme="minorEastAsia" w:eastAsiaTheme="minorEastAsia" w:cstheme="minorEastAsia"/>
          <w:sz w:val="24"/>
          <w:szCs w:val="24"/>
        </w:rPr>
        <w:t>6. 评标</w:t>
      </w:r>
      <w:bookmarkEnd w:id="141"/>
      <w:bookmarkEnd w:id="142"/>
      <w:bookmarkEnd w:id="143"/>
      <w:bookmarkEnd w:id="144"/>
      <w:bookmarkEnd w:id="156"/>
      <w:bookmarkEnd w:id="157"/>
    </w:p>
    <w:p>
      <w:pPr>
        <w:spacing w:line="500" w:lineRule="exact"/>
        <w:ind w:firstLine="482" w:firstLineChars="200"/>
        <w:rPr>
          <w:rFonts w:asciiTheme="minorEastAsia" w:hAnsiTheme="minorEastAsia" w:eastAsiaTheme="minorEastAsia" w:cstheme="minorEastAsia"/>
          <w:b/>
          <w:bCs/>
          <w:sz w:val="24"/>
        </w:rPr>
      </w:pPr>
      <w:bookmarkStart w:id="158" w:name="_Toc426369513"/>
      <w:bookmarkStart w:id="159" w:name="_Toc274249606"/>
      <w:bookmarkStart w:id="160" w:name="_Toc403122523"/>
      <w:bookmarkStart w:id="161" w:name="_Toc279599802"/>
      <w:r>
        <w:rPr>
          <w:rFonts w:hint="eastAsia" w:asciiTheme="minorEastAsia" w:hAnsiTheme="minorEastAsia" w:eastAsiaTheme="minorEastAsia" w:cstheme="minorEastAsia"/>
          <w:b/>
          <w:bCs/>
          <w:sz w:val="24"/>
        </w:rPr>
        <w:t>6.1 评标委员会</w:t>
      </w:r>
      <w:bookmarkEnd w:id="158"/>
      <w:bookmarkEnd w:id="159"/>
      <w:bookmarkEnd w:id="160"/>
      <w:bookmarkEnd w:id="161"/>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6.1.1  评标由采购人依法组建的评标委员会负责。评标委员会由采购人代表和评审专家组成。评标委员会成员人数以及评审专家的确定方式见投标人须知前附表。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6.1.2  评标委员会成员有下列情形之一的，应当回避：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（1）采购人或投标人的主要负责人的近亲属；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（2）项目主管部门或者行政监督部门的人员；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（3）与投标人有经济利益关系，可能影响对投标公正评审的；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（4）曾因在招标、评标以及其他与招标投标有关活动中从事违法行为而受过行政处罚或刑事处罚的。 </w:t>
      </w:r>
    </w:p>
    <w:p>
      <w:pPr>
        <w:spacing w:line="500" w:lineRule="exact"/>
        <w:ind w:firstLine="482" w:firstLineChars="200"/>
        <w:rPr>
          <w:rFonts w:asciiTheme="minorEastAsia" w:hAnsiTheme="minorEastAsia" w:eastAsiaTheme="minorEastAsia" w:cstheme="minorEastAsia"/>
          <w:b/>
          <w:bCs/>
          <w:sz w:val="24"/>
        </w:rPr>
      </w:pPr>
      <w:bookmarkStart w:id="162" w:name="_Toc426369514"/>
      <w:bookmarkStart w:id="163" w:name="_Toc403122524"/>
      <w:bookmarkStart w:id="164" w:name="_Toc274249607"/>
      <w:bookmarkStart w:id="165" w:name="_Toc279599803"/>
      <w:r>
        <w:rPr>
          <w:rFonts w:hint="eastAsia" w:asciiTheme="minorEastAsia" w:hAnsiTheme="minorEastAsia" w:eastAsiaTheme="minorEastAsia" w:cstheme="minorEastAsia"/>
          <w:b/>
          <w:bCs/>
          <w:sz w:val="24"/>
        </w:rPr>
        <w:t>6.2 评标原则</w:t>
      </w:r>
      <w:bookmarkEnd w:id="162"/>
      <w:bookmarkEnd w:id="163"/>
      <w:bookmarkEnd w:id="164"/>
      <w:bookmarkEnd w:id="165"/>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评标活动遵循公平、公正、科学和择优的原则。 </w:t>
      </w:r>
    </w:p>
    <w:p>
      <w:pPr>
        <w:spacing w:line="400" w:lineRule="exact"/>
        <w:ind w:firstLine="482" w:firstLineChars="200"/>
        <w:rPr>
          <w:rFonts w:asciiTheme="minorEastAsia" w:hAnsiTheme="minorEastAsia" w:eastAsiaTheme="minorEastAsia" w:cstheme="minorEastAsia"/>
          <w:szCs w:val="21"/>
        </w:rPr>
      </w:pPr>
      <w:bookmarkStart w:id="166" w:name="_Toc279599804"/>
      <w:bookmarkStart w:id="167" w:name="_Toc274249608"/>
      <w:bookmarkStart w:id="168" w:name="_Toc426369515"/>
      <w:bookmarkStart w:id="169" w:name="_Toc403122525"/>
      <w:r>
        <w:rPr>
          <w:rFonts w:hint="eastAsia" w:asciiTheme="minorEastAsia" w:hAnsiTheme="minorEastAsia" w:eastAsiaTheme="minorEastAsia" w:cstheme="minorEastAsia"/>
          <w:b/>
          <w:bCs/>
          <w:sz w:val="24"/>
        </w:rPr>
        <w:t>6.3 评标</w:t>
      </w:r>
      <w:bookmarkEnd w:id="166"/>
      <w:bookmarkEnd w:id="167"/>
      <w:bookmarkEnd w:id="168"/>
      <w:bookmarkEnd w:id="169"/>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6.3.1在评审过程中，评标委员会发现投标人有下列情形之一的，视为投标人相互串通投标，按照无效投标处理并依据法律、法规追究其相关责任。具体表现形式如下：</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 同投标人的投标文件由同一单位或者个人编制；</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（2）不同投标人委托同一单位或者个人办理投标事宜；</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（3）不同投标人的投标文件载明的项目管理成员或者联系人员为同一人；</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（4）不同投标人的投标文件异常一致或者投标报价呈规律性差异；</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（5）不同投标人的投标文件相互混装；</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（6）有证据证明投标人与采购人、采购代理机构或者其他投标人串通的其他情形；</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6.3.2评标委员会应当按照招标文件中规定的评标方法和标准，对符合性审查合格的投标文件进行商务和技术评估，综合比较与评价。招标文件没有规定的评标方法、评审因素和标准，不作为评标依据。</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6.3.3评标时，评标委员会各成员应当独立对每个投标人的投标文件进行评价，并汇总每个投标人的得分。</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评标完成后，评标委员会应当向采购人提交书面评标报告和中标候选人名单。评标委员会推荐中标候选人的人数见投标人须知前附表。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6.3.3 评标委员会负责具体评标事务，并独立履行下列职责：</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（1）审查、评价投标文件是否符合招标文件的实质性要求；</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（2）要求投标人对投标文件有关事项作出澄清或者说明；</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（3）对投标文件进行比较和评价；</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（4）确定中标候选人名单；</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（5）向采购人、采购代理机构或者有关部门报告评标中发现的违法行为。</w:t>
      </w:r>
    </w:p>
    <w:p>
      <w:pPr>
        <w:autoSpaceDE w:val="0"/>
        <w:autoSpaceDN w:val="0"/>
        <w:adjustRightInd w:val="0"/>
        <w:spacing w:line="360" w:lineRule="auto"/>
        <w:ind w:left="237" w:right="-20"/>
        <w:jc w:val="left"/>
        <w:rPr>
          <w:rFonts w:ascii="宋体" w:hAnsi="宋体" w:cs="宋体"/>
          <w:b/>
          <w:bCs/>
          <w:spacing w:val="1"/>
          <w:kern w:val="0"/>
          <w:szCs w:val="21"/>
        </w:rPr>
      </w:pPr>
      <w:r>
        <w:rPr>
          <w:rFonts w:hint="eastAsia" w:ascii="宋体" w:hAnsi="宋体" w:cs="宋体"/>
          <w:b/>
          <w:bCs/>
          <w:spacing w:val="1"/>
          <w:kern w:val="0"/>
          <w:szCs w:val="21"/>
        </w:rPr>
        <w:t>6.4  废标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招标采购中，出现下列情形之一的，应予废标：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（1）符合专业条件的投标人或者对招标文件作实质响应的投标人不足三家的；</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（2）出现影响采购公正的违法、违规行为的；</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（3）投标人的报价均超过了采购预算，采购人不能支付的；</w:t>
      </w:r>
    </w:p>
    <w:p>
      <w:pPr>
        <w:spacing w:line="400" w:lineRule="exact"/>
        <w:ind w:firstLine="420" w:firstLineChars="200"/>
      </w:pPr>
      <w:r>
        <w:rPr>
          <w:rFonts w:hint="eastAsia" w:asciiTheme="minorEastAsia" w:hAnsiTheme="minorEastAsia" w:eastAsiaTheme="minorEastAsia" w:cstheme="minorEastAsia"/>
          <w:szCs w:val="21"/>
        </w:rPr>
        <w:t>（4）因重大变故，采购任务取消的。废标后，采购人应当将废标理由通知所有投标人。</w:t>
      </w:r>
    </w:p>
    <w:p>
      <w:pPr>
        <w:pStyle w:val="23"/>
        <w:spacing w:before="120" w:after="120" w:line="500" w:lineRule="exact"/>
        <w:ind w:right="-1029" w:rightChars="-490" w:firstLine="482" w:firstLineChars="200"/>
        <w:jc w:val="both"/>
      </w:pPr>
      <w:bookmarkStart w:id="170" w:name="_Toc403122526"/>
      <w:bookmarkStart w:id="171" w:name="_Toc17811"/>
      <w:bookmarkStart w:id="172" w:name="_Toc426369516"/>
      <w:bookmarkStart w:id="173" w:name="_Toc26569"/>
      <w:bookmarkStart w:id="174" w:name="_Toc22968"/>
      <w:bookmarkStart w:id="175" w:name="_Toc21680"/>
      <w:r>
        <w:rPr>
          <w:rFonts w:hint="eastAsia" w:asciiTheme="minorEastAsia" w:hAnsiTheme="minorEastAsia" w:eastAsiaTheme="minorEastAsia" w:cstheme="minorEastAsia"/>
          <w:sz w:val="24"/>
          <w:szCs w:val="24"/>
        </w:rPr>
        <w:t>7. 合同授予</w:t>
      </w:r>
      <w:bookmarkEnd w:id="170"/>
      <w:bookmarkEnd w:id="171"/>
      <w:bookmarkEnd w:id="172"/>
      <w:bookmarkEnd w:id="173"/>
      <w:bookmarkEnd w:id="174"/>
      <w:bookmarkEnd w:id="175"/>
    </w:p>
    <w:p>
      <w:pPr>
        <w:spacing w:line="500" w:lineRule="exact"/>
        <w:ind w:firstLine="482" w:firstLineChars="200"/>
        <w:rPr>
          <w:rFonts w:asciiTheme="minorEastAsia" w:hAnsiTheme="minorEastAsia" w:eastAsiaTheme="minorEastAsia" w:cstheme="minorEastAsia"/>
          <w:b/>
          <w:bCs/>
          <w:sz w:val="24"/>
        </w:rPr>
      </w:pPr>
      <w:bookmarkStart w:id="176" w:name="_Toc426369517"/>
      <w:bookmarkStart w:id="177" w:name="_Toc274249610"/>
      <w:bookmarkStart w:id="178" w:name="_Toc279599806"/>
      <w:bookmarkStart w:id="179" w:name="_Toc403122527"/>
      <w:r>
        <w:rPr>
          <w:rFonts w:hint="eastAsia" w:asciiTheme="minorEastAsia" w:hAnsiTheme="minorEastAsia" w:eastAsiaTheme="minorEastAsia" w:cstheme="minorEastAsia"/>
          <w:b/>
          <w:bCs/>
          <w:sz w:val="24"/>
        </w:rPr>
        <w:t>7.1 定标方式</w:t>
      </w:r>
      <w:bookmarkEnd w:id="176"/>
      <w:bookmarkEnd w:id="177"/>
      <w:bookmarkEnd w:id="178"/>
      <w:bookmarkEnd w:id="179"/>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7.1.1采购人依据评标委员会推荐的中标候选人确定中标人，评标委员会推荐中标人候选人的人数见投标人须知前附表。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7.1.2 中标或者成交投标人拒绝与采购人签订合同的，采购人可以按照评审报告推荐的中标或者成交候选人名单排序，确定下一候选人为中标或者成交投标人，也可以重新开展政府采购活动。</w:t>
      </w:r>
    </w:p>
    <w:p>
      <w:pPr>
        <w:spacing w:line="500" w:lineRule="exact"/>
        <w:ind w:firstLine="482" w:firstLineChars="200"/>
        <w:rPr>
          <w:rFonts w:asciiTheme="minorEastAsia" w:hAnsiTheme="minorEastAsia" w:eastAsiaTheme="minorEastAsia" w:cstheme="minorEastAsia"/>
          <w:b/>
          <w:bCs/>
          <w:sz w:val="24"/>
        </w:rPr>
      </w:pPr>
      <w:bookmarkStart w:id="180" w:name="_Toc426369518"/>
      <w:bookmarkStart w:id="181" w:name="_Toc279599807"/>
      <w:bookmarkStart w:id="182" w:name="_Toc274249611"/>
      <w:bookmarkStart w:id="183" w:name="_Toc403122528"/>
      <w:r>
        <w:rPr>
          <w:rFonts w:hint="eastAsia" w:asciiTheme="minorEastAsia" w:hAnsiTheme="minorEastAsia" w:eastAsiaTheme="minorEastAsia" w:cstheme="minorEastAsia"/>
          <w:b/>
          <w:bCs/>
          <w:sz w:val="24"/>
        </w:rPr>
        <w:t>7.2 中标通知</w:t>
      </w:r>
      <w:bookmarkEnd w:id="180"/>
      <w:bookmarkEnd w:id="181"/>
      <w:bookmarkEnd w:id="182"/>
      <w:bookmarkEnd w:id="183"/>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7.2.1 在本章第3.3款规定的投标有效期内，采购人以书面形式向中标人发出中标通知书，同时将中标结果通知未中标的投标人。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7.2.2中标人在领取中标通知书后应及时到相关部门办理中标后的备案手续。</w:t>
      </w:r>
    </w:p>
    <w:p>
      <w:pPr>
        <w:spacing w:line="500" w:lineRule="exact"/>
        <w:ind w:firstLine="482" w:firstLineChars="200"/>
        <w:rPr>
          <w:rFonts w:asciiTheme="minorEastAsia" w:hAnsiTheme="minorEastAsia" w:eastAsiaTheme="minorEastAsia" w:cstheme="minorEastAsia"/>
          <w:b/>
          <w:bCs/>
          <w:sz w:val="24"/>
        </w:rPr>
      </w:pPr>
      <w:bookmarkStart w:id="184" w:name="_Toc279599808"/>
      <w:bookmarkStart w:id="185" w:name="_Toc274249612"/>
      <w:bookmarkStart w:id="186" w:name="_Toc311550376"/>
      <w:bookmarkStart w:id="187" w:name="_Toc403122529"/>
      <w:bookmarkStart w:id="188" w:name="_Toc426369519"/>
      <w:r>
        <w:rPr>
          <w:rFonts w:hint="eastAsia" w:asciiTheme="minorEastAsia" w:hAnsiTheme="minorEastAsia" w:eastAsiaTheme="minorEastAsia" w:cstheme="minorEastAsia"/>
          <w:b/>
          <w:bCs/>
          <w:sz w:val="24"/>
        </w:rPr>
        <w:t>7.3履约</w:t>
      </w:r>
      <w:bookmarkEnd w:id="184"/>
      <w:bookmarkEnd w:id="185"/>
      <w:bookmarkEnd w:id="186"/>
      <w:r>
        <w:rPr>
          <w:rFonts w:hint="eastAsia" w:asciiTheme="minorEastAsia" w:hAnsiTheme="minorEastAsia" w:eastAsiaTheme="minorEastAsia" w:cstheme="minorEastAsia"/>
          <w:b/>
          <w:bCs/>
          <w:sz w:val="24"/>
        </w:rPr>
        <w:t>保证金</w:t>
      </w:r>
      <w:bookmarkEnd w:id="187"/>
      <w:bookmarkEnd w:id="188"/>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7.3.1履约保证金：无</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7.3.2投标保证金：无</w:t>
      </w:r>
    </w:p>
    <w:p>
      <w:pPr>
        <w:spacing w:line="500" w:lineRule="exact"/>
        <w:ind w:firstLine="482" w:firstLineChars="200"/>
        <w:rPr>
          <w:rFonts w:asciiTheme="minorEastAsia" w:hAnsiTheme="minorEastAsia" w:eastAsiaTheme="minorEastAsia" w:cstheme="minorEastAsia"/>
          <w:b/>
          <w:bCs/>
          <w:sz w:val="24"/>
        </w:rPr>
      </w:pPr>
      <w:bookmarkStart w:id="189" w:name="_Toc279599809"/>
      <w:bookmarkStart w:id="190" w:name="_Toc426369520"/>
      <w:bookmarkStart w:id="191" w:name="_Toc403122530"/>
      <w:bookmarkStart w:id="192" w:name="_Toc274249613"/>
      <w:r>
        <w:rPr>
          <w:rFonts w:hint="eastAsia" w:asciiTheme="minorEastAsia" w:hAnsiTheme="minorEastAsia" w:eastAsiaTheme="minorEastAsia" w:cstheme="minorEastAsia"/>
          <w:b/>
          <w:bCs/>
          <w:sz w:val="24"/>
        </w:rPr>
        <w:t>7.4 签订合同</w:t>
      </w:r>
      <w:bookmarkEnd w:id="189"/>
      <w:bookmarkEnd w:id="190"/>
      <w:bookmarkEnd w:id="191"/>
      <w:bookmarkEnd w:id="192"/>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7.4.1  中标人的投标报价为中标价，中标价即为合同价</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（当中标人的投标报价高于控制价的95%时，该中标人的中标价按控制价的95%执行）。</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7.4.2  发出中标通知书后，采购人无正当理由拒签合同的，给中标人造成损失的，还应当赔偿损失。</w:t>
      </w:r>
    </w:p>
    <w:p>
      <w:pPr>
        <w:pStyle w:val="23"/>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193" w:name="_Toc403122531"/>
      <w:bookmarkStart w:id="194" w:name="_Toc10541"/>
      <w:bookmarkStart w:id="195" w:name="_Toc426369521"/>
      <w:bookmarkStart w:id="196" w:name="_Toc18607"/>
      <w:bookmarkStart w:id="197" w:name="_Toc10417"/>
      <w:bookmarkStart w:id="198" w:name="_Toc30009"/>
      <w:r>
        <w:rPr>
          <w:rFonts w:hint="eastAsia" w:asciiTheme="minorEastAsia" w:hAnsiTheme="minorEastAsia" w:eastAsiaTheme="minorEastAsia" w:cstheme="minorEastAsia"/>
          <w:sz w:val="24"/>
          <w:szCs w:val="24"/>
        </w:rPr>
        <w:t>8. 重新招标</w:t>
      </w:r>
      <w:bookmarkEnd w:id="193"/>
      <w:bookmarkEnd w:id="194"/>
      <w:bookmarkEnd w:id="195"/>
      <w:bookmarkEnd w:id="196"/>
      <w:bookmarkEnd w:id="197"/>
      <w:bookmarkEnd w:id="198"/>
    </w:p>
    <w:p>
      <w:pPr>
        <w:spacing w:line="500" w:lineRule="exact"/>
        <w:ind w:firstLine="482" w:firstLineChars="200"/>
        <w:rPr>
          <w:rFonts w:asciiTheme="minorEastAsia" w:hAnsiTheme="minorEastAsia" w:eastAsiaTheme="minorEastAsia" w:cstheme="minorEastAsia"/>
          <w:b/>
          <w:bCs/>
          <w:sz w:val="24"/>
        </w:rPr>
      </w:pPr>
      <w:bookmarkStart w:id="199" w:name="_Toc403122532"/>
      <w:bookmarkStart w:id="200" w:name="_Toc274249615"/>
      <w:bookmarkStart w:id="201" w:name="_Toc426369522"/>
      <w:bookmarkStart w:id="202" w:name="_Toc279599811"/>
      <w:r>
        <w:rPr>
          <w:rFonts w:hint="eastAsia" w:asciiTheme="minorEastAsia" w:hAnsiTheme="minorEastAsia" w:eastAsiaTheme="minorEastAsia" w:cstheme="minorEastAsia"/>
          <w:b/>
          <w:bCs/>
          <w:sz w:val="24"/>
        </w:rPr>
        <w:t>8.1 重新招标</w:t>
      </w:r>
      <w:bookmarkEnd w:id="199"/>
      <w:bookmarkEnd w:id="200"/>
      <w:bookmarkEnd w:id="201"/>
      <w:bookmarkEnd w:id="202"/>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有下列情形之一的，采购人将重新招标：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（1）投标截止时间止，投标人少于3个的；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（2）经评标委员会评审后否决所有投标的。 </w:t>
      </w:r>
    </w:p>
    <w:p>
      <w:pPr>
        <w:pStyle w:val="23"/>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203" w:name="_Toc10372"/>
      <w:bookmarkStart w:id="204" w:name="_Toc403122533"/>
      <w:bookmarkStart w:id="205" w:name="_Toc3760"/>
      <w:bookmarkStart w:id="206" w:name="_Toc426369523"/>
      <w:bookmarkStart w:id="207" w:name="_Toc27398"/>
      <w:bookmarkStart w:id="208" w:name="_Toc23389"/>
      <w:r>
        <w:rPr>
          <w:rFonts w:hint="eastAsia" w:asciiTheme="minorEastAsia" w:hAnsiTheme="minorEastAsia" w:eastAsiaTheme="minorEastAsia" w:cstheme="minorEastAsia"/>
          <w:sz w:val="24"/>
          <w:szCs w:val="24"/>
        </w:rPr>
        <w:t>9. 纪律和监督</w:t>
      </w:r>
      <w:bookmarkEnd w:id="203"/>
      <w:bookmarkEnd w:id="204"/>
      <w:bookmarkEnd w:id="205"/>
      <w:bookmarkEnd w:id="206"/>
      <w:bookmarkEnd w:id="207"/>
      <w:bookmarkEnd w:id="208"/>
    </w:p>
    <w:p>
      <w:pPr>
        <w:spacing w:line="500" w:lineRule="exact"/>
        <w:ind w:firstLine="482" w:firstLineChars="200"/>
        <w:rPr>
          <w:rFonts w:asciiTheme="minorEastAsia" w:hAnsiTheme="minorEastAsia" w:eastAsiaTheme="minorEastAsia" w:cstheme="minorEastAsia"/>
          <w:b/>
          <w:bCs/>
          <w:sz w:val="24"/>
        </w:rPr>
      </w:pPr>
      <w:bookmarkStart w:id="209" w:name="_Toc279599814"/>
      <w:bookmarkStart w:id="210" w:name="_Toc274249618"/>
      <w:bookmarkStart w:id="211" w:name="_Toc426369524"/>
      <w:bookmarkStart w:id="212" w:name="_Toc403122534"/>
      <w:r>
        <w:rPr>
          <w:rFonts w:hint="eastAsia" w:asciiTheme="minorEastAsia" w:hAnsiTheme="minorEastAsia" w:eastAsiaTheme="minorEastAsia" w:cstheme="minorEastAsia"/>
          <w:b/>
          <w:bCs/>
          <w:sz w:val="24"/>
        </w:rPr>
        <w:t>9.1 对采购人的纪律要求</w:t>
      </w:r>
      <w:bookmarkEnd w:id="209"/>
      <w:bookmarkEnd w:id="210"/>
      <w:bookmarkEnd w:id="211"/>
      <w:bookmarkEnd w:id="212"/>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采购人不得泄漏招标投标活动中应当保密的情况和资料，不得与投标人串通损害国家利益、社会公共利益或者他人合法权益。 </w:t>
      </w:r>
    </w:p>
    <w:p>
      <w:pPr>
        <w:spacing w:line="500" w:lineRule="exact"/>
        <w:ind w:firstLine="482" w:firstLineChars="200"/>
        <w:rPr>
          <w:rFonts w:asciiTheme="minorEastAsia" w:hAnsiTheme="minorEastAsia" w:eastAsiaTheme="minorEastAsia" w:cstheme="minorEastAsia"/>
          <w:b/>
          <w:bCs/>
          <w:sz w:val="24"/>
        </w:rPr>
      </w:pPr>
      <w:bookmarkStart w:id="213" w:name="_Toc426369525"/>
      <w:bookmarkStart w:id="214" w:name="_Toc279599815"/>
      <w:bookmarkStart w:id="215" w:name="_Toc274249619"/>
      <w:bookmarkStart w:id="216" w:name="_Toc403122535"/>
      <w:r>
        <w:rPr>
          <w:rFonts w:hint="eastAsia" w:asciiTheme="minorEastAsia" w:hAnsiTheme="minorEastAsia" w:eastAsiaTheme="minorEastAsia" w:cstheme="minorEastAsia"/>
          <w:b/>
          <w:bCs/>
          <w:sz w:val="24"/>
        </w:rPr>
        <w:t>9.2 对投标人的纪律要求</w:t>
      </w:r>
      <w:bookmarkEnd w:id="213"/>
      <w:bookmarkEnd w:id="214"/>
      <w:bookmarkEnd w:id="215"/>
      <w:bookmarkEnd w:id="216"/>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投标人不得相互串通投标或者与采购人串通投标，不得向采购人或者评标委员会成员行贿谋取中标，不得以他人名义投标或者以其他方式弄虚作假骗取中标；投标人不得以任何方式干扰、影响评标工作。</w:t>
      </w:r>
    </w:p>
    <w:p>
      <w:pPr>
        <w:spacing w:line="500" w:lineRule="exact"/>
        <w:ind w:firstLine="482" w:firstLineChars="200"/>
        <w:rPr>
          <w:rFonts w:asciiTheme="minorEastAsia" w:hAnsiTheme="minorEastAsia" w:eastAsiaTheme="minorEastAsia" w:cstheme="minorEastAsia"/>
          <w:b/>
          <w:bCs/>
          <w:sz w:val="24"/>
        </w:rPr>
      </w:pPr>
      <w:bookmarkStart w:id="217" w:name="_Toc426369526"/>
      <w:bookmarkStart w:id="218" w:name="_Toc403122536"/>
      <w:bookmarkStart w:id="219" w:name="_Toc279599816"/>
      <w:bookmarkStart w:id="220" w:name="_Toc274249620"/>
      <w:r>
        <w:rPr>
          <w:rFonts w:hint="eastAsia" w:asciiTheme="minorEastAsia" w:hAnsiTheme="minorEastAsia" w:eastAsiaTheme="minorEastAsia" w:cstheme="minorEastAsia"/>
          <w:b/>
          <w:bCs/>
          <w:sz w:val="24"/>
        </w:rPr>
        <w:t>9.3 对评标委员会成员的纪律要求</w:t>
      </w:r>
      <w:bookmarkEnd w:id="217"/>
      <w:bookmarkEnd w:id="218"/>
      <w:bookmarkEnd w:id="219"/>
      <w:bookmarkEnd w:id="220"/>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spacing w:line="500" w:lineRule="exact"/>
        <w:ind w:firstLine="482" w:firstLineChars="200"/>
        <w:rPr>
          <w:rFonts w:asciiTheme="minorEastAsia" w:hAnsiTheme="minorEastAsia" w:eastAsiaTheme="minorEastAsia" w:cstheme="minorEastAsia"/>
          <w:b/>
          <w:bCs/>
          <w:sz w:val="24"/>
        </w:rPr>
      </w:pPr>
      <w:bookmarkStart w:id="221" w:name="_Toc279599817"/>
      <w:bookmarkStart w:id="222" w:name="_Toc274249621"/>
      <w:bookmarkStart w:id="223" w:name="_Toc426369527"/>
      <w:bookmarkStart w:id="224" w:name="_Toc403122537"/>
      <w:r>
        <w:rPr>
          <w:rFonts w:hint="eastAsia" w:asciiTheme="minorEastAsia" w:hAnsiTheme="minorEastAsia" w:eastAsiaTheme="minorEastAsia" w:cstheme="minorEastAsia"/>
          <w:b/>
          <w:bCs/>
          <w:sz w:val="24"/>
        </w:rPr>
        <w:t>9.4 对与评标活动有关的工作人员的纪律要求</w:t>
      </w:r>
      <w:bookmarkEnd w:id="221"/>
      <w:bookmarkEnd w:id="222"/>
      <w:bookmarkEnd w:id="223"/>
      <w:bookmarkEnd w:id="224"/>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spacing w:line="500" w:lineRule="exact"/>
        <w:ind w:firstLine="482" w:firstLineChars="200"/>
        <w:rPr>
          <w:rFonts w:asciiTheme="minorEastAsia" w:hAnsiTheme="minorEastAsia" w:eastAsiaTheme="minorEastAsia" w:cstheme="minorEastAsia"/>
          <w:b/>
          <w:bCs/>
          <w:sz w:val="24"/>
        </w:rPr>
      </w:pPr>
      <w:bookmarkStart w:id="225" w:name="_Toc403122538"/>
      <w:bookmarkStart w:id="226" w:name="_Toc426369528"/>
      <w:bookmarkStart w:id="227" w:name="_Toc274249622"/>
      <w:bookmarkStart w:id="228" w:name="_Toc279599818"/>
      <w:r>
        <w:rPr>
          <w:rFonts w:hint="eastAsia" w:asciiTheme="minorEastAsia" w:hAnsiTheme="minorEastAsia" w:eastAsiaTheme="minorEastAsia" w:cstheme="minorEastAsia"/>
          <w:b/>
          <w:bCs/>
          <w:sz w:val="24"/>
        </w:rPr>
        <w:t>9.5 投诉</w:t>
      </w:r>
      <w:bookmarkEnd w:id="225"/>
      <w:bookmarkEnd w:id="226"/>
      <w:bookmarkEnd w:id="227"/>
      <w:bookmarkEnd w:id="228"/>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投标人和其他利害关系人认为本次招标活动违反法律、法规和规章规定的，有权向有关行政监督部门投诉。 </w:t>
      </w:r>
    </w:p>
    <w:p>
      <w:pPr>
        <w:pStyle w:val="23"/>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229" w:name="_Toc25080"/>
      <w:bookmarkStart w:id="230" w:name="_Toc403122539"/>
      <w:bookmarkStart w:id="231" w:name="_Toc5888"/>
      <w:bookmarkStart w:id="232" w:name="_Toc426369529"/>
      <w:bookmarkStart w:id="233" w:name="_Toc10880"/>
      <w:bookmarkStart w:id="234" w:name="_Toc13281"/>
      <w:r>
        <w:rPr>
          <w:rFonts w:hint="eastAsia" w:asciiTheme="minorEastAsia" w:hAnsiTheme="minorEastAsia" w:eastAsiaTheme="minorEastAsia" w:cstheme="minorEastAsia"/>
          <w:sz w:val="24"/>
          <w:szCs w:val="24"/>
        </w:rPr>
        <w:t>10. 需要补充的其他内容</w:t>
      </w:r>
      <w:bookmarkEnd w:id="229"/>
      <w:bookmarkEnd w:id="230"/>
      <w:bookmarkEnd w:id="231"/>
      <w:bookmarkEnd w:id="232"/>
      <w:bookmarkEnd w:id="233"/>
      <w:bookmarkEnd w:id="234"/>
    </w:p>
    <w:p>
      <w:pPr>
        <w:autoSpaceDE w:val="0"/>
        <w:autoSpaceDN w:val="0"/>
        <w:adjustRightInd w:val="0"/>
        <w:spacing w:line="440" w:lineRule="exact"/>
        <w:ind w:firstLine="482" w:firstLineChars="200"/>
        <w:rPr>
          <w:rFonts w:ascii="宋体" w:hAnsi="宋体" w:cs="宋体"/>
          <w:kern w:val="0"/>
          <w:sz w:val="24"/>
        </w:rPr>
      </w:pPr>
      <w:r>
        <w:rPr>
          <w:rFonts w:hint="eastAsia" w:ascii="宋体" w:hAnsi="宋体" w:cs="宋体"/>
          <w:b/>
          <w:kern w:val="0"/>
          <w:sz w:val="24"/>
        </w:rPr>
        <w:t>10.1 费用承担</w:t>
      </w:r>
    </w:p>
    <w:p>
      <w:pPr>
        <w:autoSpaceDE w:val="0"/>
        <w:autoSpaceDN w:val="0"/>
        <w:adjustRightInd w:val="0"/>
        <w:spacing w:line="440" w:lineRule="exact"/>
        <w:ind w:left="17" w:leftChars="8" w:firstLine="420" w:firstLineChars="200"/>
        <w:jc w:val="left"/>
        <w:rPr>
          <w:rFonts w:ascii="宋体" w:hAnsi="宋体" w:cs="宋体"/>
          <w:szCs w:val="21"/>
        </w:rPr>
      </w:pPr>
      <w:r>
        <w:rPr>
          <w:rFonts w:hint="eastAsia" w:ascii="宋体" w:hAnsi="宋体" w:cs="宋体"/>
          <w:szCs w:val="21"/>
        </w:rPr>
        <w:t>（1）无论投标结果如何，投标人应自行承担所有参与投标的全部费用，采购人和采购代理机构在任何情况下均无义务和责任承担上述费用。</w:t>
      </w:r>
    </w:p>
    <w:p>
      <w:pPr>
        <w:autoSpaceDE w:val="0"/>
        <w:autoSpaceDN w:val="0"/>
        <w:adjustRightInd w:val="0"/>
        <w:spacing w:line="440" w:lineRule="exact"/>
        <w:ind w:firstLine="420"/>
        <w:jc w:val="left"/>
        <w:rPr>
          <w:rFonts w:ascii="宋体" w:hAnsi="宋体" w:cs="宋体"/>
          <w:szCs w:val="21"/>
        </w:rPr>
      </w:pPr>
      <w:r>
        <w:rPr>
          <w:rFonts w:hint="eastAsia" w:ascii="宋体" w:hAnsi="宋体" w:cs="宋体"/>
          <w:szCs w:val="21"/>
        </w:rPr>
        <w:t>（2）招标代理服务费由中标人支付。</w:t>
      </w:r>
    </w:p>
    <w:p>
      <w:pPr>
        <w:autoSpaceDE w:val="0"/>
        <w:autoSpaceDN w:val="0"/>
        <w:adjustRightInd w:val="0"/>
        <w:spacing w:line="500" w:lineRule="exact"/>
        <w:ind w:firstLine="420"/>
        <w:jc w:val="left"/>
        <w:rPr>
          <w:rFonts w:ascii="宋体" w:hAnsi="宋体" w:cs="宋体"/>
          <w:szCs w:val="21"/>
        </w:rPr>
      </w:pPr>
      <w:r>
        <w:rPr>
          <w:rFonts w:hint="eastAsia" w:ascii="宋体" w:hAnsi="宋体" w:cs="宋体"/>
          <w:szCs w:val="21"/>
        </w:rPr>
        <w:t>（3）投标人与采购人签订合同后，将合同报采购代理机构备案。</w:t>
      </w:r>
    </w:p>
    <w:p>
      <w:pPr>
        <w:pStyle w:val="37"/>
        <w:ind w:firstLine="482" w:firstLineChars="200"/>
        <w:rPr>
          <w:rFonts w:asciiTheme="minorEastAsia" w:hAnsiTheme="minorEastAsia" w:eastAsiaTheme="minorEastAsia" w:cstheme="minorEastAsia"/>
          <w:b/>
          <w:bCs/>
          <w:kern w:val="2"/>
          <w:sz w:val="24"/>
        </w:rPr>
      </w:pPr>
      <w:r>
        <w:rPr>
          <w:rFonts w:hint="eastAsia" w:asciiTheme="minorEastAsia" w:hAnsiTheme="minorEastAsia" w:eastAsiaTheme="minorEastAsia" w:cstheme="minorEastAsia"/>
          <w:b/>
          <w:bCs/>
          <w:kern w:val="2"/>
          <w:sz w:val="24"/>
        </w:rPr>
        <w:t>10.2本招标文件未尽事宜，按《中华人民共和国政府采购法》等法律法规的有关规定执行。</w:t>
      </w:r>
    </w:p>
    <w:p>
      <w:pPr>
        <w:pStyle w:val="3"/>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23"/>
        <w:numPr>
          <w:ilvl w:val="0"/>
          <w:numId w:val="6"/>
        </w:numPr>
        <w:spacing w:line="600" w:lineRule="exact"/>
        <w:ind w:right="-63" w:rightChars="-30"/>
        <w:rPr>
          <w:rFonts w:asciiTheme="minorEastAsia" w:hAnsiTheme="minorEastAsia" w:eastAsiaTheme="minorEastAsia" w:cstheme="minorEastAsia"/>
          <w:sz w:val="36"/>
          <w:szCs w:val="36"/>
        </w:rPr>
      </w:pPr>
      <w:bookmarkStart w:id="235" w:name="_Toc403122540"/>
      <w:bookmarkStart w:id="236" w:name="_Toc28433"/>
      <w:bookmarkStart w:id="237" w:name="_Toc426369530"/>
      <w:bookmarkStart w:id="238" w:name="_Toc2565"/>
      <w:r>
        <w:rPr>
          <w:rFonts w:hint="eastAsia" w:asciiTheme="minorEastAsia" w:hAnsiTheme="minorEastAsia" w:eastAsiaTheme="minorEastAsia" w:cstheme="minorEastAsia"/>
          <w:sz w:val="36"/>
          <w:szCs w:val="36"/>
        </w:rPr>
        <w:t>评标办法</w:t>
      </w:r>
      <w:bookmarkEnd w:id="235"/>
      <w:bookmarkEnd w:id="236"/>
      <w:bookmarkEnd w:id="237"/>
      <w:r>
        <w:rPr>
          <w:rFonts w:hint="eastAsia" w:asciiTheme="minorEastAsia" w:hAnsiTheme="minorEastAsia" w:eastAsiaTheme="minorEastAsia" w:cstheme="minorEastAsia"/>
          <w:sz w:val="36"/>
          <w:szCs w:val="36"/>
        </w:rPr>
        <w:t>（综合评分法）</w:t>
      </w:r>
      <w:bookmarkEnd w:id="238"/>
    </w:p>
    <w:p>
      <w:pPr>
        <w:pStyle w:val="38"/>
        <w:spacing w:line="540" w:lineRule="exact"/>
        <w:jc w:val="center"/>
        <w:outlineLvl w:val="2"/>
        <w:rPr>
          <w:rFonts w:asciiTheme="minorEastAsia" w:hAnsiTheme="minorEastAsia" w:eastAsiaTheme="minorEastAsia" w:cstheme="minorEastAsia"/>
          <w:b/>
          <w:bCs/>
          <w:sz w:val="28"/>
          <w:szCs w:val="28"/>
        </w:rPr>
      </w:pPr>
      <w:bookmarkStart w:id="239" w:name="_Toc29947"/>
      <w:bookmarkStart w:id="240" w:name="_Toc17859"/>
      <w:bookmarkStart w:id="241" w:name="_Toc9561"/>
      <w:bookmarkStart w:id="242" w:name="_Toc31836"/>
      <w:bookmarkStart w:id="243" w:name="_Toc30933"/>
      <w:bookmarkStart w:id="244" w:name="_Toc21885"/>
      <w:bookmarkStart w:id="245" w:name="_Toc16529"/>
      <w:bookmarkStart w:id="246" w:name="_Toc2761070"/>
      <w:r>
        <w:rPr>
          <w:rFonts w:hint="eastAsia" w:asciiTheme="minorEastAsia" w:hAnsiTheme="minorEastAsia" w:eastAsiaTheme="minorEastAsia" w:cstheme="minorEastAsia"/>
          <w:b/>
          <w:bCs/>
          <w:sz w:val="28"/>
          <w:szCs w:val="28"/>
        </w:rPr>
        <w:t>（一）评分办法前附表</w:t>
      </w:r>
      <w:bookmarkEnd w:id="239"/>
      <w:bookmarkEnd w:id="240"/>
      <w:bookmarkEnd w:id="241"/>
      <w:bookmarkEnd w:id="242"/>
      <w:bookmarkEnd w:id="243"/>
      <w:bookmarkEnd w:id="244"/>
    </w:p>
    <w:bookmarkEnd w:id="245"/>
    <w:tbl>
      <w:tblPr>
        <w:tblStyle w:val="25"/>
        <w:tblpPr w:leftFromText="180" w:rightFromText="180" w:vertAnchor="text" w:horzAnchor="page" w:tblpX="1155" w:tblpY="363"/>
        <w:tblOverlap w:val="never"/>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980"/>
        <w:gridCol w:w="2084"/>
        <w:gridCol w:w="5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10" w:type="dxa"/>
            <w:vAlign w:val="center"/>
          </w:tcPr>
          <w:p>
            <w:pPr>
              <w:spacing w:line="560" w:lineRule="exact"/>
              <w:jc w:val="center"/>
              <w:rPr>
                <w:rFonts w:asciiTheme="minorEastAsia" w:hAnsiTheme="minorEastAsia" w:eastAsiaTheme="minorEastAsia" w:cstheme="minorEastAsia"/>
                <w:b/>
                <w:sz w:val="24"/>
              </w:rPr>
            </w:pPr>
            <w:bookmarkStart w:id="247" w:name="_Toc403122541"/>
            <w:bookmarkStart w:id="248" w:name="_Toc426369531"/>
            <w:bookmarkStart w:id="249" w:name="_Toc31084"/>
            <w:r>
              <w:rPr>
                <w:rFonts w:hint="eastAsia" w:asciiTheme="minorEastAsia" w:hAnsiTheme="minorEastAsia" w:eastAsiaTheme="minorEastAsia" w:cstheme="minorEastAsia"/>
                <w:b/>
                <w:bCs/>
                <w:sz w:val="24"/>
              </w:rPr>
              <w:t>审查主体</w:t>
            </w:r>
          </w:p>
        </w:tc>
        <w:tc>
          <w:tcPr>
            <w:tcW w:w="3064" w:type="dxa"/>
            <w:gridSpan w:val="2"/>
            <w:vAlign w:val="center"/>
          </w:tcPr>
          <w:p>
            <w:pPr>
              <w:spacing w:line="560" w:lineRule="exact"/>
              <w:ind w:firstLine="562"/>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评审因素</w:t>
            </w:r>
          </w:p>
        </w:tc>
        <w:tc>
          <w:tcPr>
            <w:tcW w:w="5602" w:type="dxa"/>
            <w:vAlign w:val="center"/>
          </w:tcPr>
          <w:p>
            <w:pPr>
              <w:tabs>
                <w:tab w:val="left" w:pos="417"/>
                <w:tab w:val="center" w:pos="2999"/>
              </w:tabs>
              <w:spacing w:line="560" w:lineRule="exact"/>
              <w:ind w:firstLine="562"/>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1210" w:type="dxa"/>
            <w:vMerge w:val="restart"/>
            <w:vAlign w:val="center"/>
          </w:tcPr>
          <w:p>
            <w:pPr>
              <w:spacing w:line="320" w:lineRule="exact"/>
              <w:jc w:val="center"/>
              <w:rPr>
                <w:rFonts w:ascii="宋体" w:hAnsi="宋体" w:cs="宋体"/>
                <w:szCs w:val="21"/>
              </w:rPr>
            </w:pPr>
            <w:r>
              <w:rPr>
                <w:rFonts w:hint="eastAsia" w:ascii="宋体" w:hAnsi="宋体" w:cs="宋体"/>
                <w:szCs w:val="21"/>
              </w:rPr>
              <w:t>资格审查小组</w:t>
            </w:r>
          </w:p>
        </w:tc>
        <w:tc>
          <w:tcPr>
            <w:tcW w:w="980" w:type="dxa"/>
            <w:vMerge w:val="restart"/>
            <w:vAlign w:val="center"/>
          </w:tcPr>
          <w:p>
            <w:pPr>
              <w:spacing w:line="320" w:lineRule="exact"/>
              <w:jc w:val="center"/>
              <w:rPr>
                <w:rFonts w:ascii="宋体" w:hAnsi="宋体" w:cs="宋体"/>
                <w:szCs w:val="21"/>
              </w:rPr>
            </w:pPr>
            <w:r>
              <w:rPr>
                <w:rFonts w:hint="eastAsia" w:ascii="宋体" w:hAnsi="宋体" w:cs="宋体"/>
                <w:szCs w:val="21"/>
              </w:rPr>
              <w:t>一、资格评审标准</w:t>
            </w:r>
          </w:p>
        </w:tc>
        <w:tc>
          <w:tcPr>
            <w:tcW w:w="2084" w:type="dxa"/>
            <w:vAlign w:val="center"/>
          </w:tcPr>
          <w:p>
            <w:pPr>
              <w:spacing w:line="320" w:lineRule="exact"/>
              <w:jc w:val="center"/>
              <w:rPr>
                <w:rFonts w:ascii="宋体" w:hAnsi="宋体" w:cs="宋体"/>
                <w:szCs w:val="21"/>
              </w:rPr>
            </w:pPr>
            <w:r>
              <w:rPr>
                <w:rFonts w:hint="eastAsia" w:ascii="宋体" w:hAnsi="宋体" w:cs="宋体"/>
                <w:szCs w:val="21"/>
              </w:rPr>
              <w:t>营业执照</w:t>
            </w:r>
          </w:p>
          <w:p>
            <w:pPr>
              <w:spacing w:line="320" w:lineRule="exact"/>
              <w:jc w:val="center"/>
              <w:rPr>
                <w:rFonts w:ascii="宋体" w:hAnsi="宋体" w:cs="宋体"/>
                <w:szCs w:val="21"/>
              </w:rPr>
            </w:pPr>
            <w:r>
              <w:rPr>
                <w:rFonts w:hint="eastAsia" w:ascii="宋体" w:hAnsi="宋体" w:cs="宋体"/>
                <w:szCs w:val="21"/>
              </w:rPr>
              <w:t>（三证合一）</w:t>
            </w:r>
          </w:p>
        </w:tc>
        <w:tc>
          <w:tcPr>
            <w:tcW w:w="5602" w:type="dxa"/>
            <w:vAlign w:val="center"/>
          </w:tcPr>
          <w:p>
            <w:pPr>
              <w:spacing w:line="320" w:lineRule="exact"/>
              <w:jc w:val="center"/>
              <w:rPr>
                <w:rFonts w:ascii="宋体" w:hAnsi="宋体" w:cs="宋体"/>
                <w:szCs w:val="21"/>
              </w:rPr>
            </w:pPr>
            <w:r>
              <w:rPr>
                <w:rFonts w:hint="eastAsia" w:ascii="宋体" w:hAnsi="宋体" w:cs="宋体"/>
                <w:szCs w:val="21"/>
              </w:rPr>
              <w:t>具备有有效的事业单位法人证书或有效的营业执照（三证合一）；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210" w:type="dxa"/>
            <w:vMerge w:val="continue"/>
            <w:vAlign w:val="center"/>
          </w:tcPr>
          <w:p>
            <w:pPr>
              <w:spacing w:line="320" w:lineRule="exact"/>
              <w:jc w:val="center"/>
              <w:rPr>
                <w:rFonts w:ascii="宋体" w:hAnsi="宋体" w:cs="宋体"/>
                <w:szCs w:val="21"/>
              </w:rPr>
            </w:pPr>
          </w:p>
        </w:tc>
        <w:tc>
          <w:tcPr>
            <w:tcW w:w="980" w:type="dxa"/>
            <w:vMerge w:val="continue"/>
            <w:vAlign w:val="center"/>
          </w:tcPr>
          <w:p>
            <w:pPr>
              <w:spacing w:line="320" w:lineRule="exact"/>
              <w:jc w:val="center"/>
              <w:rPr>
                <w:rFonts w:ascii="宋体" w:hAnsi="宋体" w:cs="宋体"/>
                <w:szCs w:val="21"/>
              </w:rPr>
            </w:pPr>
          </w:p>
        </w:tc>
        <w:tc>
          <w:tcPr>
            <w:tcW w:w="2084" w:type="dxa"/>
            <w:vAlign w:val="center"/>
          </w:tcPr>
          <w:p>
            <w:pPr>
              <w:spacing w:line="320" w:lineRule="exact"/>
              <w:jc w:val="center"/>
              <w:rPr>
                <w:rFonts w:ascii="宋体" w:hAnsi="宋体" w:cs="宋体"/>
                <w:szCs w:val="21"/>
              </w:rPr>
            </w:pPr>
            <w:r>
              <w:rPr>
                <w:rFonts w:hint="eastAsia" w:ascii="宋体" w:hAnsi="宋体" w:cs="宋体"/>
                <w:szCs w:val="21"/>
              </w:rPr>
              <w:t>信誉要求</w:t>
            </w:r>
          </w:p>
        </w:tc>
        <w:tc>
          <w:tcPr>
            <w:tcW w:w="5602" w:type="dxa"/>
            <w:vAlign w:val="center"/>
          </w:tcPr>
          <w:p>
            <w:pPr>
              <w:spacing w:line="320" w:lineRule="exact"/>
              <w:jc w:val="center"/>
              <w:rPr>
                <w:rFonts w:ascii="宋体" w:hAnsi="宋体" w:cs="宋体"/>
                <w:szCs w:val="21"/>
              </w:rPr>
            </w:pPr>
            <w:r>
              <w:rPr>
                <w:rFonts w:hint="eastAsia" w:ascii="宋体" w:hAnsi="宋体" w:cs="宋体"/>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exact"/>
        </w:trPr>
        <w:tc>
          <w:tcPr>
            <w:tcW w:w="1210" w:type="dxa"/>
            <w:vMerge w:val="continue"/>
            <w:tcBorders>
              <w:bottom w:val="single" w:color="auto" w:sz="4" w:space="0"/>
            </w:tcBorders>
            <w:vAlign w:val="center"/>
          </w:tcPr>
          <w:p>
            <w:pPr>
              <w:spacing w:line="320" w:lineRule="exact"/>
              <w:jc w:val="center"/>
              <w:rPr>
                <w:rFonts w:ascii="宋体" w:hAnsi="宋体" w:cs="宋体"/>
                <w:szCs w:val="21"/>
              </w:rPr>
            </w:pPr>
          </w:p>
        </w:tc>
        <w:tc>
          <w:tcPr>
            <w:tcW w:w="980" w:type="dxa"/>
            <w:vMerge w:val="continue"/>
            <w:tcBorders>
              <w:bottom w:val="single" w:color="auto" w:sz="4" w:space="0"/>
            </w:tcBorders>
            <w:vAlign w:val="center"/>
          </w:tcPr>
          <w:p>
            <w:pPr>
              <w:spacing w:line="320" w:lineRule="exact"/>
              <w:jc w:val="center"/>
              <w:rPr>
                <w:rFonts w:ascii="宋体" w:hAnsi="宋体" w:cs="宋体"/>
                <w:szCs w:val="21"/>
              </w:rPr>
            </w:pPr>
          </w:p>
        </w:tc>
        <w:tc>
          <w:tcPr>
            <w:tcW w:w="2084" w:type="dxa"/>
            <w:tcBorders>
              <w:bottom w:val="single" w:color="auto" w:sz="4" w:space="0"/>
            </w:tcBorders>
            <w:vAlign w:val="center"/>
          </w:tcPr>
          <w:p>
            <w:pPr>
              <w:spacing w:line="320" w:lineRule="exact"/>
              <w:jc w:val="center"/>
              <w:rPr>
                <w:rFonts w:ascii="宋体" w:hAnsi="宋体" w:cs="宋体"/>
                <w:szCs w:val="21"/>
              </w:rPr>
            </w:pPr>
            <w:r>
              <w:rPr>
                <w:rFonts w:hint="eastAsia" w:ascii="宋体" w:hAnsi="宋体" w:cs="宋体"/>
                <w:szCs w:val="21"/>
              </w:rPr>
              <w:t>其他要求</w:t>
            </w:r>
          </w:p>
        </w:tc>
        <w:tc>
          <w:tcPr>
            <w:tcW w:w="5602" w:type="dxa"/>
            <w:tcBorders>
              <w:bottom w:val="single" w:color="auto" w:sz="4" w:space="0"/>
            </w:tcBorders>
            <w:vAlign w:val="center"/>
          </w:tcPr>
          <w:p>
            <w:pPr>
              <w:spacing w:line="320" w:lineRule="exact"/>
              <w:jc w:val="center"/>
              <w:rPr>
                <w:rFonts w:ascii="宋体" w:hAnsi="宋体" w:cs="宋体"/>
                <w:szCs w:val="21"/>
              </w:rPr>
            </w:pPr>
            <w:r>
              <w:rPr>
                <w:rFonts w:hint="eastAsia" w:ascii="宋体" w:hAnsi="宋体" w:cs="宋体"/>
                <w:szCs w:val="21"/>
              </w:rPr>
              <w:t>符合第二章“投标人须知”第1.4.1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trPr>
        <w:tc>
          <w:tcPr>
            <w:tcW w:w="121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Cs w:val="21"/>
              </w:rPr>
            </w:pPr>
            <w:r>
              <w:rPr>
                <w:rFonts w:hint="eastAsia" w:ascii="宋体" w:hAnsi="宋体" w:cs="宋体"/>
                <w:szCs w:val="21"/>
              </w:rPr>
              <w:t>评标委员会</w:t>
            </w:r>
          </w:p>
        </w:tc>
        <w:tc>
          <w:tcPr>
            <w:tcW w:w="9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Cs w:val="21"/>
              </w:rPr>
            </w:pPr>
            <w:r>
              <w:rPr>
                <w:rFonts w:hint="eastAsia" w:ascii="宋体" w:hAnsi="宋体" w:cs="宋体"/>
                <w:szCs w:val="21"/>
              </w:rPr>
              <w:t>二、形式评审标准</w:t>
            </w:r>
          </w:p>
        </w:tc>
        <w:tc>
          <w:tcPr>
            <w:tcW w:w="20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Cs w:val="21"/>
              </w:rPr>
            </w:pPr>
            <w:r>
              <w:rPr>
                <w:rFonts w:hint="eastAsia" w:ascii="宋体" w:hAnsi="宋体" w:cs="宋体"/>
                <w:szCs w:val="21"/>
              </w:rPr>
              <w:t>投标人名称</w:t>
            </w:r>
          </w:p>
        </w:tc>
        <w:tc>
          <w:tcPr>
            <w:tcW w:w="56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Cs w:val="21"/>
              </w:rPr>
            </w:pPr>
            <w:r>
              <w:rPr>
                <w:rFonts w:hint="eastAsia" w:ascii="宋体" w:hAnsi="宋体" w:cs="宋体"/>
                <w:szCs w:val="21"/>
              </w:rPr>
              <w:t>与营业执照等证件一致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exact"/>
        </w:trPr>
        <w:tc>
          <w:tcPr>
            <w:tcW w:w="121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Cs w:val="21"/>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Cs w:val="21"/>
              </w:rPr>
            </w:pPr>
            <w:r>
              <w:rPr>
                <w:rFonts w:hint="eastAsia" w:ascii="宋体" w:hAnsi="宋体" w:cs="宋体"/>
                <w:szCs w:val="21"/>
              </w:rPr>
              <w:t>投标函签字盖章</w:t>
            </w:r>
          </w:p>
        </w:tc>
        <w:tc>
          <w:tcPr>
            <w:tcW w:w="56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Cs w:val="21"/>
              </w:rPr>
            </w:pPr>
            <w:r>
              <w:rPr>
                <w:rFonts w:hint="eastAsia" w:ascii="宋体" w:hAnsi="宋体" w:cs="宋体"/>
                <w:szCs w:val="21"/>
              </w:rPr>
              <w:t>加盖单位公章并有法定代表人或其委托代理人签字或盖章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exact"/>
        </w:trPr>
        <w:tc>
          <w:tcPr>
            <w:tcW w:w="121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Cs w:val="21"/>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Cs w:val="21"/>
              </w:rPr>
            </w:pPr>
            <w:r>
              <w:rPr>
                <w:rFonts w:hint="eastAsia" w:ascii="宋体" w:hAnsi="宋体" w:cs="宋体"/>
                <w:szCs w:val="21"/>
              </w:rPr>
              <w:t>投标文件格式</w:t>
            </w:r>
          </w:p>
        </w:tc>
        <w:tc>
          <w:tcPr>
            <w:tcW w:w="56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Cs w:val="21"/>
              </w:rPr>
            </w:pPr>
            <w:r>
              <w:rPr>
                <w:rFonts w:hint="eastAsia" w:ascii="宋体" w:hAnsi="宋体" w:cs="宋体"/>
                <w:szCs w:val="21"/>
              </w:rPr>
              <w:t>符合招标文件格式要求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21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Cs w:val="21"/>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Cs w:val="21"/>
              </w:rPr>
            </w:pPr>
            <w:r>
              <w:rPr>
                <w:rFonts w:hint="eastAsia" w:ascii="宋体" w:hAnsi="宋体" w:cs="宋体"/>
                <w:szCs w:val="21"/>
              </w:rPr>
              <w:t>报价唯一</w:t>
            </w:r>
          </w:p>
        </w:tc>
        <w:tc>
          <w:tcPr>
            <w:tcW w:w="56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Cs w:val="21"/>
              </w:rPr>
            </w:pPr>
            <w:r>
              <w:rPr>
                <w:rFonts w:hint="eastAsia" w:ascii="宋体" w:hAnsi="宋体" w:cs="宋体"/>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trPr>
        <w:tc>
          <w:tcPr>
            <w:tcW w:w="121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Cs w:val="21"/>
              </w:rPr>
            </w:pPr>
          </w:p>
        </w:tc>
        <w:tc>
          <w:tcPr>
            <w:tcW w:w="9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Cs w:val="21"/>
              </w:rPr>
            </w:pPr>
            <w:r>
              <w:rPr>
                <w:rFonts w:hint="eastAsia" w:ascii="宋体" w:hAnsi="宋体" w:cs="宋体"/>
                <w:szCs w:val="21"/>
              </w:rPr>
              <w:t>三、响应性评审标准</w:t>
            </w:r>
          </w:p>
        </w:tc>
        <w:tc>
          <w:tcPr>
            <w:tcW w:w="20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Cs w:val="21"/>
              </w:rPr>
            </w:pPr>
            <w:r>
              <w:rPr>
                <w:rFonts w:hint="eastAsia" w:ascii="宋体" w:hAnsi="宋体" w:cs="宋体"/>
                <w:szCs w:val="21"/>
              </w:rPr>
              <w:t>采购内容</w:t>
            </w:r>
          </w:p>
        </w:tc>
        <w:tc>
          <w:tcPr>
            <w:tcW w:w="56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Cs w:val="21"/>
              </w:rPr>
            </w:pPr>
            <w:r>
              <w:rPr>
                <w:rFonts w:hint="eastAsia" w:ascii="宋体" w:hAnsi="宋体" w:cs="宋体"/>
                <w:szCs w:val="21"/>
              </w:rPr>
              <w:t>符合第二章“投标人须知”第 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trPr>
        <w:tc>
          <w:tcPr>
            <w:tcW w:w="1210" w:type="dxa"/>
            <w:vMerge w:val="continue"/>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szCs w:val="21"/>
              </w:rPr>
            </w:pPr>
          </w:p>
        </w:tc>
        <w:tc>
          <w:tcPr>
            <w:tcW w:w="980" w:type="dxa"/>
            <w:vMerge w:val="continue"/>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Cs w:val="21"/>
              </w:rPr>
            </w:pPr>
            <w:r>
              <w:rPr>
                <w:rFonts w:hint="eastAsia" w:ascii="宋体" w:hAnsi="宋体" w:cs="宋体"/>
                <w:szCs w:val="21"/>
              </w:rPr>
              <w:t>服务期</w:t>
            </w:r>
          </w:p>
        </w:tc>
        <w:tc>
          <w:tcPr>
            <w:tcW w:w="56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Cs w:val="21"/>
              </w:rPr>
            </w:pPr>
            <w:r>
              <w:rPr>
                <w:rFonts w:hint="eastAsia" w:ascii="宋体" w:hAnsi="宋体" w:cs="宋体"/>
                <w:szCs w:val="21"/>
              </w:rPr>
              <w:t>符合第二章“投标人须知”第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210" w:type="dxa"/>
            <w:vMerge w:val="continue"/>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szCs w:val="21"/>
              </w:rPr>
            </w:pPr>
          </w:p>
        </w:tc>
        <w:tc>
          <w:tcPr>
            <w:tcW w:w="980" w:type="dxa"/>
            <w:vMerge w:val="continue"/>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Cs w:val="21"/>
              </w:rPr>
            </w:pPr>
            <w:r>
              <w:rPr>
                <w:rFonts w:hint="eastAsia" w:ascii="宋体" w:hAnsi="宋体" w:cs="宋体"/>
                <w:szCs w:val="21"/>
              </w:rPr>
              <w:t>质量标准</w:t>
            </w:r>
          </w:p>
        </w:tc>
        <w:tc>
          <w:tcPr>
            <w:tcW w:w="56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Cs w:val="21"/>
              </w:rPr>
            </w:pPr>
            <w:r>
              <w:rPr>
                <w:rFonts w:hint="eastAsia" w:ascii="宋体" w:hAnsi="宋体" w:cs="宋体"/>
                <w:szCs w:val="21"/>
              </w:rPr>
              <w:t>符合第二章“投标人须知”第 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210" w:type="dxa"/>
            <w:vMerge w:val="continue"/>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szCs w:val="21"/>
              </w:rPr>
            </w:pPr>
          </w:p>
        </w:tc>
        <w:tc>
          <w:tcPr>
            <w:tcW w:w="980" w:type="dxa"/>
            <w:vMerge w:val="continue"/>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Cs w:val="21"/>
              </w:rPr>
            </w:pPr>
            <w:r>
              <w:rPr>
                <w:rFonts w:hint="eastAsia" w:ascii="宋体" w:hAnsi="宋体" w:cs="宋体"/>
                <w:szCs w:val="21"/>
              </w:rPr>
              <w:t>质保期</w:t>
            </w:r>
          </w:p>
        </w:tc>
        <w:tc>
          <w:tcPr>
            <w:tcW w:w="56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Cs w:val="21"/>
              </w:rPr>
            </w:pPr>
            <w:r>
              <w:rPr>
                <w:rFonts w:hint="eastAsia" w:ascii="宋体" w:hAnsi="宋体" w:cs="宋体"/>
                <w:szCs w:val="21"/>
              </w:rPr>
              <w:t>符合第二章“投标人须知”第 1.3.4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trPr>
        <w:tc>
          <w:tcPr>
            <w:tcW w:w="1210" w:type="dxa"/>
            <w:vMerge w:val="continue"/>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szCs w:val="21"/>
              </w:rPr>
            </w:pPr>
          </w:p>
        </w:tc>
        <w:tc>
          <w:tcPr>
            <w:tcW w:w="980" w:type="dxa"/>
            <w:vMerge w:val="continue"/>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Cs w:val="21"/>
              </w:rPr>
            </w:pPr>
            <w:r>
              <w:rPr>
                <w:rFonts w:hint="eastAsia" w:ascii="宋体" w:hAnsi="宋体" w:cs="宋体"/>
                <w:szCs w:val="21"/>
              </w:rPr>
              <w:t>商务报价</w:t>
            </w:r>
          </w:p>
        </w:tc>
        <w:tc>
          <w:tcPr>
            <w:tcW w:w="56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Cs w:val="21"/>
              </w:rPr>
            </w:pPr>
            <w:r>
              <w:rPr>
                <w:rFonts w:hint="eastAsia" w:ascii="宋体" w:hAnsi="宋体" w:cs="宋体"/>
                <w:szCs w:val="21"/>
              </w:rPr>
              <w:t>只能有一个有效报价，且不能超过招标控制价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1210" w:type="dxa"/>
            <w:vMerge w:val="continue"/>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szCs w:val="21"/>
              </w:rPr>
            </w:pPr>
          </w:p>
        </w:tc>
        <w:tc>
          <w:tcPr>
            <w:tcW w:w="980" w:type="dxa"/>
            <w:vMerge w:val="continue"/>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Cs w:val="21"/>
              </w:rPr>
            </w:pPr>
            <w:r>
              <w:rPr>
                <w:rFonts w:hint="eastAsia" w:ascii="宋体" w:hAnsi="宋体" w:cs="宋体"/>
                <w:szCs w:val="21"/>
              </w:rPr>
              <w:t>投标有效期</w:t>
            </w:r>
          </w:p>
        </w:tc>
        <w:tc>
          <w:tcPr>
            <w:tcW w:w="56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Cs w:val="21"/>
              </w:rPr>
            </w:pPr>
            <w:r>
              <w:rPr>
                <w:rFonts w:hint="eastAsia" w:ascii="宋体" w:hAnsi="宋体" w:cs="宋体"/>
                <w:szCs w:val="21"/>
              </w:rPr>
              <w:t>符合第二章“投标人须知”第 3.3.1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1210" w:type="dxa"/>
            <w:vMerge w:val="continue"/>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szCs w:val="21"/>
              </w:rPr>
            </w:pPr>
          </w:p>
        </w:tc>
        <w:tc>
          <w:tcPr>
            <w:tcW w:w="980" w:type="dxa"/>
            <w:vMerge w:val="continue"/>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Cs w:val="21"/>
              </w:rPr>
            </w:pPr>
            <w:r>
              <w:rPr>
                <w:rFonts w:hint="eastAsia" w:ascii="宋体" w:hAnsi="宋体" w:cs="宋体"/>
                <w:szCs w:val="21"/>
              </w:rPr>
              <w:t>权利义务</w:t>
            </w:r>
          </w:p>
        </w:tc>
        <w:tc>
          <w:tcPr>
            <w:tcW w:w="56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Cs w:val="21"/>
              </w:rPr>
            </w:pPr>
            <w:r>
              <w:rPr>
                <w:rFonts w:hint="eastAsia" w:ascii="宋体" w:hAnsi="宋体" w:cs="宋体"/>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exact"/>
        </w:trPr>
        <w:tc>
          <w:tcPr>
            <w:tcW w:w="1210" w:type="dxa"/>
            <w:vMerge w:val="continue"/>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szCs w:val="21"/>
              </w:rPr>
            </w:pPr>
          </w:p>
        </w:tc>
        <w:tc>
          <w:tcPr>
            <w:tcW w:w="980" w:type="dxa"/>
            <w:vMerge w:val="continue"/>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Cs w:val="21"/>
              </w:rPr>
            </w:pPr>
            <w:r>
              <w:rPr>
                <w:rFonts w:hint="eastAsia" w:ascii="宋体" w:hAnsi="宋体" w:cs="宋体"/>
                <w:szCs w:val="21"/>
              </w:rPr>
              <w:t>技术标准和要求</w:t>
            </w:r>
          </w:p>
        </w:tc>
        <w:tc>
          <w:tcPr>
            <w:tcW w:w="56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Cs w:val="21"/>
                <w:highlight w:val="none"/>
              </w:rPr>
            </w:pPr>
            <w:r>
              <w:rPr>
                <w:rFonts w:hint="eastAsia" w:ascii="宋体" w:hAnsi="宋体" w:cs="宋体"/>
                <w:szCs w:val="21"/>
                <w:highlight w:val="none"/>
              </w:rPr>
              <w:t>符合第五章“</w:t>
            </w:r>
            <w:r>
              <w:rPr>
                <w:rFonts w:hint="eastAsia" w:ascii="宋体" w:hAnsi="宋体" w:cs="宋体"/>
                <w:szCs w:val="21"/>
                <w:highlight w:val="none"/>
                <w:lang w:val="en-US" w:eastAsia="zh-CN"/>
              </w:rPr>
              <w:t>服务内容及要求</w:t>
            </w:r>
            <w:r>
              <w:rPr>
                <w:rFonts w:hint="eastAsia" w:ascii="宋体" w:hAnsi="宋体" w:cs="宋体"/>
                <w:szCs w:val="21"/>
                <w:highlight w:val="none"/>
              </w:rPr>
              <w:t>”规定，若不符合第五章</w:t>
            </w:r>
            <w:r>
              <w:rPr>
                <w:rFonts w:hint="eastAsia" w:ascii="宋体" w:hAnsi="宋体" w:cs="宋体"/>
                <w:szCs w:val="21"/>
                <w:highlight w:val="none"/>
                <w:lang w:val="en-US" w:eastAsia="zh-CN"/>
              </w:rPr>
              <w:t>服务内容及要求</w:t>
            </w:r>
            <w:r>
              <w:rPr>
                <w:rFonts w:hint="eastAsia" w:ascii="宋体" w:hAnsi="宋体" w:cs="宋体"/>
                <w:szCs w:val="21"/>
                <w:highlight w:val="none"/>
              </w:rPr>
              <w:t>，将不再进行评审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exact"/>
        </w:trPr>
        <w:tc>
          <w:tcPr>
            <w:tcW w:w="1210" w:type="dxa"/>
            <w:vMerge w:val="continue"/>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szCs w:val="21"/>
              </w:rPr>
            </w:pPr>
          </w:p>
        </w:tc>
        <w:tc>
          <w:tcPr>
            <w:tcW w:w="980" w:type="dxa"/>
            <w:vMerge w:val="continue"/>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szCs w:val="21"/>
              </w:rPr>
            </w:pPr>
            <w:r>
              <w:rPr>
                <w:rFonts w:hint="eastAsia" w:ascii="宋体" w:hAnsi="宋体" w:cs="宋体"/>
                <w:szCs w:val="21"/>
              </w:rPr>
              <w:t>投标文件的其他响应</w:t>
            </w:r>
          </w:p>
        </w:tc>
        <w:tc>
          <w:tcPr>
            <w:tcW w:w="56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Cs w:val="21"/>
              </w:rPr>
            </w:pPr>
            <w:r>
              <w:rPr>
                <w:rFonts w:hint="eastAsia" w:ascii="宋体" w:hAnsi="宋体" w:cs="宋体"/>
                <w:szCs w:val="21"/>
              </w:rPr>
              <w:t>符合法律、法规和招标文件中规定的其他实质性要求的</w:t>
            </w:r>
          </w:p>
        </w:tc>
      </w:tr>
    </w:tbl>
    <w:p>
      <w:pPr>
        <w:spacing w:line="560" w:lineRule="exact"/>
        <w:ind w:firstLine="560"/>
        <w:rPr>
          <w:rFonts w:asciiTheme="minorEastAsia" w:hAnsiTheme="minorEastAsia" w:eastAsiaTheme="minorEastAsia" w:cstheme="minorEastAsia"/>
          <w:vanish/>
          <w:sz w:val="24"/>
        </w:rPr>
      </w:pPr>
    </w:p>
    <w:tbl>
      <w:tblPr>
        <w:tblStyle w:val="25"/>
        <w:tblpPr w:leftFromText="180" w:rightFromText="180" w:vertAnchor="text" w:horzAnchor="page" w:tblpX="1144" w:tblpY="453"/>
        <w:tblOverlap w:val="never"/>
        <w:tblW w:w="98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3"/>
        <w:gridCol w:w="1396"/>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213" w:type="dxa"/>
            <w:vAlign w:val="center"/>
          </w:tcPr>
          <w:p>
            <w:pPr>
              <w:autoSpaceDE w:val="0"/>
              <w:autoSpaceDN w:val="0"/>
              <w:adjustRightInd w:val="0"/>
              <w:spacing w:line="560" w:lineRule="exact"/>
              <w:ind w:left="38" w:leftChars="18" w:firstLine="56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项目</w:t>
            </w:r>
          </w:p>
        </w:tc>
        <w:tc>
          <w:tcPr>
            <w:tcW w:w="1396" w:type="dxa"/>
            <w:vAlign w:val="center"/>
          </w:tcPr>
          <w:p>
            <w:pPr>
              <w:autoSpaceDE w:val="0"/>
              <w:autoSpaceDN w:val="0"/>
              <w:adjustRightInd w:val="0"/>
              <w:spacing w:line="56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评分因素</w:t>
            </w:r>
          </w:p>
        </w:tc>
        <w:tc>
          <w:tcPr>
            <w:tcW w:w="6253" w:type="dxa"/>
            <w:vAlign w:val="center"/>
          </w:tcPr>
          <w:p>
            <w:pPr>
              <w:autoSpaceDE w:val="0"/>
              <w:autoSpaceDN w:val="0"/>
              <w:adjustRightInd w:val="0"/>
              <w:spacing w:line="560" w:lineRule="exact"/>
              <w:ind w:left="38" w:leftChars="18" w:firstLine="562"/>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13" w:type="dxa"/>
            <w:vAlign w:val="center"/>
          </w:tcPr>
          <w:p>
            <w:pPr>
              <w:widowControl/>
              <w:spacing w:line="5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报价得分（25分）</w:t>
            </w:r>
          </w:p>
        </w:tc>
        <w:tc>
          <w:tcPr>
            <w:tcW w:w="1396" w:type="dxa"/>
            <w:vAlign w:val="center"/>
          </w:tcPr>
          <w:p>
            <w:pPr>
              <w:widowControl/>
              <w:spacing w:line="5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投标报价评分标准</w:t>
            </w:r>
          </w:p>
        </w:tc>
        <w:tc>
          <w:tcPr>
            <w:tcW w:w="6253" w:type="dxa"/>
            <w:vAlign w:val="center"/>
          </w:tcPr>
          <w:p>
            <w:pPr>
              <w:autoSpaceDE w:val="0"/>
              <w:autoSpaceDN w:val="0"/>
              <w:adjustRightInd w:val="0"/>
              <w:spacing w:line="560" w:lineRule="exact"/>
              <w:ind w:firstLine="56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投标报价分采用低价优先法计算，即满足招标文件要求且投标报价最低的为评标基准价，其价格分为满分（即25分）。其他投标人的价格分统一按照下列公式计算：</w:t>
            </w:r>
          </w:p>
          <w:p>
            <w:pPr>
              <w:autoSpaceDE w:val="0"/>
              <w:autoSpaceDN w:val="0"/>
              <w:adjustRightInd w:val="0"/>
              <w:spacing w:line="560" w:lineRule="exact"/>
              <w:ind w:firstLine="560"/>
              <w:rPr>
                <w:rFonts w:asciiTheme="minorEastAsia" w:hAnsiTheme="minorEastAsia" w:eastAsiaTheme="minorEastAsia" w:cstheme="minorEastAsia"/>
                <w:sz w:val="24"/>
                <w:highlight w:val="red"/>
              </w:rPr>
            </w:pPr>
            <w:r>
              <w:rPr>
                <w:rFonts w:hint="eastAsia" w:asciiTheme="minorEastAsia" w:hAnsiTheme="minorEastAsia" w:eastAsiaTheme="minorEastAsia" w:cstheme="minorEastAsia"/>
                <w:sz w:val="24"/>
              </w:rPr>
              <w:t>报价得分=(评标基准价／投标报价)×价格权值（25分）。</w:t>
            </w:r>
          </w:p>
          <w:p>
            <w:pPr>
              <w:autoSpaceDE w:val="0"/>
              <w:autoSpaceDN w:val="0"/>
              <w:adjustRightInd w:val="0"/>
              <w:spacing w:line="560" w:lineRule="exact"/>
              <w:ind w:firstLine="56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注：以上计算过程中按四舍五入保留两位小数。</w:t>
            </w:r>
          </w:p>
          <w:p>
            <w:pPr>
              <w:autoSpaceDE w:val="0"/>
              <w:autoSpaceDN w:val="0"/>
              <w:adjustRightInd w:val="0"/>
              <w:spacing w:line="560" w:lineRule="exact"/>
              <w:ind w:firstLine="56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pacing w:line="560" w:lineRule="exact"/>
              <w:ind w:firstLine="56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2.对小型或微型企业投标的扶持：（如有）</w:t>
            </w:r>
          </w:p>
          <w:p>
            <w:pPr>
              <w:autoSpaceDE w:val="0"/>
              <w:autoSpaceDN w:val="0"/>
              <w:adjustRightInd w:val="0"/>
              <w:spacing w:line="560" w:lineRule="exact"/>
              <w:ind w:firstLine="56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2.1投标投标人为小型或微型企业时，报价给予C1的价格扣除（C1的取值为</w:t>
            </w:r>
            <w:r>
              <w:rPr>
                <w:rFonts w:hint="eastAsia" w:asciiTheme="minorEastAsia" w:hAnsiTheme="minorEastAsia" w:eastAsiaTheme="minorEastAsia" w:cstheme="minorEastAsia"/>
                <w:sz w:val="24"/>
                <w:lang w:val="en-US" w:eastAsia="zh-CN"/>
              </w:rPr>
              <w:t>10</w:t>
            </w:r>
            <w:r>
              <w:rPr>
                <w:rFonts w:hint="eastAsia" w:asciiTheme="minorEastAsia" w:hAnsiTheme="minorEastAsia" w:eastAsiaTheme="minorEastAsia" w:cstheme="minorEastAsia"/>
                <w:sz w:val="24"/>
              </w:rPr>
              <w:t>%），即：评标价＝投标报价（最后报价）×(1－C1）；</w:t>
            </w:r>
          </w:p>
          <w:p>
            <w:pPr>
              <w:autoSpaceDE w:val="0"/>
              <w:autoSpaceDN w:val="0"/>
              <w:adjustRightInd w:val="0"/>
              <w:spacing w:line="560" w:lineRule="exact"/>
              <w:ind w:firstLine="56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小微企业应当提供《中小企业声明函》（见格式）。</w:t>
            </w:r>
          </w:p>
          <w:p>
            <w:pPr>
              <w:autoSpaceDE w:val="0"/>
              <w:autoSpaceDN w:val="0"/>
              <w:adjustRightInd w:val="0"/>
              <w:spacing w:line="560" w:lineRule="exact"/>
              <w:ind w:firstLine="56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2.2按照《政府采购促进中小企业发展管理办法》有关规定，中小企业的标准为：</w:t>
            </w:r>
          </w:p>
          <w:p>
            <w:pPr>
              <w:autoSpaceDE w:val="0"/>
              <w:autoSpaceDN w:val="0"/>
              <w:adjustRightInd w:val="0"/>
              <w:spacing w:line="560" w:lineRule="exact"/>
              <w:ind w:firstLine="56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2.2.1提供本企业制造的货物、承担的工程或者服务，或者提供其他中小企业制造的货物，不包括提供或使用大型企业注册商标的货物；</w:t>
            </w:r>
          </w:p>
          <w:p>
            <w:pPr>
              <w:autoSpaceDE w:val="0"/>
              <w:autoSpaceDN w:val="0"/>
              <w:adjustRightInd w:val="0"/>
              <w:spacing w:line="560" w:lineRule="exact"/>
              <w:ind w:firstLine="56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2.2.2本规定所称中小企业划分标准，是指国务院有关部门根据企业从业人员、营业收入、资产总额等指标制定的中小企业划型标准（工信部联企业[2011]300号）；</w:t>
            </w:r>
          </w:p>
          <w:p>
            <w:pPr>
              <w:autoSpaceDE w:val="0"/>
              <w:autoSpaceDN w:val="0"/>
              <w:adjustRightInd w:val="0"/>
              <w:spacing w:line="560" w:lineRule="exact"/>
              <w:ind w:firstLine="56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2.2.3小型、微型企业提供有中型企业制造的货物的，视同为中型企业；小型、微型、中型企业提供有大型企业制造的货物的，视同为大型企业。</w:t>
            </w:r>
          </w:p>
          <w:p>
            <w:pPr>
              <w:autoSpaceDE w:val="0"/>
              <w:autoSpaceDN w:val="0"/>
              <w:adjustRightInd w:val="0"/>
              <w:spacing w:line="560" w:lineRule="exact"/>
              <w:ind w:firstLine="56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w:t>
            </w:r>
            <w:r>
              <w:rPr>
                <w:rFonts w:hint="eastAsia" w:asciiTheme="minorEastAsia" w:hAnsiTheme="minorEastAsia" w:eastAsiaTheme="minorEastAsia" w:cstheme="minorEastAsia"/>
                <w:sz w:val="24"/>
                <w:lang w:val="en-US" w:eastAsia="zh-CN"/>
              </w:rPr>
              <w:t>10</w:t>
            </w:r>
            <w:r>
              <w:rPr>
                <w:rFonts w:hint="eastAsia" w:asciiTheme="minorEastAsia" w:hAnsiTheme="minorEastAsia" w:eastAsiaTheme="minorEastAsia" w:cstheme="minorEastAsia"/>
                <w:sz w:val="24"/>
              </w:rPr>
              <w:t>%的扣除。</w:t>
            </w:r>
          </w:p>
          <w:p>
            <w:pPr>
              <w:autoSpaceDE w:val="0"/>
              <w:autoSpaceDN w:val="0"/>
              <w:adjustRightInd w:val="0"/>
              <w:spacing w:line="560" w:lineRule="exact"/>
              <w:ind w:firstLine="56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同一投标人，小微企业、监狱、残疾人福利性企业同一产品价格扣除优惠只享受一次，不得重复享受。</w:t>
            </w:r>
          </w:p>
          <w:p>
            <w:pPr>
              <w:autoSpaceDE w:val="0"/>
              <w:autoSpaceDN w:val="0"/>
              <w:adjustRightInd w:val="0"/>
              <w:spacing w:line="560" w:lineRule="exact"/>
              <w:ind w:firstLine="56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2213" w:type="dxa"/>
            <w:vMerge w:val="restart"/>
            <w:vAlign w:val="center"/>
          </w:tcPr>
          <w:p>
            <w:pPr>
              <w:widowControl/>
              <w:spacing w:line="56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Cs/>
                <w:sz w:val="24"/>
              </w:rPr>
              <w:t>技术部分（40分）</w:t>
            </w:r>
          </w:p>
        </w:tc>
        <w:tc>
          <w:tcPr>
            <w:tcW w:w="1396" w:type="dxa"/>
            <w:vMerge w:val="restart"/>
            <w:vAlign w:val="center"/>
          </w:tcPr>
          <w:p>
            <w:pPr>
              <w:autoSpaceDE w:val="0"/>
              <w:autoSpaceDN w:val="0"/>
              <w:adjustRightInd w:val="0"/>
              <w:spacing w:line="560" w:lineRule="exact"/>
              <w:jc w:val="center"/>
              <w:rPr>
                <w:rFonts w:asciiTheme="minorEastAsia" w:hAnsiTheme="minorEastAsia" w:eastAsiaTheme="minorEastAsia" w:cstheme="minorEastAsia"/>
                <w:sz w:val="24"/>
              </w:rPr>
            </w:pPr>
          </w:p>
          <w:p>
            <w:pPr>
              <w:widowControl/>
              <w:spacing w:line="56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实施方案及保障措施</w:t>
            </w:r>
          </w:p>
          <w:p>
            <w:pPr>
              <w:autoSpaceDE w:val="0"/>
              <w:autoSpaceDN w:val="0"/>
              <w:adjustRightInd w:val="0"/>
              <w:spacing w:line="560" w:lineRule="exact"/>
              <w:jc w:val="center"/>
              <w:rPr>
                <w:rFonts w:asciiTheme="minorEastAsia" w:hAnsiTheme="minorEastAsia" w:eastAsiaTheme="minorEastAsia" w:cstheme="minorEastAsia"/>
                <w:sz w:val="24"/>
              </w:rPr>
            </w:pPr>
          </w:p>
        </w:tc>
        <w:tc>
          <w:tcPr>
            <w:tcW w:w="6253" w:type="dxa"/>
            <w:vAlign w:val="center"/>
          </w:tcPr>
          <w:p>
            <w:pPr>
              <w:autoSpaceDE w:val="0"/>
              <w:autoSpaceDN w:val="0"/>
              <w:adjustRightInd w:val="0"/>
              <w:spacing w:line="5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1.针对项目具体的咨询服务方案，包括约谈方式、项目实施机构提供的资料信息、调研措施；优者得6-8分，良好得3-5分，一般得1-2分，不提供不得分。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2213" w:type="dxa"/>
            <w:vMerge w:val="continue"/>
            <w:vAlign w:val="center"/>
          </w:tcPr>
          <w:p>
            <w:pPr>
              <w:widowControl/>
              <w:spacing w:line="560" w:lineRule="exact"/>
              <w:ind w:firstLine="562"/>
              <w:jc w:val="center"/>
              <w:rPr>
                <w:rFonts w:asciiTheme="minorEastAsia" w:hAnsiTheme="minorEastAsia" w:eastAsiaTheme="minorEastAsia" w:cstheme="minorEastAsia"/>
                <w:b/>
                <w:sz w:val="24"/>
              </w:rPr>
            </w:pPr>
          </w:p>
        </w:tc>
        <w:tc>
          <w:tcPr>
            <w:tcW w:w="1396" w:type="dxa"/>
            <w:vMerge w:val="continue"/>
            <w:vAlign w:val="center"/>
          </w:tcPr>
          <w:p>
            <w:pPr>
              <w:autoSpaceDE w:val="0"/>
              <w:autoSpaceDN w:val="0"/>
              <w:adjustRightInd w:val="0"/>
              <w:spacing w:line="560" w:lineRule="exact"/>
              <w:rPr>
                <w:rFonts w:asciiTheme="minorEastAsia" w:hAnsiTheme="minorEastAsia" w:eastAsiaTheme="minorEastAsia" w:cstheme="minorEastAsia"/>
                <w:sz w:val="24"/>
              </w:rPr>
            </w:pPr>
          </w:p>
        </w:tc>
        <w:tc>
          <w:tcPr>
            <w:tcW w:w="6253" w:type="dxa"/>
            <w:vAlign w:val="center"/>
          </w:tcPr>
          <w:p>
            <w:pPr>
              <w:autoSpaceDE w:val="0"/>
              <w:autoSpaceDN w:val="0"/>
              <w:adjustRightInd w:val="0"/>
              <w:spacing w:line="5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2.实施方案及物有所值报告、财政承受能力报告编制，项目推介、申报方案，协助项目实施机构选定社会资本方法的方案，等进行表述；优者得6-8分，良好得3-5分，一般得1-2分，不提供不得分。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213" w:type="dxa"/>
            <w:vMerge w:val="continue"/>
            <w:vAlign w:val="center"/>
          </w:tcPr>
          <w:p>
            <w:pPr>
              <w:widowControl/>
              <w:spacing w:line="560" w:lineRule="exact"/>
              <w:ind w:firstLine="562"/>
              <w:jc w:val="center"/>
              <w:rPr>
                <w:rFonts w:asciiTheme="minorEastAsia" w:hAnsiTheme="minorEastAsia" w:eastAsiaTheme="minorEastAsia" w:cstheme="minorEastAsia"/>
                <w:b/>
                <w:sz w:val="24"/>
              </w:rPr>
            </w:pPr>
          </w:p>
        </w:tc>
        <w:tc>
          <w:tcPr>
            <w:tcW w:w="1396" w:type="dxa"/>
            <w:vMerge w:val="continue"/>
            <w:vAlign w:val="center"/>
          </w:tcPr>
          <w:p>
            <w:pPr>
              <w:widowControl/>
              <w:spacing w:line="560" w:lineRule="exact"/>
              <w:rPr>
                <w:rFonts w:asciiTheme="minorEastAsia" w:hAnsiTheme="minorEastAsia" w:eastAsiaTheme="minorEastAsia" w:cstheme="minorEastAsia"/>
                <w:sz w:val="24"/>
              </w:rPr>
            </w:pPr>
          </w:p>
        </w:tc>
        <w:tc>
          <w:tcPr>
            <w:tcW w:w="6253" w:type="dxa"/>
            <w:vAlign w:val="center"/>
          </w:tcPr>
          <w:p>
            <w:pPr>
              <w:widowControl/>
              <w:spacing w:line="5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3.咨询机构管理体系以及确保上述咨询服务工作质量的措施；优者得6-8分，良好得3-5分，一般得1-2分，不提供不得分。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213" w:type="dxa"/>
            <w:vMerge w:val="continue"/>
            <w:vAlign w:val="center"/>
          </w:tcPr>
          <w:p>
            <w:pPr>
              <w:widowControl/>
              <w:spacing w:line="560" w:lineRule="exact"/>
              <w:ind w:firstLine="562"/>
              <w:jc w:val="center"/>
              <w:rPr>
                <w:rFonts w:asciiTheme="minorEastAsia" w:hAnsiTheme="minorEastAsia" w:eastAsiaTheme="minorEastAsia" w:cstheme="minorEastAsia"/>
                <w:b/>
                <w:sz w:val="24"/>
              </w:rPr>
            </w:pPr>
          </w:p>
        </w:tc>
        <w:tc>
          <w:tcPr>
            <w:tcW w:w="1396" w:type="dxa"/>
            <w:vMerge w:val="continue"/>
            <w:vAlign w:val="center"/>
          </w:tcPr>
          <w:p>
            <w:pPr>
              <w:widowControl/>
              <w:spacing w:line="560" w:lineRule="exact"/>
              <w:rPr>
                <w:rFonts w:asciiTheme="minorEastAsia" w:hAnsiTheme="minorEastAsia" w:eastAsiaTheme="minorEastAsia" w:cstheme="minorEastAsia"/>
                <w:sz w:val="24"/>
              </w:rPr>
            </w:pPr>
          </w:p>
        </w:tc>
        <w:tc>
          <w:tcPr>
            <w:tcW w:w="6253" w:type="dxa"/>
            <w:vAlign w:val="center"/>
          </w:tcPr>
          <w:p>
            <w:pPr>
              <w:widowControl/>
              <w:spacing w:line="5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4.组织实施方案、人员安排计划、项目实施组织机构情况、负责人业绩与介绍、进度保证、工作标准与要求；优者得6-8分，良好得3-5分，一般得1-2分，不提供不得分。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213" w:type="dxa"/>
            <w:vMerge w:val="continue"/>
            <w:vAlign w:val="center"/>
          </w:tcPr>
          <w:p>
            <w:pPr>
              <w:widowControl/>
              <w:spacing w:line="560" w:lineRule="exact"/>
              <w:ind w:firstLine="562"/>
              <w:jc w:val="center"/>
              <w:rPr>
                <w:rFonts w:asciiTheme="minorEastAsia" w:hAnsiTheme="minorEastAsia" w:eastAsiaTheme="minorEastAsia" w:cstheme="minorEastAsia"/>
                <w:b/>
                <w:sz w:val="24"/>
              </w:rPr>
            </w:pPr>
          </w:p>
        </w:tc>
        <w:tc>
          <w:tcPr>
            <w:tcW w:w="1396" w:type="dxa"/>
            <w:vMerge w:val="continue"/>
            <w:vAlign w:val="center"/>
          </w:tcPr>
          <w:p>
            <w:pPr>
              <w:widowControl/>
              <w:spacing w:line="560" w:lineRule="exact"/>
              <w:rPr>
                <w:rFonts w:asciiTheme="minorEastAsia" w:hAnsiTheme="minorEastAsia" w:eastAsiaTheme="minorEastAsia" w:cstheme="minorEastAsia"/>
                <w:sz w:val="24"/>
              </w:rPr>
            </w:pPr>
          </w:p>
        </w:tc>
        <w:tc>
          <w:tcPr>
            <w:tcW w:w="6253" w:type="dxa"/>
            <w:vAlign w:val="center"/>
          </w:tcPr>
          <w:p>
            <w:pPr>
              <w:widowControl/>
              <w:spacing w:line="5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根据实施方案及保障措施，评审其给出的PPP实施方案能否根据政府和社会资本合作（PPP）模式项目的服务需求做出深入分析，思路是否清晰，实施步骤是否明晰，措施是否完善、可行，综合酌情打分；优者得6-8分，良好得3-5分，一般得1-2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213" w:type="dxa"/>
            <w:vMerge w:val="restart"/>
            <w:vAlign w:val="center"/>
          </w:tcPr>
          <w:p>
            <w:pPr>
              <w:widowControl/>
              <w:spacing w:line="56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商务部分（35分）</w:t>
            </w:r>
          </w:p>
          <w:p>
            <w:pPr>
              <w:widowControl/>
              <w:spacing w:line="560" w:lineRule="exact"/>
              <w:ind w:firstLine="562"/>
              <w:jc w:val="center"/>
              <w:rPr>
                <w:rFonts w:asciiTheme="minorEastAsia" w:hAnsiTheme="minorEastAsia" w:eastAsiaTheme="minorEastAsia" w:cstheme="minorEastAsia"/>
                <w:b/>
                <w:sz w:val="24"/>
              </w:rPr>
            </w:pPr>
          </w:p>
        </w:tc>
        <w:tc>
          <w:tcPr>
            <w:tcW w:w="1396" w:type="dxa"/>
            <w:vAlign w:val="center"/>
          </w:tcPr>
          <w:p>
            <w:pPr>
              <w:widowControl/>
              <w:spacing w:line="5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企业实力（9分）</w:t>
            </w:r>
          </w:p>
        </w:tc>
        <w:tc>
          <w:tcPr>
            <w:tcW w:w="6253" w:type="dxa"/>
            <w:vAlign w:val="center"/>
          </w:tcPr>
          <w:p>
            <w:pPr>
              <w:widowControl/>
              <w:spacing w:line="56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zh-CN"/>
              </w:rPr>
              <w:t>项目负责人：注册咨询工程师（投资）证书的得</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分。没有不得分；</w:t>
            </w:r>
          </w:p>
          <w:p>
            <w:pPr>
              <w:widowControl/>
              <w:spacing w:line="5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项目负责人具有类似</w:t>
            </w:r>
            <w:r>
              <w:rPr>
                <w:rFonts w:hint="eastAsia" w:asciiTheme="minorEastAsia" w:hAnsiTheme="minorEastAsia" w:eastAsiaTheme="minorEastAsia" w:cstheme="minorEastAsia"/>
                <w:sz w:val="24"/>
              </w:rPr>
              <w:t>业绩得3分（提供咨询师工程师（投资）执业注册</w:t>
            </w:r>
            <w:r>
              <w:rPr>
                <w:rFonts w:hint="eastAsia" w:asciiTheme="minorEastAsia" w:hAnsiTheme="minorEastAsia" w:eastAsiaTheme="minorEastAsia" w:cstheme="minorEastAsia"/>
                <w:sz w:val="24"/>
                <w:highlight w:val="none"/>
              </w:rPr>
              <w:t>业绩签章、合</w:t>
            </w:r>
            <w:r>
              <w:rPr>
                <w:rFonts w:hint="eastAsia" w:asciiTheme="minorEastAsia" w:hAnsiTheme="minorEastAsia" w:eastAsiaTheme="minorEastAsia" w:cstheme="minorEastAsia"/>
                <w:sz w:val="24"/>
              </w:rPr>
              <w:t>同）；</w:t>
            </w:r>
          </w:p>
          <w:p>
            <w:pPr>
              <w:widowControl/>
              <w:spacing w:line="5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lang w:val="zh-CN"/>
              </w:rPr>
              <w:t>拟派团队成员：每拥有1名咨询工程师（投资）得1分,拥有1名高级职称人员（包括高级经济师、高级会计师、高级工程师等）得2分，最高得4分。</w:t>
            </w:r>
            <w:r>
              <w:rPr>
                <w:rFonts w:hint="eastAsia" w:asciiTheme="minorEastAsia" w:hAnsiTheme="minorEastAsia" w:eastAsiaTheme="minorEastAsia" w:cstheme="minorEastAsia"/>
                <w:sz w:val="24"/>
              </w:rPr>
              <w:t xml:space="preserve">  </w:t>
            </w:r>
          </w:p>
          <w:p>
            <w:pPr>
              <w:widowControl/>
              <w:spacing w:line="5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（一人多证不重复计算。需提供以上人员证件及劳动合同）</w:t>
            </w:r>
            <w:r>
              <w:rPr>
                <w:rFonts w:hint="eastAsia" w:asciiTheme="minorEastAsia" w:hAnsiTheme="minorEastAsia" w:eastAsiaTheme="minorEastAsia" w:cstheme="minor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213" w:type="dxa"/>
            <w:vMerge w:val="continue"/>
            <w:vAlign w:val="center"/>
          </w:tcPr>
          <w:p>
            <w:pPr>
              <w:widowControl/>
              <w:spacing w:line="560" w:lineRule="exact"/>
              <w:ind w:firstLine="562"/>
              <w:jc w:val="center"/>
              <w:rPr>
                <w:rFonts w:asciiTheme="minorEastAsia" w:hAnsiTheme="minorEastAsia" w:eastAsiaTheme="minorEastAsia" w:cstheme="minorEastAsia"/>
                <w:b/>
                <w:sz w:val="24"/>
              </w:rPr>
            </w:pPr>
          </w:p>
        </w:tc>
        <w:tc>
          <w:tcPr>
            <w:tcW w:w="1396" w:type="dxa"/>
            <w:vAlign w:val="center"/>
          </w:tcPr>
          <w:p>
            <w:pPr>
              <w:pStyle w:val="48"/>
              <w:spacing w:before="1" w:line="5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企业业绩（</w:t>
            </w:r>
            <w:r>
              <w:rPr>
                <w:rFonts w:hint="eastAsia" w:asciiTheme="minorEastAsia" w:hAnsiTheme="minorEastAsia" w:eastAsiaTheme="minorEastAsia" w:cstheme="minorEastAsia"/>
                <w:sz w:val="24"/>
                <w:lang w:val="en-US"/>
              </w:rPr>
              <w:t>15</w:t>
            </w:r>
            <w:r>
              <w:rPr>
                <w:rFonts w:hint="eastAsia" w:asciiTheme="minorEastAsia" w:hAnsiTheme="minorEastAsia" w:eastAsiaTheme="minorEastAsia" w:cstheme="minorEastAsia"/>
                <w:sz w:val="24"/>
              </w:rPr>
              <w:t>分）</w:t>
            </w:r>
          </w:p>
        </w:tc>
        <w:tc>
          <w:tcPr>
            <w:tcW w:w="6253" w:type="dxa"/>
            <w:vAlign w:val="center"/>
          </w:tcPr>
          <w:p>
            <w:pPr>
              <w:widowControl/>
              <w:spacing w:line="6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w:t>
            </w:r>
            <w:r>
              <w:rPr>
                <w:rFonts w:asciiTheme="minorEastAsia" w:hAnsiTheme="minorEastAsia" w:eastAsiaTheme="minorEastAsia" w:cstheme="minorEastAsia"/>
                <w:color w:val="auto"/>
                <w:sz w:val="24"/>
              </w:rPr>
              <w:t>17</w:t>
            </w:r>
            <w:r>
              <w:rPr>
                <w:rFonts w:hint="eastAsia" w:asciiTheme="minorEastAsia" w:hAnsiTheme="minorEastAsia" w:eastAsiaTheme="minorEastAsia" w:cstheme="minorEastAsia"/>
                <w:color w:val="auto"/>
                <w:sz w:val="24"/>
              </w:rPr>
              <w:t>年至今每拥有一个落地P</w:t>
            </w:r>
            <w:r>
              <w:rPr>
                <w:rFonts w:asciiTheme="minorEastAsia" w:hAnsiTheme="minorEastAsia" w:eastAsiaTheme="minorEastAsia" w:cstheme="minorEastAsia"/>
                <w:color w:val="auto"/>
                <w:sz w:val="24"/>
              </w:rPr>
              <w:t>PP</w:t>
            </w:r>
            <w:r>
              <w:rPr>
                <w:rFonts w:hint="eastAsia" w:asciiTheme="minorEastAsia" w:hAnsiTheme="minorEastAsia" w:eastAsiaTheme="minorEastAsia" w:cstheme="minorEastAsia"/>
                <w:color w:val="auto"/>
                <w:sz w:val="24"/>
              </w:rPr>
              <w:t>项目得</w:t>
            </w:r>
            <w:r>
              <w:rPr>
                <w:rFonts w:asciiTheme="minorEastAsia" w:hAnsiTheme="minorEastAsia" w:eastAsiaTheme="minorEastAsia" w:cstheme="minorEastAsia"/>
                <w:color w:val="auto"/>
                <w:sz w:val="24"/>
              </w:rPr>
              <w:t>3</w:t>
            </w:r>
            <w:r>
              <w:rPr>
                <w:rFonts w:hint="eastAsia" w:asciiTheme="minorEastAsia" w:hAnsiTheme="minorEastAsia" w:eastAsiaTheme="minorEastAsia" w:cstheme="minorEastAsia"/>
                <w:color w:val="auto"/>
                <w:sz w:val="24"/>
              </w:rPr>
              <w:t>分，最高得6分。</w:t>
            </w:r>
          </w:p>
          <w:p>
            <w:pPr>
              <w:pStyle w:val="2"/>
              <w:ind w:firstLine="0" w:firstLineChars="0"/>
              <w:rPr>
                <w:rFonts w:hint="default" w:eastAsiaTheme="minorEastAsia"/>
                <w:color w:val="auto"/>
              </w:rPr>
            </w:pPr>
            <w:r>
              <w:rPr>
                <w:rFonts w:asciiTheme="minorEastAsia" w:hAnsiTheme="minorEastAsia" w:eastAsiaTheme="minorEastAsia" w:cstheme="minorEastAsia"/>
                <w:color w:val="auto"/>
                <w:sz w:val="24"/>
              </w:rPr>
              <w:t>2018年以来每拥有一个进入财政部PPP管理库项目业绩的，每个得3分，最高得9分（提供PPP咨询合同、服务项目在财政部PPP管理库截图、服务PPP项目社会资本方中标公告）。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213" w:type="dxa"/>
            <w:vMerge w:val="continue"/>
            <w:vAlign w:val="center"/>
          </w:tcPr>
          <w:p>
            <w:pPr>
              <w:widowControl/>
              <w:spacing w:line="560" w:lineRule="exact"/>
              <w:ind w:firstLine="562"/>
              <w:jc w:val="center"/>
              <w:rPr>
                <w:rFonts w:asciiTheme="minorEastAsia" w:hAnsiTheme="minorEastAsia" w:eastAsiaTheme="minorEastAsia" w:cstheme="minorEastAsia"/>
                <w:b/>
                <w:sz w:val="24"/>
              </w:rPr>
            </w:pPr>
          </w:p>
        </w:tc>
        <w:tc>
          <w:tcPr>
            <w:tcW w:w="1396" w:type="dxa"/>
            <w:vAlign w:val="center"/>
          </w:tcPr>
          <w:p>
            <w:pPr>
              <w:spacing w:line="560" w:lineRule="exact"/>
              <w:jc w:val="center"/>
              <w:rPr>
                <w:rFonts w:ascii="黑体" w:hAnsi="黑体" w:eastAsia="黑体" w:cs="黑体"/>
                <w:sz w:val="22"/>
                <w:szCs w:val="22"/>
              </w:rPr>
            </w:pPr>
            <w:r>
              <w:rPr>
                <w:rFonts w:hint="eastAsia" w:ascii="黑体" w:hAnsi="黑体" w:eastAsia="黑体" w:cs="黑体"/>
                <w:sz w:val="22"/>
                <w:szCs w:val="22"/>
              </w:rPr>
              <w:t>投标人专家情况</w:t>
            </w:r>
          </w:p>
          <w:p>
            <w:pPr>
              <w:spacing w:line="5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6</w:t>
            </w:r>
            <w:r>
              <w:rPr>
                <w:rFonts w:hint="eastAsia" w:asciiTheme="minorEastAsia" w:hAnsiTheme="minorEastAsia" w:eastAsiaTheme="minorEastAsia" w:cstheme="minorEastAsia"/>
                <w:sz w:val="24"/>
                <w:lang w:val="zh-CN"/>
              </w:rPr>
              <w:t>分）</w:t>
            </w:r>
          </w:p>
        </w:tc>
        <w:tc>
          <w:tcPr>
            <w:tcW w:w="6253" w:type="dxa"/>
            <w:vAlign w:val="center"/>
          </w:tcPr>
          <w:p>
            <w:pPr>
              <w:widowControl/>
              <w:spacing w:line="5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投标人每有一位财政部PPP入库专家得2分，最高得6分。（须提供河南省财政厅PPP推介专家库的网页截图和社保或劳动合同证明）。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213" w:type="dxa"/>
            <w:vMerge w:val="continue"/>
            <w:vAlign w:val="center"/>
          </w:tcPr>
          <w:p>
            <w:pPr>
              <w:widowControl/>
              <w:spacing w:line="560" w:lineRule="exact"/>
              <w:ind w:firstLine="562"/>
              <w:rPr>
                <w:rFonts w:asciiTheme="minorEastAsia" w:hAnsiTheme="minorEastAsia" w:eastAsiaTheme="minorEastAsia" w:cstheme="minorEastAsia"/>
                <w:b/>
                <w:sz w:val="24"/>
              </w:rPr>
            </w:pPr>
          </w:p>
        </w:tc>
        <w:tc>
          <w:tcPr>
            <w:tcW w:w="1396" w:type="dxa"/>
            <w:vAlign w:val="center"/>
          </w:tcPr>
          <w:p>
            <w:pPr>
              <w:spacing w:line="560" w:lineRule="exact"/>
              <w:jc w:val="center"/>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服务承诺（</w:t>
            </w:r>
            <w:r>
              <w:rPr>
                <w:rFonts w:hint="eastAsia" w:asciiTheme="minorEastAsia" w:hAnsiTheme="minorEastAsia" w:eastAsiaTheme="minorEastAsia" w:cstheme="minorEastAsia"/>
                <w:color w:val="auto"/>
                <w:sz w:val="24"/>
              </w:rPr>
              <w:t>5分</w:t>
            </w:r>
            <w:r>
              <w:rPr>
                <w:rFonts w:hint="eastAsia" w:asciiTheme="minorEastAsia" w:hAnsiTheme="minorEastAsia" w:eastAsiaTheme="minorEastAsia" w:cstheme="minorEastAsia"/>
                <w:color w:val="auto"/>
                <w:sz w:val="24"/>
                <w:lang w:val="zh-CN"/>
              </w:rPr>
              <w:t>）</w:t>
            </w:r>
          </w:p>
        </w:tc>
        <w:tc>
          <w:tcPr>
            <w:tcW w:w="6253" w:type="dxa"/>
            <w:vAlign w:val="center"/>
          </w:tcPr>
          <w:p>
            <w:pPr>
              <w:widowControl/>
              <w:spacing w:line="5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针对本项目提供的服务承诺，优者得4-5分，良好得2-3分，一般得1分，不提供不得分</w:t>
            </w:r>
          </w:p>
        </w:tc>
      </w:tr>
    </w:tbl>
    <w:p>
      <w:pPr>
        <w:pStyle w:val="3"/>
        <w:rPr>
          <w:rFonts w:asciiTheme="minorEastAsia" w:hAnsiTheme="minorEastAsia" w:eastAsiaTheme="minorEastAsia" w:cstheme="minorEastAsia"/>
          <w:sz w:val="24"/>
        </w:rPr>
      </w:pPr>
    </w:p>
    <w:p>
      <w:pPr>
        <w:pStyle w:val="21"/>
        <w:rPr>
          <w:rFonts w:asciiTheme="minorEastAsia" w:hAnsiTheme="minorEastAsia" w:eastAsiaTheme="minorEastAsia" w:cstheme="minorEastAsia"/>
          <w:sz w:val="24"/>
        </w:rPr>
      </w:pPr>
    </w:p>
    <w:p>
      <w:pPr>
        <w:numPr>
          <w:ilvl w:val="0"/>
          <w:numId w:val="7"/>
        </w:numPr>
        <w:tabs>
          <w:tab w:val="left" w:pos="170"/>
          <w:tab w:val="left" w:pos="303"/>
          <w:tab w:val="left" w:pos="420"/>
        </w:tabs>
        <w:adjustRightInd w:val="0"/>
        <w:snapToGrid w:val="0"/>
        <w:spacing w:line="560" w:lineRule="exact"/>
        <w:ind w:left="0" w:firstLine="0"/>
        <w:outlineLvl w:val="1"/>
        <w:rPr>
          <w:rFonts w:ascii="宋体" w:hAnsi="宋体" w:cs="仿宋_GB2312"/>
          <w:b/>
          <w:sz w:val="28"/>
          <w:szCs w:val="28"/>
        </w:rPr>
      </w:pPr>
      <w:bookmarkStart w:id="250" w:name="_Toc19403"/>
      <w:bookmarkStart w:id="251" w:name="_Toc465502579"/>
      <w:bookmarkStart w:id="252" w:name="_Toc21064"/>
      <w:bookmarkStart w:id="253" w:name="_Toc454147538"/>
      <w:bookmarkStart w:id="254" w:name="_Toc466017207"/>
      <w:r>
        <w:rPr>
          <w:rFonts w:hint="eastAsia" w:ascii="宋体" w:hAnsi="宋体" w:cs="仿宋_GB2312"/>
          <w:b/>
          <w:sz w:val="28"/>
          <w:szCs w:val="28"/>
        </w:rPr>
        <w:t xml:space="preserve"> </w:t>
      </w:r>
      <w:bookmarkStart w:id="255" w:name="_Toc6843"/>
      <w:bookmarkStart w:id="256" w:name="_Toc19346"/>
      <w:r>
        <w:rPr>
          <w:rFonts w:hint="eastAsia" w:ascii="宋体" w:hAnsi="宋体" w:cs="仿宋_GB2312"/>
          <w:b/>
          <w:sz w:val="28"/>
          <w:szCs w:val="28"/>
        </w:rPr>
        <w:t>评标准则和评标方法</w:t>
      </w:r>
      <w:bookmarkEnd w:id="250"/>
      <w:bookmarkEnd w:id="251"/>
      <w:bookmarkEnd w:id="252"/>
      <w:bookmarkEnd w:id="253"/>
      <w:bookmarkEnd w:id="254"/>
      <w:bookmarkEnd w:id="255"/>
      <w:bookmarkEnd w:id="256"/>
    </w:p>
    <w:p>
      <w:pPr>
        <w:adjustRightInd w:val="0"/>
        <w:snapToGrid w:val="0"/>
        <w:spacing w:line="560" w:lineRule="exact"/>
        <w:rPr>
          <w:szCs w:val="21"/>
        </w:rPr>
      </w:pPr>
      <w:r>
        <w:rPr>
          <w:rFonts w:hint="eastAsia"/>
          <w:szCs w:val="21"/>
        </w:rPr>
        <w:t>1.1 评标过程将遵循“公平、公正、科学、择优”的原则进行。</w:t>
      </w:r>
    </w:p>
    <w:p>
      <w:pPr>
        <w:adjustRightInd w:val="0"/>
        <w:snapToGrid w:val="0"/>
        <w:spacing w:line="560" w:lineRule="exact"/>
        <w:rPr>
          <w:szCs w:val="21"/>
        </w:rPr>
      </w:pPr>
      <w:r>
        <w:rPr>
          <w:rFonts w:hint="eastAsia"/>
          <w:szCs w:val="21"/>
        </w:rPr>
        <w:t>1.2 评标将严格按照招标文件的要求和条件进行。</w:t>
      </w:r>
    </w:p>
    <w:p>
      <w:pPr>
        <w:adjustRightInd w:val="0"/>
        <w:snapToGrid w:val="0"/>
        <w:spacing w:line="560" w:lineRule="exact"/>
        <w:rPr>
          <w:szCs w:val="21"/>
        </w:rPr>
      </w:pPr>
      <w:r>
        <w:rPr>
          <w:rFonts w:hint="eastAsia"/>
          <w:szCs w:val="21"/>
        </w:rPr>
        <w:t>1.3 本次评标采用综合评分法。</w:t>
      </w:r>
    </w:p>
    <w:p>
      <w:pPr>
        <w:numPr>
          <w:ilvl w:val="0"/>
          <w:numId w:val="7"/>
        </w:numPr>
        <w:tabs>
          <w:tab w:val="left" w:pos="170"/>
          <w:tab w:val="left" w:pos="303"/>
          <w:tab w:val="left" w:pos="420"/>
        </w:tabs>
        <w:adjustRightInd w:val="0"/>
        <w:snapToGrid w:val="0"/>
        <w:spacing w:line="560" w:lineRule="exact"/>
        <w:ind w:left="0" w:firstLine="0"/>
        <w:outlineLvl w:val="1"/>
        <w:rPr>
          <w:rFonts w:ascii="宋体" w:hAnsi="宋体" w:cs="仿宋_GB2312"/>
          <w:b/>
          <w:sz w:val="28"/>
          <w:szCs w:val="28"/>
        </w:rPr>
      </w:pPr>
      <w:bookmarkStart w:id="257" w:name="_Toc454147539"/>
      <w:bookmarkStart w:id="258" w:name="_Toc465502580"/>
      <w:bookmarkStart w:id="259" w:name="_Toc15449"/>
      <w:bookmarkStart w:id="260" w:name="_Toc466017208"/>
      <w:bookmarkStart w:id="261" w:name="_Toc13195"/>
      <w:bookmarkStart w:id="262" w:name="_Toc4593"/>
      <w:bookmarkStart w:id="263" w:name="_Toc7951"/>
      <w:r>
        <w:rPr>
          <w:rFonts w:hint="eastAsia" w:ascii="宋体" w:hAnsi="宋体" w:cs="仿宋_GB2312"/>
          <w:b/>
          <w:sz w:val="28"/>
          <w:szCs w:val="28"/>
        </w:rPr>
        <w:t>评审标准</w:t>
      </w:r>
      <w:bookmarkEnd w:id="257"/>
      <w:bookmarkEnd w:id="258"/>
      <w:bookmarkEnd w:id="259"/>
      <w:bookmarkEnd w:id="260"/>
      <w:bookmarkEnd w:id="261"/>
      <w:bookmarkEnd w:id="262"/>
      <w:bookmarkEnd w:id="263"/>
    </w:p>
    <w:p>
      <w:pPr>
        <w:adjustRightInd w:val="0"/>
        <w:snapToGrid w:val="0"/>
        <w:spacing w:line="560" w:lineRule="exact"/>
        <w:rPr>
          <w:szCs w:val="21"/>
        </w:rPr>
      </w:pPr>
      <w:r>
        <w:rPr>
          <w:rFonts w:hint="eastAsia"/>
          <w:szCs w:val="21"/>
        </w:rPr>
        <w:t>2.1 资格评审标准：详见《评分办法前附表》中资格评审标准。</w:t>
      </w:r>
    </w:p>
    <w:p>
      <w:pPr>
        <w:adjustRightInd w:val="0"/>
        <w:snapToGrid w:val="0"/>
        <w:spacing w:line="560" w:lineRule="exact"/>
        <w:rPr>
          <w:szCs w:val="21"/>
        </w:rPr>
      </w:pPr>
      <w:r>
        <w:rPr>
          <w:rFonts w:hint="eastAsia"/>
          <w:szCs w:val="21"/>
        </w:rPr>
        <w:t>2.2 评分标准：详见《评分办法前附表》报价部分、技术部分、商务部分评审因素。</w:t>
      </w:r>
    </w:p>
    <w:p>
      <w:pPr>
        <w:numPr>
          <w:ilvl w:val="0"/>
          <w:numId w:val="7"/>
        </w:numPr>
        <w:tabs>
          <w:tab w:val="left" w:pos="170"/>
          <w:tab w:val="left" w:pos="303"/>
          <w:tab w:val="left" w:pos="420"/>
        </w:tabs>
        <w:adjustRightInd w:val="0"/>
        <w:snapToGrid w:val="0"/>
        <w:spacing w:line="560" w:lineRule="exact"/>
        <w:ind w:left="0" w:firstLine="0"/>
        <w:outlineLvl w:val="1"/>
        <w:rPr>
          <w:rFonts w:ascii="宋体" w:hAnsi="宋体" w:cs="仿宋_GB2312"/>
          <w:b/>
          <w:sz w:val="28"/>
          <w:szCs w:val="28"/>
        </w:rPr>
      </w:pPr>
      <w:bookmarkStart w:id="264" w:name="_Toc19609"/>
      <w:bookmarkStart w:id="265" w:name="_Toc28348"/>
      <w:bookmarkStart w:id="266" w:name="_Toc11065"/>
      <w:r>
        <w:rPr>
          <w:rFonts w:hint="eastAsia" w:ascii="宋体" w:hAnsi="宋体" w:cs="仿宋_GB2312"/>
          <w:b/>
          <w:sz w:val="28"/>
          <w:szCs w:val="28"/>
        </w:rPr>
        <w:t>评标程序</w:t>
      </w:r>
      <w:bookmarkEnd w:id="264"/>
      <w:bookmarkEnd w:id="265"/>
      <w:bookmarkEnd w:id="266"/>
    </w:p>
    <w:p>
      <w:pPr>
        <w:adjustRightInd w:val="0"/>
        <w:snapToGrid w:val="0"/>
        <w:spacing w:line="560" w:lineRule="exact"/>
        <w:rPr>
          <w:b/>
          <w:bCs/>
          <w:sz w:val="24"/>
        </w:rPr>
      </w:pPr>
      <w:r>
        <w:rPr>
          <w:rFonts w:hint="eastAsia"/>
          <w:b/>
          <w:bCs/>
          <w:sz w:val="24"/>
        </w:rPr>
        <w:t>3.1初步评审</w:t>
      </w:r>
    </w:p>
    <w:p>
      <w:pPr>
        <w:adjustRightInd w:val="0"/>
        <w:snapToGrid w:val="0"/>
        <w:spacing w:line="560" w:lineRule="exact"/>
        <w:rPr>
          <w:lang w:val="zh-CN"/>
        </w:rPr>
      </w:pPr>
      <w:r>
        <w:rPr>
          <w:rFonts w:hint="eastAsia" w:ascii="Times New Roman" w:hAnsi="Times New Roman"/>
          <w:szCs w:val="21"/>
        </w:rPr>
        <w:t xml:space="preserve">3.11 </w:t>
      </w:r>
      <w:r>
        <w:rPr>
          <w:rFonts w:hint="eastAsia" w:ascii="Times New Roman" w:hAnsi="Times New Roman"/>
          <w:szCs w:val="21"/>
          <w:lang w:val="zh-CN"/>
        </w:rPr>
        <w:t>采购人或代理机构可以要求投标人提交第二章“投标人须知”规定的有关证明。采购人或代理机构依据本章第2.1款规定的标准对投标文件进行资格评审。有一项</w:t>
      </w:r>
      <w:r>
        <w:rPr>
          <w:rFonts w:hint="eastAsia"/>
          <w:lang w:val="zh-CN"/>
        </w:rPr>
        <w:t>不符合资格评审标准的，作无效投标处理。</w:t>
      </w:r>
    </w:p>
    <w:p>
      <w:pPr>
        <w:adjustRightInd w:val="0"/>
        <w:snapToGrid w:val="0"/>
        <w:spacing w:line="560" w:lineRule="exact"/>
        <w:rPr>
          <w:lang w:val="zh-CN"/>
        </w:rPr>
      </w:pPr>
      <w:r>
        <w:rPr>
          <w:rFonts w:hint="eastAsia"/>
        </w:rPr>
        <w:t xml:space="preserve">3.12 </w:t>
      </w:r>
      <w:r>
        <w:rPr>
          <w:rFonts w:hint="eastAsia"/>
          <w:lang w:val="zh-CN"/>
        </w:rPr>
        <w:t>投标文件属下列情况之一的，应当在资格性、符合性检查时按照无效投标处理：</w:t>
      </w:r>
    </w:p>
    <w:p>
      <w:pPr>
        <w:numPr>
          <w:ilvl w:val="0"/>
          <w:numId w:val="8"/>
        </w:numPr>
        <w:autoSpaceDE w:val="0"/>
        <w:autoSpaceDN w:val="0"/>
        <w:adjustRightInd w:val="0"/>
        <w:snapToGrid w:val="0"/>
        <w:spacing w:line="560" w:lineRule="exact"/>
        <w:jc w:val="left"/>
        <w:rPr>
          <w:rFonts w:ascii="宋体" w:hAnsi="宋体" w:cs="宋体"/>
        </w:rPr>
      </w:pPr>
      <w:r>
        <w:rPr>
          <w:rFonts w:hint="eastAsia" w:ascii="宋体" w:hAnsi="宋体" w:cs="宋体"/>
        </w:rPr>
        <w:t>未按照招标文件规定要求签署、盖章的；</w:t>
      </w:r>
    </w:p>
    <w:p>
      <w:pPr>
        <w:numPr>
          <w:ilvl w:val="0"/>
          <w:numId w:val="8"/>
        </w:numPr>
        <w:autoSpaceDE w:val="0"/>
        <w:autoSpaceDN w:val="0"/>
        <w:adjustRightInd w:val="0"/>
        <w:snapToGrid w:val="0"/>
        <w:spacing w:line="560" w:lineRule="exact"/>
        <w:jc w:val="left"/>
        <w:rPr>
          <w:rFonts w:ascii="宋体" w:hAnsi="宋体" w:cs="宋体"/>
        </w:rPr>
      </w:pPr>
      <w:r>
        <w:rPr>
          <w:rFonts w:hint="eastAsia" w:ascii="宋体" w:hAnsi="宋体" w:cs="宋体"/>
        </w:rPr>
        <w:t>不具备招标文件中规定资格要求的；</w:t>
      </w:r>
    </w:p>
    <w:p>
      <w:pPr>
        <w:numPr>
          <w:ilvl w:val="0"/>
          <w:numId w:val="8"/>
        </w:numPr>
        <w:autoSpaceDE w:val="0"/>
        <w:autoSpaceDN w:val="0"/>
        <w:adjustRightInd w:val="0"/>
        <w:snapToGrid w:val="0"/>
        <w:spacing w:line="560" w:lineRule="exact"/>
        <w:jc w:val="left"/>
        <w:rPr>
          <w:rFonts w:ascii="宋体" w:hAnsi="宋体" w:cs="宋体"/>
        </w:rPr>
      </w:pPr>
      <w:r>
        <w:rPr>
          <w:rFonts w:hint="eastAsia" w:ascii="宋体" w:hAnsi="宋体" w:cs="宋体"/>
        </w:rPr>
        <w:t>不符合法律、法规和招标文件中规定的其他实质性要求的。</w:t>
      </w:r>
    </w:p>
    <w:p>
      <w:pPr>
        <w:adjustRightInd w:val="0"/>
        <w:snapToGrid w:val="0"/>
        <w:spacing w:line="560" w:lineRule="exact"/>
        <w:rPr>
          <w:lang w:val="zh-CN"/>
        </w:rPr>
      </w:pPr>
      <w:r>
        <w:rPr>
          <w:rFonts w:hint="eastAsia"/>
        </w:rPr>
        <w:t xml:space="preserve">3.13 </w:t>
      </w:r>
      <w:r>
        <w:rPr>
          <w:rFonts w:hint="eastAsia"/>
          <w:lang w:val="zh-CN"/>
        </w:rPr>
        <w:t>投标报价有算数错误的，评标委员会按以下原则对投标报价进行修正，修正的价格经投标人书面确认后具有约束力。投标人不接受修正价格的，其投标作无效投标处理。</w:t>
      </w:r>
    </w:p>
    <w:p>
      <w:pPr>
        <w:numPr>
          <w:ilvl w:val="0"/>
          <w:numId w:val="9"/>
        </w:numPr>
        <w:autoSpaceDE w:val="0"/>
        <w:autoSpaceDN w:val="0"/>
        <w:adjustRightInd w:val="0"/>
        <w:snapToGrid w:val="0"/>
        <w:spacing w:line="560" w:lineRule="exact"/>
        <w:jc w:val="left"/>
        <w:rPr>
          <w:rFonts w:ascii="宋体" w:hAnsi="宋体" w:cs="宋体"/>
        </w:rPr>
      </w:pPr>
      <w:r>
        <w:rPr>
          <w:rFonts w:hint="eastAsia" w:ascii="宋体" w:hAnsi="宋体" w:cs="宋体"/>
        </w:rPr>
        <w:t>投标文件中的大写金额与小写金额不一致的，以大写金额为准；</w:t>
      </w:r>
    </w:p>
    <w:p>
      <w:pPr>
        <w:numPr>
          <w:ilvl w:val="0"/>
          <w:numId w:val="9"/>
        </w:numPr>
        <w:autoSpaceDE w:val="0"/>
        <w:autoSpaceDN w:val="0"/>
        <w:adjustRightInd w:val="0"/>
        <w:snapToGrid w:val="0"/>
        <w:spacing w:line="560" w:lineRule="exact"/>
        <w:jc w:val="left"/>
        <w:rPr>
          <w:rFonts w:ascii="宋体" w:hAnsi="宋体" w:cs="宋体"/>
        </w:rPr>
      </w:pPr>
      <w:r>
        <w:rPr>
          <w:rFonts w:hint="eastAsia" w:ascii="宋体" w:hAnsi="宋体" w:cs="宋体"/>
        </w:rPr>
        <w:t>投标文件中开标一览表内容与投标文件中明细表内容不一致的，以开标一览表为准。</w:t>
      </w:r>
    </w:p>
    <w:p>
      <w:pPr>
        <w:adjustRightInd w:val="0"/>
        <w:snapToGrid w:val="0"/>
        <w:spacing w:line="560" w:lineRule="exact"/>
        <w:rPr>
          <w:b/>
          <w:bCs/>
          <w:sz w:val="24"/>
        </w:rPr>
      </w:pPr>
      <w:r>
        <w:rPr>
          <w:rFonts w:hint="eastAsia"/>
          <w:b/>
          <w:bCs/>
          <w:sz w:val="24"/>
        </w:rPr>
        <w:t>3.2 详细评审</w:t>
      </w:r>
    </w:p>
    <w:p>
      <w:pPr>
        <w:adjustRightInd w:val="0"/>
        <w:snapToGrid w:val="0"/>
        <w:spacing w:line="560" w:lineRule="exact"/>
        <w:rPr>
          <w:lang w:val="zh-CN"/>
        </w:rPr>
      </w:pPr>
      <w:r>
        <w:rPr>
          <w:rFonts w:hint="eastAsia"/>
        </w:rPr>
        <w:t xml:space="preserve">3.2.1 </w:t>
      </w:r>
      <w:r>
        <w:rPr>
          <w:rFonts w:hint="eastAsia"/>
          <w:lang w:val="zh-CN"/>
        </w:rPr>
        <w:t>评标委员会按本章</w:t>
      </w:r>
      <w:r>
        <w:rPr>
          <w:rFonts w:hint="eastAsia"/>
        </w:rPr>
        <w:t>的</w:t>
      </w:r>
      <w:r>
        <w:rPr>
          <w:rFonts w:hint="eastAsia"/>
          <w:lang w:val="zh-CN"/>
        </w:rPr>
        <w:t>评分标准进行打分，并计算出综合评审得分。</w:t>
      </w:r>
    </w:p>
    <w:p>
      <w:pPr>
        <w:adjustRightInd w:val="0"/>
        <w:snapToGrid w:val="0"/>
        <w:spacing w:line="560" w:lineRule="exact"/>
        <w:rPr>
          <w:lang w:val="zh-CN"/>
        </w:rPr>
      </w:pPr>
      <w:r>
        <w:rPr>
          <w:rFonts w:hint="eastAsia"/>
        </w:rPr>
        <w:t xml:space="preserve">3.2.2 </w:t>
      </w:r>
      <w:r>
        <w:rPr>
          <w:rFonts w:hint="eastAsia"/>
          <w:lang w:val="zh-CN"/>
        </w:rPr>
        <w:t>评标委员会发现投标人的投标总报价</w:t>
      </w:r>
      <w:r>
        <w:rPr>
          <w:rFonts w:hint="eastAsia"/>
        </w:rPr>
        <w:t>高</w:t>
      </w:r>
      <w:r>
        <w:rPr>
          <w:rFonts w:hint="eastAsia"/>
          <w:lang w:val="zh-CN"/>
        </w:rPr>
        <w:t>于</w:t>
      </w:r>
      <w:r>
        <w:rPr>
          <w:rFonts w:hint="eastAsia"/>
        </w:rPr>
        <w:t>招标文件规定的控制价</w:t>
      </w:r>
      <w:r>
        <w:rPr>
          <w:rFonts w:hint="eastAsia"/>
          <w:lang w:val="zh-CN"/>
        </w:rPr>
        <w:t>，评标委员会应按无效投标处理。</w:t>
      </w:r>
    </w:p>
    <w:p>
      <w:pPr>
        <w:adjustRightInd w:val="0"/>
        <w:snapToGrid w:val="0"/>
        <w:spacing w:line="560" w:lineRule="exact"/>
        <w:rPr>
          <w:b/>
          <w:bCs/>
          <w:sz w:val="24"/>
        </w:rPr>
      </w:pPr>
      <w:r>
        <w:rPr>
          <w:rFonts w:hint="eastAsia"/>
          <w:b/>
          <w:bCs/>
          <w:sz w:val="24"/>
        </w:rPr>
        <w:t>3.3 投标文件的澄清和补正</w:t>
      </w:r>
    </w:p>
    <w:p>
      <w:pPr>
        <w:adjustRightInd w:val="0"/>
        <w:snapToGrid w:val="0"/>
        <w:spacing w:line="560" w:lineRule="exact"/>
        <w:rPr>
          <w:lang w:val="zh-CN"/>
        </w:rPr>
      </w:pPr>
      <w:r>
        <w:rPr>
          <w:rFonts w:hint="eastAsia"/>
        </w:rPr>
        <w:t xml:space="preserve">3.3.1 </w:t>
      </w:r>
      <w:r>
        <w:rPr>
          <w:rFonts w:hint="eastAsia"/>
          <w:lang w:val="zh-CN"/>
        </w:rPr>
        <w:t>在评标过程中，评标委员会可以书面形式要求投标人对所提交投标文件中不明确的内容进行书面澄清或说明，或者对细微偏差进行补正。</w:t>
      </w:r>
    </w:p>
    <w:p>
      <w:pPr>
        <w:adjustRightInd w:val="0"/>
        <w:snapToGrid w:val="0"/>
        <w:spacing w:line="560" w:lineRule="exact"/>
        <w:rPr>
          <w:lang w:val="zh-CN"/>
        </w:rPr>
      </w:pPr>
      <w:r>
        <w:rPr>
          <w:rFonts w:hint="eastAsia"/>
        </w:rPr>
        <w:t xml:space="preserve">3.3.2 </w:t>
      </w:r>
      <w:r>
        <w:rPr>
          <w:rFonts w:hint="eastAsia"/>
          <w:lang w:val="zh-CN"/>
        </w:rPr>
        <w:t>澄清、说明和补正不得改变投标文件的实质性内容（算术性错误修正的除外）。投标人的书面澄清、说明和补正属于投标文件的组成部分。</w:t>
      </w:r>
    </w:p>
    <w:p>
      <w:pPr>
        <w:adjustRightInd w:val="0"/>
        <w:snapToGrid w:val="0"/>
        <w:spacing w:line="560" w:lineRule="exact"/>
        <w:rPr>
          <w:b/>
          <w:bCs/>
          <w:sz w:val="24"/>
        </w:rPr>
      </w:pPr>
      <w:r>
        <w:rPr>
          <w:rFonts w:hint="eastAsia"/>
          <w:b/>
          <w:bCs/>
          <w:sz w:val="24"/>
        </w:rPr>
        <w:t>3.4 评标结果</w:t>
      </w:r>
    </w:p>
    <w:p>
      <w:pPr>
        <w:adjustRightInd w:val="0"/>
        <w:snapToGrid w:val="0"/>
        <w:spacing w:line="560" w:lineRule="exact"/>
      </w:pPr>
      <w:r>
        <w:rPr>
          <w:rFonts w:hint="eastAsia"/>
        </w:rPr>
        <w:t xml:space="preserve">3.4.1 </w:t>
      </w:r>
      <w:r>
        <w:rPr>
          <w:rFonts w:hint="eastAsia"/>
          <w:lang w:val="zh-CN"/>
        </w:rPr>
        <w:t>投标人得分=投标报价得分+</w:t>
      </w:r>
      <w:r>
        <w:rPr>
          <w:rFonts w:hint="eastAsia"/>
        </w:rPr>
        <w:t>技术部分得分</w:t>
      </w:r>
      <w:r>
        <w:rPr>
          <w:rFonts w:hint="eastAsia"/>
          <w:lang w:val="zh-CN"/>
        </w:rPr>
        <w:t>+</w:t>
      </w:r>
      <w:r>
        <w:rPr>
          <w:rFonts w:hint="eastAsia"/>
        </w:rPr>
        <w:t>商务部分得分</w:t>
      </w:r>
    </w:p>
    <w:p>
      <w:pPr>
        <w:adjustRightInd w:val="0"/>
        <w:snapToGrid w:val="0"/>
        <w:spacing w:line="560" w:lineRule="exact"/>
        <w:rPr>
          <w:lang w:val="zh-CN"/>
        </w:rPr>
      </w:pPr>
      <w:r>
        <w:rPr>
          <w:rFonts w:hint="eastAsia"/>
        </w:rPr>
        <w:t>3.4.2</w:t>
      </w:r>
      <w:r>
        <w:rPr>
          <w:rFonts w:hint="eastAsia"/>
          <w:lang w:val="zh-CN"/>
        </w:rPr>
        <w:t>投标人最终得分为评标委员会完成评审后所有评分的算术平均值，作为该投标人最终得分。</w:t>
      </w:r>
    </w:p>
    <w:p>
      <w:pPr>
        <w:adjustRightInd w:val="0"/>
        <w:snapToGrid w:val="0"/>
        <w:spacing w:line="560" w:lineRule="exact"/>
        <w:rPr>
          <w:lang w:val="zh-CN"/>
        </w:rPr>
      </w:pPr>
      <w:r>
        <w:rPr>
          <w:rFonts w:hint="eastAsia"/>
        </w:rPr>
        <w:t xml:space="preserve">3.4.3 </w:t>
      </w:r>
      <w:r>
        <w:rPr>
          <w:rFonts w:hint="eastAsia"/>
          <w:lang w:val="zh-CN"/>
        </w:rPr>
        <w:t>投标人最终得分相同的，投标报价</w:t>
      </w:r>
      <w:r>
        <w:rPr>
          <w:rFonts w:hint="eastAsia"/>
        </w:rPr>
        <w:t>低</w:t>
      </w:r>
      <w:r>
        <w:rPr>
          <w:rFonts w:hint="eastAsia"/>
          <w:lang w:val="zh-CN"/>
        </w:rPr>
        <w:t>的优先，</w:t>
      </w:r>
      <w:r>
        <w:rPr>
          <w:rFonts w:hint="eastAsia"/>
        </w:rPr>
        <w:t>投标报价也相同的以技术得分高的优先，技术得分也相同的由采购人自行确定</w:t>
      </w:r>
      <w:r>
        <w:rPr>
          <w:rFonts w:hint="eastAsia"/>
          <w:lang w:val="zh-CN"/>
        </w:rPr>
        <w:t>。</w:t>
      </w:r>
    </w:p>
    <w:p>
      <w:pPr>
        <w:adjustRightInd w:val="0"/>
        <w:snapToGrid w:val="0"/>
        <w:spacing w:line="560" w:lineRule="exact"/>
        <w:rPr>
          <w:lang w:val="zh-CN"/>
        </w:rPr>
      </w:pPr>
      <w:r>
        <w:rPr>
          <w:rFonts w:hint="eastAsia"/>
        </w:rPr>
        <w:t xml:space="preserve">3.4.4 </w:t>
      </w:r>
      <w:r>
        <w:rPr>
          <w:rFonts w:hint="eastAsia"/>
          <w:lang w:val="zh-CN"/>
        </w:rPr>
        <w:t>计分过程中按四舍五入的法则，最终结果取至小数点后两位。</w:t>
      </w:r>
    </w:p>
    <w:p>
      <w:pPr>
        <w:adjustRightInd w:val="0"/>
        <w:snapToGrid w:val="0"/>
        <w:spacing w:line="560" w:lineRule="exact"/>
        <w:rPr>
          <w:lang w:val="zh-CN"/>
        </w:rPr>
      </w:pPr>
      <w:r>
        <w:rPr>
          <w:rFonts w:hint="eastAsia"/>
        </w:rPr>
        <w:t xml:space="preserve">3.4.5 </w:t>
      </w:r>
      <w:r>
        <w:rPr>
          <w:rFonts w:hint="eastAsia"/>
          <w:lang w:val="zh-CN"/>
        </w:rPr>
        <w:t>评标委员会按照得分由高到低的顺序推荐</w:t>
      </w:r>
      <w:r>
        <w:rPr>
          <w:rFonts w:hint="eastAsia"/>
        </w:rPr>
        <w:t>1-3名</w:t>
      </w:r>
      <w:r>
        <w:rPr>
          <w:rFonts w:hint="eastAsia"/>
          <w:lang w:val="zh-CN"/>
        </w:rPr>
        <w:t>中标候选人。</w:t>
      </w:r>
    </w:p>
    <w:p>
      <w:pPr>
        <w:adjustRightInd w:val="0"/>
        <w:snapToGrid w:val="0"/>
        <w:spacing w:line="560" w:lineRule="exact"/>
        <w:rPr>
          <w:lang w:val="zh-CN"/>
        </w:rPr>
      </w:pPr>
      <w:r>
        <w:rPr>
          <w:rFonts w:hint="eastAsia"/>
        </w:rPr>
        <w:t xml:space="preserve">3.4.6 </w:t>
      </w:r>
      <w:r>
        <w:rPr>
          <w:rFonts w:hint="eastAsia"/>
          <w:lang w:val="zh-CN"/>
        </w:rPr>
        <w:t>评标委员会完成评标后，应当向采购人提交书面评标报告。</w:t>
      </w:r>
    </w:p>
    <w:p>
      <w:pPr>
        <w:adjustRightInd w:val="0"/>
        <w:snapToGrid w:val="0"/>
        <w:spacing w:line="560" w:lineRule="exact"/>
        <w:rPr>
          <w:b/>
          <w:bCs/>
          <w:sz w:val="24"/>
          <w:lang w:val="zh-CN"/>
        </w:rPr>
      </w:pPr>
      <w:r>
        <w:rPr>
          <w:rFonts w:hint="eastAsia"/>
          <w:b/>
          <w:bCs/>
          <w:sz w:val="24"/>
        </w:rPr>
        <w:t xml:space="preserve">3.5 </w:t>
      </w:r>
      <w:r>
        <w:rPr>
          <w:rFonts w:hint="eastAsia"/>
          <w:b/>
          <w:bCs/>
          <w:sz w:val="24"/>
          <w:lang w:val="zh-CN"/>
        </w:rPr>
        <w:t>顺延中标人或重新招标</w:t>
      </w:r>
    </w:p>
    <w:p>
      <w:pPr>
        <w:adjustRightInd w:val="0"/>
        <w:snapToGrid w:val="0"/>
        <w:spacing w:line="560" w:lineRule="exact"/>
        <w:rPr>
          <w:lang w:val="zh-CN"/>
        </w:rPr>
      </w:pPr>
      <w:r>
        <w:rPr>
          <w:rFonts w:hint="eastAsia"/>
          <w:lang w:val="zh-CN"/>
        </w:rPr>
        <w:t>中标人因不可抗力不能履行政府采购合同的，采购人可以与排位在中标人之后第一位的中标候选人签订政府采购合同，或者重新采购。</w:t>
      </w:r>
    </w:p>
    <w:p>
      <w:pPr>
        <w:adjustRightInd w:val="0"/>
        <w:snapToGrid w:val="0"/>
        <w:spacing w:line="560" w:lineRule="exact"/>
        <w:rPr>
          <w:b/>
          <w:bCs/>
          <w:sz w:val="24"/>
        </w:rPr>
      </w:pPr>
      <w:bookmarkStart w:id="267" w:name="_Toc17922"/>
      <w:bookmarkStart w:id="268" w:name="_Toc16293"/>
      <w:bookmarkStart w:id="269" w:name="_Toc11630"/>
      <w:bookmarkStart w:id="270" w:name="_Toc28863"/>
      <w:bookmarkStart w:id="271" w:name="_Toc7468"/>
      <w:bookmarkStart w:id="272" w:name="_Toc54"/>
      <w:bookmarkStart w:id="273" w:name="_Toc19590"/>
      <w:r>
        <w:rPr>
          <w:rFonts w:hint="eastAsia"/>
          <w:b/>
          <w:bCs/>
          <w:sz w:val="24"/>
        </w:rPr>
        <w:t>3.6 保密及其他注意事项</w:t>
      </w:r>
      <w:bookmarkEnd w:id="267"/>
      <w:bookmarkEnd w:id="268"/>
      <w:bookmarkEnd w:id="269"/>
      <w:bookmarkEnd w:id="270"/>
      <w:bookmarkEnd w:id="271"/>
      <w:bookmarkEnd w:id="272"/>
      <w:bookmarkEnd w:id="273"/>
    </w:p>
    <w:p>
      <w:pPr>
        <w:adjustRightInd w:val="0"/>
        <w:snapToGrid w:val="0"/>
        <w:spacing w:line="560" w:lineRule="exact"/>
        <w:rPr>
          <w:lang w:val="zh-CN"/>
        </w:rPr>
      </w:pPr>
      <w:r>
        <w:rPr>
          <w:rFonts w:hint="eastAsia"/>
        </w:rPr>
        <w:t xml:space="preserve">3.6.1 </w:t>
      </w:r>
      <w:r>
        <w:rPr>
          <w:rFonts w:hint="eastAsia"/>
          <w:lang w:val="zh-CN"/>
        </w:rPr>
        <w:t>在评标期间，投标企业不得向评标委员会成员询问评标情况，不得进行旨在影响中标结果的活动。</w:t>
      </w:r>
    </w:p>
    <w:p>
      <w:pPr>
        <w:adjustRightInd w:val="0"/>
        <w:snapToGrid w:val="0"/>
        <w:spacing w:line="560" w:lineRule="exact"/>
        <w:rPr>
          <w:lang w:val="zh-CN"/>
        </w:rPr>
      </w:pPr>
      <w:r>
        <w:rPr>
          <w:rFonts w:hint="eastAsia"/>
        </w:rPr>
        <w:t xml:space="preserve">3.6.2 </w:t>
      </w:r>
      <w:r>
        <w:rPr>
          <w:rFonts w:hint="eastAsia"/>
          <w:lang w:val="zh-CN"/>
        </w:rPr>
        <w:t>在评标结束后，凡与评标情况有接触的任何人不得也不应将评标情况扩散出评标委员会成员之外。</w:t>
      </w:r>
    </w:p>
    <w:p>
      <w:pPr>
        <w:adjustRightInd w:val="0"/>
        <w:snapToGrid w:val="0"/>
        <w:spacing w:line="560" w:lineRule="exact"/>
        <w:rPr>
          <w:rFonts w:ascii="方正小标宋简体" w:hAnsi="方正小标宋简体" w:eastAsia="方正小标宋简体" w:cs="方正小标宋简体"/>
          <w:sz w:val="44"/>
          <w:szCs w:val="44"/>
        </w:rPr>
      </w:pPr>
      <w:r>
        <w:rPr>
          <w:rFonts w:hint="eastAsia"/>
        </w:rPr>
        <w:t>3.6.3</w:t>
      </w:r>
      <w:r>
        <w:rPr>
          <w:rFonts w:hint="eastAsia"/>
          <w:lang w:val="zh-CN"/>
        </w:rPr>
        <w:t>招标代理机构不向落标方解释落标原因，不退还投标文件。</w:t>
      </w:r>
    </w:p>
    <w:p>
      <w:pPr>
        <w:tabs>
          <w:tab w:val="left" w:pos="720"/>
        </w:tabs>
        <w:spacing w:line="440" w:lineRule="exact"/>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bCs/>
          <w:kern w:val="0"/>
          <w:szCs w:val="21"/>
        </w:rPr>
        <w:br w:type="page"/>
      </w:r>
    </w:p>
    <w:p>
      <w:pPr>
        <w:pStyle w:val="23"/>
        <w:numPr>
          <w:ilvl w:val="0"/>
          <w:numId w:val="6"/>
        </w:numPr>
        <w:spacing w:line="600" w:lineRule="exact"/>
        <w:ind w:right="-63" w:rightChars="-30"/>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 xml:space="preserve"> </w:t>
      </w:r>
      <w:bookmarkStart w:id="274" w:name="_Toc9424"/>
      <w:r>
        <w:rPr>
          <w:rFonts w:hint="eastAsia" w:asciiTheme="minorEastAsia" w:hAnsiTheme="minorEastAsia" w:eastAsiaTheme="minorEastAsia" w:cstheme="minorEastAsia"/>
          <w:sz w:val="36"/>
          <w:szCs w:val="36"/>
        </w:rPr>
        <w:t>合同条款及格式</w:t>
      </w:r>
      <w:bookmarkEnd w:id="247"/>
      <w:bookmarkEnd w:id="248"/>
      <w:bookmarkEnd w:id="249"/>
      <w:bookmarkEnd w:id="274"/>
    </w:p>
    <w:p>
      <w:r>
        <w:rPr>
          <w:rFonts w:hint="eastAsia"/>
        </w:rPr>
        <w:t xml:space="preserve">                                 </w:t>
      </w:r>
      <w:r>
        <w:rPr>
          <w:rFonts w:hint="eastAsia"/>
          <w:b/>
          <w:bCs/>
        </w:rPr>
        <w:t xml:space="preserve">  （仅供参考）</w:t>
      </w:r>
    </w:p>
    <w:p>
      <w:pPr>
        <w:adjustRightInd w:val="0"/>
        <w:spacing w:line="360" w:lineRule="auto"/>
        <w:ind w:firstLine="480" w:firstLineChars="200"/>
        <w:textAlignment w:val="baseline"/>
        <w:rPr>
          <w:rFonts w:ascii="宋体" w:hAnsi="宋体" w:cs="宋体"/>
          <w:sz w:val="24"/>
        </w:rPr>
      </w:pPr>
      <w:bookmarkStart w:id="275" w:name="_Toc12807"/>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委托方（甲方）：</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受托方（乙方）：</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经甲乙双方协商一致，根据《中华人民共和国合同法》等法律、法规、规章的有关规定，按照平等自愿、互惠互利的原则，甲方委托乙方提供专项管理咨询相关服务。为明确双方的权责，特签订此合同。</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第一条 服务项目的内容、期限及地点</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1. 本合同服务的项目：</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本次服务项目为：                                   ；</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2. 本次服务项目的内容</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为博爱县拟实施的PPP模式项目（***PPP项目）提供方案设计、物有所值评价、财政承受能力论证、实施方案的编制、合同制定与谈判等方面的专业服务。</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在该PPP项目全生命周期中，乙方提供PPP项目咨询服务（含中期调整和后期评估），确保服务过程符合有关法律、法规的要求，切实维护双方权益。乙方提供具体服务如下：</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（1）开展调查，全面收集项目相关资料和基础数据；</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（2）编制项目初步实施方案、产出物说明、物有所值评价和财政承受能力论证；</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（3）制定PPP项目详细实施方案；</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（4）协助招标人与社会资本谈判，每一轮谈判结束后编制谈判备忘录，并根据谈判结果整理文件，拟订PPP项目合同，协助政府方和社会资本或其设立的项目公司完成相应的PPP合同签署；</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（5）确定PPP项目社会资本采购方式、项目运作方式、交易结构及重要边界条件，完成财务测算；</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（6）应招标人要求，就PPP项目所涉及的其它商务、财务、法律问题提供专业咨询意见与建议及服务；</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（7）其他相关咨询服务，（本项目不含招标代理服务）。</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3. 本合同的服务期限为：</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自本合同生效之日起，至甲乙双方协商一致、终止乙方对****PPP工程项目提供咨询服务结束之日止。</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4. 服务地点：博爱县。</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第二条 合同金额</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本项目PPP咨询服务费用为大写：            。</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第三条服务措施、服务结果及服务质量标准、服务承诺</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1. 服务措施及服务结果</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（1）通过尽职调查，就项目的背景资料、前期准备、项目实施环境、条件、投资融资、政府意向、社会资本关注度等要素和边界条件与甲方及具体项目实施机构充分沟通。</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服务结果：全面、真实、准确了解此拟实施PPP项目情况，就此项目的核心要素与甲方及具体项目实施机构达成共识。</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构建此拟实施PPP项目的财务模型，就项目基本情况、PPP要素信息、项目总投资概算和建设资金来源规划、项目收入和项目运营成本、政府建设投入和政府运营补贴等进行全面细致的分析论证；编制项目的《物有所值评价和财政承受能力论证报告》并提交项目实施机构和甲方审核。</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服务结果：协助甲方组织相关部门对此拟实施PPP项目的《物有所值评价和财政承受能力论证报告》进行验证、评审，并协助甲方撰写《评审报告》和批复意见。</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制定拟实施PPP项目的《项目实施方案》，就项目概况、产出说明、风险分配基本框架、项目运作方式、交易结果、合同体系、监管架构、采购方式选择等核心内容进行方案设计。</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服务结果：协助甲方组织相关专家对《项目实施方案》的核心内容进行评审论证；协助甲方草拟评审论证后的某PPP项目需县政府常务会议核准事项的汇报材料，作为咨询服务机构列席县政府常务会议有关PPP项目的议题研究、解答政府领导的提问；协助甲方取得政府批复或《会议纪要》。</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协助甲方及具体项目实施机构与社会资本谈判，编制《谈判要点》、协助甲方组成并参与谈判小组、协助甲方组织召开谈判小组预备会、提请谈判小组对谈判的重点难点和焦点问题进行梳理会商，形成谈判预案；协助甲方及具体项目实施机构与中标社会资本候选人进行正式谈判，就不一致意见编写《谈判备忘录》。</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服务结果：编制某PPP项目《政府核准事项与谈判结果差异表》并协助甲方及具体项目实施机构向政府汇报并解释，协助政府与中标社会资本方草签《PPP项目合同》。</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2.服务质量标准</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（1）符合性：咨询服务和招标代理服务严格依法依规，符合国家、财政部、河南省等相关法律法规、政策文件、标准规程的要求，不出现重大和明显的法律、财务、政府采购等方面的瑕疵。</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（2）规范性：在项目识别、项目准备和项目采购的各个阶段，按照相关规定规范操作，做到服务规范、工作规范、程序规范、文件资料规范、档案收集整理规范、服务人员行为举止规范。</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（3）及时性：做到咨询服务人员及时到位，按照本合同约定和甲方的要求，及时完成各阶段的服务工作，保持和甲方的经常性沟通联系，解决项目实施中出现的各种问题。</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（4）协调性：与甲方建立良好的沟通协调机制，保持项目实施中各项工作的协调有序、通达顺畅；咨询服务工作认真细致、平滑无缝衔接，不出现工作各环节、各文件、各结论的矛盾和问题。</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（5）真实性：工作科学严谨，不主观臆断、不道听途说、不弄虚作假、不模棱两可努力收集和掌握真实、准确的资料和数据，为拟实施PPP项目的落地签约奠定良好的基础。</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3.服务承诺</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1）咨询服务工作尽心尽职，以公允、公平、公正为执业准则，不为了迁就项目中标签约而做出有损于甲方和博爱县政府利益的方案设计，也不一味追求减轻政府义务而使方案设计过渡偏离社会资本投资的保值增值，而导致项目采购搁浅、流产。</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（2）招标代理服务恪尽职守，以保密、严谨和程序规范为执业准则，不做“量身定制”的政府采购方案，不串通意向社会资本投资人进行围标、串标，保证充分竞争、公平竞争。</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第四条 双方的责任、义务和权利</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 xml:space="preserve">    1. 甲方的责任、义务和权利</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（1）甲方及具体项目实施机构和相关职能部门应按要求向乙方提供完成PPP咨询服务所需的基本数据资料和相关资料，并对其合法性、真实性和完整性负责；</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（2）现场咨询服务时，甲方负责提供必要的办公场所以及合同中未提及但乙方开展工作所必须的、必要的协助；</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（3）根据项目要求及进度，负责协调和处理与相关部门的工作关系，确保相关审核和确认文件的及时获得；</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（4）甲方应制定部门和专人负责与乙方的沟通联系；</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（5）按本合同约定支付咨询服务价款；</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（6）负责审查乙方的服务成果，并有权要求乙方对不合适的数据测算和方案设计进行修正、调整。</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 xml:space="preserve"> 2. 乙方的责任、义务和权利</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（1）在PPP项目方案设计中，应公允公平地维护甲方和博爱县政府的利益；</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（2）在约定的条件满足和商定时间内，完成并按时提交具体PPP项目咨询服务的成果；</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（3）勤勉尽责，确保服务质量，努力实现PPP项目的物有所值、投融资成本即政府负担合理偏低和社会资本投资人综合实力较优；</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（4）严守工作中知悉的PPP项目不得公开的秘密；</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（5）按本合同约定及时收取甲方应付的咨询服务费用。</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第五条 合同约定事项的变更和解除</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本合同一经签订，任何一方不得单方面变更或解除该合同，发生下列情况之一的，双方可协商变更或解除合同：</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订立合同所依据的国家政策、法规、计划发生变化，导致合同不能继续履行的；</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由于不可抗力或意外事故导致合同全部或部分无法履行的；</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由于咨询服务目标已被他人先行实现或有关成果已被申请专利或公开，继续履行合同已无必要；</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国家政策发生重大变化，导致合同必须作相应修改；</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由于乙方未能按合同要求履行合同或是由于其他原因，导致咨询达不到约定目标的；</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合同约定的其他情况。</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除本合同已有约定外，任何一方要求变更或解除业务合同的，应提前10日书面通知对方，协商解决。因变更或解除合同，导致一方遭受损失的，除按合同约定和依法可免除责任的情形以外，应由责任方负责赔偿。在解除合同通知发出后，甲方有权停止向乙方支付后续服务费用。</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第六条付款方式</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1. 付款方式按照服务进度约定如下：</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（1）完成“两评一案”编制及相关批复后付合同价80%，协助采购人完成采购工作，采购人完成签订PPP合同后支付合同价的20%；</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（2）乙方完成受托咨询服务过程中发生的差旅费、工本费、劳务费、应缴税金、双评评审专家费等各项成本支出，均包括在服务价款中，由乙方自行负担，甲方协助安排。</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（3）乙方收取甲方的进度付款，应向甲方开具《收款收据》；全部收齐甲方咨询服务价款后，应一次性向甲方开具正规税务发票。</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第七条 争议解决</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本合同执行过程中，任何一方发生违约、以及发生未在本合同约定的事项或情形（含不可抗力），均由双方友好协商解决；协商不能达成一致的，按《合同法》的有关规定执行。</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第八条 其他</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1. 本合同依据的政府采购文件（博政采购（2022）43号）和乙方的响应文件作为本合同的附件，均为合同的有效组成部分；附件中未明确约定但本合同具体约定的、以及附件约定内容与本合同约定内容不一致的，以本合同为准。</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2. 本合同执行过程中，所有经双方签署确认的补充协议，均为本合同的有效组成部分。</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第九条 合同生效</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1. 本合同订立时间：2022年   月    日</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 xml:space="preserve">2. 本合同签订地点：                  </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3. 本合同经甲乙双方盖章和法定代表人或其授权代表签字（或盖章）后生效。</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4. 本合同一式肆份，双方各执贰份，具有同等法律效力。</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十、合同生效及其它：</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本合同经甲、乙双方代表签字、加盖公章和骑缝章后生效。本合同一式五份，甲乙双方各持两份。合同签订后在2个工作日内，采购人将合同在焦作市政府采购网公示并备案。</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乙方：</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甲方：</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地址：</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地址：</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法定代表人：                   法定代表人：</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委托代理人：                   委托代理人：</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电话：</w:t>
      </w:r>
      <w:r>
        <w:rPr>
          <w:rFonts w:hint="eastAsia" w:ascii="宋体" w:hAnsi="宋体" w:cs="宋体"/>
          <w:sz w:val="24"/>
        </w:rPr>
        <w:tab/>
      </w:r>
      <w:r>
        <w:rPr>
          <w:rFonts w:hint="eastAsia" w:ascii="宋体" w:hAnsi="宋体" w:cs="宋体"/>
          <w:sz w:val="24"/>
        </w:rPr>
        <w:t xml:space="preserve">                         电话：</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开户银行：</w:t>
      </w:r>
      <w:r>
        <w:rPr>
          <w:rFonts w:hint="eastAsia" w:ascii="宋体" w:hAnsi="宋体" w:cs="宋体"/>
          <w:sz w:val="24"/>
        </w:rPr>
        <w:tab/>
      </w:r>
      <w:r>
        <w:rPr>
          <w:rFonts w:hint="eastAsia" w:ascii="宋体" w:hAnsi="宋体" w:cs="宋体"/>
          <w:sz w:val="24"/>
        </w:rPr>
        <w:t xml:space="preserve">                  开户银行：</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银行账号：</w:t>
      </w:r>
      <w:r>
        <w:rPr>
          <w:rFonts w:hint="eastAsia" w:ascii="宋体" w:hAnsi="宋体" w:cs="宋体"/>
          <w:sz w:val="24"/>
        </w:rPr>
        <w:tab/>
      </w:r>
      <w:r>
        <w:rPr>
          <w:rFonts w:hint="eastAsia" w:ascii="宋体" w:hAnsi="宋体" w:cs="宋体"/>
          <w:sz w:val="24"/>
        </w:rPr>
        <w:t xml:space="preserve">                  银行账号：</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签约时间：                     签约地点：</w:t>
      </w:r>
    </w:p>
    <w:p>
      <w:pPr>
        <w:adjustRightInd w:val="0"/>
        <w:spacing w:line="360" w:lineRule="auto"/>
        <w:ind w:firstLine="480" w:firstLineChars="200"/>
        <w:textAlignment w:val="baseline"/>
        <w:rPr>
          <w:rFonts w:ascii="宋体" w:hAnsi="宋体" w:cs="宋体"/>
          <w:b/>
          <w:bCs/>
          <w:sz w:val="24"/>
        </w:rPr>
      </w:pPr>
      <w:r>
        <w:rPr>
          <w:rFonts w:hint="eastAsia" w:ascii="黑体" w:hAnsi="黑体" w:eastAsia="黑体" w:cs="黑体"/>
          <w:sz w:val="24"/>
        </w:rPr>
        <w:t>重要提示：</w:t>
      </w:r>
      <w:r>
        <w:rPr>
          <w:rFonts w:hint="eastAsia" w:ascii="宋体" w:hAnsi="宋体" w:cs="宋体"/>
          <w:b/>
          <w:bCs/>
          <w:sz w:val="24"/>
        </w:rPr>
        <w:t>以上合同文本作为签订合同的重要依据，涉及付款方式、投标人名称等实质性内容不得变更。</w:t>
      </w:r>
    </w:p>
    <w:p>
      <w:pPr>
        <w:pStyle w:val="11"/>
        <w:jc w:val="center"/>
        <w:outlineLvl w:val="0"/>
        <w:rPr>
          <w:b/>
          <w:bCs/>
          <w:sz w:val="32"/>
          <w:szCs w:val="32"/>
        </w:rPr>
      </w:pPr>
    </w:p>
    <w:p>
      <w:pPr>
        <w:pStyle w:val="11"/>
        <w:jc w:val="center"/>
        <w:outlineLvl w:val="0"/>
        <w:rPr>
          <w:b/>
          <w:bCs/>
          <w:sz w:val="32"/>
          <w:szCs w:val="32"/>
        </w:rPr>
      </w:pPr>
    </w:p>
    <w:p>
      <w:pPr>
        <w:pStyle w:val="11"/>
        <w:jc w:val="center"/>
        <w:outlineLvl w:val="0"/>
        <w:rPr>
          <w:b/>
          <w:bCs/>
          <w:sz w:val="32"/>
          <w:szCs w:val="32"/>
        </w:rPr>
      </w:pPr>
    </w:p>
    <w:p>
      <w:pPr>
        <w:pStyle w:val="11"/>
        <w:jc w:val="center"/>
        <w:outlineLvl w:val="0"/>
        <w:rPr>
          <w:b/>
          <w:bCs/>
          <w:sz w:val="32"/>
          <w:szCs w:val="32"/>
        </w:rPr>
      </w:pPr>
    </w:p>
    <w:p>
      <w:pPr>
        <w:pStyle w:val="11"/>
        <w:jc w:val="center"/>
        <w:outlineLvl w:val="0"/>
        <w:rPr>
          <w:b/>
          <w:bCs/>
          <w:sz w:val="32"/>
          <w:szCs w:val="32"/>
        </w:rPr>
      </w:pPr>
    </w:p>
    <w:p>
      <w:pPr>
        <w:pStyle w:val="11"/>
        <w:jc w:val="center"/>
        <w:outlineLvl w:val="0"/>
        <w:rPr>
          <w:b/>
          <w:bCs/>
          <w:sz w:val="32"/>
          <w:szCs w:val="32"/>
        </w:rPr>
      </w:pPr>
    </w:p>
    <w:p>
      <w:pPr>
        <w:pStyle w:val="11"/>
        <w:jc w:val="center"/>
        <w:outlineLvl w:val="0"/>
        <w:rPr>
          <w:b/>
          <w:bCs/>
          <w:sz w:val="32"/>
          <w:szCs w:val="32"/>
        </w:rPr>
      </w:pPr>
    </w:p>
    <w:p>
      <w:pPr>
        <w:pStyle w:val="11"/>
        <w:jc w:val="center"/>
        <w:outlineLvl w:val="0"/>
        <w:rPr>
          <w:b/>
          <w:bCs/>
          <w:sz w:val="32"/>
          <w:szCs w:val="32"/>
        </w:rPr>
      </w:pPr>
      <w:bookmarkStart w:id="276" w:name="_Toc18602"/>
      <w:r>
        <w:rPr>
          <w:rFonts w:hint="eastAsia"/>
          <w:b/>
          <w:bCs/>
          <w:sz w:val="32"/>
          <w:szCs w:val="32"/>
        </w:rPr>
        <w:t>第五章服务内容及需求</w:t>
      </w:r>
      <w:bookmarkEnd w:id="276"/>
    </w:p>
    <w:bookmarkEnd w:id="275"/>
    <w:p>
      <w:pPr>
        <w:numPr>
          <w:ilvl w:val="0"/>
          <w:numId w:val="10"/>
        </w:numPr>
        <w:tabs>
          <w:tab w:val="left" w:pos="6705"/>
        </w:tabs>
        <w:spacing w:line="360" w:lineRule="auto"/>
        <w:ind w:left="420" w:hanging="420" w:hangingChars="200"/>
        <w:rPr>
          <w:rFonts w:ascii="宋体" w:hAnsi="宋体"/>
          <w:szCs w:val="21"/>
        </w:rPr>
      </w:pPr>
      <w:bookmarkStart w:id="277" w:name="_Toc426369533"/>
      <w:bookmarkStart w:id="278" w:name="_Toc7906"/>
      <w:bookmarkStart w:id="279" w:name="_Toc403122572"/>
      <w:r>
        <w:rPr>
          <w:rFonts w:hint="eastAsia" w:ascii="宋体" w:hAnsi="宋体"/>
          <w:szCs w:val="21"/>
        </w:rPr>
        <w:t>项目名称：博爱县农村人居环境综合整治项目选取PPP咨询服务机构采购项目</w:t>
      </w:r>
    </w:p>
    <w:p>
      <w:pPr>
        <w:tabs>
          <w:tab w:val="left" w:pos="6705"/>
        </w:tabs>
        <w:spacing w:line="360" w:lineRule="auto"/>
        <w:rPr>
          <w:rFonts w:ascii="宋体" w:hAnsi="宋体"/>
          <w:szCs w:val="21"/>
        </w:rPr>
      </w:pPr>
      <w:r>
        <w:rPr>
          <w:rFonts w:hint="eastAsia" w:ascii="宋体" w:hAnsi="宋体"/>
          <w:szCs w:val="21"/>
        </w:rPr>
        <w:t>二、项目预算：80万元；</w:t>
      </w:r>
    </w:p>
    <w:p>
      <w:pPr>
        <w:tabs>
          <w:tab w:val="left" w:pos="6705"/>
        </w:tabs>
        <w:spacing w:line="360" w:lineRule="auto"/>
        <w:rPr>
          <w:rFonts w:ascii="宋体" w:hAnsi="宋体"/>
          <w:szCs w:val="21"/>
        </w:rPr>
      </w:pPr>
      <w:r>
        <w:rPr>
          <w:rFonts w:hint="eastAsia" w:ascii="宋体" w:hAnsi="宋体"/>
          <w:szCs w:val="21"/>
        </w:rPr>
        <w:t>项目内容：</w:t>
      </w:r>
    </w:p>
    <w:p>
      <w:pPr>
        <w:tabs>
          <w:tab w:val="left" w:pos="6705"/>
        </w:tabs>
        <w:spacing w:line="360" w:lineRule="auto"/>
        <w:rPr>
          <w:rFonts w:ascii="宋体" w:hAnsi="宋体"/>
          <w:szCs w:val="21"/>
        </w:rPr>
      </w:pPr>
      <w:r>
        <w:rPr>
          <w:rFonts w:hint="eastAsia" w:ascii="宋体" w:hAnsi="宋体"/>
          <w:szCs w:val="21"/>
        </w:rPr>
        <w:t xml:space="preserve">博爱县农村人居环境综合整治项目选取PPP咨询服务机构采购项目，主要承担该项目的财务顾问、商务顾问及法律顾问的职责，具体服务内容包括： </w:t>
      </w:r>
    </w:p>
    <w:p>
      <w:pPr>
        <w:tabs>
          <w:tab w:val="left" w:pos="6705"/>
        </w:tabs>
        <w:spacing w:line="360" w:lineRule="auto"/>
        <w:rPr>
          <w:rFonts w:ascii="宋体" w:hAnsi="宋体"/>
          <w:szCs w:val="21"/>
        </w:rPr>
      </w:pPr>
      <w:r>
        <w:rPr>
          <w:rFonts w:hint="eastAsia" w:ascii="宋体" w:hAnsi="宋体"/>
          <w:szCs w:val="21"/>
        </w:rPr>
        <w:t>(1)主要负责协助确定适合本项目实际情况、可操作的投融资模型，从PPP项目发起至项目投入运营整个过程或其中相关环节给予指导；完成《项目物有所值评价报告》、《项目财政承受能力分析报告》、《项目实施方案》、《项目财务分析报告》、《项目公司章程》等文件；</w:t>
      </w:r>
    </w:p>
    <w:p>
      <w:pPr>
        <w:tabs>
          <w:tab w:val="left" w:pos="6705"/>
        </w:tabs>
        <w:spacing w:line="360" w:lineRule="auto"/>
        <w:rPr>
          <w:rFonts w:ascii="宋体" w:hAnsi="宋体"/>
          <w:szCs w:val="21"/>
        </w:rPr>
      </w:pPr>
      <w:r>
        <w:rPr>
          <w:rFonts w:hint="eastAsia" w:ascii="宋体" w:hAnsi="宋体"/>
          <w:szCs w:val="21"/>
        </w:rPr>
        <w:t>(2)谈判前相关文件资料的准备；</w:t>
      </w:r>
    </w:p>
    <w:p>
      <w:pPr>
        <w:tabs>
          <w:tab w:val="left" w:pos="6705"/>
        </w:tabs>
        <w:spacing w:line="360" w:lineRule="auto"/>
        <w:rPr>
          <w:rFonts w:ascii="宋体" w:hAnsi="宋体"/>
          <w:szCs w:val="21"/>
        </w:rPr>
      </w:pPr>
      <w:r>
        <w:rPr>
          <w:rFonts w:hint="eastAsia" w:ascii="宋体" w:hAnsi="宋体"/>
          <w:szCs w:val="21"/>
        </w:rPr>
        <w:t>(3)协助招商过程的协议谈判和财务谈判，协助合同签署；</w:t>
      </w:r>
    </w:p>
    <w:p>
      <w:pPr>
        <w:tabs>
          <w:tab w:val="left" w:pos="6705"/>
        </w:tabs>
        <w:spacing w:line="360" w:lineRule="auto"/>
        <w:rPr>
          <w:rFonts w:ascii="宋体" w:hAnsi="宋体"/>
          <w:szCs w:val="21"/>
        </w:rPr>
      </w:pPr>
      <w:r>
        <w:rPr>
          <w:rFonts w:hint="eastAsia" w:ascii="宋体" w:hAnsi="宋体"/>
          <w:szCs w:val="21"/>
        </w:rPr>
        <w:t>(4)应采购人要求，就本项目所涉及的其他商务、财务、法律问题提供专业咨询意见与建议等服务；</w:t>
      </w:r>
    </w:p>
    <w:p>
      <w:pPr>
        <w:tabs>
          <w:tab w:val="left" w:pos="6705"/>
        </w:tabs>
        <w:spacing w:line="360" w:lineRule="auto"/>
        <w:rPr>
          <w:rFonts w:ascii="宋体" w:hAnsi="宋体"/>
          <w:szCs w:val="21"/>
        </w:rPr>
      </w:pPr>
      <w:r>
        <w:rPr>
          <w:rFonts w:hint="eastAsia" w:ascii="宋体" w:hAnsi="宋体"/>
          <w:szCs w:val="21"/>
        </w:rPr>
        <w:t>(5) 协助政府实施机构推进相关申报工作，确保项目进入河南省财政厅PPP项目库；</w:t>
      </w:r>
    </w:p>
    <w:p>
      <w:pPr>
        <w:tabs>
          <w:tab w:val="left" w:pos="6705"/>
        </w:tabs>
        <w:spacing w:line="360" w:lineRule="auto"/>
        <w:rPr>
          <w:rFonts w:ascii="宋体" w:hAnsi="宋体"/>
          <w:szCs w:val="21"/>
        </w:rPr>
      </w:pPr>
      <w:r>
        <w:rPr>
          <w:rFonts w:hint="eastAsia" w:ascii="宋体" w:hAnsi="宋体"/>
          <w:szCs w:val="21"/>
        </w:rPr>
        <w:t>(6) 其它。</w:t>
      </w:r>
    </w:p>
    <w:p>
      <w:pPr>
        <w:tabs>
          <w:tab w:val="left" w:pos="6705"/>
        </w:tabs>
        <w:spacing w:line="360" w:lineRule="auto"/>
        <w:rPr>
          <w:rFonts w:ascii="宋体" w:hAnsi="宋体"/>
          <w:szCs w:val="21"/>
        </w:rPr>
      </w:pPr>
      <w:r>
        <w:rPr>
          <w:rFonts w:hint="eastAsia" w:ascii="宋体" w:hAnsi="宋体"/>
          <w:szCs w:val="21"/>
        </w:rPr>
        <w:t>四、任务书</w:t>
      </w:r>
    </w:p>
    <w:p>
      <w:pPr>
        <w:tabs>
          <w:tab w:val="left" w:pos="6705"/>
        </w:tabs>
        <w:spacing w:line="360" w:lineRule="auto"/>
        <w:rPr>
          <w:rFonts w:ascii="宋体" w:hAnsi="宋体"/>
          <w:szCs w:val="21"/>
        </w:rPr>
      </w:pPr>
      <w:r>
        <w:rPr>
          <w:rFonts w:hint="eastAsia" w:ascii="宋体" w:hAnsi="宋体"/>
          <w:szCs w:val="21"/>
        </w:rPr>
        <w:t>1.总则</w:t>
      </w:r>
    </w:p>
    <w:p>
      <w:pPr>
        <w:tabs>
          <w:tab w:val="left" w:pos="6705"/>
        </w:tabs>
        <w:spacing w:line="360" w:lineRule="auto"/>
        <w:rPr>
          <w:rFonts w:ascii="宋体" w:hAnsi="宋体"/>
          <w:szCs w:val="21"/>
        </w:rPr>
      </w:pPr>
      <w:r>
        <w:rPr>
          <w:rFonts w:hint="eastAsia" w:ascii="宋体" w:hAnsi="宋体"/>
          <w:szCs w:val="21"/>
        </w:rPr>
        <w:t>第1条  本次招标是为了提高焦作市生态环境局博爱分局和社会资本合作(PPP)项目开发、实施的质量与效率，为博爱县农村人居环境综合整治项目的开展提供全过程咨询服务。中标人将承担博爱县农村人居环境综合整治项目的牵头顾问和投融资顾问工作，负责就焦作市生态环境局博爱分局启动的博爱县农村人居环境综合整治项目开展全过程的专业咨询服务，包括财务、法律、技术等方面。中标人要负责编制项目实施方案、合同文本等法律文件，完成项目财务测算和财务分析、财政可承受能力分析等相关法规政策要求和项目需要的咨询服务工作；协助招标代理机构实施社会投资人招标、谈判、磋商等引入程序，直至政府和社会投资人成功签约，并对项目后期的合同执行、政府监管等方面提供必要的咨询和建议。</w:t>
      </w:r>
    </w:p>
    <w:p>
      <w:pPr>
        <w:tabs>
          <w:tab w:val="left" w:pos="6705"/>
        </w:tabs>
        <w:spacing w:line="360" w:lineRule="auto"/>
        <w:rPr>
          <w:rFonts w:ascii="宋体" w:hAnsi="宋体"/>
          <w:szCs w:val="21"/>
        </w:rPr>
      </w:pPr>
      <w:r>
        <w:rPr>
          <w:rFonts w:hint="eastAsia" w:ascii="宋体" w:hAnsi="宋体"/>
          <w:szCs w:val="21"/>
        </w:rPr>
        <w:t>第2条  焦作市生态环境局博爱分局负责本项目的组织编制、技术审查和上报审批等技术协调工作。</w:t>
      </w:r>
    </w:p>
    <w:p>
      <w:pPr>
        <w:tabs>
          <w:tab w:val="left" w:pos="6705"/>
        </w:tabs>
        <w:spacing w:line="360" w:lineRule="auto"/>
        <w:rPr>
          <w:rFonts w:ascii="宋体" w:hAnsi="宋体"/>
          <w:szCs w:val="21"/>
        </w:rPr>
      </w:pPr>
      <w:r>
        <w:rPr>
          <w:rFonts w:hint="eastAsia" w:ascii="宋体" w:hAnsi="宋体"/>
          <w:szCs w:val="21"/>
        </w:rPr>
        <w:t>第3条  承接本项目技术咨询的单位被视为承认本任务书所有条款，并按本任务书规定的条款完成项目编制工作。</w:t>
      </w:r>
    </w:p>
    <w:p>
      <w:pPr>
        <w:tabs>
          <w:tab w:val="left" w:pos="6705"/>
        </w:tabs>
        <w:spacing w:line="360" w:lineRule="auto"/>
        <w:rPr>
          <w:rFonts w:ascii="宋体" w:hAnsi="宋体"/>
          <w:szCs w:val="21"/>
        </w:rPr>
      </w:pPr>
      <w:bookmarkStart w:id="280" w:name="_Toc322442910"/>
      <w:bookmarkStart w:id="281" w:name="_Toc246760206"/>
      <w:bookmarkStart w:id="282" w:name="_Toc322442791"/>
      <w:bookmarkStart w:id="283" w:name="_Toc490726175"/>
      <w:bookmarkStart w:id="284" w:name="_Toc490726444"/>
      <w:r>
        <w:rPr>
          <w:rFonts w:hint="eastAsia" w:ascii="宋体" w:hAnsi="宋体"/>
          <w:szCs w:val="21"/>
        </w:rPr>
        <w:t xml:space="preserve">2.  </w:t>
      </w:r>
      <w:bookmarkEnd w:id="280"/>
      <w:bookmarkEnd w:id="281"/>
      <w:bookmarkEnd w:id="282"/>
      <w:r>
        <w:rPr>
          <w:rFonts w:hint="eastAsia" w:ascii="宋体" w:hAnsi="宋体"/>
          <w:szCs w:val="21"/>
        </w:rPr>
        <w:t>咨询的内容、方式和要求</w:t>
      </w:r>
      <w:bookmarkEnd w:id="283"/>
      <w:bookmarkEnd w:id="284"/>
    </w:p>
    <w:p>
      <w:pPr>
        <w:tabs>
          <w:tab w:val="left" w:pos="6705"/>
        </w:tabs>
        <w:spacing w:line="360" w:lineRule="auto"/>
        <w:rPr>
          <w:rFonts w:ascii="宋体" w:hAnsi="宋体"/>
          <w:szCs w:val="21"/>
        </w:rPr>
      </w:pPr>
      <w:r>
        <w:rPr>
          <w:rFonts w:hint="eastAsia" w:ascii="宋体" w:hAnsi="宋体"/>
          <w:szCs w:val="21"/>
        </w:rPr>
        <w:t>第4条  《博爱县农村人居环境综合整治项目选取PPP咨询服务机构采购项目》应该包括以下内容：</w:t>
      </w:r>
    </w:p>
    <w:p>
      <w:pPr>
        <w:tabs>
          <w:tab w:val="left" w:pos="6705"/>
        </w:tabs>
        <w:spacing w:line="360" w:lineRule="auto"/>
        <w:rPr>
          <w:rFonts w:ascii="宋体" w:hAnsi="宋体"/>
          <w:szCs w:val="21"/>
        </w:rPr>
      </w:pPr>
      <w:r>
        <w:rPr>
          <w:rFonts w:hint="eastAsia" w:ascii="宋体" w:hAnsi="宋体"/>
          <w:szCs w:val="21"/>
        </w:rPr>
        <w:t>第一阶段：项目识别阶段</w:t>
      </w:r>
    </w:p>
    <w:p>
      <w:pPr>
        <w:tabs>
          <w:tab w:val="left" w:pos="6705"/>
        </w:tabs>
        <w:spacing w:line="360" w:lineRule="auto"/>
        <w:rPr>
          <w:rFonts w:ascii="宋体" w:hAnsi="宋体"/>
          <w:szCs w:val="21"/>
        </w:rPr>
      </w:pPr>
      <w:r>
        <w:rPr>
          <w:rFonts w:hint="eastAsia" w:ascii="宋体" w:hAnsi="宋体"/>
          <w:szCs w:val="21"/>
        </w:rPr>
        <w:t>1、召开项目启动会，确定双方项目工作小组成员名单，介绍项目计划安排，项目正式启动；</w:t>
      </w:r>
    </w:p>
    <w:p>
      <w:pPr>
        <w:tabs>
          <w:tab w:val="left" w:pos="6705"/>
        </w:tabs>
        <w:spacing w:line="360" w:lineRule="auto"/>
        <w:rPr>
          <w:rFonts w:ascii="宋体" w:hAnsi="宋体"/>
          <w:szCs w:val="21"/>
        </w:rPr>
      </w:pPr>
      <w:r>
        <w:rPr>
          <w:rFonts w:hint="eastAsia" w:ascii="宋体" w:hAnsi="宋体"/>
          <w:szCs w:val="21"/>
        </w:rPr>
        <w:t>2、协助甲方构建项目PPP运作前期推进协调机制；</w:t>
      </w:r>
    </w:p>
    <w:p>
      <w:pPr>
        <w:tabs>
          <w:tab w:val="left" w:pos="6705"/>
        </w:tabs>
        <w:spacing w:line="360" w:lineRule="auto"/>
        <w:rPr>
          <w:rFonts w:ascii="宋体" w:hAnsi="宋体"/>
          <w:szCs w:val="21"/>
        </w:rPr>
      </w:pPr>
      <w:r>
        <w:rPr>
          <w:rFonts w:hint="eastAsia" w:ascii="宋体" w:hAnsi="宋体"/>
          <w:szCs w:val="21"/>
        </w:rPr>
        <w:t>3、尽职调研，收集项目相关资料，进行人员访谈；</w:t>
      </w:r>
    </w:p>
    <w:p>
      <w:pPr>
        <w:tabs>
          <w:tab w:val="left" w:pos="6705"/>
        </w:tabs>
        <w:spacing w:line="360" w:lineRule="auto"/>
        <w:rPr>
          <w:rFonts w:ascii="宋体" w:hAnsi="宋体"/>
          <w:szCs w:val="21"/>
        </w:rPr>
      </w:pPr>
      <w:r>
        <w:rPr>
          <w:rFonts w:hint="eastAsia" w:ascii="宋体" w:hAnsi="宋体"/>
          <w:szCs w:val="21"/>
        </w:rPr>
        <w:t>4、编制《项目物有所值评价报告》及《项目财政承受能力分析报告》；</w:t>
      </w:r>
    </w:p>
    <w:p>
      <w:pPr>
        <w:tabs>
          <w:tab w:val="left" w:pos="6705"/>
        </w:tabs>
        <w:spacing w:line="360" w:lineRule="auto"/>
        <w:rPr>
          <w:rFonts w:ascii="宋体" w:hAnsi="宋体"/>
          <w:szCs w:val="21"/>
        </w:rPr>
      </w:pPr>
      <w:r>
        <w:rPr>
          <w:rFonts w:hint="eastAsia" w:ascii="宋体" w:hAnsi="宋体"/>
          <w:szCs w:val="21"/>
        </w:rPr>
        <w:t>5、编制《项目初步实施方案》；</w:t>
      </w:r>
    </w:p>
    <w:p>
      <w:pPr>
        <w:tabs>
          <w:tab w:val="left" w:pos="6705"/>
        </w:tabs>
        <w:spacing w:line="360" w:lineRule="auto"/>
        <w:rPr>
          <w:rFonts w:ascii="宋体" w:hAnsi="宋体"/>
          <w:szCs w:val="21"/>
        </w:rPr>
      </w:pPr>
      <w:r>
        <w:rPr>
          <w:rFonts w:hint="eastAsia" w:ascii="宋体" w:hAnsi="宋体"/>
          <w:szCs w:val="21"/>
        </w:rPr>
        <w:t xml:space="preserve">工作成果：完成《项目建议书》、《项目初步实施方案》、《项目产出说明》、《项目物有所值评价报告》、《项目财政承受能力分析报告》。 </w:t>
      </w:r>
    </w:p>
    <w:p>
      <w:pPr>
        <w:tabs>
          <w:tab w:val="left" w:pos="6705"/>
        </w:tabs>
        <w:spacing w:line="360" w:lineRule="auto"/>
        <w:rPr>
          <w:rFonts w:ascii="宋体" w:hAnsi="宋体"/>
          <w:szCs w:val="21"/>
        </w:rPr>
      </w:pPr>
      <w:r>
        <w:rPr>
          <w:rFonts w:hint="eastAsia" w:ascii="宋体" w:hAnsi="宋体"/>
          <w:szCs w:val="21"/>
        </w:rPr>
        <w:t>第二阶段：项目准备阶段</w:t>
      </w:r>
    </w:p>
    <w:p>
      <w:pPr>
        <w:tabs>
          <w:tab w:val="left" w:pos="6705"/>
        </w:tabs>
        <w:spacing w:line="360" w:lineRule="auto"/>
        <w:rPr>
          <w:rFonts w:ascii="宋体" w:hAnsi="宋体"/>
          <w:szCs w:val="21"/>
        </w:rPr>
      </w:pPr>
      <w:r>
        <w:rPr>
          <w:rFonts w:hint="eastAsia" w:ascii="宋体" w:hAnsi="宋体"/>
          <w:szCs w:val="21"/>
        </w:rPr>
        <w:t>1、编制《项目实施方案》；</w:t>
      </w:r>
    </w:p>
    <w:p>
      <w:pPr>
        <w:tabs>
          <w:tab w:val="left" w:pos="6705"/>
        </w:tabs>
        <w:spacing w:line="360" w:lineRule="auto"/>
        <w:rPr>
          <w:rFonts w:ascii="宋体" w:hAnsi="宋体"/>
          <w:szCs w:val="21"/>
        </w:rPr>
      </w:pPr>
      <w:r>
        <w:rPr>
          <w:rFonts w:hint="eastAsia" w:ascii="宋体" w:hAnsi="宋体"/>
          <w:szCs w:val="21"/>
        </w:rPr>
        <w:t>2、进行项目推介，完善实施方案；</w:t>
      </w:r>
    </w:p>
    <w:p>
      <w:pPr>
        <w:tabs>
          <w:tab w:val="left" w:pos="6705"/>
        </w:tabs>
        <w:spacing w:line="360" w:lineRule="auto"/>
        <w:rPr>
          <w:rFonts w:ascii="宋体" w:hAnsi="宋体"/>
          <w:szCs w:val="21"/>
        </w:rPr>
      </w:pPr>
      <w:r>
        <w:rPr>
          <w:rFonts w:hint="eastAsia" w:ascii="宋体" w:hAnsi="宋体"/>
          <w:szCs w:val="21"/>
        </w:rPr>
        <w:t>3、协助财政部门进行《项目实施方案》验证审核。</w:t>
      </w:r>
    </w:p>
    <w:p>
      <w:pPr>
        <w:tabs>
          <w:tab w:val="left" w:pos="6705"/>
        </w:tabs>
        <w:spacing w:line="360" w:lineRule="auto"/>
        <w:rPr>
          <w:rFonts w:ascii="宋体" w:hAnsi="宋体"/>
          <w:szCs w:val="21"/>
        </w:rPr>
      </w:pPr>
      <w:r>
        <w:rPr>
          <w:rFonts w:hint="eastAsia" w:ascii="宋体" w:hAnsi="宋体"/>
          <w:szCs w:val="21"/>
        </w:rPr>
        <w:t>工作成果：正式《项目实施方案》</w:t>
      </w:r>
    </w:p>
    <w:p>
      <w:pPr>
        <w:tabs>
          <w:tab w:val="left" w:pos="6705"/>
        </w:tabs>
        <w:spacing w:line="360" w:lineRule="auto"/>
        <w:rPr>
          <w:rFonts w:ascii="宋体" w:hAnsi="宋体"/>
          <w:szCs w:val="21"/>
        </w:rPr>
      </w:pPr>
      <w:r>
        <w:rPr>
          <w:rFonts w:hint="eastAsia" w:ascii="宋体" w:hAnsi="宋体"/>
          <w:szCs w:val="21"/>
        </w:rPr>
        <w:t>第三阶段：项目招标阶段</w:t>
      </w:r>
    </w:p>
    <w:p>
      <w:pPr>
        <w:tabs>
          <w:tab w:val="left" w:pos="6705"/>
        </w:tabs>
        <w:spacing w:line="360" w:lineRule="auto"/>
        <w:rPr>
          <w:rFonts w:ascii="宋体" w:hAnsi="宋体"/>
          <w:szCs w:val="21"/>
        </w:rPr>
      </w:pPr>
      <w:r>
        <w:rPr>
          <w:rFonts w:hint="eastAsia" w:ascii="宋体" w:hAnsi="宋体"/>
          <w:szCs w:val="21"/>
        </w:rPr>
        <w:t>1、协助招标机构编制招标文件；</w:t>
      </w:r>
    </w:p>
    <w:p>
      <w:pPr>
        <w:tabs>
          <w:tab w:val="left" w:pos="6705"/>
        </w:tabs>
        <w:spacing w:line="360" w:lineRule="auto"/>
        <w:rPr>
          <w:rFonts w:ascii="宋体" w:hAnsi="宋体"/>
          <w:szCs w:val="21"/>
        </w:rPr>
      </w:pPr>
      <w:r>
        <w:rPr>
          <w:rFonts w:hint="eastAsia" w:ascii="宋体" w:hAnsi="宋体"/>
          <w:szCs w:val="21"/>
        </w:rPr>
        <w:t>2、起草《PPP项目合同》或《特许经营协议》或《服务协议》并经甲方审核；</w:t>
      </w:r>
    </w:p>
    <w:p>
      <w:pPr>
        <w:tabs>
          <w:tab w:val="left" w:pos="6705"/>
        </w:tabs>
        <w:spacing w:line="360" w:lineRule="auto"/>
        <w:rPr>
          <w:rFonts w:ascii="宋体" w:hAnsi="宋体"/>
          <w:szCs w:val="21"/>
        </w:rPr>
      </w:pPr>
      <w:r>
        <w:rPr>
          <w:rFonts w:hint="eastAsia" w:ascii="宋体" w:hAnsi="宋体"/>
          <w:szCs w:val="21"/>
        </w:rPr>
        <w:t>工作成果：《PPP项目协议》</w:t>
      </w:r>
    </w:p>
    <w:p>
      <w:pPr>
        <w:tabs>
          <w:tab w:val="left" w:pos="6705"/>
        </w:tabs>
        <w:spacing w:line="360" w:lineRule="auto"/>
        <w:rPr>
          <w:rFonts w:ascii="宋体" w:hAnsi="宋体"/>
          <w:szCs w:val="21"/>
        </w:rPr>
      </w:pPr>
      <w:r>
        <w:rPr>
          <w:rFonts w:hint="eastAsia" w:ascii="宋体" w:hAnsi="宋体"/>
          <w:szCs w:val="21"/>
        </w:rPr>
        <w:t>第四阶段：响应文件的评审及谈判阶段</w:t>
      </w:r>
    </w:p>
    <w:p>
      <w:pPr>
        <w:tabs>
          <w:tab w:val="left" w:pos="6705"/>
        </w:tabs>
        <w:spacing w:line="360" w:lineRule="auto"/>
        <w:rPr>
          <w:rFonts w:ascii="宋体" w:hAnsi="宋体"/>
          <w:szCs w:val="21"/>
        </w:rPr>
      </w:pPr>
      <w:r>
        <w:rPr>
          <w:rFonts w:hint="eastAsia" w:ascii="宋体" w:hAnsi="宋体"/>
          <w:szCs w:val="21"/>
        </w:rPr>
        <w:t>1、协助成立谈判工作组，起草谈判方案，沟通谈判计划、策略和注意事项；</w:t>
      </w:r>
    </w:p>
    <w:p>
      <w:pPr>
        <w:tabs>
          <w:tab w:val="left" w:pos="6705"/>
        </w:tabs>
        <w:spacing w:line="360" w:lineRule="auto"/>
        <w:rPr>
          <w:rFonts w:ascii="宋体" w:hAnsi="宋体"/>
          <w:szCs w:val="21"/>
        </w:rPr>
      </w:pPr>
      <w:r>
        <w:rPr>
          <w:rFonts w:hint="eastAsia" w:ascii="宋体" w:hAnsi="宋体"/>
          <w:szCs w:val="21"/>
        </w:rPr>
        <w:t>2、协助甲方组织项目谈判，促成各方达成一致，做好谈判记录；</w:t>
      </w:r>
    </w:p>
    <w:p>
      <w:pPr>
        <w:tabs>
          <w:tab w:val="left" w:pos="6705"/>
        </w:tabs>
        <w:spacing w:line="360" w:lineRule="auto"/>
        <w:rPr>
          <w:rFonts w:ascii="宋体" w:hAnsi="宋体"/>
          <w:szCs w:val="21"/>
        </w:rPr>
      </w:pPr>
      <w:r>
        <w:rPr>
          <w:rFonts w:hint="eastAsia" w:ascii="宋体" w:hAnsi="宋体"/>
          <w:szCs w:val="21"/>
        </w:rPr>
        <w:t>3、协助甲方与拟选择社会资本签订《谈判备忘录》。</w:t>
      </w:r>
    </w:p>
    <w:p>
      <w:pPr>
        <w:tabs>
          <w:tab w:val="left" w:pos="6705"/>
        </w:tabs>
        <w:spacing w:line="360" w:lineRule="auto"/>
        <w:rPr>
          <w:rFonts w:ascii="宋体" w:hAnsi="宋体"/>
          <w:szCs w:val="21"/>
        </w:rPr>
      </w:pPr>
      <w:r>
        <w:rPr>
          <w:rFonts w:hint="eastAsia" w:ascii="宋体" w:hAnsi="宋体"/>
          <w:szCs w:val="21"/>
        </w:rPr>
        <w:t>工作成果：初步确定拟选择的社会资本，签订《谈判备忘录》</w:t>
      </w:r>
    </w:p>
    <w:p>
      <w:pPr>
        <w:tabs>
          <w:tab w:val="left" w:pos="6705"/>
        </w:tabs>
        <w:spacing w:line="360" w:lineRule="auto"/>
        <w:rPr>
          <w:rFonts w:ascii="宋体" w:hAnsi="宋体"/>
          <w:szCs w:val="21"/>
        </w:rPr>
      </w:pPr>
      <w:r>
        <w:rPr>
          <w:rFonts w:hint="eastAsia" w:ascii="宋体" w:hAnsi="宋体"/>
          <w:szCs w:val="21"/>
        </w:rPr>
        <w:t>第五阶段：项目公司组建及协议签署</w:t>
      </w:r>
    </w:p>
    <w:p>
      <w:pPr>
        <w:tabs>
          <w:tab w:val="left" w:pos="6705"/>
        </w:tabs>
        <w:spacing w:line="360" w:lineRule="auto"/>
        <w:rPr>
          <w:rFonts w:ascii="宋体" w:hAnsi="宋体"/>
          <w:szCs w:val="21"/>
        </w:rPr>
      </w:pPr>
      <w:r>
        <w:rPr>
          <w:rFonts w:hint="eastAsia" w:ascii="宋体" w:hAnsi="宋体"/>
          <w:szCs w:val="21"/>
        </w:rPr>
        <w:t>1、修订《PPP项目合同》或《特许经营协议》或《服务协议》和《项目公司章程》；</w:t>
      </w:r>
    </w:p>
    <w:p>
      <w:pPr>
        <w:tabs>
          <w:tab w:val="left" w:pos="6705"/>
        </w:tabs>
        <w:spacing w:line="360" w:lineRule="auto"/>
        <w:rPr>
          <w:rFonts w:ascii="宋体" w:hAnsi="宋体"/>
          <w:szCs w:val="21"/>
        </w:rPr>
      </w:pPr>
      <w:r>
        <w:rPr>
          <w:rFonts w:hint="eastAsia" w:ascii="宋体" w:hAnsi="宋体"/>
          <w:szCs w:val="21"/>
        </w:rPr>
        <w:t>2、将拟定的《PPP项目合同》或《特许经营协议》或《服务协议》对外公示；</w:t>
      </w:r>
    </w:p>
    <w:p>
      <w:pPr>
        <w:tabs>
          <w:tab w:val="left" w:pos="6705"/>
        </w:tabs>
        <w:spacing w:line="360" w:lineRule="auto"/>
        <w:rPr>
          <w:rFonts w:ascii="宋体" w:hAnsi="宋体"/>
          <w:szCs w:val="21"/>
        </w:rPr>
      </w:pPr>
      <w:r>
        <w:rPr>
          <w:rFonts w:hint="eastAsia" w:ascii="宋体" w:hAnsi="宋体"/>
          <w:szCs w:val="21"/>
        </w:rPr>
        <w:t>3、将招标结果和拟定的《PPP项目合同》或《特许经营协议》或《服务协议》报叶县政府审批；</w:t>
      </w:r>
    </w:p>
    <w:p>
      <w:pPr>
        <w:tabs>
          <w:tab w:val="left" w:pos="6705"/>
        </w:tabs>
        <w:spacing w:line="360" w:lineRule="auto"/>
        <w:rPr>
          <w:rFonts w:ascii="宋体" w:hAnsi="宋体"/>
          <w:szCs w:val="21"/>
        </w:rPr>
      </w:pPr>
      <w:r>
        <w:rPr>
          <w:rFonts w:hint="eastAsia" w:ascii="宋体" w:hAnsi="宋体"/>
          <w:szCs w:val="21"/>
        </w:rPr>
        <w:t>4、协助甲方、社会资本、项目公司签署《PPP项目合同》；</w:t>
      </w:r>
    </w:p>
    <w:p>
      <w:pPr>
        <w:tabs>
          <w:tab w:val="left" w:pos="6705"/>
        </w:tabs>
        <w:spacing w:line="360" w:lineRule="auto"/>
        <w:rPr>
          <w:rFonts w:ascii="宋体" w:hAnsi="宋体"/>
          <w:szCs w:val="21"/>
        </w:rPr>
      </w:pPr>
      <w:r>
        <w:rPr>
          <w:rFonts w:hint="eastAsia" w:ascii="宋体" w:hAnsi="宋体"/>
          <w:szCs w:val="21"/>
        </w:rPr>
        <w:t>5、将正式签署的《PPP项目合同》在省级以上人民政府财政部门指定的媒体上公示。</w:t>
      </w:r>
    </w:p>
    <w:p>
      <w:pPr>
        <w:tabs>
          <w:tab w:val="left" w:pos="6705"/>
        </w:tabs>
        <w:spacing w:line="360" w:lineRule="auto"/>
        <w:rPr>
          <w:rFonts w:ascii="宋体" w:hAnsi="宋体"/>
          <w:szCs w:val="21"/>
        </w:rPr>
      </w:pPr>
      <w:r>
        <w:rPr>
          <w:rFonts w:hint="eastAsia" w:ascii="宋体" w:hAnsi="宋体"/>
          <w:szCs w:val="21"/>
        </w:rPr>
        <w:t>工作成果：确定中选社会资本及本项目政府和社会资本的合作框架，完成项目公司的组建，签署《PPP项目合同》并对外公示。</w:t>
      </w:r>
    </w:p>
    <w:p>
      <w:pPr>
        <w:tabs>
          <w:tab w:val="left" w:pos="6705"/>
        </w:tabs>
        <w:spacing w:line="360" w:lineRule="auto"/>
        <w:rPr>
          <w:rFonts w:ascii="宋体" w:hAnsi="宋体"/>
          <w:szCs w:val="21"/>
        </w:rPr>
      </w:pPr>
      <w:r>
        <w:rPr>
          <w:rFonts w:hint="eastAsia" w:ascii="宋体" w:hAnsi="宋体"/>
          <w:szCs w:val="21"/>
        </w:rPr>
        <w:t>第5条  本项目应遵守国家和博爱县的相关法规、规范和技术标准。</w:t>
      </w:r>
    </w:p>
    <w:p>
      <w:pPr>
        <w:tabs>
          <w:tab w:val="left" w:pos="6705"/>
        </w:tabs>
        <w:spacing w:line="360" w:lineRule="auto"/>
        <w:rPr>
          <w:rFonts w:ascii="宋体" w:hAnsi="宋体"/>
          <w:szCs w:val="21"/>
        </w:rPr>
      </w:pPr>
      <w:bookmarkStart w:id="285" w:name="_Toc490726176"/>
      <w:bookmarkStart w:id="286" w:name="_Toc246760207"/>
      <w:bookmarkStart w:id="287" w:name="_Toc322442911"/>
      <w:bookmarkStart w:id="288" w:name="_Toc490726445"/>
      <w:bookmarkStart w:id="289" w:name="_Toc322442792"/>
      <w:r>
        <w:rPr>
          <w:rFonts w:hint="eastAsia" w:ascii="宋体" w:hAnsi="宋体"/>
          <w:szCs w:val="21"/>
        </w:rPr>
        <w:t>3.  技术咨询编制内容要求</w:t>
      </w:r>
      <w:bookmarkEnd w:id="285"/>
      <w:bookmarkEnd w:id="286"/>
      <w:bookmarkEnd w:id="287"/>
      <w:bookmarkEnd w:id="288"/>
      <w:bookmarkEnd w:id="289"/>
    </w:p>
    <w:p>
      <w:pPr>
        <w:tabs>
          <w:tab w:val="left" w:pos="6705"/>
        </w:tabs>
        <w:spacing w:line="360" w:lineRule="auto"/>
        <w:rPr>
          <w:rFonts w:ascii="宋体" w:hAnsi="宋体"/>
          <w:szCs w:val="21"/>
        </w:rPr>
      </w:pPr>
      <w:r>
        <w:rPr>
          <w:rFonts w:hint="eastAsia" w:ascii="宋体" w:hAnsi="宋体"/>
          <w:szCs w:val="21"/>
        </w:rPr>
        <w:t>第6条  《博爱县农村人居环境综合整治项目选取PPP咨询服务机构采购项目》的内容和深度应达到国家相关政策要求，主体完整，数据准确。</w:t>
      </w:r>
    </w:p>
    <w:p>
      <w:pPr>
        <w:tabs>
          <w:tab w:val="left" w:pos="6705"/>
        </w:tabs>
        <w:spacing w:line="360" w:lineRule="auto"/>
        <w:rPr>
          <w:rFonts w:ascii="宋体" w:hAnsi="宋体"/>
          <w:szCs w:val="21"/>
        </w:rPr>
      </w:pPr>
      <w:r>
        <w:rPr>
          <w:rFonts w:hint="eastAsia" w:ascii="宋体" w:hAnsi="宋体"/>
          <w:szCs w:val="21"/>
        </w:rPr>
        <w:t>第7条  《实施方案》完整性和可行性</w:t>
      </w:r>
    </w:p>
    <w:p>
      <w:pPr>
        <w:tabs>
          <w:tab w:val="left" w:pos="6705"/>
        </w:tabs>
        <w:spacing w:line="360" w:lineRule="auto"/>
        <w:rPr>
          <w:rFonts w:ascii="宋体" w:hAnsi="宋体"/>
          <w:szCs w:val="21"/>
        </w:rPr>
      </w:pPr>
      <w:r>
        <w:rPr>
          <w:rFonts w:hint="eastAsia" w:ascii="宋体" w:hAnsi="宋体"/>
          <w:szCs w:val="21"/>
        </w:rPr>
        <w:t>1、投入产出。包括项目建设基本功能、建设规模、建设内容、建设标准、初步建设方案及工艺方案、经营服务标准、投资规模等。</w:t>
      </w:r>
    </w:p>
    <w:p>
      <w:pPr>
        <w:tabs>
          <w:tab w:val="left" w:pos="6705"/>
        </w:tabs>
        <w:spacing w:line="360" w:lineRule="auto"/>
        <w:rPr>
          <w:rFonts w:ascii="宋体" w:hAnsi="宋体"/>
          <w:szCs w:val="21"/>
        </w:rPr>
      </w:pPr>
      <w:r>
        <w:rPr>
          <w:rFonts w:hint="eastAsia" w:ascii="宋体" w:hAnsi="宋体"/>
          <w:szCs w:val="21"/>
        </w:rPr>
        <w:t>2、经济可行性。包括运作模式、经济及交易结构等。</w:t>
      </w:r>
    </w:p>
    <w:p>
      <w:pPr>
        <w:tabs>
          <w:tab w:val="left" w:pos="6705"/>
        </w:tabs>
        <w:spacing w:line="360" w:lineRule="auto"/>
        <w:rPr>
          <w:rFonts w:ascii="宋体" w:hAnsi="宋体"/>
          <w:szCs w:val="21"/>
        </w:rPr>
      </w:pPr>
      <w:r>
        <w:rPr>
          <w:rFonts w:hint="eastAsia" w:ascii="宋体" w:hAnsi="宋体"/>
          <w:szCs w:val="21"/>
        </w:rPr>
        <w:t>3、法律完备性。包括项目实施方案是否符合PPP法律框架要求，以及风险分配、交易结构、合同体系等。</w:t>
      </w:r>
    </w:p>
    <w:p>
      <w:pPr>
        <w:tabs>
          <w:tab w:val="left" w:pos="6705"/>
        </w:tabs>
        <w:spacing w:line="360" w:lineRule="auto"/>
        <w:rPr>
          <w:rFonts w:ascii="宋体" w:hAnsi="宋体"/>
          <w:szCs w:val="21"/>
        </w:rPr>
      </w:pPr>
      <w:r>
        <w:rPr>
          <w:rFonts w:hint="eastAsia" w:ascii="宋体" w:hAnsi="宋体"/>
          <w:szCs w:val="21"/>
        </w:rPr>
        <w:t>4、可操作性。包括监管架构、招标方式选择等。</w:t>
      </w:r>
    </w:p>
    <w:p>
      <w:pPr>
        <w:tabs>
          <w:tab w:val="left" w:pos="6705"/>
        </w:tabs>
        <w:spacing w:line="360" w:lineRule="auto"/>
        <w:rPr>
          <w:rFonts w:ascii="宋体" w:hAnsi="宋体"/>
          <w:szCs w:val="21"/>
        </w:rPr>
      </w:pPr>
      <w:r>
        <w:rPr>
          <w:rFonts w:hint="eastAsia" w:ascii="宋体" w:hAnsi="宋体"/>
          <w:szCs w:val="21"/>
        </w:rPr>
        <w:t>5、PPP方案应优化风险分配，提高项目建设质量和运营效率，促进创新和竞争等。</w:t>
      </w:r>
    </w:p>
    <w:p>
      <w:pPr>
        <w:tabs>
          <w:tab w:val="left" w:pos="6705"/>
        </w:tabs>
        <w:spacing w:line="360" w:lineRule="auto"/>
        <w:rPr>
          <w:rFonts w:ascii="宋体" w:hAnsi="宋体"/>
          <w:szCs w:val="21"/>
        </w:rPr>
      </w:pPr>
      <w:r>
        <w:rPr>
          <w:rFonts w:hint="eastAsia" w:ascii="宋体" w:hAnsi="宋体"/>
          <w:szCs w:val="21"/>
        </w:rPr>
        <w:t xml:space="preserve">6、PPP项目要素完备性。 </w:t>
      </w:r>
    </w:p>
    <w:p>
      <w:pPr>
        <w:tabs>
          <w:tab w:val="left" w:pos="6705"/>
        </w:tabs>
        <w:spacing w:line="360" w:lineRule="auto"/>
        <w:rPr>
          <w:rFonts w:ascii="宋体" w:hAnsi="宋体"/>
          <w:szCs w:val="21"/>
        </w:rPr>
      </w:pPr>
      <w:bookmarkStart w:id="290" w:name="_Toc490726177"/>
      <w:bookmarkStart w:id="291" w:name="_Toc490726446"/>
      <w:bookmarkStart w:id="292" w:name="_Toc322442793"/>
      <w:bookmarkStart w:id="293" w:name="_Toc322442912"/>
      <w:bookmarkStart w:id="294" w:name="_Toc246760208"/>
      <w:r>
        <w:rPr>
          <w:rFonts w:hint="eastAsia" w:ascii="宋体" w:hAnsi="宋体"/>
          <w:szCs w:val="21"/>
        </w:rPr>
        <w:t>第8条  提交成果的规定</w:t>
      </w:r>
      <w:bookmarkEnd w:id="290"/>
      <w:bookmarkEnd w:id="291"/>
      <w:bookmarkEnd w:id="292"/>
      <w:bookmarkEnd w:id="293"/>
      <w:bookmarkEnd w:id="294"/>
    </w:p>
    <w:p>
      <w:pPr>
        <w:tabs>
          <w:tab w:val="left" w:pos="6705"/>
        </w:tabs>
        <w:spacing w:line="360" w:lineRule="auto"/>
        <w:rPr>
          <w:rFonts w:ascii="宋体" w:hAnsi="宋体"/>
          <w:szCs w:val="21"/>
        </w:rPr>
      </w:pPr>
      <w:r>
        <w:rPr>
          <w:rFonts w:hint="eastAsia" w:ascii="宋体" w:hAnsi="宋体"/>
          <w:szCs w:val="21"/>
        </w:rPr>
        <w:t>1、投标人向采购人提供纸质版和1份电子版。</w:t>
      </w:r>
    </w:p>
    <w:p>
      <w:pPr>
        <w:tabs>
          <w:tab w:val="left" w:pos="6705"/>
        </w:tabs>
        <w:spacing w:line="360" w:lineRule="auto"/>
        <w:rPr>
          <w:rFonts w:ascii="宋体" w:hAnsi="宋体"/>
          <w:szCs w:val="21"/>
        </w:rPr>
      </w:pPr>
      <w:r>
        <w:rPr>
          <w:rFonts w:hint="eastAsia" w:ascii="宋体" w:hAnsi="宋体"/>
          <w:szCs w:val="21"/>
        </w:rPr>
        <w:t>2、投标人编制方案应符合国家有关技术规范要求，并根据采购人对报告编写提出的合理要求进行修改和补充。</w:t>
      </w:r>
    </w:p>
    <w:p>
      <w:pPr>
        <w:tabs>
          <w:tab w:val="left" w:pos="6705"/>
        </w:tabs>
        <w:spacing w:line="360" w:lineRule="auto"/>
        <w:rPr>
          <w:rFonts w:ascii="宋体" w:hAnsi="宋体"/>
          <w:szCs w:val="21"/>
        </w:rPr>
      </w:pPr>
      <w:bookmarkStart w:id="295" w:name="_Toc322442795"/>
      <w:bookmarkStart w:id="296" w:name="_Toc322442914"/>
      <w:bookmarkStart w:id="297" w:name="_Toc490726178"/>
      <w:bookmarkStart w:id="298" w:name="_Toc490726447"/>
      <w:bookmarkStart w:id="299" w:name="_Toc246760210"/>
      <w:r>
        <w:rPr>
          <w:rFonts w:hint="eastAsia" w:ascii="宋体" w:hAnsi="宋体"/>
          <w:szCs w:val="21"/>
        </w:rPr>
        <w:t>5.附  则</w:t>
      </w:r>
      <w:bookmarkEnd w:id="295"/>
      <w:bookmarkEnd w:id="296"/>
      <w:bookmarkEnd w:id="297"/>
      <w:bookmarkEnd w:id="298"/>
      <w:bookmarkEnd w:id="299"/>
    </w:p>
    <w:p>
      <w:pPr>
        <w:tabs>
          <w:tab w:val="left" w:pos="6705"/>
        </w:tabs>
        <w:spacing w:line="360" w:lineRule="auto"/>
        <w:rPr>
          <w:rFonts w:ascii="宋体" w:hAnsi="宋体"/>
          <w:szCs w:val="21"/>
        </w:rPr>
      </w:pPr>
      <w:r>
        <w:rPr>
          <w:rFonts w:hint="eastAsia" w:ascii="宋体" w:hAnsi="宋体"/>
          <w:szCs w:val="21"/>
        </w:rPr>
        <w:t>1、承接单位如对本任务书有疑问，应在接到任务书后以书面形式提出，组织单位在收到意见后将以口头或书面形式做出答复。</w:t>
      </w:r>
    </w:p>
    <w:p>
      <w:pPr>
        <w:tabs>
          <w:tab w:val="left" w:pos="6705"/>
        </w:tabs>
        <w:spacing w:line="360" w:lineRule="auto"/>
        <w:rPr>
          <w:rFonts w:ascii="宋体" w:hAnsi="宋体"/>
          <w:szCs w:val="21"/>
        </w:rPr>
      </w:pPr>
      <w:r>
        <w:rPr>
          <w:rFonts w:hint="eastAsia" w:ascii="宋体" w:hAnsi="宋体"/>
          <w:szCs w:val="21"/>
        </w:rPr>
        <w:t>2、承接单位所提交的项目成果有下列情形之一的视为成果无效，按技术服务合同承担相应责任。</w:t>
      </w:r>
    </w:p>
    <w:p>
      <w:pPr>
        <w:tabs>
          <w:tab w:val="left" w:pos="6705"/>
        </w:tabs>
        <w:spacing w:line="360" w:lineRule="auto"/>
        <w:rPr>
          <w:rFonts w:ascii="宋体" w:hAnsi="宋体"/>
          <w:szCs w:val="21"/>
        </w:rPr>
      </w:pPr>
      <w:r>
        <w:rPr>
          <w:rFonts w:hint="eastAsia" w:ascii="宋体" w:hAnsi="宋体"/>
          <w:szCs w:val="21"/>
        </w:rPr>
        <w:t>（1）提交的项目成果不符合本任务书规定的；</w:t>
      </w:r>
    </w:p>
    <w:p>
      <w:pPr>
        <w:tabs>
          <w:tab w:val="left" w:pos="6705"/>
        </w:tabs>
        <w:spacing w:line="360" w:lineRule="auto"/>
        <w:rPr>
          <w:rFonts w:ascii="宋体" w:hAnsi="宋体"/>
          <w:szCs w:val="21"/>
        </w:rPr>
      </w:pPr>
      <w:r>
        <w:rPr>
          <w:rFonts w:hint="eastAsia" w:ascii="宋体" w:hAnsi="宋体"/>
          <w:szCs w:val="21"/>
        </w:rPr>
        <w:t>（2）提交的项目成果文字辨认不清，内容不全或粗制滥造的；</w:t>
      </w:r>
    </w:p>
    <w:p>
      <w:pPr>
        <w:tabs>
          <w:tab w:val="left" w:pos="6705"/>
        </w:tabs>
        <w:spacing w:line="360" w:lineRule="auto"/>
        <w:rPr>
          <w:rFonts w:ascii="宋体" w:hAnsi="宋体"/>
          <w:szCs w:val="21"/>
        </w:rPr>
      </w:pPr>
      <w:r>
        <w:rPr>
          <w:rFonts w:hint="eastAsia" w:ascii="宋体" w:hAnsi="宋体"/>
          <w:szCs w:val="21"/>
        </w:rPr>
        <w:t>（3）未经组织单位同意逾期上报编制成果的。</w:t>
      </w:r>
    </w:p>
    <w:p>
      <w:pPr>
        <w:tabs>
          <w:tab w:val="left" w:pos="6705"/>
        </w:tabs>
        <w:spacing w:line="360" w:lineRule="auto"/>
        <w:rPr>
          <w:rFonts w:ascii="宋体" w:hAnsi="宋体"/>
          <w:szCs w:val="21"/>
        </w:rPr>
      </w:pPr>
      <w:r>
        <w:rPr>
          <w:rFonts w:hint="eastAsia" w:ascii="宋体" w:hAnsi="宋体"/>
          <w:szCs w:val="21"/>
        </w:rPr>
        <w:t>（4）未盖有承接单位公章或编制人员未签署。</w:t>
      </w:r>
    </w:p>
    <w:p>
      <w:pPr>
        <w:pStyle w:val="3"/>
        <w:rPr>
          <w:rFonts w:ascii="宋体" w:hAnsi="宋体"/>
          <w:szCs w:val="21"/>
        </w:rPr>
      </w:pPr>
      <w:r>
        <w:rPr>
          <w:rFonts w:hint="eastAsia" w:ascii="宋体" w:hAnsi="宋体"/>
          <w:szCs w:val="21"/>
        </w:rPr>
        <w:t xml:space="preserve"> 3、本任务书解释权归焦作市生态环境局博爱分局</w:t>
      </w:r>
    </w:p>
    <w:p>
      <w:bookmarkStart w:id="300" w:name="_Toc18577"/>
    </w:p>
    <w:p/>
    <w:p/>
    <w:p/>
    <w:p/>
    <w:p/>
    <w:p/>
    <w:p/>
    <w:p/>
    <w:p>
      <w:pPr>
        <w:pStyle w:val="2"/>
        <w:ind w:firstLine="320"/>
        <w:rPr>
          <w:rFonts w:hint="default"/>
        </w:rPr>
      </w:pPr>
    </w:p>
    <w:p/>
    <w:p>
      <w:pPr>
        <w:pStyle w:val="2"/>
        <w:ind w:firstLine="320"/>
        <w:rPr>
          <w:rFonts w:hint="default"/>
        </w:rPr>
      </w:pPr>
    </w:p>
    <w:p/>
    <w:p>
      <w:pPr>
        <w:pStyle w:val="2"/>
        <w:ind w:firstLine="320"/>
        <w:rPr>
          <w:rFonts w:hint="default"/>
        </w:rPr>
      </w:pPr>
    </w:p>
    <w:p/>
    <w:p>
      <w:pPr>
        <w:pStyle w:val="2"/>
        <w:ind w:firstLine="320"/>
        <w:rPr>
          <w:rFonts w:hint="default"/>
        </w:rPr>
      </w:pPr>
    </w:p>
    <w:p/>
    <w:p/>
    <w:p/>
    <w:p/>
    <w:p>
      <w:pPr>
        <w:pStyle w:val="5"/>
        <w:spacing w:before="0" w:after="0" w:line="360" w:lineRule="auto"/>
        <w:ind w:firstLine="643" w:firstLineChars="200"/>
        <w:rPr>
          <w:sz w:val="32"/>
          <w:szCs w:val="32"/>
        </w:rPr>
      </w:pPr>
      <w:r>
        <w:rPr>
          <w:rFonts w:hint="eastAsia"/>
          <w:sz w:val="32"/>
          <w:szCs w:val="32"/>
        </w:rPr>
        <w:t>第六章 质疑与投诉</w:t>
      </w:r>
      <w:bookmarkEnd w:id="300"/>
    </w:p>
    <w:p/>
    <w:p>
      <w:pPr>
        <w:spacing w:line="360" w:lineRule="auto"/>
        <w:ind w:firstLine="562" w:firstLineChars="200"/>
        <w:rPr>
          <w:rFonts w:ascii="宋体" w:hAnsi="宋体" w:cs="宋体"/>
          <w:b/>
          <w:bCs/>
          <w:sz w:val="28"/>
          <w:szCs w:val="28"/>
        </w:rPr>
      </w:pPr>
      <w:r>
        <w:rPr>
          <w:rFonts w:hint="eastAsia" w:ascii="宋体" w:hAnsi="宋体" w:cs="宋体"/>
          <w:b/>
          <w:bCs/>
          <w:sz w:val="28"/>
          <w:szCs w:val="28"/>
        </w:rPr>
        <w:t>一、质疑与答复</w:t>
      </w:r>
    </w:p>
    <w:p>
      <w:pPr>
        <w:pStyle w:val="2"/>
        <w:spacing w:line="360" w:lineRule="auto"/>
        <w:ind w:firstLine="480" w:firstLineChars="200"/>
        <w:rPr>
          <w:rFonts w:hint="default" w:ascii="宋体" w:hAnsi="宋体" w:eastAsia="宋体" w:cs="宋体"/>
          <w:sz w:val="24"/>
        </w:rPr>
      </w:pPr>
      <w:r>
        <w:rPr>
          <w:rFonts w:ascii="宋体" w:hAnsi="宋体" w:eastAsia="宋体" w:cs="宋体"/>
          <w:sz w:val="24"/>
        </w:rPr>
        <w:t>1. 参与政府采购活动的投标人认为采购文件、采购过程、中标或者成交结果使自己的权益受到损害的，可以在知道或者应知其权益受到损害之日起7个工作日内，以书面形式向采购人、采购代理机构提出质疑。</w:t>
      </w:r>
    </w:p>
    <w:p>
      <w:pPr>
        <w:pStyle w:val="24"/>
        <w:spacing w:line="360" w:lineRule="auto"/>
        <w:ind w:firstLine="480"/>
        <w:rPr>
          <w:rFonts w:ascii="宋体" w:hAnsi="宋体" w:cs="宋体"/>
          <w:sz w:val="24"/>
        </w:rPr>
      </w:pPr>
      <w:r>
        <w:rPr>
          <w:rFonts w:hint="eastAsia" w:ascii="宋体" w:hAnsi="宋体" w:cs="宋体"/>
          <w:sz w:val="24"/>
        </w:rPr>
        <w:t>2. 投标人提出质疑应当提交质疑函和必要的证明材料。政府采购投标人质疑函范本下载地址：</w:t>
      </w:r>
    </w:p>
    <w:p>
      <w:pPr>
        <w:pStyle w:val="24"/>
        <w:spacing w:line="360" w:lineRule="auto"/>
        <w:ind w:left="420" w:leftChars="200" w:firstLine="0" w:firstLineChars="0"/>
        <w:rPr>
          <w:rFonts w:ascii="宋体" w:hAnsi="宋体" w:cs="宋体"/>
          <w:sz w:val="24"/>
        </w:rPr>
      </w:pPr>
      <w:r>
        <w:fldChar w:fldCharType="begin"/>
      </w:r>
      <w:r>
        <w:instrText xml:space="preserve"> HYPERLINK "http://download.ccgp.gov.cn/2018/zhiyihanfanben.zip；" </w:instrText>
      </w:r>
      <w:r>
        <w:fldChar w:fldCharType="separate"/>
      </w:r>
      <w:r>
        <w:rPr>
          <w:rStyle w:val="28"/>
          <w:rFonts w:hint="eastAsia" w:ascii="宋体" w:hAnsi="宋体" w:cs="宋体"/>
          <w:color w:val="auto"/>
          <w:sz w:val="24"/>
        </w:rPr>
        <w:t>http://download.ccgp.gov.cn/2018/zhiyihanfanben.zip；</w:t>
      </w:r>
      <w:r>
        <w:rPr>
          <w:rStyle w:val="28"/>
          <w:rFonts w:hint="eastAsia" w:ascii="宋体" w:hAnsi="宋体" w:cs="宋体"/>
          <w:color w:val="auto"/>
          <w:sz w:val="24"/>
        </w:rPr>
        <w:fldChar w:fldCharType="end"/>
      </w:r>
    </w:p>
    <w:p>
      <w:pPr>
        <w:numPr>
          <w:ilvl w:val="0"/>
          <w:numId w:val="11"/>
        </w:numPr>
        <w:spacing w:line="360" w:lineRule="auto"/>
        <w:ind w:firstLine="480" w:firstLineChars="200"/>
        <w:rPr>
          <w:rFonts w:ascii="宋体" w:hAnsi="宋体" w:cs="宋体"/>
          <w:sz w:val="24"/>
        </w:rPr>
      </w:pPr>
      <w:r>
        <w:rPr>
          <w:rFonts w:hint="eastAsia" w:ascii="宋体" w:hAnsi="宋体" w:cs="宋体"/>
          <w:sz w:val="24"/>
        </w:rPr>
        <w:t>采购人、采购代理机构不得拒收质疑投标人在法定质疑期内发出的质疑函，应当在收到质疑函后7个工作日内作出答复，并以书面形式通知质疑投标人和其他有关投标人。</w:t>
      </w:r>
    </w:p>
    <w:p>
      <w:pPr>
        <w:numPr>
          <w:ilvl w:val="0"/>
          <w:numId w:val="11"/>
        </w:numPr>
        <w:spacing w:line="360" w:lineRule="auto"/>
        <w:ind w:firstLine="480" w:firstLineChars="200"/>
        <w:rPr>
          <w:rFonts w:ascii="宋体" w:hAnsi="宋体" w:cs="宋体"/>
          <w:sz w:val="24"/>
        </w:rPr>
      </w:pPr>
      <w:r>
        <w:rPr>
          <w:rFonts w:hint="eastAsia" w:ascii="宋体" w:hAnsi="宋体" w:cs="宋体"/>
          <w:sz w:val="24"/>
        </w:rPr>
        <w:t>投标人提出质疑应当提交质疑函和必要的证明材料。质疑函应当包括下列内容：</w:t>
      </w:r>
    </w:p>
    <w:p>
      <w:pPr>
        <w:numPr>
          <w:ilvl w:val="1"/>
          <w:numId w:val="11"/>
        </w:numPr>
        <w:spacing w:line="360" w:lineRule="auto"/>
        <w:ind w:left="420" w:leftChars="200"/>
        <w:rPr>
          <w:rFonts w:ascii="宋体" w:hAnsi="宋体" w:cs="宋体"/>
          <w:sz w:val="24"/>
        </w:rPr>
      </w:pPr>
      <w:r>
        <w:rPr>
          <w:rFonts w:hint="eastAsia" w:ascii="宋体" w:hAnsi="宋体" w:cs="宋体"/>
          <w:sz w:val="24"/>
        </w:rPr>
        <w:t>投标人的姓名或者名称、地址、邮编、联系人及联系电话；</w:t>
      </w:r>
    </w:p>
    <w:p>
      <w:pPr>
        <w:numPr>
          <w:ilvl w:val="1"/>
          <w:numId w:val="11"/>
        </w:numPr>
        <w:spacing w:line="360" w:lineRule="auto"/>
        <w:ind w:left="420" w:leftChars="200"/>
        <w:rPr>
          <w:rFonts w:ascii="宋体" w:hAnsi="宋体" w:cs="宋体"/>
          <w:sz w:val="24"/>
        </w:rPr>
      </w:pPr>
      <w:r>
        <w:rPr>
          <w:rFonts w:hint="eastAsia" w:ascii="宋体" w:hAnsi="宋体" w:cs="宋体"/>
          <w:sz w:val="24"/>
        </w:rPr>
        <w:t>质疑项目的名称、编号；</w:t>
      </w:r>
    </w:p>
    <w:p>
      <w:pPr>
        <w:numPr>
          <w:ilvl w:val="1"/>
          <w:numId w:val="11"/>
        </w:numPr>
        <w:spacing w:line="360" w:lineRule="auto"/>
        <w:ind w:left="420" w:leftChars="200"/>
        <w:rPr>
          <w:rFonts w:ascii="宋体" w:hAnsi="宋体" w:cs="宋体"/>
          <w:sz w:val="24"/>
        </w:rPr>
      </w:pPr>
      <w:r>
        <w:rPr>
          <w:rFonts w:hint="eastAsia" w:ascii="宋体" w:hAnsi="宋体" w:cs="宋体"/>
          <w:sz w:val="24"/>
        </w:rPr>
        <w:t>具体、明确的质疑事项和与质疑事项相关的请求；</w:t>
      </w:r>
    </w:p>
    <w:p>
      <w:pPr>
        <w:numPr>
          <w:ilvl w:val="1"/>
          <w:numId w:val="11"/>
        </w:numPr>
        <w:spacing w:line="360" w:lineRule="auto"/>
        <w:ind w:left="420" w:leftChars="200"/>
        <w:rPr>
          <w:rFonts w:ascii="宋体" w:hAnsi="宋体" w:cs="宋体"/>
          <w:sz w:val="24"/>
        </w:rPr>
      </w:pPr>
      <w:r>
        <w:rPr>
          <w:rFonts w:hint="eastAsia" w:ascii="宋体" w:hAnsi="宋体" w:cs="宋体"/>
          <w:sz w:val="24"/>
        </w:rPr>
        <w:t>事实依据；</w:t>
      </w:r>
    </w:p>
    <w:p>
      <w:pPr>
        <w:numPr>
          <w:ilvl w:val="1"/>
          <w:numId w:val="11"/>
        </w:numPr>
        <w:spacing w:line="360" w:lineRule="auto"/>
        <w:ind w:left="420" w:leftChars="200"/>
        <w:rPr>
          <w:rFonts w:ascii="宋体" w:hAnsi="宋体" w:cs="宋体"/>
          <w:sz w:val="24"/>
        </w:rPr>
      </w:pPr>
      <w:r>
        <w:rPr>
          <w:rFonts w:hint="eastAsia" w:ascii="宋体" w:hAnsi="宋体" w:cs="宋体"/>
          <w:sz w:val="24"/>
        </w:rPr>
        <w:t>必要的法律依据；</w:t>
      </w:r>
    </w:p>
    <w:p>
      <w:pPr>
        <w:numPr>
          <w:ilvl w:val="1"/>
          <w:numId w:val="11"/>
        </w:numPr>
        <w:spacing w:line="360" w:lineRule="auto"/>
        <w:ind w:left="420" w:leftChars="200"/>
        <w:rPr>
          <w:rFonts w:ascii="宋体" w:hAnsi="宋体" w:cs="宋体"/>
          <w:sz w:val="24"/>
        </w:rPr>
      </w:pPr>
      <w:r>
        <w:rPr>
          <w:rFonts w:hint="eastAsia" w:ascii="宋体" w:hAnsi="宋体" w:cs="宋体"/>
          <w:sz w:val="24"/>
        </w:rPr>
        <w:t>提出质疑的日期；</w:t>
      </w:r>
    </w:p>
    <w:p>
      <w:pPr>
        <w:numPr>
          <w:ilvl w:val="1"/>
          <w:numId w:val="11"/>
        </w:numPr>
        <w:spacing w:line="360" w:lineRule="auto"/>
        <w:ind w:left="420" w:leftChars="200"/>
        <w:rPr>
          <w:rFonts w:ascii="宋体" w:hAnsi="宋体" w:cs="宋体"/>
          <w:sz w:val="24"/>
        </w:rPr>
      </w:pPr>
      <w:r>
        <w:rPr>
          <w:rFonts w:hint="eastAsia" w:ascii="宋体" w:hAnsi="宋体" w:cs="宋体"/>
          <w:sz w:val="24"/>
        </w:rPr>
        <w:t>获取招标文件的凭证；</w:t>
      </w:r>
    </w:p>
    <w:p>
      <w:pPr>
        <w:numPr>
          <w:ilvl w:val="1"/>
          <w:numId w:val="11"/>
        </w:numPr>
        <w:spacing w:line="360" w:lineRule="auto"/>
        <w:ind w:left="420" w:leftChars="200"/>
        <w:rPr>
          <w:rFonts w:ascii="宋体" w:hAnsi="宋体" w:cs="宋体"/>
          <w:sz w:val="24"/>
        </w:rPr>
      </w:pPr>
      <w:r>
        <w:rPr>
          <w:rFonts w:hint="eastAsia" w:ascii="宋体" w:hAnsi="宋体" w:cs="宋体"/>
          <w:sz w:val="24"/>
        </w:rPr>
        <w:t>以上资料一式二份（采购人、采购代理机构各执一份）。</w:t>
      </w:r>
    </w:p>
    <w:p>
      <w:pPr>
        <w:numPr>
          <w:ilvl w:val="0"/>
          <w:numId w:val="11"/>
        </w:numPr>
        <w:spacing w:line="360" w:lineRule="auto"/>
        <w:ind w:firstLine="480" w:firstLineChars="200"/>
        <w:rPr>
          <w:rFonts w:ascii="宋体" w:hAnsi="宋体" w:cs="宋体"/>
          <w:sz w:val="24"/>
        </w:rPr>
      </w:pPr>
      <w:r>
        <w:rPr>
          <w:rFonts w:hint="eastAsia" w:ascii="宋体" w:hAnsi="宋体" w:cs="宋体"/>
          <w:sz w:val="24"/>
        </w:rPr>
        <w:t>投标人不得虚假质疑和恶意质疑，并对质疑内容的真实性承担责任。</w:t>
      </w:r>
    </w:p>
    <w:p>
      <w:pPr>
        <w:spacing w:line="360" w:lineRule="auto"/>
        <w:ind w:left="420" w:leftChars="200"/>
        <w:rPr>
          <w:rFonts w:ascii="宋体" w:hAnsi="宋体" w:cs="宋体"/>
          <w:b/>
          <w:bCs/>
          <w:sz w:val="28"/>
          <w:szCs w:val="28"/>
        </w:rPr>
      </w:pPr>
      <w:r>
        <w:rPr>
          <w:rFonts w:hint="eastAsia" w:ascii="宋体" w:hAnsi="宋体" w:cs="宋体"/>
          <w:b/>
          <w:bCs/>
          <w:sz w:val="28"/>
          <w:szCs w:val="28"/>
        </w:rPr>
        <w:t>二、投诉与处理</w:t>
      </w:r>
    </w:p>
    <w:p>
      <w:pPr>
        <w:pStyle w:val="2"/>
        <w:spacing w:line="360" w:lineRule="auto"/>
        <w:ind w:firstLine="480" w:firstLineChars="200"/>
        <w:rPr>
          <w:rFonts w:hint="default" w:ascii="宋体" w:hAnsi="宋体" w:eastAsia="宋体" w:cs="宋体"/>
          <w:sz w:val="24"/>
        </w:rPr>
      </w:pPr>
      <w:r>
        <w:rPr>
          <w:rFonts w:ascii="宋体" w:hAnsi="宋体" w:eastAsia="宋体" w:cs="宋体"/>
          <w:sz w:val="24"/>
        </w:rPr>
        <w:t>1、质疑投标人对采购人、采购代理机构的答复不满意，或者采购人、采购代理机构未在规定时间内作出答复的，可以在答复期满后15个工作日内向本办法第六条规定的财政部门提起投诉。</w:t>
      </w:r>
    </w:p>
    <w:p>
      <w:pPr>
        <w:spacing w:line="360" w:lineRule="auto"/>
        <w:ind w:firstLine="480" w:firstLineChars="200"/>
        <w:rPr>
          <w:rFonts w:ascii="宋体" w:hAnsi="宋体" w:cs="宋体"/>
          <w:sz w:val="24"/>
        </w:rPr>
      </w:pPr>
      <w:r>
        <w:rPr>
          <w:rFonts w:hint="eastAsia" w:ascii="宋体" w:hAnsi="宋体" w:cs="宋体"/>
          <w:sz w:val="24"/>
        </w:rPr>
        <w:t>2、质疑投标人对采购人、采购代理机构的答复不满意，或者采购人、采购代理机构未在规定时间内作出答复的，可以在答复期满后15个工作日内向财政部门提起投诉。</w:t>
      </w:r>
    </w:p>
    <w:p>
      <w:pPr>
        <w:pStyle w:val="2"/>
        <w:spacing w:line="360" w:lineRule="auto"/>
        <w:ind w:firstLine="480" w:firstLineChars="200"/>
        <w:rPr>
          <w:rFonts w:hint="default" w:ascii="宋体" w:hAnsi="宋体" w:eastAsia="宋体" w:cs="宋体"/>
          <w:sz w:val="24"/>
        </w:rPr>
      </w:pPr>
      <w:r>
        <w:rPr>
          <w:rFonts w:ascii="宋体" w:hAnsi="宋体" w:eastAsia="宋体" w:cs="宋体"/>
          <w:sz w:val="24"/>
        </w:rPr>
        <w:t>3、投诉人投诉时,应当提交投诉书和必要的证明材料，并按照被投诉采购人、采购代理机构（以下简称被投诉人）和与投诉事项有关的投标人数量提供投诉书的副本。政府采购投标人投诉书范本下载地址：</w:t>
      </w:r>
    </w:p>
    <w:p>
      <w:pPr>
        <w:pStyle w:val="2"/>
        <w:spacing w:line="360" w:lineRule="auto"/>
        <w:ind w:firstLine="640" w:firstLineChars="200"/>
        <w:rPr>
          <w:rFonts w:hint="default" w:ascii="宋体" w:hAnsi="宋体" w:eastAsia="宋体" w:cs="宋体"/>
          <w:sz w:val="24"/>
        </w:rPr>
      </w:pPr>
      <w:r>
        <w:fldChar w:fldCharType="begin"/>
      </w:r>
      <w:r>
        <w:instrText xml:space="preserve"> HYPERLINK "http://download.ccgp.gov.cn/2018/tousushufanben.zip" </w:instrText>
      </w:r>
      <w:r>
        <w:fldChar w:fldCharType="separate"/>
      </w:r>
      <w:r>
        <w:rPr>
          <w:rStyle w:val="28"/>
          <w:rFonts w:ascii="宋体" w:hAnsi="宋体" w:eastAsia="宋体" w:cs="宋体"/>
          <w:color w:val="auto"/>
          <w:sz w:val="24"/>
        </w:rPr>
        <w:t>http://download.ccgp.gov.cn/2018/tousushufanben.zip</w:t>
      </w:r>
      <w:r>
        <w:rPr>
          <w:rStyle w:val="28"/>
          <w:rFonts w:ascii="宋体" w:hAnsi="宋体" w:eastAsia="宋体" w:cs="宋体"/>
          <w:color w:val="auto"/>
          <w:sz w:val="24"/>
        </w:rPr>
        <w:fldChar w:fldCharType="end"/>
      </w:r>
    </w:p>
    <w:p>
      <w:pPr>
        <w:numPr>
          <w:ilvl w:val="0"/>
          <w:numId w:val="2"/>
        </w:numPr>
        <w:spacing w:line="360" w:lineRule="auto"/>
        <w:ind w:firstLine="480" w:firstLineChars="200"/>
        <w:rPr>
          <w:rFonts w:ascii="宋体" w:hAnsi="宋体" w:cs="宋体"/>
          <w:sz w:val="24"/>
        </w:rPr>
      </w:pPr>
      <w:r>
        <w:rPr>
          <w:rFonts w:hint="eastAsia" w:ascii="宋体" w:hAnsi="宋体" w:cs="宋体"/>
          <w:sz w:val="24"/>
        </w:rPr>
        <w:t>财政部门自收到投诉之日起30个工作日内，对投诉事项作出处理决定并公示。</w:t>
      </w:r>
    </w:p>
    <w:p>
      <w:pPr>
        <w:spacing w:line="360" w:lineRule="auto"/>
        <w:ind w:firstLine="480" w:firstLineChars="200"/>
        <w:rPr>
          <w:rFonts w:ascii="宋体" w:hAnsi="宋体" w:cs="宋体"/>
          <w:sz w:val="24"/>
        </w:rPr>
      </w:pPr>
      <w:r>
        <w:rPr>
          <w:rFonts w:hint="eastAsia" w:ascii="宋体" w:hAnsi="宋体" w:cs="宋体"/>
          <w:sz w:val="24"/>
        </w:rPr>
        <w:t>投诉人在全国范围12个月内三次以上投诉查无实据的，由财政部门列入不良行为记录名单。</w:t>
      </w:r>
    </w:p>
    <w:p>
      <w:pPr>
        <w:spacing w:line="360" w:lineRule="auto"/>
        <w:ind w:firstLine="480" w:firstLineChars="200"/>
        <w:rPr>
          <w:rFonts w:ascii="宋体" w:hAnsi="宋体" w:cs="宋体"/>
          <w:sz w:val="24"/>
        </w:rPr>
      </w:pPr>
      <w:r>
        <w:rPr>
          <w:rFonts w:hint="eastAsia" w:ascii="宋体" w:hAnsi="宋体" w:cs="宋体"/>
          <w:sz w:val="24"/>
        </w:rPr>
        <w:t>投诉人有财政部94号令第三十七条情形的，属于虚假、恶意投诉，由财政部门列入不良行为记录名单，禁止其1至3年内参加政府采购活动。</w:t>
      </w:r>
    </w:p>
    <w:p>
      <w:pPr>
        <w:pStyle w:val="24"/>
        <w:spacing w:line="360" w:lineRule="auto"/>
        <w:ind w:firstLine="480"/>
        <w:rPr>
          <w:rFonts w:ascii="宋体" w:hAnsi="宋体" w:cs="宋体"/>
          <w:sz w:val="24"/>
        </w:rPr>
      </w:pPr>
    </w:p>
    <w:p>
      <w:pPr>
        <w:pStyle w:val="5"/>
        <w:spacing w:before="0" w:after="0" w:line="360" w:lineRule="auto"/>
        <w:ind w:firstLine="480" w:firstLineChars="200"/>
        <w:jc w:val="both"/>
        <w:rPr>
          <w:rFonts w:ascii="宋体" w:hAnsi="宋体" w:cs="宋体"/>
          <w:b w:val="0"/>
          <w:bCs w:val="0"/>
          <w:sz w:val="24"/>
          <w:szCs w:val="24"/>
        </w:rPr>
      </w:pPr>
      <w:bookmarkStart w:id="301" w:name="_Toc3437"/>
      <w:r>
        <w:rPr>
          <w:rFonts w:hint="eastAsia" w:ascii="宋体" w:hAnsi="宋体" w:cs="宋体"/>
          <w:b w:val="0"/>
          <w:bCs w:val="0"/>
          <w:sz w:val="24"/>
          <w:szCs w:val="24"/>
        </w:rPr>
        <w:t>投诉联系电话：0391-8683273  地址：博爱县机关综合办公楼主楼1213室</w:t>
      </w:r>
      <w:bookmarkEnd w:id="301"/>
      <w:r>
        <w:rPr>
          <w:rFonts w:hint="eastAsia" w:ascii="宋体" w:hAnsi="宋体" w:cs="宋体"/>
          <w:b w:val="0"/>
          <w:bCs w:val="0"/>
          <w:sz w:val="24"/>
          <w:szCs w:val="24"/>
        </w:rPr>
        <w:t xml:space="preserve"> </w:t>
      </w:r>
    </w:p>
    <w:p>
      <w:pPr>
        <w:rPr>
          <w:rFonts w:ascii="宋体" w:hAnsi="宋体" w:cs="宋体"/>
          <w:sz w:val="24"/>
        </w:rPr>
      </w:pPr>
    </w:p>
    <w:p>
      <w:pPr>
        <w:pStyle w:val="6"/>
      </w:pPr>
    </w:p>
    <w:p/>
    <w:p>
      <w:pPr>
        <w:pStyle w:val="6"/>
      </w:pPr>
    </w:p>
    <w:p/>
    <w:p>
      <w:pPr>
        <w:pStyle w:val="6"/>
      </w:pPr>
    </w:p>
    <w:p/>
    <w:p>
      <w:pPr>
        <w:pStyle w:val="6"/>
      </w:pPr>
    </w:p>
    <w:p>
      <w:pPr>
        <w:pStyle w:val="21"/>
      </w:pPr>
    </w:p>
    <w:p>
      <w:pPr>
        <w:pStyle w:val="2"/>
        <w:spacing w:line="360" w:lineRule="auto"/>
        <w:ind w:firstLine="643" w:firstLineChars="200"/>
        <w:jc w:val="center"/>
        <w:rPr>
          <w:rFonts w:hint="default" w:asciiTheme="majorEastAsia" w:hAnsiTheme="majorEastAsia" w:eastAsiaTheme="majorEastAsia" w:cstheme="majorEastAsia"/>
          <w:b/>
          <w:bCs/>
          <w:szCs w:val="32"/>
        </w:rPr>
      </w:pPr>
      <w:r>
        <w:rPr>
          <w:rFonts w:asciiTheme="majorEastAsia" w:hAnsiTheme="majorEastAsia" w:eastAsiaTheme="majorEastAsia" w:cstheme="majorEastAsia"/>
          <w:b/>
          <w:bCs/>
          <w:szCs w:val="32"/>
        </w:rPr>
        <w:t>第七章 履约验收</w:t>
      </w:r>
    </w:p>
    <w:p>
      <w:pPr>
        <w:pStyle w:val="24"/>
      </w:pPr>
    </w:p>
    <w:p>
      <w:pPr>
        <w:pStyle w:val="2"/>
        <w:spacing w:line="360" w:lineRule="auto"/>
        <w:ind w:firstLine="480" w:firstLineChars="200"/>
        <w:rPr>
          <w:rFonts w:hint="default" w:ascii="Times New Roman" w:eastAsia="宋体"/>
          <w:sz w:val="24"/>
        </w:rPr>
      </w:pPr>
      <w:r>
        <w:rPr>
          <w:sz w:val="24"/>
        </w:rPr>
        <w:t>投标人</w:t>
      </w:r>
      <w:r>
        <w:rPr>
          <w:rFonts w:ascii="Times New Roman" w:eastAsia="宋体"/>
          <w:sz w:val="24"/>
        </w:rPr>
        <w:t>履约完成后，向采购人提出验收建议，采购人自收到验收建议之日起五个工作日内，采购人组织投标人参与，共同完成验收。技术复杂、专业性强等项目可适当延长验收时间。验收流程如下：</w:t>
      </w:r>
    </w:p>
    <w:p>
      <w:pPr>
        <w:pStyle w:val="2"/>
        <w:numPr>
          <w:ilvl w:val="0"/>
          <w:numId w:val="12"/>
        </w:numPr>
        <w:spacing w:line="360" w:lineRule="auto"/>
        <w:ind w:firstLine="480" w:firstLineChars="200"/>
        <w:rPr>
          <w:rFonts w:hint="default" w:ascii="Times New Roman" w:eastAsia="宋体"/>
          <w:sz w:val="24"/>
        </w:rPr>
      </w:pPr>
      <w:r>
        <w:rPr>
          <w:rFonts w:ascii="Times New Roman" w:eastAsia="宋体"/>
          <w:sz w:val="24"/>
        </w:rPr>
        <w:t>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pPr>
        <w:pStyle w:val="2"/>
        <w:numPr>
          <w:ilvl w:val="0"/>
          <w:numId w:val="12"/>
        </w:numPr>
        <w:spacing w:line="360" w:lineRule="auto"/>
        <w:ind w:firstLine="480" w:firstLineChars="200"/>
        <w:rPr>
          <w:rFonts w:hint="default" w:ascii="Times New Roman" w:eastAsia="宋体"/>
          <w:sz w:val="24"/>
        </w:rPr>
      </w:pPr>
      <w:r>
        <w:rPr>
          <w:rFonts w:ascii="Times New Roman" w:eastAsia="宋体"/>
          <w:sz w:val="24"/>
        </w:rPr>
        <w:t>完善验收方式。对于采购人和使用人分离的采购项目，应邀请使用人参与验收。采购人可邀请参与本项目的其他投标人或第三方机构及专家参与验收。相关验收意见作为验收书的参考资料。政府向社会公众提供的公共服务项目，验收时应邀请服务对象参与并出具意见，验收结果应在焦作市政府采购网公示。</w:t>
      </w:r>
    </w:p>
    <w:p>
      <w:pPr>
        <w:pStyle w:val="2"/>
        <w:numPr>
          <w:ilvl w:val="0"/>
          <w:numId w:val="12"/>
        </w:numPr>
        <w:spacing w:line="360" w:lineRule="auto"/>
        <w:ind w:firstLine="480" w:firstLineChars="200"/>
        <w:rPr>
          <w:rFonts w:hint="default" w:ascii="Times New Roman" w:eastAsia="宋体"/>
          <w:sz w:val="24"/>
        </w:rPr>
      </w:pPr>
      <w:r>
        <w:rPr>
          <w:rFonts w:ascii="Times New Roman" w:eastAsia="宋体"/>
          <w:sz w:val="24"/>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pPr>
        <w:pStyle w:val="2"/>
        <w:numPr>
          <w:ilvl w:val="0"/>
          <w:numId w:val="12"/>
        </w:numPr>
        <w:spacing w:line="360" w:lineRule="auto"/>
        <w:ind w:firstLine="480" w:firstLineChars="200"/>
        <w:rPr>
          <w:rFonts w:hint="default" w:ascii="Times New Roman" w:eastAsia="宋体"/>
          <w:sz w:val="24"/>
        </w:rPr>
      </w:pPr>
      <w:r>
        <w:rPr>
          <w:rFonts w:ascii="Times New Roman" w:eastAsia="宋体"/>
          <w:sz w:val="24"/>
        </w:rPr>
        <w:t>落实履约验收责任。验收合格的项目，采购人应当按照合同约定及时支付资金。验收不合格的项目，采购人应当依法及时处理。合同履行、违约责任和解决争议的方式使用《中华人民共和国民法典》。投标人在履约过程中有政府采购法律法规规定的违法委会情形，采购人应及时报财政部门。</w:t>
      </w:r>
    </w:p>
    <w:p>
      <w:pPr>
        <w:pStyle w:val="3"/>
      </w:pPr>
    </w:p>
    <w:p>
      <w:pPr>
        <w:pStyle w:val="21"/>
      </w:pPr>
    </w:p>
    <w:p>
      <w:pPr>
        <w:pStyle w:val="3"/>
      </w:pPr>
    </w:p>
    <w:p>
      <w:pPr>
        <w:pStyle w:val="23"/>
        <w:spacing w:line="600" w:lineRule="exact"/>
        <w:ind w:right="-63" w:rightChars="-30"/>
        <w:rPr>
          <w:rFonts w:asciiTheme="minorEastAsia" w:hAnsiTheme="minorEastAsia" w:eastAsiaTheme="minorEastAsia" w:cstheme="minorEastAsia"/>
          <w:sz w:val="36"/>
          <w:szCs w:val="36"/>
        </w:rPr>
      </w:pPr>
      <w:bookmarkStart w:id="302" w:name="_Toc7253"/>
      <w:r>
        <w:rPr>
          <w:rFonts w:hint="eastAsia" w:asciiTheme="minorEastAsia" w:hAnsiTheme="minorEastAsia" w:eastAsiaTheme="minorEastAsia" w:cstheme="minorEastAsia"/>
          <w:sz w:val="36"/>
          <w:szCs w:val="36"/>
        </w:rPr>
        <w:t>第八章  投标文件格式</w:t>
      </w:r>
      <w:bookmarkEnd w:id="277"/>
      <w:bookmarkEnd w:id="278"/>
      <w:bookmarkEnd w:id="279"/>
      <w:bookmarkEnd w:id="302"/>
    </w:p>
    <w:p>
      <w:pPr>
        <w:rPr>
          <w:rFonts w:asciiTheme="minorEastAsia" w:hAnsiTheme="minorEastAsia" w:eastAsiaTheme="minorEastAsia" w:cstheme="minorEastAsia"/>
        </w:rPr>
      </w:pPr>
      <w:bookmarkStart w:id="303" w:name="_Toc18905"/>
      <w:bookmarkStart w:id="304" w:name="_Toc403122573"/>
      <w:bookmarkStart w:id="305" w:name="_Toc27452"/>
      <w:bookmarkStart w:id="306" w:name="_Toc402961301"/>
    </w:p>
    <w:bookmarkEnd w:id="303"/>
    <w:bookmarkEnd w:id="304"/>
    <w:bookmarkEnd w:id="305"/>
    <w:bookmarkEnd w:id="306"/>
    <w:p>
      <w:pPr>
        <w:ind w:firstLine="2891" w:firstLineChars="800"/>
        <w:rPr>
          <w:rFonts w:asciiTheme="minorEastAsia" w:hAnsiTheme="minorEastAsia" w:eastAsiaTheme="minorEastAsia" w:cstheme="minorEastAsia"/>
        </w:rPr>
      </w:pPr>
      <w:r>
        <w:rPr>
          <w:rFonts w:hint="eastAsia" w:asciiTheme="minorEastAsia" w:hAnsiTheme="minorEastAsia" w:eastAsiaTheme="minorEastAsia" w:cstheme="minorEastAsia"/>
          <w:b/>
          <w:sz w:val="36"/>
          <w:szCs w:val="36"/>
        </w:rPr>
        <w:t xml:space="preserve">（项目名称）                   </w:t>
      </w:r>
      <w:r>
        <w:rPr>
          <w:rFonts w:hint="eastAsia" w:asciiTheme="minorEastAsia" w:hAnsiTheme="minorEastAsia" w:eastAsiaTheme="minorEastAsia" w:cstheme="minorEastAsia"/>
          <w:b/>
          <w:bCs/>
          <w:sz w:val="28"/>
          <w:szCs w:val="28"/>
        </w:rPr>
        <w:t>正本/副本</w:t>
      </w:r>
    </w:p>
    <w:p>
      <w:pPr>
        <w:spacing w:line="360" w:lineRule="auto"/>
        <w:jc w:val="center"/>
        <w:rPr>
          <w:rFonts w:asciiTheme="minorEastAsia" w:hAnsiTheme="minorEastAsia" w:eastAsiaTheme="minorEastAsia" w:cstheme="minorEastAsia"/>
          <w:b/>
          <w:sz w:val="32"/>
          <w:szCs w:val="32"/>
        </w:rPr>
      </w:pPr>
    </w:p>
    <w:p>
      <w:pPr>
        <w:pStyle w:val="24"/>
      </w:pPr>
    </w:p>
    <w:p>
      <w:pPr>
        <w:pStyle w:val="24"/>
      </w:pPr>
    </w:p>
    <w:p>
      <w:pPr>
        <w:pStyle w:val="24"/>
      </w:pPr>
    </w:p>
    <w:p>
      <w:pPr>
        <w:spacing w:line="360" w:lineRule="auto"/>
        <w:jc w:val="center"/>
        <w:rPr>
          <w:rFonts w:asciiTheme="minorEastAsia" w:hAnsiTheme="minorEastAsia" w:eastAsiaTheme="minorEastAsia" w:cstheme="minorEastAsia"/>
          <w:b/>
          <w:spacing w:val="24"/>
          <w:kern w:val="10"/>
          <w:sz w:val="52"/>
          <w:szCs w:val="52"/>
        </w:rPr>
      </w:pPr>
      <w:r>
        <w:rPr>
          <w:rFonts w:hint="eastAsia" w:asciiTheme="minorEastAsia" w:hAnsiTheme="minorEastAsia" w:eastAsiaTheme="minorEastAsia" w:cstheme="minorEastAsia"/>
          <w:b/>
          <w:spacing w:val="24"/>
          <w:kern w:val="10"/>
          <w:sz w:val="52"/>
          <w:szCs w:val="52"/>
        </w:rPr>
        <w:t>投  标  文  件</w:t>
      </w:r>
    </w:p>
    <w:p>
      <w:pPr>
        <w:jc w:val="center"/>
        <w:rPr>
          <w:rFonts w:asciiTheme="minorEastAsia" w:hAnsiTheme="minorEastAsia" w:eastAsiaTheme="minorEastAsia" w:cstheme="minorEastAsia"/>
          <w:sz w:val="24"/>
        </w:rPr>
      </w:pPr>
    </w:p>
    <w:p>
      <w:pPr>
        <w:pStyle w:val="9"/>
      </w:pPr>
      <w:r>
        <w:rPr>
          <w:rFonts w:hint="eastAsia" w:asciiTheme="minorEastAsia" w:hAnsiTheme="minorEastAsia" w:eastAsiaTheme="minorEastAsia" w:cstheme="minorEastAsia"/>
        </w:rPr>
        <w:t xml:space="preserve"> </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（封面）</w:t>
      </w: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b/>
          <w:sz w:val="24"/>
        </w:rPr>
      </w:pPr>
    </w:p>
    <w:p>
      <w:pPr>
        <w:pStyle w:val="15"/>
        <w:spacing w:line="600" w:lineRule="exact"/>
        <w:ind w:left="1050" w:leftChars="500" w:firstLine="1152" w:firstLineChars="450"/>
        <w:rPr>
          <w:rFonts w:hint="default" w:asciiTheme="minorEastAsia" w:hAnsiTheme="minorEastAsia" w:eastAsiaTheme="minorEastAsia" w:cstheme="minorEastAsia"/>
          <w:sz w:val="24"/>
        </w:rPr>
      </w:pPr>
      <w:r>
        <w:rPr>
          <w:rFonts w:asciiTheme="minorEastAsia" w:hAnsiTheme="minorEastAsia" w:eastAsiaTheme="minorEastAsia" w:cstheme="minorEastAsia"/>
          <w:spacing w:val="8"/>
          <w:sz w:val="24"/>
        </w:rPr>
        <w:t>供  应  商：</w:t>
      </w:r>
      <w:r>
        <w:rPr>
          <w:rFonts w:asciiTheme="minorEastAsia" w:hAnsiTheme="minorEastAsia" w:eastAsiaTheme="minorEastAsia" w:cstheme="minorEastAsia"/>
          <w:sz w:val="24"/>
        </w:rPr>
        <w:t>（单位公章）</w:t>
      </w:r>
    </w:p>
    <w:p>
      <w:pPr>
        <w:pStyle w:val="15"/>
        <w:spacing w:line="600" w:lineRule="exact"/>
        <w:ind w:left="1050" w:leftChars="500" w:firstLine="1200" w:firstLineChars="50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法定代表人或</w:t>
      </w:r>
      <w:r>
        <w:rPr>
          <w:rFonts w:asciiTheme="minorEastAsia" w:hAnsiTheme="minorEastAsia" w:eastAsiaTheme="minorEastAsia" w:cstheme="minorEastAsia"/>
          <w:spacing w:val="12"/>
          <w:sz w:val="24"/>
        </w:rPr>
        <w:t>委托代理人：</w:t>
      </w:r>
      <w:r>
        <w:rPr>
          <w:rFonts w:asciiTheme="minorEastAsia" w:hAnsiTheme="minorEastAsia" w:eastAsiaTheme="minorEastAsia" w:cstheme="minorEastAsia"/>
          <w:sz w:val="24"/>
        </w:rPr>
        <w:t xml:space="preserve">（签字或盖章）  </w:t>
      </w:r>
    </w:p>
    <w:p>
      <w:pPr>
        <w:pStyle w:val="15"/>
        <w:spacing w:line="600" w:lineRule="exact"/>
        <w:ind w:left="1050" w:leftChars="500" w:firstLine="1200" w:firstLineChars="500"/>
        <w:rPr>
          <w:rFonts w:hint="default" w:asciiTheme="minorEastAsia" w:hAnsiTheme="minorEastAsia" w:eastAsiaTheme="minorEastAsia" w:cstheme="minorEastAsia"/>
          <w:b/>
          <w:bCs/>
          <w:sz w:val="28"/>
          <w:szCs w:val="28"/>
        </w:rPr>
      </w:pPr>
      <w:r>
        <w:rPr>
          <w:rFonts w:asciiTheme="minorEastAsia" w:hAnsiTheme="minorEastAsia" w:eastAsiaTheme="minorEastAsia" w:cstheme="minorEastAsia"/>
          <w:sz w:val="24"/>
        </w:rPr>
        <w:t>日       期：       年    月    日</w:t>
      </w:r>
    </w:p>
    <w:p>
      <w:pPr>
        <w:ind w:firstLine="540" w:firstLineChars="192"/>
        <w:jc w:val="center"/>
        <w:rPr>
          <w:rFonts w:asciiTheme="minorEastAsia" w:hAnsiTheme="minorEastAsia" w:eastAsiaTheme="minorEastAsia" w:cstheme="minorEastAsia"/>
          <w:b/>
          <w:bCs/>
          <w:sz w:val="28"/>
          <w:szCs w:val="28"/>
        </w:rPr>
      </w:pPr>
    </w:p>
    <w:p>
      <w:pPr>
        <w:ind w:firstLine="848" w:firstLineChars="192"/>
        <w:jc w:val="center"/>
        <w:rPr>
          <w:rFonts w:asciiTheme="minorEastAsia" w:hAnsiTheme="minorEastAsia" w:eastAsiaTheme="minorEastAsia" w:cstheme="minorEastAsia"/>
          <w:b/>
          <w:bCs/>
          <w:sz w:val="44"/>
          <w:szCs w:val="44"/>
        </w:rPr>
      </w:pPr>
    </w:p>
    <w:p>
      <w:pPr>
        <w:ind w:firstLine="848" w:firstLineChars="192"/>
        <w:jc w:val="center"/>
        <w:rPr>
          <w:rFonts w:asciiTheme="minorEastAsia" w:hAnsiTheme="minorEastAsia" w:eastAsiaTheme="minorEastAsia" w:cstheme="minorEastAsia"/>
          <w:b/>
          <w:bCs/>
          <w:sz w:val="44"/>
          <w:szCs w:val="44"/>
        </w:rPr>
      </w:pPr>
    </w:p>
    <w:p>
      <w:pPr>
        <w:ind w:firstLine="848" w:firstLineChars="192"/>
        <w:jc w:val="center"/>
        <w:rPr>
          <w:rFonts w:asciiTheme="minorEastAsia" w:hAnsiTheme="minorEastAsia" w:eastAsiaTheme="minorEastAsia" w:cstheme="minorEastAsia"/>
          <w:b/>
          <w:bCs/>
          <w:sz w:val="44"/>
          <w:szCs w:val="44"/>
        </w:rPr>
      </w:pP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44"/>
          <w:szCs w:val="44"/>
        </w:rPr>
        <w:t>目    录</w:t>
      </w:r>
    </w:p>
    <w:p>
      <w:pPr>
        <w:spacing w:line="500" w:lineRule="exact"/>
        <w:jc w:val="center"/>
        <w:outlineLvl w:val="1"/>
        <w:rPr>
          <w:rFonts w:asciiTheme="minorEastAsia" w:hAnsiTheme="minorEastAsia" w:eastAsiaTheme="minorEastAsia" w:cstheme="minorEastAsia"/>
          <w:b/>
          <w:bCs/>
          <w:sz w:val="28"/>
          <w:szCs w:val="28"/>
        </w:rPr>
      </w:pPr>
      <w:bookmarkStart w:id="307" w:name="_Toc31547"/>
      <w:bookmarkStart w:id="308" w:name="_Toc5525"/>
      <w:bookmarkStart w:id="309" w:name="_Toc2130"/>
      <w:r>
        <w:rPr>
          <w:rFonts w:asciiTheme="minorEastAsia" w:hAnsiTheme="minorEastAsia" w:eastAsiaTheme="minorEastAsia" w:cstheme="minorEastAsia"/>
          <w:szCs w:val="21"/>
        </w:rPr>
        <w:t>（自拟）</w:t>
      </w:r>
      <w:r>
        <w:rPr>
          <w:rFonts w:hint="eastAsia" w:asciiTheme="minorEastAsia" w:hAnsiTheme="minorEastAsia" w:eastAsiaTheme="minorEastAsia" w:cstheme="minorEastAsia"/>
          <w:szCs w:val="21"/>
        </w:rPr>
        <w:br w:type="page"/>
      </w:r>
      <w:bookmarkStart w:id="310" w:name="_Toc1921"/>
      <w:r>
        <w:rPr>
          <w:rFonts w:hint="eastAsia" w:asciiTheme="minorEastAsia" w:hAnsiTheme="minorEastAsia" w:eastAsiaTheme="minorEastAsia" w:cstheme="minorEastAsia"/>
          <w:b/>
          <w:bCs/>
          <w:sz w:val="30"/>
          <w:szCs w:val="30"/>
        </w:rPr>
        <w:t>一、投标函</w:t>
      </w:r>
      <w:bookmarkEnd w:id="307"/>
      <w:r>
        <w:rPr>
          <w:rFonts w:hint="eastAsia" w:asciiTheme="minorEastAsia" w:hAnsiTheme="minorEastAsia" w:eastAsiaTheme="minorEastAsia" w:cstheme="minorEastAsia"/>
          <w:b/>
          <w:bCs/>
          <w:sz w:val="30"/>
          <w:szCs w:val="30"/>
        </w:rPr>
        <w:t>及开标一览表</w:t>
      </w:r>
      <w:bookmarkEnd w:id="308"/>
      <w:bookmarkEnd w:id="309"/>
      <w:bookmarkEnd w:id="310"/>
    </w:p>
    <w:p>
      <w:pPr>
        <w:jc w:val="center"/>
        <w:outlineLvl w:val="2"/>
        <w:rPr>
          <w:rFonts w:asciiTheme="minorEastAsia" w:hAnsiTheme="minorEastAsia" w:eastAsiaTheme="minorEastAsia" w:cstheme="minorEastAsia"/>
          <w:b/>
          <w:bCs/>
          <w:sz w:val="28"/>
        </w:rPr>
      </w:pPr>
      <w:bookmarkStart w:id="311" w:name="_Toc28684"/>
      <w:bookmarkStart w:id="312" w:name="_Toc12044"/>
      <w:bookmarkStart w:id="313" w:name="_Toc27218"/>
      <w:bookmarkStart w:id="314" w:name="_Toc600"/>
      <w:bookmarkStart w:id="315" w:name="_Toc15513"/>
      <w:r>
        <w:rPr>
          <w:rFonts w:hint="eastAsia" w:asciiTheme="minorEastAsia" w:hAnsiTheme="minorEastAsia" w:eastAsiaTheme="minorEastAsia" w:cstheme="minorEastAsia"/>
          <w:b/>
          <w:sz w:val="28"/>
          <w:szCs w:val="28"/>
        </w:rPr>
        <w:t>（一）投标函</w:t>
      </w:r>
      <w:bookmarkEnd w:id="311"/>
      <w:bookmarkEnd w:id="312"/>
      <w:bookmarkEnd w:id="313"/>
      <w:bookmarkEnd w:id="314"/>
      <w:bookmarkEnd w:id="315"/>
    </w:p>
    <w:p>
      <w:pPr>
        <w:pStyle w:val="6"/>
        <w:ind w:left="720"/>
      </w:pPr>
    </w:p>
    <w:p>
      <w:pPr>
        <w:widowControl/>
        <w:spacing w:line="360" w:lineRule="auto"/>
        <w:ind w:firstLine="562" w:firstLineChars="200"/>
        <w:rPr>
          <w:rFonts w:ascii="宋体" w:hAnsi="宋体"/>
          <w:b/>
          <w:bCs/>
          <w:kern w:val="0"/>
          <w:sz w:val="28"/>
          <w:szCs w:val="28"/>
          <w:u w:val="single"/>
        </w:rPr>
      </w:pPr>
      <w:r>
        <w:rPr>
          <w:rFonts w:hint="eastAsia" w:ascii="宋体" w:hAnsi="宋体"/>
          <w:b/>
          <w:bCs/>
          <w:kern w:val="0"/>
          <w:sz w:val="28"/>
          <w:szCs w:val="28"/>
        </w:rPr>
        <w:t>致：</w:t>
      </w:r>
      <w:r>
        <w:rPr>
          <w:rFonts w:hint="eastAsia" w:ascii="宋体" w:hAnsi="宋体"/>
          <w:b/>
          <w:bCs/>
          <w:kern w:val="0"/>
          <w:sz w:val="28"/>
          <w:szCs w:val="28"/>
          <w:u w:val="single"/>
        </w:rPr>
        <w:t xml:space="preserve">                    （采购人名称） </w:t>
      </w:r>
    </w:p>
    <w:p>
      <w:pPr>
        <w:pStyle w:val="2"/>
        <w:spacing w:line="360" w:lineRule="auto"/>
        <w:ind w:firstLine="480" w:firstLineChars="200"/>
        <w:rPr>
          <w:rFonts w:hint="default" w:asciiTheme="minorEastAsia" w:hAnsiTheme="minorEastAsia" w:eastAsiaTheme="minorEastAsia" w:cstheme="minorEastAsia"/>
        </w:rPr>
      </w:pPr>
      <w:r>
        <w:rPr>
          <w:rFonts w:asciiTheme="minorEastAsia" w:hAnsiTheme="minorEastAsia" w:eastAsiaTheme="minorEastAsia" w:cstheme="minorEastAsia"/>
          <w:sz w:val="24"/>
        </w:rPr>
        <w:t xml:space="preserve">我单位已收到的 </w:t>
      </w:r>
      <w:r>
        <w:rPr>
          <w:rFonts w:asciiTheme="minorEastAsia" w:hAnsiTheme="minorEastAsia" w:eastAsiaTheme="minorEastAsia" w:cstheme="minorEastAsia"/>
          <w:sz w:val="24"/>
          <w:u w:val="single"/>
        </w:rPr>
        <w:t xml:space="preserve">                        </w:t>
      </w:r>
      <w:r>
        <w:rPr>
          <w:rFonts w:asciiTheme="minorEastAsia" w:hAnsiTheme="minorEastAsia" w:eastAsiaTheme="minorEastAsia" w:cstheme="minorEastAsia"/>
          <w:sz w:val="24"/>
        </w:rPr>
        <w:t>项目（采购编号：</w:t>
      </w:r>
      <w:r>
        <w:rPr>
          <w:rFonts w:asciiTheme="minorEastAsia" w:hAnsiTheme="minorEastAsia" w:eastAsiaTheme="minorEastAsia" w:cstheme="minorEastAsia"/>
          <w:sz w:val="24"/>
          <w:u w:val="single"/>
        </w:rPr>
        <w:t xml:space="preserve">       </w:t>
      </w:r>
      <w:r>
        <w:rPr>
          <w:rFonts w:asciiTheme="minorEastAsia" w:hAnsiTheme="minorEastAsia" w:eastAsiaTheme="minorEastAsia" w:cstheme="minorEastAsia"/>
          <w:sz w:val="24"/>
        </w:rPr>
        <w:t>）采购文件及有关纪要通知，现对参与投标及成交后工作，做出如下郑重承诺：</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1、我方愿以总价为人民币（大写）</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（小写）￥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元，服务期：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，按合同约定实施和完成本项目。 </w:t>
      </w:r>
    </w:p>
    <w:p>
      <w:pPr>
        <w:widowControl/>
        <w:spacing w:line="360" w:lineRule="auto"/>
        <w:ind w:firstLine="480" w:firstLineChars="200"/>
        <w:rPr>
          <w:rFonts w:asciiTheme="minorEastAsia" w:hAnsiTheme="minorEastAsia" w:eastAsiaTheme="minorEastAsia" w:cstheme="minorEastAsia"/>
          <w:strike/>
          <w:sz w:val="24"/>
        </w:rPr>
      </w:pPr>
      <w:r>
        <w:rPr>
          <w:rFonts w:hint="eastAsia" w:asciiTheme="minorEastAsia" w:hAnsiTheme="minorEastAsia" w:eastAsiaTheme="minorEastAsia" w:cstheme="minorEastAsia"/>
          <w:sz w:val="24"/>
        </w:rPr>
        <w:t>2、在响应性文件递交截止时间后至确定成交人的</w:t>
      </w:r>
      <w:r>
        <w:fldChar w:fldCharType="begin"/>
      </w:r>
      <w:r>
        <w:instrText xml:space="preserve"> HYPERLINK "https://baike.so.com/doc/5394983-5632135.html" \t "https://baike.so.com/doc/_blank" </w:instrText>
      </w:r>
      <w:r>
        <w:fldChar w:fldCharType="separate"/>
      </w:r>
      <w:r>
        <w:rPr>
          <w:rFonts w:hint="eastAsia" w:asciiTheme="minorEastAsia" w:hAnsiTheme="minorEastAsia" w:eastAsiaTheme="minorEastAsia" w:cstheme="minorEastAsia"/>
          <w:sz w:val="24"/>
        </w:rPr>
        <w:t>投标有效期</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内，我单位不得要求退出竞标或者修改响应性文件。</w:t>
      </w:r>
    </w:p>
    <w:p>
      <w:pPr>
        <w:widowControl/>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3、我方明白采购人不一定接纳最低投标报价的采购，也不需要采购人解释选择或否决任何供应商的原因和理由。</w:t>
      </w:r>
    </w:p>
    <w:p>
      <w:pPr>
        <w:widowControl/>
        <w:spacing w:line="360" w:lineRule="auto"/>
        <w:ind w:firstLine="480" w:firstLineChars="200"/>
        <w:rPr>
          <w:rFonts w:asciiTheme="minorEastAsia" w:hAnsiTheme="minorEastAsia" w:eastAsiaTheme="minorEastAsia" w:cstheme="minorEastAsia"/>
          <w:kern w:val="0"/>
          <w:sz w:val="24"/>
        </w:rPr>
      </w:pPr>
    </w:p>
    <w:p>
      <w:pPr>
        <w:widowControl/>
        <w:spacing w:line="360" w:lineRule="auto"/>
        <w:ind w:firstLine="480" w:firstLineChars="200"/>
        <w:rPr>
          <w:rFonts w:asciiTheme="minorEastAsia" w:hAnsiTheme="minorEastAsia" w:eastAsiaTheme="minorEastAsia" w:cstheme="minorEastAsia"/>
          <w:kern w:val="0"/>
          <w:sz w:val="24"/>
        </w:rPr>
      </w:pPr>
    </w:p>
    <w:p>
      <w:pPr>
        <w:widowControl/>
        <w:spacing w:line="360" w:lineRule="auto"/>
        <w:ind w:firstLine="480" w:firstLineChars="200"/>
        <w:rPr>
          <w:rFonts w:asciiTheme="minorEastAsia" w:hAnsiTheme="minorEastAsia" w:eastAsiaTheme="minorEastAsia" w:cstheme="minorEastAsia"/>
          <w:kern w:val="0"/>
          <w:sz w:val="24"/>
        </w:rPr>
      </w:pP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供应商：（盖章）</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法定代表人或授权委托代理人：（签字或盖章）</w:t>
      </w:r>
    </w:p>
    <w:p>
      <w:pPr>
        <w:widowControl/>
        <w:spacing w:line="360" w:lineRule="auto"/>
        <w:ind w:firstLine="480" w:firstLineChars="200"/>
        <w:rPr>
          <w:rFonts w:ascii="宋体" w:hAnsi="宋体"/>
          <w:b/>
          <w:bCs/>
          <w:kern w:val="0"/>
          <w:sz w:val="32"/>
          <w:szCs w:val="32"/>
        </w:rPr>
      </w:pPr>
      <w:r>
        <w:rPr>
          <w:rFonts w:hint="eastAsia" w:ascii="宋体" w:hAnsi="宋体"/>
          <w:kern w:val="0"/>
          <w:sz w:val="24"/>
        </w:rPr>
        <w:t>年      月      日</w:t>
      </w:r>
    </w:p>
    <w:p>
      <w:pPr>
        <w:spacing w:line="500" w:lineRule="exact"/>
        <w:jc w:val="center"/>
        <w:outlineLvl w:val="2"/>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bookmarkStart w:id="316" w:name="_Toc9543"/>
      <w:bookmarkStart w:id="317" w:name="_Toc31291"/>
      <w:bookmarkStart w:id="318" w:name="_Toc208"/>
      <w:bookmarkStart w:id="319" w:name="_Toc16691"/>
      <w:bookmarkStart w:id="320" w:name="_Toc14778"/>
      <w:r>
        <w:rPr>
          <w:rFonts w:hint="eastAsia" w:asciiTheme="minorEastAsia" w:hAnsiTheme="minorEastAsia" w:eastAsiaTheme="minorEastAsia" w:cstheme="minorEastAsia"/>
          <w:b/>
          <w:bCs/>
          <w:sz w:val="28"/>
          <w:szCs w:val="28"/>
        </w:rPr>
        <w:t>（二） 开标一览表</w:t>
      </w:r>
      <w:bookmarkEnd w:id="316"/>
      <w:bookmarkEnd w:id="317"/>
      <w:bookmarkEnd w:id="318"/>
      <w:bookmarkEnd w:id="319"/>
      <w:bookmarkEnd w:id="320"/>
    </w:p>
    <w:p>
      <w:pPr>
        <w:jc w:val="center"/>
        <w:rPr>
          <w:rFonts w:asciiTheme="minorEastAsia" w:hAnsiTheme="minorEastAsia" w:eastAsiaTheme="minorEastAsia" w:cstheme="minorEastAsia"/>
          <w:b/>
          <w:bCs/>
          <w:sz w:val="28"/>
        </w:rPr>
      </w:pPr>
    </w:p>
    <w:tbl>
      <w:tblPr>
        <w:tblStyle w:val="25"/>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5898" w:type="dxa"/>
            <w:vAlign w:val="center"/>
          </w:tcPr>
          <w:p>
            <w:pPr>
              <w:pStyle w:val="12"/>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 标 人</w:t>
            </w:r>
          </w:p>
        </w:tc>
        <w:tc>
          <w:tcPr>
            <w:tcW w:w="5898" w:type="dxa"/>
            <w:vAlign w:val="center"/>
          </w:tcPr>
          <w:p>
            <w:pPr>
              <w:pStyle w:val="12"/>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投标总报价</w:t>
            </w:r>
          </w:p>
        </w:tc>
        <w:tc>
          <w:tcPr>
            <w:tcW w:w="5898" w:type="dxa"/>
            <w:vAlign w:val="center"/>
          </w:tcPr>
          <w:p>
            <w:pPr>
              <w:pStyle w:val="12"/>
              <w:spacing w:line="400" w:lineRule="exact"/>
              <w:ind w:firstLine="48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（大写）                                </w:t>
            </w:r>
          </w:p>
          <w:p>
            <w:pPr>
              <w:pStyle w:val="12"/>
              <w:spacing w:line="400" w:lineRule="exact"/>
              <w:ind w:firstLine="48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质量标准</w:t>
            </w:r>
          </w:p>
        </w:tc>
        <w:tc>
          <w:tcPr>
            <w:tcW w:w="5898" w:type="dxa"/>
            <w:vAlign w:val="center"/>
          </w:tcPr>
          <w:p>
            <w:pPr>
              <w:pStyle w:val="12"/>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Cs/>
                <w:iCs/>
                <w:sz w:val="24"/>
              </w:rPr>
              <w:t>服务期</w:t>
            </w:r>
          </w:p>
        </w:tc>
        <w:tc>
          <w:tcPr>
            <w:tcW w:w="5898" w:type="dxa"/>
            <w:vAlign w:val="center"/>
          </w:tcPr>
          <w:p>
            <w:pPr>
              <w:pStyle w:val="12"/>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bCs/>
                <w:iCs/>
                <w:sz w:val="24"/>
              </w:rPr>
            </w:pPr>
            <w:r>
              <w:rPr>
                <w:rFonts w:hint="eastAsia" w:asciiTheme="minorEastAsia" w:hAnsiTheme="minorEastAsia" w:eastAsiaTheme="minorEastAsia" w:cstheme="minorEastAsia"/>
                <w:bCs/>
                <w:iCs/>
                <w:sz w:val="24"/>
              </w:rPr>
              <w:t>投标有效期</w:t>
            </w:r>
          </w:p>
        </w:tc>
        <w:tc>
          <w:tcPr>
            <w:tcW w:w="5898" w:type="dxa"/>
            <w:vAlign w:val="center"/>
          </w:tcPr>
          <w:p>
            <w:pPr>
              <w:pStyle w:val="12"/>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610" w:type="dxa"/>
            <w:vAlign w:val="center"/>
          </w:tcPr>
          <w:p>
            <w:pPr>
              <w:pStyle w:val="12"/>
              <w:spacing w:line="400" w:lineRule="exact"/>
              <w:ind w:firstLine="480"/>
              <w:rPr>
                <w:rFonts w:asciiTheme="minorEastAsia" w:hAnsiTheme="minorEastAsia" w:eastAsiaTheme="minorEastAsia" w:cstheme="minorEastAsia"/>
                <w:bCs/>
                <w:iCs/>
                <w:sz w:val="24"/>
              </w:rPr>
            </w:pPr>
            <w:r>
              <w:rPr>
                <w:rFonts w:hint="eastAsia" w:asciiTheme="minorEastAsia" w:hAnsiTheme="minorEastAsia" w:eastAsiaTheme="minorEastAsia" w:cstheme="minorEastAsia"/>
                <w:sz w:val="24"/>
                <w:szCs w:val="20"/>
              </w:rPr>
              <w:t>备注：</w:t>
            </w:r>
          </w:p>
        </w:tc>
        <w:tc>
          <w:tcPr>
            <w:tcW w:w="5898" w:type="dxa"/>
            <w:vAlign w:val="center"/>
          </w:tcPr>
          <w:p>
            <w:pPr>
              <w:pStyle w:val="12"/>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08" w:type="dxa"/>
            <w:gridSpan w:val="2"/>
            <w:vAlign w:val="center"/>
          </w:tcPr>
          <w:p>
            <w:pPr>
              <w:pStyle w:val="12"/>
              <w:spacing w:line="400" w:lineRule="exact"/>
              <w:ind w:firstLine="480"/>
              <w:rPr>
                <w:rFonts w:asciiTheme="minorEastAsia" w:hAnsiTheme="minorEastAsia" w:eastAsiaTheme="minorEastAsia" w:cstheme="minorEastAsia"/>
                <w:sz w:val="24"/>
                <w:szCs w:val="20"/>
              </w:rPr>
            </w:pPr>
          </w:p>
        </w:tc>
      </w:tr>
    </w:tbl>
    <w:p>
      <w:pPr>
        <w:spacing w:line="360" w:lineRule="exact"/>
        <w:jc w:val="right"/>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投标人：（单位公章）</w:t>
      </w:r>
    </w:p>
    <w:p>
      <w:pPr>
        <w:ind w:left="1050" w:leftChars="500"/>
        <w:jc w:val="center"/>
        <w:rPr>
          <w:rFonts w:asciiTheme="minorEastAsia" w:hAnsiTheme="minorEastAsia" w:eastAsiaTheme="minorEastAsia" w:cstheme="minorEastAsia"/>
          <w:sz w:val="24"/>
        </w:rPr>
      </w:pPr>
    </w:p>
    <w:p>
      <w:pPr>
        <w:ind w:left="1050" w:leftChars="5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法定代表人</w:t>
      </w:r>
      <w:r>
        <w:rPr>
          <w:rFonts w:hint="eastAsia" w:asciiTheme="minorEastAsia" w:hAnsiTheme="minorEastAsia" w:eastAsiaTheme="minorEastAsia" w:cstheme="minorEastAsia"/>
          <w:sz w:val="24"/>
          <w:szCs w:val="20"/>
        </w:rPr>
        <w:t>或其委托代理人</w:t>
      </w:r>
      <w:r>
        <w:rPr>
          <w:rFonts w:hint="eastAsia" w:asciiTheme="minorEastAsia" w:hAnsiTheme="minorEastAsia" w:eastAsiaTheme="minorEastAsia" w:cstheme="minorEastAsia"/>
          <w:sz w:val="24"/>
        </w:rPr>
        <w:t>：（签字或盖章）</w:t>
      </w:r>
    </w:p>
    <w:p>
      <w:pPr>
        <w:ind w:left="1050" w:leftChars="500"/>
        <w:jc w:val="center"/>
        <w:rPr>
          <w:rFonts w:asciiTheme="minorEastAsia" w:hAnsiTheme="minorEastAsia" w:eastAsiaTheme="minorEastAsia" w:cstheme="minorEastAsia"/>
          <w:sz w:val="24"/>
        </w:rPr>
      </w:pPr>
    </w:p>
    <w:p>
      <w:pPr>
        <w:ind w:left="1050" w:leftChars="5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  期：     年   月   日</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pStyle w:val="3"/>
        <w:rPr>
          <w:rFonts w:asciiTheme="minorEastAsia" w:hAnsiTheme="minorEastAsia" w:eastAsiaTheme="minorEastAsia" w:cstheme="minorEastAsia"/>
          <w:sz w:val="24"/>
        </w:rPr>
      </w:pPr>
    </w:p>
    <w:p>
      <w:pPr>
        <w:pStyle w:val="23"/>
        <w:spacing w:before="120" w:after="120" w:line="500" w:lineRule="exact"/>
        <w:ind w:right="29" w:rightChars="14"/>
        <w:outlineLvl w:val="1"/>
        <w:rPr>
          <w:rFonts w:asciiTheme="minorEastAsia" w:hAnsiTheme="minorEastAsia" w:eastAsiaTheme="minorEastAsia" w:cstheme="minorEastAsia"/>
          <w:sz w:val="24"/>
        </w:rPr>
      </w:pPr>
    </w:p>
    <w:p>
      <w:pPr>
        <w:pStyle w:val="23"/>
        <w:spacing w:before="120" w:after="120" w:line="500" w:lineRule="exact"/>
        <w:ind w:right="29" w:rightChars="14"/>
        <w:outlineLvl w:val="1"/>
        <w:rPr>
          <w:rFonts w:asciiTheme="minorEastAsia" w:hAnsiTheme="minorEastAsia" w:eastAsiaTheme="minorEastAsia" w:cstheme="minorEastAsia"/>
          <w:sz w:val="24"/>
        </w:rPr>
        <w:sectPr>
          <w:headerReference r:id="rId9" w:type="default"/>
          <w:footerReference r:id="rId10" w:type="default"/>
          <w:pgSz w:w="11907" w:h="16840"/>
          <w:pgMar w:top="1276" w:right="1116" w:bottom="1417" w:left="911" w:header="850" w:footer="998" w:gutter="0"/>
          <w:pgNumType w:fmt="numberInDash"/>
          <w:cols w:space="720" w:num="1"/>
          <w:docGrid w:type="lines" w:linePitch="380" w:charSpace="0"/>
        </w:sectPr>
      </w:pPr>
    </w:p>
    <w:p>
      <w:pPr>
        <w:pStyle w:val="24"/>
        <w:ind w:firstLine="480"/>
        <w:rPr>
          <w:rFonts w:asciiTheme="minorEastAsia" w:hAnsiTheme="minorEastAsia" w:eastAsiaTheme="minorEastAsia" w:cstheme="minorEastAsia"/>
          <w:sz w:val="24"/>
        </w:rPr>
      </w:pPr>
    </w:p>
    <w:p>
      <w:pPr>
        <w:pStyle w:val="23"/>
        <w:numPr>
          <w:ilvl w:val="0"/>
          <w:numId w:val="13"/>
        </w:numPr>
        <w:spacing w:before="120" w:after="120" w:line="500" w:lineRule="exact"/>
        <w:ind w:right="29" w:rightChars="14"/>
        <w:outlineLvl w:val="1"/>
        <w:rPr>
          <w:rFonts w:asciiTheme="minorEastAsia" w:hAnsiTheme="minorEastAsia" w:eastAsiaTheme="minorEastAsia" w:cstheme="minorEastAsia"/>
          <w:sz w:val="30"/>
          <w:szCs w:val="30"/>
        </w:rPr>
      </w:pPr>
      <w:bookmarkStart w:id="321" w:name="_Toc2213"/>
      <w:bookmarkStart w:id="322" w:name="_Toc5614"/>
      <w:bookmarkStart w:id="323" w:name="_Toc28839"/>
      <w:bookmarkStart w:id="324" w:name="_Toc26698"/>
      <w:r>
        <w:rPr>
          <w:rFonts w:hint="eastAsia" w:asciiTheme="minorEastAsia" w:hAnsiTheme="minorEastAsia" w:eastAsiaTheme="minorEastAsia" w:cstheme="minorEastAsia"/>
          <w:sz w:val="30"/>
          <w:szCs w:val="30"/>
        </w:rPr>
        <w:t>法定代表人身份证明书</w:t>
      </w:r>
      <w:bookmarkEnd w:id="321"/>
      <w:bookmarkEnd w:id="322"/>
      <w:bookmarkEnd w:id="323"/>
      <w:bookmarkEnd w:id="324"/>
    </w:p>
    <w:p/>
    <w:p>
      <w:pPr>
        <w:spacing w:line="360" w:lineRule="auto"/>
        <w:ind w:firstLine="480" w:firstLineChars="200"/>
        <w:rPr>
          <w:rFonts w:ascii="宋体" w:hAnsi="宋体"/>
          <w:sz w:val="24"/>
        </w:rPr>
      </w:pPr>
      <w:r>
        <w:rPr>
          <w:rFonts w:hint="eastAsia" w:ascii="宋体" w:hAnsi="宋体"/>
          <w:sz w:val="24"/>
          <w:szCs w:val="18"/>
        </w:rPr>
        <w:t>投标人</w:t>
      </w:r>
      <w:r>
        <w:rPr>
          <w:rFonts w:hint="eastAsia" w:ascii="宋体" w:hAnsi="宋体"/>
          <w:sz w:val="24"/>
        </w:rPr>
        <w:t>名称：</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单位性质：</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ascii="宋体" w:hAnsi="宋体"/>
          <w:sz w:val="24"/>
        </w:rPr>
      </w:pPr>
      <w:r>
        <w:rPr>
          <w:rFonts w:hint="eastAsia" w:ascii="宋体" w:hAnsi="宋体"/>
          <w:sz w:val="24"/>
        </w:rPr>
        <w:t>经营期限：</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姓名：</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r>
        <w:rPr>
          <w:rFonts w:hint="eastAsia" w:ascii="宋体" w:hAnsi="宋体"/>
          <w:sz w:val="24"/>
        </w:rPr>
        <w:t>_</w:t>
      </w:r>
    </w:p>
    <w:p>
      <w:pPr>
        <w:spacing w:line="360" w:lineRule="auto"/>
        <w:ind w:firstLine="480" w:firstLineChars="200"/>
        <w:rPr>
          <w:rFonts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（投标人名称）的法定代表人。</w:t>
      </w:r>
    </w:p>
    <w:p>
      <w:pPr>
        <w:spacing w:line="360" w:lineRule="auto"/>
        <w:ind w:firstLine="480" w:firstLineChars="200"/>
        <w:rPr>
          <w:rFonts w:ascii="宋体" w:hAnsi="宋体"/>
          <w:sz w:val="24"/>
        </w:rPr>
      </w:pPr>
      <w:r>
        <w:rPr>
          <w:rFonts w:hint="eastAsia" w:ascii="宋体" w:hAnsi="宋体"/>
          <w:sz w:val="24"/>
        </w:rPr>
        <w:t>特此证明。</w:t>
      </w:r>
    </w:p>
    <w:p>
      <w:pPr>
        <w:pStyle w:val="6"/>
        <w:rPr>
          <w:rFonts w:ascii="宋体" w:hAnsi="宋体"/>
          <w:sz w:val="24"/>
        </w:rPr>
      </w:pPr>
      <w:r>
        <w:rPr>
          <w:sz w:val="24"/>
        </w:rPr>
        <w:pict>
          <v:shape id="_x0000_s2050" o:spid="_x0000_s2050" o:spt="176" type="#_x0000_t176" style="position:absolute;left:0pt;margin-left:208.6pt;margin-top:27.3pt;height:166pt;width:246.8pt;z-index:251661312;mso-width-relative:page;mso-height-relative:page;" coordsize="21600,21600">
            <v:path/>
            <v:fill focussize="0,0"/>
            <v:stroke joinstyle="miter"/>
            <v:imagedata o:title=""/>
            <o:lock v:ext="edit"/>
            <v:textbox>
              <w:txbxContent>
                <w:p/>
              </w:txbxContent>
            </v:textbox>
          </v:shape>
        </w:pict>
      </w:r>
      <w:r>
        <w:rPr>
          <w:sz w:val="24"/>
        </w:rPr>
        <w:pict>
          <v:shape id="_x0000_s2051" o:spid="_x0000_s2051" o:spt="176" type="#_x0000_t176" style="position:absolute;left:0pt;margin-left:-23.4pt;margin-top:21.65pt;height:176pt;width:229.35pt;z-index:251659264;mso-width-relative:page;mso-height-relative:page;" coordsize="21600,21600">
            <v:path/>
            <v:fill focussize="0,0"/>
            <v:stroke joinstyle="miter"/>
            <v:imagedata o:title=""/>
            <o:lock v:ext="edit"/>
            <v:textbox>
              <w:txbxContent>
                <w:p/>
              </w:txbxContent>
            </v:textbox>
          </v:shape>
        </w:pict>
      </w:r>
    </w:p>
    <w:p>
      <w:pPr>
        <w:rPr>
          <w:rFonts w:ascii="宋体" w:hAnsi="宋体"/>
          <w:sz w:val="24"/>
        </w:rPr>
      </w:pPr>
    </w:p>
    <w:p>
      <w:pPr>
        <w:pStyle w:val="6"/>
        <w:rPr>
          <w:rFonts w:ascii="宋体" w:hAnsi="宋体"/>
          <w:sz w:val="24"/>
        </w:rPr>
      </w:pPr>
      <w:r>
        <w:rPr>
          <w:sz w:val="24"/>
        </w:rPr>
        <w:pict>
          <v:shape id="_x0000_s2053" o:spid="_x0000_s2053" o:spt="202" type="#_x0000_t202" style="position:absolute;left:0pt;margin-left:-20.75pt;margin-top:28.6pt;height:23.35pt;width:221.3pt;z-index:251660288;mso-width-relative:page;mso-height-relative:page;" coordsize="21600,21600">
            <v:path/>
            <v:fill focussize="0,0"/>
            <v:stroke joinstyle="miter"/>
            <v:imagedata o:title=""/>
            <o:lock v:ext="edit"/>
            <v:textbox>
              <w:txbxContent>
                <w:p>
                  <w:r>
                    <w:rPr>
                      <w:rFonts w:hint="eastAsia" w:ascii="宋体" w:hAnsi="宋体"/>
                      <w:sz w:val="24"/>
                    </w:rPr>
                    <w:t>法定代表人身份证复印件粘贴处（正面）</w:t>
                  </w:r>
                </w:p>
              </w:txbxContent>
            </v:textbox>
          </v:shape>
        </w:pict>
      </w:r>
      <w:r>
        <w:rPr>
          <w:sz w:val="24"/>
        </w:rPr>
        <w:pict>
          <v:shape id="_x0000_s2052" o:spid="_x0000_s2052" o:spt="202" type="#_x0000_t202" style="position:absolute;left:0pt;margin-left:219pt;margin-top:28.45pt;height:23.35pt;width:221.3pt;z-index:251662336;mso-width-relative:page;mso-height-relative:page;" coordsize="21600,21600">
            <v:path/>
            <v:fill focussize="0,0"/>
            <v:stroke joinstyle="miter"/>
            <v:imagedata o:title=""/>
            <o:lock v:ext="edit"/>
            <v:textbox>
              <w:txbxContent>
                <w:p>
                  <w:r>
                    <w:rPr>
                      <w:rFonts w:hint="eastAsia" w:ascii="宋体" w:hAnsi="宋体"/>
                      <w:sz w:val="24"/>
                    </w:rPr>
                    <w:t>法定代表人身份证复印件粘贴处（背面）</w:t>
                  </w:r>
                </w:p>
              </w:txbxContent>
            </v:textbox>
          </v:shape>
        </w:pict>
      </w:r>
    </w:p>
    <w:p>
      <w:pPr>
        <w:rPr>
          <w:rFonts w:ascii="宋体" w:hAnsi="宋体"/>
          <w:sz w:val="24"/>
        </w:rPr>
      </w:pPr>
    </w:p>
    <w:p>
      <w:pPr>
        <w:pStyle w:val="6"/>
      </w:pPr>
    </w:p>
    <w:p>
      <w:pPr>
        <w:spacing w:line="360" w:lineRule="auto"/>
        <w:ind w:firstLine="480" w:firstLineChars="200"/>
        <w:rPr>
          <w:rFonts w:ascii="宋体" w:hAnsi="宋体"/>
          <w:sz w:val="24"/>
        </w:rPr>
      </w:pPr>
    </w:p>
    <w:p>
      <w:pPr>
        <w:spacing w:line="360" w:lineRule="auto"/>
        <w:rPr>
          <w:rFonts w:ascii="宋体" w:hAnsi="宋体"/>
          <w:sz w:val="24"/>
        </w:rPr>
      </w:pPr>
      <w:r>
        <w:rPr>
          <w:rFonts w:hint="eastAsia" w:ascii="宋体" w:hAnsi="宋体"/>
          <w:sz w:val="24"/>
        </w:rPr>
        <w:t>投标人： （盖单位章）</w:t>
      </w:r>
    </w:p>
    <w:p>
      <w:pPr>
        <w:spacing w:line="360" w:lineRule="auto"/>
        <w:ind w:firstLine="480" w:firstLineChars="200"/>
        <w:rPr>
          <w:rFonts w:ascii="宋体" w:hAnsi="宋体"/>
          <w:sz w:val="24"/>
        </w:rPr>
      </w:pPr>
      <w:r>
        <w:rPr>
          <w:rFonts w:hint="eastAsia" w:ascii="宋体" w:hAnsi="宋体"/>
          <w:sz w:val="24"/>
        </w:rPr>
        <w:t xml:space="preserve">         </w:t>
      </w:r>
    </w:p>
    <w:p>
      <w:pPr>
        <w:spacing w:line="360" w:lineRule="auto"/>
        <w:ind w:firstLine="480" w:firstLineChars="200"/>
        <w:rPr>
          <w:rFonts w:ascii="宋体" w:hAnsi="宋体"/>
          <w:sz w:val="24"/>
        </w:rPr>
      </w:pPr>
    </w:p>
    <w:p>
      <w:pPr>
        <w:spacing w:line="360" w:lineRule="auto"/>
        <w:ind w:firstLine="5760" w:firstLineChars="2400"/>
        <w:rPr>
          <w:rFonts w:ascii="宋体" w:hAnsi="宋体"/>
          <w:sz w:val="24"/>
        </w:rPr>
      </w:pPr>
      <w:r>
        <w:rPr>
          <w:rFonts w:hint="eastAsia" w:ascii="宋体" w:hAnsi="宋体"/>
          <w:sz w:val="24"/>
        </w:rPr>
        <w:t>年    月     日</w:t>
      </w:r>
    </w:p>
    <w:p>
      <w:pPr>
        <w:spacing w:line="440" w:lineRule="exact"/>
        <w:rPr>
          <w:rFonts w:asciiTheme="minorEastAsia" w:hAnsiTheme="minorEastAsia" w:eastAsiaTheme="minorEastAsia" w:cstheme="minorEastAsia"/>
        </w:rPr>
      </w:pPr>
    </w:p>
    <w:p>
      <w:pPr>
        <w:pStyle w:val="23"/>
        <w:spacing w:before="120" w:after="120" w:line="500" w:lineRule="exact"/>
        <w:ind w:right="29" w:rightChars="14"/>
        <w:outlineLvl w:val="1"/>
        <w:rPr>
          <w:rFonts w:asciiTheme="minorEastAsia" w:hAnsiTheme="minorEastAsia" w:eastAsiaTheme="minorEastAsia" w:cstheme="minorEastAsia"/>
          <w:sz w:val="30"/>
          <w:szCs w:val="30"/>
        </w:rPr>
      </w:pPr>
      <w:bookmarkStart w:id="325" w:name="_Toc6009"/>
      <w:bookmarkStart w:id="326" w:name="_Toc15395"/>
    </w:p>
    <w:p>
      <w:pPr>
        <w:pStyle w:val="23"/>
        <w:spacing w:before="120" w:after="120" w:line="500" w:lineRule="exact"/>
        <w:ind w:right="29" w:rightChars="14"/>
        <w:outlineLvl w:val="1"/>
        <w:rPr>
          <w:rFonts w:asciiTheme="minorEastAsia" w:hAnsiTheme="minorEastAsia" w:eastAsiaTheme="minorEastAsia" w:cstheme="minorEastAsia"/>
          <w:sz w:val="30"/>
          <w:szCs w:val="30"/>
        </w:rPr>
      </w:pPr>
      <w:bookmarkStart w:id="327" w:name="_Toc17980"/>
      <w:bookmarkStart w:id="328" w:name="_Toc17236"/>
      <w:r>
        <w:rPr>
          <w:rFonts w:hint="eastAsia" w:asciiTheme="minorEastAsia" w:hAnsiTheme="minorEastAsia" w:eastAsiaTheme="minorEastAsia" w:cstheme="minorEastAsia"/>
          <w:sz w:val="30"/>
          <w:szCs w:val="30"/>
        </w:rPr>
        <w:t>三、授权委托书</w:t>
      </w:r>
      <w:bookmarkEnd w:id="325"/>
      <w:bookmarkEnd w:id="326"/>
      <w:bookmarkEnd w:id="327"/>
      <w:bookmarkEnd w:id="328"/>
    </w:p>
    <w:p>
      <w:pPr>
        <w:pStyle w:val="6"/>
      </w:pPr>
    </w:p>
    <w:p>
      <w:pPr>
        <w:spacing w:line="360" w:lineRule="auto"/>
        <w:ind w:firstLine="480" w:firstLineChars="20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（投标人名称）的法定代表人，现委托</w:t>
      </w:r>
      <w:r>
        <w:rPr>
          <w:rFonts w:hint="eastAsia" w:ascii="宋体" w:hAnsi="宋体"/>
          <w:sz w:val="24"/>
          <w:u w:val="single"/>
        </w:rPr>
        <w:t xml:space="preserve">             </w:t>
      </w:r>
      <w:r>
        <w:rPr>
          <w:rFonts w:hint="eastAsia" w:ascii="宋体" w:hAnsi="宋体"/>
          <w:sz w:val="24"/>
        </w:rPr>
        <w:t>（姓名）为我方代理人。代理人根据授权，以我方名义签署、澄清、说明、补正、递交、撤回、修改</w:t>
      </w:r>
      <w:r>
        <w:rPr>
          <w:rFonts w:hint="eastAsia" w:ascii="宋体" w:hAnsi="宋体"/>
          <w:sz w:val="24"/>
          <w:u w:val="single"/>
        </w:rPr>
        <w:t xml:space="preserve">                                 </w:t>
      </w:r>
      <w:r>
        <w:rPr>
          <w:rFonts w:hint="eastAsia" w:ascii="宋体" w:hAnsi="宋体"/>
          <w:sz w:val="24"/>
        </w:rPr>
        <w:t>（项目名称）项目投标文件、签订合同和处理有关事宜，其法律后果由我方承担。</w:t>
      </w:r>
    </w:p>
    <w:p>
      <w:pPr>
        <w:spacing w:line="360" w:lineRule="auto"/>
        <w:ind w:firstLine="480" w:firstLineChars="200"/>
        <w:rPr>
          <w:rFonts w:ascii="宋体" w:hAnsi="宋体"/>
          <w:sz w:val="24"/>
        </w:rPr>
      </w:pPr>
      <w:r>
        <w:rPr>
          <w:rFonts w:hint="eastAsia" w:ascii="宋体" w:hAnsi="宋体"/>
          <w:sz w:val="24"/>
        </w:rPr>
        <w:t>委托期限：</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代理人无转委托权。</w:t>
      </w:r>
    </w:p>
    <w:p>
      <w:pPr>
        <w:spacing w:line="360" w:lineRule="auto"/>
        <w:ind w:firstLine="480" w:firstLineChars="200"/>
        <w:rPr>
          <w:rFonts w:ascii="宋体" w:hAnsi="宋体"/>
          <w:sz w:val="24"/>
        </w:rPr>
      </w:pPr>
      <w:r>
        <w:rPr>
          <w:sz w:val="24"/>
        </w:rPr>
        <w:pict>
          <v:shape id="_x0000_s2055" o:spid="_x0000_s2055" o:spt="176" type="#_x0000_t176" style="position:absolute;left:0pt;margin-left:-28.65pt;margin-top:12.5pt;height:176pt;width:240.2pt;z-index:251663360;mso-width-relative:page;mso-height-relative:page;" coordsize="21600,21600">
            <v:path/>
            <v:fill focussize="0,0"/>
            <v:stroke joinstyle="miter"/>
            <v:imagedata o:title=""/>
            <o:lock v:ext="edit"/>
            <v:textbox>
              <w:txbxContent>
                <w:p/>
              </w:txbxContent>
            </v:textbox>
          </v:shape>
        </w:pict>
      </w:r>
      <w:r>
        <w:rPr>
          <w:sz w:val="24"/>
        </w:rPr>
        <w:pict>
          <v:shape id="_x0000_s2054" o:spid="_x0000_s2054" o:spt="176" type="#_x0000_t176" style="position:absolute;left:0pt;margin-left:212.25pt;margin-top:14.15pt;height:176pt;width:246.8pt;z-index:251664384;mso-width-relative:page;mso-height-relative:page;" coordsize="21600,21600">
            <v:path/>
            <v:fill focussize="0,0"/>
            <v:stroke joinstyle="miter"/>
            <v:imagedata o:title=""/>
            <o:lock v:ext="edit"/>
          </v:shape>
        </w:pict>
      </w:r>
    </w:p>
    <w:p>
      <w:pPr>
        <w:spacing w:line="360" w:lineRule="auto"/>
        <w:ind w:firstLine="480" w:firstLineChars="200"/>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r>
        <w:rPr>
          <w:sz w:val="24"/>
        </w:rPr>
        <w:pict>
          <v:shape id="_x0000_s2056" o:spid="_x0000_s2056" o:spt="202" type="#_x0000_t202" style="position:absolute;left:0pt;margin-left:-20.9pt;margin-top:21.5pt;height:23.35pt;width:221.3pt;z-index:251665408;mso-width-relative:page;mso-height-relative:page;" coordsize="21600,21600">
            <v:path/>
            <v:fill focussize="0,0"/>
            <v:stroke joinstyle="miter"/>
            <v:imagedata o:title=""/>
            <o:lock v:ext="edit"/>
            <v:textbox>
              <w:txbxContent>
                <w:p>
                  <w:r>
                    <w:rPr>
                      <w:rFonts w:hint="eastAsia" w:ascii="宋体" w:hAnsi="宋体"/>
                      <w:sz w:val="24"/>
                    </w:rPr>
                    <w:t>委托代理人身份证复印件粘贴处（正面）</w:t>
                  </w:r>
                </w:p>
              </w:txbxContent>
            </v:textbox>
          </v:shape>
        </w:pict>
      </w:r>
      <w:r>
        <w:rPr>
          <w:sz w:val="24"/>
        </w:rPr>
        <w:pict>
          <v:shape id="_x0000_s2057" o:spid="_x0000_s2057" o:spt="202" type="#_x0000_t202" style="position:absolute;left:0pt;margin-left:222.45pt;margin-top:18.5pt;height:23.35pt;width:221.3pt;z-index:251666432;mso-width-relative:page;mso-height-relative:page;" coordsize="21600,21600">
            <v:path/>
            <v:fill focussize="0,0"/>
            <v:stroke joinstyle="miter"/>
            <v:imagedata o:title=""/>
            <o:lock v:ext="edit"/>
            <v:textbox>
              <w:txbxContent>
                <w:p>
                  <w:r>
                    <w:rPr>
                      <w:rFonts w:hint="eastAsia" w:ascii="宋体" w:hAnsi="宋体"/>
                      <w:sz w:val="24"/>
                    </w:rPr>
                    <w:t>委托代理人身份证复印件粘贴处（背面）</w:t>
                  </w:r>
                </w:p>
              </w:txbxContent>
            </v:textbox>
          </v:shape>
        </w:pict>
      </w: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 xml:space="preserve">（盖单位公章） </w:t>
      </w:r>
    </w:p>
    <w:p>
      <w:pPr>
        <w:spacing w:line="360" w:lineRule="auto"/>
        <w:jc w:val="left"/>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（签字或盖章）</w:t>
      </w:r>
    </w:p>
    <w:p>
      <w:pPr>
        <w:spacing w:line="360" w:lineRule="auto"/>
        <w:jc w:val="left"/>
        <w:rPr>
          <w:rFonts w:ascii="宋体" w:hAnsi="宋体"/>
          <w:sz w:val="24"/>
        </w:rPr>
      </w:pPr>
      <w:r>
        <w:rPr>
          <w:rFonts w:hint="eastAsia" w:ascii="宋体" w:hAnsi="宋体"/>
          <w:sz w:val="24"/>
        </w:rPr>
        <w:t>委托代理人：</w:t>
      </w:r>
      <w:r>
        <w:rPr>
          <w:rFonts w:hint="eastAsia" w:ascii="宋体" w:hAnsi="宋体"/>
          <w:sz w:val="24"/>
          <w:u w:val="single"/>
        </w:rPr>
        <w:t xml:space="preserve">                </w:t>
      </w:r>
      <w:r>
        <w:rPr>
          <w:rFonts w:hint="eastAsia" w:ascii="宋体" w:hAnsi="宋体"/>
          <w:sz w:val="24"/>
        </w:rPr>
        <w:t>（签字或盖章）</w:t>
      </w:r>
    </w:p>
    <w:p>
      <w:pPr>
        <w:spacing w:line="360" w:lineRule="auto"/>
        <w:ind w:firstLine="5040" w:firstLineChars="2100"/>
        <w:rPr>
          <w:rFonts w:ascii="宋体" w:hAnsi="宋体"/>
          <w:sz w:val="24"/>
        </w:rPr>
      </w:pPr>
    </w:p>
    <w:p>
      <w:pPr>
        <w:spacing w:line="360" w:lineRule="auto"/>
        <w:ind w:firstLine="5040" w:firstLineChars="2100"/>
        <w:rPr>
          <w:rFonts w:asciiTheme="minorEastAsia" w:hAnsiTheme="minorEastAsia" w:eastAsiaTheme="minorEastAsia" w:cstheme="minorEastAsia"/>
          <w:sz w:val="30"/>
          <w:szCs w:val="30"/>
        </w:rPr>
      </w:pP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bookmarkEnd w:id="246"/>
    </w:p>
    <w:p>
      <w:pPr>
        <w:pStyle w:val="22"/>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22"/>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22"/>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22"/>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22"/>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bCs/>
          <w:kern w:val="2"/>
          <w:sz w:val="30"/>
          <w:szCs w:val="30"/>
        </w:rPr>
      </w:pPr>
    </w:p>
    <w:p>
      <w:pPr>
        <w:pStyle w:val="22"/>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bookmarkStart w:id="329" w:name="_Toc8304"/>
      <w:bookmarkStart w:id="330" w:name="_Toc18947"/>
      <w:bookmarkStart w:id="331" w:name="_Toc25161"/>
      <w:r>
        <w:rPr>
          <w:rFonts w:hint="eastAsia" w:asciiTheme="minorEastAsia" w:hAnsiTheme="minorEastAsia" w:eastAsiaTheme="minorEastAsia" w:cstheme="minorEastAsia"/>
          <w:b/>
          <w:kern w:val="2"/>
          <w:sz w:val="30"/>
          <w:szCs w:val="30"/>
        </w:rPr>
        <w:t>四、</w:t>
      </w:r>
      <w:bookmarkEnd w:id="329"/>
      <w:r>
        <w:rPr>
          <w:rFonts w:hint="eastAsia" w:asciiTheme="minorEastAsia" w:hAnsiTheme="minorEastAsia" w:eastAsiaTheme="minorEastAsia" w:cstheme="minorEastAsia"/>
          <w:b/>
          <w:kern w:val="2"/>
          <w:sz w:val="30"/>
          <w:szCs w:val="30"/>
        </w:rPr>
        <w:t>项目实施方案、措施等</w:t>
      </w:r>
      <w:bookmarkEnd w:id="330"/>
      <w:bookmarkEnd w:id="331"/>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rPr>
          <w:rFonts w:asciiTheme="minorEastAsia" w:hAnsiTheme="minorEastAsia" w:eastAsiaTheme="minorEastAsia" w:cstheme="minorEastAsia"/>
          <w:b/>
          <w:sz w:val="30"/>
          <w:szCs w:val="30"/>
        </w:rPr>
      </w:pPr>
    </w:p>
    <w:p>
      <w:pPr>
        <w:rPr>
          <w:rFonts w:asciiTheme="minorEastAsia" w:hAnsiTheme="minorEastAsia" w:eastAsiaTheme="minorEastAsia" w:cstheme="minorEastAsia"/>
          <w:b/>
          <w:sz w:val="30"/>
          <w:szCs w:val="30"/>
        </w:rPr>
      </w:pPr>
    </w:p>
    <w:p>
      <w:pPr>
        <w:pStyle w:val="22"/>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332" w:name="_Toc5854"/>
      <w:bookmarkStart w:id="333" w:name="_Toc29492"/>
      <w:bookmarkStart w:id="334" w:name="_Toc10043"/>
      <w:bookmarkStart w:id="335" w:name="_Toc30146"/>
      <w:bookmarkStart w:id="336" w:name="_Toc20650"/>
      <w:r>
        <w:rPr>
          <w:rFonts w:hint="eastAsia" w:asciiTheme="minorEastAsia" w:hAnsiTheme="minorEastAsia" w:eastAsiaTheme="minorEastAsia" w:cstheme="minorEastAsia"/>
          <w:b/>
          <w:kern w:val="2"/>
          <w:sz w:val="30"/>
          <w:szCs w:val="30"/>
        </w:rPr>
        <w:t>五、资格证明文件</w:t>
      </w:r>
      <w:bookmarkEnd w:id="332"/>
      <w:bookmarkEnd w:id="333"/>
      <w:bookmarkEnd w:id="334"/>
      <w:bookmarkEnd w:id="335"/>
      <w:bookmarkEnd w:id="336"/>
    </w:p>
    <w:p>
      <w:pPr>
        <w:spacing w:line="400" w:lineRule="exact"/>
        <w:jc w:val="left"/>
        <w:rPr>
          <w:rFonts w:asciiTheme="minorEastAsia" w:hAnsiTheme="minorEastAsia" w:eastAsiaTheme="minorEastAsia" w:cstheme="minorEastAsia"/>
          <w:bCs/>
          <w:sz w:val="24"/>
        </w:rPr>
      </w:pPr>
    </w:p>
    <w:p>
      <w:pPr>
        <w:spacing w:line="400" w:lineRule="exact"/>
        <w:jc w:val="left"/>
        <w:rPr>
          <w:sz w:val="24"/>
        </w:rPr>
      </w:pPr>
    </w:p>
    <w:p>
      <w:pPr>
        <w:spacing w:line="400" w:lineRule="exact"/>
        <w:jc w:val="left"/>
        <w:rPr>
          <w:sz w:val="24"/>
        </w:rPr>
      </w:pPr>
      <w:r>
        <w:rPr>
          <w:rFonts w:hint="eastAsia"/>
          <w:sz w:val="24"/>
        </w:rPr>
        <w:t>一、 投标人营业执照副本（三证合一）；</w:t>
      </w:r>
    </w:p>
    <w:p>
      <w:pPr>
        <w:spacing w:line="400" w:lineRule="exact"/>
        <w:jc w:val="left"/>
        <w:rPr>
          <w:sz w:val="24"/>
        </w:rPr>
      </w:pPr>
      <w:r>
        <w:rPr>
          <w:rFonts w:hint="eastAsia"/>
          <w:sz w:val="24"/>
        </w:rPr>
        <w:t>二、符合《中华人民共和国政府采购法》第二十二条规定:</w:t>
      </w:r>
    </w:p>
    <w:p>
      <w:pPr>
        <w:spacing w:line="400" w:lineRule="exact"/>
        <w:ind w:firstLine="480" w:firstLineChars="200"/>
        <w:jc w:val="left"/>
        <w:rPr>
          <w:sz w:val="24"/>
        </w:rPr>
      </w:pPr>
      <w:r>
        <w:rPr>
          <w:rFonts w:hint="eastAsia"/>
          <w:sz w:val="24"/>
        </w:rPr>
        <w:t>2.1.开标日前六个月内任一个月的依法缴纳税收的相关证明、开标日前六个月内任一个月的依法缴纳社会保障资金的相关证明、开标日前六个月内任一个月的资产负债表或损益表或年度财务会计报表或上年度会计事务所出具的审计报告；</w:t>
      </w:r>
    </w:p>
    <w:p>
      <w:pPr>
        <w:spacing w:line="400" w:lineRule="exact"/>
        <w:ind w:firstLine="480" w:firstLineChars="200"/>
        <w:jc w:val="left"/>
        <w:rPr>
          <w:sz w:val="24"/>
        </w:rPr>
      </w:pPr>
      <w:r>
        <w:rPr>
          <w:rFonts w:hint="eastAsia"/>
          <w:sz w:val="24"/>
        </w:rPr>
        <w:t>2.2.参加政府采购活动前三年内无重大违法记录的书面声明；</w:t>
      </w:r>
    </w:p>
    <w:p>
      <w:pPr>
        <w:spacing w:line="400" w:lineRule="exact"/>
        <w:jc w:val="left"/>
        <w:rPr>
          <w:sz w:val="24"/>
        </w:rPr>
      </w:pPr>
      <w:r>
        <w:rPr>
          <w:rFonts w:hint="eastAsia"/>
          <w:sz w:val="24"/>
        </w:rPr>
        <w:t>三、招标文件中要求的其他资格证明材料。</w:t>
      </w:r>
    </w:p>
    <w:p>
      <w:pPr>
        <w:pStyle w:val="24"/>
        <w:ind w:firstLine="482"/>
        <w:rPr>
          <w:b/>
          <w:bCs/>
        </w:rPr>
      </w:pPr>
      <w:r>
        <w:rPr>
          <w:rFonts w:hint="eastAsia"/>
          <w:b/>
          <w:bCs/>
          <w:sz w:val="24"/>
        </w:rPr>
        <w:t>备注：以上资格证明文件须提供原件的扫描件。</w:t>
      </w:r>
    </w:p>
    <w:p>
      <w:pPr>
        <w:pStyle w:val="24"/>
      </w:pPr>
    </w:p>
    <w:p>
      <w:pPr>
        <w:autoSpaceDE w:val="0"/>
        <w:autoSpaceDN w:val="0"/>
        <w:adjustRightInd w:val="0"/>
        <w:spacing w:line="440" w:lineRule="exact"/>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pStyle w:val="2"/>
        <w:ind w:firstLine="281"/>
        <w:rPr>
          <w:rFonts w:hint="default" w:asciiTheme="minorEastAsia" w:hAnsiTheme="minorEastAsia" w:eastAsiaTheme="minorEastAsia" w:cstheme="minorEastAsia"/>
          <w:b/>
          <w:sz w:val="28"/>
        </w:rPr>
      </w:pPr>
    </w:p>
    <w:p>
      <w:pPr>
        <w:pStyle w:val="24"/>
        <w:ind w:firstLine="562"/>
        <w:rPr>
          <w:rFonts w:asciiTheme="minorEastAsia" w:hAnsiTheme="minorEastAsia" w:eastAsiaTheme="minorEastAsia" w:cstheme="minorEastAsia"/>
          <w:b/>
          <w:sz w:val="28"/>
        </w:rPr>
      </w:pPr>
    </w:p>
    <w:p>
      <w:pPr>
        <w:pStyle w:val="24"/>
        <w:ind w:firstLine="562"/>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widowControl/>
        <w:rPr>
          <w:rFonts w:asciiTheme="minorEastAsia" w:hAnsiTheme="minorEastAsia" w:eastAsiaTheme="minorEastAsia" w:cstheme="minorEastAsia"/>
        </w:rPr>
      </w:pPr>
    </w:p>
    <w:p>
      <w:pPr>
        <w:autoSpaceDE w:val="0"/>
        <w:autoSpaceDN w:val="0"/>
        <w:adjustRightInd w:val="0"/>
        <w:spacing w:line="440" w:lineRule="exact"/>
        <w:jc w:val="center"/>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widowControl/>
        <w:rPr>
          <w:rFonts w:asciiTheme="minorEastAsia" w:hAnsiTheme="minorEastAsia" w:eastAsiaTheme="minorEastAsia" w:cstheme="minorEastAsia"/>
        </w:rPr>
      </w:pPr>
    </w:p>
    <w:p>
      <w:pPr>
        <w:rPr>
          <w:rFonts w:asciiTheme="minorEastAsia" w:hAnsiTheme="minorEastAsia" w:eastAsiaTheme="minorEastAsia" w:cstheme="minorEastAsia"/>
        </w:rPr>
      </w:pPr>
    </w:p>
    <w:p>
      <w:pPr>
        <w:autoSpaceDE w:val="0"/>
        <w:autoSpaceDN w:val="0"/>
        <w:adjustRightInd w:val="0"/>
        <w:spacing w:line="440" w:lineRule="exact"/>
        <w:jc w:val="center"/>
        <w:rPr>
          <w:rFonts w:asciiTheme="minorEastAsia" w:hAnsiTheme="minorEastAsia" w:eastAsiaTheme="minorEastAsia" w:cstheme="minorEastAsia"/>
          <w:b/>
          <w:sz w:val="28"/>
        </w:rPr>
      </w:pPr>
    </w:p>
    <w:p>
      <w:pPr>
        <w:pStyle w:val="22"/>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bookmarkStart w:id="337" w:name="_Toc8330"/>
      <w:bookmarkStart w:id="338" w:name="_Toc6465"/>
      <w:bookmarkStart w:id="339" w:name="_Toc31553"/>
    </w:p>
    <w:p>
      <w:pPr>
        <w:pStyle w:val="22"/>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22"/>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22"/>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22"/>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22"/>
        <w:widowControl w:val="0"/>
        <w:tabs>
          <w:tab w:val="left" w:pos="0"/>
        </w:tabs>
        <w:spacing w:before="120" w:beforeAutospacing="0" w:after="120" w:afterAutospacing="0" w:line="500" w:lineRule="exact"/>
        <w:ind w:right="29" w:rightChars="14" w:firstLine="3313" w:firstLineChars="1100"/>
        <w:outlineLvl w:val="1"/>
        <w:rPr>
          <w:rFonts w:asciiTheme="minorEastAsia" w:hAnsiTheme="minorEastAsia" w:eastAsiaTheme="minorEastAsia" w:cstheme="minorEastAsia"/>
          <w:b/>
          <w:kern w:val="2"/>
          <w:sz w:val="30"/>
          <w:szCs w:val="30"/>
        </w:rPr>
      </w:pPr>
      <w:bookmarkStart w:id="340" w:name="_Toc4390"/>
      <w:bookmarkStart w:id="341" w:name="_Toc12355"/>
      <w:r>
        <w:rPr>
          <w:rFonts w:hint="eastAsia" w:asciiTheme="minorEastAsia" w:hAnsiTheme="minorEastAsia" w:eastAsiaTheme="minorEastAsia" w:cstheme="minorEastAsia"/>
          <w:b/>
          <w:kern w:val="2"/>
          <w:sz w:val="30"/>
          <w:szCs w:val="30"/>
        </w:rPr>
        <w:t>六、投标人服务承诺和优惠承诺</w:t>
      </w:r>
      <w:bookmarkEnd w:id="340"/>
      <w:bookmarkEnd w:id="341"/>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22"/>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bookmarkEnd w:id="337"/>
    <w:bookmarkEnd w:id="338"/>
    <w:p>
      <w:pPr>
        <w:pStyle w:val="22"/>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342" w:name="_Toc23227"/>
      <w:bookmarkStart w:id="343" w:name="_Toc10717"/>
      <w:bookmarkStart w:id="344" w:name="_Toc24850"/>
      <w:bookmarkStart w:id="345" w:name="_Toc15396"/>
      <w:r>
        <w:rPr>
          <w:rFonts w:hint="eastAsia" w:asciiTheme="minorEastAsia" w:hAnsiTheme="minorEastAsia" w:eastAsiaTheme="minorEastAsia" w:cstheme="minorEastAsia"/>
          <w:b/>
          <w:kern w:val="2"/>
          <w:sz w:val="30"/>
          <w:szCs w:val="30"/>
        </w:rPr>
        <w:t>七、中小企业声明函（如有）</w:t>
      </w:r>
      <w:bookmarkEnd w:id="342"/>
      <w:bookmarkEnd w:id="343"/>
      <w:bookmarkEnd w:id="344"/>
      <w:bookmarkEnd w:id="345"/>
    </w:p>
    <w:p>
      <w:pPr>
        <w:pStyle w:val="22"/>
        <w:shd w:val="clear" w:color="auto" w:fill="FFFFFF"/>
        <w:spacing w:line="315" w:lineRule="atLeast"/>
        <w:ind w:firstLine="420"/>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本公司郑重声明，根据《政府采购促进中小企业发展暂行办法》（财库[2011]181号）的规定，本公司为______（请填写：中型、小型、微型）企业。即，本公司同时满足以下条件：</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本公司对上述声明的真实性负责。如有虚假，将依法承担相应责任。</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　　　　　　　　　　　　　　　企业名称（</w:t>
      </w:r>
      <w:r>
        <w:rPr>
          <w:rFonts w:hint="eastAsia" w:asciiTheme="minorEastAsia" w:hAnsiTheme="minorEastAsia" w:eastAsiaTheme="minorEastAsia" w:cstheme="minorEastAsia"/>
          <w:bCs/>
          <w:sz w:val="24"/>
        </w:rPr>
        <w:t>盖单位公章</w:t>
      </w:r>
      <w:r>
        <w:rPr>
          <w:rFonts w:hint="eastAsia" w:asciiTheme="minorEastAsia" w:hAnsiTheme="minorEastAsia" w:eastAsiaTheme="minorEastAsia" w:cstheme="minorEastAsia"/>
          <w:kern w:val="0"/>
          <w:sz w:val="24"/>
          <w:shd w:val="clear" w:color="auto" w:fill="FFFFFF"/>
        </w:rPr>
        <w:t>）：</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　　　　　　　　　　　　　　　　　　日期：</w:t>
      </w:r>
    </w:p>
    <w:p>
      <w:pPr>
        <w:spacing w:line="600" w:lineRule="exact"/>
        <w:rPr>
          <w:rFonts w:asciiTheme="minorEastAsia" w:hAnsiTheme="minorEastAsia" w:eastAsiaTheme="minorEastAsia" w:cstheme="minorEastAsia"/>
          <w:sz w:val="30"/>
          <w:szCs w:val="30"/>
        </w:rPr>
      </w:pPr>
    </w:p>
    <w:p>
      <w:pPr>
        <w:pStyle w:val="22"/>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r>
        <w:rPr>
          <w:rFonts w:hint="eastAsia" w:asciiTheme="minorEastAsia" w:hAnsiTheme="minorEastAsia" w:eastAsiaTheme="minorEastAsia" w:cstheme="minorEastAsia"/>
          <w:b/>
          <w:kern w:val="2"/>
          <w:sz w:val="30"/>
          <w:szCs w:val="30"/>
        </w:rPr>
        <w:br w:type="page"/>
      </w:r>
      <w:bookmarkStart w:id="346" w:name="_Toc11708"/>
      <w:bookmarkStart w:id="347" w:name="_Toc20881"/>
      <w:bookmarkStart w:id="348" w:name="_Toc18562"/>
      <w:bookmarkStart w:id="349" w:name="_Toc30170"/>
      <w:bookmarkStart w:id="350" w:name="_Toc14292"/>
      <w:r>
        <w:rPr>
          <w:rFonts w:hint="eastAsia" w:asciiTheme="minorEastAsia" w:hAnsiTheme="minorEastAsia" w:eastAsiaTheme="minorEastAsia" w:cstheme="minorEastAsia"/>
          <w:b/>
          <w:kern w:val="2"/>
          <w:sz w:val="30"/>
          <w:szCs w:val="30"/>
        </w:rPr>
        <w:t>八、残疾人福利性单位声明函（如有）</w:t>
      </w:r>
      <w:bookmarkEnd w:id="346"/>
      <w:bookmarkEnd w:id="347"/>
      <w:bookmarkEnd w:id="348"/>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bookmarkEnd w:id="339"/>
    <w:bookmarkEnd w:id="349"/>
    <w:bookmarkEnd w:id="350"/>
    <w:p>
      <w:pPr>
        <w:rPr>
          <w:rFonts w:ascii="Times New Roman" w:hAnsi="Times New Roman" w:eastAsia="仿宋"/>
          <w:sz w:val="32"/>
          <w:szCs w:val="32"/>
          <w:shd w:val="clear" w:color="FFFFFF" w:fill="D9D9D9"/>
        </w:rPr>
      </w:pPr>
    </w:p>
    <w:p>
      <w:pPr>
        <w:pStyle w:val="7"/>
        <w:rPr>
          <w:shd w:val="clear" w:color="FFFFFF" w:fill="D9D9D9"/>
        </w:rPr>
      </w:pPr>
    </w:p>
    <w:p>
      <w:pPr>
        <w:pStyle w:val="22"/>
        <w:widowControl w:val="0"/>
        <w:spacing w:before="120" w:beforeAutospacing="0" w:after="120" w:afterAutospacing="0" w:line="500" w:lineRule="exact"/>
        <w:ind w:right="29" w:rightChars="14" w:firstLine="602" w:firstLineChars="200"/>
        <w:jc w:val="both"/>
        <w:outlineLvl w:val="1"/>
        <w:rPr>
          <w:rFonts w:asciiTheme="minorEastAsia" w:hAnsiTheme="minorEastAsia" w:eastAsiaTheme="minorEastAsia" w:cstheme="minorEastAsia"/>
          <w:b/>
          <w:kern w:val="2"/>
          <w:sz w:val="30"/>
          <w:szCs w:val="30"/>
          <w:shd w:val="clear" w:color="FFFFFF" w:fill="D9D9D9"/>
        </w:rPr>
      </w:pPr>
    </w:p>
    <w:p>
      <w:pPr>
        <w:pStyle w:val="22"/>
        <w:widowControl w:val="0"/>
        <w:spacing w:before="120" w:beforeAutospacing="0" w:after="120" w:afterAutospacing="0" w:line="500" w:lineRule="exact"/>
        <w:ind w:right="29" w:rightChars="14" w:firstLine="602" w:firstLineChars="200"/>
        <w:jc w:val="center"/>
        <w:outlineLvl w:val="1"/>
        <w:rPr>
          <w:rFonts w:asciiTheme="minorEastAsia" w:hAnsiTheme="minorEastAsia" w:eastAsiaTheme="minorEastAsia" w:cstheme="minorEastAsia"/>
          <w:b/>
          <w:kern w:val="2"/>
          <w:sz w:val="30"/>
          <w:szCs w:val="30"/>
        </w:rPr>
      </w:pPr>
      <w:bookmarkStart w:id="351" w:name="_Toc10970"/>
      <w:bookmarkStart w:id="352" w:name="_Toc16608"/>
      <w:bookmarkStart w:id="353" w:name="_Toc18605"/>
      <w:r>
        <w:rPr>
          <w:rFonts w:hint="eastAsia" w:asciiTheme="minorEastAsia" w:hAnsiTheme="minorEastAsia" w:eastAsiaTheme="minorEastAsia" w:cstheme="minorEastAsia"/>
          <w:b/>
          <w:kern w:val="2"/>
          <w:sz w:val="30"/>
          <w:szCs w:val="30"/>
        </w:rPr>
        <w:t>九、招标文件要求的或投标人认为须提交的其他材料</w:t>
      </w:r>
      <w:bookmarkEnd w:id="351"/>
      <w:bookmarkEnd w:id="352"/>
      <w:bookmarkEnd w:id="353"/>
    </w:p>
    <w:p>
      <w:pPr>
        <w:spacing w:line="360" w:lineRule="auto"/>
        <w:rPr>
          <w:rFonts w:asciiTheme="minorEastAsia" w:hAnsiTheme="minorEastAsia" w:eastAsiaTheme="minorEastAsia" w:cstheme="minorEastAsia"/>
          <w:sz w:val="24"/>
          <w:shd w:val="clear" w:color="FFFFFF" w:fill="D9D9D9"/>
        </w:rPr>
      </w:pP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招标文件规定的其他资料及投标人认为需要提交的其他材料。</w:t>
      </w:r>
    </w:p>
    <w:p>
      <w:pPr>
        <w:spacing w:line="600" w:lineRule="exact"/>
        <w:ind w:firstLine="600" w:firstLineChars="200"/>
        <w:rPr>
          <w:rFonts w:ascii="仿宋" w:hAnsi="仿宋" w:eastAsia="仿宋" w:cs="仿宋"/>
          <w:sz w:val="30"/>
          <w:szCs w:val="30"/>
        </w:rPr>
      </w:pPr>
    </w:p>
    <w:p>
      <w:pPr>
        <w:widowControl/>
        <w:spacing w:line="580" w:lineRule="atLeast"/>
        <w:jc w:val="center"/>
        <w:rPr>
          <w:rFonts w:asciiTheme="minorEastAsia" w:hAnsiTheme="minorEastAsia" w:eastAsiaTheme="minorEastAsia" w:cstheme="minorEastAsia"/>
          <w:b/>
          <w:kern w:val="0"/>
          <w:sz w:val="32"/>
          <w:szCs w:val="32"/>
        </w:rPr>
      </w:pPr>
    </w:p>
    <w:p>
      <w:pPr>
        <w:widowControl/>
        <w:spacing w:line="580" w:lineRule="atLeast"/>
        <w:jc w:val="center"/>
        <w:rPr>
          <w:rFonts w:asciiTheme="minorEastAsia" w:hAnsiTheme="minorEastAsia" w:eastAsiaTheme="minorEastAsia" w:cstheme="minorEastAsia"/>
          <w:b/>
          <w:bCs/>
          <w:kern w:val="0"/>
          <w:sz w:val="32"/>
          <w:szCs w:val="32"/>
        </w:rPr>
      </w:pPr>
    </w:p>
    <w:p>
      <w:pPr>
        <w:widowControl/>
        <w:spacing w:line="580" w:lineRule="atLeast"/>
        <w:jc w:val="center"/>
        <w:rPr>
          <w:rFonts w:asciiTheme="minorEastAsia" w:hAnsiTheme="minorEastAsia" w:eastAsiaTheme="minorEastAsia" w:cstheme="minorEastAsia"/>
          <w:b/>
          <w:bCs/>
          <w:kern w:val="0"/>
          <w:sz w:val="32"/>
          <w:szCs w:val="32"/>
        </w:rPr>
      </w:pPr>
    </w:p>
    <w:p>
      <w:pPr>
        <w:pStyle w:val="47"/>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47"/>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47"/>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47"/>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47"/>
        <w:rPr>
          <w:rFonts w:asciiTheme="minorEastAsia" w:hAnsiTheme="minorEastAsia" w:eastAsiaTheme="minorEastAsia" w:cstheme="minorEastAsia"/>
          <w:b/>
          <w:bCs/>
          <w:kern w:val="0"/>
          <w:sz w:val="32"/>
          <w:szCs w:val="32"/>
        </w:rPr>
      </w:pPr>
    </w:p>
    <w:p>
      <w:pPr>
        <w:spacing w:line="440" w:lineRule="exact"/>
        <w:jc w:val="center"/>
        <w:rPr>
          <w:rFonts w:ascii="宋体" w:hAnsi="宋体" w:cs="宋体"/>
          <w:b/>
          <w:sz w:val="36"/>
          <w:szCs w:val="36"/>
        </w:rPr>
      </w:pPr>
    </w:p>
    <w:p>
      <w:pPr>
        <w:spacing w:line="360" w:lineRule="auto"/>
        <w:jc w:val="center"/>
        <w:rPr>
          <w:rFonts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优化和提升政府采购政策</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一、全面取消采购文件费用和投标保证金费用。</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二、免收履约保证金。确因项目需要的，应以保函等非现金形式收取，比例不得超过合同金额的</w:t>
      </w:r>
      <w:r>
        <w:rPr>
          <w:rFonts w:hint="eastAsia" w:asciiTheme="minorEastAsia" w:hAnsiTheme="minorEastAsia" w:eastAsiaTheme="minorEastAsia" w:cstheme="minorEastAsia"/>
          <w:sz w:val="24"/>
          <w:u w:val="single"/>
        </w:rPr>
        <w:t>6%</w:t>
      </w:r>
      <w:r>
        <w:rPr>
          <w:rFonts w:hint="eastAsia" w:asciiTheme="minorEastAsia" w:hAnsiTheme="minorEastAsia" w:eastAsiaTheme="minorEastAsia" w:cstheme="minorEastAsia"/>
          <w:sz w:val="24"/>
        </w:rPr>
        <w:t>，并按约定的时间和条件退还。</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三、评标结果确认时限。自评标（评审）结束后应2个工作日内确定中标（成交）投标人，5个工作日内公告结果，同时发送中标（成交）通知书。</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四、合同签订时限。自中标（成交）通知书发出之日起</w:t>
      </w:r>
      <w:r>
        <w:rPr>
          <w:rFonts w:hint="eastAsia" w:asciiTheme="minorEastAsia" w:hAnsiTheme="minorEastAsia" w:eastAsiaTheme="minorEastAsia" w:cstheme="minorEastAsia"/>
          <w:sz w:val="24"/>
          <w:u w:val="single"/>
        </w:rPr>
        <w:t>15</w:t>
      </w:r>
      <w:r>
        <w:rPr>
          <w:rFonts w:hint="eastAsia" w:asciiTheme="minorEastAsia" w:hAnsiTheme="minorEastAsia" w:eastAsiaTheme="minorEastAsia" w:cstheme="minorEastAsia"/>
          <w:sz w:val="24"/>
        </w:rPr>
        <w:t xml:space="preserve">日内，按照采购文件和投标（响应性）文件确定的事项签订政府采购合同。 </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五、合同公告和备案时限。自合同签订之日起2个工作日内。</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六、项目验收。自收到投标人项目验收建议之日起5个工作日内组织验收；验收结束后2个工作日内出具《验收报告》，并在焦作市政府采购网公告验收结果。</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七、资金支付。按照合同约定的条件及时支付资金，不得因机构变更、人员更替、政策调整等原因拒绝或延迟资金支付。</w:t>
      </w:r>
    </w:p>
    <w:p>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在政府采购活动中，若发现采购人或采购代理机构未按以上政策执行的，可向监督部门举报反映。</w:t>
      </w:r>
    </w:p>
    <w:p>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监督单位：博爱县财政局政府采购监督管理办公室</w:t>
      </w:r>
    </w:p>
    <w:p>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监督电话：0391-8683273</w:t>
      </w:r>
    </w:p>
    <w:p>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地址：博爱县发展大道188号机关综合办公楼主楼1213室</w:t>
      </w:r>
    </w:p>
    <w:p>
      <w:pPr>
        <w:spacing w:line="440" w:lineRule="exact"/>
        <w:jc w:val="center"/>
        <w:rPr>
          <w:rFonts w:ascii="宋体" w:hAnsi="宋体" w:cs="宋体"/>
          <w:b/>
          <w:sz w:val="36"/>
          <w:szCs w:val="36"/>
        </w:rPr>
      </w:pPr>
    </w:p>
    <w:p>
      <w:pPr>
        <w:spacing w:line="440" w:lineRule="exact"/>
        <w:jc w:val="center"/>
        <w:rPr>
          <w:rFonts w:ascii="宋体" w:hAnsi="宋体" w:cs="宋体"/>
          <w:b/>
          <w:sz w:val="36"/>
          <w:szCs w:val="36"/>
        </w:rPr>
      </w:pPr>
    </w:p>
    <w:p>
      <w:pPr>
        <w:pStyle w:val="6"/>
        <w:rPr>
          <w:rFonts w:ascii="宋体" w:hAnsi="宋体" w:cs="宋体"/>
          <w:sz w:val="36"/>
          <w:szCs w:val="36"/>
        </w:rPr>
      </w:pPr>
    </w:p>
    <w:p>
      <w:pPr>
        <w:rPr>
          <w:rFonts w:ascii="宋体" w:hAnsi="宋体" w:cs="宋体"/>
          <w:b/>
          <w:sz w:val="36"/>
          <w:szCs w:val="36"/>
        </w:rPr>
      </w:pPr>
    </w:p>
    <w:p>
      <w:pPr>
        <w:spacing w:line="440" w:lineRule="exact"/>
        <w:jc w:val="center"/>
        <w:rPr>
          <w:rFonts w:ascii="宋体" w:hAnsi="宋体" w:cs="宋体"/>
          <w:b/>
          <w:sz w:val="36"/>
          <w:szCs w:val="36"/>
        </w:rPr>
      </w:pPr>
    </w:p>
    <w:p>
      <w:pPr>
        <w:spacing w:line="440" w:lineRule="exact"/>
        <w:jc w:val="center"/>
        <w:rPr>
          <w:rFonts w:ascii="宋体" w:hAnsi="宋体" w:cs="宋体"/>
          <w:b/>
          <w:sz w:val="36"/>
          <w:szCs w:val="36"/>
        </w:rPr>
      </w:pPr>
      <w:r>
        <w:rPr>
          <w:rFonts w:hint="eastAsia" w:ascii="宋体" w:hAnsi="宋体" w:cs="宋体"/>
          <w:b/>
          <w:sz w:val="36"/>
          <w:szCs w:val="36"/>
        </w:rPr>
        <w:t>河南省政府采购合同融资政策告知函</w:t>
      </w:r>
    </w:p>
    <w:p>
      <w:pPr>
        <w:spacing w:line="360" w:lineRule="exact"/>
        <w:ind w:firstLine="420" w:firstLineChars="175"/>
        <w:rPr>
          <w:rFonts w:ascii="宋体" w:hAnsi="宋体" w:cs="宋体"/>
          <w:bCs/>
          <w:sz w:val="24"/>
        </w:rPr>
      </w:pPr>
      <w:r>
        <w:rPr>
          <w:rFonts w:hint="eastAsia" w:ascii="宋体" w:hAnsi="宋体" w:cs="宋体"/>
          <w:bCs/>
          <w:sz w:val="24"/>
        </w:rPr>
        <w:t>各投标人：</w:t>
      </w:r>
    </w:p>
    <w:p>
      <w:pPr>
        <w:spacing w:line="360" w:lineRule="exact"/>
        <w:ind w:firstLine="420" w:firstLineChars="175"/>
        <w:rPr>
          <w:rFonts w:ascii="宋体" w:hAnsi="宋体" w:cs="宋体"/>
          <w:bCs/>
          <w:sz w:val="24"/>
        </w:rPr>
      </w:pPr>
      <w:r>
        <w:rPr>
          <w:rFonts w:hint="eastAsia" w:ascii="宋体" w:hAnsi="宋体" w:cs="宋体"/>
          <w:bCs/>
          <w:sz w:val="24"/>
        </w:rPr>
        <w:t xml:space="preserve">   欢迎贵公司参与河南省政府采购活动！</w:t>
      </w:r>
    </w:p>
    <w:p>
      <w:pPr>
        <w:spacing w:line="360" w:lineRule="exact"/>
        <w:ind w:firstLine="420" w:firstLineChars="175"/>
        <w:rPr>
          <w:rFonts w:ascii="宋体" w:hAnsi="宋体" w:cs="宋体"/>
          <w:bCs/>
          <w:sz w:val="24"/>
        </w:rPr>
      </w:pPr>
      <w:r>
        <w:rPr>
          <w:rFonts w:hint="eastAsia" w:ascii="宋体" w:hAnsi="宋体" w:cs="宋体"/>
          <w:bCs/>
          <w:sz w:val="24"/>
        </w:rPr>
        <w:t xml:space="preserve">   政府采购合同融资是河南省财政厅支持中小微企业发展，针对参与政府采购活动的投标人融资难、融资贵问题推出的一项融资政策。贵公司若成为本次政府采购项目的中标成交投标人，可持政府采购合同向金融机构申请贷款，无需抵押、担保，融资机构将依据《河南省采购合同融资工作实施方案》（豫财购[2017]10号），按照双方自愿的原则提供便捷、优惠的贷款服务。</w:t>
      </w:r>
    </w:p>
    <w:p>
      <w:pPr>
        <w:spacing w:line="360" w:lineRule="exact"/>
        <w:ind w:firstLine="420" w:firstLineChars="175"/>
        <w:rPr>
          <w:rFonts w:ascii="宋体" w:hAnsi="宋体" w:cs="宋体"/>
          <w:bCs/>
          <w:sz w:val="24"/>
        </w:rPr>
      </w:pPr>
      <w:r>
        <w:rPr>
          <w:rFonts w:hint="eastAsia" w:ascii="宋体" w:hAnsi="宋体" w:cs="宋体"/>
          <w:bCs/>
          <w:sz w:val="24"/>
        </w:rPr>
        <w:t xml:space="preserve"> 贷款渠道和提供贷款的金融机构，可在河南省政府采购网“河南省政府采购合同融资平台”查询联系。</w:t>
      </w:r>
    </w:p>
    <w:p>
      <w:pPr>
        <w:jc w:val="center"/>
        <w:rPr>
          <w:rFonts w:ascii="宋体" w:hAnsi="宋体"/>
          <w:b/>
          <w:sz w:val="32"/>
          <w:szCs w:val="32"/>
        </w:rPr>
      </w:pPr>
      <w:r>
        <w:rPr>
          <w:rFonts w:hint="eastAsia" w:ascii="宋体" w:hAnsi="宋体"/>
          <w:b/>
          <w:sz w:val="32"/>
          <w:szCs w:val="32"/>
        </w:rPr>
        <w:t>焦作市政府采购合同融资合作企业</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3"/>
        <w:gridCol w:w="1353"/>
        <w:gridCol w:w="2064"/>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23"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名称</w:t>
            </w:r>
          </w:p>
        </w:tc>
        <w:tc>
          <w:tcPr>
            <w:tcW w:w="1353"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联系人</w:t>
            </w:r>
          </w:p>
        </w:tc>
        <w:tc>
          <w:tcPr>
            <w:tcW w:w="2064"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联系电话</w:t>
            </w:r>
          </w:p>
        </w:tc>
        <w:tc>
          <w:tcPr>
            <w:tcW w:w="2558"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中国农业银行股份有限公司</w:t>
            </w:r>
          </w:p>
          <w:p>
            <w:pPr>
              <w:widowControl/>
              <w:tabs>
                <w:tab w:val="left" w:pos="0"/>
              </w:tabs>
              <w:spacing w:line="360" w:lineRule="exact"/>
              <w:rPr>
                <w:rFonts w:ascii="宋体" w:hAnsi="宋体" w:cs="宋体"/>
                <w:sz w:val="24"/>
              </w:rPr>
            </w:pPr>
            <w:r>
              <w:rPr>
                <w:rFonts w:hint="eastAsia" w:ascii="宋体" w:hAnsi="宋体" w:cs="宋体"/>
                <w:sz w:val="24"/>
              </w:rPr>
              <w:t>焦作分行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薛国战</w:t>
            </w:r>
          </w:p>
        </w:tc>
        <w:tc>
          <w:tcPr>
            <w:tcW w:w="2064"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0391-2878039       13839109026</w:t>
            </w:r>
          </w:p>
        </w:tc>
        <w:tc>
          <w:tcPr>
            <w:tcW w:w="2558"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曹阳</w:t>
            </w:r>
          </w:p>
        </w:tc>
        <w:tc>
          <w:tcPr>
            <w:tcW w:w="2064"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0391-8825171  13839118160</w:t>
            </w:r>
          </w:p>
        </w:tc>
        <w:tc>
          <w:tcPr>
            <w:tcW w:w="2558"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中国建设银行股份有限公司焦作分行</w:t>
            </w:r>
          </w:p>
        </w:tc>
        <w:tc>
          <w:tcPr>
            <w:tcW w:w="1353"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李华莹</w:t>
            </w:r>
          </w:p>
        </w:tc>
        <w:tc>
          <w:tcPr>
            <w:tcW w:w="2064"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0391-3918471</w:t>
            </w:r>
          </w:p>
        </w:tc>
        <w:tc>
          <w:tcPr>
            <w:tcW w:w="2558" w:type="dxa"/>
            <w:shd w:val="solid" w:color="FFFFFF"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中国邮政储蓄银行股份有限公司焦作市分行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李天祥</w:t>
            </w:r>
          </w:p>
        </w:tc>
        <w:tc>
          <w:tcPr>
            <w:tcW w:w="2064"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0391-2981968 13523359082</w:t>
            </w:r>
          </w:p>
        </w:tc>
        <w:tc>
          <w:tcPr>
            <w:tcW w:w="2558"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焦作中旅银行股份有限公司</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周建林</w:t>
            </w:r>
          </w:p>
        </w:tc>
        <w:tc>
          <w:tcPr>
            <w:tcW w:w="2064"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 xml:space="preserve">0391-2116963 15893053027 </w:t>
            </w:r>
          </w:p>
        </w:tc>
        <w:tc>
          <w:tcPr>
            <w:tcW w:w="2558"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中信银行股份有限公司焦作分行</w:t>
            </w:r>
          </w:p>
        </w:tc>
        <w:tc>
          <w:tcPr>
            <w:tcW w:w="1353"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周江江</w:t>
            </w:r>
          </w:p>
        </w:tc>
        <w:tc>
          <w:tcPr>
            <w:tcW w:w="2064"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17639185001</w:t>
            </w:r>
          </w:p>
        </w:tc>
        <w:tc>
          <w:tcPr>
            <w:tcW w:w="2558" w:type="dxa"/>
            <w:shd w:val="solid" w:color="FFFFFF"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bCs/>
                <w:sz w:val="24"/>
              </w:rPr>
              <w:t>中国光大银行股份有限公司焦作分行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王海宾</w:t>
            </w:r>
          </w:p>
        </w:tc>
        <w:tc>
          <w:tcPr>
            <w:tcW w:w="2064"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0391-8787996 13598534626</w:t>
            </w:r>
          </w:p>
        </w:tc>
        <w:tc>
          <w:tcPr>
            <w:tcW w:w="2558"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中原银行股份有限公司焦作分行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赵伟</w:t>
            </w:r>
          </w:p>
        </w:tc>
        <w:tc>
          <w:tcPr>
            <w:tcW w:w="2064"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0391-8796520 15738533033</w:t>
            </w:r>
          </w:p>
        </w:tc>
        <w:tc>
          <w:tcPr>
            <w:tcW w:w="2558"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广发银行股份有限公司焦作分行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张嘉强</w:t>
            </w:r>
          </w:p>
        </w:tc>
        <w:tc>
          <w:tcPr>
            <w:tcW w:w="2064"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0391-653785 13203910032</w:t>
            </w:r>
          </w:p>
        </w:tc>
        <w:tc>
          <w:tcPr>
            <w:tcW w:w="2558"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焦作市塔南路1736号嘉隆金融中心</w:t>
            </w:r>
          </w:p>
        </w:tc>
      </w:tr>
    </w:tbl>
    <w:p>
      <w:pPr>
        <w:rPr>
          <w:rFonts w:ascii="宋体" w:hAnsi="宋体" w:cs="宋体"/>
          <w:sz w:val="24"/>
        </w:rPr>
      </w:pPr>
      <w:r>
        <w:rPr>
          <w:rFonts w:hint="eastAsia" w:ascii="宋体" w:hAnsi="宋体" w:cs="宋体"/>
          <w:sz w:val="24"/>
        </w:rPr>
        <w:t>备注：融资服务机构名单和人员联系方式会随时变化。具体情况可登录“焦作市政府采购网”政府采购合同融资平台查询。</w:t>
      </w:r>
    </w:p>
    <w:sectPr>
      <w:pgSz w:w="11907" w:h="16840"/>
      <w:pgMar w:top="1276" w:right="1117" w:bottom="1417" w:left="913" w:header="850" w:footer="998" w:gutter="0"/>
      <w:pgNumType w:fmt="numberInDash"/>
      <w:cols w:space="0" w:num="1"/>
      <w:docGrid w:type="lines" w:linePitch="3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30" o:spid="_x0000_s1030"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path/>
          <v:fill on="f" focussize="0,0"/>
          <v:stroke on="f" weight="0.5pt" joinstyle="miter"/>
          <v:imagedata o:title=""/>
          <o:lock v:ext="edit"/>
          <v:textbox inset="0mm,0mm,0mm,0mm" style="mso-fit-shape-to-text:t;">
            <w:txbxContent>
              <w:p>
                <w:pPr>
                  <w:pStyle w:val="16"/>
                </w:pPr>
                <w:r>
                  <w:fldChar w:fldCharType="begin"/>
                </w:r>
                <w:r>
                  <w:instrText xml:space="preserve"> PAGE  \* MERGEFORMAT </w:instrText>
                </w:r>
                <w:r>
                  <w:fldChar w:fldCharType="separate"/>
                </w:r>
                <w: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8" o:spid="_x0000_s1028"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path/>
          <v:fill on="f" focussize="0,0"/>
          <v:stroke on="f" weight="0.5pt" joinstyle="miter"/>
          <v:imagedata o:title=""/>
          <o:lock v:ext="edit"/>
          <v:textbox inset="0mm,0mm,0mm,0mm" style="mso-fit-shape-to-text:t;">
            <w:txbxContent>
              <w:p>
                <w:pPr>
                  <w:pStyle w:val="16"/>
                </w:pPr>
                <w:r>
                  <w:fldChar w:fldCharType="begin"/>
                </w:r>
                <w:r>
                  <w:instrText xml:space="preserve"> PAGE  \* MERGEFORMAT </w:instrText>
                </w:r>
                <w:r>
                  <w:fldChar w:fldCharType="separate"/>
                </w:r>
                <w:r>
                  <w:t>- 1 -</w:t>
                </w:r>
                <w:r>
                  <w:fldChar w:fldCharType="end"/>
                </w:r>
              </w:p>
            </w:txbxContent>
          </v:textbox>
        </v:shape>
      </w:pict>
    </w:r>
    <w:r>
      <w:pict>
        <v:shape id="_x0000_s1029" o:spid="_x0000_s1029" o:spt="202" type="#_x0000_t202" style="position:absolute;left:0pt;margin-left:189.25pt;margin-top:-21.75pt;height:165.75pt;width:119.25pt;mso-position-horizontal-relative:margin;z-index:251667456;mso-width-relative:page;mso-height-relative:page;" filled="f" stroked="f" coordsize="21600,21600" o:gfxdata="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9&#10;/6bYAAAACwEAAA8AAAAAAAAAAQAgAAAAIgAAAGRycy9kb3ducmV2LnhtbFBLAQIUABQAAAAIAIdO&#10;4kCetyl5sQEAAF0DAAAOAAAAAAAAAAEAIAAAACcBAABkcnMvZTJvRG9jLnhtbFBLBQYAAAAABgAG&#10;AFkBAABKBQAAAAA=&#10;">
          <v:path/>
          <v:fill on="f" focussize="0,0"/>
          <v:stroke on="f" joinstyle="miter"/>
          <v:imagedata o:title=""/>
          <o:lock v:ext="edit"/>
          <v:textbox>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6"/>
        <w:szCs w:val="22"/>
      </w:rPr>
    </w:pPr>
    <w:r>
      <w:rPr>
        <w:sz w:val="20"/>
        <w:szCs w:val="22"/>
      </w:rPr>
      <w:pict>
        <v:shape id="_x0000_s1027" o:spid="_x0000_s1027"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ipFLs0AAAAAMBAAAPAAAAAAAAAAEAIAAAACIAAABkcnMv&#10;ZG93bnJldi54bWxQSwECFAAUAAAACACHTuJAhb0aWNIBAAClAwAADgAAAAAAAAABACAAAAAfAQAA&#10;ZHJzL2Uyb0RvYy54bWxQSwUGAAAAAAYABgBZAQAAYwU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- 24 -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131D5"/>
    <w:multiLevelType w:val="singleLevel"/>
    <w:tmpl w:val="806131D5"/>
    <w:lvl w:ilvl="0" w:tentative="0">
      <w:start w:val="7"/>
      <w:numFmt w:val="chineseCounting"/>
      <w:suff w:val="nothing"/>
      <w:lvlText w:val="%1、"/>
      <w:lvlJc w:val="left"/>
      <w:rPr>
        <w:rFonts w:hint="eastAsia"/>
      </w:rPr>
    </w:lvl>
  </w:abstractNum>
  <w:abstractNum w:abstractNumId="1">
    <w:nsid w:val="991C7613"/>
    <w:multiLevelType w:val="multilevel"/>
    <w:tmpl w:val="991C7613"/>
    <w:lvl w:ilvl="0" w:tentative="0">
      <w:start w:val="1"/>
      <w:numFmt w:val="decimal"/>
      <w:lvlText w:val="%1."/>
      <w:lvlJc w:val="left"/>
      <w:pPr>
        <w:ind w:left="567" w:hanging="567"/>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9FB039FA"/>
    <w:multiLevelType w:val="singleLevel"/>
    <w:tmpl w:val="9FB039FA"/>
    <w:lvl w:ilvl="0" w:tentative="0">
      <w:start w:val="2"/>
      <w:numFmt w:val="chineseCounting"/>
      <w:suff w:val="nothing"/>
      <w:lvlText w:val="%1、"/>
      <w:lvlJc w:val="left"/>
      <w:rPr>
        <w:rFonts w:hint="eastAsia"/>
      </w:rPr>
    </w:lvl>
  </w:abstractNum>
  <w:abstractNum w:abstractNumId="3">
    <w:nsid w:val="A58974FB"/>
    <w:multiLevelType w:val="singleLevel"/>
    <w:tmpl w:val="A58974FB"/>
    <w:lvl w:ilvl="0" w:tentative="0">
      <w:start w:val="1"/>
      <w:numFmt w:val="decimal"/>
      <w:suff w:val="space"/>
      <w:lvlText w:val="%1."/>
      <w:lvlJc w:val="left"/>
    </w:lvl>
  </w:abstractNum>
  <w:abstractNum w:abstractNumId="4">
    <w:nsid w:val="B940B7CB"/>
    <w:multiLevelType w:val="singleLevel"/>
    <w:tmpl w:val="B940B7CB"/>
    <w:lvl w:ilvl="0" w:tentative="0">
      <w:start w:val="3"/>
      <w:numFmt w:val="decimal"/>
      <w:suff w:val="nothing"/>
      <w:lvlText w:val="%1、"/>
      <w:lvlJc w:val="left"/>
    </w:lvl>
  </w:abstractNum>
  <w:abstractNum w:abstractNumId="5">
    <w:nsid w:val="E25B3C03"/>
    <w:multiLevelType w:val="singleLevel"/>
    <w:tmpl w:val="E25B3C03"/>
    <w:lvl w:ilvl="0" w:tentative="0">
      <w:start w:val="1"/>
      <w:numFmt w:val="decimal"/>
      <w:suff w:val="nothing"/>
      <w:lvlText w:val="（%1）"/>
      <w:lvlJc w:val="left"/>
    </w:lvl>
  </w:abstractNum>
  <w:abstractNum w:abstractNumId="6">
    <w:nsid w:val="00000002"/>
    <w:multiLevelType w:val="multilevel"/>
    <w:tmpl w:val="0000000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74054F6"/>
    <w:multiLevelType w:val="multilevel"/>
    <w:tmpl w:val="074054F6"/>
    <w:lvl w:ilvl="0" w:tentative="0">
      <w:start w:val="1"/>
      <w:numFmt w:val="decimal"/>
      <w:pStyle w:val="32"/>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8">
    <w:nsid w:val="1C58BAF0"/>
    <w:multiLevelType w:val="singleLevel"/>
    <w:tmpl w:val="1C58BAF0"/>
    <w:lvl w:ilvl="0" w:tentative="0">
      <w:start w:val="1"/>
      <w:numFmt w:val="decimal"/>
      <w:suff w:val="nothing"/>
      <w:lvlText w:val="（%1）"/>
      <w:lvlJc w:val="left"/>
    </w:lvl>
  </w:abstractNum>
  <w:abstractNum w:abstractNumId="9">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0">
    <w:nsid w:val="5A659624"/>
    <w:multiLevelType w:val="singleLevel"/>
    <w:tmpl w:val="5A659624"/>
    <w:lvl w:ilvl="0" w:tentative="0">
      <w:start w:val="1"/>
      <w:numFmt w:val="chineseCounting"/>
      <w:suff w:val="nothing"/>
      <w:lvlText w:val="%1、"/>
      <w:lvlJc w:val="left"/>
    </w:lvl>
  </w:abstractNum>
  <w:abstractNum w:abstractNumId="11">
    <w:nsid w:val="5A693C2F"/>
    <w:multiLevelType w:val="singleLevel"/>
    <w:tmpl w:val="5A693C2F"/>
    <w:lvl w:ilvl="0" w:tentative="0">
      <w:start w:val="3"/>
      <w:numFmt w:val="chineseCounting"/>
      <w:suff w:val="space"/>
      <w:lvlText w:val="第%1章"/>
      <w:lvlJc w:val="left"/>
    </w:lvl>
  </w:abstractNum>
  <w:abstractNum w:abstractNumId="12">
    <w:nsid w:val="75324FB0"/>
    <w:multiLevelType w:val="singleLevel"/>
    <w:tmpl w:val="75324FB0"/>
    <w:lvl w:ilvl="0" w:tentative="0">
      <w:start w:val="1"/>
      <w:numFmt w:val="chineseCounting"/>
      <w:suff w:val="space"/>
      <w:lvlText w:val="第%1章"/>
      <w:lvlJc w:val="left"/>
      <w:pPr>
        <w:ind w:left="630"/>
      </w:pPr>
      <w:rPr>
        <w:rFonts w:hint="eastAsia"/>
      </w:rPr>
    </w:lvl>
  </w:abstractNum>
  <w:num w:numId="1">
    <w:abstractNumId w:val="7"/>
  </w:num>
  <w:num w:numId="2">
    <w:abstractNumId w:val="4"/>
  </w:num>
  <w:num w:numId="3">
    <w:abstractNumId w:val="12"/>
  </w:num>
  <w:num w:numId="4">
    <w:abstractNumId w:val="0"/>
  </w:num>
  <w:num w:numId="5">
    <w:abstractNumId w:val="6"/>
  </w:num>
  <w:num w:numId="6">
    <w:abstractNumId w:val="11"/>
  </w:num>
  <w:num w:numId="7">
    <w:abstractNumId w:val="1"/>
  </w:num>
  <w:num w:numId="8">
    <w:abstractNumId w:val="8"/>
  </w:num>
  <w:num w:numId="9">
    <w:abstractNumId w:val="5"/>
  </w:num>
  <w:num w:numId="10">
    <w:abstractNumId w:val="10"/>
  </w:num>
  <w:num w:numId="11">
    <w:abstractNumId w:val="9"/>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90"/>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QxYWQxYWE2YTBmY2FhZThlNGM5OWRiMGU4ZWQwNmMifQ=="/>
  </w:docVars>
  <w:rsids>
    <w:rsidRoot w:val="00CF3BAF"/>
    <w:rsid w:val="00013654"/>
    <w:rsid w:val="000720C4"/>
    <w:rsid w:val="00145803"/>
    <w:rsid w:val="00281BCC"/>
    <w:rsid w:val="002A1364"/>
    <w:rsid w:val="0034193D"/>
    <w:rsid w:val="00382698"/>
    <w:rsid w:val="003840CE"/>
    <w:rsid w:val="005315C8"/>
    <w:rsid w:val="005B5440"/>
    <w:rsid w:val="00666E50"/>
    <w:rsid w:val="006838D7"/>
    <w:rsid w:val="006B2CA3"/>
    <w:rsid w:val="007074F1"/>
    <w:rsid w:val="008A148B"/>
    <w:rsid w:val="00A13C3D"/>
    <w:rsid w:val="00A61B02"/>
    <w:rsid w:val="00AA4C85"/>
    <w:rsid w:val="00B22521"/>
    <w:rsid w:val="00B3402D"/>
    <w:rsid w:val="00BC45CD"/>
    <w:rsid w:val="00BC47C8"/>
    <w:rsid w:val="00C15FCB"/>
    <w:rsid w:val="00C71C7E"/>
    <w:rsid w:val="00C94A06"/>
    <w:rsid w:val="00C94AF7"/>
    <w:rsid w:val="00CF3BAF"/>
    <w:rsid w:val="00D833BE"/>
    <w:rsid w:val="00E61A34"/>
    <w:rsid w:val="00F8584C"/>
    <w:rsid w:val="00FB3E02"/>
    <w:rsid w:val="00FF5EE5"/>
    <w:rsid w:val="01597611"/>
    <w:rsid w:val="019C74BD"/>
    <w:rsid w:val="01A249C3"/>
    <w:rsid w:val="01CD0413"/>
    <w:rsid w:val="02023511"/>
    <w:rsid w:val="023F2212"/>
    <w:rsid w:val="02534437"/>
    <w:rsid w:val="02A079AD"/>
    <w:rsid w:val="02AD7AC3"/>
    <w:rsid w:val="031F2043"/>
    <w:rsid w:val="03A34A22"/>
    <w:rsid w:val="03DF62D5"/>
    <w:rsid w:val="04351B1E"/>
    <w:rsid w:val="04764B57"/>
    <w:rsid w:val="049A5F70"/>
    <w:rsid w:val="04A46CA4"/>
    <w:rsid w:val="064B3EA8"/>
    <w:rsid w:val="06A27213"/>
    <w:rsid w:val="06B37672"/>
    <w:rsid w:val="06F1337E"/>
    <w:rsid w:val="07302A71"/>
    <w:rsid w:val="0740516B"/>
    <w:rsid w:val="074D4119"/>
    <w:rsid w:val="0753050D"/>
    <w:rsid w:val="07554ACD"/>
    <w:rsid w:val="07997BA5"/>
    <w:rsid w:val="07CB4548"/>
    <w:rsid w:val="082509A7"/>
    <w:rsid w:val="08297BEC"/>
    <w:rsid w:val="083A174E"/>
    <w:rsid w:val="08B6562F"/>
    <w:rsid w:val="091A12E3"/>
    <w:rsid w:val="09A514F4"/>
    <w:rsid w:val="0A083831"/>
    <w:rsid w:val="0A3E54A5"/>
    <w:rsid w:val="0B1A1A6E"/>
    <w:rsid w:val="0B344BF6"/>
    <w:rsid w:val="0B61144B"/>
    <w:rsid w:val="0C076843"/>
    <w:rsid w:val="0C2D57D1"/>
    <w:rsid w:val="0C4D19CF"/>
    <w:rsid w:val="0CD05128"/>
    <w:rsid w:val="0D1F511A"/>
    <w:rsid w:val="0D674D12"/>
    <w:rsid w:val="0D792EC2"/>
    <w:rsid w:val="0D81592D"/>
    <w:rsid w:val="0DEE2D3E"/>
    <w:rsid w:val="0EA33B28"/>
    <w:rsid w:val="0EDC105C"/>
    <w:rsid w:val="0EDE6CBA"/>
    <w:rsid w:val="0F0410E0"/>
    <w:rsid w:val="0FE278B1"/>
    <w:rsid w:val="0FE73EE9"/>
    <w:rsid w:val="1012372A"/>
    <w:rsid w:val="1031492B"/>
    <w:rsid w:val="10374E70"/>
    <w:rsid w:val="10544429"/>
    <w:rsid w:val="113D3D5C"/>
    <w:rsid w:val="115630D4"/>
    <w:rsid w:val="11A25357"/>
    <w:rsid w:val="11B34CF4"/>
    <w:rsid w:val="126E269F"/>
    <w:rsid w:val="129F0B79"/>
    <w:rsid w:val="13196E1B"/>
    <w:rsid w:val="13651CF4"/>
    <w:rsid w:val="13D308D7"/>
    <w:rsid w:val="143C687A"/>
    <w:rsid w:val="144162BD"/>
    <w:rsid w:val="1457163D"/>
    <w:rsid w:val="14860849"/>
    <w:rsid w:val="14D233B9"/>
    <w:rsid w:val="14E629C1"/>
    <w:rsid w:val="15883A78"/>
    <w:rsid w:val="16985F3D"/>
    <w:rsid w:val="16997753"/>
    <w:rsid w:val="169D288C"/>
    <w:rsid w:val="16A62408"/>
    <w:rsid w:val="179C380B"/>
    <w:rsid w:val="18D3325C"/>
    <w:rsid w:val="196A7BE4"/>
    <w:rsid w:val="19CA0B03"/>
    <w:rsid w:val="19EF2318"/>
    <w:rsid w:val="1A913822"/>
    <w:rsid w:val="1A9D1D74"/>
    <w:rsid w:val="1B33310F"/>
    <w:rsid w:val="1BC81072"/>
    <w:rsid w:val="1BD529D4"/>
    <w:rsid w:val="1BE9127A"/>
    <w:rsid w:val="1BF9122C"/>
    <w:rsid w:val="1C0320AA"/>
    <w:rsid w:val="1CD57C9C"/>
    <w:rsid w:val="1CD852E5"/>
    <w:rsid w:val="1CDD28FB"/>
    <w:rsid w:val="1D2E3157"/>
    <w:rsid w:val="1D5A65E9"/>
    <w:rsid w:val="1DAD0520"/>
    <w:rsid w:val="1DD106B2"/>
    <w:rsid w:val="1E212A6F"/>
    <w:rsid w:val="1E360353"/>
    <w:rsid w:val="1E37603B"/>
    <w:rsid w:val="1EB33136"/>
    <w:rsid w:val="1EE937D9"/>
    <w:rsid w:val="1FB04E84"/>
    <w:rsid w:val="205C7FDB"/>
    <w:rsid w:val="21C85928"/>
    <w:rsid w:val="23C21A0E"/>
    <w:rsid w:val="24044C11"/>
    <w:rsid w:val="24581EC9"/>
    <w:rsid w:val="245D7AC3"/>
    <w:rsid w:val="245F3E5F"/>
    <w:rsid w:val="24AC7783"/>
    <w:rsid w:val="24D32F62"/>
    <w:rsid w:val="2556149D"/>
    <w:rsid w:val="257C53A7"/>
    <w:rsid w:val="25F10BAD"/>
    <w:rsid w:val="26557F83"/>
    <w:rsid w:val="2671382C"/>
    <w:rsid w:val="26AF355A"/>
    <w:rsid w:val="27DD7C53"/>
    <w:rsid w:val="28013942"/>
    <w:rsid w:val="2858552C"/>
    <w:rsid w:val="287019A1"/>
    <w:rsid w:val="28BD1C36"/>
    <w:rsid w:val="28CA467C"/>
    <w:rsid w:val="28E62B38"/>
    <w:rsid w:val="29712D49"/>
    <w:rsid w:val="29AD1F3E"/>
    <w:rsid w:val="2A1F4553"/>
    <w:rsid w:val="2A334727"/>
    <w:rsid w:val="2B7E0BF1"/>
    <w:rsid w:val="2C120077"/>
    <w:rsid w:val="2C7566AC"/>
    <w:rsid w:val="2D104627"/>
    <w:rsid w:val="2D4759F0"/>
    <w:rsid w:val="2D4B17C9"/>
    <w:rsid w:val="2D746964"/>
    <w:rsid w:val="2E3D58F0"/>
    <w:rsid w:val="2E7164C1"/>
    <w:rsid w:val="2E8C4181"/>
    <w:rsid w:val="2E996D68"/>
    <w:rsid w:val="2ED80964"/>
    <w:rsid w:val="2FB54E1D"/>
    <w:rsid w:val="30204B81"/>
    <w:rsid w:val="3054090C"/>
    <w:rsid w:val="315E08FB"/>
    <w:rsid w:val="31B94039"/>
    <w:rsid w:val="32243EA7"/>
    <w:rsid w:val="32AC094E"/>
    <w:rsid w:val="32BD2B5B"/>
    <w:rsid w:val="330C04D6"/>
    <w:rsid w:val="33947D60"/>
    <w:rsid w:val="3442156A"/>
    <w:rsid w:val="34BF0E0C"/>
    <w:rsid w:val="34C74165"/>
    <w:rsid w:val="351B1DBB"/>
    <w:rsid w:val="356103C1"/>
    <w:rsid w:val="359F479A"/>
    <w:rsid w:val="3608233F"/>
    <w:rsid w:val="36370E76"/>
    <w:rsid w:val="364C5C5D"/>
    <w:rsid w:val="36525CB0"/>
    <w:rsid w:val="367B0D63"/>
    <w:rsid w:val="36AA33F6"/>
    <w:rsid w:val="36F2243E"/>
    <w:rsid w:val="372A4537"/>
    <w:rsid w:val="37533A8E"/>
    <w:rsid w:val="37D13E88"/>
    <w:rsid w:val="38C56745"/>
    <w:rsid w:val="395221DE"/>
    <w:rsid w:val="3A323E2F"/>
    <w:rsid w:val="3A414072"/>
    <w:rsid w:val="3A864B89"/>
    <w:rsid w:val="3AAA15E3"/>
    <w:rsid w:val="3AC405E4"/>
    <w:rsid w:val="3B680882"/>
    <w:rsid w:val="3B9D352A"/>
    <w:rsid w:val="3C5740DD"/>
    <w:rsid w:val="3C617ADE"/>
    <w:rsid w:val="3C875BD5"/>
    <w:rsid w:val="3D3F6549"/>
    <w:rsid w:val="3D6E3B32"/>
    <w:rsid w:val="3DA476DF"/>
    <w:rsid w:val="3DC254CA"/>
    <w:rsid w:val="3DCB7BB1"/>
    <w:rsid w:val="3E8E1D06"/>
    <w:rsid w:val="3EA91C86"/>
    <w:rsid w:val="3EC86B10"/>
    <w:rsid w:val="3F51170A"/>
    <w:rsid w:val="3FD66319"/>
    <w:rsid w:val="3FF840EB"/>
    <w:rsid w:val="407C1AED"/>
    <w:rsid w:val="40AE6405"/>
    <w:rsid w:val="410D1152"/>
    <w:rsid w:val="417B430D"/>
    <w:rsid w:val="41A82C28"/>
    <w:rsid w:val="420C4EF5"/>
    <w:rsid w:val="42181E5B"/>
    <w:rsid w:val="42E303BC"/>
    <w:rsid w:val="42F65BA4"/>
    <w:rsid w:val="435B61A4"/>
    <w:rsid w:val="43EA7528"/>
    <w:rsid w:val="4453447A"/>
    <w:rsid w:val="447514E8"/>
    <w:rsid w:val="46001285"/>
    <w:rsid w:val="47503B46"/>
    <w:rsid w:val="485633DE"/>
    <w:rsid w:val="486E372E"/>
    <w:rsid w:val="48C22822"/>
    <w:rsid w:val="49080B7C"/>
    <w:rsid w:val="495261A3"/>
    <w:rsid w:val="499F2B63"/>
    <w:rsid w:val="49B4660E"/>
    <w:rsid w:val="49BC1967"/>
    <w:rsid w:val="4BA55B26"/>
    <w:rsid w:val="4BB943B0"/>
    <w:rsid w:val="4BC6087B"/>
    <w:rsid w:val="4BCD1C09"/>
    <w:rsid w:val="4C4814B5"/>
    <w:rsid w:val="4D477799"/>
    <w:rsid w:val="4D66012C"/>
    <w:rsid w:val="4D8C494F"/>
    <w:rsid w:val="4D987FF5"/>
    <w:rsid w:val="4E7C3AE4"/>
    <w:rsid w:val="4ED84B4D"/>
    <w:rsid w:val="4FDA48F5"/>
    <w:rsid w:val="4FDD6193"/>
    <w:rsid w:val="50067E95"/>
    <w:rsid w:val="50091D29"/>
    <w:rsid w:val="50357D7D"/>
    <w:rsid w:val="505B3C87"/>
    <w:rsid w:val="51B11685"/>
    <w:rsid w:val="51F82BBB"/>
    <w:rsid w:val="520E4D2A"/>
    <w:rsid w:val="522B7DE8"/>
    <w:rsid w:val="52DC6BD6"/>
    <w:rsid w:val="52EB6588"/>
    <w:rsid w:val="53CF72B2"/>
    <w:rsid w:val="53D14261"/>
    <w:rsid w:val="55161DC8"/>
    <w:rsid w:val="5549056E"/>
    <w:rsid w:val="55C81AB9"/>
    <w:rsid w:val="55FB20AD"/>
    <w:rsid w:val="5664557C"/>
    <w:rsid w:val="56A31EE4"/>
    <w:rsid w:val="56B85264"/>
    <w:rsid w:val="56BB3C75"/>
    <w:rsid w:val="56DE7067"/>
    <w:rsid w:val="570620A6"/>
    <w:rsid w:val="570955B4"/>
    <w:rsid w:val="574F7976"/>
    <w:rsid w:val="57527C3E"/>
    <w:rsid w:val="5783793E"/>
    <w:rsid w:val="578810DA"/>
    <w:rsid w:val="57964022"/>
    <w:rsid w:val="57B43C7D"/>
    <w:rsid w:val="57CC2BA0"/>
    <w:rsid w:val="58BC103B"/>
    <w:rsid w:val="58BF28DA"/>
    <w:rsid w:val="59441031"/>
    <w:rsid w:val="594828CF"/>
    <w:rsid w:val="594F1EAF"/>
    <w:rsid w:val="599F77C9"/>
    <w:rsid w:val="59C95F43"/>
    <w:rsid w:val="59E76456"/>
    <w:rsid w:val="5A8042EB"/>
    <w:rsid w:val="5A851901"/>
    <w:rsid w:val="5A93268F"/>
    <w:rsid w:val="5A957D96"/>
    <w:rsid w:val="5AB2046A"/>
    <w:rsid w:val="5AE6318E"/>
    <w:rsid w:val="5C1B251D"/>
    <w:rsid w:val="5C3E7FB9"/>
    <w:rsid w:val="5C8E651C"/>
    <w:rsid w:val="5C917CF5"/>
    <w:rsid w:val="5D120EE1"/>
    <w:rsid w:val="5D7C6FEB"/>
    <w:rsid w:val="5D886CB3"/>
    <w:rsid w:val="5DB443B5"/>
    <w:rsid w:val="5E313880"/>
    <w:rsid w:val="5E803BCC"/>
    <w:rsid w:val="5E893766"/>
    <w:rsid w:val="5EAE4FD3"/>
    <w:rsid w:val="5EE74938"/>
    <w:rsid w:val="5F09244A"/>
    <w:rsid w:val="5F1514A5"/>
    <w:rsid w:val="5F9177D9"/>
    <w:rsid w:val="5FB7255D"/>
    <w:rsid w:val="5FEF619A"/>
    <w:rsid w:val="60082DB8"/>
    <w:rsid w:val="60B25AEA"/>
    <w:rsid w:val="615C6151"/>
    <w:rsid w:val="61BC3E5A"/>
    <w:rsid w:val="62047871"/>
    <w:rsid w:val="622B3906"/>
    <w:rsid w:val="62D6719E"/>
    <w:rsid w:val="62DD22DA"/>
    <w:rsid w:val="62EF46F3"/>
    <w:rsid w:val="63100901"/>
    <w:rsid w:val="633148D2"/>
    <w:rsid w:val="63BE035D"/>
    <w:rsid w:val="64CA3CB4"/>
    <w:rsid w:val="65A442CC"/>
    <w:rsid w:val="65EF7DA6"/>
    <w:rsid w:val="66342B59"/>
    <w:rsid w:val="66373858"/>
    <w:rsid w:val="66521231"/>
    <w:rsid w:val="666845B1"/>
    <w:rsid w:val="66D734E4"/>
    <w:rsid w:val="66DE4873"/>
    <w:rsid w:val="66E3632D"/>
    <w:rsid w:val="66F10A4A"/>
    <w:rsid w:val="67477DD7"/>
    <w:rsid w:val="67923FAF"/>
    <w:rsid w:val="67AB689B"/>
    <w:rsid w:val="67F105D6"/>
    <w:rsid w:val="682E6AFE"/>
    <w:rsid w:val="68B476C6"/>
    <w:rsid w:val="69431305"/>
    <w:rsid w:val="69676C0C"/>
    <w:rsid w:val="69AE1092"/>
    <w:rsid w:val="69E71C90"/>
    <w:rsid w:val="6A425119"/>
    <w:rsid w:val="6AE54422"/>
    <w:rsid w:val="6B5275DD"/>
    <w:rsid w:val="6BCF1CE1"/>
    <w:rsid w:val="6BD36CF4"/>
    <w:rsid w:val="6CD72490"/>
    <w:rsid w:val="6D0A63C2"/>
    <w:rsid w:val="6D2917A9"/>
    <w:rsid w:val="6D4E6E2B"/>
    <w:rsid w:val="6D67660A"/>
    <w:rsid w:val="6DC81DD9"/>
    <w:rsid w:val="6F33431F"/>
    <w:rsid w:val="6F54601A"/>
    <w:rsid w:val="6FE0340A"/>
    <w:rsid w:val="706B0FD9"/>
    <w:rsid w:val="70822713"/>
    <w:rsid w:val="70B46F74"/>
    <w:rsid w:val="714B51FB"/>
    <w:rsid w:val="71DF0C7B"/>
    <w:rsid w:val="721049DF"/>
    <w:rsid w:val="727442DD"/>
    <w:rsid w:val="72A42EE3"/>
    <w:rsid w:val="72FD1EE3"/>
    <w:rsid w:val="73900C02"/>
    <w:rsid w:val="73BE334D"/>
    <w:rsid w:val="73C92407"/>
    <w:rsid w:val="75F6021B"/>
    <w:rsid w:val="765C2A04"/>
    <w:rsid w:val="77463913"/>
    <w:rsid w:val="778925D9"/>
    <w:rsid w:val="786F17CF"/>
    <w:rsid w:val="78D6184E"/>
    <w:rsid w:val="7957206C"/>
    <w:rsid w:val="79631BE1"/>
    <w:rsid w:val="797A2798"/>
    <w:rsid w:val="79992F3A"/>
    <w:rsid w:val="79C773E8"/>
    <w:rsid w:val="79EC68CF"/>
    <w:rsid w:val="7A921700"/>
    <w:rsid w:val="7ADC6EC3"/>
    <w:rsid w:val="7B1D3764"/>
    <w:rsid w:val="7C1A207B"/>
    <w:rsid w:val="7C4D62CB"/>
    <w:rsid w:val="7C537629"/>
    <w:rsid w:val="7C574A54"/>
    <w:rsid w:val="7CC83F86"/>
    <w:rsid w:val="7CCA3711"/>
    <w:rsid w:val="7EF95A5A"/>
    <w:rsid w:val="7F3E1EFB"/>
    <w:rsid w:val="7F463B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jc w:val="center"/>
      <w:outlineLvl w:val="0"/>
    </w:pPr>
    <w:rPr>
      <w:b/>
      <w:bCs/>
      <w:kern w:val="44"/>
      <w:sz w:val="44"/>
      <w:szCs w:val="44"/>
    </w:rPr>
  </w:style>
  <w:style w:type="paragraph" w:styleId="6">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7">
    <w:name w:val="heading 4"/>
    <w:basedOn w:val="1"/>
    <w:next w:val="1"/>
    <w:qFormat/>
    <w:uiPriority w:val="0"/>
    <w:pPr>
      <w:keepNext/>
      <w:keepLines/>
      <w:spacing w:before="280" w:after="290" w:line="376" w:lineRule="auto"/>
      <w:outlineLvl w:val="3"/>
    </w:pPr>
    <w:rPr>
      <w:rFonts w:ascii="Times New Roman" w:hAnsi="Times New Roman"/>
      <w:sz w:val="32"/>
      <w:szCs w:val="2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unhideWhenUsed/>
    <w:qFormat/>
    <w:uiPriority w:val="0"/>
    <w:pPr>
      <w:ind w:firstLine="420" w:firstLineChars="100"/>
    </w:pPr>
    <w:rPr>
      <w:rFonts w:hint="eastAsia" w:ascii="楷体_GB2312" w:eastAsia="楷体_GB2312"/>
      <w:sz w:val="32"/>
    </w:rPr>
  </w:style>
  <w:style w:type="paragraph" w:styleId="3">
    <w:name w:val="Body Text"/>
    <w:basedOn w:val="1"/>
    <w:next w:val="4"/>
    <w:qFormat/>
    <w:uiPriority w:val="0"/>
    <w:rPr>
      <w:rFonts w:ascii="Times New Roman" w:hAnsi="Times New Roman"/>
    </w:rPr>
  </w:style>
  <w:style w:type="paragraph" w:customStyle="1" w:styleId="4">
    <w:name w:val="正文文本 21"/>
    <w:basedOn w:val="1"/>
    <w:qFormat/>
    <w:uiPriority w:val="0"/>
    <w:rPr>
      <w:rFonts w:ascii="Times New Roman" w:hAnsi="Times New Roman"/>
      <w:sz w:val="28"/>
    </w:rPr>
  </w:style>
  <w:style w:type="paragraph" w:styleId="8">
    <w:name w:val="caption"/>
    <w:basedOn w:val="1"/>
    <w:next w:val="1"/>
    <w:qFormat/>
    <w:uiPriority w:val="0"/>
    <w:rPr>
      <w:rFonts w:ascii="Arial" w:hAnsi="Arial" w:eastAsia="黑体" w:cstheme="minorBidi"/>
      <w:sz w:val="20"/>
    </w:rPr>
  </w:style>
  <w:style w:type="paragraph" w:styleId="9">
    <w:name w:val="toa heading"/>
    <w:basedOn w:val="1"/>
    <w:next w:val="1"/>
    <w:unhideWhenUsed/>
    <w:qFormat/>
    <w:uiPriority w:val="99"/>
    <w:pPr>
      <w:spacing w:before="120"/>
    </w:pPr>
    <w:rPr>
      <w:rFonts w:ascii="Arial" w:hAnsi="Arial" w:cs="Arial"/>
      <w:sz w:val="24"/>
    </w:rPr>
  </w:style>
  <w:style w:type="paragraph" w:styleId="10">
    <w:name w:val="annotation text"/>
    <w:basedOn w:val="1"/>
    <w:qFormat/>
    <w:uiPriority w:val="0"/>
    <w:pPr>
      <w:jc w:val="left"/>
    </w:pPr>
  </w:style>
  <w:style w:type="paragraph" w:styleId="11">
    <w:name w:val="Body Text 3"/>
    <w:basedOn w:val="1"/>
    <w:unhideWhenUsed/>
    <w:qFormat/>
    <w:uiPriority w:val="0"/>
    <w:pPr>
      <w:spacing w:after="120"/>
    </w:pPr>
    <w:rPr>
      <w:rFonts w:ascii="Times New Roman" w:hAnsi="Times New Roman"/>
      <w:sz w:val="16"/>
      <w:szCs w:val="16"/>
    </w:rPr>
  </w:style>
  <w:style w:type="paragraph" w:styleId="12">
    <w:name w:val="Body Text Indent"/>
    <w:basedOn w:val="1"/>
    <w:next w:val="13"/>
    <w:qFormat/>
    <w:uiPriority w:val="0"/>
    <w:pPr>
      <w:ind w:firstLine="560" w:firstLineChars="200"/>
    </w:pPr>
    <w:rPr>
      <w:rFonts w:ascii="Times New Roman" w:hAnsi="Times New Roman"/>
    </w:rPr>
  </w:style>
  <w:style w:type="paragraph" w:styleId="13">
    <w:name w:val="annotation subject"/>
    <w:basedOn w:val="10"/>
    <w:next w:val="1"/>
    <w:qFormat/>
    <w:uiPriority w:val="0"/>
    <w:rPr>
      <w:b/>
      <w:bCs/>
    </w:rPr>
  </w:style>
  <w:style w:type="paragraph" w:styleId="14">
    <w:name w:val="toc 3"/>
    <w:basedOn w:val="1"/>
    <w:next w:val="1"/>
    <w:qFormat/>
    <w:uiPriority w:val="0"/>
    <w:pPr>
      <w:ind w:left="840" w:leftChars="400"/>
    </w:pPr>
  </w:style>
  <w:style w:type="paragraph" w:styleId="15">
    <w:name w:val="Plain Text"/>
    <w:basedOn w:val="1"/>
    <w:qFormat/>
    <w:uiPriority w:val="0"/>
    <w:rPr>
      <w:rFonts w:hint="eastAsia" w:ascii="宋体" w:hAnsi="Courier New"/>
      <w:szCs w:val="21"/>
    </w:rPr>
  </w:style>
  <w:style w:type="paragraph" w:styleId="16">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17">
    <w:name w:val="envelope return"/>
    <w:basedOn w:val="1"/>
    <w:qFormat/>
    <w:uiPriority w:val="99"/>
    <w:pPr>
      <w:snapToGrid w:val="0"/>
    </w:pPr>
    <w:rPr>
      <w:rFonts w:ascii="Arial" w:hAnsi="Arial" w:cs="Arial"/>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19">
    <w:name w:val="toc 1"/>
    <w:basedOn w:val="1"/>
    <w:next w:val="1"/>
    <w:qFormat/>
    <w:uiPriority w:val="0"/>
    <w:rPr>
      <w:rFonts w:ascii="Times New Roman" w:hAnsi="Times New Roman"/>
    </w:rPr>
  </w:style>
  <w:style w:type="paragraph" w:styleId="20">
    <w:name w:val="toc 2"/>
    <w:basedOn w:val="1"/>
    <w:next w:val="1"/>
    <w:qFormat/>
    <w:uiPriority w:val="0"/>
    <w:pPr>
      <w:ind w:left="420" w:leftChars="200"/>
    </w:pPr>
  </w:style>
  <w:style w:type="paragraph" w:styleId="21">
    <w:name w:val="Body Text 2"/>
    <w:basedOn w:val="1"/>
    <w:next w:val="3"/>
    <w:unhideWhenUsed/>
    <w:qFormat/>
    <w:uiPriority w:val="0"/>
    <w:pPr>
      <w:spacing w:after="120" w:line="480" w:lineRule="auto"/>
    </w:pPr>
    <w:rPr>
      <w:rFonts w:ascii="Times New Roman" w:hAnsi="Times New Roman"/>
    </w:r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3">
    <w:name w:val="Title"/>
    <w:basedOn w:val="1"/>
    <w:next w:val="1"/>
    <w:qFormat/>
    <w:uiPriority w:val="0"/>
    <w:pPr>
      <w:spacing w:before="240" w:after="60"/>
      <w:jc w:val="center"/>
      <w:outlineLvl w:val="0"/>
    </w:pPr>
    <w:rPr>
      <w:rFonts w:ascii="Calibri Light" w:hAnsi="Calibri Light" w:eastAsia="Calibri Light"/>
      <w:b/>
      <w:sz w:val="32"/>
      <w:szCs w:val="32"/>
    </w:rPr>
  </w:style>
  <w:style w:type="paragraph" w:styleId="24">
    <w:name w:val="Body Text First Indent 2"/>
    <w:basedOn w:val="12"/>
    <w:next w:val="1"/>
    <w:qFormat/>
    <w:uiPriority w:val="0"/>
    <w:pPr>
      <w:ind w:firstLine="420"/>
    </w:p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Hyperlink"/>
    <w:qFormat/>
    <w:uiPriority w:val="99"/>
    <w:rPr>
      <w:rFonts w:cs="Times New Roman"/>
      <w:color w:val="0000FF"/>
      <w:u w:val="single"/>
    </w:rPr>
  </w:style>
  <w:style w:type="paragraph" w:customStyle="1" w:styleId="29">
    <w:name w:val="style4"/>
    <w:basedOn w:val="30"/>
    <w:next w:val="31"/>
    <w:qFormat/>
    <w:uiPriority w:val="0"/>
    <w:pPr>
      <w:widowControl/>
      <w:spacing w:beforeAutospacing="1" w:afterAutospacing="1"/>
      <w:jc w:val="left"/>
    </w:pPr>
    <w:rPr>
      <w:rFonts w:ascii="宋体" w:hAnsi="宋体" w:cs="宋体"/>
      <w:kern w:val="0"/>
      <w:sz w:val="18"/>
      <w:szCs w:val="18"/>
    </w:rPr>
  </w:style>
  <w:style w:type="paragraph" w:customStyle="1" w:styleId="30">
    <w:name w:val="正文_0"/>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Style1"/>
    <w:next w:val="33"/>
    <w:qFormat/>
    <w:uiPriority w:val="0"/>
    <w:pPr>
      <w:numPr>
        <w:ilvl w:val="0"/>
        <w:numId w:val="1"/>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33">
    <w:name w:val="*正文"/>
    <w:basedOn w:val="1"/>
    <w:qFormat/>
    <w:uiPriority w:val="0"/>
    <w:pPr>
      <w:ind w:firstLine="200" w:firstLineChars="200"/>
    </w:pPr>
    <w:rPr>
      <w:rFonts w:ascii="宋体" w:hAnsi="宋体"/>
      <w:szCs w:val="22"/>
    </w:rPr>
  </w:style>
  <w:style w:type="paragraph" w:customStyle="1" w:styleId="34">
    <w:name w:val="Body Text First Indent1"/>
    <w:basedOn w:val="3"/>
    <w:qFormat/>
    <w:uiPriority w:val="0"/>
    <w:pPr>
      <w:ind w:firstLine="420" w:firstLineChars="100"/>
    </w:pPr>
  </w:style>
  <w:style w:type="paragraph" w:customStyle="1" w:styleId="35">
    <w:name w:val="列出段落2"/>
    <w:basedOn w:val="1"/>
    <w:qFormat/>
    <w:uiPriority w:val="34"/>
    <w:pPr>
      <w:autoSpaceDE w:val="0"/>
      <w:autoSpaceDN w:val="0"/>
      <w:ind w:left="111" w:firstLine="420"/>
      <w:jc w:val="left"/>
    </w:pPr>
    <w:rPr>
      <w:rFonts w:ascii="宋体" w:hAnsi="宋体" w:cs="宋体"/>
      <w:kern w:val="0"/>
      <w:sz w:val="22"/>
      <w:szCs w:val="22"/>
      <w:lang w:eastAsia="en-US"/>
    </w:rPr>
  </w:style>
  <w:style w:type="paragraph" w:customStyle="1" w:styleId="36">
    <w:name w:val="Default"/>
    <w:basedOn w:val="1"/>
    <w:next w:val="1"/>
    <w:qFormat/>
    <w:uiPriority w:val="0"/>
    <w:pPr>
      <w:autoSpaceDE w:val="0"/>
      <w:autoSpaceDN w:val="0"/>
      <w:adjustRightInd w:val="0"/>
      <w:jc w:val="left"/>
    </w:pPr>
    <w:rPr>
      <w:rFonts w:hint="eastAsia" w:ascii="宋体" w:hAnsi="Calibri"/>
      <w:color w:val="000000"/>
      <w:kern w:val="0"/>
      <w:sz w:val="24"/>
    </w:rPr>
  </w:style>
  <w:style w:type="paragraph" w:customStyle="1" w:styleId="37">
    <w:name w:val="表格文字"/>
    <w:basedOn w:val="1"/>
    <w:next w:val="3"/>
    <w:qFormat/>
    <w:uiPriority w:val="0"/>
    <w:pPr>
      <w:adjustRightInd w:val="0"/>
      <w:spacing w:line="420" w:lineRule="atLeast"/>
      <w:jc w:val="left"/>
      <w:textAlignment w:val="baseline"/>
    </w:pPr>
    <w:rPr>
      <w:kern w:val="0"/>
    </w:rPr>
  </w:style>
  <w:style w:type="paragraph" w:customStyle="1" w:styleId="38">
    <w:name w:val="p0"/>
    <w:basedOn w:val="39"/>
    <w:qFormat/>
    <w:uiPriority w:val="0"/>
    <w:pPr>
      <w:widowControl/>
    </w:pPr>
    <w:rPr>
      <w:kern w:val="0"/>
      <w:szCs w:val="21"/>
    </w:rPr>
  </w:style>
  <w:style w:type="paragraph" w:customStyle="1" w:styleId="39">
    <w:name w:val="正文1"/>
    <w:next w:val="4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文本1"/>
    <w:basedOn w:val="39"/>
    <w:qFormat/>
    <w:uiPriority w:val="99"/>
    <w:rPr>
      <w:rFonts w:eastAsia="楷体_GB2312"/>
      <w:sz w:val="28"/>
    </w:rPr>
  </w:style>
  <w:style w:type="character" w:customStyle="1" w:styleId="41">
    <w:name w:val="NormalCharacter"/>
    <w:qFormat/>
    <w:uiPriority w:val="0"/>
    <w:rPr>
      <w:rFonts w:ascii="Book Antiqua" w:hAnsi="Book Antiqua" w:eastAsia="宋体" w:cs="Times New Roman"/>
      <w:kern w:val="2"/>
      <w:sz w:val="21"/>
      <w:szCs w:val="24"/>
      <w:lang w:val="en-US" w:eastAsia="zh-CN" w:bidi="ar-SA"/>
    </w:rPr>
  </w:style>
  <w:style w:type="paragraph" w:customStyle="1" w:styleId="42">
    <w:name w:val="BodyText1I"/>
    <w:basedOn w:val="43"/>
    <w:next w:val="45"/>
    <w:qFormat/>
    <w:uiPriority w:val="0"/>
    <w:pPr>
      <w:ind w:firstLine="420" w:firstLineChars="100"/>
    </w:pPr>
    <w:rPr>
      <w:rFonts w:ascii="楷体_GB2312"/>
      <w:sz w:val="32"/>
    </w:rPr>
  </w:style>
  <w:style w:type="paragraph" w:customStyle="1" w:styleId="43">
    <w:name w:val="BodyText"/>
    <w:basedOn w:val="1"/>
    <w:next w:val="44"/>
    <w:qFormat/>
    <w:uiPriority w:val="0"/>
    <w:pPr>
      <w:textAlignment w:val="baseline"/>
    </w:pPr>
    <w:rPr>
      <w:rFonts w:ascii="Calibri" w:hAnsi="Calibri" w:eastAsia="楷体_GB2312"/>
      <w:kern w:val="0"/>
      <w:sz w:val="28"/>
    </w:rPr>
  </w:style>
  <w:style w:type="paragraph" w:customStyle="1" w:styleId="44">
    <w:name w:val="BodyText2"/>
    <w:basedOn w:val="1"/>
    <w:next w:val="43"/>
    <w:qFormat/>
    <w:uiPriority w:val="0"/>
    <w:pPr>
      <w:spacing w:after="120" w:line="480" w:lineRule="auto"/>
      <w:textAlignment w:val="baseline"/>
    </w:pPr>
  </w:style>
  <w:style w:type="paragraph" w:customStyle="1" w:styleId="45">
    <w:name w:val="BodyText1I2"/>
    <w:basedOn w:val="46"/>
    <w:qFormat/>
    <w:uiPriority w:val="0"/>
    <w:pPr>
      <w:ind w:firstLine="420" w:firstLineChars="200"/>
    </w:pPr>
  </w:style>
  <w:style w:type="paragraph" w:customStyle="1" w:styleId="46">
    <w:name w:val="BodyTextIndent"/>
    <w:basedOn w:val="1"/>
    <w:qFormat/>
    <w:uiPriority w:val="0"/>
    <w:pPr>
      <w:spacing w:after="120"/>
      <w:ind w:left="420" w:leftChars="200"/>
      <w:textAlignment w:val="baseline"/>
    </w:pPr>
  </w:style>
  <w:style w:type="paragraph" w:customStyle="1" w:styleId="47">
    <w:name w:val="TOAHeading"/>
    <w:basedOn w:val="1"/>
    <w:next w:val="1"/>
    <w:qFormat/>
    <w:uiPriority w:val="0"/>
    <w:pPr>
      <w:spacing w:before="120"/>
      <w:textAlignment w:val="baseline"/>
    </w:pPr>
    <w:rPr>
      <w:rFonts w:ascii="Arial" w:hAnsi="Arial"/>
      <w:sz w:val="24"/>
      <w:szCs w:val="22"/>
    </w:rPr>
  </w:style>
  <w:style w:type="paragraph" w:customStyle="1" w:styleId="48">
    <w:name w:val="Table Paragraph"/>
    <w:basedOn w:val="1"/>
    <w:qFormat/>
    <w:uiPriority w:val="1"/>
    <w:rPr>
      <w:rFonts w:ascii="宋体" w:hAnsi="宋体" w:cs="宋体"/>
      <w:lang w:val="zh-CN" w:bidi="zh-CN"/>
    </w:rPr>
  </w:style>
  <w:style w:type="paragraph" w:styleId="49">
    <w:name w:val="List Paragraph"/>
    <w:basedOn w:val="1"/>
    <w:qFormat/>
    <w:uiPriority w:val="0"/>
    <w:pPr>
      <w:widowControl/>
      <w:ind w:left="720"/>
      <w:jc w:val="left"/>
    </w:pPr>
    <w:rPr>
      <w:rFonts w:hint="eastAsia" w:ascii="Calibri" w:hAnsi="Calibri"/>
      <w:kern w:val="0"/>
      <w:sz w:val="24"/>
      <w:lang w:eastAsia="en-US" w:bidi="en-US"/>
    </w:rPr>
  </w:style>
  <w:style w:type="paragraph" w:customStyle="1" w:styleId="50">
    <w:name w:val="_Style 41"/>
    <w:basedOn w:val="1"/>
    <w:next w:val="49"/>
    <w:qFormat/>
    <w:uiPriority w:val="34"/>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0"/>
    <customShpInfo spid="_x0000_s1028"/>
    <customShpInfo spid="_x0000_s1029"/>
    <customShpInfo spid="_x0000_s1027"/>
    <customShpInfo spid="_x0000_s2050"/>
    <customShpInfo spid="_x0000_s2051"/>
    <customShpInfo spid="_x0000_s2053"/>
    <customShpInfo spid="_x0000_s2052"/>
    <customShpInfo spid="_x0000_s2055"/>
    <customShpInfo spid="_x0000_s2054"/>
    <customShpInfo spid="_x0000_s2056"/>
    <customShpInfo spid="_x0000_s205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85D03-FBD8-40A3-B3B3-ABF82DB811E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24492</Words>
  <Characters>26535</Characters>
  <Lines>217</Lines>
  <Paragraphs>61</Paragraphs>
  <TotalTime>82</TotalTime>
  <ScaleCrop>false</ScaleCrop>
  <LinksUpToDate>false</LinksUpToDate>
  <CharactersWithSpaces>27970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2022-05-27T00:38:00Z</dcterms:created>
  <dc:creator>DELL</dc:creator>
  <cp:lastModifiedBy>Trumen</cp:lastModifiedBy>
  <cp:lastPrinted>2022-05-24T03:41:00Z</cp:lastPrinted>
  <dcterms:modified xsi:type="dcterms:W3CDTF">2022-06-08T08:37:10Z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4232ED472E1C4CA09004CBEC284CE638</vt:lpwstr>
  </property>
</Properties>
</file>