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heme="minorEastAsia" w:hAnsiTheme="minorEastAsia" w:eastAsiaTheme="minorEastAsia" w:cstheme="minorEastAsia"/>
        </w:rPr>
      </w:pPr>
      <w:bookmarkStart w:id="0" w:name="_Toc281574833"/>
    </w:p>
    <w:p>
      <w:pPr>
        <w:pStyle w:val="3"/>
        <w:jc w:val="center"/>
        <w:rPr>
          <w:rFonts w:hint="eastAsia" w:ascii="宋体" w:hAnsi="宋体" w:cs="宋体"/>
          <w:b/>
          <w:bCs/>
          <w:color w:val="000000"/>
          <w:kern w:val="2"/>
          <w:sz w:val="44"/>
          <w:szCs w:val="44"/>
        </w:rPr>
      </w:pPr>
      <w:r>
        <w:rPr>
          <w:rFonts w:hint="eastAsia" w:hAnsi="宋体"/>
          <w:b/>
          <w:spacing w:val="-17"/>
          <w:sz w:val="44"/>
          <w:szCs w:val="44"/>
          <w:highlight w:val="none"/>
          <w:lang w:val="en-US" w:eastAsia="zh-CN"/>
        </w:rPr>
        <w:t>博爱县</w:t>
      </w:r>
      <w:r>
        <w:rPr>
          <w:rFonts w:hint="eastAsia" w:ascii="宋体" w:hAnsi="宋体" w:cs="宋体"/>
          <w:b/>
          <w:bCs/>
          <w:color w:val="000000"/>
          <w:kern w:val="2"/>
          <w:sz w:val="44"/>
          <w:szCs w:val="44"/>
          <w:lang w:bidi="ar-SA"/>
        </w:rPr>
        <w:t>原柏山硫铁矿厂生产厂区</w:t>
      </w:r>
      <w:r>
        <w:rPr>
          <w:rFonts w:hint="eastAsia" w:ascii="宋体" w:hAnsi="宋体" w:cs="宋体"/>
          <w:b/>
          <w:bCs/>
          <w:color w:val="000000"/>
          <w:kern w:val="2"/>
          <w:sz w:val="44"/>
          <w:szCs w:val="44"/>
        </w:rPr>
        <w:t>污染地块</w:t>
      </w:r>
    </w:p>
    <w:p>
      <w:pPr>
        <w:pStyle w:val="3"/>
        <w:jc w:val="center"/>
        <w:rPr>
          <w:rFonts w:hint="eastAsia" w:ascii="宋体" w:hAnsi="宋体" w:cs="宋体"/>
          <w:b/>
          <w:bCs/>
          <w:sz w:val="44"/>
          <w:szCs w:val="44"/>
        </w:rPr>
      </w:pPr>
      <w:r>
        <w:rPr>
          <w:rFonts w:hint="eastAsia" w:ascii="宋体" w:hAnsi="宋体" w:cs="宋体"/>
          <w:b/>
          <w:bCs/>
          <w:color w:val="000000"/>
          <w:kern w:val="2"/>
          <w:sz w:val="44"/>
          <w:szCs w:val="44"/>
        </w:rPr>
        <w:t>详细调查及风险评估采购项目</w:t>
      </w:r>
      <w:r>
        <w:rPr>
          <w:rFonts w:hint="eastAsia" w:hAnsi="宋体"/>
          <w:b/>
          <w:spacing w:val="-17"/>
          <w:sz w:val="44"/>
          <w:szCs w:val="44"/>
          <w:highlight w:val="none"/>
          <w:lang w:val="en-US" w:eastAsia="zh-CN"/>
        </w:rPr>
        <w:t xml:space="preserve"> </w:t>
      </w: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3"/>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w:t>
      </w:r>
      <w:r>
        <w:rPr>
          <w:rFonts w:hint="eastAsia" w:asciiTheme="minorEastAsia" w:hAnsiTheme="minorEastAsia" w:eastAsiaTheme="minorEastAsia" w:cstheme="minorEastAsia"/>
          <w:b/>
          <w:bCs/>
          <w:sz w:val="36"/>
          <w:szCs w:val="36"/>
          <w:lang w:val="en-US" w:eastAsia="zh-CN"/>
        </w:rPr>
        <w:t>2022</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sz w:val="36"/>
          <w:szCs w:val="36"/>
          <w:lang w:val="en-US" w:eastAsia="zh-CN"/>
        </w:rPr>
        <w:t>119</w:t>
      </w:r>
      <w:r>
        <w:rPr>
          <w:rFonts w:hint="eastAsia" w:asciiTheme="minorEastAsia" w:hAnsiTheme="minorEastAsia" w:eastAsiaTheme="minorEastAsia" w:cstheme="minorEastAsia"/>
          <w:b/>
          <w:bCs/>
          <w:sz w:val="36"/>
          <w:szCs w:val="36"/>
        </w:rPr>
        <w:t>号</w:t>
      </w:r>
    </w:p>
    <w:p>
      <w:pPr>
        <w:rPr>
          <w:rFonts w:hint="eastAsia" w:asciiTheme="minorEastAsia" w:hAnsiTheme="minorEastAsia" w:eastAsiaTheme="minorEastAsia" w:cstheme="minorEastAsia"/>
          <w:sz w:val="30"/>
          <w:lang w:eastAsia="zh-CN"/>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4"/>
        <w:rPr>
          <w:rFonts w:asciiTheme="minorEastAsia" w:hAnsiTheme="minorEastAsia" w:eastAsiaTheme="minorEastAsia" w:cstheme="minorEastAsia"/>
        </w:rPr>
      </w:pPr>
    </w:p>
    <w:p>
      <w:pPr>
        <w:pStyle w:val="3"/>
      </w:pPr>
    </w:p>
    <w:p>
      <w:pPr>
        <w:ind w:firstLine="1928" w:firstLineChars="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博爱县科技和工业信息化局</w:t>
      </w:r>
      <w:r>
        <w:rPr>
          <w:rFonts w:hint="eastAsia" w:asciiTheme="minorEastAsia" w:hAnsiTheme="minorEastAsia" w:eastAsiaTheme="minorEastAsia" w:cstheme="minorEastAsia"/>
          <w:b/>
          <w:bCs/>
          <w:sz w:val="32"/>
          <w:szCs w:val="32"/>
        </w:rPr>
        <w:t xml:space="preserve"> </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期：2022年</w:t>
      </w:r>
      <w:r>
        <w:rPr>
          <w:rFonts w:hint="eastAsia" w:asciiTheme="minorEastAsia" w:hAnsiTheme="minorEastAsia" w:eastAsiaTheme="minorEastAsia" w:cstheme="minorEastAsia"/>
          <w:b/>
          <w:bCs/>
          <w:sz w:val="32"/>
          <w:szCs w:val="32"/>
          <w:lang w:val="en-US" w:eastAsia="zh-CN"/>
        </w:rPr>
        <w:t>12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21"/>
        <w:tabs>
          <w:tab w:val="right" w:leader="dot" w:pos="9880"/>
        </w:tabs>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"_Toc2925" </w:instrText>
      </w:r>
      <w:r>
        <w:fldChar w:fldCharType="separate"/>
      </w:r>
      <w:r>
        <w:rPr>
          <w:rFonts w:hint="eastAsia"/>
        </w:rPr>
        <w:t>重要事项提示</w:t>
      </w:r>
      <w:r>
        <w:tab/>
      </w:r>
      <w:r>
        <w:fldChar w:fldCharType="begin"/>
      </w:r>
      <w:r>
        <w:instrText xml:space="preserve"> PAGEREF _Toc2925 \h </w:instrText>
      </w:r>
      <w:r>
        <w:fldChar w:fldCharType="separate"/>
      </w:r>
      <w:r>
        <w:t>- 3 -</w:t>
      </w:r>
      <w:r>
        <w:fldChar w:fldCharType="end"/>
      </w:r>
      <w:r>
        <w:fldChar w:fldCharType="end"/>
      </w:r>
    </w:p>
    <w:p>
      <w:pPr>
        <w:pStyle w:val="21"/>
        <w:tabs>
          <w:tab w:val="right" w:leader="dot" w:pos="9880"/>
        </w:tabs>
      </w:pPr>
      <w:r>
        <w:fldChar w:fldCharType="begin"/>
      </w:r>
      <w:r>
        <w:instrText xml:space="preserve"> HYPERLINK \l "_Toc20833"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_Toc20833 \h </w:instrText>
      </w:r>
      <w:r>
        <w:fldChar w:fldCharType="separate"/>
      </w:r>
      <w:r>
        <w:t>- 5 -</w:t>
      </w:r>
      <w:r>
        <w:fldChar w:fldCharType="end"/>
      </w:r>
      <w:r>
        <w:fldChar w:fldCharType="end"/>
      </w:r>
    </w:p>
    <w:p>
      <w:pPr>
        <w:pStyle w:val="21"/>
        <w:tabs>
          <w:tab w:val="right" w:leader="dot" w:pos="9880"/>
        </w:tabs>
      </w:pPr>
      <w:r>
        <w:fldChar w:fldCharType="begin"/>
      </w:r>
      <w:r>
        <w:instrText xml:space="preserve"> HYPERLINK \l "_Toc24528" </w:instrText>
      </w:r>
      <w:r>
        <w:fldChar w:fldCharType="separate"/>
      </w:r>
      <w:r>
        <w:rPr>
          <w:rFonts w:hint="eastAsia" w:asciiTheme="minorEastAsia" w:hAnsiTheme="minorEastAsia" w:eastAsiaTheme="minorEastAsia" w:cstheme="minorEastAsia"/>
          <w:szCs w:val="32"/>
        </w:rPr>
        <w:t>第二章  投标人须知</w:t>
      </w:r>
      <w:r>
        <w:tab/>
      </w:r>
      <w:r>
        <w:fldChar w:fldCharType="begin"/>
      </w:r>
      <w:r>
        <w:instrText xml:space="preserve"> PAGEREF _Toc24528 \h </w:instrText>
      </w:r>
      <w:r>
        <w:fldChar w:fldCharType="separate"/>
      </w:r>
      <w:r>
        <w:t>- 8 -</w:t>
      </w:r>
      <w:r>
        <w:fldChar w:fldCharType="end"/>
      </w:r>
      <w:r>
        <w:fldChar w:fldCharType="end"/>
      </w:r>
    </w:p>
    <w:p>
      <w:pPr>
        <w:pStyle w:val="21"/>
        <w:tabs>
          <w:tab w:val="right" w:leader="dot" w:pos="9880"/>
        </w:tabs>
      </w:pPr>
      <w:r>
        <w:fldChar w:fldCharType="begin"/>
      </w:r>
      <w:r>
        <w:instrText xml:space="preserve"> HYPERLINK \l "_Toc15953" </w:instrText>
      </w:r>
      <w:r>
        <w:fldChar w:fldCharType="separate"/>
      </w:r>
      <w:r>
        <w:rPr>
          <w:rFonts w:hint="eastAsia" w:asciiTheme="minorEastAsia" w:hAnsiTheme="minorEastAsia" w:eastAsiaTheme="minorEastAsia" w:cstheme="minorEastAsia"/>
          <w:szCs w:val="30"/>
        </w:rPr>
        <w:t>投标人须知前附表</w:t>
      </w:r>
      <w:r>
        <w:tab/>
      </w:r>
      <w:r>
        <w:fldChar w:fldCharType="begin"/>
      </w:r>
      <w:r>
        <w:instrText xml:space="preserve"> PAGEREF _Toc15953 \h </w:instrText>
      </w:r>
      <w:r>
        <w:fldChar w:fldCharType="separate"/>
      </w:r>
      <w:r>
        <w:t>- 8 -</w:t>
      </w:r>
      <w:r>
        <w:fldChar w:fldCharType="end"/>
      </w:r>
      <w:r>
        <w:fldChar w:fldCharType="end"/>
      </w:r>
    </w:p>
    <w:p>
      <w:pPr>
        <w:pStyle w:val="21"/>
        <w:tabs>
          <w:tab w:val="right" w:leader="dot" w:pos="9880"/>
        </w:tabs>
      </w:pPr>
      <w:r>
        <w:fldChar w:fldCharType="begin"/>
      </w:r>
      <w:r>
        <w:instrText xml:space="preserve"> HYPERLINK \l "_Toc17744" </w:instrText>
      </w:r>
      <w:r>
        <w:fldChar w:fldCharType="separate"/>
      </w:r>
      <w:r>
        <w:rPr>
          <w:rFonts w:hint="eastAsia" w:asciiTheme="minorEastAsia" w:hAnsiTheme="minorEastAsia" w:eastAsiaTheme="minorEastAsia" w:cstheme="minorEastAsia"/>
        </w:rPr>
        <w:t>1. 总则</w:t>
      </w:r>
      <w:r>
        <w:tab/>
      </w:r>
      <w:r>
        <w:fldChar w:fldCharType="begin"/>
      </w:r>
      <w:r>
        <w:instrText xml:space="preserve"> PAGEREF _Toc17744 \h </w:instrText>
      </w:r>
      <w:r>
        <w:fldChar w:fldCharType="separate"/>
      </w:r>
      <w:r>
        <w:t>- 12 -</w:t>
      </w:r>
      <w:r>
        <w:fldChar w:fldCharType="end"/>
      </w:r>
      <w:r>
        <w:fldChar w:fldCharType="end"/>
      </w:r>
    </w:p>
    <w:p>
      <w:pPr>
        <w:pStyle w:val="21"/>
        <w:tabs>
          <w:tab w:val="right" w:leader="dot" w:pos="9880"/>
        </w:tabs>
      </w:pPr>
      <w:r>
        <w:fldChar w:fldCharType="begin"/>
      </w:r>
      <w:r>
        <w:instrText xml:space="preserve"> HYPERLINK \l "_Toc5496" </w:instrText>
      </w:r>
      <w:r>
        <w:fldChar w:fldCharType="separate"/>
      </w:r>
      <w:r>
        <w:rPr>
          <w:rFonts w:hint="eastAsia" w:asciiTheme="minorEastAsia" w:hAnsiTheme="minorEastAsia" w:eastAsiaTheme="minorEastAsia" w:cstheme="minorEastAsia"/>
        </w:rPr>
        <w:t>2. 招标文件</w:t>
      </w:r>
      <w:r>
        <w:tab/>
      </w:r>
      <w:r>
        <w:fldChar w:fldCharType="begin"/>
      </w:r>
      <w:r>
        <w:instrText xml:space="preserve"> PAGEREF _Toc5496 \h </w:instrText>
      </w:r>
      <w:r>
        <w:fldChar w:fldCharType="separate"/>
      </w:r>
      <w:r>
        <w:t>- 13 -</w:t>
      </w:r>
      <w:r>
        <w:fldChar w:fldCharType="end"/>
      </w:r>
      <w:r>
        <w:fldChar w:fldCharType="end"/>
      </w:r>
    </w:p>
    <w:p>
      <w:pPr>
        <w:pStyle w:val="21"/>
        <w:tabs>
          <w:tab w:val="right" w:leader="dot" w:pos="9880"/>
        </w:tabs>
      </w:pPr>
      <w:r>
        <w:fldChar w:fldCharType="begin"/>
      </w:r>
      <w:r>
        <w:instrText xml:space="preserve"> HYPERLINK \l "_Toc17990" </w:instrText>
      </w:r>
      <w:r>
        <w:fldChar w:fldCharType="separate"/>
      </w:r>
      <w:r>
        <w:rPr>
          <w:rFonts w:hint="eastAsia" w:asciiTheme="minorEastAsia" w:hAnsiTheme="minorEastAsia" w:eastAsiaTheme="minorEastAsia" w:cstheme="minorEastAsia"/>
        </w:rPr>
        <w:t>3. 投标文件</w:t>
      </w:r>
      <w:r>
        <w:tab/>
      </w:r>
      <w:r>
        <w:fldChar w:fldCharType="begin"/>
      </w:r>
      <w:r>
        <w:instrText xml:space="preserve"> PAGEREF _Toc17990 \h </w:instrText>
      </w:r>
      <w:r>
        <w:fldChar w:fldCharType="separate"/>
      </w:r>
      <w:r>
        <w:t>- 14 -</w:t>
      </w:r>
      <w:r>
        <w:fldChar w:fldCharType="end"/>
      </w:r>
      <w:r>
        <w:fldChar w:fldCharType="end"/>
      </w:r>
    </w:p>
    <w:p>
      <w:pPr>
        <w:pStyle w:val="21"/>
        <w:tabs>
          <w:tab w:val="right" w:leader="dot" w:pos="9880"/>
        </w:tabs>
      </w:pPr>
      <w:r>
        <w:fldChar w:fldCharType="begin"/>
      </w:r>
      <w:r>
        <w:instrText xml:space="preserve"> HYPERLINK \l "_Toc15900" </w:instrText>
      </w:r>
      <w:r>
        <w:fldChar w:fldCharType="separate"/>
      </w:r>
      <w:r>
        <w:rPr>
          <w:rFonts w:hint="eastAsia" w:asciiTheme="minorEastAsia" w:hAnsiTheme="minorEastAsia" w:eastAsiaTheme="minorEastAsia" w:cstheme="minorEastAsia"/>
        </w:rPr>
        <w:t>4. 投标</w:t>
      </w:r>
      <w:r>
        <w:tab/>
      </w:r>
      <w:r>
        <w:fldChar w:fldCharType="begin"/>
      </w:r>
      <w:r>
        <w:instrText xml:space="preserve"> PAGEREF _Toc15900 \h </w:instrText>
      </w:r>
      <w:r>
        <w:fldChar w:fldCharType="separate"/>
      </w:r>
      <w:r>
        <w:t>- 16 -</w:t>
      </w:r>
      <w:r>
        <w:fldChar w:fldCharType="end"/>
      </w:r>
      <w:r>
        <w:fldChar w:fldCharType="end"/>
      </w:r>
    </w:p>
    <w:p>
      <w:pPr>
        <w:pStyle w:val="21"/>
        <w:tabs>
          <w:tab w:val="right" w:leader="dot" w:pos="9880"/>
        </w:tabs>
      </w:pPr>
      <w:r>
        <w:fldChar w:fldCharType="begin"/>
      </w:r>
      <w:r>
        <w:instrText xml:space="preserve"> HYPERLINK \l "_Toc19012" </w:instrText>
      </w:r>
      <w:r>
        <w:fldChar w:fldCharType="separate"/>
      </w:r>
      <w:r>
        <w:rPr>
          <w:rFonts w:hint="eastAsia" w:asciiTheme="minorEastAsia" w:hAnsiTheme="minorEastAsia" w:eastAsiaTheme="minorEastAsia" w:cstheme="minorEastAsia"/>
        </w:rPr>
        <w:t>5. 开标</w:t>
      </w:r>
      <w:r>
        <w:tab/>
      </w:r>
      <w:r>
        <w:fldChar w:fldCharType="begin"/>
      </w:r>
      <w:r>
        <w:instrText xml:space="preserve"> PAGEREF _Toc19012 \h </w:instrText>
      </w:r>
      <w:r>
        <w:fldChar w:fldCharType="separate"/>
      </w:r>
      <w:r>
        <w:t>- 16 -</w:t>
      </w:r>
      <w:r>
        <w:fldChar w:fldCharType="end"/>
      </w:r>
      <w:r>
        <w:fldChar w:fldCharType="end"/>
      </w:r>
    </w:p>
    <w:p>
      <w:pPr>
        <w:pStyle w:val="21"/>
        <w:tabs>
          <w:tab w:val="right" w:leader="dot" w:pos="9880"/>
        </w:tabs>
      </w:pPr>
      <w:r>
        <w:fldChar w:fldCharType="begin"/>
      </w:r>
      <w:r>
        <w:instrText xml:space="preserve"> HYPERLINK \l "_Toc21373" </w:instrText>
      </w:r>
      <w:r>
        <w:fldChar w:fldCharType="separate"/>
      </w:r>
      <w:r>
        <w:rPr>
          <w:rFonts w:hint="eastAsia" w:asciiTheme="minorEastAsia" w:hAnsiTheme="minorEastAsia" w:eastAsiaTheme="minorEastAsia" w:cstheme="minorEastAsia"/>
        </w:rPr>
        <w:t>6. 评标</w:t>
      </w:r>
      <w:r>
        <w:tab/>
      </w:r>
      <w:r>
        <w:fldChar w:fldCharType="begin"/>
      </w:r>
      <w:r>
        <w:instrText xml:space="preserve"> PAGEREF _Toc21373 \h </w:instrText>
      </w:r>
      <w:r>
        <w:fldChar w:fldCharType="separate"/>
      </w:r>
      <w:r>
        <w:t>- 17 -</w:t>
      </w:r>
      <w:r>
        <w:fldChar w:fldCharType="end"/>
      </w:r>
      <w:r>
        <w:fldChar w:fldCharType="end"/>
      </w:r>
    </w:p>
    <w:p>
      <w:pPr>
        <w:pStyle w:val="21"/>
        <w:tabs>
          <w:tab w:val="right" w:leader="dot" w:pos="9880"/>
        </w:tabs>
      </w:pPr>
      <w:r>
        <w:fldChar w:fldCharType="begin"/>
      </w:r>
      <w:r>
        <w:instrText xml:space="preserve"> HYPERLINK \l "_Toc21680" </w:instrText>
      </w:r>
      <w:r>
        <w:fldChar w:fldCharType="separate"/>
      </w:r>
      <w:r>
        <w:rPr>
          <w:rFonts w:hint="eastAsia" w:asciiTheme="minorEastAsia" w:hAnsiTheme="minorEastAsia" w:eastAsiaTheme="minorEastAsia" w:cstheme="minorEastAsia"/>
        </w:rPr>
        <w:t>7. 合同授予</w:t>
      </w:r>
      <w:r>
        <w:tab/>
      </w:r>
      <w:r>
        <w:fldChar w:fldCharType="begin"/>
      </w:r>
      <w:r>
        <w:instrText xml:space="preserve"> PAGEREF _Toc21680 \h </w:instrText>
      </w:r>
      <w:r>
        <w:fldChar w:fldCharType="separate"/>
      </w:r>
      <w:r>
        <w:t>- 18 -</w:t>
      </w:r>
      <w:r>
        <w:fldChar w:fldCharType="end"/>
      </w:r>
      <w:r>
        <w:fldChar w:fldCharType="end"/>
      </w:r>
    </w:p>
    <w:p>
      <w:pPr>
        <w:pStyle w:val="21"/>
        <w:tabs>
          <w:tab w:val="right" w:leader="dot" w:pos="9880"/>
        </w:tabs>
      </w:pPr>
      <w:r>
        <w:fldChar w:fldCharType="begin"/>
      </w:r>
      <w:r>
        <w:instrText xml:space="preserve"> HYPERLINK \l "_Toc18607" </w:instrText>
      </w:r>
      <w:r>
        <w:fldChar w:fldCharType="separate"/>
      </w:r>
      <w:r>
        <w:rPr>
          <w:rFonts w:hint="eastAsia" w:asciiTheme="minorEastAsia" w:hAnsiTheme="minorEastAsia" w:eastAsiaTheme="minorEastAsia" w:cstheme="minorEastAsia"/>
        </w:rPr>
        <w:t>8. 重新招标</w:t>
      </w:r>
      <w:r>
        <w:tab/>
      </w:r>
      <w:r>
        <w:fldChar w:fldCharType="begin"/>
      </w:r>
      <w:r>
        <w:instrText xml:space="preserve"> PAGEREF _Toc18607 \h </w:instrText>
      </w:r>
      <w:r>
        <w:fldChar w:fldCharType="separate"/>
      </w:r>
      <w:r>
        <w:t>- 19 -</w:t>
      </w:r>
      <w:r>
        <w:fldChar w:fldCharType="end"/>
      </w:r>
      <w:r>
        <w:fldChar w:fldCharType="end"/>
      </w:r>
    </w:p>
    <w:p>
      <w:pPr>
        <w:pStyle w:val="21"/>
        <w:tabs>
          <w:tab w:val="right" w:leader="dot" w:pos="9880"/>
        </w:tabs>
      </w:pPr>
      <w:r>
        <w:fldChar w:fldCharType="begin"/>
      </w:r>
      <w:r>
        <w:instrText xml:space="preserve"> HYPERLINK \l "_Toc23389" </w:instrText>
      </w:r>
      <w:r>
        <w:fldChar w:fldCharType="separate"/>
      </w:r>
      <w:r>
        <w:rPr>
          <w:rFonts w:hint="eastAsia" w:asciiTheme="minorEastAsia" w:hAnsiTheme="minorEastAsia" w:eastAsiaTheme="minorEastAsia" w:cstheme="minorEastAsia"/>
        </w:rPr>
        <w:t>9. 纪律和监督</w:t>
      </w:r>
      <w:r>
        <w:tab/>
      </w:r>
      <w:r>
        <w:fldChar w:fldCharType="begin"/>
      </w:r>
      <w:r>
        <w:instrText xml:space="preserve"> PAGEREF _Toc23389 \h </w:instrText>
      </w:r>
      <w:r>
        <w:fldChar w:fldCharType="separate"/>
      </w:r>
      <w:r>
        <w:t>- 19 -</w:t>
      </w:r>
      <w:r>
        <w:fldChar w:fldCharType="end"/>
      </w:r>
      <w:r>
        <w:fldChar w:fldCharType="end"/>
      </w:r>
    </w:p>
    <w:p>
      <w:pPr>
        <w:pStyle w:val="21"/>
        <w:tabs>
          <w:tab w:val="right" w:leader="dot" w:pos="9880"/>
        </w:tabs>
      </w:pPr>
      <w:r>
        <w:fldChar w:fldCharType="begin"/>
      </w:r>
      <w:r>
        <w:instrText xml:space="preserve"> HYPERLINK \l "_Toc5888" </w:instrText>
      </w:r>
      <w:r>
        <w:fldChar w:fldCharType="separate"/>
      </w:r>
      <w:r>
        <w:rPr>
          <w:rFonts w:hint="eastAsia" w:asciiTheme="minorEastAsia" w:hAnsiTheme="minorEastAsia" w:eastAsiaTheme="minorEastAsia" w:cstheme="minorEastAsia"/>
        </w:rPr>
        <w:t>10. 需要补充的其他内容</w:t>
      </w:r>
      <w:r>
        <w:tab/>
      </w:r>
      <w:r>
        <w:fldChar w:fldCharType="begin"/>
      </w:r>
      <w:r>
        <w:instrText xml:space="preserve"> PAGEREF _Toc5888 \h </w:instrText>
      </w:r>
      <w:r>
        <w:fldChar w:fldCharType="separate"/>
      </w:r>
      <w:r>
        <w:t>- 20 -</w:t>
      </w:r>
      <w:r>
        <w:fldChar w:fldCharType="end"/>
      </w:r>
      <w:r>
        <w:fldChar w:fldCharType="end"/>
      </w:r>
    </w:p>
    <w:p>
      <w:pPr>
        <w:pStyle w:val="21"/>
        <w:tabs>
          <w:tab w:val="right" w:leader="dot" w:pos="9880"/>
        </w:tabs>
      </w:pPr>
      <w:r>
        <w:fldChar w:fldCharType="begin"/>
      </w:r>
      <w:r>
        <w:instrText xml:space="preserve"> HYPERLINK \l "_Toc2565"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_Toc2565 \h </w:instrText>
      </w:r>
      <w:r>
        <w:fldChar w:fldCharType="separate"/>
      </w:r>
      <w:r>
        <w:t>- 21 -</w:t>
      </w:r>
      <w:r>
        <w:fldChar w:fldCharType="end"/>
      </w:r>
      <w:r>
        <w:fldChar w:fldCharType="end"/>
      </w:r>
    </w:p>
    <w:p>
      <w:pPr>
        <w:pStyle w:val="21"/>
        <w:tabs>
          <w:tab w:val="right" w:leader="dot" w:pos="9880"/>
        </w:tabs>
      </w:pPr>
      <w:r>
        <w:fldChar w:fldCharType="begin"/>
      </w:r>
      <w:r>
        <w:instrText xml:space="preserve"> HYPERLINK \l "_Toc9424"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合同条款及格式</w:t>
      </w:r>
      <w:r>
        <w:tab/>
      </w:r>
      <w:r>
        <w:fldChar w:fldCharType="begin"/>
      </w:r>
      <w:r>
        <w:instrText xml:space="preserve"> PAGEREF _Toc9424 \h </w:instrText>
      </w:r>
      <w:r>
        <w:fldChar w:fldCharType="separate"/>
      </w:r>
      <w:r>
        <w:t>- 27 -</w:t>
      </w:r>
      <w:r>
        <w:fldChar w:fldCharType="end"/>
      </w:r>
      <w:r>
        <w:fldChar w:fldCharType="end"/>
      </w:r>
    </w:p>
    <w:p>
      <w:pPr>
        <w:pStyle w:val="21"/>
        <w:tabs>
          <w:tab w:val="right" w:leader="dot" w:pos="9880"/>
        </w:tabs>
      </w:pPr>
      <w:r>
        <w:fldChar w:fldCharType="begin"/>
      </w:r>
      <w:r>
        <w:instrText xml:space="preserve"> HYPERLINK \l "_Toc18602" </w:instrText>
      </w:r>
      <w:r>
        <w:fldChar w:fldCharType="separate"/>
      </w:r>
      <w:r>
        <w:rPr>
          <w:rFonts w:hint="eastAsia"/>
          <w:bCs/>
          <w:szCs w:val="32"/>
        </w:rPr>
        <w:t>第五章服务内容及需求</w:t>
      </w:r>
      <w:r>
        <w:tab/>
      </w:r>
      <w:r>
        <w:fldChar w:fldCharType="begin"/>
      </w:r>
      <w:r>
        <w:instrText xml:space="preserve"> PAGEREF _Toc18602 \h </w:instrText>
      </w:r>
      <w:r>
        <w:fldChar w:fldCharType="separate"/>
      </w:r>
      <w:r>
        <w:t>- 28 -</w:t>
      </w:r>
      <w:r>
        <w:fldChar w:fldCharType="end"/>
      </w:r>
      <w:r>
        <w:fldChar w:fldCharType="end"/>
      </w:r>
    </w:p>
    <w:p>
      <w:pPr>
        <w:pStyle w:val="21"/>
        <w:tabs>
          <w:tab w:val="right" w:leader="dot" w:pos="9880"/>
        </w:tabs>
      </w:pPr>
      <w:r>
        <w:fldChar w:fldCharType="begin"/>
      </w:r>
      <w:r>
        <w:instrText xml:space="preserve"> HYPERLINK \l "_Toc18577" </w:instrText>
      </w:r>
      <w:r>
        <w:fldChar w:fldCharType="separate"/>
      </w:r>
      <w:r>
        <w:rPr>
          <w:rFonts w:hint="eastAsia"/>
          <w:szCs w:val="32"/>
        </w:rPr>
        <w:t>第六章 质疑与投诉</w:t>
      </w:r>
      <w:r>
        <w:tab/>
      </w:r>
      <w:r>
        <w:fldChar w:fldCharType="begin"/>
      </w:r>
      <w:r>
        <w:instrText xml:space="preserve"> PAGEREF _Toc18577 \h </w:instrText>
      </w:r>
      <w:r>
        <w:fldChar w:fldCharType="separate"/>
      </w:r>
      <w:r>
        <w:t>- 28 -</w:t>
      </w:r>
      <w:r>
        <w:fldChar w:fldCharType="end"/>
      </w:r>
      <w:r>
        <w:fldChar w:fldCharType="end"/>
      </w:r>
    </w:p>
    <w:p>
      <w:pPr>
        <w:pStyle w:val="21"/>
        <w:tabs>
          <w:tab w:val="right" w:leader="dot" w:pos="9880"/>
        </w:tabs>
      </w:pPr>
      <w:r>
        <w:rPr>
          <w:rFonts w:hint="eastAsia" w:asciiTheme="minorEastAsia" w:hAnsiTheme="minorEastAsia" w:eastAsiaTheme="minorEastAsia" w:cstheme="minorEastAsia"/>
          <w:bCs/>
          <w:caps/>
          <w:szCs w:val="21"/>
          <w:lang w:val="zh-CN"/>
        </w:rPr>
        <w:t>第七章</w:t>
      </w:r>
      <w:r>
        <w:rPr>
          <w:rFonts w:hint="eastAsia" w:asciiTheme="minorEastAsia" w:hAnsiTheme="minorEastAsia" w:eastAsiaTheme="minorEastAsia" w:cstheme="minorEastAsia"/>
          <w:bCs/>
          <w:caps/>
          <w:szCs w:val="21"/>
        </w:rPr>
        <w:t xml:space="preserve"> </w:t>
      </w:r>
      <w:r>
        <w:fldChar w:fldCharType="begin"/>
      </w:r>
      <w:r>
        <w:instrText xml:space="preserve"> HYPERLINK \l "_Toc3437" </w:instrText>
      </w:r>
      <w:r>
        <w:fldChar w:fldCharType="separate"/>
      </w:r>
      <w:r>
        <w:rPr>
          <w:rFonts w:hint="eastAsia" w:asciiTheme="minorEastAsia" w:hAnsiTheme="minorEastAsia" w:eastAsiaTheme="minorEastAsia" w:cstheme="minorEastAsia"/>
          <w:bCs/>
          <w:caps/>
          <w:szCs w:val="21"/>
          <w:lang w:val="zh-CN"/>
        </w:rPr>
        <w:t>履约验收</w:t>
      </w:r>
      <w:r>
        <w:tab/>
      </w:r>
      <w:r>
        <w:fldChar w:fldCharType="begin"/>
      </w:r>
      <w:r>
        <w:instrText xml:space="preserve"> PAGEREF _Toc3437 \h </w:instrText>
      </w:r>
      <w:r>
        <w:fldChar w:fldCharType="separate"/>
      </w:r>
      <w:r>
        <w:t>- 45 -</w:t>
      </w:r>
      <w:r>
        <w:fldChar w:fldCharType="end"/>
      </w:r>
      <w:r>
        <w:fldChar w:fldCharType="end"/>
      </w:r>
    </w:p>
    <w:p>
      <w:pPr>
        <w:pStyle w:val="21"/>
        <w:tabs>
          <w:tab w:val="right" w:leader="dot" w:pos="9880"/>
        </w:tabs>
      </w:pPr>
      <w:r>
        <w:fldChar w:fldCharType="begin"/>
      </w:r>
      <w:r>
        <w:instrText xml:space="preserve"> HYPERLINK \l "_Toc7253" </w:instrText>
      </w:r>
      <w:r>
        <w:fldChar w:fldCharType="separate"/>
      </w:r>
      <w:r>
        <w:rPr>
          <w:rFonts w:hint="eastAsia" w:asciiTheme="minorEastAsia" w:hAnsiTheme="minorEastAsia" w:eastAsiaTheme="minorEastAsia" w:cstheme="minorEastAsia"/>
          <w:szCs w:val="36"/>
        </w:rPr>
        <w:t>第八章  投标文件格式</w:t>
      </w:r>
      <w:r>
        <w:tab/>
      </w:r>
      <w:r>
        <w:fldChar w:fldCharType="begin"/>
      </w:r>
      <w:r>
        <w:instrText xml:space="preserve"> PAGEREF _Toc7253 \h </w:instrText>
      </w:r>
      <w:r>
        <w:fldChar w:fldCharType="separate"/>
      </w:r>
      <w:r>
        <w:t>- 47 -</w:t>
      </w:r>
      <w:r>
        <w:fldChar w:fldCharType="end"/>
      </w:r>
      <w:r>
        <w:fldChar w:fldCharType="end"/>
      </w:r>
    </w:p>
    <w:p>
      <w:pPr>
        <w:pStyle w:val="22"/>
        <w:tabs>
          <w:tab w:val="right" w:leader="dot" w:pos="9880"/>
        </w:tabs>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pPr>
        <w:pStyle w:val="24"/>
        <w:spacing w:line="360" w:lineRule="auto"/>
        <w:ind w:right="-63" w:rightChars="-30"/>
        <w:rPr>
          <w:rFonts w:asciiTheme="minorEastAsia" w:hAnsiTheme="minorEastAsia" w:eastAsiaTheme="minorEastAsia" w:cstheme="minorEastAsia"/>
          <w:bCs/>
        </w:rPr>
      </w:pPr>
    </w:p>
    <w:p>
      <w:pPr>
        <w:pStyle w:val="24"/>
        <w:spacing w:line="360" w:lineRule="auto"/>
        <w:ind w:right="-63" w:rightChars="-30"/>
        <w:rPr>
          <w:rFonts w:asciiTheme="minorEastAsia" w:hAnsiTheme="minorEastAsia" w:eastAsiaTheme="minorEastAsia" w:cstheme="minorEastAsia"/>
          <w:bCs/>
        </w:rPr>
      </w:pPr>
    </w:p>
    <w:p>
      <w:pPr>
        <w:pStyle w:val="24"/>
        <w:spacing w:line="360" w:lineRule="auto"/>
        <w:ind w:right="-63" w:rightChars="-30"/>
        <w:rPr>
          <w:rFonts w:asciiTheme="minorEastAsia" w:hAnsiTheme="minorEastAsia" w:eastAsiaTheme="minorEastAsia" w:cstheme="minorEastAsia"/>
          <w:bCs/>
        </w:rPr>
      </w:pPr>
    </w:p>
    <w:p>
      <w:pPr>
        <w:pStyle w:val="24"/>
        <w:spacing w:line="360" w:lineRule="auto"/>
        <w:ind w:right="-63" w:rightChars="-30"/>
        <w:rPr>
          <w:rFonts w:asciiTheme="minorEastAsia" w:hAnsiTheme="minorEastAsia" w:eastAsiaTheme="minorEastAsia" w:cstheme="minorEastAsia"/>
          <w:bCs/>
        </w:rPr>
      </w:pPr>
    </w:p>
    <w:p>
      <w:pPr>
        <w:pStyle w:val="9"/>
        <w:rPr>
          <w:rFonts w:ascii="宋体" w:hAnsi="宋体" w:cs="宋体"/>
        </w:rPr>
      </w:pPr>
      <w:bookmarkStart w:id="1" w:name="_Toc2925"/>
      <w:r>
        <w:rPr>
          <w:rFonts w:hint="eastAsia"/>
        </w:rPr>
        <w:t>重要事项提示</w:t>
      </w:r>
      <w:bookmarkEnd w:id="1"/>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3"/>
        <w:spacing w:before="0" w:beforeAutospacing="0" w:after="0" w:afterAutospacing="0" w:line="360" w:lineRule="auto"/>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3"/>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），按要求解密投标文件。因文件未及时上传导致投标失败的责任由投标人自行承担，具体要求详见招标文件。 平台统一技术服务电话：400-998-0000，服务 QQ：4008503300，服务时间：周一至周日 8：00-17：30。</w:t>
      </w:r>
    </w:p>
    <w:p>
      <w:pPr>
        <w:pStyle w:val="23"/>
        <w:spacing w:before="0" w:beforeAutospacing="0" w:after="0" w:afterAutospacing="0" w:line="360" w:lineRule="auto"/>
        <w:ind w:firstLine="480" w:firstLineChars="200"/>
        <w:jc w:val="both"/>
      </w:pPr>
      <w:r>
        <w:rPr>
          <w:rFonts w:hint="eastAsia"/>
        </w:rPr>
        <w:t>投标人无需到现场参加开标会议，无需到达现场提交原件资料。投标人应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3"/>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widowControl/>
        <w:spacing w:line="360" w:lineRule="auto"/>
        <w:ind w:firstLine="480" w:firstLineChars="200"/>
        <w:rPr>
          <w:rFonts w:ascii="宋体" w:hAnsi="宋体"/>
          <w:kern w:val="0"/>
          <w:sz w:val="24"/>
        </w:rPr>
      </w:pPr>
      <w:r>
        <w:rPr>
          <w:rFonts w:hint="eastAsia" w:ascii="宋体" w:hAnsi="宋体"/>
          <w:kern w:val="0"/>
          <w:sz w:val="24"/>
        </w:rPr>
        <w:t>3.1. 未按招标文件明示的规定签字或盖章的；</w:t>
      </w:r>
    </w:p>
    <w:p>
      <w:pPr>
        <w:widowControl/>
        <w:spacing w:line="360" w:lineRule="auto"/>
        <w:ind w:firstLine="480" w:firstLineChars="200"/>
        <w:rPr>
          <w:rFonts w:ascii="宋体" w:hAnsi="宋体"/>
          <w:kern w:val="0"/>
          <w:sz w:val="24"/>
        </w:rPr>
      </w:pPr>
      <w:r>
        <w:rPr>
          <w:rFonts w:hint="eastAsia" w:ascii="宋体" w:hAnsi="宋体"/>
          <w:kern w:val="0"/>
          <w:sz w:val="24"/>
        </w:rPr>
        <w:t>3.2. 投</w:t>
      </w:r>
      <w:r>
        <w:rPr>
          <w:rFonts w:hint="eastAsia" w:ascii="宋体" w:hAnsi="宋体"/>
          <w:color w:val="auto"/>
          <w:kern w:val="0"/>
          <w:sz w:val="24"/>
        </w:rPr>
        <w:t>标</w:t>
      </w:r>
      <w:r>
        <w:rPr>
          <w:rFonts w:hint="eastAsia" w:ascii="宋体" w:hAnsi="宋体"/>
          <w:color w:val="auto"/>
          <w:kern w:val="0"/>
          <w:sz w:val="24"/>
          <w:highlight w:val="none"/>
        </w:rPr>
        <w:t>文件的关键内容（投标报价、服务</w:t>
      </w:r>
      <w:r>
        <w:rPr>
          <w:rFonts w:hint="eastAsia" w:ascii="宋体" w:hAnsi="宋体" w:cs="宋体"/>
          <w:color w:val="auto"/>
          <w:kern w:val="0"/>
          <w:sz w:val="24"/>
          <w:highlight w:val="none"/>
        </w:rPr>
        <w:t>期</w:t>
      </w:r>
      <w:r>
        <w:rPr>
          <w:rFonts w:hint="eastAsia" w:ascii="宋体" w:hAnsi="宋体"/>
          <w:color w:val="auto"/>
          <w:kern w:val="0"/>
          <w:sz w:val="24"/>
          <w:highlight w:val="none"/>
        </w:rPr>
        <w:t>、质量</w:t>
      </w:r>
      <w:r>
        <w:rPr>
          <w:rFonts w:hint="eastAsia" w:ascii="宋体" w:hAnsi="宋体"/>
          <w:color w:val="auto"/>
          <w:kern w:val="0"/>
          <w:sz w:val="24"/>
          <w:highlight w:val="none"/>
          <w:lang w:val="en-US" w:eastAsia="zh-CN"/>
        </w:rPr>
        <w:t>标准</w:t>
      </w:r>
      <w:r>
        <w:rPr>
          <w:rFonts w:hint="eastAsia" w:ascii="宋体" w:hAnsi="宋体"/>
          <w:color w:val="auto"/>
          <w:kern w:val="0"/>
          <w:sz w:val="24"/>
          <w:highlight w:val="none"/>
        </w:rPr>
        <w:t>等）未填写或</w:t>
      </w:r>
      <w:r>
        <w:rPr>
          <w:rFonts w:hint="eastAsia" w:ascii="宋体" w:hAnsi="宋体"/>
          <w:color w:val="auto"/>
          <w:kern w:val="0"/>
          <w:sz w:val="24"/>
        </w:rPr>
        <w:t>填写字迹</w:t>
      </w:r>
      <w:r>
        <w:rPr>
          <w:rFonts w:hint="eastAsia" w:ascii="宋体" w:hAnsi="宋体"/>
          <w:kern w:val="0"/>
          <w:sz w:val="24"/>
        </w:rPr>
        <w:t>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3.4. 投标文件中对同一项目有两个或多个报价，且未声明哪一个有效的；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pPr>
        <w:widowControl/>
        <w:spacing w:line="360" w:lineRule="auto"/>
        <w:ind w:firstLine="480" w:firstLineChars="200"/>
        <w:rPr>
          <w:rFonts w:ascii="宋体" w:hAnsi="宋体"/>
          <w:kern w:val="0"/>
          <w:sz w:val="24"/>
        </w:rPr>
      </w:pPr>
      <w:r>
        <w:rPr>
          <w:rFonts w:hint="eastAsia" w:ascii="宋体" w:hAnsi="宋体"/>
          <w:kern w:val="0"/>
          <w:sz w:val="24"/>
        </w:rPr>
        <w:t>3.6. 投标文件中附有采购人不能接受的条件的；</w:t>
      </w:r>
    </w:p>
    <w:p>
      <w:pPr>
        <w:widowControl/>
        <w:spacing w:line="360" w:lineRule="auto"/>
        <w:ind w:firstLine="480" w:firstLineChars="200"/>
        <w:rPr>
          <w:rFonts w:hint="eastAsia" w:ascii="宋体" w:hAnsi="宋体"/>
          <w:kern w:val="0"/>
          <w:sz w:val="24"/>
          <w:highlight w:val="none"/>
          <w:lang w:eastAsia="zh-CN"/>
        </w:rPr>
      </w:pPr>
      <w:r>
        <w:rPr>
          <w:rFonts w:hint="eastAsia" w:ascii="宋体" w:hAnsi="宋体"/>
          <w:kern w:val="0"/>
          <w:sz w:val="24"/>
        </w:rPr>
        <w:t>3.</w:t>
      </w:r>
      <w:r>
        <w:rPr>
          <w:rFonts w:hint="eastAsia" w:ascii="宋体" w:hAnsi="宋体"/>
          <w:kern w:val="0"/>
          <w:sz w:val="24"/>
          <w:lang w:val="en-US" w:eastAsia="zh-CN"/>
        </w:rPr>
        <w:t>7</w:t>
      </w:r>
      <w:r>
        <w:rPr>
          <w:rFonts w:hint="eastAsia" w:ascii="宋体" w:hAnsi="宋体"/>
          <w:kern w:val="0"/>
          <w:sz w:val="24"/>
        </w:rPr>
        <w:t>. 评标过程中，如因两个或两个以上投标人在同一台计算或同一个IP上传投标文件，而被不见面开标</w:t>
      </w:r>
      <w:r>
        <w:rPr>
          <w:rFonts w:hint="eastAsia" w:ascii="宋体" w:hAnsi="宋体"/>
          <w:kern w:val="0"/>
          <w:sz w:val="24"/>
          <w:highlight w:val="none"/>
        </w:rPr>
        <w:t>系统提示为“投标文件制作机器码一致”的，则视其投标无效</w:t>
      </w:r>
      <w:r>
        <w:rPr>
          <w:rFonts w:hint="eastAsia" w:ascii="宋体" w:hAnsi="宋体"/>
          <w:kern w:val="0"/>
          <w:sz w:val="24"/>
          <w:highlight w:val="none"/>
          <w:lang w:eastAsia="zh-CN"/>
        </w:rPr>
        <w:t>。</w:t>
      </w:r>
    </w:p>
    <w:p>
      <w:pPr>
        <w:widowControl/>
        <w:spacing w:line="360" w:lineRule="auto"/>
        <w:ind w:firstLine="480" w:firstLineChars="200"/>
        <w:rPr>
          <w:rFonts w:ascii="宋体" w:hAnsi="宋体"/>
          <w:kern w:val="0"/>
          <w:sz w:val="24"/>
        </w:rPr>
      </w:pPr>
      <w:r>
        <w:rPr>
          <w:rFonts w:hint="eastAsia" w:ascii="宋体" w:hAnsi="宋体"/>
          <w:kern w:val="0"/>
          <w:sz w:val="24"/>
          <w:highlight w:val="none"/>
          <w:lang w:val="en-US" w:eastAsia="zh-CN"/>
        </w:rPr>
        <w:t xml:space="preserve"> </w:t>
      </w:r>
      <w:r>
        <w:rPr>
          <w:rFonts w:hint="eastAsia" w:ascii="宋体" w:hAnsi="宋体"/>
          <w:kern w:val="0"/>
          <w:sz w:val="24"/>
          <w:highlight w:val="none"/>
        </w:rPr>
        <w:t>3.</w:t>
      </w:r>
      <w:r>
        <w:rPr>
          <w:rFonts w:hint="eastAsia" w:ascii="宋体" w:hAnsi="宋体"/>
          <w:kern w:val="0"/>
          <w:sz w:val="24"/>
          <w:highlight w:val="none"/>
          <w:lang w:val="en-US" w:eastAsia="zh-CN"/>
        </w:rPr>
        <w:t>8</w:t>
      </w:r>
      <w:r>
        <w:rPr>
          <w:rFonts w:hint="eastAsia" w:ascii="宋体" w:hAnsi="宋体"/>
          <w:kern w:val="0"/>
          <w:sz w:val="24"/>
          <w:highlight w:val="none"/>
        </w:rPr>
        <w:t>. 投标文件有明显不符合</w:t>
      </w:r>
      <w:r>
        <w:rPr>
          <w:rFonts w:hint="eastAsia" w:ascii="宋体" w:hAnsi="宋体"/>
          <w:kern w:val="0"/>
          <w:sz w:val="24"/>
          <w:highlight w:val="none"/>
          <w:lang w:val="en-US" w:eastAsia="zh-CN"/>
        </w:rPr>
        <w:t>招标</w:t>
      </w:r>
      <w:r>
        <w:rPr>
          <w:rFonts w:hint="eastAsia" w:ascii="宋体" w:hAnsi="宋体"/>
          <w:kern w:val="0"/>
          <w:sz w:val="24"/>
          <w:highlight w:val="none"/>
        </w:rPr>
        <w:t>文件其它要求和有关法律法</w:t>
      </w:r>
      <w:r>
        <w:rPr>
          <w:rFonts w:hint="eastAsia" w:ascii="宋体" w:hAnsi="宋体"/>
          <w:kern w:val="0"/>
          <w:sz w:val="24"/>
        </w:rPr>
        <w:t>规的；</w:t>
      </w:r>
    </w:p>
    <w:p>
      <w:pPr>
        <w:pStyle w:val="40"/>
        <w:numPr>
          <w:ilvl w:val="0"/>
          <w:numId w:val="0"/>
        </w:numPr>
        <w:tabs>
          <w:tab w:val="clear" w:pos="432"/>
        </w:tabs>
        <w:ind w:leftChars="0"/>
        <w:jc w:val="both"/>
        <w:rPr>
          <w:rFonts w:hint="default"/>
          <w:lang w:val="en-US" w:eastAsia="zh-CN"/>
        </w:rPr>
      </w:pPr>
    </w:p>
    <w:p>
      <w:pPr>
        <w:pStyle w:val="9"/>
        <w:spacing w:before="0" w:after="0" w:line="360" w:lineRule="auto"/>
        <w:ind w:firstLine="643" w:firstLineChars="200"/>
        <w:rPr>
          <w:rFonts w:ascii="宋体" w:hAnsi="宋体" w:cs="宋体"/>
          <w:sz w:val="32"/>
          <w:szCs w:val="32"/>
        </w:rPr>
      </w:pPr>
    </w:p>
    <w:p>
      <w:pPr>
        <w:pStyle w:val="9"/>
        <w:spacing w:before="0" w:after="0" w:line="360" w:lineRule="auto"/>
        <w:ind w:firstLine="643" w:firstLineChars="200"/>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4"/>
        <w:spacing w:line="360" w:lineRule="auto"/>
        <w:ind w:right="-63" w:rightChars="-30"/>
        <w:jc w:val="both"/>
        <w:rPr>
          <w:rFonts w:asciiTheme="minorEastAsia" w:hAnsiTheme="minorEastAsia" w:eastAsiaTheme="minorEastAsia" w:cstheme="minorEastAsia"/>
          <w:bCs/>
        </w:rPr>
      </w:pPr>
    </w:p>
    <w:p>
      <w:pPr>
        <w:rPr>
          <w:rFonts w:eastAsiaTheme="minorEastAsia"/>
        </w:rPr>
      </w:pPr>
    </w:p>
    <w:p>
      <w:pPr>
        <w:pStyle w:val="10"/>
      </w:pPr>
    </w:p>
    <w:p/>
    <w:p>
      <w:pPr>
        <w:pStyle w:val="40"/>
        <w:numPr>
          <w:ilvl w:val="0"/>
          <w:numId w:val="0"/>
        </w:numPr>
        <w:tabs>
          <w:tab w:val="clear" w:pos="432"/>
        </w:tabs>
        <w:ind w:leftChars="0"/>
        <w:jc w:val="both"/>
      </w:pPr>
    </w:p>
    <w:p>
      <w:pPr>
        <w:pStyle w:val="41"/>
      </w:pPr>
    </w:p>
    <w:p>
      <w:pPr>
        <w:pStyle w:val="41"/>
      </w:pPr>
    </w:p>
    <w:p>
      <w:pPr>
        <w:pStyle w:val="41"/>
      </w:pPr>
    </w:p>
    <w:p>
      <w:pPr>
        <w:pStyle w:val="24"/>
        <w:numPr>
          <w:ilvl w:val="0"/>
          <w:numId w:val="3"/>
        </w:numPr>
        <w:spacing w:line="360" w:lineRule="auto"/>
        <w:ind w:right="-63" w:rightChars="-30"/>
      </w:pPr>
      <w:r>
        <w:rPr>
          <w:rFonts w:hint="eastAsia" w:asciiTheme="minorEastAsia" w:hAnsiTheme="minorEastAsia" w:eastAsiaTheme="minorEastAsia" w:cstheme="minorEastAsia"/>
          <w:bCs/>
        </w:rPr>
        <w:t xml:space="preserve">  </w:t>
      </w:r>
      <w:bookmarkStart w:id="2" w:name="_Toc20833"/>
      <w:r>
        <w:rPr>
          <w:rFonts w:hint="eastAsia" w:asciiTheme="minorEastAsia" w:hAnsiTheme="minorEastAsia" w:eastAsiaTheme="minorEastAsia" w:cstheme="minorEastAsia"/>
          <w:bCs/>
        </w:rPr>
        <w:t>招标公告</w:t>
      </w:r>
      <w:bookmarkEnd w:id="2"/>
    </w:p>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博爱县原柏山硫铁矿厂生产厂区污染地块详细调查及</w:t>
      </w:r>
    </w:p>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风险评估采购项目</w:t>
      </w:r>
    </w:p>
    <w:tbl>
      <w:tblPr>
        <w:tblStyle w:val="26"/>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8" w:type="dxa"/>
            <w:noWrap w:val="0"/>
            <w:vAlign w:val="top"/>
          </w:tcPr>
          <w:p>
            <w:pPr>
              <w:pStyle w:val="5"/>
              <w:keepNext w:val="0"/>
              <w:keepLines w:val="0"/>
              <w:pageBreakBefore w:val="0"/>
              <w:kinsoku/>
              <w:wordWrap/>
              <w:overflowPunct/>
              <w:topLinePunct w:val="0"/>
              <w:bidi w:val="0"/>
              <w:spacing w:line="440" w:lineRule="exact"/>
              <w:ind w:firstLine="480"/>
              <w:textAlignment w:val="auto"/>
              <w:rPr>
                <w:rFonts w:ascii="宋体" w:hAnsi="宋体" w:cs="宋体"/>
                <w:color w:val="auto"/>
                <w:sz w:val="24"/>
              </w:rPr>
            </w:pPr>
            <w:r>
              <w:rPr>
                <w:rFonts w:hint="eastAsia" w:ascii="宋体" w:hAnsi="宋体" w:cs="宋体"/>
                <w:color w:val="auto"/>
                <w:sz w:val="24"/>
                <w:lang w:eastAsia="zh-CN"/>
              </w:rPr>
              <w:t>项</w:t>
            </w:r>
            <w:r>
              <w:rPr>
                <w:rFonts w:hint="eastAsia" w:ascii="宋体" w:hAnsi="宋体" w:cs="宋体"/>
                <w:color w:val="auto"/>
                <w:sz w:val="24"/>
              </w:rPr>
              <w:t>目</w:t>
            </w:r>
            <w:r>
              <w:rPr>
                <w:rFonts w:hint="eastAsia" w:ascii="宋体" w:hAnsi="宋体" w:cs="宋体"/>
                <w:color w:val="auto"/>
                <w:sz w:val="24"/>
                <w:lang w:val="en-US" w:eastAsia="zh-CN"/>
              </w:rPr>
              <w:t>概况</w:t>
            </w:r>
            <w:r>
              <w:rPr>
                <w:rFonts w:hint="eastAsia" w:ascii="宋体" w:hAnsi="宋体" w:cs="宋体"/>
                <w:color w:val="auto"/>
                <w:sz w:val="24"/>
              </w:rPr>
              <w:t>：</w:t>
            </w:r>
            <w:r>
              <w:rPr>
                <w:rFonts w:hint="eastAsia"/>
                <w:color w:val="auto"/>
                <w:sz w:val="24"/>
                <w:lang w:val="en-US" w:eastAsia="zh-CN"/>
              </w:rPr>
              <w:t>博爱县原柏山硫铁矿厂生产厂区污染地块详细调查及风险评估采购项目</w:t>
            </w:r>
            <w:r>
              <w:rPr>
                <w:rFonts w:hint="eastAsia" w:ascii="宋体" w:hAnsi="宋体" w:cs="宋体"/>
                <w:color w:val="auto"/>
                <w:sz w:val="24"/>
              </w:rPr>
              <w:t>的潜在投标人应在焦作市公共资源交易中心网站获取采购文件，</w:t>
            </w:r>
            <w:r>
              <w:rPr>
                <w:rFonts w:hint="eastAsia" w:ascii="宋体" w:hAnsi="宋体" w:cs="宋体"/>
                <w:b w:val="0"/>
                <w:bCs w:val="0"/>
                <w:color w:val="auto"/>
                <w:sz w:val="24"/>
              </w:rPr>
              <w:t>并</w:t>
            </w:r>
            <w:r>
              <w:rPr>
                <w:rFonts w:hint="eastAsia" w:ascii="宋体" w:hAnsi="宋体" w:cs="宋体"/>
                <w:b w:val="0"/>
                <w:bCs w:val="0"/>
                <w:color w:val="auto"/>
                <w:sz w:val="24"/>
                <w:u w:val="single"/>
              </w:rPr>
              <w:t>于</w:t>
            </w:r>
            <w:r>
              <w:rPr>
                <w:rFonts w:hint="eastAsia" w:ascii="宋体" w:hAnsi="宋体" w:cs="宋体"/>
                <w:b/>
                <w:bCs/>
                <w:color w:val="auto"/>
                <w:kern w:val="0"/>
                <w:sz w:val="24"/>
                <w:u w:val="single"/>
              </w:rPr>
              <w:t>2022年</w:t>
            </w:r>
            <w:r>
              <w:rPr>
                <w:rFonts w:hint="eastAsia" w:ascii="宋体" w:hAnsi="宋体" w:cs="宋体"/>
                <w:b/>
                <w:bCs/>
                <w:color w:val="auto"/>
                <w:kern w:val="0"/>
                <w:sz w:val="24"/>
                <w:u w:val="single"/>
                <w:lang w:val="en-US" w:eastAsia="zh-CN"/>
              </w:rPr>
              <w:t>12</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 xml:space="preserve">  29</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w:t>
            </w:r>
            <w:r>
              <w:rPr>
                <w:rFonts w:hint="eastAsia" w:ascii="宋体" w:hAnsi="宋体" w:cs="宋体"/>
                <w:b/>
                <w:bCs/>
                <w:color w:val="auto"/>
                <w:sz w:val="24"/>
                <w:u w:val="single"/>
              </w:rPr>
              <w:t>（北京时间）</w:t>
            </w:r>
            <w:r>
              <w:rPr>
                <w:rFonts w:hint="eastAsia" w:ascii="宋体" w:hAnsi="宋体" w:cs="宋体"/>
                <w:b/>
                <w:bCs/>
                <w:color w:val="auto"/>
                <w:sz w:val="24"/>
              </w:rPr>
              <w:t>前提交投标文件。</w:t>
            </w:r>
          </w:p>
        </w:tc>
      </w:tr>
    </w:tbl>
    <w:p>
      <w:pPr>
        <w:pStyle w:val="47"/>
        <w:keepNext w:val="0"/>
        <w:keepLines w:val="0"/>
        <w:pageBreakBefore w:val="0"/>
        <w:kinsoku/>
        <w:wordWrap/>
        <w:overflowPunct/>
        <w:topLinePunct w:val="0"/>
        <w:bidi w:val="0"/>
        <w:spacing w:line="440" w:lineRule="exact"/>
        <w:ind w:left="0" w:firstLine="0"/>
        <w:textAlignment w:val="auto"/>
        <w:rPr>
          <w:b/>
          <w:bCs/>
          <w:color w:val="auto"/>
          <w:sz w:val="24"/>
          <w:lang w:eastAsia="zh-CN"/>
        </w:rPr>
      </w:pPr>
    </w:p>
    <w:p>
      <w:pPr>
        <w:pStyle w:val="47"/>
        <w:keepNext w:val="0"/>
        <w:keepLines w:val="0"/>
        <w:pageBreakBefore w:val="0"/>
        <w:kinsoku/>
        <w:wordWrap/>
        <w:overflowPunct/>
        <w:topLinePunct w:val="0"/>
        <w:bidi w:val="0"/>
        <w:spacing w:line="440" w:lineRule="exact"/>
        <w:ind w:left="0" w:firstLine="0"/>
        <w:textAlignment w:val="auto"/>
        <w:rPr>
          <w:b/>
          <w:bCs/>
          <w:color w:val="auto"/>
          <w:sz w:val="24"/>
          <w:lang w:eastAsia="zh-CN"/>
        </w:rPr>
      </w:pPr>
      <w:r>
        <w:rPr>
          <w:rFonts w:hint="eastAsia"/>
          <w:b/>
          <w:bCs/>
          <w:color w:val="auto"/>
          <w:sz w:val="24"/>
          <w:lang w:eastAsia="zh-CN"/>
        </w:rPr>
        <w:t>一、项目基本情况</w:t>
      </w:r>
    </w:p>
    <w:p>
      <w:pPr>
        <w:pStyle w:val="47"/>
        <w:keepNext w:val="0"/>
        <w:keepLines w:val="0"/>
        <w:pageBreakBefore w:val="0"/>
        <w:kinsoku/>
        <w:wordWrap/>
        <w:overflowPunct/>
        <w:topLinePunct w:val="0"/>
        <w:bidi w:val="0"/>
        <w:spacing w:line="440" w:lineRule="exact"/>
        <w:ind w:left="0" w:firstLine="480" w:firstLineChars="200"/>
        <w:textAlignment w:val="auto"/>
        <w:rPr>
          <w:color w:val="auto"/>
          <w:sz w:val="24"/>
          <w:lang w:eastAsia="zh-CN"/>
        </w:rPr>
      </w:pPr>
      <w:r>
        <w:rPr>
          <w:rFonts w:hint="eastAsia"/>
          <w:color w:val="auto"/>
          <w:sz w:val="24"/>
          <w:lang w:eastAsia="zh-CN"/>
        </w:rPr>
        <w:t>采购编号：博政采购〔2022</w:t>
      </w:r>
      <w:r>
        <w:rPr>
          <w:rFonts w:hint="eastAsia"/>
          <w:color w:val="auto"/>
          <w:sz w:val="24"/>
          <w:highlight w:val="none"/>
          <w:lang w:eastAsia="zh-CN"/>
        </w:rPr>
        <w:t>〕</w:t>
      </w:r>
      <w:r>
        <w:rPr>
          <w:rFonts w:hint="eastAsia"/>
          <w:color w:val="auto"/>
          <w:sz w:val="24"/>
          <w:highlight w:val="none"/>
          <w:lang w:val="en-US" w:eastAsia="zh-CN"/>
        </w:rPr>
        <w:t>119</w:t>
      </w:r>
      <w:r>
        <w:rPr>
          <w:rFonts w:hint="eastAsia"/>
          <w:color w:val="auto"/>
          <w:sz w:val="24"/>
          <w:highlight w:val="none"/>
          <w:lang w:eastAsia="zh-CN"/>
        </w:rPr>
        <w:t>号</w:t>
      </w:r>
    </w:p>
    <w:p>
      <w:pPr>
        <w:pStyle w:val="47"/>
        <w:keepNext w:val="0"/>
        <w:keepLines w:val="0"/>
        <w:pageBreakBefore w:val="0"/>
        <w:kinsoku/>
        <w:wordWrap/>
        <w:overflowPunct/>
        <w:topLinePunct w:val="0"/>
        <w:bidi w:val="0"/>
        <w:spacing w:line="440" w:lineRule="exact"/>
        <w:ind w:lef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color w:val="auto"/>
          <w:sz w:val="24"/>
          <w:lang w:eastAsia="zh-CN"/>
        </w:rPr>
        <w:t>项目名称：</w:t>
      </w:r>
      <w:r>
        <w:rPr>
          <w:rFonts w:hint="eastAsia"/>
          <w:color w:val="auto"/>
          <w:sz w:val="24"/>
          <w:lang w:val="en-US" w:eastAsia="zh-CN"/>
        </w:rPr>
        <w:t>博爱县原柏山硫铁矿厂生产厂区污染地块详细调查及风险评估采</w:t>
      </w:r>
      <w:r>
        <w:rPr>
          <w:rFonts w:hint="eastAsia" w:ascii="宋体" w:hAnsi="宋体" w:eastAsia="宋体" w:cs="宋体"/>
          <w:color w:val="auto"/>
          <w:kern w:val="0"/>
          <w:sz w:val="24"/>
          <w:szCs w:val="24"/>
          <w:highlight w:val="none"/>
          <w:lang w:val="en-US" w:eastAsia="zh-CN" w:bidi="ar-SA"/>
        </w:rPr>
        <w:t>购项目</w:t>
      </w:r>
    </w:p>
    <w:p>
      <w:pPr>
        <w:pStyle w:val="47"/>
        <w:keepNext w:val="0"/>
        <w:keepLines w:val="0"/>
        <w:pageBreakBefore w:val="0"/>
        <w:kinsoku/>
        <w:wordWrap/>
        <w:overflowPunct/>
        <w:topLinePunct w:val="0"/>
        <w:bidi w:val="0"/>
        <w:spacing w:line="440" w:lineRule="exact"/>
        <w:ind w:lef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采购方式：公开招标</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预算金额：5094190.00元。</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资金来源：中央财政资金+省级财政资金+自筹资金</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采购内容：博爱县原柏山硫铁矿厂生产厂区污染地块详细调查及风险评估采购项目，位于博爱县柏山镇柏山村北，原属省管国有矿山，地块面积约73260 平方米（110亩）。现对该地块进行土壤环境详细调查和风险评估工作。采购要求为产出指标土壤及地下水检测分析570组、固废分析20组、地块详细调查完成率和地块污染风险评估完成率100％；主要效益指标为有效提高污染治理与修复水平、有效降低地下水和土壤污染威胁、有效保障周边居民的生活环境、有效健全土壤污染防治工作机制、群众满意度≥90%等</w:t>
      </w:r>
      <w:r>
        <w:rPr>
          <w:rFonts w:hint="eastAsia" w:ascii="宋体" w:hAnsi="宋体" w:eastAsia="宋体" w:cs="宋体"/>
          <w:color w:val="auto"/>
          <w:kern w:val="0"/>
          <w:sz w:val="24"/>
          <w:szCs w:val="24"/>
          <w:highlight w:val="none"/>
          <w:shd w:val="clear" w:color="auto" w:fill="FFFFFF"/>
          <w:lang w:val="en-US" w:eastAsia="zh-CN" w:bidi="ar-SA"/>
        </w:rPr>
        <w:t>（具体要求详见招标文件）。</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服务期：</w:t>
      </w:r>
      <w:r>
        <w:rPr>
          <w:rFonts w:hint="eastAsia" w:ascii="宋体" w:hAnsi="宋体" w:cs="宋体"/>
          <w:color w:val="auto"/>
          <w:kern w:val="0"/>
          <w:sz w:val="24"/>
          <w:lang w:val="en-US" w:eastAsia="zh-CN"/>
        </w:rPr>
        <w:t>2023年7月前完成项目内容，并配合项目验收合格。</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质量标准：</w:t>
      </w:r>
      <w:r>
        <w:rPr>
          <w:rFonts w:hint="eastAsia" w:ascii="宋体" w:hAnsi="宋体" w:cs="宋体"/>
          <w:color w:val="auto"/>
          <w:kern w:val="0"/>
          <w:sz w:val="24"/>
          <w:lang w:val="en-US" w:eastAsia="zh-CN"/>
        </w:rPr>
        <w:t>符合国家质量验收合格标准 ，并通过采购人验收。</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color w:val="auto"/>
          <w:kern w:val="0"/>
          <w:sz w:val="24"/>
        </w:rPr>
      </w:pPr>
      <w:r>
        <w:rPr>
          <w:rFonts w:hint="eastAsia" w:ascii="宋体" w:hAnsi="宋体" w:cs="宋体"/>
          <w:b/>
          <w:bCs/>
          <w:color w:val="auto"/>
          <w:kern w:val="0"/>
          <w:sz w:val="24"/>
        </w:rPr>
        <w:t>二、申请人资格要求：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shd w:val="clear" w:color="auto" w:fill="FFFFFF"/>
        </w:rPr>
        <w:t>1、符合《中华人民共和国政府采购</w:t>
      </w:r>
      <w:r>
        <w:rPr>
          <w:rFonts w:hint="eastAsia" w:ascii="宋体" w:hAnsi="宋体" w:cs="宋体"/>
          <w:color w:val="auto"/>
          <w:sz w:val="24"/>
          <w:highlight w:val="none"/>
          <w:shd w:val="clear" w:color="auto" w:fill="FFFFFF"/>
        </w:rPr>
        <w:t>法》第二十二条之规定；</w:t>
      </w:r>
    </w:p>
    <w:p>
      <w:pPr>
        <w:pStyle w:val="23"/>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0"/>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r>
        <w:rPr>
          <w:rFonts w:hint="eastAsia" w:ascii="宋体" w:hAnsi="宋体" w:eastAsia="宋体" w:cs="宋体"/>
          <w:b w:val="0"/>
          <w:bCs w:val="0"/>
          <w:color w:val="0000FF"/>
          <w:sz w:val="24"/>
          <w:szCs w:val="24"/>
          <w:highlight w:val="none"/>
        </w:rPr>
        <w:t>；</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投标人须具有有效的营业执照，并具有实施完成本项目的经营实力和完善的售后服务体系；项目负责人具有地质类相关专业高级工程师及以上职称（项目负责人应为本单位员工并提供近6个月连续在本单位缴纳社保证明，个人缴纳社保名称须与投标单位名称一致，否则不予认可）。</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3.3本项目不接受联合体投标。 </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3.4资格审查方式：资格后审。</w:t>
      </w:r>
    </w:p>
    <w:p>
      <w:pPr>
        <w:keepNext w:val="0"/>
        <w:keepLines w:val="0"/>
        <w:pageBreakBefore w:val="0"/>
        <w:widowControl/>
        <w:kinsoku/>
        <w:wordWrap/>
        <w:overflowPunct/>
        <w:topLinePunct w:val="0"/>
        <w:bidi w:val="0"/>
        <w:spacing w:line="440" w:lineRule="exact"/>
        <w:jc w:val="left"/>
        <w:textAlignment w:val="auto"/>
        <w:rPr>
          <w:rFonts w:ascii="宋体" w:hAnsi="宋体" w:cs="宋体"/>
          <w:b/>
          <w:bCs/>
          <w:color w:val="auto"/>
          <w:kern w:val="0"/>
          <w:sz w:val="24"/>
        </w:rPr>
      </w:pPr>
      <w:r>
        <w:rPr>
          <w:rFonts w:hint="eastAsia" w:ascii="宋体" w:hAnsi="宋体" w:cs="宋体"/>
          <w:b/>
          <w:bCs/>
          <w:color w:val="auto"/>
          <w:kern w:val="0"/>
          <w:sz w:val="24"/>
        </w:rPr>
        <w:t>三、获取采购文件</w:t>
      </w:r>
    </w:p>
    <w:p>
      <w:pPr>
        <w:pStyle w:val="23"/>
        <w:keepNext w:val="0"/>
        <w:keepLines w:val="0"/>
        <w:pageBreakBefore w:val="0"/>
        <w:shd w:val="clear" w:color="auto" w:fill="FFFFFF"/>
        <w:kinsoku/>
        <w:wordWrap/>
        <w:overflowPunct/>
        <w:topLinePunct w:val="0"/>
        <w:autoSpaceDE w:val="0"/>
        <w:bidi w:val="0"/>
        <w:spacing w:before="0" w:beforeAutospacing="0" w:after="0" w:afterAutospacing="0" w:line="440" w:lineRule="exact"/>
        <w:ind w:firstLine="482" w:firstLineChars="200"/>
        <w:textAlignment w:val="auto"/>
        <w:rPr>
          <w:color w:val="auto"/>
        </w:rPr>
      </w:pPr>
      <w:r>
        <w:rPr>
          <w:rFonts w:hint="eastAsia"/>
          <w:b/>
          <w:bCs/>
          <w:color w:val="auto"/>
        </w:rPr>
        <w:t>1.时间：</w:t>
      </w:r>
      <w:r>
        <w:rPr>
          <w:rFonts w:hint="eastAsia"/>
          <w:b/>
          <w:bCs/>
          <w:color w:val="auto"/>
          <w:u w:val="single"/>
        </w:rPr>
        <w:t>2022年</w:t>
      </w:r>
      <w:r>
        <w:rPr>
          <w:rFonts w:hint="eastAsia"/>
          <w:b/>
          <w:bCs/>
          <w:color w:val="auto"/>
          <w:u w:val="single"/>
          <w:lang w:val="en-US" w:eastAsia="zh-CN"/>
        </w:rPr>
        <w:t>12</w:t>
      </w:r>
      <w:r>
        <w:rPr>
          <w:rFonts w:hint="eastAsia"/>
          <w:b/>
          <w:bCs/>
          <w:color w:val="auto"/>
          <w:u w:val="single"/>
        </w:rPr>
        <w:t>月</w:t>
      </w:r>
      <w:r>
        <w:rPr>
          <w:rFonts w:hint="eastAsia"/>
          <w:b/>
          <w:bCs/>
          <w:color w:val="auto"/>
          <w:u w:val="single"/>
          <w:lang w:val="en-US" w:eastAsia="zh-CN"/>
        </w:rPr>
        <w:t>9</w:t>
      </w:r>
      <w:r>
        <w:rPr>
          <w:rFonts w:hint="eastAsia"/>
          <w:b/>
          <w:bCs/>
          <w:color w:val="auto"/>
          <w:u w:val="single"/>
        </w:rPr>
        <w:t>日至2022年</w:t>
      </w:r>
      <w:r>
        <w:rPr>
          <w:rFonts w:hint="eastAsia"/>
          <w:b/>
          <w:bCs/>
          <w:color w:val="auto"/>
          <w:u w:val="single"/>
          <w:lang w:val="en-US" w:eastAsia="zh-CN"/>
        </w:rPr>
        <w:t>12</w:t>
      </w:r>
      <w:r>
        <w:rPr>
          <w:rFonts w:hint="eastAsia"/>
          <w:b/>
          <w:bCs/>
          <w:color w:val="auto"/>
          <w:u w:val="single"/>
        </w:rPr>
        <w:t>月</w:t>
      </w:r>
      <w:r>
        <w:rPr>
          <w:rFonts w:hint="eastAsia"/>
          <w:b/>
          <w:bCs/>
          <w:color w:val="auto"/>
          <w:u w:val="single"/>
          <w:lang w:val="en-US" w:eastAsia="zh-CN"/>
        </w:rPr>
        <w:t>15</w:t>
      </w:r>
      <w:r>
        <w:rPr>
          <w:rFonts w:hint="eastAsia"/>
          <w:b/>
          <w:bCs/>
          <w:color w:val="auto"/>
          <w:u w:val="single"/>
        </w:rPr>
        <w:t>日（北</w:t>
      </w:r>
      <w:r>
        <w:rPr>
          <w:rFonts w:hint="eastAsia"/>
          <w:b/>
          <w:bCs/>
          <w:color w:val="auto"/>
        </w:rPr>
        <w:t>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凡有意参加投标者，请登陆焦作市公共资源交易中心网站会员系统进行网上下载。（联系电话：0391-3568920，QQ：232850725、361532918（群）；</w:t>
      </w:r>
    </w:p>
    <w:p>
      <w:pPr>
        <w:pStyle w:val="23"/>
        <w:keepNext w:val="0"/>
        <w:keepLines w:val="0"/>
        <w:pageBreakBefore w:val="0"/>
        <w:shd w:val="clear" w:color="auto" w:fill="FFFFFF"/>
        <w:kinsoku/>
        <w:wordWrap/>
        <w:overflowPunct/>
        <w:topLinePunct w:val="0"/>
        <w:autoSpaceDE w:val="0"/>
        <w:bidi w:val="0"/>
        <w:spacing w:before="0" w:beforeAutospacing="0" w:after="0" w:afterAutospacing="0" w:line="440" w:lineRule="exact"/>
        <w:textAlignment w:val="auto"/>
        <w:rPr>
          <w:color w:val="auto"/>
        </w:rPr>
      </w:pPr>
      <w:r>
        <w:rPr>
          <w:rFonts w:hint="eastAsia"/>
          <w:color w:val="auto"/>
        </w:rPr>
        <w:t>  3.方式：网上下载；</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color w:val="auto"/>
          <w:kern w:val="0"/>
          <w:sz w:val="24"/>
        </w:rPr>
      </w:pPr>
      <w:r>
        <w:rPr>
          <w:rFonts w:hint="eastAsia" w:ascii="宋体" w:hAnsi="宋体" w:cs="宋体"/>
          <w:b/>
          <w:color w:val="auto"/>
          <w:kern w:val="0"/>
          <w:sz w:val="24"/>
        </w:rPr>
        <w:t>四、投标文件提交</w:t>
      </w:r>
    </w:p>
    <w:p>
      <w:pPr>
        <w:keepNext w:val="0"/>
        <w:keepLines w:val="0"/>
        <w:pageBreakBefore w:val="0"/>
        <w:kinsoku/>
        <w:wordWrap/>
        <w:overflowPunct/>
        <w:topLinePunct w:val="0"/>
        <w:bidi w:val="0"/>
        <w:adjustRightInd w:val="0"/>
        <w:snapToGrid w:val="0"/>
        <w:spacing w:line="440" w:lineRule="exact"/>
        <w:ind w:firstLine="482" w:firstLineChars="200"/>
        <w:textAlignment w:val="auto"/>
        <w:rPr>
          <w:rFonts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kern w:val="0"/>
          <w:sz w:val="24"/>
          <w:u w:val="single"/>
        </w:rPr>
        <w:t>2022年</w:t>
      </w:r>
      <w:r>
        <w:rPr>
          <w:rFonts w:hint="eastAsia" w:ascii="宋体" w:hAnsi="宋体" w:cs="宋体"/>
          <w:b/>
          <w:bCs/>
          <w:color w:val="auto"/>
          <w:kern w:val="0"/>
          <w:sz w:val="24"/>
          <w:u w:val="single"/>
          <w:lang w:val="en-US" w:eastAsia="zh-CN"/>
        </w:rPr>
        <w:t>12</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 xml:space="preserve"> 29</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分（北京时间）；</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color w:val="auto"/>
          <w:kern w:val="0"/>
          <w:sz w:val="24"/>
        </w:rPr>
      </w:pPr>
      <w:r>
        <w:rPr>
          <w:rFonts w:hint="eastAsia" w:ascii="宋体" w:hAnsi="宋体" w:cs="宋体"/>
          <w:b/>
          <w:color w:val="auto"/>
          <w:kern w:val="0"/>
          <w:sz w:val="24"/>
        </w:rPr>
        <w:t>五、开启</w:t>
      </w:r>
    </w:p>
    <w:p>
      <w:pPr>
        <w:keepNext w:val="0"/>
        <w:keepLines w:val="0"/>
        <w:pageBreakBefore w:val="0"/>
        <w:kinsoku/>
        <w:wordWrap/>
        <w:overflowPunct/>
        <w:topLinePunct w:val="0"/>
        <w:bidi w:val="0"/>
        <w:adjustRightInd w:val="0"/>
        <w:snapToGrid w:val="0"/>
        <w:spacing w:line="440" w:lineRule="exact"/>
        <w:ind w:firstLine="482" w:firstLineChars="200"/>
        <w:textAlignment w:val="auto"/>
        <w:rPr>
          <w:rFonts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kern w:val="0"/>
          <w:sz w:val="24"/>
          <w:u w:val="single"/>
        </w:rPr>
        <w:t>2022年</w:t>
      </w:r>
      <w:r>
        <w:rPr>
          <w:rFonts w:hint="eastAsia" w:ascii="宋体" w:hAnsi="宋体" w:cs="宋体"/>
          <w:b/>
          <w:bCs/>
          <w:color w:val="auto"/>
          <w:kern w:val="0"/>
          <w:sz w:val="24"/>
          <w:u w:val="single"/>
          <w:lang w:val="en-US" w:eastAsia="zh-CN"/>
        </w:rPr>
        <w:t>12</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 xml:space="preserve"> 29</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分（北京时间</w:t>
      </w:r>
      <w:r>
        <w:rPr>
          <w:rFonts w:hint="eastAsia" w:ascii="宋体" w:hAnsi="宋体" w:cs="宋体"/>
          <w:b/>
          <w:bCs/>
          <w:color w:val="auto"/>
          <w:kern w:val="0"/>
          <w:sz w:val="24"/>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bCs/>
          <w:color w:val="auto"/>
          <w:sz w:val="24"/>
        </w:rPr>
      </w:pPr>
      <w:r>
        <w:rPr>
          <w:rFonts w:hint="eastAsia" w:ascii="宋体" w:hAnsi="宋体" w:cs="宋体"/>
          <w:b/>
          <w:bCs/>
          <w:color w:val="auto"/>
          <w:sz w:val="24"/>
        </w:rPr>
        <w:t>六、公告期限</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23"/>
        <w:keepNext w:val="0"/>
        <w:keepLines w:val="0"/>
        <w:pageBreakBefore w:val="0"/>
        <w:numPr>
          <w:ilvl w:val="0"/>
          <w:numId w:val="4"/>
        </w:numPr>
        <w:shd w:val="clear" w:color="auto" w:fill="FFFFFF"/>
        <w:kinsoku/>
        <w:wordWrap/>
        <w:overflowPunct/>
        <w:topLinePunct w:val="0"/>
        <w:autoSpaceDE w:val="0"/>
        <w:bidi w:val="0"/>
        <w:spacing w:before="0" w:beforeAutospacing="0" w:after="0" w:afterAutospacing="0" w:line="440" w:lineRule="exact"/>
        <w:textAlignment w:val="auto"/>
        <w:rPr>
          <w:b/>
          <w:color w:val="auto"/>
          <w:shd w:val="clear" w:color="auto" w:fill="FFFFFF"/>
        </w:rPr>
      </w:pPr>
      <w:r>
        <w:rPr>
          <w:rFonts w:hint="eastAsia"/>
          <w:b/>
          <w:color w:val="auto"/>
          <w:shd w:val="clear" w:color="auto" w:fill="FFFFFF"/>
        </w:rPr>
        <w:t>其他补充事宜</w:t>
      </w:r>
    </w:p>
    <w:p>
      <w:pPr>
        <w:pStyle w:val="23"/>
        <w:keepNext w:val="0"/>
        <w:keepLines w:val="0"/>
        <w:pageBreakBefore w:val="0"/>
        <w:shd w:val="clear" w:color="auto" w:fill="FFFFFF"/>
        <w:kinsoku/>
        <w:wordWrap/>
        <w:overflowPunct/>
        <w:topLinePunct w:val="0"/>
        <w:autoSpaceDE w:val="0"/>
        <w:bidi w:val="0"/>
        <w:spacing w:before="0" w:beforeAutospacing="0" w:after="0" w:afterAutospacing="0" w:line="440" w:lineRule="exact"/>
        <w:ind w:firstLine="480" w:firstLineChars="200"/>
        <w:textAlignment w:val="auto"/>
        <w:rPr>
          <w:color w:val="auto"/>
          <w:shd w:val="clear" w:color="auto" w:fill="FFFFFF"/>
        </w:rPr>
      </w:pPr>
      <w:r>
        <w:rPr>
          <w:rFonts w:hint="eastAsia"/>
          <w:color w:val="auto"/>
          <w:shd w:val="clear" w:color="auto" w:fill="FFFFFF"/>
        </w:rPr>
        <w:t>1.本次本公告在</w:t>
      </w:r>
      <w:r>
        <w:rPr>
          <w:rFonts w:hint="eastAsia"/>
          <w:bCs/>
          <w:color w:val="auto"/>
        </w:rPr>
        <w:t>中国招标投标公共服务平台、</w:t>
      </w:r>
      <w:r>
        <w:rPr>
          <w:rFonts w:hint="eastAsia"/>
          <w:color w:val="auto"/>
          <w:shd w:val="clear" w:color="auto" w:fill="FFFFFF"/>
        </w:rPr>
        <w:t>河南省政府采购网、焦作市政府采购网、焦作市公共资源交易中心网、博爱县人民政府网、博爱县公共资源交易中心网http://www.baxggzyjyzx.cn/上发布。</w:t>
      </w:r>
    </w:p>
    <w:p>
      <w:pPr>
        <w:pStyle w:val="23"/>
        <w:keepNext w:val="0"/>
        <w:keepLines w:val="0"/>
        <w:pageBreakBefore w:val="0"/>
        <w:kinsoku/>
        <w:wordWrap/>
        <w:overflowPunct/>
        <w:topLinePunct w:val="0"/>
        <w:bidi w:val="0"/>
        <w:spacing w:beforeAutospacing="0" w:afterAutospacing="0" w:line="440" w:lineRule="exact"/>
        <w:ind w:firstLine="468" w:firstLineChars="195"/>
        <w:jc w:val="both"/>
        <w:textAlignment w:val="auto"/>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w:t>
      </w:r>
      <w:bookmarkStart w:id="334" w:name="_GoBack"/>
      <w:bookmarkEnd w:id="334"/>
      <w:r>
        <w:rPr>
          <w:rFonts w:hint="eastAsia"/>
          <w:color w:val="auto"/>
        </w:rPr>
        <w:t>不见面开标操作手册》、《投标文件制作工作工具》等，查看操作说明，按要求进行投标文件制作和上传等。为避免网络拥堵等不可控因素影响投标文件的上传，请提前上传投标文件，并在开标截止时间前登录不见面开标大厅，按要求解密投标文件。因文件未及时上传导致投标失败的责任由投标人自行承担，具体要求详见招标文件。 平台统一技术服务电话：400-998-0000，服务 QQ：4008503300，服务时间：周一至周日 8：00-17：30。</w:t>
      </w:r>
    </w:p>
    <w:p>
      <w:pPr>
        <w:pStyle w:val="23"/>
        <w:keepNext w:val="0"/>
        <w:keepLines w:val="0"/>
        <w:pageBreakBefore w:val="0"/>
        <w:kinsoku/>
        <w:wordWrap/>
        <w:overflowPunct/>
        <w:topLinePunct w:val="0"/>
        <w:bidi w:val="0"/>
        <w:spacing w:beforeAutospacing="0" w:afterAutospacing="0" w:line="440" w:lineRule="exact"/>
        <w:ind w:firstLine="468" w:firstLineChars="195"/>
        <w:jc w:val="both"/>
        <w:textAlignment w:val="auto"/>
        <w:rPr>
          <w:color w:val="auto"/>
        </w:rPr>
      </w:pPr>
      <w:r>
        <w:rPr>
          <w:rFonts w:hint="eastAsia"/>
          <w:color w:val="auto"/>
        </w:rPr>
        <w:t>3.投标人无需到现场参加开标会议，无需到达现场提交原件资料。投标人应当在投标截止前，登录远程开标大厅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1.采购人信息：</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博爱县科技和工业信息化局</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auto"/>
          <w:sz w:val="24"/>
          <w:lang w:eastAsia="zh-CN"/>
        </w:rPr>
      </w:pPr>
      <w:r>
        <w:rPr>
          <w:rFonts w:hint="eastAsia" w:ascii="宋体" w:hAnsi="宋体" w:cs="宋体"/>
          <w:color w:val="auto"/>
          <w:kern w:val="0"/>
          <w:sz w:val="24"/>
        </w:rPr>
        <w:t>地</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址：</w:t>
      </w:r>
      <w:r>
        <w:rPr>
          <w:rFonts w:hint="eastAsia" w:ascii="宋体" w:hAnsi="宋体" w:cs="宋体"/>
          <w:color w:val="auto"/>
          <w:kern w:val="0"/>
          <w:sz w:val="24"/>
          <w:lang w:val="en-US" w:eastAsia="zh-CN"/>
        </w:rPr>
        <w:t xml:space="preserve"> 焦作市博爱县广兴路与中山路交叉路口往西南约180米</w:t>
      </w:r>
    </w:p>
    <w:p>
      <w:pPr>
        <w:pStyle w:val="23"/>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联系人：</w:t>
      </w:r>
      <w:r>
        <w:rPr>
          <w:rFonts w:hint="eastAsia" w:cs="宋体"/>
          <w:color w:val="auto"/>
          <w:sz w:val="24"/>
          <w:szCs w:val="24"/>
          <w:lang w:val="en-US" w:eastAsia="zh-CN"/>
        </w:rPr>
        <w:t>杜</w:t>
      </w:r>
      <w:r>
        <w:rPr>
          <w:rFonts w:hint="eastAsia" w:ascii="宋体" w:hAnsi="宋体" w:eastAsia="宋体" w:cs="宋体"/>
          <w:color w:val="auto"/>
          <w:sz w:val="24"/>
          <w:szCs w:val="24"/>
        </w:rPr>
        <w:t>先生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kern w:val="0"/>
          <w:sz w:val="24"/>
        </w:rPr>
        <w:t>电话：</w:t>
      </w:r>
      <w:r>
        <w:rPr>
          <w:rFonts w:hint="eastAsia" w:ascii="宋体" w:hAnsi="宋体" w:cs="宋体"/>
          <w:color w:val="auto"/>
          <w:kern w:val="0"/>
          <w:sz w:val="24"/>
          <w:lang w:val="en-US" w:eastAsia="zh-CN"/>
        </w:rPr>
        <w:t>13839122818</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2.采购代理机构信息：</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 xml:space="preserve">名称：博爱县城市建设项目管理有限公司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博爱县发展大道188号机关办公楼东配楼806室</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 xml:space="preserve">付女士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电话：</w:t>
      </w:r>
      <w:r>
        <w:rPr>
          <w:rFonts w:hint="eastAsia" w:ascii="宋体" w:hAnsi="宋体" w:cs="宋体"/>
          <w:color w:val="auto"/>
          <w:sz w:val="24"/>
          <w:lang w:val="en-US" w:eastAsia="zh-CN"/>
        </w:rPr>
        <w:t xml:space="preserve">13782768572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3.项目联系方式</w:t>
      </w:r>
    </w:p>
    <w:p>
      <w:pPr>
        <w:pStyle w:val="23"/>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cs="宋体"/>
          <w:color w:val="auto"/>
          <w:sz w:val="24"/>
          <w:szCs w:val="24"/>
          <w:lang w:val="en-US" w:eastAsia="zh-CN"/>
        </w:rPr>
        <w:t>杜</w:t>
      </w:r>
      <w:r>
        <w:rPr>
          <w:rFonts w:hint="eastAsia" w:ascii="宋体" w:hAnsi="宋体" w:eastAsia="宋体" w:cs="宋体"/>
          <w:color w:val="auto"/>
          <w:sz w:val="24"/>
          <w:szCs w:val="24"/>
        </w:rPr>
        <w:t>先生 </w:t>
      </w:r>
      <w:r>
        <w:rPr>
          <w:rFonts w:hint="eastAsia" w:ascii="宋体" w:hAnsi="宋体" w:cs="宋体"/>
          <w:color w:val="auto"/>
          <w:kern w:val="0"/>
          <w:sz w:val="24"/>
          <w:lang w:val="en-US" w:eastAsia="zh-CN"/>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color w:val="auto"/>
          <w:kern w:val="0"/>
          <w:sz w:val="24"/>
          <w:lang w:val="en-US" w:eastAsia="zh-CN"/>
        </w:rPr>
        <w:t>13839122818</w:t>
      </w: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color w:val="auto"/>
          <w:sz w:val="24"/>
          <w:shd w:val="clear" w:color="auto" w:fill="FFFFFF"/>
        </w:rPr>
      </w:pPr>
      <w:r>
        <w:rPr>
          <w:rFonts w:hint="eastAsia" w:ascii="宋体" w:hAnsi="宋体" w:cs="宋体"/>
          <w:color w:val="auto"/>
          <w:sz w:val="24"/>
        </w:rPr>
        <w:t>采购人：</w:t>
      </w:r>
      <w:r>
        <w:rPr>
          <w:rFonts w:hint="eastAsia" w:ascii="宋体" w:hAnsi="宋体" w:cs="宋体"/>
          <w:color w:val="auto"/>
          <w:kern w:val="0"/>
          <w:sz w:val="24"/>
          <w:lang w:eastAsia="zh-CN"/>
        </w:rPr>
        <w:t>博爱县科技和工业信息化局</w:t>
      </w:r>
    </w:p>
    <w:p>
      <w:pPr>
        <w:keepNext w:val="0"/>
        <w:keepLines w:val="0"/>
        <w:pageBreakBefore w:val="0"/>
        <w:widowControl/>
        <w:kinsoku/>
        <w:wordWrap/>
        <w:overflowPunct/>
        <w:topLinePunct w:val="0"/>
        <w:bidi w:val="0"/>
        <w:spacing w:line="440" w:lineRule="exact"/>
        <w:ind w:firstLine="2880" w:firstLineChars="1200"/>
        <w:jc w:val="left"/>
        <w:textAlignment w:val="auto"/>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pStyle w:val="3"/>
        <w:ind w:firstLine="3360" w:firstLineChars="1400"/>
        <w:rPr>
          <w:rFonts w:asciiTheme="minorEastAsia" w:hAnsiTheme="minorEastAsia" w:eastAsiaTheme="minorEastAsia" w:cstheme="minorEastAsia"/>
          <w:b/>
          <w:color w:val="auto"/>
          <w:sz w:val="32"/>
          <w:szCs w:val="32"/>
        </w:rPr>
      </w:pPr>
      <w:r>
        <w:rPr>
          <w:rFonts w:hint="eastAsia" w:ascii="宋体" w:hAnsi="宋体" w:cs="宋体"/>
          <w:color w:val="auto"/>
          <w:sz w:val="24"/>
        </w:rPr>
        <w:t>发布时间：2022年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 xml:space="preserve"> 8</w:t>
      </w:r>
      <w:r>
        <w:rPr>
          <w:rFonts w:hint="eastAsia" w:ascii="宋体" w:hAnsi="宋体" w:cs="宋体"/>
          <w:color w:val="auto"/>
          <w:sz w:val="24"/>
        </w:rPr>
        <w:t>日</w:t>
      </w:r>
    </w:p>
    <w:p>
      <w:pPr>
        <w:pStyle w:val="4"/>
        <w:rPr>
          <w:rFonts w:asciiTheme="minorEastAsia" w:hAnsiTheme="minorEastAsia" w:eastAsiaTheme="minorEastAsia" w:cstheme="minorEastAsia"/>
          <w:b/>
          <w:color w:val="auto"/>
          <w:sz w:val="32"/>
          <w:szCs w:val="32"/>
        </w:rPr>
      </w:pPr>
    </w:p>
    <w:p>
      <w:pPr>
        <w:pStyle w:val="3"/>
        <w:rPr>
          <w:rFonts w:asciiTheme="minorEastAsia" w:hAnsiTheme="minorEastAsia" w:eastAsiaTheme="minorEastAsia" w:cstheme="minorEastAsia"/>
          <w:b/>
          <w:color w:val="auto"/>
          <w:sz w:val="32"/>
          <w:szCs w:val="32"/>
        </w:rPr>
      </w:pPr>
    </w:p>
    <w:p>
      <w:pPr>
        <w:pStyle w:val="4"/>
        <w:rPr>
          <w:rFonts w:asciiTheme="minorEastAsia" w:hAnsiTheme="minorEastAsia" w:eastAsiaTheme="minorEastAsia" w:cstheme="minorEastAsia"/>
          <w:b/>
          <w:color w:val="auto"/>
          <w:sz w:val="32"/>
          <w:szCs w:val="32"/>
        </w:rPr>
      </w:pPr>
    </w:p>
    <w:p>
      <w:pPr>
        <w:autoSpaceDE w:val="0"/>
        <w:autoSpaceDN w:val="0"/>
        <w:adjustRightInd w:val="0"/>
        <w:spacing w:line="360" w:lineRule="auto"/>
        <w:outlineLvl w:val="0"/>
        <w:rPr>
          <w:rFonts w:hint="eastAsia" w:asciiTheme="minorEastAsia" w:hAnsiTheme="minorEastAsia" w:eastAsiaTheme="minorEastAsia" w:cstheme="minorEastAsia"/>
          <w:b/>
          <w:color w:val="auto"/>
          <w:sz w:val="32"/>
          <w:szCs w:val="32"/>
        </w:rPr>
      </w:pPr>
      <w:bookmarkStart w:id="3" w:name="_Toc24528"/>
    </w:p>
    <w:p>
      <w:pPr>
        <w:autoSpaceDE w:val="0"/>
        <w:autoSpaceDN w:val="0"/>
        <w:adjustRightInd w:val="0"/>
        <w:spacing w:line="360" w:lineRule="auto"/>
        <w:ind w:firstLine="3534" w:firstLineChars="1100"/>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第二章  投标人须知</w:t>
      </w:r>
      <w:bookmarkEnd w:id="3"/>
    </w:p>
    <w:bookmarkEnd w:id="0"/>
    <w:p>
      <w:pPr>
        <w:pStyle w:val="24"/>
        <w:spacing w:before="0" w:after="0" w:line="360" w:lineRule="auto"/>
        <w:ind w:right="-23" w:rightChars="-11"/>
        <w:rPr>
          <w:rFonts w:asciiTheme="minorEastAsia" w:hAnsiTheme="minorEastAsia" w:eastAsiaTheme="minorEastAsia" w:cstheme="minorEastAsia"/>
          <w:color w:val="auto"/>
          <w:sz w:val="30"/>
          <w:szCs w:val="30"/>
        </w:rPr>
      </w:pPr>
      <w:bookmarkStart w:id="4" w:name="_Toc32497"/>
      <w:bookmarkStart w:id="5" w:name="_Toc426369478"/>
      <w:bookmarkStart w:id="6" w:name="_Toc14655"/>
      <w:bookmarkStart w:id="7" w:name="_Toc15953"/>
      <w:bookmarkStart w:id="8" w:name="_Toc9161"/>
      <w:bookmarkStart w:id="9" w:name="_Toc403122490"/>
      <w:r>
        <w:rPr>
          <w:rFonts w:hint="eastAsia" w:asciiTheme="minorEastAsia" w:hAnsiTheme="minorEastAsia" w:eastAsiaTheme="minorEastAsia" w:cstheme="minorEastAsia"/>
          <w:color w:val="auto"/>
          <w:sz w:val="30"/>
          <w:szCs w:val="30"/>
        </w:rPr>
        <w:t>投标人须知前附表</w:t>
      </w:r>
      <w:bookmarkEnd w:id="4"/>
      <w:bookmarkEnd w:id="5"/>
      <w:bookmarkEnd w:id="6"/>
      <w:bookmarkEnd w:id="7"/>
      <w:bookmarkEnd w:id="8"/>
      <w:bookmarkEnd w:id="9"/>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17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条款号</w:t>
            </w:r>
          </w:p>
        </w:tc>
        <w:tc>
          <w:tcPr>
            <w:tcW w:w="2171" w:type="dxa"/>
            <w:vAlign w:val="center"/>
          </w:tcPr>
          <w:p>
            <w:pPr>
              <w:pStyle w:val="18"/>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条款名称</w:t>
            </w:r>
          </w:p>
        </w:tc>
        <w:tc>
          <w:tcPr>
            <w:tcW w:w="6259" w:type="dxa"/>
            <w:vAlign w:val="center"/>
          </w:tcPr>
          <w:p>
            <w:pPr>
              <w:pStyle w:val="18"/>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1.1.2</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名称：</w:t>
            </w:r>
            <w:r>
              <w:rPr>
                <w:rFonts w:hint="eastAsia" w:asciiTheme="minorEastAsia" w:hAnsiTheme="minorEastAsia" w:eastAsiaTheme="minorEastAsia" w:cstheme="minorEastAsia"/>
                <w:color w:val="auto"/>
                <w:lang w:eastAsia="zh-CN"/>
              </w:rPr>
              <w:t>博爱县科技和工业信息化局</w:t>
            </w:r>
          </w:p>
          <w:p>
            <w:pPr>
              <w:adjustRightInd w:val="0"/>
              <w:snapToGrid w:val="0"/>
              <w:spacing w:line="460" w:lineRule="exact"/>
              <w:rPr>
                <w:rFonts w:hint="eastAsia" w:asciiTheme="minorEastAsia" w:hAnsiTheme="minorEastAsia" w:eastAsiaTheme="minorEastAsia" w:cstheme="minorEastAsia"/>
                <w:bCs/>
                <w:iCs/>
                <w:color w:val="auto"/>
                <w:szCs w:val="21"/>
                <w:lang w:eastAsia="zh-CN"/>
              </w:rPr>
            </w:pPr>
            <w:r>
              <w:rPr>
                <w:rFonts w:hint="eastAsia" w:asciiTheme="minorEastAsia" w:hAnsiTheme="minorEastAsia" w:eastAsiaTheme="minorEastAsia" w:cstheme="minorEastAsia"/>
                <w:bCs/>
                <w:iCs/>
                <w:color w:val="auto"/>
                <w:szCs w:val="21"/>
                <w:lang w:eastAsia="zh-CN"/>
              </w:rPr>
              <w:t>联系人：</w:t>
            </w:r>
            <w:r>
              <w:rPr>
                <w:rFonts w:hint="eastAsia" w:asciiTheme="minorEastAsia" w:hAnsiTheme="minorEastAsia" w:eastAsiaTheme="minorEastAsia" w:cstheme="minorEastAsia"/>
                <w:bCs/>
                <w:iCs/>
                <w:color w:val="auto"/>
                <w:szCs w:val="21"/>
                <w:lang w:val="en-US" w:eastAsia="zh-CN"/>
              </w:rPr>
              <w:t>杜</w:t>
            </w:r>
            <w:r>
              <w:rPr>
                <w:rFonts w:hint="eastAsia" w:asciiTheme="minorEastAsia" w:hAnsiTheme="minorEastAsia" w:eastAsiaTheme="minorEastAsia" w:cstheme="minorEastAsia"/>
                <w:bCs/>
                <w:iCs/>
                <w:color w:val="auto"/>
                <w:szCs w:val="21"/>
                <w:lang w:eastAsia="zh-CN"/>
              </w:rPr>
              <w:t>先生 </w:t>
            </w:r>
          </w:p>
          <w:p>
            <w:pPr>
              <w:adjustRightInd w:val="0"/>
              <w:snapToGrid w:val="0"/>
              <w:spacing w:line="460" w:lineRule="exact"/>
              <w:rPr>
                <w:rFonts w:hint="default" w:asciiTheme="minorEastAsia" w:hAnsiTheme="minorEastAsia" w:eastAsiaTheme="minorEastAsia" w:cstheme="minorEastAsia"/>
                <w:color w:val="auto"/>
              </w:rPr>
            </w:pPr>
            <w:r>
              <w:rPr>
                <w:rFonts w:hint="eastAsia" w:asciiTheme="minorEastAsia" w:hAnsiTheme="minorEastAsia" w:eastAsiaTheme="minorEastAsia" w:cstheme="minorEastAsia"/>
                <w:bCs/>
                <w:iCs/>
                <w:color w:val="auto"/>
                <w:szCs w:val="21"/>
                <w:lang w:eastAsia="zh-CN"/>
              </w:rPr>
              <w:t>电话：</w:t>
            </w:r>
            <w:r>
              <w:rPr>
                <w:rFonts w:hint="eastAsia" w:asciiTheme="minorEastAsia" w:hAnsiTheme="minorEastAsia" w:eastAsiaTheme="minorEastAsia" w:cstheme="minorEastAsia"/>
                <w:bCs/>
                <w:iCs/>
                <w:color w:val="auto"/>
                <w:szCs w:val="21"/>
                <w:lang w:val="en-US" w:eastAsia="zh-CN"/>
              </w:rPr>
              <w:t>13839122818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1.1.3</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采购代理机构</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采购代理机构：博爱县城市建设项目管理有限公司  </w:t>
            </w:r>
          </w:p>
          <w:p>
            <w:pPr>
              <w:pStyle w:val="18"/>
              <w:spacing w:line="360" w:lineRule="exact"/>
              <w:rPr>
                <w:rFonts w:hint="default" w:asciiTheme="minorEastAsia" w:hAnsiTheme="minorEastAsia" w:eastAsiaTheme="minorEastAsia" w:cstheme="minorEastAsia"/>
                <w:bCs/>
                <w:iCs/>
                <w:color w:val="auto"/>
              </w:rPr>
            </w:pPr>
            <w:r>
              <w:rPr>
                <w:rFonts w:asciiTheme="minorEastAsia" w:hAnsiTheme="minorEastAsia" w:eastAsiaTheme="minorEastAsia" w:cstheme="minorEastAsia"/>
                <w:color w:val="auto"/>
              </w:rPr>
              <w:t>联</w:t>
            </w:r>
            <w:r>
              <w:rPr>
                <w:rFonts w:asciiTheme="minorEastAsia" w:hAnsiTheme="minorEastAsia" w:eastAsiaTheme="minorEastAsia" w:cstheme="minorEastAsia"/>
                <w:bCs/>
                <w:iCs/>
                <w:color w:val="auto"/>
              </w:rPr>
              <w:t>系人：</w:t>
            </w:r>
            <w:r>
              <w:rPr>
                <w:rFonts w:hint="eastAsia" w:asciiTheme="minorEastAsia" w:hAnsiTheme="minorEastAsia" w:eastAsiaTheme="minorEastAsia" w:cstheme="minorEastAsia"/>
                <w:bCs/>
                <w:iCs/>
                <w:color w:val="auto"/>
                <w:lang w:val="en-US" w:eastAsia="zh-CN"/>
              </w:rPr>
              <w:t xml:space="preserve">付女士 </w:t>
            </w:r>
            <w:r>
              <w:rPr>
                <w:rFonts w:asciiTheme="minorEastAsia" w:hAnsiTheme="minorEastAsia" w:eastAsiaTheme="minorEastAsia" w:cstheme="minorEastAsia"/>
                <w:bCs/>
                <w:iCs/>
                <w:color w:val="auto"/>
              </w:rPr>
              <w:t xml:space="preserve">    </w:t>
            </w:r>
          </w:p>
          <w:p>
            <w:pPr>
              <w:pStyle w:val="18"/>
              <w:spacing w:line="360" w:lineRule="exact"/>
              <w:rPr>
                <w:rFonts w:hint="eastAsia" w:asciiTheme="minorEastAsia" w:hAnsiTheme="minorEastAsia" w:eastAsiaTheme="minorEastAsia" w:cstheme="minorEastAsia"/>
                <w:color w:val="auto"/>
                <w:lang w:eastAsia="zh-CN"/>
              </w:rPr>
            </w:pPr>
            <w:r>
              <w:rPr>
                <w:rFonts w:asciiTheme="minorEastAsia" w:hAnsiTheme="minorEastAsia" w:eastAsiaTheme="minorEastAsia" w:cstheme="minorEastAsia"/>
                <w:bCs/>
                <w:iCs/>
                <w:color w:val="auto"/>
              </w:rPr>
              <w:t>电话：</w:t>
            </w:r>
            <w:r>
              <w:rPr>
                <w:rFonts w:hint="eastAsia" w:asciiTheme="minorEastAsia" w:hAnsiTheme="minorEastAsia" w:eastAsiaTheme="minorEastAsia" w:cstheme="minorEastAsia"/>
                <w:bCs/>
                <w:iCs/>
                <w:color w:val="auto"/>
                <w:lang w:val="en-US" w:eastAsia="zh-CN"/>
              </w:rPr>
              <w:t xml:space="preserve">13782768572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1.1.4</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259" w:type="dxa"/>
            <w:vAlign w:val="center"/>
          </w:tcPr>
          <w:p>
            <w:pPr>
              <w:adjustRightInd w:val="0"/>
              <w:snapToGrid w:val="0"/>
              <w:spacing w:line="4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博爱县原柏山硫铁矿厂生产厂区污染地块详细调查及风险评估采购项目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1.1.5</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iCs/>
                <w:color w:val="auto"/>
                <w:szCs w:val="21"/>
              </w:rPr>
              <w:t>项目地点</w:t>
            </w:r>
          </w:p>
        </w:tc>
        <w:tc>
          <w:tcPr>
            <w:tcW w:w="6259" w:type="dxa"/>
            <w:vAlign w:val="center"/>
          </w:tcPr>
          <w:p>
            <w:pPr>
              <w:pStyle w:val="18"/>
              <w:spacing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Cs/>
                <w:iCs/>
                <w:color w:val="auto"/>
                <w:szCs w:val="21"/>
                <w:lang w:eastAsia="zh-CN"/>
              </w:rPr>
              <w:t>博爱县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1.2.1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资金来源</w:t>
            </w:r>
          </w:p>
        </w:tc>
        <w:tc>
          <w:tcPr>
            <w:tcW w:w="6259" w:type="dxa"/>
            <w:vAlign w:val="center"/>
          </w:tcPr>
          <w:p>
            <w:pPr>
              <w:pStyle w:val="18"/>
              <w:spacing w:line="360" w:lineRule="exact"/>
              <w:rPr>
                <w:rFonts w:hint="default" w:asciiTheme="minorEastAsia" w:hAnsiTheme="minorEastAsia" w:eastAsiaTheme="minorEastAsia" w:cstheme="minorEastAsia"/>
                <w:color w:val="auto"/>
                <w:lang w:val="en-US" w:eastAsia="zh-CN"/>
              </w:rPr>
            </w:pPr>
            <w:r>
              <w:rPr>
                <w:rFonts w:hint="eastAsia" w:ascii="宋体" w:hAnsi="宋体" w:eastAsia="宋体" w:cs="宋体"/>
                <w:color w:val="auto"/>
                <w:kern w:val="0"/>
                <w:sz w:val="24"/>
                <w:szCs w:val="24"/>
                <w:highlight w:val="none"/>
                <w:lang w:val="en-US" w:eastAsia="zh-CN" w:bidi="ar-SA"/>
              </w:rPr>
              <w:t>中央财政资金+省级财政资金+自筹资金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1.2.2</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资金落实情况</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1.3.1</w:t>
            </w:r>
          </w:p>
        </w:tc>
        <w:tc>
          <w:tcPr>
            <w:tcW w:w="2171" w:type="dxa"/>
            <w:vAlign w:val="center"/>
          </w:tcPr>
          <w:p>
            <w:pPr>
              <w:pStyle w:val="18"/>
              <w:spacing w:line="360" w:lineRule="exact"/>
              <w:ind w:firstLine="630" w:firstLineChars="300"/>
              <w:rPr>
                <w:rFonts w:hint="default" w:asciiTheme="minorEastAsia" w:hAnsiTheme="minorEastAsia" w:eastAsiaTheme="minorEastAsia" w:cstheme="minorEastAsia"/>
                <w:color w:val="0000FF"/>
                <w:highlight w:val="none"/>
              </w:rPr>
            </w:pPr>
            <w:r>
              <w:rPr>
                <w:rFonts w:asciiTheme="minorEastAsia" w:hAnsiTheme="minorEastAsia" w:eastAsiaTheme="minorEastAsia" w:cstheme="minorEastAsia"/>
                <w:color w:val="auto"/>
                <w:highlight w:val="none"/>
              </w:rPr>
              <w:t>采购内容</w:t>
            </w:r>
          </w:p>
        </w:tc>
        <w:tc>
          <w:tcPr>
            <w:tcW w:w="6259" w:type="dxa"/>
          </w:tcPr>
          <w:p>
            <w:pPr>
              <w:pStyle w:val="18"/>
              <w:spacing w:line="36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博爱县原柏山硫铁矿厂生产厂区污染地块详细调查及风险评估采购项目，位于博爱县柏山镇柏山村北，原属省管国有矿山，地块面积约73260 平方米（110亩）。现对该地块进行土壤环境详细调查和风险评估工作。采购要求为产出指标土壤及地下水检测分析570组、固废分析20组、地块详细调查完成率和地块污染风险评估完成率100％；主要效益指标为有效提高污染治理与修复水平、有效降低地下水和土壤污染威胁、有效保障周边居民的生活环境、有效健全土壤污染防治工作机制、群众满意度≥90%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1.3.2</w:t>
            </w:r>
          </w:p>
        </w:tc>
        <w:tc>
          <w:tcPr>
            <w:tcW w:w="2171" w:type="dxa"/>
            <w:vAlign w:val="center"/>
          </w:tcPr>
          <w:p>
            <w:pPr>
              <w:pStyle w:val="18"/>
              <w:spacing w:line="360" w:lineRule="exact"/>
              <w:ind w:firstLine="420" w:firstLineChars="200"/>
              <w:rPr>
                <w:rFonts w:hint="default"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服务期</w:t>
            </w:r>
          </w:p>
        </w:tc>
        <w:tc>
          <w:tcPr>
            <w:tcW w:w="6259" w:type="dxa"/>
            <w:vAlign w:val="center"/>
          </w:tcPr>
          <w:p>
            <w:pPr>
              <w:pStyle w:val="18"/>
              <w:spacing w:line="360" w:lineRule="exact"/>
              <w:ind w:firstLine="42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2023年7月前完成项目内容，并配合项目验收合格。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1.3.3</w:t>
            </w:r>
          </w:p>
        </w:tc>
        <w:tc>
          <w:tcPr>
            <w:tcW w:w="2171" w:type="dxa"/>
            <w:vAlign w:val="center"/>
          </w:tcPr>
          <w:p>
            <w:pPr>
              <w:pStyle w:val="18"/>
              <w:spacing w:line="360" w:lineRule="exact"/>
              <w:ind w:firstLine="420" w:firstLineChars="200"/>
              <w:rPr>
                <w:rFonts w:hint="default" w:asciiTheme="minorEastAsia" w:hAnsiTheme="minorEastAsia" w:eastAsiaTheme="minorEastAsia" w:cstheme="minorEastAsia"/>
                <w:color w:val="auto"/>
                <w:highlight w:val="none"/>
                <w:lang w:eastAsia="zh-CN"/>
              </w:rPr>
            </w:pPr>
            <w:r>
              <w:rPr>
                <w:rFonts w:hint="default" w:asciiTheme="minorEastAsia" w:hAnsiTheme="minorEastAsia" w:eastAsiaTheme="minorEastAsia" w:cstheme="minorEastAsia"/>
                <w:color w:val="auto"/>
                <w:highlight w:val="none"/>
                <w:lang w:eastAsia="zh-CN"/>
              </w:rPr>
              <w:t>质量标准</w:t>
            </w:r>
          </w:p>
        </w:tc>
        <w:tc>
          <w:tcPr>
            <w:tcW w:w="6259" w:type="dxa"/>
            <w:vAlign w:val="center"/>
          </w:tcPr>
          <w:p>
            <w:pPr>
              <w:pStyle w:val="18"/>
              <w:spacing w:line="36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符合国家质量验收合格标准 ，并通过采购人验收。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1.4.1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投标人资质条件</w:t>
            </w:r>
          </w:p>
        </w:tc>
        <w:tc>
          <w:tcPr>
            <w:tcW w:w="6259" w:type="dxa"/>
            <w:vAlign w:val="center"/>
          </w:tcPr>
          <w:p>
            <w:pPr>
              <w:widowControl/>
              <w:spacing w:line="44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1、符合《中华人民共和国政府采购法》第二十二条之规定；</w:t>
            </w:r>
          </w:p>
          <w:p>
            <w:pPr>
              <w:pStyle w:val="23"/>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2、落实政府采购政策需满足的资格要求：促进中小企业和监狱企业发展扶持政策、政府强制采购节能产品、节能产品及环境标志产品优先采购；</w:t>
            </w:r>
          </w:p>
          <w:p>
            <w:pPr>
              <w:widowControl/>
              <w:spacing w:line="44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3、本项目的特定资格要求：</w:t>
            </w:r>
          </w:p>
          <w:p>
            <w:pPr>
              <w:widowControl/>
              <w:spacing w:line="44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3.1投标人须具有有效的营业执照，并具有实施完成本项目的经营实力和完善的售后服务体系；项目负责人具有地质类相关专业高级工程师及以上职称。（项目负责人应为本单位员工并提供近6个月连续在本单位缴纳社保证明，个人缴纳社保名称须与投标单位名称一致，否则不予认可）。</w:t>
            </w:r>
          </w:p>
          <w:p>
            <w:pPr>
              <w:widowControl/>
              <w:spacing w:line="44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p>
            <w:pPr>
              <w:widowControl/>
              <w:spacing w:line="44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3.3本项目不接受联合体投标。 </w:t>
            </w:r>
          </w:p>
          <w:p>
            <w:pPr>
              <w:pStyle w:val="18"/>
              <w:spacing w:line="360" w:lineRule="exact"/>
              <w:ind w:firstLine="420" w:firstLineChars="200"/>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1.4.2</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是否接受联合体</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投标预备会</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1.10.2</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投标人提出问题的</w:t>
            </w:r>
          </w:p>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截止时间</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1.10.3</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采购人说明澄清的时间</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分包</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1.12</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w:t>
            </w:r>
          </w:p>
        </w:tc>
        <w:tc>
          <w:tcPr>
            <w:tcW w:w="6259"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2.2.1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投标人要求澄清招标文件的截止时间</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2.2.2</w:t>
            </w:r>
          </w:p>
        </w:tc>
        <w:tc>
          <w:tcPr>
            <w:tcW w:w="2171" w:type="dxa"/>
            <w:vAlign w:val="center"/>
          </w:tcPr>
          <w:p>
            <w:pPr>
              <w:pStyle w:val="18"/>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259"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b/>
                <w:bCs/>
                <w:color w:val="auto"/>
                <w:kern w:val="0"/>
                <w:sz w:val="24"/>
                <w:u w:val="single"/>
              </w:rPr>
              <w:t>2022年</w:t>
            </w:r>
            <w:r>
              <w:rPr>
                <w:rFonts w:hint="eastAsia" w:ascii="宋体" w:hAnsi="宋体" w:cs="宋体"/>
                <w:b/>
                <w:bCs/>
                <w:color w:val="auto"/>
                <w:kern w:val="0"/>
                <w:sz w:val="24"/>
                <w:u w:val="single"/>
                <w:lang w:val="en-US" w:eastAsia="zh-CN"/>
              </w:rPr>
              <w:t>12</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 xml:space="preserve"> 29</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分（北京时间</w:t>
            </w:r>
            <w:r>
              <w:rPr>
                <w:rFonts w:hint="eastAsia" w:ascii="宋体" w:hAnsi="宋体" w:cs="宋体"/>
                <w:b/>
                <w:bCs/>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投标人确认收到招标文件澄清的时间</w:t>
            </w:r>
          </w:p>
        </w:tc>
        <w:tc>
          <w:tcPr>
            <w:tcW w:w="6259"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投标人确认收到招标文件修改的时间</w:t>
            </w:r>
          </w:p>
        </w:tc>
        <w:tc>
          <w:tcPr>
            <w:tcW w:w="6259"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构成投标文件的</w:t>
            </w:r>
          </w:p>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其他材料</w:t>
            </w:r>
          </w:p>
        </w:tc>
        <w:tc>
          <w:tcPr>
            <w:tcW w:w="6259"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投标有效期</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3.6</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是否允许递交备选</w:t>
            </w:r>
          </w:p>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投标方案</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w:t>
            </w:r>
          </w:p>
        </w:tc>
        <w:tc>
          <w:tcPr>
            <w:tcW w:w="2171"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签字盖章要求</w:t>
            </w:r>
          </w:p>
        </w:tc>
        <w:tc>
          <w:tcPr>
            <w:tcW w:w="6259" w:type="dxa"/>
            <w:shd w:val="clear" w:color="auto" w:fill="auto"/>
            <w:vAlign w:val="center"/>
          </w:tcPr>
          <w:p>
            <w:pPr>
              <w:spacing w:line="360" w:lineRule="exact"/>
              <w:jc w:val="left"/>
              <w:rPr>
                <w:rFonts w:ascii="宋体" w:hAnsi="宋体" w:cs="宋体"/>
                <w:b/>
                <w:bCs/>
                <w:color w:val="auto"/>
                <w:szCs w:val="21"/>
              </w:rPr>
            </w:pPr>
            <w:r>
              <w:rPr>
                <w:rFonts w:hint="eastAsia" w:ascii="宋体" w:hAnsi="宋体" w:cs="宋体"/>
                <w:b/>
                <w:bCs/>
                <w:color w:val="auto"/>
                <w:szCs w:val="21"/>
              </w:rPr>
              <w:t>（1）所有要求投标人加盖公章的地方都须加盖投标人单位的 CA 印章。</w:t>
            </w:r>
          </w:p>
          <w:p>
            <w:pPr>
              <w:pStyle w:val="18"/>
              <w:spacing w:line="360" w:lineRule="exact"/>
              <w:rPr>
                <w:rFonts w:hint="default" w:asciiTheme="minorEastAsia" w:hAnsiTheme="minorEastAsia" w:eastAsiaTheme="minorEastAsia" w:cstheme="minorEastAsia"/>
                <w:color w:val="auto"/>
              </w:rPr>
            </w:pPr>
            <w:r>
              <w:rPr>
                <w:rFonts w:hAnsi="宋体" w:cs="宋体"/>
                <w:b/>
                <w:bCs/>
                <w:color w:val="auto"/>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3.7.4</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投标文件份数</w:t>
            </w:r>
          </w:p>
        </w:tc>
        <w:tc>
          <w:tcPr>
            <w:tcW w:w="6259" w:type="dxa"/>
            <w:vAlign w:val="center"/>
          </w:tcPr>
          <w:p>
            <w:pPr>
              <w:pStyle w:val="18"/>
              <w:spacing w:line="360" w:lineRule="exact"/>
              <w:rPr>
                <w:rFonts w:hint="default" w:asciiTheme="minorEastAsia" w:hAnsiTheme="minorEastAsia" w:cstheme="minorEastAsia"/>
                <w:color w:val="auto"/>
              </w:rPr>
            </w:pPr>
            <w:r>
              <w:rPr>
                <w:b/>
                <w:bCs/>
                <w:color w:val="auto"/>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4.2.2</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递交投标文件方式和</w:t>
            </w:r>
          </w:p>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地点</w:t>
            </w:r>
          </w:p>
        </w:tc>
        <w:tc>
          <w:tcPr>
            <w:tcW w:w="6259" w:type="dxa"/>
            <w:vAlign w:val="center"/>
          </w:tcPr>
          <w:p>
            <w:pPr>
              <w:pStyle w:val="18"/>
              <w:spacing w:line="400" w:lineRule="exact"/>
              <w:rPr>
                <w:rFonts w:hint="default" w:hAnsi="宋体"/>
                <w:color w:val="auto"/>
              </w:rPr>
            </w:pPr>
            <w:r>
              <w:rPr>
                <w:rFonts w:hAnsi="宋体"/>
                <w:color w:val="auto"/>
              </w:rPr>
              <w:t xml:space="preserve">本项目采用“远程不见面”开标方式，远程开标大厅网址为http://122.112.246.33/BidOpening/bidopeninghallaction/hall/login。投标人不需到开标现场参加开标会议，不需提交原件资料等。 </w:t>
            </w:r>
          </w:p>
          <w:p>
            <w:pPr>
              <w:pStyle w:val="18"/>
              <w:spacing w:line="400" w:lineRule="exact"/>
              <w:rPr>
                <w:rFonts w:hint="default" w:hAnsi="宋体"/>
                <w:color w:val="auto"/>
              </w:rPr>
            </w:pPr>
            <w:r>
              <w:rPr>
                <w:rFonts w:hAnsi="宋体"/>
                <w:color w:val="auto"/>
              </w:rPr>
              <w:t>（1）电子投标文件的递交</w:t>
            </w:r>
          </w:p>
          <w:p>
            <w:pPr>
              <w:pStyle w:val="18"/>
              <w:spacing w:line="400" w:lineRule="exact"/>
              <w:rPr>
                <w:rFonts w:hint="default" w:hAnsi="宋体"/>
                <w:color w:val="auto"/>
              </w:rPr>
            </w:pPr>
            <w:r>
              <w:rPr>
                <w:rFonts w:hAnsi="宋体"/>
                <w:color w:val="auto"/>
              </w:rPr>
              <w:t>a、各投标人应在投标截止时间前上传加密的电子投标文件</w:t>
            </w:r>
          </w:p>
          <w:p>
            <w:pPr>
              <w:pStyle w:val="18"/>
              <w:spacing w:line="400" w:lineRule="exact"/>
              <w:rPr>
                <w:rFonts w:hint="default" w:hAnsi="宋体"/>
                <w:color w:val="auto"/>
              </w:rPr>
            </w:pPr>
            <w:r>
              <w:rPr>
                <w:rFonts w:hAnsi="宋体"/>
                <w:color w:val="auto"/>
              </w:rPr>
              <w:t>（.jztf 格式）到会员系统的指定位置。上传时必须得到电脑“上传成功”的确认回复。请投标人在上传时认真检查上传投标文件是否完整、正确。</w:t>
            </w:r>
          </w:p>
          <w:p>
            <w:pPr>
              <w:pStyle w:val="18"/>
              <w:spacing w:line="400" w:lineRule="exact"/>
              <w:rPr>
                <w:rFonts w:hint="default"/>
                <w:color w:val="auto"/>
              </w:rPr>
            </w:pPr>
            <w:r>
              <w:rPr>
                <w:rFonts w:hAnsi="宋体"/>
                <w:color w:val="auto"/>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4.2.3</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是否退还投标文件</w:t>
            </w:r>
          </w:p>
        </w:tc>
        <w:tc>
          <w:tcPr>
            <w:tcW w:w="6259" w:type="dxa"/>
            <w:vAlign w:val="center"/>
          </w:tcPr>
          <w:p>
            <w:pPr>
              <w:pStyle w:val="18"/>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5.1</w:t>
            </w:r>
          </w:p>
        </w:tc>
        <w:tc>
          <w:tcPr>
            <w:tcW w:w="2171"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开标时间和地点</w:t>
            </w:r>
          </w:p>
        </w:tc>
        <w:tc>
          <w:tcPr>
            <w:tcW w:w="6259" w:type="dxa"/>
            <w:vAlign w:val="center"/>
          </w:tcPr>
          <w:p>
            <w:pPr>
              <w:adjustRightInd w:val="0"/>
              <w:snapToGrid w:val="0"/>
              <w:spacing w:line="400" w:lineRule="exact"/>
              <w:rPr>
                <w:rFonts w:ascii="宋体" w:hAnsi="宋体"/>
                <w:color w:val="auto"/>
                <w:szCs w:val="21"/>
              </w:rPr>
            </w:pPr>
            <w:r>
              <w:rPr>
                <w:rFonts w:hint="eastAsia" w:ascii="宋体" w:hAnsi="宋体"/>
                <w:color w:val="auto"/>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rPr>
            </w:pPr>
            <w:r>
              <w:rPr>
                <w:rFonts w:hint="eastAsia" w:ascii="宋体" w:hAnsi="宋体"/>
                <w:color w:val="auto"/>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评标委员会的组建</w:t>
            </w:r>
          </w:p>
        </w:tc>
        <w:tc>
          <w:tcPr>
            <w:tcW w:w="6259" w:type="dxa"/>
            <w:vAlign w:val="center"/>
          </w:tcPr>
          <w:p>
            <w:pPr>
              <w:spacing w:line="360" w:lineRule="exact"/>
              <w:ind w:left="700" w:hanging="7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取的评审专家4名共5人组成。</w:t>
            </w:r>
          </w:p>
          <w:p>
            <w:pPr>
              <w:spacing w:line="360" w:lineRule="exact"/>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是否授权评标委员会确定中标人</w:t>
            </w:r>
          </w:p>
        </w:tc>
        <w:tc>
          <w:tcPr>
            <w:tcW w:w="6259" w:type="dxa"/>
            <w:vAlign w:val="center"/>
          </w:tcPr>
          <w:p>
            <w:pPr>
              <w:spacing w:line="38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7.3.1</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w:t>
            </w:r>
          </w:p>
        </w:tc>
        <w:tc>
          <w:tcPr>
            <w:tcW w:w="6259" w:type="dxa"/>
            <w:vAlign w:val="center"/>
          </w:tcPr>
          <w:p>
            <w:pPr>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8"/>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7.3.2</w:t>
            </w:r>
          </w:p>
        </w:tc>
        <w:tc>
          <w:tcPr>
            <w:tcW w:w="2171"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259" w:type="dxa"/>
            <w:shd w:val="clear" w:color="auto" w:fill="auto"/>
            <w:vAlign w:val="center"/>
          </w:tcPr>
          <w:p>
            <w:pPr>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w:t>
            </w:r>
          </w:p>
        </w:tc>
        <w:tc>
          <w:tcPr>
            <w:tcW w:w="6259" w:type="dxa"/>
            <w:vAlign w:val="bottom"/>
          </w:tcPr>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1、本项目预算金额为：</w:t>
            </w:r>
            <w:r>
              <w:rPr>
                <w:rFonts w:hint="eastAsia" w:asciiTheme="minorEastAsia" w:hAnsiTheme="minorEastAsia" w:eastAsiaTheme="minorEastAsia" w:cstheme="minorEastAsia"/>
                <w:color w:val="auto"/>
                <w:szCs w:val="21"/>
                <w:lang w:val="en-US" w:eastAsia="zh-CN"/>
              </w:rPr>
              <w:t>5094190.00</w:t>
            </w:r>
            <w:r>
              <w:rPr>
                <w:rFonts w:hint="eastAsia" w:asciiTheme="minorEastAsia" w:hAnsiTheme="minorEastAsia" w:eastAsiaTheme="minorEastAsia" w:cstheme="minorEastAsia"/>
                <w:color w:val="auto"/>
                <w:szCs w:val="21"/>
              </w:rPr>
              <w:t>元</w:t>
            </w: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2、控制价是采购人设置的最高限价，投标人的投标报价高于控制价的视为无效报价，其投标予以拒绝；</w:t>
            </w: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10.2</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小型或微型企业（含监狱企业）</w:t>
            </w:r>
          </w:p>
        </w:tc>
        <w:tc>
          <w:tcPr>
            <w:tcW w:w="6259" w:type="dxa"/>
            <w:vAlign w:val="center"/>
          </w:tcPr>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1、对小型或微型企业投标的扶持：(如有）</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1.1投标投标人为小型或微型企业时，报价给予C1的价格扣除（C1的取值为</w:t>
            </w:r>
            <w:r>
              <w:rPr>
                <w:rFonts w:hint="eastAsia" w:ascii="宋体" w:hAnsi="宋体" w:cs="宋体"/>
                <w:color w:val="auto"/>
                <w:kern w:val="0"/>
                <w:szCs w:val="21"/>
                <w:lang w:val="en-US" w:eastAsia="zh-CN"/>
              </w:rPr>
              <w:t>20</w:t>
            </w:r>
            <w:r>
              <w:rPr>
                <w:rFonts w:hint="eastAsia" w:ascii="宋体" w:hAnsi="宋体" w:cs="宋体"/>
                <w:color w:val="auto"/>
                <w:kern w:val="0"/>
                <w:szCs w:val="21"/>
              </w:rPr>
              <w:t>%），即：评标价＝投标报价（最后报价）×(1－C1）；</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小微企业应当提供《中小企业声明函》（见格式）。</w:t>
            </w:r>
            <w:r>
              <w:rPr>
                <w:rFonts w:hint="eastAsia" w:ascii="宋体" w:hAnsi="宋体" w:cs="宋体"/>
                <w:color w:val="auto"/>
                <w:kern w:val="0"/>
                <w:szCs w:val="21"/>
              </w:rPr>
              <w:br w:type="textWrapping"/>
            </w:r>
            <w:r>
              <w:rPr>
                <w:rFonts w:hint="eastAsia" w:ascii="宋体" w:hAnsi="宋体" w:cs="宋体"/>
                <w:color w:val="auto"/>
                <w:kern w:val="0"/>
                <w:szCs w:val="21"/>
              </w:rPr>
              <w:t>1.2按照</w:t>
            </w:r>
            <w:r>
              <w:rPr>
                <w:rFonts w:hint="eastAsia" w:ascii="宋体" w:hAnsi="宋体" w:cs="宋体"/>
                <w:color w:val="auto"/>
                <w:kern w:val="0"/>
                <w:sz w:val="24"/>
                <w:szCs w:val="22"/>
              </w:rPr>
              <w:t>《</w:t>
            </w:r>
            <w:r>
              <w:rPr>
                <w:rFonts w:hint="eastAsia" w:ascii="宋体" w:hAnsi="宋体" w:cs="宋体"/>
                <w:color w:val="auto"/>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rPr>
            </w:pPr>
            <w:r>
              <w:rPr>
                <w:rFonts w:hint="eastAsia" w:ascii="宋体" w:hAnsi="宋体" w:cs="宋体"/>
                <w:bCs/>
                <w:color w:val="auto"/>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宋体" w:hAnsi="宋体" w:cs="宋体"/>
                <w:bCs/>
                <w:color w:val="auto"/>
                <w:lang w:val="en-US" w:eastAsia="zh-CN"/>
              </w:rPr>
              <w:t>20</w:t>
            </w:r>
            <w:r>
              <w:rPr>
                <w:rFonts w:hint="eastAsia" w:ascii="宋体" w:hAnsi="宋体" w:cs="宋体"/>
                <w:bCs/>
                <w:color w:val="auto"/>
              </w:rPr>
              <w:t>%的扣除。</w:t>
            </w:r>
          </w:p>
          <w:p>
            <w:pPr>
              <w:spacing w:line="440" w:lineRule="exact"/>
              <w:ind w:firstLine="420" w:firstLineChars="200"/>
              <w:rPr>
                <w:rFonts w:asciiTheme="minorEastAsia" w:hAnsiTheme="minorEastAsia" w:eastAsiaTheme="minorEastAsia" w:cstheme="minorEastAsia"/>
                <w:color w:val="auto"/>
                <w:szCs w:val="21"/>
              </w:rPr>
            </w:pPr>
            <w:r>
              <w:rPr>
                <w:rFonts w:hint="eastAsia" w:ascii="宋体" w:hAnsi="宋体" w:cs="宋体"/>
                <w:bCs/>
                <w:color w:val="auto"/>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10.3</w:t>
            </w:r>
          </w:p>
        </w:tc>
        <w:tc>
          <w:tcPr>
            <w:tcW w:w="2171" w:type="dxa"/>
            <w:vAlign w:val="center"/>
          </w:tcPr>
          <w:p>
            <w:pPr>
              <w:spacing w:line="440" w:lineRule="exact"/>
              <w:rPr>
                <w:rFonts w:hint="eastAsia" w:ascii="宋体" w:hAnsi="宋体" w:cs="宋体"/>
                <w:bCs/>
                <w:color w:val="auto"/>
                <w:highlight w:val="yellow"/>
              </w:rPr>
            </w:pPr>
            <w:r>
              <w:rPr>
                <w:rFonts w:hint="eastAsia" w:ascii="宋体" w:hAnsi="宋体" w:cs="宋体"/>
                <w:bCs/>
                <w:color w:val="auto"/>
                <w:highlight w:val="none"/>
              </w:rPr>
              <w:t>付款方式</w:t>
            </w:r>
          </w:p>
        </w:tc>
        <w:tc>
          <w:tcPr>
            <w:tcW w:w="6259" w:type="dxa"/>
            <w:shd w:val="clear" w:color="auto" w:fill="auto"/>
            <w:vAlign w:val="center"/>
          </w:tcPr>
          <w:p>
            <w:pPr>
              <w:spacing w:line="440" w:lineRule="exact"/>
              <w:rPr>
                <w:rFonts w:hint="default" w:ascii="宋体" w:hAnsi="宋体" w:cs="宋体"/>
                <w:bCs/>
                <w:color w:val="auto"/>
                <w:highlight w:val="none"/>
              </w:rPr>
            </w:pPr>
            <w:r>
              <w:rPr>
                <w:rFonts w:hint="eastAsia" w:ascii="宋体" w:hAnsi="宋体" w:cs="宋体"/>
                <w:bCs/>
                <w:color w:val="auto"/>
                <w:highlight w:val="none"/>
                <w:lang w:val="en-US" w:eastAsia="zh-CN"/>
              </w:rPr>
              <w:t xml:space="preserve">   </w:t>
            </w:r>
            <w:r>
              <w:rPr>
                <w:rFonts w:hint="default" w:ascii="宋体" w:hAnsi="宋体" w:cs="宋体"/>
                <w:bCs/>
                <w:color w:val="auto"/>
                <w:highlight w:val="none"/>
              </w:rPr>
              <w:t>项目签订合同后10个工作日内，一次性支付合同总价款的60%；待项目详细调查报告和项目风险评估通过评审并提交成果起10个工作日内，一次性支付合同总价款的40%。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10.4</w:t>
            </w:r>
          </w:p>
        </w:tc>
        <w:tc>
          <w:tcPr>
            <w:tcW w:w="2171"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招标代理服务费</w:t>
            </w:r>
          </w:p>
        </w:tc>
        <w:tc>
          <w:tcPr>
            <w:tcW w:w="6259" w:type="dxa"/>
            <w:vAlign w:val="center"/>
          </w:tcPr>
          <w:p>
            <w:pPr>
              <w:spacing w:line="440" w:lineRule="exact"/>
              <w:rPr>
                <w:color w:val="auto"/>
              </w:rPr>
            </w:pPr>
            <w:r>
              <w:rPr>
                <w:rFonts w:hint="eastAsia" w:ascii="宋体" w:hAnsi="宋体" w:cs="宋体"/>
                <w:bCs/>
                <w:color w:val="auto"/>
              </w:rPr>
              <w:t>招标代理服务费依据国家发展改革委发改价格[2015]299号文件的规定收取，由中标人支付。招标代理费由招标代理机构通知中标企业结清后，领取中标通知书。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10.8</w:t>
            </w:r>
          </w:p>
        </w:tc>
        <w:tc>
          <w:tcPr>
            <w:tcW w:w="2171"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认定为不响应招标文件的其它条件</w:t>
            </w:r>
          </w:p>
        </w:tc>
        <w:tc>
          <w:tcPr>
            <w:tcW w:w="6259" w:type="dxa"/>
            <w:vAlign w:val="center"/>
          </w:tcPr>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1、未按招标文件明示的规定签字盖章的；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2、投标文件的关键内容（投标报价、服务期、质量</w:t>
            </w:r>
            <w:r>
              <w:rPr>
                <w:rFonts w:hint="eastAsia" w:asciiTheme="minorEastAsia" w:hAnsiTheme="minorEastAsia" w:eastAsiaTheme="minorEastAsia" w:cstheme="minorEastAsia"/>
                <w:b/>
                <w:bCs/>
                <w:color w:val="auto"/>
                <w:szCs w:val="21"/>
                <w:lang w:val="en-US" w:eastAsia="zh-CN"/>
              </w:rPr>
              <w:t>标准</w:t>
            </w:r>
            <w:r>
              <w:rPr>
                <w:rFonts w:hint="eastAsia" w:asciiTheme="minorEastAsia" w:hAnsiTheme="minorEastAsia" w:eastAsiaTheme="minorEastAsia" w:cstheme="minorEastAsia"/>
                <w:b/>
                <w:bCs/>
                <w:color w:val="auto"/>
                <w:szCs w:val="21"/>
              </w:rPr>
              <w:t>等）未填写或填写字迹模糊、达不到采购要求的；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3、投标报价超出招标控制价的；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4、投标人递交两份或多份内容不同的投标文件，或在一份投标文件中对同一招标项目有两个或多个报价，且未声明哪一个有效的；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5、相关资格证明文件不合格的；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、附有采购人不能接受的条件的；</w:t>
            </w:r>
          </w:p>
          <w:p>
            <w:pPr>
              <w:pStyle w:val="5"/>
              <w:ind w:firstLine="0" w:firstLineChars="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、评标过程中，如因两个或两个以上投标人在同一台计算或同一个IP上传投标文件，而被不见面开标系统提示为“投标文件制作机器码一致”的，则视其投标无效。</w:t>
            </w:r>
          </w:p>
          <w:p>
            <w:pPr>
              <w:pStyle w:val="5"/>
              <w:ind w:firstLine="0" w:firstLineChars="0"/>
              <w:rPr>
                <w:b/>
                <w:bCs/>
                <w:color w:val="auto"/>
              </w:rPr>
            </w:pPr>
            <w:r>
              <w:rPr>
                <w:rFonts w:hint="eastAsia" w:asciiTheme="minorEastAsia" w:hAnsiTheme="minorEastAsia" w:eastAsiaTheme="minorEastAsia" w:cstheme="minorEastAsia"/>
                <w:b/>
                <w:bCs/>
                <w:color w:val="auto"/>
                <w:szCs w:val="21"/>
                <w:lang w:val="en-US" w:eastAsia="zh-CN"/>
              </w:rPr>
              <w:t>8</w:t>
            </w:r>
            <w:r>
              <w:rPr>
                <w:rFonts w:hint="eastAsia" w:asciiTheme="minorEastAsia" w:hAnsiTheme="minorEastAsia" w:eastAsiaTheme="minorEastAsia" w:cstheme="minorEastAsia"/>
                <w:b/>
                <w:bCs/>
                <w:color w:val="auto"/>
                <w:szCs w:val="21"/>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本招标文件解释权归采购人</w:t>
            </w:r>
          </w:p>
        </w:tc>
      </w:tr>
    </w:tbl>
    <w:p>
      <w:pPr>
        <w:pStyle w:val="24"/>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rPr>
      </w:pPr>
      <w:bookmarkStart w:id="10" w:name="_Toc23576"/>
      <w:bookmarkStart w:id="11" w:name="_Toc426369479"/>
      <w:bookmarkStart w:id="12" w:name="_Toc9048"/>
      <w:bookmarkStart w:id="13" w:name="_Toc17744"/>
      <w:bookmarkStart w:id="14" w:name="_Toc23082"/>
      <w:bookmarkStart w:id="15" w:name="_Toc403122491"/>
      <w:bookmarkStart w:id="16" w:name="_Toc426369491"/>
      <w:bookmarkStart w:id="17" w:name="_Toc403122503"/>
      <w:bookmarkStart w:id="18" w:name="_Toc26894"/>
      <w:r>
        <w:rPr>
          <w:rFonts w:hint="eastAsia" w:asciiTheme="minorEastAsia" w:hAnsiTheme="minorEastAsia" w:eastAsiaTheme="minorEastAsia" w:cstheme="minorEastAsia"/>
          <w:color w:val="auto"/>
          <w:sz w:val="24"/>
          <w:szCs w:val="24"/>
        </w:rPr>
        <w:t>1. 总则</w:t>
      </w:r>
      <w:bookmarkEnd w:id="10"/>
      <w:bookmarkEnd w:id="11"/>
      <w:bookmarkEnd w:id="12"/>
      <w:bookmarkEnd w:id="13"/>
      <w:bookmarkEnd w:id="14"/>
      <w:bookmarkEnd w:id="15"/>
    </w:p>
    <w:p>
      <w:pPr>
        <w:spacing w:line="500" w:lineRule="exact"/>
        <w:ind w:firstLine="482" w:firstLineChars="200"/>
        <w:rPr>
          <w:rFonts w:asciiTheme="minorEastAsia" w:hAnsiTheme="minorEastAsia" w:eastAsiaTheme="minorEastAsia" w:cstheme="minorEastAsia"/>
          <w:b/>
          <w:bCs/>
          <w:color w:val="auto"/>
          <w:sz w:val="24"/>
        </w:rPr>
      </w:pPr>
      <w:bookmarkStart w:id="19" w:name="_Toc403122492"/>
      <w:bookmarkStart w:id="20" w:name="_Toc279599771"/>
      <w:bookmarkStart w:id="21" w:name="_Toc426369480"/>
      <w:bookmarkStart w:id="22" w:name="_Toc274249575"/>
      <w:r>
        <w:rPr>
          <w:rFonts w:hint="eastAsia" w:asciiTheme="minorEastAsia" w:hAnsiTheme="minorEastAsia" w:eastAsiaTheme="minorEastAsia" w:cstheme="minorEastAsia"/>
          <w:b/>
          <w:bCs/>
          <w:color w:val="auto"/>
          <w:sz w:val="24"/>
        </w:rPr>
        <w:t>1.1 项目概况</w:t>
      </w:r>
      <w:bookmarkEnd w:id="19"/>
      <w:bookmarkEnd w:id="20"/>
      <w:bookmarkEnd w:id="21"/>
      <w:bookmarkEnd w:id="22"/>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 根据</w:t>
      </w:r>
      <w:r>
        <w:rPr>
          <w:rFonts w:hint="eastAsia" w:asciiTheme="minorEastAsia" w:hAnsiTheme="minorEastAsia" w:eastAsiaTheme="minorEastAsia" w:cstheme="minorEastAsia"/>
          <w:bCs/>
          <w:color w:val="auto"/>
          <w:szCs w:val="21"/>
        </w:rPr>
        <w:t>《中华人民共和国政府采购法》</w:t>
      </w:r>
      <w:r>
        <w:rPr>
          <w:rFonts w:hint="eastAsia" w:asciiTheme="minorEastAsia" w:hAnsiTheme="minorEastAsia" w:eastAsiaTheme="minorEastAsia" w:cstheme="minorEastAsia"/>
          <w:color w:val="auto"/>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1.1.2  本招标项目采购人：见投标人须知前附表。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1.1.3  本招标项目采购代理机构：见投标人须知前附表。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1.1.4  本招标项目名称：见投标人须知前附表。 </w:t>
      </w:r>
    </w:p>
    <w:p>
      <w:pPr>
        <w:spacing w:line="500" w:lineRule="exact"/>
        <w:ind w:firstLine="482" w:firstLineChars="200"/>
        <w:rPr>
          <w:rFonts w:asciiTheme="minorEastAsia" w:hAnsiTheme="minorEastAsia" w:eastAsiaTheme="minorEastAsia" w:cstheme="minorEastAsia"/>
          <w:b/>
          <w:bCs/>
          <w:color w:val="auto"/>
          <w:sz w:val="24"/>
        </w:rPr>
      </w:pPr>
      <w:bookmarkStart w:id="23" w:name="_Toc403122493"/>
      <w:bookmarkStart w:id="24" w:name="_Toc426369481"/>
      <w:bookmarkStart w:id="25" w:name="_Toc274249576"/>
      <w:bookmarkStart w:id="26" w:name="_Toc279599772"/>
      <w:r>
        <w:rPr>
          <w:rFonts w:hint="eastAsia" w:asciiTheme="minorEastAsia" w:hAnsiTheme="minorEastAsia" w:eastAsiaTheme="minorEastAsia" w:cstheme="minorEastAsia"/>
          <w:b/>
          <w:bCs/>
          <w:color w:val="auto"/>
          <w:sz w:val="24"/>
        </w:rPr>
        <w:t>1.2 资金来源和落实情况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1.2.1  本招标项目的资金来源：见投标人须知前附表。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1.2.2  本招标项目的资金落实情况：见投标人须知前附表。 </w:t>
      </w:r>
    </w:p>
    <w:p>
      <w:pPr>
        <w:spacing w:line="500" w:lineRule="exact"/>
        <w:ind w:firstLine="482" w:firstLineChars="200"/>
        <w:rPr>
          <w:rFonts w:asciiTheme="minorEastAsia" w:hAnsiTheme="minorEastAsia" w:eastAsiaTheme="minorEastAsia" w:cstheme="minorEastAsia"/>
          <w:b/>
          <w:bCs/>
          <w:color w:val="auto"/>
          <w:sz w:val="24"/>
        </w:rPr>
      </w:pPr>
      <w:bookmarkStart w:id="27" w:name="_Toc279599773"/>
      <w:bookmarkStart w:id="28" w:name="_Toc426369482"/>
      <w:bookmarkStart w:id="29" w:name="_Toc403122494"/>
      <w:bookmarkStart w:id="30" w:name="_Toc274249577"/>
      <w:r>
        <w:rPr>
          <w:rFonts w:hint="eastAsia" w:asciiTheme="minorEastAsia" w:hAnsiTheme="minorEastAsia" w:eastAsiaTheme="minorEastAsia" w:cstheme="minorEastAsia"/>
          <w:b/>
          <w:bCs/>
          <w:color w:val="auto"/>
          <w:sz w:val="24"/>
        </w:rPr>
        <w:t>1.3 采购内容、服务期和质量</w:t>
      </w:r>
      <w:bookmarkEnd w:id="27"/>
      <w:bookmarkEnd w:id="28"/>
      <w:bookmarkEnd w:id="29"/>
      <w:bookmarkEnd w:id="30"/>
      <w:r>
        <w:rPr>
          <w:rFonts w:hint="eastAsia" w:asciiTheme="minorEastAsia" w:hAnsiTheme="minorEastAsia" w:eastAsiaTheme="minorEastAsia" w:cstheme="minorEastAsia"/>
          <w:b/>
          <w:bCs/>
          <w:color w:val="auto"/>
          <w:sz w:val="24"/>
        </w:rPr>
        <w:t>标准</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1.3.1  本次招标采购内容：见投标人须知前附表。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  本次招标的</w:t>
      </w:r>
      <w:r>
        <w:rPr>
          <w:rFonts w:hint="eastAsia" w:asciiTheme="minorEastAsia" w:hAnsiTheme="minorEastAsia" w:eastAsiaTheme="minorEastAsia" w:cstheme="minorEastAsia"/>
          <w:color w:val="auto"/>
          <w:szCs w:val="21"/>
          <w:lang w:val="en-US" w:eastAsia="zh-CN"/>
        </w:rPr>
        <w:t>服务期</w:t>
      </w:r>
      <w:r>
        <w:rPr>
          <w:rFonts w:hint="eastAsia" w:asciiTheme="minorEastAsia" w:hAnsiTheme="minorEastAsia" w:eastAsiaTheme="minorEastAsia" w:cstheme="minorEastAsia"/>
          <w:color w:val="auto"/>
          <w:szCs w:val="21"/>
        </w:rPr>
        <w:t xml:space="preserve">：见投标人须知前附表。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1.3.3  本次招标的质量</w:t>
      </w:r>
      <w:r>
        <w:rPr>
          <w:rFonts w:hint="eastAsia" w:asciiTheme="minorEastAsia" w:hAnsiTheme="minorEastAsia" w:eastAsiaTheme="minorEastAsia" w:cstheme="minorEastAsia"/>
          <w:color w:val="auto"/>
          <w:szCs w:val="21"/>
          <w:lang w:val="en-US" w:eastAsia="zh-CN"/>
        </w:rPr>
        <w:t>标准</w:t>
      </w:r>
      <w:r>
        <w:rPr>
          <w:rFonts w:hint="eastAsia" w:asciiTheme="minorEastAsia" w:hAnsiTheme="minorEastAsia" w:eastAsiaTheme="minorEastAsia" w:cstheme="minorEastAsia"/>
          <w:color w:val="auto"/>
          <w:szCs w:val="21"/>
        </w:rPr>
        <w:t xml:space="preserve">：见投标人须知前附表。 </w:t>
      </w:r>
      <w:r>
        <w:rPr>
          <w:rFonts w:hint="eastAsia" w:asciiTheme="minorEastAsia" w:hAnsiTheme="minorEastAsia" w:eastAsiaTheme="minorEastAsia" w:cstheme="minorEastAsia"/>
          <w:color w:val="auto"/>
          <w:szCs w:val="21"/>
        </w:rPr>
        <w:tab/>
      </w:r>
    </w:p>
    <w:p>
      <w:pPr>
        <w:spacing w:line="500" w:lineRule="exact"/>
        <w:ind w:firstLine="482" w:firstLineChars="200"/>
        <w:rPr>
          <w:rFonts w:asciiTheme="minorEastAsia" w:hAnsiTheme="minorEastAsia" w:eastAsiaTheme="minorEastAsia" w:cstheme="minorEastAsia"/>
          <w:b/>
          <w:bCs/>
          <w:color w:val="auto"/>
          <w:sz w:val="24"/>
        </w:rPr>
      </w:pPr>
      <w:bookmarkStart w:id="31" w:name="_Toc426369483"/>
      <w:bookmarkStart w:id="32" w:name="_Toc279599774"/>
      <w:bookmarkStart w:id="33" w:name="_Toc274249578"/>
      <w:bookmarkStart w:id="34" w:name="_Toc403122495"/>
      <w:r>
        <w:rPr>
          <w:rFonts w:hint="eastAsia" w:asciiTheme="minorEastAsia" w:hAnsiTheme="minorEastAsia" w:eastAsiaTheme="minorEastAsia" w:cstheme="minorEastAsia"/>
          <w:b/>
          <w:bCs/>
          <w:color w:val="auto"/>
          <w:sz w:val="24"/>
        </w:rPr>
        <w:t>1.4 投标人资格要求</w:t>
      </w:r>
      <w:bookmarkEnd w:id="31"/>
      <w:bookmarkEnd w:id="32"/>
      <w:bookmarkEnd w:id="33"/>
      <w:bookmarkEnd w:id="34"/>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1.4.1 投标人应具备承担本招标项目的资质条件。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（1）投标人资质条件：见投标人须知前附表； </w:t>
      </w:r>
    </w:p>
    <w:p>
      <w:pPr>
        <w:spacing w:line="440" w:lineRule="exact"/>
        <w:ind w:firstLine="420" w:firstLineChars="200"/>
        <w:rPr>
          <w:rFonts w:asciiTheme="minorEastAsia" w:hAnsiTheme="minorEastAsia" w:eastAsiaTheme="minorEastAsia" w:cstheme="minorEastAsia"/>
          <w:color w:val="auto"/>
          <w:szCs w:val="21"/>
        </w:rPr>
      </w:pPr>
      <w:bookmarkStart w:id="35" w:name="_Toc274249579"/>
      <w:bookmarkStart w:id="36" w:name="_Toc403122496"/>
      <w:bookmarkStart w:id="37" w:name="_Toc279599775"/>
      <w:r>
        <w:rPr>
          <w:rFonts w:hint="eastAsia" w:asciiTheme="minorEastAsia" w:hAnsiTheme="minorEastAsia" w:eastAsiaTheme="minorEastAsia" w:cstheme="minorEastAsia"/>
          <w:color w:val="auto"/>
          <w:szCs w:val="21"/>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rPr>
      </w:pPr>
      <w:bookmarkStart w:id="38" w:name="_Toc426369484"/>
      <w:r>
        <w:rPr>
          <w:rFonts w:hint="eastAsia" w:asciiTheme="minorEastAsia" w:hAnsiTheme="minorEastAsia" w:eastAsiaTheme="minorEastAsia" w:cstheme="minorEastAsia"/>
          <w:b/>
          <w:bCs/>
          <w:color w:val="auto"/>
          <w:sz w:val="24"/>
        </w:rPr>
        <w:t>1.5 费用承担</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投标人准备和参加投标活动发生的费用自理。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rPr>
      </w:pPr>
      <w:bookmarkStart w:id="39" w:name="_Toc426369485"/>
      <w:bookmarkStart w:id="40" w:name="_Toc403122497"/>
      <w:r>
        <w:rPr>
          <w:rFonts w:hint="eastAsia" w:asciiTheme="minorEastAsia" w:hAnsiTheme="minorEastAsia" w:eastAsiaTheme="minorEastAsia" w:cstheme="minorEastAsia"/>
          <w:b/>
          <w:bCs/>
          <w:color w:val="auto"/>
          <w:sz w:val="24"/>
        </w:rPr>
        <w:t>1.6 保密</w:t>
      </w:r>
      <w:bookmarkEnd w:id="39"/>
      <w:bookmarkEnd w:id="40"/>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rPr>
      </w:pPr>
      <w:bookmarkStart w:id="41" w:name="_Toc426369486"/>
      <w:bookmarkStart w:id="42" w:name="_Toc274249581"/>
      <w:bookmarkStart w:id="43" w:name="_Toc279599777"/>
      <w:bookmarkStart w:id="44" w:name="_Toc403122498"/>
      <w:r>
        <w:rPr>
          <w:rFonts w:hint="eastAsia" w:asciiTheme="minorEastAsia" w:hAnsiTheme="minorEastAsia" w:eastAsiaTheme="minorEastAsia" w:cstheme="minorEastAsia"/>
          <w:b/>
          <w:bCs/>
          <w:color w:val="auto"/>
          <w:sz w:val="24"/>
        </w:rPr>
        <w:t>1.7 语言文字</w:t>
      </w:r>
      <w:bookmarkEnd w:id="41"/>
      <w:bookmarkEnd w:id="42"/>
      <w:bookmarkEnd w:id="43"/>
      <w:bookmarkEnd w:id="44"/>
      <w:r>
        <w:rPr>
          <w:rFonts w:hint="eastAsia" w:asciiTheme="minorEastAsia" w:hAnsiTheme="minorEastAsia" w:eastAsiaTheme="minorEastAsia" w:cstheme="minorEastAsia"/>
          <w:b/>
          <w:bCs/>
          <w:color w:val="auto"/>
          <w:sz w:val="24"/>
        </w:rPr>
        <w:t xml:space="preserve">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1.7.1 采购文件以及投标人与采购人、采购代理机构就有关投标事宜的所有来往函电均应使用简体中文书写。</w:t>
      </w:r>
    </w:p>
    <w:p>
      <w:pPr>
        <w:pStyle w:val="10"/>
        <w:ind w:firstLine="420" w:firstLineChars="200"/>
        <w:rPr>
          <w:rFonts w:asciiTheme="minorEastAsia" w:hAnsiTheme="minorEastAsia" w:eastAsiaTheme="minorEastAsia" w:cstheme="minorEastAsia"/>
          <w:b w:val="0"/>
          <w:bCs w:val="0"/>
          <w:color w:val="auto"/>
          <w:sz w:val="21"/>
          <w:szCs w:val="21"/>
        </w:rPr>
      </w:pPr>
      <w:bookmarkStart w:id="45" w:name="_Toc18685"/>
      <w:r>
        <w:rPr>
          <w:rFonts w:hint="eastAsia" w:asciiTheme="minorEastAsia" w:hAnsiTheme="minorEastAsia" w:eastAsiaTheme="minorEastAsia" w:cstheme="minorEastAsia"/>
          <w:b w:val="0"/>
          <w:bCs w:val="0"/>
          <w:color w:val="auto"/>
          <w:sz w:val="21"/>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End w:id="45"/>
      <w:bookmarkStart w:id="46" w:name="_Toc426369487"/>
      <w:bookmarkStart w:id="47" w:name="_Toc403122499"/>
    </w:p>
    <w:p>
      <w:pPr>
        <w:pStyle w:val="10"/>
        <w:ind w:firstLine="482" w:firstLineChars="200"/>
        <w:rPr>
          <w:rFonts w:asciiTheme="minorEastAsia" w:hAnsiTheme="minorEastAsia" w:eastAsiaTheme="minorEastAsia" w:cstheme="minorEastAsia"/>
          <w:color w:val="auto"/>
          <w:sz w:val="24"/>
        </w:rPr>
      </w:pPr>
      <w:bookmarkStart w:id="48" w:name="_Toc13161"/>
      <w:r>
        <w:rPr>
          <w:rFonts w:hint="eastAsia" w:asciiTheme="minorEastAsia" w:hAnsiTheme="minorEastAsia" w:eastAsiaTheme="minorEastAsia" w:cstheme="minorEastAsia"/>
          <w:color w:val="auto"/>
          <w:sz w:val="24"/>
        </w:rPr>
        <w:t>1.8 计量单位</w:t>
      </w:r>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rPr>
      </w:pPr>
      <w:bookmarkStart w:id="49" w:name="_Toc279599779"/>
      <w:bookmarkStart w:id="50" w:name="_Toc274249583"/>
      <w:bookmarkStart w:id="51" w:name="_Toc403122500"/>
      <w:bookmarkStart w:id="52" w:name="_Toc426369488"/>
      <w:r>
        <w:rPr>
          <w:rFonts w:hint="eastAsia" w:asciiTheme="minorEastAsia" w:hAnsiTheme="minorEastAsia" w:eastAsiaTheme="minorEastAsia" w:cstheme="minorEastAsia"/>
          <w:b/>
          <w:bCs/>
          <w:color w:val="auto"/>
          <w:sz w:val="24"/>
        </w:rPr>
        <w:t>1.9 踏勘现场</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1.9.1  由于项目特殊性，本次招标需投标人自行勘查。 </w:t>
      </w:r>
    </w:p>
    <w:p>
      <w:pPr>
        <w:spacing w:line="500" w:lineRule="exact"/>
        <w:ind w:firstLine="482" w:firstLineChars="200"/>
        <w:rPr>
          <w:rFonts w:asciiTheme="minorEastAsia" w:hAnsiTheme="minorEastAsia" w:eastAsiaTheme="minorEastAsia" w:cstheme="minorEastAsia"/>
          <w:b/>
          <w:bCs/>
          <w:color w:val="auto"/>
          <w:sz w:val="24"/>
        </w:rPr>
      </w:pPr>
      <w:bookmarkStart w:id="53" w:name="_Toc274249584"/>
      <w:bookmarkStart w:id="54" w:name="_Toc279599780"/>
      <w:bookmarkStart w:id="55" w:name="_Toc426369489"/>
      <w:bookmarkStart w:id="56" w:name="_Toc403122501"/>
      <w:r>
        <w:rPr>
          <w:rFonts w:hint="eastAsia" w:asciiTheme="minorEastAsia" w:hAnsiTheme="minorEastAsia" w:eastAsiaTheme="minorEastAsia" w:cstheme="minorEastAsia"/>
          <w:b/>
          <w:bCs/>
          <w:color w:val="auto"/>
          <w:sz w:val="24"/>
        </w:rPr>
        <w:t>1.10 投标预备会</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1.10.2 投标人应在投标人须知前附表规定的时间前，以书面形式将提出的问题送达招标代理人。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1.10.3 采购人在投标人须知前附表规定的时间内，将对投标人所提问题的澄清，以书面方式通知所有已领取招标文件的投标人。该澄清内容为招标文件的组成部分。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7" w:name="_Toc279599781"/>
      <w:bookmarkStart w:id="58" w:name="_Toc403122502"/>
      <w:bookmarkStart w:id="59" w:name="_Toc426369490"/>
      <w:bookmarkStart w:id="60" w:name="_Toc274249585"/>
      <w:r>
        <w:rPr>
          <w:rFonts w:hint="eastAsia" w:asciiTheme="minorEastAsia" w:hAnsiTheme="minorEastAsia" w:eastAsiaTheme="minorEastAsia" w:cstheme="minorEastAsia"/>
          <w:b/>
          <w:bCs/>
          <w:color w:val="auto"/>
          <w:sz w:val="24"/>
        </w:rPr>
        <w:t>1.11 分包</w:t>
      </w:r>
      <w:bookmarkEnd w:id="57"/>
      <w:bookmarkEnd w:id="58"/>
      <w:bookmarkEnd w:id="59"/>
      <w:bookmarkEnd w:id="6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61" w:name="_Toc9121"/>
      <w:bookmarkStart w:id="62" w:name="_Toc5496"/>
      <w:bookmarkStart w:id="63" w:name="_Toc28663"/>
      <w:r>
        <w:rPr>
          <w:rFonts w:hint="eastAsia" w:asciiTheme="minorEastAsia" w:hAnsiTheme="minorEastAsia" w:eastAsiaTheme="minorEastAsia" w:cstheme="minorEastAsia"/>
          <w:sz w:val="24"/>
          <w:szCs w:val="24"/>
        </w:rPr>
        <w:t>2. 招标文件</w:t>
      </w:r>
      <w:bookmarkEnd w:id="16"/>
      <w:bookmarkEnd w:id="17"/>
      <w:bookmarkEnd w:id="18"/>
      <w:bookmarkEnd w:id="61"/>
      <w:bookmarkEnd w:id="62"/>
      <w:bookmarkEnd w:id="63"/>
    </w:p>
    <w:p>
      <w:pPr>
        <w:spacing w:line="500" w:lineRule="exact"/>
        <w:ind w:firstLine="482" w:firstLineChars="200"/>
        <w:rPr>
          <w:rFonts w:asciiTheme="minorEastAsia" w:hAnsiTheme="minorEastAsia" w:eastAsiaTheme="minorEastAsia" w:cstheme="minorEastAsia"/>
          <w:b/>
          <w:bCs/>
          <w:sz w:val="24"/>
        </w:rPr>
      </w:pPr>
      <w:bookmarkStart w:id="64" w:name="_Toc403122504"/>
      <w:bookmarkStart w:id="65" w:name="_Toc279599783"/>
      <w:bookmarkStart w:id="66" w:name="_Toc426369492"/>
      <w:bookmarkStart w:id="67" w:name="_Toc274249587"/>
      <w:r>
        <w:rPr>
          <w:rFonts w:hint="eastAsia" w:asciiTheme="minorEastAsia" w:hAnsiTheme="minorEastAsia" w:eastAsiaTheme="minorEastAsia" w:cstheme="minorEastAsia"/>
          <w:b/>
          <w:bCs/>
          <w:sz w:val="24"/>
        </w:rPr>
        <w:t>2.1 招标文件的组成</w:t>
      </w:r>
      <w:bookmarkEnd w:id="64"/>
      <w:bookmarkEnd w:id="65"/>
      <w:bookmarkEnd w:id="66"/>
      <w:bookmarkEnd w:id="6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0"/>
        </w:numPr>
        <w:tabs>
          <w:tab w:val="left" w:pos="525"/>
          <w:tab w:val="left" w:pos="630"/>
        </w:tabs>
        <w:spacing w:line="440" w:lineRule="exact"/>
        <w:ind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招标公告；</w:t>
      </w:r>
    </w:p>
    <w:p>
      <w:pPr>
        <w:numPr>
          <w:ilvl w:val="0"/>
          <w:numId w:val="0"/>
        </w:numPr>
        <w:tabs>
          <w:tab w:val="left" w:pos="525"/>
          <w:tab w:val="left" w:pos="630"/>
        </w:tabs>
        <w:spacing w:line="440" w:lineRule="exact"/>
        <w:ind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投标人须知； </w:t>
      </w:r>
    </w:p>
    <w:p>
      <w:pPr>
        <w:numPr>
          <w:ilvl w:val="0"/>
          <w:numId w:val="0"/>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评标办法（综合评分法）； </w:t>
      </w:r>
    </w:p>
    <w:p>
      <w:pPr>
        <w:numPr>
          <w:ilvl w:val="0"/>
          <w:numId w:val="0"/>
        </w:numPr>
        <w:tabs>
          <w:tab w:val="left" w:pos="525"/>
          <w:tab w:val="left" w:pos="630"/>
        </w:tabs>
        <w:spacing w:line="440" w:lineRule="exact"/>
        <w:ind w:left="42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 xml:space="preserve">合同条款及格式； </w:t>
      </w:r>
    </w:p>
    <w:p>
      <w:pPr>
        <w:numPr>
          <w:ilvl w:val="0"/>
          <w:numId w:val="0"/>
        </w:numPr>
        <w:tabs>
          <w:tab w:val="left" w:pos="525"/>
          <w:tab w:val="left" w:pos="630"/>
        </w:tabs>
        <w:spacing w:line="440" w:lineRule="exact"/>
        <w:ind w:left="42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采购需求及参数； </w:t>
      </w:r>
    </w:p>
    <w:p>
      <w:pPr>
        <w:numPr>
          <w:ilvl w:val="0"/>
          <w:numId w:val="0"/>
        </w:numPr>
        <w:tabs>
          <w:tab w:val="left" w:pos="525"/>
          <w:tab w:val="left" w:pos="630"/>
        </w:tabs>
        <w:spacing w:line="440" w:lineRule="exact"/>
        <w:ind w:left="42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68" w:name="_Toc426369493"/>
      <w:bookmarkStart w:id="69" w:name="_Toc274249588"/>
      <w:bookmarkStart w:id="70" w:name="_Toc279599784"/>
      <w:bookmarkStart w:id="71" w:name="_Toc403122505"/>
      <w:r>
        <w:rPr>
          <w:rFonts w:hint="eastAsia" w:asciiTheme="minorEastAsia" w:hAnsiTheme="minorEastAsia" w:eastAsiaTheme="minorEastAsia" w:cstheme="minorEastAsia"/>
          <w:b/>
          <w:bCs/>
          <w:sz w:val="24"/>
        </w:rPr>
        <w:t>2.2 招标文件的澄清</w:t>
      </w:r>
      <w:bookmarkEnd w:id="68"/>
      <w:bookmarkEnd w:id="69"/>
      <w:bookmarkEnd w:id="70"/>
      <w:bookmarkEnd w:id="7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投标人在收到澄清后，应在投标人须知前附表规定的时间内以书面形式通知采购人，确认已收到该澄清。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72" w:name="_Toc274249589"/>
      <w:bookmarkStart w:id="73" w:name="_Toc426369494"/>
      <w:bookmarkStart w:id="74" w:name="_Toc403122506"/>
      <w:bookmarkStart w:id="75" w:name="_Toc279599785"/>
      <w:r>
        <w:rPr>
          <w:rFonts w:hint="eastAsia" w:asciiTheme="minorEastAsia" w:hAnsiTheme="minorEastAsia" w:eastAsiaTheme="minorEastAsia" w:cstheme="minorEastAsia"/>
          <w:b/>
          <w:bCs/>
          <w:sz w:val="24"/>
        </w:rPr>
        <w:t>2.3 招标文件的修改</w:t>
      </w:r>
      <w:bookmarkEnd w:id="72"/>
      <w:bookmarkEnd w:id="73"/>
      <w:bookmarkEnd w:id="74"/>
      <w:bookmarkEnd w:id="7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15天前，采购人可以书面形式修改招标文件，并通知所有已购买招标文件的投标人。如果修改招标文件的时间距投标截止时间不足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投标人收到修改内容后，应在投标人须知前附表规定的时间内以书面形式通知采购人，确认已收到该修改。 </w:t>
      </w:r>
      <w:bookmarkStart w:id="76" w:name="_Toc426369495"/>
      <w:bookmarkStart w:id="77" w:name="_Toc23265"/>
      <w:bookmarkStart w:id="78" w:name="_Toc403122507"/>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9" w:name="_Toc17990"/>
      <w:bookmarkStart w:id="80" w:name="_Toc22914"/>
      <w:bookmarkStart w:id="81" w:name="_Toc13865"/>
      <w:r>
        <w:rPr>
          <w:rFonts w:hint="eastAsia" w:asciiTheme="minorEastAsia" w:hAnsiTheme="minorEastAsia" w:eastAsiaTheme="minorEastAsia" w:cstheme="minorEastAsia"/>
          <w:sz w:val="24"/>
          <w:szCs w:val="24"/>
        </w:rPr>
        <w:t>3. 投标文件</w:t>
      </w:r>
      <w:bookmarkEnd w:id="76"/>
      <w:bookmarkEnd w:id="77"/>
      <w:bookmarkEnd w:id="78"/>
      <w:bookmarkEnd w:id="79"/>
      <w:bookmarkEnd w:id="80"/>
      <w:bookmarkEnd w:id="81"/>
    </w:p>
    <w:p>
      <w:pPr>
        <w:spacing w:line="500" w:lineRule="exact"/>
        <w:ind w:firstLine="482" w:firstLineChars="200"/>
        <w:rPr>
          <w:rFonts w:asciiTheme="minorEastAsia" w:hAnsiTheme="minorEastAsia" w:eastAsiaTheme="minorEastAsia" w:cstheme="minorEastAsia"/>
          <w:b/>
          <w:bCs/>
          <w:sz w:val="24"/>
        </w:rPr>
      </w:pPr>
      <w:bookmarkStart w:id="82" w:name="_Toc403122508"/>
      <w:bookmarkStart w:id="83" w:name="_Toc426369496"/>
      <w:bookmarkStart w:id="84" w:name="_Toc279599787"/>
      <w:bookmarkStart w:id="85" w:name="_Toc274249591"/>
      <w:r>
        <w:rPr>
          <w:rFonts w:hint="eastAsia" w:asciiTheme="minorEastAsia" w:hAnsiTheme="minorEastAsia" w:eastAsiaTheme="minorEastAsia" w:cstheme="minorEastAsia"/>
          <w:b/>
          <w:bCs/>
          <w:sz w:val="24"/>
        </w:rPr>
        <w:t>3.1 投标文件的组成</w:t>
      </w:r>
      <w:bookmarkEnd w:id="82"/>
      <w:bookmarkEnd w:id="83"/>
      <w:bookmarkEnd w:id="84"/>
      <w:bookmarkEnd w:id="8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highlight w:val="none"/>
        </w:rPr>
      </w:pPr>
      <w:bookmarkStart w:id="86" w:name="_Toc403122509"/>
      <w:bookmarkStart w:id="87" w:name="_Toc426369497"/>
      <w:bookmarkStart w:id="88" w:name="_Toc274249592"/>
      <w:bookmarkStart w:id="89" w:name="_Toc279599788"/>
      <w:r>
        <w:rPr>
          <w:rFonts w:hint="eastAsia" w:ascii="宋体" w:hAnsi="宋体" w:cs="宋体"/>
          <w:szCs w:val="21"/>
        </w:rPr>
        <w:t>一</w:t>
      </w:r>
      <w:r>
        <w:rPr>
          <w:rFonts w:hint="eastAsia" w:ascii="宋体" w:hAnsi="宋体" w:cs="宋体"/>
          <w:szCs w:val="21"/>
          <w:highlight w:val="none"/>
        </w:rPr>
        <w:t>、投标函及开标一览表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（一）投标函</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二、法定代表人身份证明书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四、项目</w:t>
      </w:r>
      <w:r>
        <w:rPr>
          <w:rFonts w:hint="eastAsia" w:ascii="宋体" w:hAnsi="宋体" w:cs="宋体"/>
          <w:szCs w:val="21"/>
          <w:highlight w:val="none"/>
          <w:lang w:val="en-US" w:eastAsia="zh-CN"/>
        </w:rPr>
        <w:t>总体</w:t>
      </w:r>
      <w:r>
        <w:rPr>
          <w:rFonts w:hint="eastAsia" w:ascii="宋体" w:hAnsi="宋体" w:cs="宋体"/>
          <w:szCs w:val="21"/>
          <w:highlight w:val="none"/>
        </w:rPr>
        <w:t>实施方案、质量保证及安全措施等</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五、资格证明文件</w:t>
      </w:r>
      <w:r>
        <w:rPr>
          <w:rFonts w:hint="eastAsia" w:ascii="宋体" w:hAnsi="宋体" w:cs="宋体"/>
          <w:szCs w:val="21"/>
          <w:highlight w:val="none"/>
          <w:lang w:val="en-US" w:eastAsia="zh-CN"/>
        </w:rPr>
        <w:t xml:space="preserve"> </w:t>
      </w:r>
    </w:p>
    <w:p>
      <w:pPr>
        <w:pStyle w:val="2"/>
        <w:spacing w:line="440" w:lineRule="exact"/>
        <w:ind w:firstLineChars="200"/>
        <w:rPr>
          <w:rFonts w:hint="default" w:ascii="宋体" w:hAnsi="宋体" w:eastAsia="宋体" w:cs="宋体"/>
          <w:sz w:val="21"/>
          <w:szCs w:val="21"/>
          <w:highlight w:val="none"/>
        </w:rPr>
      </w:pPr>
      <w:r>
        <w:rPr>
          <w:rFonts w:ascii="宋体" w:hAnsi="宋体" w:eastAsia="宋体" w:cs="宋体"/>
          <w:sz w:val="21"/>
          <w:szCs w:val="21"/>
          <w:highlight w:val="none"/>
        </w:rPr>
        <w:t>六、投标人服务承诺和优惠承诺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七、中小企业声明函（如为中小企业）；</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八、残疾人福利性单位声明函（如有）；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九、招标文件要求的或投标人认为需要加以说明的其他内容。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86"/>
      <w:bookmarkEnd w:id="87"/>
      <w:bookmarkEnd w:id="88"/>
      <w:bookmarkEnd w:id="89"/>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3.2.1投标报价包括：投标人的投标</w:t>
      </w:r>
      <w:r>
        <w:rPr>
          <w:rFonts w:hint="eastAsia" w:asciiTheme="minorEastAsia" w:hAnsiTheme="minorEastAsia" w:eastAsiaTheme="minorEastAsia" w:cstheme="minorEastAsia"/>
          <w:szCs w:val="21"/>
          <w:highlight w:val="none"/>
        </w:rPr>
        <w:t>报价应包括</w:t>
      </w:r>
      <w:r>
        <w:rPr>
          <w:rFonts w:hint="eastAsia" w:asciiTheme="minorEastAsia" w:hAnsiTheme="minorEastAsia" w:eastAsiaTheme="minorEastAsia" w:cstheme="minorEastAsia"/>
          <w:szCs w:val="21"/>
          <w:highlight w:val="none"/>
          <w:lang w:val="en-US" w:eastAsia="zh-CN"/>
        </w:rPr>
        <w:t>服务、</w:t>
      </w:r>
      <w:r>
        <w:rPr>
          <w:rFonts w:hint="eastAsia" w:asciiTheme="minorEastAsia" w:hAnsiTheme="minorEastAsia" w:eastAsiaTheme="minorEastAsia" w:cstheme="minorEastAsia"/>
          <w:szCs w:val="21"/>
          <w:highlight w:val="none"/>
        </w:rPr>
        <w:t>设备、材料、管理、利润、税金、政策性规费</w:t>
      </w:r>
      <w:r>
        <w:rPr>
          <w:rFonts w:hint="eastAsia" w:asciiTheme="minorEastAsia" w:hAnsiTheme="minorEastAsia" w:eastAsiaTheme="minorEastAsia" w:cstheme="minorEastAsia"/>
          <w:szCs w:val="21"/>
          <w:highlight w:val="none"/>
          <w:lang w:val="en-US" w:eastAsia="zh-CN"/>
        </w:rPr>
        <w:t>等应由</w:t>
      </w:r>
      <w:r>
        <w:rPr>
          <w:rFonts w:hint="eastAsia" w:asciiTheme="minorEastAsia" w:hAnsiTheme="minorEastAsia" w:eastAsiaTheme="minorEastAsia" w:cstheme="minorEastAsia"/>
          <w:szCs w:val="21"/>
          <w:highlight w:val="none"/>
        </w:rPr>
        <w:t>承包人承担的义务、责任和风险等全部费用。投标人所报的投标价在</w:t>
      </w:r>
      <w:r>
        <w:rPr>
          <w:rFonts w:hint="eastAsia" w:asciiTheme="minorEastAsia" w:hAnsiTheme="minorEastAsia" w:eastAsiaTheme="minorEastAsia" w:cstheme="minorEastAsia"/>
          <w:szCs w:val="21"/>
          <w:highlight w:val="none"/>
          <w:lang w:val="en-US" w:eastAsia="zh-CN"/>
        </w:rPr>
        <w:t>投标</w:t>
      </w:r>
      <w:r>
        <w:rPr>
          <w:rFonts w:hint="eastAsia" w:asciiTheme="minorEastAsia" w:hAnsiTheme="minorEastAsia" w:eastAsiaTheme="minorEastAsia" w:cstheme="minorEastAsia"/>
          <w:szCs w:val="21"/>
          <w:highlight w:val="none"/>
        </w:rPr>
        <w:t>有效期内是固定不变的，投标人不得以任何理由予以变更。</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3.2.3投标人只能提出一个不变价格，采购人不接受任何选择价。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3.2.4投标人必须对招标范围内的所有服务投标。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3.2.6投标报价原则是各投标人依据自身实力、管理水平，结合企业所在地区的人工工资标准，在确保项目质量，确保项目成本的基础上，自主报价、自负盈亏。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0" w:name="_Toc274249593"/>
      <w:bookmarkStart w:id="91" w:name="_Toc403122510"/>
      <w:bookmarkStart w:id="92" w:name="_Toc426369498"/>
      <w:bookmarkStart w:id="93" w:name="_Toc279599789"/>
      <w:r>
        <w:rPr>
          <w:rFonts w:hint="eastAsia" w:asciiTheme="minorEastAsia" w:hAnsiTheme="minorEastAsia" w:eastAsiaTheme="minorEastAsia" w:cstheme="minorEastAsia"/>
          <w:b/>
          <w:bCs/>
          <w:sz w:val="24"/>
        </w:rPr>
        <w:t>3.3 投标有效期</w:t>
      </w:r>
      <w:bookmarkEnd w:id="90"/>
      <w:bookmarkEnd w:id="91"/>
      <w:bookmarkEnd w:id="92"/>
      <w:bookmarkEnd w:id="93"/>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3.3.1在投标人须知前附表规定的投标有效期内，投标人不得要求撤销或修改其投标文件。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94" w:name="_Toc426369501"/>
      <w:bookmarkStart w:id="95" w:name="_Toc279599791"/>
      <w:bookmarkStart w:id="96" w:name="_Toc403122512"/>
      <w:bookmarkStart w:id="97" w:name="_Toc274249595"/>
      <w:r>
        <w:rPr>
          <w:rFonts w:hint="eastAsia" w:asciiTheme="minorEastAsia" w:hAnsiTheme="minorEastAsia" w:eastAsiaTheme="minorEastAsia" w:cstheme="minorEastAsia"/>
          <w:b/>
          <w:bCs/>
          <w:sz w:val="24"/>
        </w:rPr>
        <w:t>3.5 资格审查资料</w:t>
      </w:r>
      <w:bookmarkEnd w:id="94"/>
      <w:bookmarkEnd w:id="95"/>
      <w:bookmarkEnd w:id="96"/>
      <w:bookmarkEnd w:id="97"/>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3.5.2招标文件规定的投标人资格条件。</w:t>
      </w:r>
    </w:p>
    <w:p>
      <w:pPr>
        <w:spacing w:line="500" w:lineRule="exact"/>
        <w:ind w:firstLine="482" w:firstLineChars="200"/>
        <w:rPr>
          <w:rFonts w:asciiTheme="minorEastAsia" w:hAnsiTheme="minorEastAsia" w:eastAsiaTheme="minorEastAsia" w:cstheme="minorEastAsia"/>
          <w:b/>
          <w:bCs/>
          <w:sz w:val="24"/>
        </w:rPr>
      </w:pPr>
      <w:bookmarkStart w:id="98" w:name="_Toc274249596"/>
      <w:bookmarkStart w:id="99" w:name="_Toc426369502"/>
      <w:bookmarkStart w:id="100" w:name="_Toc403122513"/>
      <w:bookmarkStart w:id="101" w:name="_Toc279599792"/>
      <w:r>
        <w:rPr>
          <w:rFonts w:hint="eastAsia" w:asciiTheme="minorEastAsia" w:hAnsiTheme="minorEastAsia" w:eastAsiaTheme="minorEastAsia" w:cstheme="minorEastAsia"/>
          <w:b/>
          <w:bCs/>
          <w:sz w:val="24"/>
        </w:rPr>
        <w:t>3.6 备选投标方案</w:t>
      </w:r>
      <w:bookmarkEnd w:id="98"/>
      <w:bookmarkEnd w:id="99"/>
      <w:bookmarkEnd w:id="100"/>
      <w:bookmarkEnd w:id="101"/>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2" w:name="_Toc279599793"/>
      <w:bookmarkStart w:id="103" w:name="_Toc426369503"/>
      <w:bookmarkStart w:id="104" w:name="_Toc274249597"/>
      <w:bookmarkStart w:id="105" w:name="_Toc403122514"/>
      <w:r>
        <w:rPr>
          <w:rFonts w:hint="eastAsia" w:asciiTheme="minorEastAsia" w:hAnsiTheme="minorEastAsia" w:eastAsiaTheme="minorEastAsia" w:cstheme="minorEastAsia"/>
          <w:b/>
          <w:bCs/>
          <w:sz w:val="24"/>
        </w:rPr>
        <w:t>3.7 投标文件的编制</w:t>
      </w:r>
      <w:bookmarkEnd w:id="102"/>
      <w:bookmarkEnd w:id="103"/>
      <w:bookmarkEnd w:id="104"/>
      <w:bookmarkEnd w:id="10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投标文件应当对招标文件有关服务期、投标有效期、质量</w:t>
      </w:r>
      <w:r>
        <w:rPr>
          <w:rFonts w:hint="eastAsia" w:asciiTheme="minorEastAsia" w:hAnsiTheme="minorEastAsia" w:eastAsiaTheme="minorEastAsia" w:cstheme="minorEastAsia"/>
          <w:szCs w:val="21"/>
          <w:lang w:val="en-US" w:eastAsia="zh-CN"/>
        </w:rPr>
        <w:t>标准</w:t>
      </w:r>
      <w:r>
        <w:rPr>
          <w:rFonts w:hint="eastAsia" w:asciiTheme="minorEastAsia" w:hAnsiTheme="minorEastAsia" w:eastAsiaTheme="minorEastAsia" w:cstheme="minorEastAsia"/>
          <w:szCs w:val="21"/>
        </w:rPr>
        <w:t>、采购要求及服务内容、等实质性内容作出响应。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06" w:name="_Toc403122515"/>
      <w:bookmarkStart w:id="107" w:name="_Toc31809"/>
      <w:bookmarkStart w:id="108" w:name="_Toc30100"/>
      <w:bookmarkStart w:id="109" w:name="_Toc15900"/>
      <w:bookmarkStart w:id="110" w:name="_Toc426369504"/>
      <w:bookmarkStart w:id="111" w:name="_Toc26998"/>
      <w:r>
        <w:rPr>
          <w:rFonts w:hint="eastAsia" w:asciiTheme="minorEastAsia" w:hAnsiTheme="minorEastAsia" w:eastAsiaTheme="minorEastAsia" w:cstheme="minorEastAsia"/>
          <w:sz w:val="24"/>
          <w:szCs w:val="24"/>
        </w:rPr>
        <w:t>4. 投标</w:t>
      </w:r>
      <w:bookmarkEnd w:id="106"/>
      <w:bookmarkEnd w:id="107"/>
      <w:bookmarkEnd w:id="108"/>
      <w:bookmarkEnd w:id="109"/>
      <w:bookmarkEnd w:id="110"/>
      <w:bookmarkEnd w:id="111"/>
    </w:p>
    <w:p>
      <w:pPr>
        <w:spacing w:line="500" w:lineRule="exact"/>
        <w:ind w:firstLine="482" w:firstLineChars="200"/>
        <w:rPr>
          <w:rFonts w:asciiTheme="minorEastAsia" w:hAnsiTheme="minorEastAsia" w:eastAsiaTheme="minorEastAsia" w:cstheme="minorEastAsia"/>
          <w:b/>
          <w:bCs/>
          <w:sz w:val="24"/>
        </w:rPr>
      </w:pPr>
      <w:bookmarkStart w:id="112" w:name="_Toc403122516"/>
      <w:bookmarkStart w:id="113" w:name="_Toc426369505"/>
      <w:bookmarkStart w:id="114" w:name="_Toc279599795"/>
      <w:bookmarkStart w:id="115" w:name="_Toc274249599"/>
      <w:r>
        <w:rPr>
          <w:rFonts w:hint="eastAsia" w:asciiTheme="minorEastAsia" w:hAnsiTheme="minorEastAsia" w:eastAsiaTheme="minorEastAsia" w:cstheme="minorEastAsia"/>
          <w:b/>
          <w:bCs/>
          <w:sz w:val="24"/>
        </w:rPr>
        <w:t>4.1 投标文件的密封和标记</w:t>
      </w:r>
      <w:bookmarkEnd w:id="112"/>
      <w:bookmarkEnd w:id="113"/>
      <w:bookmarkEnd w:id="114"/>
      <w:bookmarkEnd w:id="115"/>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16" w:name="_Toc274249600"/>
      <w:bookmarkStart w:id="117" w:name="_Toc279599796"/>
      <w:bookmarkStart w:id="118" w:name="_Toc403122517"/>
      <w:bookmarkStart w:id="119" w:name="_Toc426369506"/>
      <w:r>
        <w:rPr>
          <w:rFonts w:hint="eastAsia" w:asciiTheme="minorEastAsia" w:hAnsiTheme="minorEastAsia" w:eastAsiaTheme="minorEastAsia" w:cstheme="minorEastAsia"/>
          <w:b/>
          <w:bCs/>
          <w:sz w:val="24"/>
        </w:rPr>
        <w:t>4.2 投标文件的递交</w:t>
      </w:r>
      <w:bookmarkEnd w:id="116"/>
      <w:bookmarkEnd w:id="117"/>
      <w:bookmarkEnd w:id="118"/>
      <w:bookmarkEnd w:id="119"/>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0" w:name="_Hlt26954754"/>
      <w:bookmarkEnd w:id="120"/>
      <w:bookmarkStart w:id="121" w:name="_Hlt26954862"/>
      <w:bookmarkEnd w:id="121"/>
    </w:p>
    <w:p>
      <w:pPr>
        <w:spacing w:line="500" w:lineRule="exact"/>
        <w:ind w:firstLine="482" w:firstLineChars="200"/>
        <w:rPr>
          <w:rFonts w:asciiTheme="minorEastAsia" w:hAnsiTheme="minorEastAsia" w:eastAsiaTheme="minorEastAsia" w:cstheme="minorEastAsia"/>
          <w:b/>
          <w:bCs/>
          <w:sz w:val="24"/>
        </w:rPr>
      </w:pPr>
      <w:bookmarkStart w:id="122" w:name="_Toc403122518"/>
      <w:bookmarkStart w:id="123" w:name="_Toc279599797"/>
      <w:bookmarkStart w:id="124" w:name="_Toc426369507"/>
      <w:bookmarkStart w:id="125" w:name="_Toc274249601"/>
      <w:r>
        <w:rPr>
          <w:rFonts w:hint="eastAsia" w:asciiTheme="minorEastAsia" w:hAnsiTheme="minorEastAsia" w:eastAsiaTheme="minorEastAsia" w:cstheme="minorEastAsia"/>
          <w:b/>
          <w:bCs/>
          <w:sz w:val="24"/>
        </w:rPr>
        <w:t>4.3 投标文件的修改与撤回</w:t>
      </w:r>
      <w:bookmarkEnd w:id="122"/>
      <w:bookmarkEnd w:id="123"/>
      <w:bookmarkEnd w:id="124"/>
      <w:bookmarkEnd w:id="1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项规定的投标截止时间前，投标人可以修改或撤回已递交的投标文件。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投标人修改或撤回已递交投标文件的书面通知应按照本章第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24"/>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26" w:name="_Toc5457"/>
      <w:bookmarkStart w:id="127" w:name="_Toc19012"/>
      <w:bookmarkStart w:id="128" w:name="_Toc18170"/>
      <w:bookmarkStart w:id="129" w:name="_Toc426369508"/>
      <w:bookmarkStart w:id="130" w:name="_Toc403122519"/>
      <w:bookmarkStart w:id="131" w:name="_Toc32449"/>
      <w:r>
        <w:rPr>
          <w:rFonts w:hint="eastAsia" w:asciiTheme="minorEastAsia" w:hAnsiTheme="minorEastAsia" w:eastAsiaTheme="minorEastAsia" w:cstheme="minorEastAsia"/>
          <w:sz w:val="24"/>
          <w:szCs w:val="24"/>
        </w:rPr>
        <w:t>5. 开标</w:t>
      </w:r>
      <w:bookmarkEnd w:id="126"/>
      <w:bookmarkEnd w:id="127"/>
      <w:bookmarkEnd w:id="128"/>
      <w:bookmarkEnd w:id="129"/>
      <w:bookmarkEnd w:id="130"/>
      <w:bookmarkEnd w:id="13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32" w:name="_Toc426369509"/>
      <w:bookmarkStart w:id="133" w:name="_Toc279599799"/>
      <w:bookmarkStart w:id="134" w:name="_Toc403122520"/>
      <w:bookmarkStart w:id="135" w:name="_Toc274249603"/>
      <w:r>
        <w:rPr>
          <w:rFonts w:hint="eastAsia" w:asciiTheme="minorEastAsia" w:hAnsiTheme="minorEastAsia" w:eastAsiaTheme="minorEastAsia" w:cstheme="minorEastAsia"/>
          <w:b/>
          <w:bCs/>
          <w:sz w:val="24"/>
        </w:rPr>
        <w:t>5.2 开标时间和地点</w:t>
      </w:r>
      <w:bookmarkEnd w:id="132"/>
      <w:bookmarkEnd w:id="133"/>
      <w:bookmarkEnd w:id="134"/>
      <w:bookmarkEnd w:id="1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项规定的投标截止时间（开标时间）和投标人须知前附表规定的地点公开开标。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36" w:name="_Toc426369510"/>
      <w:bookmarkStart w:id="137" w:name="_Toc403122521"/>
      <w:bookmarkStart w:id="138" w:name="_Toc279599800"/>
      <w:bookmarkStart w:id="139" w:name="_Toc274249604"/>
      <w:r>
        <w:rPr>
          <w:rFonts w:hint="eastAsia" w:asciiTheme="minorEastAsia" w:hAnsiTheme="minorEastAsia" w:eastAsiaTheme="minorEastAsia" w:cstheme="minorEastAsia"/>
          <w:b/>
          <w:bCs/>
          <w:sz w:val="24"/>
        </w:rPr>
        <w:t>5.3开标程序</w:t>
      </w:r>
      <w:bookmarkEnd w:id="136"/>
      <w:bookmarkEnd w:id="137"/>
      <w:bookmarkEnd w:id="138"/>
      <w:bookmarkEnd w:id="139"/>
    </w:p>
    <w:p>
      <w:pPr>
        <w:spacing w:line="400" w:lineRule="exact"/>
        <w:ind w:firstLine="420" w:firstLineChars="200"/>
        <w:rPr>
          <w:rFonts w:asciiTheme="minorEastAsia" w:hAnsiTheme="minorEastAsia" w:eastAsiaTheme="minorEastAsia" w:cstheme="minorEastAsia"/>
          <w:szCs w:val="21"/>
          <w:lang w:val="zh-CN"/>
        </w:rPr>
      </w:pPr>
      <w:bookmarkStart w:id="140"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）投标人代表、采购人、监标人等有关人员在开标记录上签字确认；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0"/>
    </w:p>
    <w:p>
      <w:pPr>
        <w:spacing w:line="400" w:lineRule="exact"/>
        <w:ind w:firstLine="420" w:firstLineChars="200"/>
        <w:rPr>
          <w:rFonts w:asciiTheme="minorEastAsia" w:hAnsiTheme="minorEastAsia" w:eastAsiaTheme="minorEastAsia" w:cstheme="minorEastAsia"/>
          <w:szCs w:val="21"/>
          <w:lang w:val="zh-CN"/>
        </w:rPr>
      </w:pPr>
      <w:bookmarkStart w:id="141" w:name="_Toc426369512"/>
      <w:bookmarkStart w:id="142" w:name="_Toc21662"/>
      <w:bookmarkStart w:id="143" w:name="_Toc403122522"/>
      <w:bookmarkStart w:id="144" w:name="_Toc12881"/>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45" w:name="_Toc12998"/>
      <w:r>
        <w:rPr>
          <w:rFonts w:hint="eastAsia" w:asciiTheme="minorEastAsia" w:hAnsiTheme="minorEastAsia" w:eastAsiaTheme="minorEastAsia" w:cstheme="minorEastAsia"/>
          <w:szCs w:val="21"/>
          <w:lang w:val="zh-CN"/>
        </w:rPr>
        <w:t>语音异议</w:t>
      </w:r>
      <w:bookmarkEnd w:id="145"/>
      <w:r>
        <w:rPr>
          <w:rFonts w:hint="eastAsia" w:asciiTheme="minorEastAsia" w:hAnsiTheme="minorEastAsia" w:eastAsiaTheme="minorEastAsia" w:cstheme="minorEastAsia"/>
          <w:szCs w:val="21"/>
          <w:lang w:val="zh-CN"/>
        </w:rPr>
        <w:t>、</w:t>
      </w:r>
      <w:bookmarkStart w:id="146" w:name="_Toc20745"/>
      <w:r>
        <w:rPr>
          <w:rFonts w:hint="eastAsia" w:asciiTheme="minorEastAsia" w:hAnsiTheme="minorEastAsia" w:eastAsiaTheme="minorEastAsia" w:cstheme="minorEastAsia"/>
          <w:szCs w:val="21"/>
          <w:lang w:val="zh-CN"/>
        </w:rPr>
        <w:t>文字异议</w:t>
      </w:r>
      <w:bookmarkEnd w:id="146"/>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47" w:name="_Toc9927"/>
      <w:bookmarkStart w:id="148" w:name="_Toc13445"/>
      <w:r>
        <w:rPr>
          <w:rFonts w:hint="eastAsia" w:asciiTheme="minorEastAsia" w:hAnsiTheme="minorEastAsia" w:eastAsiaTheme="minorEastAsia" w:cstheme="minorEastAsia"/>
          <w:b/>
          <w:bCs/>
          <w:szCs w:val="21"/>
        </w:rPr>
        <w:t>5.资格审查工作</w:t>
      </w:r>
      <w:bookmarkEnd w:id="147"/>
      <w:bookmarkEnd w:id="148"/>
    </w:p>
    <w:p>
      <w:pPr>
        <w:spacing w:line="400" w:lineRule="exact"/>
        <w:ind w:firstLine="420" w:firstLineChars="200"/>
        <w:rPr>
          <w:rFonts w:asciiTheme="minorEastAsia" w:hAnsiTheme="minorEastAsia" w:eastAsiaTheme="minorEastAsia" w:cstheme="minorEastAsia"/>
          <w:szCs w:val="21"/>
        </w:rPr>
      </w:pPr>
      <w:bookmarkStart w:id="149" w:name="_Toc15919"/>
      <w:bookmarkStart w:id="150" w:name="_Toc18888"/>
      <w:bookmarkStart w:id="151" w:name="_Toc18803"/>
      <w:bookmarkStart w:id="152" w:name="_Toc22488"/>
      <w:bookmarkStart w:id="153" w:name="_Toc25275"/>
      <w:bookmarkStart w:id="154" w:name="_Toc18806"/>
      <w:bookmarkStart w:id="155" w:name="_Toc25448"/>
      <w:r>
        <w:rPr>
          <w:rFonts w:hint="eastAsia" w:asciiTheme="minorEastAsia" w:hAnsiTheme="minorEastAsia" w:eastAsiaTheme="minorEastAsia" w:cstheme="minorEastAsia"/>
          <w:szCs w:val="21"/>
          <w:lang w:val="zh-CN"/>
        </w:rPr>
        <w:t>采购人或代理机构根据有关法律法规和招标文件的规定，对投标人的资格进行审查，审查每个投标人提交的资格证明材料是否齐全、完整、合法、有效。资格性审查通过不足3家的，将不再进行下一步评审。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56" w:name="_Toc6889"/>
      <w:bookmarkStart w:id="157" w:name="_Toc21373"/>
      <w:r>
        <w:rPr>
          <w:rFonts w:hint="eastAsia" w:asciiTheme="minorEastAsia" w:hAnsiTheme="minorEastAsia" w:eastAsiaTheme="minorEastAsia" w:cstheme="minorEastAsia"/>
          <w:sz w:val="24"/>
          <w:szCs w:val="24"/>
        </w:rPr>
        <w:t>6. 评标</w:t>
      </w:r>
      <w:bookmarkEnd w:id="141"/>
      <w:bookmarkEnd w:id="142"/>
      <w:bookmarkEnd w:id="143"/>
      <w:bookmarkEnd w:id="144"/>
      <w:bookmarkEnd w:id="156"/>
      <w:bookmarkEnd w:id="157"/>
    </w:p>
    <w:p>
      <w:pPr>
        <w:spacing w:line="500" w:lineRule="exact"/>
        <w:ind w:firstLine="482" w:firstLineChars="200"/>
        <w:rPr>
          <w:rFonts w:asciiTheme="minorEastAsia" w:hAnsiTheme="minorEastAsia" w:eastAsiaTheme="minorEastAsia" w:cstheme="minorEastAsia"/>
          <w:b/>
          <w:bCs/>
          <w:sz w:val="24"/>
        </w:rPr>
      </w:pPr>
      <w:bookmarkStart w:id="158" w:name="_Toc279599802"/>
      <w:bookmarkStart w:id="159" w:name="_Toc274249606"/>
      <w:bookmarkStart w:id="160" w:name="_Toc426369513"/>
      <w:bookmarkStart w:id="161" w:name="_Toc403122523"/>
      <w:r>
        <w:rPr>
          <w:rFonts w:hint="eastAsia" w:asciiTheme="minorEastAsia" w:hAnsiTheme="minorEastAsia" w:eastAsiaTheme="minorEastAsia" w:cstheme="minorEastAsia"/>
          <w:b/>
          <w:bCs/>
          <w:sz w:val="24"/>
        </w:rPr>
        <w:t>6.1 评标委员会</w:t>
      </w:r>
      <w:bookmarkEnd w:id="158"/>
      <w:bookmarkEnd w:id="159"/>
      <w:bookmarkEnd w:id="160"/>
      <w:bookmarkEnd w:id="16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（1）采购人或投标人的主要负责人的近亲属；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（3）与投标人有经济利益关系，可能影响对投标公正评审的；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2" w:name="_Toc274249607"/>
      <w:bookmarkStart w:id="163" w:name="_Toc426369514"/>
      <w:bookmarkStart w:id="164" w:name="_Toc279599803"/>
      <w:bookmarkStart w:id="165" w:name="_Toc403122524"/>
      <w:r>
        <w:rPr>
          <w:rFonts w:hint="eastAsia" w:asciiTheme="minorEastAsia" w:hAnsiTheme="minorEastAsia" w:eastAsiaTheme="minorEastAsia" w:cstheme="minorEastAsia"/>
          <w:b/>
          <w:bCs/>
          <w:sz w:val="24"/>
        </w:rPr>
        <w:t>6.2 评标原则</w:t>
      </w:r>
      <w:bookmarkEnd w:id="162"/>
      <w:bookmarkEnd w:id="163"/>
      <w:bookmarkEnd w:id="164"/>
      <w:bookmarkEnd w:id="16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66" w:name="_Toc274249608"/>
      <w:bookmarkStart w:id="167" w:name="_Toc426369515"/>
      <w:bookmarkStart w:id="168" w:name="_Toc279599804"/>
      <w:bookmarkStart w:id="169" w:name="_Toc403122525"/>
      <w:r>
        <w:rPr>
          <w:rFonts w:hint="eastAsia" w:asciiTheme="minorEastAsia" w:hAnsiTheme="minorEastAsia" w:eastAsiaTheme="minorEastAsia" w:cstheme="minorEastAsia"/>
          <w:b/>
          <w:bCs/>
          <w:sz w:val="24"/>
        </w:rPr>
        <w:t>6.3 评标</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24"/>
        <w:spacing w:before="120" w:after="120" w:line="500" w:lineRule="exact"/>
        <w:ind w:right="-1029" w:rightChars="-490" w:firstLine="482" w:firstLineChars="200"/>
        <w:jc w:val="both"/>
      </w:pPr>
      <w:bookmarkStart w:id="170" w:name="_Toc26569"/>
      <w:bookmarkStart w:id="171" w:name="_Toc426369516"/>
      <w:bookmarkStart w:id="172" w:name="_Toc22968"/>
      <w:bookmarkStart w:id="173" w:name="_Toc21680"/>
      <w:bookmarkStart w:id="174" w:name="_Toc403122526"/>
      <w:bookmarkStart w:id="175" w:name="_Toc17811"/>
      <w:r>
        <w:rPr>
          <w:rFonts w:hint="eastAsia" w:asciiTheme="minorEastAsia" w:hAnsiTheme="minorEastAsia" w:eastAsiaTheme="minorEastAsia" w:cstheme="minorEastAsia"/>
          <w:sz w:val="24"/>
          <w:szCs w:val="24"/>
        </w:rPr>
        <w:t>7. 合同授予</w:t>
      </w:r>
      <w:bookmarkEnd w:id="170"/>
      <w:bookmarkEnd w:id="171"/>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4249610"/>
      <w:bookmarkStart w:id="177" w:name="_Toc426369517"/>
      <w:bookmarkStart w:id="178" w:name="_Toc403122527"/>
      <w:bookmarkStart w:id="179" w:name="_Toc279599806"/>
      <w:r>
        <w:rPr>
          <w:rFonts w:hint="eastAsia" w:asciiTheme="minorEastAsia" w:hAnsiTheme="minorEastAsia" w:eastAsiaTheme="minorEastAsia" w:cstheme="minorEastAsia"/>
          <w:b/>
          <w:bCs/>
          <w:sz w:val="24"/>
        </w:rPr>
        <w:t>7.1 定标方式</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0" w:name="_Toc274249611"/>
      <w:bookmarkStart w:id="181" w:name="_Toc279599807"/>
      <w:bookmarkStart w:id="182" w:name="_Toc403122528"/>
      <w:bookmarkStart w:id="183" w:name="_Toc426369518"/>
      <w:r>
        <w:rPr>
          <w:rFonts w:hint="eastAsia" w:asciiTheme="minorEastAsia" w:hAnsiTheme="minorEastAsia" w:eastAsiaTheme="minorEastAsia" w:cstheme="minorEastAsia"/>
          <w:b/>
          <w:bCs/>
          <w:sz w:val="24"/>
        </w:rPr>
        <w:t>7.2 中标通知</w:t>
      </w:r>
      <w:bookmarkEnd w:id="180"/>
      <w:bookmarkEnd w:id="181"/>
      <w:bookmarkEnd w:id="182"/>
      <w:bookmarkEnd w:id="18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4" w:name="_Toc274249612"/>
      <w:bookmarkStart w:id="185" w:name="_Toc279599808"/>
      <w:bookmarkStart w:id="186" w:name="_Toc311550376"/>
      <w:bookmarkStart w:id="187" w:name="_Toc426369519"/>
      <w:bookmarkStart w:id="188" w:name="_Toc403122529"/>
      <w:r>
        <w:rPr>
          <w:rFonts w:hint="eastAsia" w:asciiTheme="minorEastAsia" w:hAnsiTheme="minorEastAsia" w:eastAsiaTheme="minorEastAsia" w:cstheme="minorEastAsia"/>
          <w:b/>
          <w:bCs/>
          <w:sz w:val="24"/>
        </w:rPr>
        <w:t>7.3履约</w:t>
      </w:r>
      <w:bookmarkEnd w:id="184"/>
      <w:bookmarkEnd w:id="185"/>
      <w:bookmarkEnd w:id="186"/>
      <w:r>
        <w:rPr>
          <w:rFonts w:hint="eastAsia" w:asciiTheme="minorEastAsia" w:hAnsiTheme="minorEastAsia" w:eastAsiaTheme="minorEastAsia" w:cstheme="minorEastAsia"/>
          <w:b/>
          <w:bCs/>
          <w:sz w:val="24"/>
        </w:rPr>
        <w:t>保证金</w:t>
      </w:r>
      <w:bookmarkEnd w:id="187"/>
      <w:bookmarkEnd w:id="18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89" w:name="_Toc426369520"/>
      <w:bookmarkStart w:id="190" w:name="_Toc279599809"/>
      <w:bookmarkStart w:id="191" w:name="_Toc274249613"/>
      <w:bookmarkStart w:id="192" w:name="_Toc403122530"/>
      <w:r>
        <w:rPr>
          <w:rFonts w:hint="eastAsia" w:asciiTheme="minorEastAsia" w:hAnsiTheme="minorEastAsia" w:eastAsiaTheme="minorEastAsia" w:cstheme="minorEastAsia"/>
          <w:b/>
          <w:bCs/>
          <w:sz w:val="24"/>
        </w:rPr>
        <w:t>7.4 签订合同</w:t>
      </w:r>
      <w:bookmarkEnd w:id="189"/>
      <w:bookmarkEnd w:id="190"/>
      <w:bookmarkEnd w:id="191"/>
      <w:bookmarkEnd w:id="19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（当中标人的投标报价高于控制价的95%时，该中标人的中标价按控制价的95%执行）。</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93" w:name="_Toc18607"/>
      <w:bookmarkStart w:id="194" w:name="_Toc30009"/>
      <w:bookmarkStart w:id="195" w:name="_Toc426369521"/>
      <w:bookmarkStart w:id="196" w:name="_Toc403122531"/>
      <w:bookmarkStart w:id="197" w:name="_Toc10541"/>
      <w:bookmarkStart w:id="198" w:name="_Toc10417"/>
      <w:r>
        <w:rPr>
          <w:rFonts w:hint="eastAsia" w:asciiTheme="minorEastAsia" w:hAnsiTheme="minorEastAsia" w:eastAsiaTheme="minorEastAsia" w:cstheme="minorEastAsia"/>
          <w:sz w:val="24"/>
          <w:szCs w:val="24"/>
        </w:rPr>
        <w:t>8. 重新招标</w:t>
      </w:r>
      <w:bookmarkEnd w:id="193"/>
      <w:bookmarkEnd w:id="194"/>
      <w:bookmarkEnd w:id="195"/>
      <w:bookmarkEnd w:id="196"/>
      <w:bookmarkEnd w:id="197"/>
      <w:bookmarkEnd w:id="198"/>
    </w:p>
    <w:p>
      <w:pPr>
        <w:spacing w:line="500" w:lineRule="exact"/>
        <w:ind w:firstLine="482" w:firstLineChars="200"/>
        <w:rPr>
          <w:rFonts w:asciiTheme="minorEastAsia" w:hAnsiTheme="minorEastAsia" w:eastAsiaTheme="minorEastAsia" w:cstheme="minorEastAsia"/>
          <w:b/>
          <w:bCs/>
          <w:sz w:val="24"/>
        </w:rPr>
      </w:pPr>
      <w:bookmarkStart w:id="199" w:name="_Toc274249615"/>
      <w:bookmarkStart w:id="200" w:name="_Toc403122532"/>
      <w:bookmarkStart w:id="201" w:name="_Toc426369522"/>
      <w:bookmarkStart w:id="202" w:name="_Toc279599811"/>
      <w:r>
        <w:rPr>
          <w:rFonts w:hint="eastAsia" w:asciiTheme="minorEastAsia" w:hAnsiTheme="minorEastAsia" w:eastAsiaTheme="minorEastAsia" w:cstheme="minorEastAsia"/>
          <w:b/>
          <w:bCs/>
          <w:sz w:val="24"/>
        </w:rPr>
        <w:t>8.1 重新招标</w:t>
      </w:r>
      <w:bookmarkEnd w:id="199"/>
      <w:bookmarkEnd w:id="200"/>
      <w:bookmarkEnd w:id="201"/>
      <w:bookmarkEnd w:id="20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（1）投标截止时间止，投标人少于3个的；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3" w:name="_Toc3760"/>
      <w:bookmarkStart w:id="204" w:name="_Toc27398"/>
      <w:bookmarkStart w:id="205" w:name="_Toc23389"/>
      <w:bookmarkStart w:id="206" w:name="_Toc403122533"/>
      <w:bookmarkStart w:id="207" w:name="_Toc426369523"/>
      <w:bookmarkStart w:id="208" w:name="_Toc10372"/>
      <w:r>
        <w:rPr>
          <w:rFonts w:hint="eastAsia" w:asciiTheme="minorEastAsia" w:hAnsiTheme="minorEastAsia" w:eastAsiaTheme="minorEastAsia" w:cstheme="minorEastAsia"/>
          <w:sz w:val="24"/>
          <w:szCs w:val="24"/>
        </w:rPr>
        <w:t>9. 纪律和监督</w:t>
      </w:r>
      <w:bookmarkEnd w:id="203"/>
      <w:bookmarkEnd w:id="204"/>
      <w:bookmarkEnd w:id="205"/>
      <w:bookmarkEnd w:id="206"/>
      <w:bookmarkEnd w:id="207"/>
      <w:bookmarkEnd w:id="208"/>
    </w:p>
    <w:p>
      <w:pPr>
        <w:spacing w:line="500" w:lineRule="exact"/>
        <w:ind w:firstLine="482" w:firstLineChars="200"/>
        <w:rPr>
          <w:rFonts w:asciiTheme="minorEastAsia" w:hAnsiTheme="minorEastAsia" w:eastAsiaTheme="minorEastAsia" w:cstheme="minorEastAsia"/>
          <w:b/>
          <w:bCs/>
          <w:sz w:val="24"/>
        </w:rPr>
      </w:pPr>
      <w:bookmarkStart w:id="209" w:name="_Toc403122534"/>
      <w:bookmarkStart w:id="210" w:name="_Toc426369524"/>
      <w:bookmarkStart w:id="211" w:name="_Toc274249618"/>
      <w:bookmarkStart w:id="212" w:name="_Toc279599814"/>
      <w:r>
        <w:rPr>
          <w:rFonts w:hint="eastAsia" w:asciiTheme="minorEastAsia" w:hAnsiTheme="minorEastAsia" w:eastAsiaTheme="minorEastAsia" w:cstheme="minorEastAsia"/>
          <w:b/>
          <w:bCs/>
          <w:sz w:val="24"/>
        </w:rPr>
        <w:t>9.1 对采购人的纪律要求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采购人不得泄漏招标投标活动中应当保密的情况和资料，不得与投标人串通损害国家利益、社会公共利益或者他人合法权益。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3" w:name="_Toc403122535"/>
      <w:bookmarkStart w:id="214" w:name="_Toc279599815"/>
      <w:bookmarkStart w:id="215" w:name="_Toc426369525"/>
      <w:bookmarkStart w:id="216" w:name="_Toc274249619"/>
      <w:r>
        <w:rPr>
          <w:rFonts w:hint="eastAsia" w:asciiTheme="minorEastAsia" w:hAnsiTheme="minorEastAsia" w:eastAsiaTheme="minorEastAsia" w:cstheme="minorEastAsia"/>
          <w:b/>
          <w:bCs/>
          <w:sz w:val="24"/>
        </w:rPr>
        <w:t>9.2 对投标人的纪律要求</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17" w:name="_Toc279599816"/>
      <w:bookmarkStart w:id="218" w:name="_Toc426369526"/>
      <w:bookmarkStart w:id="219" w:name="_Toc403122536"/>
      <w:bookmarkStart w:id="220" w:name="_Toc274249620"/>
      <w:r>
        <w:rPr>
          <w:rFonts w:hint="eastAsia" w:asciiTheme="minorEastAsia" w:hAnsiTheme="minorEastAsia" w:eastAsiaTheme="minorEastAsia" w:cstheme="minorEastAsia"/>
          <w:b/>
          <w:bCs/>
          <w:sz w:val="24"/>
        </w:rPr>
        <w:t>9.3 对评标委员会成员的纪律要求</w:t>
      </w:r>
      <w:bookmarkEnd w:id="217"/>
      <w:bookmarkEnd w:id="218"/>
      <w:bookmarkEnd w:id="219"/>
      <w:bookmarkEnd w:id="22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1" w:name="_Toc274249621"/>
      <w:bookmarkStart w:id="222" w:name="_Toc403122537"/>
      <w:bookmarkStart w:id="223" w:name="_Toc426369527"/>
      <w:bookmarkStart w:id="224" w:name="_Toc279599817"/>
      <w:r>
        <w:rPr>
          <w:rFonts w:hint="eastAsia" w:asciiTheme="minorEastAsia" w:hAnsiTheme="minorEastAsia" w:eastAsiaTheme="minorEastAsia" w:cstheme="minorEastAsia"/>
          <w:b/>
          <w:bCs/>
          <w:sz w:val="24"/>
        </w:rPr>
        <w:t>9.4 对与评标活动有关的工作人员的纪律要求</w:t>
      </w:r>
      <w:bookmarkEnd w:id="221"/>
      <w:bookmarkEnd w:id="222"/>
      <w:bookmarkEnd w:id="223"/>
      <w:bookmarkEnd w:id="22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5" w:name="_Toc279599818"/>
      <w:bookmarkStart w:id="226" w:name="_Toc426369528"/>
      <w:bookmarkStart w:id="227" w:name="_Toc403122538"/>
      <w:bookmarkStart w:id="228" w:name="_Toc274249622"/>
      <w:r>
        <w:rPr>
          <w:rFonts w:hint="eastAsia" w:asciiTheme="minorEastAsia" w:hAnsiTheme="minorEastAsia" w:eastAsiaTheme="minorEastAsia" w:cstheme="minorEastAsia"/>
          <w:b/>
          <w:bCs/>
          <w:sz w:val="24"/>
        </w:rPr>
        <w:t>9.5 投诉</w:t>
      </w:r>
      <w:bookmarkEnd w:id="225"/>
      <w:bookmarkEnd w:id="226"/>
      <w:bookmarkEnd w:id="227"/>
      <w:bookmarkEnd w:id="22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投标人和其他利害关系人认为本次招标活动违反法律、法规和规章规定的，有权向有关行政监督部门投诉。 </w:t>
      </w:r>
    </w:p>
    <w:p>
      <w:pPr>
        <w:pStyle w:val="2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29" w:name="_Toc10880"/>
      <w:bookmarkStart w:id="230" w:name="_Toc403122539"/>
      <w:bookmarkStart w:id="231" w:name="_Toc5888"/>
      <w:bookmarkStart w:id="232" w:name="_Toc25080"/>
      <w:bookmarkStart w:id="233" w:name="_Toc426369529"/>
      <w:bookmarkStart w:id="234" w:name="_Toc13281"/>
      <w:r>
        <w:rPr>
          <w:rFonts w:hint="eastAsia" w:asciiTheme="minorEastAsia" w:hAnsiTheme="minorEastAsia" w:eastAsiaTheme="minorEastAsia" w:cstheme="minorEastAsia"/>
          <w:sz w:val="24"/>
          <w:szCs w:val="24"/>
        </w:rPr>
        <w:t>10. 需要补充的其他内容</w:t>
      </w:r>
      <w:bookmarkEnd w:id="229"/>
      <w:bookmarkEnd w:id="230"/>
      <w:bookmarkEnd w:id="231"/>
      <w:bookmarkEnd w:id="232"/>
      <w:bookmarkEnd w:id="233"/>
      <w:bookmarkEnd w:id="234"/>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（3）投标人与采购人签订合同后，将合同报采购代理机构备案。</w:t>
      </w:r>
    </w:p>
    <w:p>
      <w:pPr>
        <w:pStyle w:val="49"/>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4"/>
        <w:numPr>
          <w:ilvl w:val="0"/>
          <w:numId w:val="5"/>
        </w:numPr>
        <w:spacing w:line="600" w:lineRule="exact"/>
        <w:ind w:right="-63" w:rightChars="-30"/>
        <w:rPr>
          <w:rFonts w:asciiTheme="minorEastAsia" w:hAnsiTheme="minorEastAsia" w:eastAsiaTheme="minorEastAsia" w:cstheme="minorEastAsia"/>
          <w:sz w:val="36"/>
          <w:szCs w:val="36"/>
        </w:rPr>
      </w:pPr>
      <w:bookmarkStart w:id="235" w:name="_Toc28433"/>
      <w:bookmarkStart w:id="236" w:name="_Toc403122540"/>
      <w:bookmarkStart w:id="237" w:name="_Toc426369530"/>
      <w:bookmarkStart w:id="238" w:name="_Toc2565"/>
      <w:r>
        <w:rPr>
          <w:rFonts w:hint="eastAsia" w:asciiTheme="minorEastAsia" w:hAnsiTheme="minorEastAsia" w:eastAsiaTheme="minorEastAsia" w:cstheme="minorEastAsia"/>
          <w:sz w:val="36"/>
          <w:szCs w:val="36"/>
        </w:rPr>
        <w:t>评标办法</w:t>
      </w:r>
      <w:bookmarkEnd w:id="235"/>
      <w:bookmarkEnd w:id="236"/>
      <w:bookmarkEnd w:id="237"/>
      <w:r>
        <w:rPr>
          <w:rFonts w:hint="eastAsia" w:asciiTheme="minorEastAsia" w:hAnsiTheme="minorEastAsia" w:eastAsiaTheme="minorEastAsia" w:cstheme="minorEastAsia"/>
          <w:sz w:val="36"/>
          <w:szCs w:val="36"/>
        </w:rPr>
        <w:t>（综合评分法）</w:t>
      </w:r>
      <w:bookmarkEnd w:id="238"/>
    </w:p>
    <w:p>
      <w:pPr>
        <w:pStyle w:val="50"/>
        <w:numPr>
          <w:ilvl w:val="0"/>
          <w:numId w:val="6"/>
        </w:numPr>
        <w:spacing w:line="540" w:lineRule="exact"/>
        <w:jc w:val="center"/>
        <w:outlineLvl w:val="2"/>
        <w:rPr>
          <w:rFonts w:hint="eastAsia" w:asciiTheme="minorEastAsia" w:hAnsiTheme="minorEastAsia" w:eastAsiaTheme="minorEastAsia" w:cstheme="minorEastAsia"/>
          <w:b/>
          <w:bCs/>
          <w:sz w:val="28"/>
          <w:szCs w:val="28"/>
        </w:rPr>
      </w:pPr>
      <w:bookmarkStart w:id="239" w:name="_Toc29947"/>
      <w:bookmarkStart w:id="240" w:name="_Toc17859"/>
      <w:bookmarkStart w:id="241" w:name="_Toc21885"/>
      <w:bookmarkStart w:id="242" w:name="_Toc30933"/>
      <w:bookmarkStart w:id="243" w:name="_Toc31836"/>
      <w:bookmarkStart w:id="244" w:name="_Toc9561"/>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39"/>
      <w:bookmarkEnd w:id="240"/>
      <w:bookmarkEnd w:id="241"/>
      <w:bookmarkEnd w:id="242"/>
      <w:bookmarkEnd w:id="243"/>
      <w:bookmarkEnd w:id="244"/>
    </w:p>
    <w:tbl>
      <w:tblPr>
        <w:tblStyle w:val="26"/>
        <w:tblpPr w:leftFromText="180" w:rightFromText="180" w:vertAnchor="text" w:horzAnchor="page" w:tblpX="1522" w:tblpY="363"/>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09"/>
        <w:gridCol w:w="2084"/>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trPr>
        <w:tc>
          <w:tcPr>
            <w:tcW w:w="914" w:type="dxa"/>
            <w:vAlign w:val="center"/>
          </w:tcPr>
          <w:p>
            <w:pPr>
              <w:spacing w:line="5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bCs/>
                <w:color w:val="000000"/>
                <w:sz w:val="21"/>
                <w:szCs w:val="21"/>
              </w:rPr>
              <w:t>审查主体</w:t>
            </w:r>
          </w:p>
        </w:tc>
        <w:tc>
          <w:tcPr>
            <w:tcW w:w="2993" w:type="dxa"/>
            <w:gridSpan w:val="2"/>
            <w:vAlign w:val="center"/>
          </w:tcPr>
          <w:p>
            <w:pPr>
              <w:spacing w:line="5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评审因素</w:t>
            </w:r>
          </w:p>
        </w:tc>
        <w:tc>
          <w:tcPr>
            <w:tcW w:w="5412" w:type="dxa"/>
            <w:vAlign w:val="center"/>
          </w:tcPr>
          <w:p>
            <w:pPr>
              <w:tabs>
                <w:tab w:val="left" w:pos="417"/>
                <w:tab w:val="center" w:pos="2999"/>
              </w:tabs>
              <w:spacing w:line="500" w:lineRule="exact"/>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914" w:type="dxa"/>
            <w:vMerge w:val="restart"/>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资格审查小组</w:t>
            </w:r>
          </w:p>
        </w:tc>
        <w:tc>
          <w:tcPr>
            <w:tcW w:w="909" w:type="dxa"/>
            <w:vMerge w:val="restart"/>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一、资格评审标准</w:t>
            </w:r>
          </w:p>
        </w:tc>
        <w:tc>
          <w:tcPr>
            <w:tcW w:w="2084" w:type="dxa"/>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营业执照、税务登记证、组织机构代码证</w:t>
            </w:r>
          </w:p>
        </w:tc>
        <w:tc>
          <w:tcPr>
            <w:tcW w:w="5412" w:type="dxa"/>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trPr>
        <w:tc>
          <w:tcPr>
            <w:tcW w:w="914" w:type="dxa"/>
            <w:vMerge w:val="continue"/>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2084" w:type="dxa"/>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法定代表人证明或法人授权委托书</w:t>
            </w:r>
          </w:p>
        </w:tc>
        <w:tc>
          <w:tcPr>
            <w:tcW w:w="5412" w:type="dxa"/>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2084" w:type="dxa"/>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信誉要求</w:t>
            </w:r>
          </w:p>
        </w:tc>
        <w:tc>
          <w:tcPr>
            <w:tcW w:w="5412" w:type="dxa"/>
            <w:vAlign w:val="center"/>
          </w:tcPr>
          <w:p>
            <w:pPr>
              <w:spacing w:line="5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w:t>
            </w:r>
            <w:r>
              <w:rPr>
                <w:rFonts w:hint="eastAsia" w:asciiTheme="minorEastAsia" w:hAnsiTheme="minorEastAsia" w:eastAsiaTheme="minorEastAsia" w:cstheme="minorEastAsia"/>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bottom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tcBorders>
              <w:bottom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2084" w:type="dxa"/>
            <w:tcBorders>
              <w:bottom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其他要求</w:t>
            </w:r>
          </w:p>
        </w:tc>
        <w:tc>
          <w:tcPr>
            <w:tcW w:w="5412" w:type="dxa"/>
            <w:tcBorders>
              <w:bottom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评标委员会</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投标人名称</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投标函签字盖章</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投标文件格式</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报价唯一</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restart"/>
            <w:tcBorders>
              <w:top w:val="single" w:color="auto" w:sz="4" w:space="0"/>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auto"/>
                <w:sz w:val="21"/>
                <w:szCs w:val="21"/>
              </w:rPr>
            </w:pPr>
          </w:p>
          <w:p>
            <w:pPr>
              <w:spacing w:line="500" w:lineRule="exact"/>
              <w:rPr>
                <w:rFonts w:hint="eastAsia" w:asciiTheme="minorEastAsia" w:hAnsiTheme="minorEastAsia" w:eastAsiaTheme="minorEastAsia" w:cstheme="minorEastAsia"/>
                <w:color w:val="auto"/>
                <w:sz w:val="21"/>
                <w:szCs w:val="21"/>
              </w:rPr>
            </w:pPr>
          </w:p>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sz w:val="21"/>
                <w:szCs w:val="21"/>
                <w:lang w:val="en-US" w:eastAsia="zh-CN"/>
              </w:rPr>
              <w:t>期</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2023年7月前完成项目内容，并配合项目验收合格。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auto"/>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质量标准</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符合国家质量验收合格标准 ，并通过采购人验收。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商务报价</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投标有效期</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60日历天</w:t>
            </w:r>
            <w:r>
              <w:rPr>
                <w:rFonts w:hint="eastAsia" w:asciiTheme="minorEastAsia" w:hAnsiTheme="minorEastAsia" w:eastAsiaTheme="minorEastAsia" w:cstheme="minorEastAsia"/>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权利义务</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采购内容及要求</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符合“采购内容及要求”规定</w:t>
            </w:r>
            <w:r>
              <w:rPr>
                <w:rFonts w:hint="eastAsia" w:asciiTheme="minorEastAsia" w:hAnsiTheme="minorEastAsia" w:eastAsiaTheme="minorEastAsia" w:cstheme="minorEastAsia"/>
                <w:color w:val="00000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914"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909" w:type="dxa"/>
            <w:vMerge w:val="continue"/>
            <w:tcBorders>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color w:val="000000"/>
                <w:sz w:val="21"/>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投标文件的其他响应</w:t>
            </w:r>
          </w:p>
        </w:tc>
        <w:tc>
          <w:tcPr>
            <w:tcW w:w="541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符合法律、法规和招标文件中规定的其他实质性要求的</w:t>
            </w:r>
          </w:p>
        </w:tc>
      </w:tr>
    </w:tbl>
    <w:tbl>
      <w:tblPr>
        <w:tblStyle w:val="26"/>
        <w:tblpPr w:leftFromText="180" w:rightFromText="180" w:vertAnchor="text" w:horzAnchor="page" w:tblpX="1476" w:tblpY="438"/>
        <w:tblOverlap w:val="never"/>
        <w:tblW w:w="93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1"/>
        <w:gridCol w:w="1276"/>
        <w:gridCol w:w="990"/>
        <w:gridCol w:w="22"/>
        <w:gridCol w:w="5225"/>
        <w:gridCol w:w="1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78" w:hRule="atLeast"/>
        </w:trPr>
        <w:tc>
          <w:tcPr>
            <w:tcW w:w="2827" w:type="dxa"/>
            <w:gridSpan w:val="3"/>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分值构成</w:t>
            </w:r>
          </w:p>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(总分 100 分)</w:t>
            </w:r>
          </w:p>
        </w:tc>
        <w:tc>
          <w:tcPr>
            <w:tcW w:w="6515" w:type="dxa"/>
            <w:gridSpan w:val="3"/>
            <w:vAlign w:val="center"/>
          </w:tcPr>
          <w:p>
            <w:pPr>
              <w:spacing w:line="360" w:lineRule="auto"/>
              <w:ind w:firstLine="3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投标报价：15分 </w:t>
            </w:r>
          </w:p>
          <w:p>
            <w:pPr>
              <w:spacing w:line="360" w:lineRule="auto"/>
              <w:ind w:firstLine="3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技术部分：30分</w:t>
            </w:r>
          </w:p>
          <w:p>
            <w:pPr>
              <w:spacing w:line="360" w:lineRule="auto"/>
              <w:ind w:firstLine="34"/>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商务部分：</w:t>
            </w:r>
            <w:r>
              <w:rPr>
                <w:rFonts w:hint="eastAsia" w:asciiTheme="minorEastAsia" w:hAnsiTheme="minorEastAsia" w:eastAsiaTheme="minorEastAsia" w:cstheme="minorEastAsia"/>
                <w:sz w:val="21"/>
                <w:szCs w:val="21"/>
                <w:lang w:val="en-US" w:eastAsia="zh-CN"/>
              </w:rPr>
              <w:t>47</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 xml:space="preserve">                 </w:t>
            </w:r>
          </w:p>
          <w:p>
            <w:pPr>
              <w:spacing w:line="360" w:lineRule="auto"/>
              <w:ind w:firstLine="34"/>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服务承诺：8分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134" w:hRule="atLeast"/>
        </w:trPr>
        <w:tc>
          <w:tcPr>
            <w:tcW w:w="561"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序号</w:t>
            </w:r>
          </w:p>
        </w:tc>
        <w:tc>
          <w:tcPr>
            <w:tcW w:w="1276"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项目</w:t>
            </w:r>
          </w:p>
        </w:tc>
        <w:tc>
          <w:tcPr>
            <w:tcW w:w="990"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评分内容</w:t>
            </w:r>
          </w:p>
        </w:tc>
        <w:tc>
          <w:tcPr>
            <w:tcW w:w="5247" w:type="dxa"/>
            <w:gridSpan w:val="2"/>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评分标准</w:t>
            </w:r>
          </w:p>
        </w:tc>
        <w:tc>
          <w:tcPr>
            <w:tcW w:w="1268"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分值区间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37" w:hRule="atLeast"/>
        </w:trPr>
        <w:tc>
          <w:tcPr>
            <w:tcW w:w="561"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w:t>
            </w:r>
          </w:p>
        </w:tc>
        <w:tc>
          <w:tcPr>
            <w:tcW w:w="1276" w:type="dxa"/>
            <w:vAlign w:val="center"/>
          </w:tcPr>
          <w:p>
            <w:pPr>
              <w:spacing w:before="141" w:line="360" w:lineRule="auto"/>
              <w:ind w:right="46"/>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报 价</w:t>
            </w:r>
          </w:p>
          <w:p>
            <w:pPr>
              <w:spacing w:before="141" w:line="360" w:lineRule="auto"/>
              <w:ind w:right="46"/>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部 分</w:t>
            </w:r>
          </w:p>
          <w:p>
            <w:pPr>
              <w:spacing w:before="141" w:line="360" w:lineRule="auto"/>
              <w:ind w:right="46"/>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（15分）</w:t>
            </w:r>
          </w:p>
        </w:tc>
        <w:tc>
          <w:tcPr>
            <w:tcW w:w="990"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投标</w:t>
            </w:r>
          </w:p>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报价</w:t>
            </w:r>
          </w:p>
        </w:tc>
        <w:tc>
          <w:tcPr>
            <w:tcW w:w="5247" w:type="dxa"/>
            <w:gridSpan w:val="2"/>
            <w:vAlign w:val="center"/>
          </w:tcPr>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满足招标文件要求且报价最低的投标人的投标报价为评标基准价，其价格分为满分，其他投标人的报价按下列公式计算：</w:t>
            </w:r>
          </w:p>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报价得分=（评标基准价/投标报价）×15，报价得分保留两位小数。</w:t>
            </w:r>
          </w:p>
        </w:tc>
        <w:tc>
          <w:tcPr>
            <w:tcW w:w="1268"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61" w:type="dxa"/>
            <w:vMerge w:val="restart"/>
          </w:tcPr>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before="139"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w:t>
            </w:r>
          </w:p>
        </w:tc>
        <w:tc>
          <w:tcPr>
            <w:tcW w:w="1276" w:type="dxa"/>
            <w:vMerge w:val="restart"/>
            <w:tcBorders>
              <w:right w:val="single" w:color="auto" w:sz="4" w:space="0"/>
            </w:tcBorders>
            <w:vAlign w:val="center"/>
          </w:tcPr>
          <w:p>
            <w:pPr>
              <w:spacing w:before="168" w:line="360" w:lineRule="auto"/>
              <w:ind w:right="55"/>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技术</w:t>
            </w:r>
          </w:p>
          <w:p>
            <w:pPr>
              <w:spacing w:before="168" w:line="360" w:lineRule="auto"/>
              <w:ind w:right="55"/>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部分</w:t>
            </w:r>
          </w:p>
          <w:p>
            <w:pPr>
              <w:spacing w:before="168" w:line="360" w:lineRule="auto"/>
              <w:ind w:right="55"/>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（30分）</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总体实施方案</w:t>
            </w:r>
          </w:p>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（9分）</w:t>
            </w:r>
          </w:p>
        </w:tc>
        <w:tc>
          <w:tcPr>
            <w:tcW w:w="52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rPr>
              <w:t>根据地块实际情况提供项目各阶段工作思路与任务，对具体实施方案进行描述。实施方案科学、合理、完整，</w:t>
            </w:r>
            <w:r>
              <w:rPr>
                <w:rFonts w:hint="eastAsia" w:asciiTheme="minorEastAsia" w:hAnsiTheme="minorEastAsia" w:eastAsiaTheme="minorEastAsia" w:cstheme="minorEastAsia"/>
                <w:b w:val="0"/>
                <w:bCs/>
                <w:kern w:val="0"/>
                <w:sz w:val="21"/>
                <w:szCs w:val="21"/>
                <w:highlight w:val="none"/>
                <w:lang w:val="en-US" w:eastAsia="zh-CN"/>
              </w:rPr>
              <w:t>技术标准</w:t>
            </w:r>
            <w:r>
              <w:rPr>
                <w:rFonts w:hint="eastAsia" w:asciiTheme="minorEastAsia" w:hAnsiTheme="minorEastAsia" w:eastAsiaTheme="minorEastAsia" w:cstheme="minorEastAsia"/>
                <w:spacing w:val="-3"/>
                <w:sz w:val="21"/>
                <w:szCs w:val="21"/>
              </w:rPr>
              <w:t>明确与清晰，内容详细，可操控性强的</w:t>
            </w:r>
            <w:r>
              <w:rPr>
                <w:rFonts w:hint="eastAsia" w:asciiTheme="minorEastAsia" w:hAnsiTheme="minorEastAsia" w:eastAsiaTheme="minorEastAsia" w:cstheme="minorEastAsia"/>
                <w:spacing w:val="-3"/>
                <w:sz w:val="21"/>
                <w:szCs w:val="21"/>
                <w:lang w:val="en-US" w:eastAsia="zh-CN"/>
              </w:rPr>
              <w:t>得</w:t>
            </w:r>
            <w:r>
              <w:rPr>
                <w:rFonts w:hint="eastAsia" w:asciiTheme="minorEastAsia" w:hAnsiTheme="minorEastAsia" w:eastAsiaTheme="minorEastAsia" w:cstheme="minorEastAsia"/>
                <w:spacing w:val="-3"/>
                <w:sz w:val="21"/>
                <w:szCs w:val="21"/>
              </w:rPr>
              <w:t>7-9分；</w:t>
            </w:r>
          </w:p>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w:t>
            </w:r>
            <w:r>
              <w:rPr>
                <w:rFonts w:hint="eastAsia" w:asciiTheme="minorEastAsia" w:hAnsiTheme="minorEastAsia" w:eastAsia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rPr>
              <w:t>实施方案较科学、合理，完整，</w:t>
            </w:r>
            <w:r>
              <w:rPr>
                <w:rFonts w:hint="eastAsia" w:asciiTheme="minorEastAsia" w:hAnsiTheme="minorEastAsia" w:eastAsiaTheme="minorEastAsia" w:cstheme="minorEastAsia"/>
                <w:b w:val="0"/>
                <w:bCs/>
                <w:kern w:val="0"/>
                <w:sz w:val="21"/>
                <w:szCs w:val="21"/>
                <w:highlight w:val="none"/>
                <w:lang w:val="en-US" w:eastAsia="zh-CN"/>
              </w:rPr>
              <w:t>技术标准</w:t>
            </w:r>
            <w:r>
              <w:rPr>
                <w:rFonts w:hint="eastAsia" w:asciiTheme="minorEastAsia" w:hAnsiTheme="minorEastAsia" w:eastAsiaTheme="minorEastAsia" w:cstheme="minorEastAsia"/>
                <w:spacing w:val="-3"/>
                <w:sz w:val="21"/>
                <w:szCs w:val="21"/>
              </w:rPr>
              <w:t>较明确与清晰，可操控性较强的</w:t>
            </w:r>
            <w:r>
              <w:rPr>
                <w:rFonts w:hint="eastAsia" w:asciiTheme="minorEastAsia" w:hAnsiTheme="minorEastAsia" w:eastAsiaTheme="minorEastAsia" w:cstheme="minorEastAsia"/>
                <w:spacing w:val="-3"/>
                <w:sz w:val="21"/>
                <w:szCs w:val="21"/>
                <w:lang w:val="en-US" w:eastAsia="zh-CN"/>
              </w:rPr>
              <w:t>得</w:t>
            </w:r>
            <w:r>
              <w:rPr>
                <w:rFonts w:hint="eastAsia" w:asciiTheme="minorEastAsia" w:hAnsiTheme="minorEastAsia" w:eastAsiaTheme="minorEastAsia" w:cstheme="minorEastAsia"/>
                <w:spacing w:val="-3"/>
                <w:sz w:val="21"/>
                <w:szCs w:val="21"/>
              </w:rPr>
              <w:t>4-6分；</w:t>
            </w:r>
          </w:p>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w:t>
            </w:r>
            <w:r>
              <w:rPr>
                <w:rFonts w:hint="eastAsia" w:asciiTheme="minorEastAsia" w:hAnsiTheme="minorEastAsia" w:eastAsia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rPr>
              <w:t>实施方案不太明确与清晰的</w:t>
            </w:r>
            <w:r>
              <w:rPr>
                <w:rFonts w:hint="eastAsia" w:asciiTheme="minorEastAsia" w:hAnsiTheme="minorEastAsia" w:eastAsiaTheme="minorEastAsia" w:cstheme="minorEastAsia"/>
                <w:spacing w:val="-3"/>
                <w:sz w:val="21"/>
                <w:szCs w:val="21"/>
                <w:lang w:val="en-US" w:eastAsia="zh-CN"/>
              </w:rPr>
              <w:t>得0</w:t>
            </w:r>
            <w:r>
              <w:rPr>
                <w:rFonts w:hint="eastAsia" w:asciiTheme="minorEastAsia" w:hAnsiTheme="minorEastAsia" w:eastAsiaTheme="minorEastAsia" w:cstheme="minorEastAsia"/>
                <w:spacing w:val="-3"/>
                <w:sz w:val="21"/>
                <w:szCs w:val="21"/>
              </w:rPr>
              <w:t>-3分。</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24"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pacing w:val="-3"/>
                <w:sz w:val="21"/>
                <w:szCs w:val="21"/>
                <w:highlight w:val="none"/>
              </w:rPr>
              <w:t>工作方法与技术</w:t>
            </w:r>
            <w:r>
              <w:rPr>
                <w:rFonts w:hint="eastAsia" w:asciiTheme="minorEastAsia" w:hAnsiTheme="minorEastAsia" w:eastAsiaTheme="minorEastAsia" w:cstheme="minorEastAsia"/>
                <w:spacing w:val="-3"/>
                <w:sz w:val="21"/>
                <w:szCs w:val="21"/>
                <w:highlight w:val="none"/>
                <w:lang w:val="en-US" w:eastAsia="zh-CN"/>
              </w:rPr>
              <w:t>目标</w:t>
            </w:r>
          </w:p>
          <w:p>
            <w:pPr>
              <w:spacing w:line="360" w:lineRule="auto"/>
              <w:ind w:firstLine="34"/>
              <w:jc w:val="center"/>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（8分）</w:t>
            </w:r>
          </w:p>
        </w:tc>
        <w:tc>
          <w:tcPr>
            <w:tcW w:w="52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1.根据供应商</w:t>
            </w:r>
            <w:r>
              <w:rPr>
                <w:rFonts w:hint="eastAsia" w:asciiTheme="minorEastAsia" w:hAnsiTheme="minorEastAsia" w:eastAsiaTheme="minorEastAsia" w:cstheme="minorEastAsia"/>
                <w:color w:val="auto"/>
                <w:spacing w:val="-3"/>
                <w:sz w:val="21"/>
                <w:szCs w:val="21"/>
                <w:highlight w:val="none"/>
              </w:rPr>
              <w:t>对工作方法和技术</w:t>
            </w:r>
            <w:r>
              <w:rPr>
                <w:rFonts w:hint="eastAsia" w:asciiTheme="minorEastAsia" w:hAnsiTheme="minorEastAsia" w:eastAsiaTheme="minorEastAsia" w:cstheme="minorEastAsia"/>
                <w:color w:val="auto"/>
                <w:spacing w:val="-3"/>
                <w:sz w:val="21"/>
                <w:szCs w:val="21"/>
                <w:highlight w:val="none"/>
                <w:lang w:val="en-US" w:eastAsia="zh-CN"/>
              </w:rPr>
              <w:t>目标的方案</w:t>
            </w:r>
            <w:r>
              <w:rPr>
                <w:rFonts w:hint="eastAsia" w:asciiTheme="minorEastAsia" w:hAnsiTheme="minorEastAsia" w:eastAsiaTheme="minorEastAsia" w:cstheme="minorEastAsia"/>
                <w:color w:val="auto"/>
                <w:spacing w:val="-3"/>
                <w:sz w:val="21"/>
                <w:szCs w:val="21"/>
                <w:highlight w:val="none"/>
              </w:rPr>
              <w:t>进行综合评定，工作方法选择得当的</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技术</w:t>
            </w:r>
            <w:r>
              <w:rPr>
                <w:rFonts w:hint="eastAsia" w:asciiTheme="minorEastAsia" w:hAnsiTheme="minorEastAsia" w:eastAsiaTheme="minorEastAsia" w:cstheme="minorEastAsia"/>
                <w:color w:val="auto"/>
                <w:spacing w:val="-3"/>
                <w:sz w:val="21"/>
                <w:szCs w:val="21"/>
                <w:highlight w:val="none"/>
                <w:lang w:val="en-US" w:eastAsia="zh-CN"/>
              </w:rPr>
              <w:t>目标</w:t>
            </w:r>
            <w:r>
              <w:rPr>
                <w:rFonts w:hint="eastAsia" w:asciiTheme="minorEastAsia" w:hAnsiTheme="minorEastAsia" w:eastAsiaTheme="minorEastAsia" w:cstheme="minorEastAsia"/>
                <w:color w:val="auto"/>
                <w:spacing w:val="-3"/>
                <w:sz w:val="21"/>
                <w:szCs w:val="21"/>
                <w:highlight w:val="none"/>
              </w:rPr>
              <w:t>明确</w:t>
            </w:r>
            <w:r>
              <w:rPr>
                <w:rFonts w:hint="eastAsia" w:asciiTheme="minorEastAsia" w:hAnsiTheme="minorEastAsia" w:eastAsiaTheme="minorEastAsia" w:cstheme="minorEastAsia"/>
                <w:color w:val="auto"/>
                <w:spacing w:val="-3"/>
                <w:sz w:val="21"/>
                <w:szCs w:val="21"/>
                <w:highlight w:val="none"/>
                <w:lang w:val="en-US" w:eastAsia="zh-CN"/>
              </w:rPr>
              <w:t>的得</w:t>
            </w:r>
            <w:r>
              <w:rPr>
                <w:rFonts w:hint="eastAsia" w:asciiTheme="minorEastAsia" w:hAnsiTheme="minorEastAsia" w:eastAsiaTheme="minorEastAsia" w:cstheme="minorEastAsia"/>
                <w:color w:val="auto"/>
                <w:spacing w:val="-3"/>
                <w:sz w:val="21"/>
                <w:szCs w:val="21"/>
                <w:highlight w:val="none"/>
              </w:rPr>
              <w:t>6-8分；</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2.供应商</w:t>
            </w:r>
            <w:r>
              <w:rPr>
                <w:rFonts w:hint="eastAsia" w:asciiTheme="minorEastAsia" w:hAnsiTheme="minorEastAsia" w:eastAsiaTheme="minorEastAsia" w:cstheme="minorEastAsia"/>
                <w:color w:val="auto"/>
                <w:spacing w:val="-3"/>
                <w:sz w:val="21"/>
                <w:szCs w:val="21"/>
                <w:highlight w:val="none"/>
              </w:rPr>
              <w:t>对工作方法选择较得当</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技术</w:t>
            </w:r>
            <w:r>
              <w:rPr>
                <w:rFonts w:hint="eastAsia" w:asciiTheme="minorEastAsia" w:hAnsiTheme="minorEastAsia" w:eastAsiaTheme="minorEastAsia" w:cstheme="minorEastAsia"/>
                <w:color w:val="auto"/>
                <w:spacing w:val="-3"/>
                <w:sz w:val="21"/>
                <w:szCs w:val="21"/>
                <w:highlight w:val="none"/>
                <w:lang w:val="en-US" w:eastAsia="zh-CN"/>
              </w:rPr>
              <w:t>目标</w:t>
            </w:r>
            <w:r>
              <w:rPr>
                <w:rFonts w:hint="eastAsia" w:asciiTheme="minorEastAsia" w:hAnsiTheme="minorEastAsia" w:eastAsiaTheme="minorEastAsia" w:cstheme="minorEastAsia"/>
                <w:color w:val="auto"/>
                <w:spacing w:val="-3"/>
                <w:sz w:val="21"/>
                <w:szCs w:val="21"/>
                <w:highlight w:val="none"/>
              </w:rPr>
              <w:t>较明确</w:t>
            </w:r>
            <w:r>
              <w:rPr>
                <w:rFonts w:hint="eastAsia" w:asciiTheme="minorEastAsia" w:hAnsiTheme="minorEastAsia" w:eastAsiaTheme="minorEastAsia" w:cstheme="minorEastAsia"/>
                <w:color w:val="auto"/>
                <w:spacing w:val="-3"/>
                <w:sz w:val="21"/>
                <w:szCs w:val="21"/>
                <w:highlight w:val="none"/>
                <w:lang w:val="en-US" w:eastAsia="zh-CN"/>
              </w:rPr>
              <w:t>的得</w:t>
            </w:r>
            <w:r>
              <w:rPr>
                <w:rFonts w:hint="eastAsia" w:asciiTheme="minorEastAsia" w:hAnsiTheme="minorEastAsia" w:eastAsiaTheme="minorEastAsia" w:cstheme="minorEastAsia"/>
                <w:color w:val="auto"/>
                <w:spacing w:val="-3"/>
                <w:sz w:val="21"/>
                <w:szCs w:val="21"/>
                <w:highlight w:val="none"/>
              </w:rPr>
              <w:t>3-5分；</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3.供应商</w:t>
            </w:r>
            <w:r>
              <w:rPr>
                <w:rFonts w:hint="eastAsia" w:asciiTheme="minorEastAsia" w:hAnsiTheme="minorEastAsia" w:eastAsiaTheme="minorEastAsia" w:cstheme="minorEastAsia"/>
                <w:color w:val="auto"/>
                <w:spacing w:val="-3"/>
                <w:sz w:val="21"/>
                <w:szCs w:val="21"/>
                <w:highlight w:val="none"/>
              </w:rPr>
              <w:t>对工作方法选择一般</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技术</w:t>
            </w:r>
            <w:r>
              <w:rPr>
                <w:rFonts w:hint="eastAsia" w:asciiTheme="minorEastAsia" w:hAnsiTheme="minorEastAsia" w:eastAsiaTheme="minorEastAsia" w:cstheme="minorEastAsia"/>
                <w:color w:val="auto"/>
                <w:spacing w:val="-3"/>
                <w:sz w:val="21"/>
                <w:szCs w:val="21"/>
                <w:highlight w:val="none"/>
                <w:lang w:val="en-US" w:eastAsia="zh-CN"/>
              </w:rPr>
              <w:t>目标</w:t>
            </w:r>
            <w:r>
              <w:rPr>
                <w:rFonts w:hint="eastAsia" w:asciiTheme="minorEastAsia" w:hAnsiTheme="minorEastAsia" w:eastAsiaTheme="minorEastAsia" w:cstheme="minorEastAsia"/>
                <w:color w:val="auto"/>
                <w:spacing w:val="-3"/>
                <w:sz w:val="21"/>
                <w:szCs w:val="21"/>
                <w:highlight w:val="none"/>
              </w:rPr>
              <w:t>一般，针对性与可操作性一般的</w:t>
            </w:r>
            <w:r>
              <w:rPr>
                <w:rFonts w:hint="eastAsia" w:asciiTheme="minorEastAsia" w:hAnsiTheme="minorEastAsia" w:eastAsiaTheme="minorEastAsia" w:cstheme="minorEastAsia"/>
                <w:spacing w:val="-3"/>
                <w:sz w:val="21"/>
                <w:szCs w:val="21"/>
                <w:lang w:val="en-US" w:eastAsia="zh-CN"/>
              </w:rPr>
              <w:t>得</w:t>
            </w:r>
            <w:r>
              <w:rPr>
                <w:rFonts w:hint="eastAsia" w:asciiTheme="minorEastAsia" w:hAnsiTheme="minorEastAsia" w:eastAsiaTheme="minorEastAsia" w:cstheme="minorEastAsia"/>
                <w:color w:val="auto"/>
                <w:spacing w:val="-3"/>
                <w:sz w:val="21"/>
                <w:szCs w:val="21"/>
                <w:highlight w:val="none"/>
              </w:rPr>
              <w:t>0-2分。</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8分</w:t>
            </w:r>
          </w:p>
          <w:p>
            <w:pPr>
              <w:spacing w:line="360" w:lineRule="auto"/>
              <w:jc w:val="center"/>
              <w:rPr>
                <w:rFonts w:hint="eastAsia" w:asciiTheme="minorEastAsia" w:hAnsiTheme="minorEastAsia" w:eastAsiaTheme="minorEastAsia" w:cstheme="minorEastAsia"/>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64"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质量保证及安全措施</w:t>
            </w:r>
          </w:p>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5分）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7"/>
              </w:numPr>
              <w:spacing w:line="360" w:lineRule="auto"/>
              <w:ind w:firstLine="408" w:firstLineChars="200"/>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highlight w:val="none"/>
                <w:lang w:val="en-US" w:eastAsia="zh-CN"/>
              </w:rPr>
              <w:t>根据供应商</w:t>
            </w:r>
            <w:r>
              <w:rPr>
                <w:rFonts w:hint="eastAsia" w:asciiTheme="minorEastAsia" w:hAnsiTheme="minorEastAsia" w:eastAsiaTheme="minorEastAsia" w:cstheme="minorEastAsia"/>
                <w:color w:val="auto"/>
                <w:spacing w:val="-3"/>
                <w:sz w:val="21"/>
                <w:szCs w:val="21"/>
              </w:rPr>
              <w:t>对项目质量保证及实施过程中的安全措施进行综合评定，各项安排合理可行的</w:t>
            </w:r>
            <w:r>
              <w:rPr>
                <w:rFonts w:hint="eastAsia" w:asciiTheme="minorEastAsia" w:hAnsiTheme="minorEastAsia" w:eastAsiaTheme="minorEastAsia" w:cstheme="minorEastAsia"/>
                <w:color w:val="auto"/>
                <w:spacing w:val="-3"/>
                <w:sz w:val="21"/>
                <w:szCs w:val="21"/>
                <w:lang w:val="en-US" w:eastAsia="zh-CN"/>
              </w:rPr>
              <w:t>得</w:t>
            </w:r>
            <w:r>
              <w:rPr>
                <w:rFonts w:hint="eastAsia" w:asciiTheme="minorEastAsia" w:hAnsiTheme="minorEastAsia" w:eastAsiaTheme="minorEastAsia" w:cstheme="minorEastAsia"/>
                <w:color w:val="auto"/>
                <w:spacing w:val="-3"/>
                <w:sz w:val="21"/>
                <w:szCs w:val="21"/>
              </w:rPr>
              <w:t>3-5</w:t>
            </w:r>
            <w:r>
              <w:rPr>
                <w:rFonts w:hint="eastAsia" w:asciiTheme="minorEastAsia" w:hAnsiTheme="minorEastAsia" w:eastAsiaTheme="minorEastAsia" w:cstheme="minorEastAsia"/>
                <w:color w:val="auto"/>
                <w:spacing w:val="-3"/>
                <w:sz w:val="21"/>
                <w:szCs w:val="21"/>
                <w:lang w:val="en-US" w:eastAsia="zh-CN"/>
              </w:rPr>
              <w:t>分</w:t>
            </w:r>
            <w:r>
              <w:rPr>
                <w:rFonts w:hint="eastAsia" w:asciiTheme="minorEastAsia" w:hAnsiTheme="minorEastAsia" w:eastAsiaTheme="minorEastAsia" w:cstheme="minorEastAsia"/>
                <w:color w:val="auto"/>
                <w:spacing w:val="-3"/>
                <w:sz w:val="21"/>
                <w:szCs w:val="21"/>
              </w:rPr>
              <w:t>；</w:t>
            </w:r>
          </w:p>
          <w:p>
            <w:pPr>
              <w:numPr>
                <w:ilvl w:val="0"/>
                <w:numId w:val="7"/>
              </w:numPr>
              <w:spacing w:line="360" w:lineRule="auto"/>
              <w:ind w:firstLine="408" w:firstLineChars="200"/>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rPr>
              <w:t>各项安排基本可行的</w:t>
            </w:r>
            <w:r>
              <w:rPr>
                <w:rFonts w:hint="eastAsia" w:asciiTheme="minorEastAsia" w:hAnsiTheme="minorEastAsia" w:eastAsiaTheme="minorEastAsia" w:cstheme="minorEastAsia"/>
                <w:color w:val="auto"/>
                <w:spacing w:val="-3"/>
                <w:sz w:val="21"/>
                <w:szCs w:val="21"/>
                <w:lang w:val="en-US" w:eastAsia="zh-CN"/>
              </w:rPr>
              <w:t>得</w:t>
            </w:r>
            <w:r>
              <w:rPr>
                <w:rFonts w:hint="eastAsia" w:asciiTheme="minorEastAsia" w:hAnsiTheme="minorEastAsia" w:eastAsiaTheme="minorEastAsia" w:cstheme="minorEastAsia"/>
                <w:color w:val="auto"/>
                <w:spacing w:val="-3"/>
                <w:sz w:val="21"/>
                <w:szCs w:val="21"/>
              </w:rPr>
              <w:t>0-2分。</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24"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项目进度计划及工期保证措施</w:t>
            </w:r>
          </w:p>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（5分）</w:t>
            </w:r>
          </w:p>
        </w:tc>
        <w:tc>
          <w:tcPr>
            <w:tcW w:w="5225"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ind w:firstLine="408" w:firstLineChars="200"/>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highlight w:val="none"/>
                <w:lang w:val="en-US" w:eastAsia="zh-CN"/>
              </w:rPr>
              <w:t>根据供应商</w:t>
            </w:r>
            <w:r>
              <w:rPr>
                <w:rFonts w:hint="eastAsia" w:asciiTheme="minorEastAsia" w:hAnsiTheme="minorEastAsia" w:eastAsiaTheme="minorEastAsia" w:cstheme="minorEastAsia"/>
                <w:color w:val="auto"/>
                <w:spacing w:val="-3"/>
                <w:sz w:val="21"/>
                <w:szCs w:val="21"/>
              </w:rPr>
              <w:t>对项目进度计划及工期保证措施进行综合评定，进度安排详细完善、科学合理的</w:t>
            </w:r>
            <w:r>
              <w:rPr>
                <w:rFonts w:hint="eastAsia" w:asciiTheme="minorEastAsia" w:hAnsiTheme="minorEastAsia" w:eastAsiaTheme="minorEastAsia" w:cstheme="minorEastAsia"/>
                <w:color w:val="auto"/>
                <w:spacing w:val="-3"/>
                <w:sz w:val="21"/>
                <w:szCs w:val="21"/>
                <w:lang w:val="en-US" w:eastAsia="zh-CN"/>
              </w:rPr>
              <w:t>得</w:t>
            </w:r>
            <w:r>
              <w:rPr>
                <w:rFonts w:hint="eastAsia" w:asciiTheme="minorEastAsia" w:hAnsiTheme="minorEastAsia" w:eastAsiaTheme="minorEastAsia" w:cstheme="minorEastAsia"/>
                <w:color w:val="auto"/>
                <w:spacing w:val="-3"/>
                <w:sz w:val="21"/>
                <w:szCs w:val="21"/>
              </w:rPr>
              <w:t>3-5分；</w:t>
            </w:r>
          </w:p>
          <w:p>
            <w:pPr>
              <w:numPr>
                <w:ilvl w:val="0"/>
                <w:numId w:val="8"/>
              </w:numPr>
              <w:spacing w:line="360" w:lineRule="auto"/>
              <w:ind w:firstLine="408" w:firstLineChars="200"/>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rPr>
              <w:t>进度及工期安排基本可行的</w:t>
            </w:r>
            <w:r>
              <w:rPr>
                <w:rFonts w:hint="eastAsia" w:asciiTheme="minorEastAsia" w:hAnsiTheme="minorEastAsia" w:eastAsiaTheme="minorEastAsia" w:cstheme="minorEastAsia"/>
                <w:color w:val="auto"/>
                <w:spacing w:val="-3"/>
                <w:sz w:val="21"/>
                <w:szCs w:val="21"/>
                <w:lang w:val="en-US" w:eastAsia="zh-CN"/>
              </w:rPr>
              <w:t>得</w:t>
            </w:r>
            <w:r>
              <w:rPr>
                <w:rFonts w:hint="eastAsia" w:asciiTheme="minorEastAsia" w:hAnsiTheme="minorEastAsia" w:eastAsiaTheme="minorEastAsia" w:cstheme="minorEastAsia"/>
                <w:color w:val="auto"/>
                <w:spacing w:val="-3"/>
                <w:sz w:val="21"/>
                <w:szCs w:val="21"/>
              </w:rPr>
              <w:t>0-2分。</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0"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保密管理措施</w:t>
            </w:r>
          </w:p>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（3分）</w:t>
            </w:r>
          </w:p>
        </w:tc>
        <w:tc>
          <w:tcPr>
            <w:tcW w:w="52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8" w:firstLineChars="200"/>
              <w:rPr>
                <w:rFonts w:hint="eastAsia" w:asciiTheme="minorEastAsia" w:hAnsiTheme="minorEastAsia" w:eastAsiaTheme="minorEastAsia" w:cstheme="minorEastAsia"/>
                <w:color w:val="auto"/>
                <w:spacing w:val="-3"/>
                <w:sz w:val="21"/>
                <w:szCs w:val="21"/>
                <w:lang w:eastAsia="zh-CN"/>
              </w:rPr>
            </w:pPr>
            <w:r>
              <w:rPr>
                <w:rFonts w:hint="eastAsia" w:asciiTheme="minorEastAsia" w:hAnsiTheme="minorEastAsia" w:eastAsiaTheme="minorEastAsia" w:cstheme="minorEastAsia"/>
                <w:color w:val="auto"/>
                <w:spacing w:val="-3"/>
                <w:sz w:val="21"/>
                <w:szCs w:val="21"/>
                <w:lang w:val="en-US" w:eastAsia="zh-CN"/>
              </w:rPr>
              <w:t>1.</w:t>
            </w:r>
            <w:r>
              <w:rPr>
                <w:rFonts w:hint="eastAsia" w:asciiTheme="minorEastAsia" w:hAnsiTheme="minorEastAsia" w:eastAsiaTheme="minorEastAsia" w:cstheme="minorEastAsia"/>
                <w:color w:val="auto"/>
                <w:spacing w:val="-3"/>
                <w:sz w:val="21"/>
                <w:szCs w:val="21"/>
              </w:rPr>
              <w:t>根据供应商提供项目数据保密管理措施情况，进行打分0-3分</w:t>
            </w:r>
            <w:r>
              <w:rPr>
                <w:rFonts w:hint="eastAsia" w:asciiTheme="minorEastAsia" w:hAnsiTheme="minorEastAsia" w:eastAsiaTheme="minorEastAsia" w:cstheme="minorEastAsia"/>
                <w:color w:val="auto"/>
                <w:spacing w:val="-3"/>
                <w:sz w:val="21"/>
                <w:szCs w:val="21"/>
                <w:lang w:eastAsia="zh-CN"/>
              </w:rPr>
              <w:t>。</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561" w:type="dxa"/>
            <w:vMerge w:val="restart"/>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w:t>
            </w:r>
          </w:p>
        </w:tc>
        <w:tc>
          <w:tcPr>
            <w:tcW w:w="1276" w:type="dxa"/>
            <w:vMerge w:val="restart"/>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商务部分 </w:t>
            </w:r>
          </w:p>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47</w:t>
            </w:r>
            <w:r>
              <w:rPr>
                <w:rFonts w:hint="eastAsia" w:asciiTheme="minorEastAsia" w:hAnsiTheme="minorEastAsia" w:eastAsiaTheme="minorEastAsia" w:cstheme="minorEastAsia"/>
                <w:spacing w:val="-3"/>
                <w:sz w:val="21"/>
                <w:szCs w:val="21"/>
              </w:rPr>
              <w:t>分）</w:t>
            </w:r>
          </w:p>
        </w:tc>
        <w:tc>
          <w:tcPr>
            <w:tcW w:w="1012" w:type="dxa"/>
            <w:gridSpan w:val="2"/>
            <w:tcBorders>
              <w:top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企业信誉</w:t>
            </w:r>
          </w:p>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（6分）</w:t>
            </w:r>
          </w:p>
        </w:tc>
        <w:tc>
          <w:tcPr>
            <w:tcW w:w="5225" w:type="dxa"/>
            <w:tcBorders>
              <w:top w:val="single" w:color="auto" w:sz="4" w:space="0"/>
              <w:right w:val="single" w:color="auto" w:sz="4" w:space="0"/>
            </w:tcBorders>
            <w:vAlign w:val="center"/>
          </w:tcPr>
          <w:p>
            <w:pPr>
              <w:spacing w:line="360" w:lineRule="auto"/>
              <w:ind w:firstLine="408" w:firstLineChars="200"/>
              <w:rPr>
                <w:rFonts w:hint="eastAsia" w:asciiTheme="minorEastAsia" w:hAnsiTheme="minorEastAsia" w:eastAsiaTheme="minorEastAsia" w:cstheme="minorEastAsia"/>
                <w:spacing w:val="-3"/>
                <w:sz w:val="21"/>
                <w:szCs w:val="21"/>
                <w:highlight w:val="red"/>
              </w:rPr>
            </w:pPr>
            <w:r>
              <w:rPr>
                <w:rFonts w:hint="eastAsia" w:asciiTheme="minorEastAsia" w:hAnsiTheme="minorEastAsia" w:eastAsiaTheme="minorEastAsia" w:cstheme="minorEastAsia"/>
                <w:spacing w:val="-3"/>
                <w:sz w:val="21"/>
                <w:szCs w:val="21"/>
              </w:rPr>
              <w:t>1、具有质量管理体系认证证书、环境管理体系认证证书、职业健康安全管理体系认证证书，每</w:t>
            </w:r>
            <w:r>
              <w:rPr>
                <w:rFonts w:hint="eastAsia" w:asciiTheme="minorEastAsia" w:hAnsiTheme="minorEastAsia" w:eastAsiaTheme="minorEastAsia" w:cstheme="minorEastAsia"/>
                <w:spacing w:val="-3"/>
                <w:sz w:val="21"/>
                <w:szCs w:val="21"/>
                <w:lang w:val="en-US" w:eastAsia="zh-CN"/>
              </w:rPr>
              <w:t>提供</w:t>
            </w:r>
            <w:r>
              <w:rPr>
                <w:rFonts w:hint="eastAsia" w:asciiTheme="minorEastAsia" w:hAnsiTheme="minorEastAsia" w:eastAsiaTheme="minorEastAsia" w:cstheme="minorEastAsia"/>
                <w:spacing w:val="-3"/>
                <w:sz w:val="21"/>
                <w:szCs w:val="21"/>
              </w:rPr>
              <w:t>一项得1分，最多得</w:t>
            </w:r>
            <w:r>
              <w:rPr>
                <w:rFonts w:hint="eastAsia" w:asciiTheme="minorEastAsia" w:hAnsiTheme="minorEastAsia" w:eastAsiaTheme="minorEastAsia" w:cstheme="minorEastAsia"/>
                <w:spacing w:val="-3"/>
                <w:sz w:val="21"/>
                <w:szCs w:val="21"/>
                <w:highlight w:val="none"/>
              </w:rPr>
              <w:t>3分。</w:t>
            </w:r>
          </w:p>
          <w:p>
            <w:pPr>
              <w:spacing w:line="360" w:lineRule="auto"/>
              <w:ind w:firstLine="408" w:firstLineChars="200"/>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2、信用等级为 AAA 级的得 3分，AA 级的得 2分，A级的得 1分。（信用报告以供应商所在地市级以上信用管理部门认可的信用评价机构出具。）</w:t>
            </w:r>
          </w:p>
        </w:tc>
        <w:tc>
          <w:tcPr>
            <w:tcW w:w="1268" w:type="dxa"/>
            <w:tcBorders>
              <w:top w:val="single" w:color="auto" w:sz="4" w:space="0"/>
              <w:lef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Pr>
          <w:p>
            <w:pPr>
              <w:spacing w:line="360" w:lineRule="auto"/>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tcBorders>
            <w:shd w:val="clear" w:color="auto" w:fill="auto"/>
            <w:vAlign w:val="center"/>
          </w:tcPr>
          <w:p>
            <w:pPr>
              <w:pStyle w:val="60"/>
              <w:spacing w:line="360" w:lineRule="auto"/>
              <w:ind w:left="172" w:right="193"/>
              <w:jc w:val="center"/>
              <w:rPr>
                <w:rFonts w:hint="eastAsia" w:asciiTheme="minorEastAsia" w:hAnsiTheme="minorEastAsia" w:eastAsiaTheme="minorEastAsia" w:cstheme="minorEastAsia"/>
                <w:snapToGrid w:val="0"/>
                <w:color w:val="auto"/>
                <w:spacing w:val="-3"/>
                <w:sz w:val="21"/>
                <w:szCs w:val="21"/>
                <w:highlight w:val="none"/>
              </w:rPr>
            </w:pPr>
            <w:r>
              <w:rPr>
                <w:rFonts w:hint="eastAsia" w:asciiTheme="minorEastAsia" w:hAnsiTheme="minorEastAsia" w:eastAsiaTheme="minorEastAsia" w:cstheme="minorEastAsia"/>
                <w:snapToGrid w:val="0"/>
                <w:color w:val="auto"/>
                <w:spacing w:val="-3"/>
                <w:sz w:val="21"/>
                <w:szCs w:val="21"/>
                <w:highlight w:val="none"/>
              </w:rPr>
              <w:t>企业业绩</w:t>
            </w:r>
          </w:p>
          <w:p>
            <w:pPr>
              <w:spacing w:line="360" w:lineRule="auto"/>
              <w:jc w:val="center"/>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（14分）</w:t>
            </w:r>
          </w:p>
        </w:tc>
        <w:tc>
          <w:tcPr>
            <w:tcW w:w="5225" w:type="dxa"/>
            <w:tcBorders>
              <w:top w:val="single" w:color="auto" w:sz="4" w:space="0"/>
              <w:right w:val="single" w:color="auto" w:sz="4" w:space="0"/>
            </w:tcBorders>
            <w:shd w:val="clear" w:color="auto" w:fill="auto"/>
            <w:vAlign w:val="center"/>
          </w:tcPr>
          <w:p>
            <w:pPr>
              <w:pStyle w:val="60"/>
              <w:spacing w:line="360" w:lineRule="auto"/>
              <w:ind w:left="10" w:firstLine="408" w:firstLineChars="200"/>
              <w:rPr>
                <w:rFonts w:hint="eastAsia" w:asciiTheme="minorEastAsia" w:hAnsiTheme="minorEastAsia" w:eastAsiaTheme="minorEastAsia" w:cstheme="minorEastAsia"/>
                <w:snapToGrid w:val="0"/>
                <w:color w:val="auto"/>
                <w:spacing w:val="-3"/>
                <w:sz w:val="21"/>
                <w:szCs w:val="21"/>
                <w:highlight w:val="none"/>
                <w:lang w:eastAsia="zh-CN"/>
              </w:rPr>
            </w:pPr>
            <w:r>
              <w:rPr>
                <w:rFonts w:hint="eastAsia" w:asciiTheme="minorEastAsia" w:hAnsiTheme="minorEastAsia" w:eastAsiaTheme="minorEastAsia" w:cstheme="minorEastAsia"/>
                <w:snapToGrid w:val="0"/>
                <w:color w:val="auto"/>
                <w:spacing w:val="-3"/>
                <w:sz w:val="21"/>
                <w:szCs w:val="21"/>
                <w:highlight w:val="none"/>
                <w:lang w:eastAsia="zh-CN"/>
              </w:rPr>
              <w:t>1、2018年以来承担过类似项目业绩的，每提供一份业绩得 2 分，最多可得10分。（须附中标通知书及合同扫描件）</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2、2018年以来为县级及以上</w:t>
            </w:r>
            <w:r>
              <w:rPr>
                <w:rFonts w:hint="eastAsia" w:asciiTheme="minorEastAsia" w:hAnsiTheme="minorEastAsia" w:eastAsiaTheme="minorEastAsia" w:cstheme="minorEastAsia"/>
                <w:color w:val="auto"/>
                <w:spacing w:val="-3"/>
                <w:sz w:val="21"/>
                <w:szCs w:val="21"/>
                <w:highlight w:val="none"/>
                <w:lang w:val="en-US" w:eastAsia="zh-CN"/>
              </w:rPr>
              <w:t>单位</w:t>
            </w:r>
            <w:r>
              <w:rPr>
                <w:rFonts w:hint="eastAsia" w:asciiTheme="minorEastAsia" w:hAnsiTheme="minorEastAsia" w:eastAsiaTheme="minorEastAsia" w:cstheme="minorEastAsia"/>
                <w:color w:val="auto"/>
                <w:spacing w:val="-3"/>
                <w:sz w:val="21"/>
                <w:szCs w:val="21"/>
                <w:highlight w:val="none"/>
              </w:rPr>
              <w:t>提供相关技术支撑</w:t>
            </w:r>
            <w:r>
              <w:rPr>
                <w:rFonts w:hint="eastAsia" w:asciiTheme="minorEastAsia" w:hAnsiTheme="minorEastAsia" w:eastAsiaTheme="minorEastAsia" w:cstheme="minorEastAsia"/>
                <w:color w:val="auto"/>
                <w:spacing w:val="-3"/>
                <w:sz w:val="21"/>
                <w:szCs w:val="21"/>
                <w:highlight w:val="none"/>
                <w:lang w:val="en-US" w:eastAsia="zh-CN"/>
              </w:rPr>
              <w:t>的</w:t>
            </w:r>
            <w:r>
              <w:rPr>
                <w:rFonts w:hint="eastAsia" w:asciiTheme="minorEastAsia" w:hAnsiTheme="minorEastAsia" w:eastAsiaTheme="minorEastAsia" w:cstheme="minorEastAsia"/>
                <w:color w:val="auto"/>
                <w:spacing w:val="-3"/>
                <w:sz w:val="21"/>
                <w:szCs w:val="21"/>
                <w:highlight w:val="none"/>
              </w:rPr>
              <w:t>，每有一项得 1 分</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最多得 4 分（须提供技术服务协议扫描件）。</w:t>
            </w:r>
          </w:p>
        </w:tc>
        <w:tc>
          <w:tcPr>
            <w:tcW w:w="1268" w:type="dxa"/>
            <w:tcBorders>
              <w:top w:val="single" w:color="auto" w:sz="4" w:space="0"/>
              <w:lef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color w:val="auto"/>
                <w:spacing w:val="-3"/>
                <w:sz w:val="21"/>
                <w:szCs w:val="21"/>
                <w:highlight w:val="none"/>
              </w:rPr>
              <w:t>14分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561"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Pr>
          <w:p>
            <w:pPr>
              <w:spacing w:line="360" w:lineRule="auto"/>
              <w:rPr>
                <w:rFonts w:hint="eastAsia" w:asciiTheme="minorEastAsia" w:hAnsiTheme="minorEastAsia" w:eastAsiaTheme="minorEastAsia" w:cstheme="minorEastAsia"/>
                <w:spacing w:val="-3"/>
                <w:sz w:val="21"/>
                <w:szCs w:val="21"/>
              </w:rPr>
            </w:pPr>
          </w:p>
        </w:tc>
        <w:tc>
          <w:tcPr>
            <w:tcW w:w="1012" w:type="dxa"/>
            <w:gridSpan w:val="2"/>
            <w:tcBorders>
              <w:top w:val="single" w:color="auto" w:sz="4" w:space="0"/>
            </w:tcBorders>
            <w:vAlign w:val="center"/>
          </w:tcPr>
          <w:p>
            <w:pPr>
              <w:pStyle w:val="60"/>
              <w:spacing w:before="1" w:line="360" w:lineRule="auto"/>
              <w:ind w:left="172" w:right="193"/>
              <w:jc w:val="center"/>
              <w:rPr>
                <w:rFonts w:hint="eastAsia" w:asciiTheme="minorEastAsia" w:hAnsiTheme="minorEastAsia" w:eastAsiaTheme="minorEastAsia" w:cstheme="minorEastAsia"/>
                <w:snapToGrid w:val="0"/>
                <w:spacing w:val="-3"/>
                <w:sz w:val="21"/>
                <w:szCs w:val="21"/>
                <w:highlight w:val="none"/>
              </w:rPr>
            </w:pPr>
            <w:r>
              <w:rPr>
                <w:rFonts w:hint="eastAsia" w:asciiTheme="minorEastAsia" w:hAnsiTheme="minorEastAsia" w:eastAsiaTheme="minorEastAsia" w:cstheme="minorEastAsia"/>
                <w:snapToGrid w:val="0"/>
                <w:spacing w:val="-3"/>
                <w:sz w:val="21"/>
                <w:szCs w:val="21"/>
                <w:highlight w:val="none"/>
              </w:rPr>
              <w:t>企业实力</w:t>
            </w:r>
          </w:p>
          <w:p>
            <w:pPr>
              <w:pStyle w:val="60"/>
              <w:spacing w:before="8" w:line="360" w:lineRule="auto"/>
              <w:jc w:val="center"/>
              <w:rPr>
                <w:rFonts w:hint="eastAsia" w:asciiTheme="minorEastAsia" w:hAnsiTheme="minorEastAsia" w:eastAsiaTheme="minorEastAsia" w:cstheme="minorEastAsia"/>
                <w:snapToGrid w:val="0"/>
                <w:spacing w:val="-3"/>
                <w:sz w:val="21"/>
                <w:szCs w:val="21"/>
                <w:highlight w:val="none"/>
              </w:rPr>
            </w:pPr>
            <w:r>
              <w:rPr>
                <w:rFonts w:hint="eastAsia" w:asciiTheme="minorEastAsia" w:hAnsiTheme="minorEastAsia" w:eastAsiaTheme="minorEastAsia" w:cstheme="minorEastAsia"/>
                <w:snapToGrid w:val="0"/>
                <w:spacing w:val="-3"/>
                <w:sz w:val="21"/>
                <w:szCs w:val="21"/>
                <w:highlight w:val="none"/>
              </w:rPr>
              <w:t>（27分）</w:t>
            </w:r>
          </w:p>
          <w:p>
            <w:pPr>
              <w:spacing w:line="360" w:lineRule="auto"/>
              <w:rPr>
                <w:rFonts w:hint="eastAsia" w:asciiTheme="minorEastAsia" w:hAnsiTheme="minorEastAsia" w:eastAsiaTheme="minorEastAsia" w:cstheme="minorEastAsia"/>
                <w:spacing w:val="-3"/>
                <w:sz w:val="21"/>
                <w:szCs w:val="21"/>
                <w:highlight w:val="none"/>
              </w:rPr>
            </w:pPr>
          </w:p>
        </w:tc>
        <w:tc>
          <w:tcPr>
            <w:tcW w:w="5225" w:type="dxa"/>
            <w:tcBorders>
              <w:top w:val="single" w:color="auto" w:sz="4" w:space="0"/>
              <w:right w:val="single" w:color="auto" w:sz="4" w:space="0"/>
            </w:tcBorders>
            <w:shd w:val="clear" w:color="auto" w:fill="auto"/>
            <w:vAlign w:val="center"/>
          </w:tcPr>
          <w:p>
            <w:pPr>
              <w:pStyle w:val="60"/>
              <w:spacing w:line="360" w:lineRule="auto"/>
              <w:ind w:firstLine="408" w:firstLineChars="200"/>
              <w:rPr>
                <w:rFonts w:hint="eastAsia" w:asciiTheme="minorEastAsia" w:hAnsiTheme="minorEastAsia" w:eastAsiaTheme="minorEastAsia" w:cstheme="minorEastAsia"/>
                <w:snapToGrid w:val="0"/>
                <w:spacing w:val="-3"/>
                <w:sz w:val="21"/>
                <w:szCs w:val="21"/>
                <w:highlight w:val="none"/>
                <w:lang w:eastAsia="zh-CN"/>
              </w:rPr>
            </w:pPr>
            <w:r>
              <w:rPr>
                <w:rFonts w:hint="eastAsia" w:asciiTheme="minorEastAsia" w:hAnsiTheme="minorEastAsia" w:eastAsiaTheme="minorEastAsia" w:cstheme="minorEastAsia"/>
                <w:snapToGrid w:val="0"/>
                <w:spacing w:val="-3"/>
                <w:sz w:val="21"/>
                <w:szCs w:val="21"/>
                <w:highlight w:val="none"/>
                <w:lang w:eastAsia="zh-CN"/>
              </w:rPr>
              <w:t>1、项目组成员中（不包括项目负责人）具有注册结构工程师证、注册土木工程师(岩土)证者</w:t>
            </w:r>
            <w:r>
              <w:rPr>
                <w:rFonts w:hint="eastAsia" w:asciiTheme="minorEastAsia" w:hAnsiTheme="minorEastAsia" w:eastAsiaTheme="minorEastAsia" w:cstheme="minorEastAsia"/>
                <w:snapToGrid w:val="0"/>
                <w:color w:val="auto"/>
                <w:spacing w:val="-3"/>
                <w:sz w:val="21"/>
                <w:szCs w:val="21"/>
                <w:highlight w:val="none"/>
                <w:lang w:eastAsia="zh-CN"/>
              </w:rPr>
              <w:t>，每</w:t>
            </w:r>
            <w:r>
              <w:rPr>
                <w:rFonts w:hint="eastAsia" w:asciiTheme="minorEastAsia" w:hAnsiTheme="minorEastAsia" w:eastAsiaTheme="minorEastAsia" w:cstheme="minorEastAsia"/>
                <w:snapToGrid w:val="0"/>
                <w:color w:val="auto"/>
                <w:spacing w:val="-3"/>
                <w:sz w:val="21"/>
                <w:szCs w:val="21"/>
                <w:highlight w:val="none"/>
                <w:lang w:val="en-US" w:eastAsia="zh-CN"/>
              </w:rPr>
              <w:t>提供</w:t>
            </w:r>
            <w:r>
              <w:rPr>
                <w:rFonts w:hint="eastAsia" w:asciiTheme="minorEastAsia" w:hAnsiTheme="minorEastAsia" w:eastAsiaTheme="minorEastAsia" w:cstheme="minorEastAsia"/>
                <w:snapToGrid w:val="0"/>
                <w:color w:val="auto"/>
                <w:spacing w:val="-3"/>
                <w:sz w:val="21"/>
                <w:szCs w:val="21"/>
                <w:highlight w:val="none"/>
                <w:lang w:eastAsia="zh-CN"/>
              </w:rPr>
              <w:t>一项得</w:t>
            </w:r>
            <w:r>
              <w:rPr>
                <w:rFonts w:hint="eastAsia" w:asciiTheme="minorEastAsia" w:hAnsiTheme="minorEastAsia" w:eastAsiaTheme="minorEastAsia" w:cstheme="minorEastAsia"/>
                <w:snapToGrid w:val="0"/>
                <w:color w:val="auto"/>
                <w:spacing w:val="-3"/>
                <w:sz w:val="21"/>
                <w:szCs w:val="21"/>
                <w:highlight w:val="none"/>
                <w:lang w:val="en-US" w:eastAsia="zh-CN"/>
              </w:rPr>
              <w:t>3</w:t>
            </w:r>
            <w:r>
              <w:rPr>
                <w:rFonts w:hint="eastAsia" w:asciiTheme="minorEastAsia" w:hAnsiTheme="minorEastAsia" w:eastAsiaTheme="minorEastAsia" w:cstheme="minorEastAsia"/>
                <w:snapToGrid w:val="0"/>
                <w:color w:val="auto"/>
                <w:spacing w:val="-3"/>
                <w:sz w:val="21"/>
                <w:szCs w:val="21"/>
                <w:highlight w:val="none"/>
                <w:lang w:eastAsia="zh-CN"/>
              </w:rPr>
              <w:t>分 最多得</w:t>
            </w:r>
            <w:r>
              <w:rPr>
                <w:rFonts w:hint="eastAsia" w:asciiTheme="minorEastAsia" w:hAnsiTheme="minorEastAsia" w:eastAsiaTheme="minorEastAsia" w:cstheme="minorEastAsia"/>
                <w:snapToGrid w:val="0"/>
                <w:color w:val="auto"/>
                <w:spacing w:val="-3"/>
                <w:sz w:val="21"/>
                <w:szCs w:val="21"/>
                <w:highlight w:val="none"/>
                <w:lang w:val="en-US" w:eastAsia="zh-CN"/>
              </w:rPr>
              <w:t>6</w:t>
            </w:r>
            <w:r>
              <w:rPr>
                <w:rFonts w:hint="eastAsia" w:asciiTheme="minorEastAsia" w:hAnsiTheme="minorEastAsia" w:eastAsiaTheme="minorEastAsia" w:cstheme="minorEastAsia"/>
                <w:snapToGrid w:val="0"/>
                <w:spacing w:val="-3"/>
                <w:sz w:val="21"/>
                <w:szCs w:val="21"/>
                <w:highlight w:val="none"/>
                <w:lang w:eastAsia="zh-CN"/>
              </w:rPr>
              <w:t>分,没有不得分（附全国市场监督公共服务平台注册查询截图）；</w:t>
            </w:r>
          </w:p>
          <w:p>
            <w:pPr>
              <w:spacing w:line="360" w:lineRule="auto"/>
              <w:ind w:firstLine="408" w:firstLineChars="200"/>
              <w:rPr>
                <w:rFonts w:hint="eastAsia" w:asciiTheme="minorEastAsia" w:hAnsiTheme="minorEastAsia" w:eastAsiaTheme="minorEastAsia" w:cstheme="minorEastAsia"/>
                <w:snapToGrid w:val="0"/>
                <w:spacing w:val="-3"/>
                <w:sz w:val="21"/>
                <w:szCs w:val="21"/>
                <w:highlight w:val="none"/>
                <w:lang w:eastAsia="zh-CN" w:bidi="ar-SA"/>
              </w:rPr>
            </w:pPr>
            <w:r>
              <w:rPr>
                <w:rFonts w:hint="eastAsia" w:asciiTheme="minorEastAsia" w:hAnsiTheme="minorEastAsia" w:eastAsiaTheme="minorEastAsia" w:cstheme="minorEastAsia"/>
                <w:snapToGrid w:val="0"/>
                <w:spacing w:val="-3"/>
                <w:sz w:val="21"/>
                <w:szCs w:val="21"/>
                <w:highlight w:val="none"/>
                <w:lang w:bidi="ar-SA"/>
              </w:rPr>
              <w:t>2、项目组成员中（不包括项目负责人）具备环保类相关专业高级职称的</w:t>
            </w:r>
            <w:r>
              <w:rPr>
                <w:rFonts w:hint="eastAsia" w:asciiTheme="minorEastAsia" w:hAnsiTheme="minorEastAsia" w:eastAsiaTheme="minorEastAsia" w:cstheme="minorEastAsia"/>
                <w:snapToGrid w:val="0"/>
                <w:spacing w:val="-3"/>
                <w:sz w:val="21"/>
                <w:szCs w:val="21"/>
                <w:highlight w:val="none"/>
                <w:lang w:eastAsia="zh-CN" w:bidi="ar-SA"/>
              </w:rPr>
              <w:t>，</w:t>
            </w:r>
            <w:r>
              <w:rPr>
                <w:rFonts w:hint="eastAsia" w:asciiTheme="minorEastAsia" w:hAnsiTheme="minorEastAsia" w:eastAsiaTheme="minorEastAsia" w:cstheme="minorEastAsia"/>
                <w:snapToGrid w:val="0"/>
                <w:spacing w:val="-3"/>
                <w:sz w:val="21"/>
                <w:szCs w:val="21"/>
                <w:highlight w:val="none"/>
                <w:lang w:bidi="ar-SA"/>
              </w:rPr>
              <w:t>每提供一</w:t>
            </w:r>
            <w:r>
              <w:rPr>
                <w:rFonts w:hint="eastAsia" w:asciiTheme="minorEastAsia" w:hAnsiTheme="minorEastAsia" w:eastAsiaTheme="minorEastAsia" w:cstheme="minorEastAsia"/>
                <w:snapToGrid w:val="0"/>
                <w:spacing w:val="-3"/>
                <w:sz w:val="21"/>
                <w:szCs w:val="21"/>
                <w:highlight w:val="none"/>
                <w:lang w:val="en-US" w:eastAsia="zh-CN" w:bidi="ar-SA"/>
              </w:rPr>
              <w:t>项</w:t>
            </w:r>
            <w:r>
              <w:rPr>
                <w:rFonts w:hint="eastAsia" w:asciiTheme="minorEastAsia" w:hAnsiTheme="minorEastAsia" w:eastAsiaTheme="minorEastAsia" w:cstheme="minorEastAsia"/>
                <w:snapToGrid w:val="0"/>
                <w:spacing w:val="-3"/>
                <w:sz w:val="21"/>
                <w:szCs w:val="21"/>
                <w:highlight w:val="none"/>
                <w:lang w:bidi="ar-SA"/>
              </w:rPr>
              <w:t>得3分，此项最多得6分</w:t>
            </w:r>
            <w:r>
              <w:rPr>
                <w:rFonts w:hint="eastAsia" w:asciiTheme="minorEastAsia" w:hAnsiTheme="minorEastAsia" w:eastAsiaTheme="minorEastAsia" w:cstheme="minorEastAsia"/>
                <w:snapToGrid w:val="0"/>
                <w:spacing w:val="-3"/>
                <w:sz w:val="21"/>
                <w:szCs w:val="21"/>
                <w:highlight w:val="none"/>
                <w:lang w:eastAsia="zh-CN" w:bidi="ar-SA"/>
              </w:rPr>
              <w:t>；</w:t>
            </w:r>
          </w:p>
          <w:p>
            <w:pPr>
              <w:spacing w:line="360" w:lineRule="auto"/>
              <w:ind w:firstLine="408" w:firstLineChars="200"/>
              <w:rPr>
                <w:rFonts w:hint="eastAsia" w:asciiTheme="minorEastAsia" w:hAnsiTheme="minorEastAsia" w:eastAsiaTheme="minorEastAsia" w:cstheme="minorEastAsia"/>
                <w:snapToGrid w:val="0"/>
                <w:spacing w:val="-3"/>
                <w:sz w:val="21"/>
                <w:szCs w:val="21"/>
                <w:highlight w:val="none"/>
                <w:lang w:bidi="ar-SA"/>
              </w:rPr>
            </w:pPr>
            <w:r>
              <w:rPr>
                <w:rFonts w:hint="eastAsia" w:asciiTheme="minorEastAsia" w:hAnsiTheme="minorEastAsia" w:eastAsiaTheme="minorEastAsia" w:cstheme="minorEastAsia"/>
                <w:snapToGrid w:val="0"/>
                <w:spacing w:val="-3"/>
                <w:sz w:val="21"/>
                <w:szCs w:val="21"/>
                <w:highlight w:val="none"/>
                <w:lang w:bidi="ar-SA"/>
              </w:rPr>
              <w:t>3、项目组成员中（不包括项目负责人）具备环保类相关专业中级及以上职称证证书的，每提供一</w:t>
            </w:r>
            <w:r>
              <w:rPr>
                <w:rFonts w:hint="eastAsia" w:asciiTheme="minorEastAsia" w:hAnsiTheme="minorEastAsia" w:eastAsiaTheme="minorEastAsia" w:cstheme="minorEastAsia"/>
                <w:snapToGrid w:val="0"/>
                <w:spacing w:val="-3"/>
                <w:sz w:val="21"/>
                <w:szCs w:val="21"/>
                <w:highlight w:val="none"/>
                <w:lang w:val="en-US" w:eastAsia="zh-CN" w:bidi="ar-SA"/>
              </w:rPr>
              <w:t>项</w:t>
            </w:r>
            <w:r>
              <w:rPr>
                <w:rFonts w:hint="eastAsia" w:asciiTheme="minorEastAsia" w:hAnsiTheme="minorEastAsia" w:eastAsiaTheme="minorEastAsia" w:cstheme="minorEastAsia"/>
                <w:snapToGrid w:val="0"/>
                <w:spacing w:val="-3"/>
                <w:sz w:val="21"/>
                <w:szCs w:val="21"/>
                <w:highlight w:val="none"/>
                <w:lang w:bidi="ar-SA"/>
              </w:rPr>
              <w:t>得 2 分，此项最多得 8 分；</w:t>
            </w:r>
          </w:p>
          <w:p>
            <w:pPr>
              <w:spacing w:line="360" w:lineRule="auto"/>
              <w:ind w:firstLine="408" w:firstLineChars="200"/>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napToGrid w:val="0"/>
                <w:spacing w:val="-3"/>
                <w:sz w:val="21"/>
                <w:szCs w:val="21"/>
                <w:highlight w:val="none"/>
                <w:lang w:val="en-US" w:eastAsia="zh-CN" w:bidi="ar-SA"/>
              </w:rPr>
              <w:t>4</w:t>
            </w:r>
            <w:r>
              <w:rPr>
                <w:rFonts w:hint="eastAsia" w:asciiTheme="minorEastAsia" w:hAnsiTheme="minorEastAsia" w:eastAsiaTheme="minorEastAsia" w:cstheme="minorEastAsia"/>
                <w:snapToGrid w:val="0"/>
                <w:spacing w:val="-3"/>
                <w:sz w:val="21"/>
                <w:szCs w:val="21"/>
                <w:highlight w:val="none"/>
                <w:lang w:bidi="ar-SA"/>
              </w:rPr>
              <w:t>、供应商具有X射线荧光光谱仪（XRF）、GNSS接收机、笔式多参数测定仪、笔式ORP计、浊度仪、VOC检测仪（PID）、钢尺水位计等以上设备</w:t>
            </w:r>
            <w:r>
              <w:rPr>
                <w:rFonts w:hint="eastAsia" w:asciiTheme="minorEastAsia" w:hAnsiTheme="minorEastAsia" w:eastAsiaTheme="minorEastAsia" w:cstheme="minorEastAsia"/>
                <w:snapToGrid w:val="0"/>
                <w:spacing w:val="-3"/>
                <w:sz w:val="21"/>
                <w:szCs w:val="21"/>
                <w:highlight w:val="none"/>
                <w:lang w:eastAsia="zh-CN" w:bidi="ar-SA"/>
              </w:rPr>
              <w:t>，</w:t>
            </w:r>
            <w:r>
              <w:rPr>
                <w:rFonts w:hint="eastAsia" w:asciiTheme="minorEastAsia" w:hAnsiTheme="minorEastAsia" w:eastAsiaTheme="minorEastAsia" w:cstheme="minorEastAsia"/>
                <w:snapToGrid w:val="0"/>
                <w:spacing w:val="-3"/>
                <w:sz w:val="21"/>
                <w:szCs w:val="21"/>
                <w:highlight w:val="none"/>
                <w:lang w:bidi="ar-SA"/>
              </w:rPr>
              <w:t>全部自有</w:t>
            </w:r>
            <w:r>
              <w:rPr>
                <w:rFonts w:hint="eastAsia" w:asciiTheme="minorEastAsia" w:hAnsiTheme="minorEastAsia" w:eastAsiaTheme="minorEastAsia" w:cstheme="minorEastAsia"/>
                <w:snapToGrid w:val="0"/>
                <w:spacing w:val="-3"/>
                <w:sz w:val="21"/>
                <w:szCs w:val="21"/>
                <w:highlight w:val="none"/>
                <w:lang w:val="en-US" w:eastAsia="zh-CN" w:bidi="ar-SA"/>
              </w:rPr>
              <w:t>设备</w:t>
            </w:r>
            <w:r>
              <w:rPr>
                <w:rFonts w:hint="eastAsia" w:asciiTheme="minorEastAsia" w:hAnsiTheme="minorEastAsia" w:eastAsiaTheme="minorEastAsia" w:cstheme="minorEastAsia"/>
                <w:snapToGrid w:val="0"/>
                <w:spacing w:val="-3"/>
                <w:sz w:val="21"/>
                <w:szCs w:val="21"/>
                <w:highlight w:val="none"/>
                <w:lang w:bidi="ar-SA"/>
              </w:rPr>
              <w:t>的，</w:t>
            </w:r>
            <w:r>
              <w:rPr>
                <w:rFonts w:hint="eastAsia" w:asciiTheme="minorEastAsia" w:hAnsiTheme="minorEastAsia" w:eastAsiaTheme="minorEastAsia" w:cstheme="minorEastAsia"/>
                <w:color w:val="auto"/>
                <w:spacing w:val="-3"/>
                <w:sz w:val="21"/>
                <w:szCs w:val="21"/>
                <w:highlight w:val="none"/>
              </w:rPr>
              <w:t>每</w:t>
            </w:r>
            <w:r>
              <w:rPr>
                <w:rFonts w:hint="eastAsia" w:asciiTheme="minorEastAsia" w:hAnsiTheme="minorEastAsia" w:eastAsiaTheme="minorEastAsia" w:cstheme="minorEastAsia"/>
                <w:color w:val="auto"/>
                <w:spacing w:val="-3"/>
                <w:sz w:val="21"/>
                <w:szCs w:val="21"/>
                <w:highlight w:val="none"/>
                <w:lang w:val="en-US" w:eastAsia="zh-CN"/>
              </w:rPr>
              <w:t>提供</w:t>
            </w:r>
            <w:r>
              <w:rPr>
                <w:rFonts w:hint="eastAsia" w:asciiTheme="minorEastAsia" w:hAnsiTheme="minorEastAsia" w:eastAsiaTheme="minorEastAsia" w:cstheme="minorEastAsia"/>
                <w:color w:val="auto"/>
                <w:spacing w:val="-3"/>
                <w:sz w:val="21"/>
                <w:szCs w:val="21"/>
                <w:highlight w:val="none"/>
              </w:rPr>
              <w:t>一项得 1 分</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 xml:space="preserve">最多得 </w:t>
            </w:r>
            <w:r>
              <w:rPr>
                <w:rFonts w:hint="eastAsia" w:asciiTheme="minorEastAsia" w:hAnsiTheme="minorEastAsia" w:eastAsiaTheme="minorEastAsia" w:cstheme="minorEastAsia"/>
                <w:color w:val="auto"/>
                <w:spacing w:val="-3"/>
                <w:sz w:val="21"/>
                <w:szCs w:val="21"/>
                <w:highlight w:val="none"/>
                <w:lang w:val="en-US" w:eastAsia="zh-CN"/>
              </w:rPr>
              <w:t>7</w:t>
            </w:r>
            <w:r>
              <w:rPr>
                <w:rFonts w:hint="eastAsia" w:asciiTheme="minorEastAsia" w:hAnsiTheme="minorEastAsia" w:eastAsiaTheme="minorEastAsia" w:cstheme="minorEastAsia"/>
                <w:color w:val="auto"/>
                <w:spacing w:val="-3"/>
                <w:sz w:val="21"/>
                <w:szCs w:val="21"/>
                <w:highlight w:val="none"/>
              </w:rPr>
              <w:t xml:space="preserve"> 分</w:t>
            </w:r>
            <w:r>
              <w:rPr>
                <w:rFonts w:hint="eastAsia" w:asciiTheme="minorEastAsia" w:hAnsiTheme="minorEastAsia" w:eastAsiaTheme="minorEastAsia" w:cstheme="minorEastAsia"/>
                <w:snapToGrid w:val="0"/>
                <w:spacing w:val="-3"/>
                <w:sz w:val="21"/>
                <w:szCs w:val="21"/>
                <w:highlight w:val="none"/>
                <w:lang w:eastAsia="zh-CN" w:bidi="ar-SA"/>
              </w:rPr>
              <w:t>（</w:t>
            </w:r>
            <w:r>
              <w:rPr>
                <w:rFonts w:hint="eastAsia" w:asciiTheme="minorEastAsia" w:hAnsiTheme="minorEastAsia" w:eastAsiaTheme="minorEastAsia" w:cstheme="minorEastAsia"/>
                <w:snapToGrid w:val="0"/>
                <w:spacing w:val="-3"/>
                <w:sz w:val="21"/>
                <w:szCs w:val="21"/>
                <w:highlight w:val="none"/>
                <w:lang w:val="en-US" w:eastAsia="zh-CN" w:bidi="ar-SA"/>
              </w:rPr>
              <w:t>须</w:t>
            </w:r>
            <w:r>
              <w:rPr>
                <w:rFonts w:hint="eastAsia" w:asciiTheme="minorEastAsia" w:hAnsiTheme="minorEastAsia" w:eastAsiaTheme="minorEastAsia" w:cstheme="minorEastAsia"/>
                <w:snapToGrid w:val="0"/>
                <w:color w:val="auto"/>
                <w:spacing w:val="-3"/>
                <w:sz w:val="21"/>
                <w:szCs w:val="21"/>
                <w:highlight w:val="none"/>
                <w:lang w:bidi="ar-SA"/>
              </w:rPr>
              <w:t>提供设备购买发票</w:t>
            </w:r>
            <w:r>
              <w:rPr>
                <w:rFonts w:hint="eastAsia" w:asciiTheme="minorEastAsia" w:hAnsiTheme="minorEastAsia" w:eastAsiaTheme="minorEastAsia" w:cstheme="minorEastAsia"/>
                <w:snapToGrid w:val="0"/>
                <w:color w:val="auto"/>
                <w:spacing w:val="-3"/>
                <w:sz w:val="21"/>
                <w:szCs w:val="21"/>
                <w:highlight w:val="none"/>
                <w:lang w:eastAsia="zh-CN" w:bidi="ar-SA"/>
              </w:rPr>
              <w:t>）</w:t>
            </w:r>
            <w:r>
              <w:rPr>
                <w:rFonts w:hint="eastAsia" w:asciiTheme="minorEastAsia" w:hAnsiTheme="minorEastAsia" w:eastAsiaTheme="minorEastAsia" w:cstheme="minorEastAsia"/>
                <w:snapToGrid w:val="0"/>
                <w:spacing w:val="-3"/>
                <w:sz w:val="21"/>
                <w:szCs w:val="21"/>
                <w:highlight w:val="none"/>
                <w:lang w:eastAsia="zh-CN" w:bidi="ar-SA"/>
              </w:rPr>
              <w:t>；</w:t>
            </w:r>
          </w:p>
        </w:tc>
        <w:tc>
          <w:tcPr>
            <w:tcW w:w="1268" w:type="dxa"/>
            <w:tcBorders>
              <w:top w:val="single" w:color="auto" w:sz="4" w:space="0"/>
              <w:lef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0" w:hRule="atLeast"/>
        </w:trPr>
        <w:tc>
          <w:tcPr>
            <w:tcW w:w="561" w:type="dxa"/>
            <w:vMerge w:val="continue"/>
            <w:tcBorders>
              <w:bottom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276" w:type="dxa"/>
            <w:vMerge w:val="continue"/>
            <w:tcBorders>
              <w:bottom w:val="single" w:color="auto" w:sz="4" w:space="0"/>
            </w:tcBorders>
          </w:tcPr>
          <w:p>
            <w:pPr>
              <w:spacing w:line="360" w:lineRule="auto"/>
              <w:rPr>
                <w:rFonts w:hint="eastAsia" w:asciiTheme="minorEastAsia" w:hAnsiTheme="minorEastAsia" w:eastAsiaTheme="minorEastAsia" w:cstheme="minorEastAsia"/>
                <w:spacing w:val="-3"/>
                <w:sz w:val="21"/>
                <w:szCs w:val="21"/>
                <w:highlight w:val="none"/>
              </w:rPr>
            </w:pPr>
          </w:p>
        </w:tc>
        <w:tc>
          <w:tcPr>
            <w:tcW w:w="1012" w:type="dxa"/>
            <w:gridSpan w:val="2"/>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highlight w:val="none"/>
              </w:rPr>
            </w:pPr>
          </w:p>
        </w:tc>
        <w:tc>
          <w:tcPr>
            <w:tcW w:w="5225" w:type="dxa"/>
            <w:vMerge w:val="restart"/>
            <w:tcBorders>
              <w:top w:val="single" w:color="auto" w:sz="4" w:space="0"/>
              <w:right w:val="single" w:color="auto" w:sz="4" w:space="0"/>
            </w:tcBorders>
            <w:vAlign w:val="center"/>
          </w:tcPr>
          <w:p>
            <w:pPr>
              <w:pStyle w:val="60"/>
              <w:spacing w:line="360" w:lineRule="auto"/>
              <w:rPr>
                <w:rFonts w:hint="eastAsia" w:asciiTheme="minorEastAsia" w:hAnsiTheme="minorEastAsia" w:eastAsiaTheme="minorEastAsia" w:cstheme="minorEastAsia"/>
                <w:snapToGrid w:val="0"/>
                <w:color w:val="auto"/>
                <w:spacing w:val="-3"/>
                <w:sz w:val="21"/>
                <w:szCs w:val="21"/>
                <w:highlight w:val="none"/>
                <w:lang w:eastAsia="zh-CN"/>
              </w:rPr>
            </w:pPr>
            <w:r>
              <w:rPr>
                <w:rFonts w:hint="eastAsia" w:asciiTheme="minorEastAsia" w:hAnsiTheme="minorEastAsia" w:eastAsiaTheme="minorEastAsia" w:cstheme="minorEastAsia"/>
                <w:snapToGrid w:val="0"/>
                <w:spacing w:val="-3"/>
                <w:sz w:val="21"/>
                <w:szCs w:val="21"/>
                <w:lang w:eastAsia="zh-CN"/>
              </w:rPr>
              <w:t>投标人能够快速提供本地化服务，在项目执行周期及</w:t>
            </w:r>
            <w:r>
              <w:rPr>
                <w:rFonts w:hint="eastAsia" w:asciiTheme="minorEastAsia" w:hAnsiTheme="minorEastAsia" w:eastAsiaTheme="minorEastAsia" w:cstheme="minorEastAsia"/>
                <w:snapToGrid w:val="0"/>
                <w:spacing w:val="-3"/>
                <w:sz w:val="21"/>
                <w:szCs w:val="21"/>
                <w:highlight w:val="none"/>
                <w:lang w:eastAsia="zh-CN"/>
              </w:rPr>
              <w:t>后期应用中提供驻场、</w:t>
            </w:r>
            <w:r>
              <w:rPr>
                <w:rFonts w:hint="eastAsia" w:asciiTheme="minorEastAsia" w:hAnsiTheme="minorEastAsia" w:eastAsiaTheme="minorEastAsia" w:cstheme="minorEastAsia"/>
                <w:snapToGrid w:val="0"/>
                <w:spacing w:val="-3"/>
                <w:sz w:val="21"/>
                <w:szCs w:val="21"/>
                <w:highlight w:val="none"/>
                <w:lang w:val="en-US" w:eastAsia="zh-CN"/>
              </w:rPr>
              <w:t>完善</w:t>
            </w:r>
            <w:r>
              <w:rPr>
                <w:rFonts w:hint="eastAsia" w:asciiTheme="minorEastAsia" w:hAnsiTheme="minorEastAsia" w:eastAsiaTheme="minorEastAsia" w:cstheme="minorEastAsia"/>
                <w:snapToGrid w:val="0"/>
                <w:spacing w:val="-3"/>
                <w:sz w:val="21"/>
                <w:szCs w:val="21"/>
                <w:highlight w:val="none"/>
                <w:lang w:eastAsia="zh-CN"/>
              </w:rPr>
              <w:t>的技术服务承</w:t>
            </w:r>
            <w:r>
              <w:rPr>
                <w:rFonts w:hint="eastAsia" w:asciiTheme="minorEastAsia" w:hAnsiTheme="minorEastAsia" w:eastAsiaTheme="minorEastAsia" w:cstheme="minorEastAsia"/>
                <w:snapToGrid w:val="0"/>
                <w:color w:val="auto"/>
                <w:spacing w:val="-3"/>
                <w:sz w:val="21"/>
                <w:szCs w:val="21"/>
                <w:highlight w:val="none"/>
                <w:lang w:eastAsia="zh-CN"/>
              </w:rPr>
              <w:t>诺：</w:t>
            </w:r>
          </w:p>
          <w:p>
            <w:pPr>
              <w:pStyle w:val="60"/>
              <w:spacing w:line="360" w:lineRule="auto"/>
              <w:rPr>
                <w:rFonts w:hint="eastAsia" w:asciiTheme="minorEastAsia" w:hAnsiTheme="minorEastAsia" w:eastAsiaTheme="minorEastAsia" w:cstheme="minorEastAsia"/>
                <w:snapToGrid w:val="0"/>
                <w:color w:val="auto"/>
                <w:spacing w:val="-3"/>
                <w:sz w:val="21"/>
                <w:szCs w:val="21"/>
                <w:highlight w:val="none"/>
                <w:lang w:eastAsia="zh-CN"/>
              </w:rPr>
            </w:pPr>
            <w:r>
              <w:rPr>
                <w:rFonts w:hint="eastAsia" w:asciiTheme="minorEastAsia" w:hAnsiTheme="minorEastAsia" w:eastAsiaTheme="minorEastAsia" w:cstheme="minorEastAsia"/>
                <w:snapToGrid w:val="0"/>
                <w:color w:val="auto"/>
                <w:spacing w:val="-3"/>
                <w:sz w:val="21"/>
                <w:szCs w:val="21"/>
                <w:highlight w:val="none"/>
                <w:lang w:val="en-US" w:eastAsia="zh-CN"/>
              </w:rPr>
              <w:t>1.</w:t>
            </w:r>
            <w:r>
              <w:rPr>
                <w:rFonts w:hint="eastAsia" w:asciiTheme="minorEastAsia" w:hAnsiTheme="minorEastAsia" w:eastAsiaTheme="minorEastAsia" w:cstheme="minorEastAsia"/>
                <w:snapToGrid w:val="0"/>
                <w:color w:val="auto"/>
                <w:spacing w:val="-3"/>
                <w:sz w:val="21"/>
                <w:szCs w:val="21"/>
                <w:highlight w:val="none"/>
                <w:lang w:eastAsia="zh-CN"/>
              </w:rPr>
              <w:t>承诺在人员、制度、场地、服务响应时间、与采购人的配合等方面的计划完善、详细合理，能够提供相关证明材料</w:t>
            </w:r>
            <w:r>
              <w:rPr>
                <w:rFonts w:hint="eastAsia" w:asciiTheme="minorEastAsia" w:hAnsiTheme="minorEastAsia" w:eastAsiaTheme="minorEastAsia" w:cstheme="minorEastAsia"/>
                <w:snapToGrid w:val="0"/>
                <w:color w:val="auto"/>
                <w:spacing w:val="-3"/>
                <w:sz w:val="21"/>
                <w:szCs w:val="21"/>
                <w:highlight w:val="none"/>
                <w:lang w:val="en-US" w:eastAsia="zh-CN"/>
              </w:rPr>
              <w:t>的</w:t>
            </w:r>
            <w:r>
              <w:rPr>
                <w:rFonts w:hint="eastAsia" w:asciiTheme="minorEastAsia" w:hAnsiTheme="minorEastAsia" w:eastAsiaTheme="minorEastAsia" w:cstheme="minorEastAsia"/>
                <w:snapToGrid w:val="0"/>
                <w:color w:val="auto"/>
                <w:spacing w:val="-3"/>
                <w:sz w:val="21"/>
                <w:szCs w:val="21"/>
                <w:highlight w:val="none"/>
                <w:lang w:eastAsia="zh-CN"/>
              </w:rPr>
              <w:t>得5-8分；</w:t>
            </w:r>
          </w:p>
          <w:p>
            <w:pPr>
              <w:pStyle w:val="60"/>
              <w:spacing w:line="360" w:lineRule="auto"/>
              <w:rPr>
                <w:rFonts w:hint="eastAsia" w:asciiTheme="minorEastAsia" w:hAnsiTheme="minorEastAsia" w:eastAsiaTheme="minorEastAsia" w:cstheme="minorEastAsia"/>
                <w:snapToGrid w:val="0"/>
                <w:color w:val="auto"/>
                <w:spacing w:val="-3"/>
                <w:sz w:val="21"/>
                <w:szCs w:val="21"/>
                <w:highlight w:val="none"/>
                <w:lang w:eastAsia="zh-CN"/>
              </w:rPr>
            </w:pPr>
            <w:r>
              <w:rPr>
                <w:rFonts w:hint="eastAsia" w:asciiTheme="minorEastAsia" w:hAnsiTheme="minorEastAsia" w:eastAsiaTheme="minorEastAsia" w:cstheme="minorEastAsia"/>
                <w:snapToGrid w:val="0"/>
                <w:color w:val="auto"/>
                <w:spacing w:val="-3"/>
                <w:sz w:val="21"/>
                <w:szCs w:val="21"/>
                <w:highlight w:val="none"/>
                <w:lang w:val="en-US" w:eastAsia="zh-CN"/>
              </w:rPr>
              <w:t>2.</w:t>
            </w:r>
            <w:r>
              <w:rPr>
                <w:rFonts w:hint="eastAsia" w:asciiTheme="minorEastAsia" w:hAnsiTheme="minorEastAsia" w:eastAsiaTheme="minorEastAsia" w:cstheme="minorEastAsia"/>
                <w:snapToGrid w:val="0"/>
                <w:color w:val="auto"/>
                <w:spacing w:val="-3"/>
                <w:sz w:val="21"/>
                <w:szCs w:val="21"/>
                <w:highlight w:val="none"/>
                <w:lang w:eastAsia="zh-CN"/>
              </w:rPr>
              <w:t>承诺在人员、制度、场地、服务响应时间、与</w:t>
            </w:r>
            <w:r>
              <w:rPr>
                <w:rFonts w:hint="eastAsia" w:asciiTheme="minorEastAsia" w:hAnsiTheme="minorEastAsia" w:eastAsiaTheme="minorEastAsia" w:cstheme="minorEastAsia"/>
                <w:snapToGrid w:val="0"/>
                <w:color w:val="auto"/>
                <w:spacing w:val="-3"/>
                <w:sz w:val="21"/>
                <w:szCs w:val="21"/>
                <w:highlight w:val="none"/>
                <w:lang w:val="en-US" w:eastAsia="zh-CN"/>
              </w:rPr>
              <w:t>采购</w:t>
            </w:r>
            <w:r>
              <w:rPr>
                <w:rFonts w:hint="eastAsia" w:asciiTheme="minorEastAsia" w:hAnsiTheme="minorEastAsia" w:eastAsiaTheme="minorEastAsia" w:cstheme="minorEastAsia"/>
                <w:snapToGrid w:val="0"/>
                <w:color w:val="auto"/>
                <w:spacing w:val="-3"/>
                <w:sz w:val="21"/>
                <w:szCs w:val="21"/>
                <w:highlight w:val="none"/>
                <w:lang w:eastAsia="zh-CN"/>
              </w:rPr>
              <w:t>人的配合等方面的计划较完善，能够提供相关证明材料</w:t>
            </w:r>
            <w:r>
              <w:rPr>
                <w:rFonts w:hint="eastAsia" w:asciiTheme="minorEastAsia" w:hAnsiTheme="minorEastAsia" w:eastAsiaTheme="minorEastAsia" w:cstheme="minorEastAsia"/>
                <w:snapToGrid w:val="0"/>
                <w:color w:val="auto"/>
                <w:spacing w:val="-3"/>
                <w:sz w:val="21"/>
                <w:szCs w:val="21"/>
                <w:highlight w:val="none"/>
                <w:lang w:val="en-US" w:eastAsia="zh-CN"/>
              </w:rPr>
              <w:t>的</w:t>
            </w:r>
            <w:r>
              <w:rPr>
                <w:rFonts w:hint="eastAsia" w:asciiTheme="minorEastAsia" w:hAnsiTheme="minorEastAsia" w:eastAsiaTheme="minorEastAsia" w:cstheme="minorEastAsia"/>
                <w:snapToGrid w:val="0"/>
                <w:color w:val="auto"/>
                <w:spacing w:val="-3"/>
                <w:sz w:val="21"/>
                <w:szCs w:val="21"/>
                <w:highlight w:val="none"/>
                <w:lang w:eastAsia="zh-CN"/>
              </w:rPr>
              <w:t>得3-5分；</w:t>
            </w:r>
          </w:p>
          <w:p>
            <w:pPr>
              <w:pStyle w:val="60"/>
              <w:spacing w:line="360" w:lineRule="auto"/>
              <w:rPr>
                <w:rFonts w:hint="eastAsia" w:asciiTheme="minorEastAsia" w:hAnsiTheme="minorEastAsia" w:eastAsiaTheme="minorEastAsia" w:cstheme="minorEastAsia"/>
                <w:spacing w:val="-3"/>
                <w:sz w:val="21"/>
                <w:szCs w:val="21"/>
                <w:lang w:eastAsia="zh-CN"/>
              </w:rPr>
            </w:pPr>
            <w:r>
              <w:rPr>
                <w:rFonts w:hint="eastAsia" w:asciiTheme="minorEastAsia" w:hAnsiTheme="minorEastAsia" w:eastAsiaTheme="minorEastAsia" w:cstheme="minorEastAsia"/>
                <w:snapToGrid w:val="0"/>
                <w:color w:val="auto"/>
                <w:spacing w:val="-3"/>
                <w:sz w:val="21"/>
                <w:szCs w:val="21"/>
                <w:highlight w:val="none"/>
                <w:lang w:val="en-US" w:eastAsia="zh-CN"/>
              </w:rPr>
              <w:t>3.</w:t>
            </w:r>
            <w:r>
              <w:rPr>
                <w:rFonts w:hint="eastAsia" w:asciiTheme="minorEastAsia" w:hAnsiTheme="minorEastAsia" w:eastAsiaTheme="minorEastAsia" w:cstheme="minorEastAsia"/>
                <w:snapToGrid w:val="0"/>
                <w:color w:val="auto"/>
                <w:spacing w:val="-3"/>
                <w:sz w:val="21"/>
                <w:szCs w:val="21"/>
                <w:highlight w:val="none"/>
                <w:lang w:eastAsia="zh-CN"/>
              </w:rPr>
              <w:t>承诺在人员、制度、场地、服务响应时间、与</w:t>
            </w:r>
            <w:r>
              <w:rPr>
                <w:rFonts w:hint="eastAsia" w:asciiTheme="minorEastAsia" w:hAnsiTheme="minorEastAsia" w:eastAsiaTheme="minorEastAsia" w:cstheme="minorEastAsia"/>
                <w:snapToGrid w:val="0"/>
                <w:color w:val="auto"/>
                <w:spacing w:val="-3"/>
                <w:sz w:val="21"/>
                <w:szCs w:val="21"/>
                <w:highlight w:val="none"/>
                <w:lang w:val="en-US" w:eastAsia="zh-CN"/>
              </w:rPr>
              <w:t>采购</w:t>
            </w:r>
            <w:r>
              <w:rPr>
                <w:rFonts w:hint="eastAsia" w:asciiTheme="minorEastAsia" w:hAnsiTheme="minorEastAsia" w:eastAsiaTheme="minorEastAsia" w:cstheme="minorEastAsia"/>
                <w:snapToGrid w:val="0"/>
                <w:color w:val="auto"/>
                <w:spacing w:val="-3"/>
                <w:sz w:val="21"/>
                <w:szCs w:val="21"/>
                <w:highlight w:val="none"/>
                <w:lang w:eastAsia="zh-CN"/>
              </w:rPr>
              <w:t>人的配合等方面的计划基本完善，能够提供相关证明材料</w:t>
            </w:r>
            <w:r>
              <w:rPr>
                <w:rFonts w:hint="eastAsia" w:asciiTheme="minorEastAsia" w:hAnsiTheme="minorEastAsia" w:eastAsiaTheme="minorEastAsia" w:cstheme="minorEastAsia"/>
                <w:snapToGrid w:val="0"/>
                <w:color w:val="auto"/>
                <w:spacing w:val="-3"/>
                <w:sz w:val="21"/>
                <w:szCs w:val="21"/>
                <w:highlight w:val="none"/>
                <w:lang w:val="en-US" w:eastAsia="zh-CN"/>
              </w:rPr>
              <w:t>的</w:t>
            </w:r>
            <w:r>
              <w:rPr>
                <w:rFonts w:hint="eastAsia" w:asciiTheme="minorEastAsia" w:hAnsiTheme="minorEastAsia" w:eastAsiaTheme="minorEastAsia" w:cstheme="minorEastAsia"/>
                <w:snapToGrid w:val="0"/>
                <w:color w:val="auto"/>
                <w:spacing w:val="-3"/>
                <w:sz w:val="21"/>
                <w:szCs w:val="21"/>
                <w:highlight w:val="none"/>
                <w:lang w:eastAsia="zh-CN"/>
              </w:rPr>
              <w:t>得0-3分。</w:t>
            </w:r>
          </w:p>
        </w:tc>
        <w:tc>
          <w:tcPr>
            <w:tcW w:w="1268" w:type="dxa"/>
            <w:vMerge w:val="restart"/>
            <w:tcBorders>
              <w:top w:val="single" w:color="auto" w:sz="4" w:space="0"/>
              <w:left w:val="single" w:color="auto" w:sz="4" w:space="0"/>
            </w:tcBorders>
            <w:vAlign w:val="center"/>
          </w:tcPr>
          <w:p>
            <w:pPr>
              <w:pStyle w:val="60"/>
              <w:spacing w:line="360" w:lineRule="auto"/>
              <w:jc w:val="center"/>
              <w:rPr>
                <w:rFonts w:hint="eastAsia" w:asciiTheme="minorEastAsia" w:hAnsiTheme="minorEastAsia" w:eastAsiaTheme="minorEastAsia" w:cstheme="minorEastAsia"/>
                <w:snapToGrid w:val="0"/>
                <w:spacing w:val="-3"/>
                <w:sz w:val="21"/>
                <w:szCs w:val="21"/>
                <w:lang w:eastAsia="zh-CN"/>
              </w:rPr>
            </w:pPr>
            <w:r>
              <w:rPr>
                <w:rFonts w:hint="eastAsia" w:asciiTheme="minorEastAsia" w:hAnsiTheme="minorEastAsia" w:eastAsiaTheme="minorEastAsia" w:cstheme="minorEastAsia"/>
                <w:snapToGrid w:val="0"/>
                <w:spacing w:val="-3"/>
                <w:sz w:val="21"/>
                <w:szCs w:val="21"/>
                <w:lang w:eastAsia="zh-CN"/>
              </w:rPr>
              <w:t>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70" w:hRule="atLeast"/>
        </w:trPr>
        <w:tc>
          <w:tcPr>
            <w:tcW w:w="561" w:type="dxa"/>
            <w:tcBorders>
              <w:top w:val="single" w:color="auto" w:sz="4" w:space="0"/>
              <w:bottom w:val="single" w:color="auto" w:sz="4" w:space="0"/>
            </w:tcBorders>
          </w:tcPr>
          <w:p>
            <w:pPr>
              <w:spacing w:line="360" w:lineRule="auto"/>
              <w:ind w:firstLine="34"/>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4</w:t>
            </w:r>
          </w:p>
        </w:tc>
        <w:tc>
          <w:tcPr>
            <w:tcW w:w="1276" w:type="dxa"/>
            <w:tcBorders>
              <w:top w:val="single" w:color="auto" w:sz="4" w:space="0"/>
              <w:bottom w:val="single" w:color="auto" w:sz="4" w:space="0"/>
            </w:tcBorders>
          </w:tcPr>
          <w:p>
            <w:pPr>
              <w:pStyle w:val="60"/>
              <w:spacing w:before="69" w:line="360" w:lineRule="auto"/>
              <w:ind w:left="172" w:right="193"/>
              <w:jc w:val="center"/>
              <w:rPr>
                <w:rFonts w:hint="eastAsia" w:asciiTheme="minorEastAsia" w:hAnsiTheme="minorEastAsia" w:eastAsiaTheme="minorEastAsia" w:cstheme="minorEastAsia"/>
                <w:snapToGrid w:val="0"/>
                <w:spacing w:val="-3"/>
                <w:sz w:val="21"/>
                <w:szCs w:val="21"/>
                <w:highlight w:val="none"/>
              </w:rPr>
            </w:pPr>
            <w:r>
              <w:rPr>
                <w:rFonts w:hint="eastAsia" w:asciiTheme="minorEastAsia" w:hAnsiTheme="minorEastAsia" w:eastAsiaTheme="minorEastAsia" w:cstheme="minorEastAsia"/>
                <w:snapToGrid w:val="0"/>
                <w:spacing w:val="-3"/>
                <w:sz w:val="21"/>
                <w:szCs w:val="21"/>
                <w:highlight w:val="none"/>
              </w:rPr>
              <w:t>服务承诺</w:t>
            </w:r>
          </w:p>
          <w:p>
            <w:pPr>
              <w:spacing w:line="360" w:lineRule="auto"/>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（8分）</w:t>
            </w:r>
          </w:p>
        </w:tc>
        <w:tc>
          <w:tcPr>
            <w:tcW w:w="1012" w:type="dxa"/>
            <w:gridSpan w:val="2"/>
            <w:tcBorders>
              <w:top w:val="single" w:color="auto" w:sz="4" w:space="0"/>
              <w:bottom w:val="single" w:color="auto" w:sz="4" w:space="0"/>
            </w:tcBorders>
            <w:vAlign w:val="center"/>
          </w:tcPr>
          <w:p>
            <w:pPr>
              <w:pStyle w:val="60"/>
              <w:spacing w:before="69" w:line="360" w:lineRule="auto"/>
              <w:ind w:left="172" w:right="193"/>
              <w:jc w:val="center"/>
              <w:rPr>
                <w:rFonts w:hint="eastAsia" w:asciiTheme="minorEastAsia" w:hAnsiTheme="minorEastAsia" w:eastAsiaTheme="minorEastAsia" w:cstheme="minorEastAsia"/>
                <w:snapToGrid w:val="0"/>
                <w:spacing w:val="-3"/>
                <w:sz w:val="21"/>
                <w:szCs w:val="21"/>
                <w:highlight w:val="none"/>
              </w:rPr>
            </w:pPr>
            <w:r>
              <w:rPr>
                <w:rFonts w:hint="eastAsia" w:asciiTheme="minorEastAsia" w:hAnsiTheme="minorEastAsia" w:eastAsiaTheme="minorEastAsia" w:cstheme="minorEastAsia"/>
                <w:snapToGrid w:val="0"/>
                <w:spacing w:val="-3"/>
                <w:sz w:val="21"/>
                <w:szCs w:val="21"/>
                <w:highlight w:val="none"/>
              </w:rPr>
              <w:t>服务承诺</w:t>
            </w:r>
          </w:p>
          <w:p>
            <w:pPr>
              <w:spacing w:line="360" w:lineRule="auto"/>
              <w:jc w:val="center"/>
              <w:rPr>
                <w:rFonts w:hint="eastAsia" w:asciiTheme="minorEastAsia" w:hAnsiTheme="minorEastAsia" w:eastAsiaTheme="minorEastAsia" w:cstheme="minorEastAsia"/>
                <w:spacing w:val="-3"/>
                <w:sz w:val="21"/>
                <w:szCs w:val="21"/>
                <w:highlight w:val="none"/>
              </w:rPr>
            </w:pPr>
          </w:p>
        </w:tc>
        <w:tc>
          <w:tcPr>
            <w:tcW w:w="5225" w:type="dxa"/>
            <w:vMerge w:val="continue"/>
            <w:tcBorders>
              <w:right w:val="single" w:color="auto" w:sz="4" w:space="0"/>
            </w:tcBorders>
            <w:vAlign w:val="center"/>
          </w:tcPr>
          <w:p>
            <w:pPr>
              <w:pStyle w:val="60"/>
              <w:spacing w:line="360" w:lineRule="auto"/>
              <w:rPr>
                <w:rFonts w:hint="eastAsia" w:asciiTheme="minorEastAsia" w:hAnsiTheme="minorEastAsia" w:eastAsiaTheme="minorEastAsia" w:cstheme="minorEastAsia"/>
                <w:snapToGrid w:val="0"/>
                <w:color w:val="auto"/>
                <w:spacing w:val="-3"/>
                <w:sz w:val="21"/>
                <w:szCs w:val="21"/>
                <w:highlight w:val="none"/>
                <w:lang w:val="en-US" w:eastAsia="zh-CN"/>
              </w:rPr>
            </w:pPr>
          </w:p>
        </w:tc>
        <w:tc>
          <w:tcPr>
            <w:tcW w:w="1268" w:type="dxa"/>
            <w:vMerge w:val="continue"/>
            <w:tcBorders>
              <w:left w:val="single" w:color="auto" w:sz="4" w:space="0"/>
            </w:tcBorders>
            <w:vAlign w:val="center"/>
          </w:tcPr>
          <w:p>
            <w:pPr>
              <w:pStyle w:val="60"/>
              <w:spacing w:line="360" w:lineRule="auto"/>
              <w:jc w:val="center"/>
              <w:rPr>
                <w:rFonts w:hint="eastAsia" w:asciiTheme="minorEastAsia" w:hAnsiTheme="minorEastAsia" w:eastAsiaTheme="minorEastAsia" w:cstheme="minorEastAsia"/>
                <w:snapToGrid w:val="0"/>
                <w:spacing w:val="-3"/>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9342" w:type="dxa"/>
            <w:gridSpan w:val="6"/>
            <w:tcBorders>
              <w:top w:val="single" w:color="auto" w:sz="4" w:space="0"/>
              <w:bottom w:val="single" w:color="auto" w:sz="4" w:space="0"/>
            </w:tcBorders>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注：投标人综合得分=投标报价得分+技术部分得分+商务部分得分</w:t>
            </w:r>
            <w:r>
              <w:rPr>
                <w:rFonts w:hint="eastAsia" w:asciiTheme="minorEastAsia" w:hAnsiTheme="minorEastAsia" w:eastAsiaTheme="minorEastAsia" w:cstheme="minorEastAsia"/>
                <w:color w:val="000000"/>
                <w:sz w:val="21"/>
                <w:szCs w:val="21"/>
                <w:lang w:val="en-US" w:eastAsia="zh-CN"/>
              </w:rPr>
              <w:t>+服务承诺</w:t>
            </w:r>
            <w:r>
              <w:rPr>
                <w:rFonts w:hint="eastAsia" w:asciiTheme="minorEastAsia" w:hAnsiTheme="minorEastAsia" w:eastAsiaTheme="minorEastAsia" w:cstheme="minorEastAsia"/>
                <w:color w:val="000000"/>
                <w:sz w:val="21"/>
                <w:szCs w:val="21"/>
              </w:rPr>
              <w:t>。</w:t>
            </w:r>
          </w:p>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投标人最终得分:</w:t>
            </w:r>
          </w:p>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1.评标委员会完成评审后，取全部得分算术平均值，作为该投标人的最终得分。</w:t>
            </w:r>
          </w:p>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2.本办法计算过程中分值按四舍五入保留二位小数。</w:t>
            </w:r>
          </w:p>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color w:val="000000"/>
                <w:sz w:val="21"/>
                <w:szCs w:val="21"/>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3" w:hRule="atLeast"/>
        </w:trPr>
        <w:tc>
          <w:tcPr>
            <w:tcW w:w="8074" w:type="dxa"/>
            <w:gridSpan w:val="5"/>
          </w:tcPr>
          <w:p>
            <w:pPr>
              <w:spacing w:before="229" w:line="360" w:lineRule="auto"/>
              <w:ind w:firstLine="39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总分</w:t>
            </w:r>
          </w:p>
        </w:tc>
        <w:tc>
          <w:tcPr>
            <w:tcW w:w="1268" w:type="dxa"/>
          </w:tcPr>
          <w:p>
            <w:pPr>
              <w:spacing w:before="22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100</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6"/>
                <w:sz w:val="21"/>
                <w:szCs w:val="21"/>
              </w:rPr>
              <w:t>分</w:t>
            </w:r>
          </w:p>
        </w:tc>
      </w:tr>
    </w:tbl>
    <w:p>
      <w:pPr>
        <w:pStyle w:val="41"/>
        <w:ind w:left="0" w:leftChars="0" w:firstLine="0" w:firstLineChars="0"/>
        <w:rPr>
          <w:rFonts w:ascii="宋体" w:hAnsi="宋体" w:cs="宋体"/>
          <w:bCs/>
          <w:color w:val="auto"/>
          <w:kern w:val="0"/>
          <w:sz w:val="24"/>
          <w:szCs w:val="24"/>
          <w:highlight w:val="none"/>
        </w:rPr>
      </w:pPr>
    </w:p>
    <w:bookmarkEnd w:id="245"/>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47" w:name="_Toc466017207"/>
      <w:bookmarkStart w:id="248" w:name="_Toc465502579"/>
      <w:bookmarkStart w:id="249" w:name="_Toc454147538"/>
      <w:bookmarkStart w:id="250" w:name="_Toc19403"/>
      <w:bookmarkStart w:id="251" w:name="_Toc21064"/>
      <w:bookmarkStart w:id="252" w:name="_Toc403122541"/>
      <w:bookmarkStart w:id="253" w:name="_Toc426369531"/>
      <w:bookmarkStart w:id="254" w:name="_Toc31084"/>
      <w:r>
        <w:rPr>
          <w:rFonts w:hint="eastAsia" w:ascii="宋体" w:hAnsi="宋体" w:cs="仿宋_GB2312"/>
          <w:b/>
          <w:sz w:val="28"/>
          <w:szCs w:val="28"/>
        </w:rPr>
        <w:t xml:space="preserve"> </w:t>
      </w:r>
      <w:bookmarkStart w:id="255" w:name="_Toc19346"/>
      <w:bookmarkStart w:id="256" w:name="_Toc6843"/>
      <w:r>
        <w:rPr>
          <w:rFonts w:hint="eastAsia" w:ascii="宋体" w:hAnsi="宋体" w:cs="仿宋_GB2312"/>
          <w:b/>
          <w:sz w:val="28"/>
          <w:szCs w:val="28"/>
        </w:rPr>
        <w:t>评标准则和评标方法</w:t>
      </w:r>
      <w:bookmarkEnd w:id="247"/>
      <w:bookmarkEnd w:id="248"/>
      <w:bookmarkEnd w:id="249"/>
      <w:bookmarkEnd w:id="250"/>
      <w:bookmarkEnd w:id="251"/>
      <w:bookmarkEnd w:id="255"/>
      <w:bookmarkEnd w:id="256"/>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57" w:name="_Toc4593"/>
      <w:bookmarkStart w:id="258" w:name="_Toc7951"/>
      <w:bookmarkStart w:id="259" w:name="_Toc466017208"/>
      <w:bookmarkStart w:id="260" w:name="_Toc15449"/>
      <w:bookmarkStart w:id="261" w:name="_Toc465502580"/>
      <w:bookmarkStart w:id="262" w:name="_Toc454147539"/>
      <w:bookmarkStart w:id="263" w:name="_Toc13195"/>
      <w:r>
        <w:rPr>
          <w:rFonts w:hint="eastAsia" w:ascii="宋体" w:hAnsi="宋体" w:cs="仿宋_GB2312"/>
          <w:b/>
          <w:sz w:val="28"/>
          <w:szCs w:val="28"/>
        </w:rPr>
        <w:t>评审标准</w:t>
      </w:r>
      <w:bookmarkEnd w:id="257"/>
      <w:bookmarkEnd w:id="258"/>
      <w:bookmarkEnd w:id="259"/>
      <w:bookmarkEnd w:id="260"/>
      <w:bookmarkEnd w:id="261"/>
      <w:bookmarkEnd w:id="262"/>
      <w:bookmarkEnd w:id="263"/>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评分标准：详见《评分办法前附表》投标报价</w:t>
      </w:r>
      <w:r>
        <w:rPr>
          <w:rFonts w:hint="eastAsia"/>
          <w:szCs w:val="21"/>
          <w:lang w:val="en-US" w:eastAsia="zh-CN"/>
        </w:rPr>
        <w:t>部分</w:t>
      </w:r>
      <w:r>
        <w:rPr>
          <w:rFonts w:hint="eastAsia"/>
          <w:szCs w:val="21"/>
          <w:lang w:eastAsia="zh-CN"/>
        </w:rPr>
        <w:t>、</w:t>
      </w:r>
      <w:r>
        <w:rPr>
          <w:rFonts w:hint="eastAsia"/>
          <w:szCs w:val="21"/>
        </w:rPr>
        <w:t>技术部分</w:t>
      </w:r>
      <w:r>
        <w:rPr>
          <w:rFonts w:hint="eastAsia"/>
          <w:szCs w:val="21"/>
          <w:lang w:eastAsia="zh-CN"/>
        </w:rPr>
        <w:t>、</w:t>
      </w:r>
      <w:r>
        <w:rPr>
          <w:rFonts w:hint="eastAsia"/>
          <w:szCs w:val="21"/>
        </w:rPr>
        <w:t>商务部分</w:t>
      </w:r>
      <w:r>
        <w:rPr>
          <w:rFonts w:hint="eastAsia"/>
          <w:szCs w:val="21"/>
          <w:lang w:val="en-US" w:eastAsia="zh-CN"/>
        </w:rPr>
        <w:t>、服务承诺</w:t>
      </w:r>
      <w:r>
        <w:rPr>
          <w:rFonts w:hint="eastAsia"/>
          <w:szCs w:val="21"/>
        </w:rPr>
        <w:t>。</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64" w:name="_Toc11065"/>
      <w:bookmarkStart w:id="265" w:name="_Toc19609"/>
      <w:bookmarkStart w:id="266" w:name="_Toc28348"/>
      <w:r>
        <w:rPr>
          <w:rFonts w:hint="eastAsia" w:ascii="宋体" w:hAnsi="宋体" w:cs="仿宋_GB2312"/>
          <w:b/>
          <w:sz w:val="28"/>
          <w:szCs w:val="28"/>
        </w:rPr>
        <w:t>评标程序</w:t>
      </w:r>
      <w:bookmarkEnd w:id="264"/>
      <w:bookmarkEnd w:id="265"/>
      <w:bookmarkEnd w:id="266"/>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未按照招标文件规定要求签署、盖章的；</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11"/>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11"/>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w:t>
      </w:r>
      <w:r>
        <w:rPr>
          <w:rFonts w:hint="eastAsia"/>
        </w:rPr>
        <w:t>的</w:t>
      </w:r>
      <w:r>
        <w:rPr>
          <w:rFonts w:hint="eastAsia"/>
          <w:lang w:val="zh-CN"/>
        </w:rPr>
        <w:t>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highlight w:val="none"/>
        </w:rPr>
      </w:pPr>
      <w:r>
        <w:rPr>
          <w:rFonts w:hint="eastAsia"/>
          <w:b/>
          <w:bCs/>
          <w:sz w:val="24"/>
        </w:rPr>
        <w:t>3.4 评标结</w:t>
      </w:r>
      <w:r>
        <w:rPr>
          <w:rFonts w:hint="eastAsia"/>
          <w:b/>
          <w:bCs/>
          <w:sz w:val="24"/>
          <w:highlight w:val="none"/>
        </w:rPr>
        <w:t>果</w:t>
      </w:r>
    </w:p>
    <w:p>
      <w:pPr>
        <w:adjustRightInd w:val="0"/>
        <w:snapToGrid w:val="0"/>
        <w:spacing w:line="560" w:lineRule="exact"/>
        <w:rPr>
          <w:highlight w:val="none"/>
        </w:rPr>
      </w:pPr>
      <w:r>
        <w:rPr>
          <w:rFonts w:hint="eastAsia"/>
          <w:highlight w:val="none"/>
        </w:rPr>
        <w:t>3.4.1</w:t>
      </w:r>
      <w:r>
        <w:rPr>
          <w:rFonts w:hint="eastAsia"/>
          <w:lang w:val="zh-CN"/>
        </w:rPr>
        <w:t xml:space="preserve"> 投标人得分=投标报价得分+技术部分得分+商务部分得分</w:t>
      </w:r>
      <w:r>
        <w:rPr>
          <w:rFonts w:hint="eastAsia"/>
          <w:lang w:val="en-US" w:eastAsia="zh-CN"/>
        </w:rPr>
        <w:t>+服务承诺</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67" w:name="_Toc7468"/>
      <w:bookmarkStart w:id="268" w:name="_Toc11630"/>
      <w:bookmarkStart w:id="269" w:name="_Toc28863"/>
      <w:bookmarkStart w:id="270" w:name="_Toc17922"/>
      <w:bookmarkStart w:id="271" w:name="_Toc16293"/>
      <w:bookmarkStart w:id="272" w:name="_Toc19590"/>
      <w:bookmarkStart w:id="273" w:name="_Toc54"/>
      <w:r>
        <w:rPr>
          <w:rFonts w:hint="eastAsia"/>
          <w:b/>
          <w:bCs/>
          <w:sz w:val="24"/>
        </w:rPr>
        <w:t>3.6 保密及其他注意事项</w:t>
      </w:r>
      <w:bookmarkEnd w:id="267"/>
      <w:bookmarkEnd w:id="268"/>
      <w:bookmarkEnd w:id="269"/>
      <w:bookmarkEnd w:id="270"/>
      <w:bookmarkEnd w:id="271"/>
      <w:bookmarkEnd w:id="272"/>
      <w:bookmarkEnd w:id="273"/>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4"/>
        <w:numPr>
          <w:ilvl w:val="0"/>
          <w:numId w:val="5"/>
        </w:numPr>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74" w:name="_Toc9424"/>
      <w:r>
        <w:rPr>
          <w:rFonts w:hint="eastAsia" w:asciiTheme="minorEastAsia" w:hAnsiTheme="minorEastAsia" w:eastAsiaTheme="minorEastAsia" w:cstheme="minorEastAsia"/>
          <w:sz w:val="36"/>
          <w:szCs w:val="36"/>
        </w:rPr>
        <w:t>合同条款及格式</w:t>
      </w:r>
      <w:bookmarkEnd w:id="252"/>
      <w:bookmarkEnd w:id="253"/>
      <w:bookmarkEnd w:id="254"/>
      <w:bookmarkEnd w:id="274"/>
    </w:p>
    <w:p>
      <w:pPr>
        <w:pStyle w:val="40"/>
        <w:numPr>
          <w:ilvl w:val="0"/>
          <w:numId w:val="0"/>
        </w:numPr>
        <w:tabs>
          <w:tab w:val="clear" w:pos="432"/>
        </w:tabs>
        <w:ind w:leftChars="0"/>
        <w:jc w:val="both"/>
      </w:pPr>
    </w:p>
    <w:p>
      <w:pPr>
        <w:numPr>
          <w:ilvl w:val="0"/>
          <w:numId w:val="0"/>
        </w:numPr>
        <w:ind w:leftChars="0"/>
        <w:jc w:val="center"/>
        <w:rPr>
          <w:rFonts w:hint="default" w:eastAsia="宋体"/>
          <w:color w:val="auto"/>
          <w:highlight w:val="none"/>
          <w:lang w:val="en-US" w:eastAsia="zh-CN"/>
        </w:rPr>
      </w:pPr>
      <w:r>
        <w:rPr>
          <w:rFonts w:hint="eastAsia"/>
          <w:b/>
          <w:bCs/>
          <w:color w:val="auto"/>
          <w:sz w:val="28"/>
          <w:szCs w:val="28"/>
          <w:highlight w:val="none"/>
          <w:lang w:val="en-US" w:eastAsia="zh-CN"/>
        </w:rPr>
        <w:t>（仅供参考）</w:t>
      </w:r>
    </w:p>
    <w:p>
      <w:pPr>
        <w:pageBreakBefore w:val="0"/>
        <w:kinsoku/>
        <w:wordWrap/>
        <w:overflowPunct/>
        <w:topLinePunct w:val="0"/>
        <w:bidi w:val="0"/>
        <w:adjustRightInd w:val="0"/>
        <w:spacing w:beforeAutospacing="0" w:afterAutospacing="0" w:line="360" w:lineRule="auto"/>
        <w:textAlignment w:val="baseline"/>
        <w:rPr>
          <w:rFonts w:hint="eastAsia" w:ascii="宋体" w:hAnsi="宋体" w:eastAsia="宋体" w:cs="宋体"/>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乙方：（供应商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甲、乙双方持采购人、采购代理公司签发的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采购项目</w:t>
      </w:r>
      <w:r>
        <w:rPr>
          <w:rFonts w:hint="eastAsia" w:asciiTheme="minorEastAsia" w:hAnsiTheme="minorEastAsia" w:eastAsiaTheme="minorEastAsia" w:cstheme="minorEastAsia"/>
          <w:color w:val="auto"/>
          <w:sz w:val="21"/>
          <w:szCs w:val="21"/>
          <w:highlight w:val="none"/>
          <w:lang w:val="en-US" w:eastAsia="zh-CN"/>
        </w:rPr>
        <w:t>中标</w:t>
      </w:r>
      <w:r>
        <w:rPr>
          <w:rFonts w:hint="eastAsia" w:asciiTheme="minorEastAsia" w:hAnsiTheme="minorEastAsia" w:eastAsiaTheme="minorEastAsia" w:cstheme="minorEastAsia"/>
          <w:color w:val="auto"/>
          <w:sz w:val="21"/>
          <w:szCs w:val="21"/>
          <w:highlight w:val="none"/>
        </w:rPr>
        <w:t>通知书，根据</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val="en-US" w:eastAsia="zh-CN"/>
        </w:rPr>
        <w:t>投标文件</w:t>
      </w:r>
      <w:r>
        <w:rPr>
          <w:rFonts w:hint="eastAsia" w:asciiTheme="minorEastAsia" w:hAnsiTheme="minorEastAsia" w:eastAsiaTheme="minorEastAsia" w:cstheme="minorEastAsia"/>
          <w:color w:val="auto"/>
          <w:sz w:val="21"/>
          <w:szCs w:val="21"/>
          <w:highlight w:val="none"/>
        </w:rPr>
        <w:t>文件的内容，并经双方协商一致，达成以下合同条款：</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一、本合同所指</w:t>
      </w:r>
      <w:r>
        <w:rPr>
          <w:rFonts w:hint="eastAsia" w:asciiTheme="minorEastAsia" w:hAnsiTheme="minorEastAsia" w:eastAsiaTheme="minorEastAsia" w:cstheme="minorEastAsia"/>
          <w:color w:val="auto"/>
          <w:sz w:val="21"/>
          <w:szCs w:val="21"/>
          <w:highlight w:val="none"/>
          <w:lang w:val="en-US" w:eastAsia="zh-CN"/>
        </w:rPr>
        <w:t>服务为招标文件、投标文件中的服务内容及要求，</w:t>
      </w:r>
      <w:r>
        <w:rPr>
          <w:rFonts w:hint="eastAsia" w:asciiTheme="minorEastAsia" w:hAnsiTheme="minorEastAsia" w:eastAsiaTheme="minorEastAsia" w:cstheme="minorEastAsia"/>
          <w:color w:val="auto"/>
          <w:sz w:val="21"/>
          <w:szCs w:val="21"/>
          <w:highlight w:val="none"/>
        </w:rPr>
        <w:t xml:space="preserve">合同总价款为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二、乙方提供的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达到乙方</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文件及澄清中的技术标准。（售后服务要求按</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文件相应条款制订）</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val="en-US" w:eastAsia="zh-CN"/>
        </w:rPr>
        <w:t>服务内容、</w:t>
      </w:r>
      <w:r>
        <w:rPr>
          <w:rFonts w:hint="eastAsia" w:asciiTheme="minorEastAsia" w:hAnsiTheme="minorEastAsia" w:eastAsiaTheme="minorEastAsia" w:cstheme="minorEastAsia"/>
          <w:color w:val="auto"/>
          <w:sz w:val="21"/>
          <w:szCs w:val="21"/>
          <w:highlight w:val="none"/>
        </w:rPr>
        <w:t>时间、地点、方式、验收：</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乙方应于202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 月 日前按甲方要求在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达到验收条件。</w:t>
      </w:r>
      <w:r>
        <w:rPr>
          <w:rFonts w:hint="eastAsia" w:asciiTheme="minorEastAsia" w:hAnsiTheme="minorEastAsia" w:eastAsiaTheme="minorEastAsia" w:cstheme="minorEastAsia"/>
          <w:color w:val="auto"/>
          <w:sz w:val="21"/>
          <w:szCs w:val="21"/>
          <w:highlight w:val="none"/>
          <w:lang w:val="en-US" w:eastAsia="zh-CN"/>
        </w:rPr>
        <w:t>所</w:t>
      </w:r>
      <w:r>
        <w:rPr>
          <w:rFonts w:hint="eastAsia" w:asciiTheme="minorEastAsia" w:hAnsiTheme="minorEastAsia" w:eastAsiaTheme="minorEastAsia" w:cstheme="minorEastAsia"/>
          <w:color w:val="auto"/>
          <w:sz w:val="21"/>
          <w:szCs w:val="21"/>
          <w:highlight w:val="none"/>
        </w:rPr>
        <w:t>产生的费用由乙方负责。由甲方组织相关人员进行验收。</w:t>
      </w:r>
    </w:p>
    <w:p>
      <w:pPr>
        <w:pageBreakBefore w:val="0"/>
        <w:numPr>
          <w:ilvl w:val="0"/>
          <w:numId w:val="12"/>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：项目签订合同后10个工作日内，一次性支付合同总价款的60%；待项目详细调查报告和项目风险评估通过评审并提交成果起10个工作日内，一次性支付合同总价款的40%。</w:t>
      </w:r>
    </w:p>
    <w:p>
      <w:pPr>
        <w:pageBreakBefore w:val="0"/>
        <w:numPr>
          <w:ilvl w:val="0"/>
          <w:numId w:val="12"/>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违约责任：甲方无正当理由拒付款的，向乙方偿付拒收拒付款总额的________违约金。</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乙方所</w:t>
      </w:r>
      <w:r>
        <w:rPr>
          <w:rFonts w:hint="eastAsia" w:asciiTheme="minorEastAsia" w:hAnsiTheme="minorEastAsia" w:eastAsiaTheme="minorEastAsia" w:cstheme="minorEastAsia"/>
          <w:color w:val="auto"/>
          <w:sz w:val="21"/>
          <w:szCs w:val="21"/>
          <w:highlight w:val="none"/>
          <w:lang w:val="en-US" w:eastAsia="zh-CN"/>
        </w:rPr>
        <w:t>提供的服务不</w:t>
      </w:r>
      <w:r>
        <w:rPr>
          <w:rFonts w:hint="eastAsia" w:asciiTheme="minorEastAsia" w:hAnsiTheme="minorEastAsia" w:eastAsiaTheme="minorEastAsia" w:cstheme="minorEastAsia"/>
          <w:color w:val="auto"/>
          <w:sz w:val="21"/>
          <w:szCs w:val="21"/>
          <w:highlight w:val="none"/>
        </w:rPr>
        <w:t>符合合同规定，甲方有权拒</w:t>
      </w:r>
      <w:r>
        <w:rPr>
          <w:rFonts w:hint="eastAsia" w:asciiTheme="minorEastAsia" w:hAnsiTheme="minorEastAsia" w:eastAsiaTheme="minorEastAsia" w:cstheme="minorEastAsia"/>
          <w:color w:val="auto"/>
          <w:sz w:val="21"/>
          <w:szCs w:val="21"/>
          <w:highlight w:val="none"/>
          <w:lang w:val="en-US" w:eastAsia="zh-CN"/>
        </w:rPr>
        <w:t>决</w:t>
      </w:r>
      <w:r>
        <w:rPr>
          <w:rFonts w:hint="eastAsia" w:asciiTheme="minorEastAsia" w:hAnsiTheme="minorEastAsia" w:eastAsiaTheme="minorEastAsia" w:cstheme="minorEastAsia"/>
          <w:color w:val="auto"/>
          <w:sz w:val="21"/>
          <w:szCs w:val="21"/>
          <w:highlight w:val="none"/>
        </w:rPr>
        <w:t>，乙方应负责</w:t>
      </w:r>
      <w:r>
        <w:rPr>
          <w:rFonts w:hint="eastAsia" w:asciiTheme="minorEastAsia" w:hAnsiTheme="minorEastAsia" w:eastAsiaTheme="minorEastAsia" w:cstheme="minorEastAsia"/>
          <w:color w:val="auto"/>
          <w:sz w:val="21"/>
          <w:szCs w:val="21"/>
          <w:highlight w:val="none"/>
          <w:lang w:val="en-US" w:eastAsia="zh-CN"/>
        </w:rPr>
        <w:t>更改至符合采购人要求</w:t>
      </w:r>
      <w:r>
        <w:rPr>
          <w:rFonts w:hint="eastAsia" w:asciiTheme="minorEastAsia" w:hAnsiTheme="minorEastAsia" w:eastAsiaTheme="minorEastAsia" w:cstheme="minorEastAsia"/>
          <w:color w:val="auto"/>
          <w:sz w:val="21"/>
          <w:szCs w:val="21"/>
          <w:highlight w:val="none"/>
        </w:rPr>
        <w:t>支付的全部实际费用。</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乙方不能交付</w:t>
      </w:r>
      <w:r>
        <w:rPr>
          <w:rFonts w:hint="eastAsia" w:asciiTheme="minorEastAsia" w:hAnsiTheme="minorEastAsia" w:eastAsiaTheme="minorEastAsia" w:cstheme="minorEastAsia"/>
          <w:color w:val="auto"/>
          <w:sz w:val="21"/>
          <w:szCs w:val="21"/>
          <w:highlight w:val="none"/>
          <w:lang w:val="en-US" w:eastAsia="zh-CN"/>
        </w:rPr>
        <w:t>按要求提供服务</w:t>
      </w:r>
      <w:r>
        <w:rPr>
          <w:rFonts w:hint="eastAsia" w:asciiTheme="minorEastAsia" w:hAnsiTheme="minorEastAsia" w:eastAsiaTheme="minorEastAsia" w:cstheme="minorEastAsia"/>
          <w:color w:val="auto"/>
          <w:sz w:val="21"/>
          <w:szCs w:val="21"/>
          <w:highlight w:val="none"/>
        </w:rPr>
        <w:t>的，乙方向甲方支付未交付部分款总额____违约金。</w:t>
      </w:r>
    </w:p>
    <w:p>
      <w:pPr>
        <w:pageBreakBefore w:val="0"/>
        <w:kinsoku/>
        <w:wordWrap/>
        <w:overflowPunct/>
        <w:topLinePunct w:val="0"/>
        <w:bidi w:val="0"/>
        <w:adjustRightInd w:val="0"/>
        <w:spacing w:beforeAutospacing="0" w:afterAutospacing="0" w:line="360" w:lineRule="auto"/>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十、合同生效及其它：</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本合同经甲、乙双方代表签字、加盖公章和骑缝章后生效。本合同一式五份，甲乙双方各持两份。</w:t>
      </w:r>
      <w:r>
        <w:rPr>
          <w:rFonts w:hint="eastAsia" w:asciiTheme="minorEastAsia" w:hAnsiTheme="minorEastAsia" w:eastAsiaTheme="minorEastAsia" w:cstheme="minorEastAsia"/>
          <w:color w:val="auto"/>
          <w:sz w:val="21"/>
          <w:szCs w:val="21"/>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甲方：</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地址：</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电话：</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开户银行：</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银行账号：</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签约时间：                     签约地点：</w:t>
      </w:r>
    </w:p>
    <w:p>
      <w:pPr>
        <w:pageBreakBefore w:val="0"/>
        <w:kinsoku/>
        <w:wordWrap/>
        <w:overflowPunct/>
        <w:topLinePunct w:val="0"/>
        <w:bidi w:val="0"/>
        <w:adjustRightInd w:val="0"/>
        <w:spacing w:beforeAutospacing="0" w:afterAutospacing="0" w:line="360" w:lineRule="auto"/>
        <w:ind w:firstLine="422"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重要提示</w:t>
      </w:r>
      <w:r>
        <w:rPr>
          <w:rFonts w:hint="eastAsia" w:asciiTheme="minorEastAsia" w:hAnsiTheme="minorEastAsia" w:eastAsiaTheme="minorEastAsia" w:cstheme="minorEastAsia"/>
          <w:b/>
          <w:bCs/>
          <w:color w:val="auto"/>
          <w:sz w:val="21"/>
          <w:szCs w:val="21"/>
          <w:highlight w:val="none"/>
        </w:rPr>
        <w:t>：以上合同文本</w:t>
      </w:r>
      <w:r>
        <w:rPr>
          <w:rFonts w:hint="eastAsia" w:asciiTheme="minorEastAsia" w:hAnsiTheme="minorEastAsia" w:eastAsiaTheme="minorEastAsia" w:cstheme="minorEastAsia"/>
          <w:b/>
          <w:bCs/>
          <w:color w:val="auto"/>
          <w:sz w:val="21"/>
          <w:szCs w:val="21"/>
          <w:highlight w:val="none"/>
          <w:lang w:val="en-US" w:eastAsia="zh-CN"/>
        </w:rPr>
        <w:t>作为签订合同的重要依据，涉及付款方式、供应商名称等实质性内容不得变更。</w:t>
      </w:r>
    </w:p>
    <w:p>
      <w:pPr>
        <w:pStyle w:val="16"/>
        <w:jc w:val="center"/>
        <w:outlineLvl w:val="0"/>
        <w:rPr>
          <w:rFonts w:hint="eastAsia" w:asciiTheme="minorEastAsia" w:hAnsiTheme="minorEastAsia" w:eastAsiaTheme="minorEastAsia" w:cstheme="minorEastAsia"/>
          <w:b/>
          <w:bCs/>
          <w:color w:val="auto"/>
          <w:sz w:val="21"/>
          <w:szCs w:val="21"/>
          <w:highlight w:val="none"/>
        </w:rPr>
      </w:pPr>
    </w:p>
    <w:p/>
    <w:p>
      <w:pPr>
        <w:adjustRightInd w:val="0"/>
        <w:spacing w:line="360" w:lineRule="auto"/>
        <w:ind w:firstLine="480" w:firstLineChars="200"/>
        <w:textAlignment w:val="baseline"/>
        <w:rPr>
          <w:rFonts w:ascii="宋体" w:hAnsi="宋体" w:cs="宋体"/>
          <w:sz w:val="24"/>
        </w:rPr>
      </w:pPr>
      <w:bookmarkStart w:id="275" w:name="_Toc12807"/>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both"/>
        <w:outlineLvl w:val="0"/>
        <w:rPr>
          <w:b/>
          <w:bCs/>
          <w:sz w:val="32"/>
          <w:szCs w:val="32"/>
        </w:rPr>
      </w:pPr>
    </w:p>
    <w:p>
      <w:pPr>
        <w:pStyle w:val="16"/>
        <w:jc w:val="center"/>
        <w:outlineLvl w:val="0"/>
        <w:rPr>
          <w:color w:val="auto"/>
          <w:sz w:val="32"/>
          <w:szCs w:val="32"/>
          <w:highlight w:val="none"/>
        </w:rPr>
      </w:pPr>
      <w:bookmarkStart w:id="276" w:name="_Toc18602"/>
      <w:r>
        <w:rPr>
          <w:rFonts w:hint="eastAsia"/>
          <w:b/>
          <w:bCs/>
          <w:sz w:val="32"/>
          <w:szCs w:val="32"/>
        </w:rPr>
        <w:t>第五章</w:t>
      </w:r>
      <w:r>
        <w:rPr>
          <w:rFonts w:hint="eastAsia"/>
          <w:b/>
          <w:bCs/>
          <w:sz w:val="32"/>
          <w:szCs w:val="32"/>
          <w:lang w:val="en-US" w:eastAsia="zh-CN"/>
        </w:rPr>
        <w:t>采购</w:t>
      </w:r>
      <w:r>
        <w:rPr>
          <w:rFonts w:hint="eastAsia"/>
          <w:b/>
          <w:bCs/>
          <w:sz w:val="32"/>
          <w:szCs w:val="32"/>
        </w:rPr>
        <w:t>内容及</w:t>
      </w:r>
      <w:bookmarkEnd w:id="276"/>
      <w:r>
        <w:rPr>
          <w:rFonts w:hint="eastAsia"/>
          <w:b/>
          <w:bCs/>
          <w:sz w:val="32"/>
          <w:szCs w:val="32"/>
          <w:lang w:val="en-US" w:eastAsia="zh-CN"/>
        </w:rPr>
        <w:t>要求</w:t>
      </w:r>
      <w:bookmarkEnd w:id="275"/>
      <w:bookmarkStart w:id="277" w:name="_Toc18577"/>
      <w:bookmarkStart w:id="278" w:name="_Toc426369533"/>
      <w:bookmarkStart w:id="279" w:name="_Toc403122572"/>
      <w:bookmarkStart w:id="280" w:name="_Toc7906"/>
    </w:p>
    <w:p>
      <w:pPr>
        <w:spacing w:line="48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一、采购内容：</w:t>
      </w:r>
      <w:r>
        <w:rPr>
          <w:rFonts w:hint="eastAsia" w:ascii="仿宋" w:hAnsi="仿宋" w:eastAsia="仿宋" w:cs="仿宋"/>
          <w:kern w:val="2"/>
          <w:sz w:val="24"/>
          <w:szCs w:val="24"/>
          <w:highlight w:val="none"/>
          <w:lang w:bidi="ar-SA"/>
        </w:rPr>
        <w:t>采购要求为产出指标土壤及地下水检测分析570组、固废分析20组、地块详细调查完成率和地块污染风险评估完成率100％；主要效益指标为有效提高污染治理与修复水平、有效降低地下水和土壤污染威胁、有效保障周边居民的生活环境、有效健全土壤污染防治工作机制、群众满意度≥90%等。</w:t>
      </w:r>
    </w:p>
    <w:p>
      <w:pPr>
        <w:widowControl/>
        <w:adjustRightInd w:val="0"/>
        <w:snapToGrid w:val="0"/>
        <w:spacing w:line="48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质量标准：符合国家质量验收合格标准 ，并通过采购人验收。</w:t>
      </w:r>
    </w:p>
    <w:p>
      <w:pPr>
        <w:widowControl/>
        <w:adjustRightInd w:val="0"/>
        <w:snapToGrid w:val="0"/>
        <w:spacing w:line="480" w:lineRule="auto"/>
        <w:ind w:firstLine="960" w:firstLineChars="400"/>
        <w:rPr>
          <w:rFonts w:hint="eastAsia" w:ascii="仿宋" w:hAnsi="仿宋" w:eastAsia="仿宋" w:cs="仿宋"/>
          <w:bCs/>
          <w:sz w:val="24"/>
          <w:szCs w:val="24"/>
        </w:rPr>
      </w:pPr>
      <w:r>
        <w:rPr>
          <w:rFonts w:hint="eastAsia" w:ascii="仿宋" w:hAnsi="仿宋" w:eastAsia="仿宋" w:cs="仿宋"/>
          <w:bCs/>
          <w:sz w:val="24"/>
          <w:szCs w:val="24"/>
          <w:highlight w:val="none"/>
          <w:lang w:val="en-US" w:eastAsia="zh-CN"/>
        </w:rPr>
        <w:t>服务期：2023年7月前完成项目内容，并配合项目验</w:t>
      </w:r>
      <w:r>
        <w:rPr>
          <w:rFonts w:hint="eastAsia" w:ascii="仿宋" w:hAnsi="仿宋" w:eastAsia="仿宋" w:cs="仿宋"/>
          <w:bCs/>
          <w:sz w:val="24"/>
          <w:szCs w:val="24"/>
          <w:lang w:val="en-US" w:eastAsia="zh-CN"/>
        </w:rPr>
        <w:t>收合格。</w:t>
      </w:r>
    </w:p>
    <w:p>
      <w:pPr>
        <w:widowControl/>
        <w:adjustRightInd w:val="0"/>
        <w:snapToGrid w:val="0"/>
        <w:spacing w:line="480" w:lineRule="auto"/>
        <w:ind w:firstLine="480" w:firstLineChars="200"/>
        <w:rPr>
          <w:rFonts w:hint="eastAsia" w:ascii="仿宋" w:hAnsi="仿宋" w:eastAsia="仿宋" w:cs="仿宋"/>
          <w:bCs/>
          <w:sz w:val="24"/>
          <w:szCs w:val="24"/>
        </w:rPr>
      </w:pPr>
    </w:p>
    <w:p>
      <w:pPr>
        <w:widowControl/>
        <w:adjustRightInd w:val="0"/>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三、采购要求：</w:t>
      </w:r>
    </w:p>
    <w:tbl>
      <w:tblPr>
        <w:tblStyle w:val="26"/>
        <w:tblW w:w="9727" w:type="dxa"/>
        <w:tblInd w:w="0" w:type="dxa"/>
        <w:tblLayout w:type="fixed"/>
        <w:tblCellMar>
          <w:top w:w="0" w:type="dxa"/>
          <w:left w:w="0" w:type="dxa"/>
          <w:bottom w:w="0" w:type="dxa"/>
          <w:right w:w="0" w:type="dxa"/>
        </w:tblCellMar>
      </w:tblPr>
      <w:tblGrid>
        <w:gridCol w:w="712"/>
        <w:gridCol w:w="666"/>
        <w:gridCol w:w="1472"/>
        <w:gridCol w:w="4033"/>
        <w:gridCol w:w="2844"/>
      </w:tblGrid>
      <w:tr>
        <w:tblPrEx>
          <w:tblCellMar>
            <w:top w:w="0" w:type="dxa"/>
            <w:left w:w="0" w:type="dxa"/>
            <w:bottom w:w="0" w:type="dxa"/>
            <w:right w:w="0" w:type="dxa"/>
          </w:tblCellMar>
        </w:tblPrEx>
        <w:trPr>
          <w:trHeight w:val="603"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w:t>
            </w:r>
          </w:p>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w:t>
            </w:r>
          </w:p>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w:t>
            </w:r>
          </w:p>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标</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一级指标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二级指标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三级指标</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指标值</w:t>
            </w:r>
          </w:p>
        </w:tc>
      </w:tr>
      <w:tr>
        <w:tblPrEx>
          <w:tblCellMar>
            <w:top w:w="0" w:type="dxa"/>
            <w:left w:w="0" w:type="dxa"/>
            <w:bottom w:w="0" w:type="dxa"/>
            <w:right w:w="0" w:type="dxa"/>
          </w:tblCellMar>
        </w:tblPrEx>
        <w:trPr>
          <w:trHeight w:val="1510"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产出指标</w:t>
            </w:r>
          </w:p>
        </w:tc>
        <w:tc>
          <w:tcPr>
            <w:tcW w:w="14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地块土壤污染状况详细调查及风险评估报告</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tblPrEx>
          <w:tblCellMar>
            <w:top w:w="0" w:type="dxa"/>
            <w:left w:w="0" w:type="dxa"/>
            <w:bottom w:w="0" w:type="dxa"/>
            <w:right w:w="0" w:type="dxa"/>
          </w:tblCellMar>
        </w:tblPrEx>
        <w:trPr>
          <w:trHeight w:val="979"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403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土壤检测和地下水分析</w:t>
            </w:r>
          </w:p>
        </w:tc>
        <w:tc>
          <w:tcPr>
            <w:tcW w:w="284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570组</w:t>
            </w:r>
          </w:p>
        </w:tc>
      </w:tr>
      <w:tr>
        <w:tblPrEx>
          <w:tblCellMar>
            <w:top w:w="0" w:type="dxa"/>
            <w:left w:w="0" w:type="dxa"/>
            <w:bottom w:w="0" w:type="dxa"/>
            <w:right w:w="0" w:type="dxa"/>
          </w:tblCellMar>
        </w:tblPrEx>
        <w:trPr>
          <w:trHeight w:val="687"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固废分析</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20组</w:t>
            </w:r>
          </w:p>
        </w:tc>
      </w:tr>
      <w:tr>
        <w:tblPrEx>
          <w:tblCellMar>
            <w:top w:w="0" w:type="dxa"/>
            <w:left w:w="0" w:type="dxa"/>
            <w:bottom w:w="0" w:type="dxa"/>
            <w:right w:w="0" w:type="dxa"/>
          </w:tblCellMar>
        </w:tblPrEx>
        <w:trPr>
          <w:trHeight w:val="573"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地块</w:t>
            </w:r>
            <w:r>
              <w:rPr>
                <w:rFonts w:hint="eastAsia" w:ascii="仿宋" w:hAnsi="仿宋" w:eastAsia="仿宋" w:cs="仿宋"/>
                <w:color w:val="000000"/>
                <w:sz w:val="24"/>
                <w:szCs w:val="24"/>
              </w:rPr>
              <w:t>详细调查完成率</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CellMar>
            <w:top w:w="0" w:type="dxa"/>
            <w:left w:w="0" w:type="dxa"/>
            <w:bottom w:w="0" w:type="dxa"/>
            <w:right w:w="0" w:type="dxa"/>
          </w:tblCellMar>
        </w:tblPrEx>
        <w:trPr>
          <w:trHeight w:val="820"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地块</w:t>
            </w:r>
            <w:r>
              <w:rPr>
                <w:rFonts w:hint="eastAsia" w:ascii="仿宋" w:hAnsi="仿宋" w:eastAsia="仿宋" w:cs="仿宋"/>
                <w:color w:val="000000"/>
                <w:sz w:val="24"/>
                <w:szCs w:val="24"/>
              </w:rPr>
              <w:t>污染风险评估完成率</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CellMar>
            <w:top w:w="0" w:type="dxa"/>
            <w:left w:w="0" w:type="dxa"/>
            <w:bottom w:w="0" w:type="dxa"/>
            <w:right w:w="0" w:type="dxa"/>
          </w:tblCellMar>
        </w:tblPrEx>
        <w:trPr>
          <w:trHeight w:val="768"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项目完成及时间</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2023年7月底前</w:t>
            </w:r>
          </w:p>
        </w:tc>
      </w:tr>
      <w:tr>
        <w:tblPrEx>
          <w:tblCellMar>
            <w:top w:w="0" w:type="dxa"/>
            <w:left w:w="0" w:type="dxa"/>
            <w:bottom w:w="0" w:type="dxa"/>
            <w:right w:w="0" w:type="dxa"/>
          </w:tblCellMar>
        </w:tblPrEx>
        <w:trPr>
          <w:trHeight w:val="729"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效益指标</w:t>
            </w:r>
          </w:p>
        </w:tc>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提高污染治理与修复水平</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有效</w:t>
            </w:r>
          </w:p>
        </w:tc>
      </w:tr>
      <w:tr>
        <w:tblPrEx>
          <w:tblCellMar>
            <w:top w:w="0" w:type="dxa"/>
            <w:left w:w="0" w:type="dxa"/>
            <w:bottom w:w="0" w:type="dxa"/>
            <w:right w:w="0" w:type="dxa"/>
          </w:tblCellMar>
        </w:tblPrEx>
        <w:trPr>
          <w:trHeight w:val="1426"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降低地下水和土壤受到污染威胁，保障周边居民的生活环境。</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有效</w:t>
            </w:r>
          </w:p>
        </w:tc>
      </w:tr>
      <w:tr>
        <w:tblPrEx>
          <w:tblCellMar>
            <w:top w:w="0" w:type="dxa"/>
            <w:left w:w="0" w:type="dxa"/>
            <w:bottom w:w="0" w:type="dxa"/>
            <w:right w:w="0" w:type="dxa"/>
          </w:tblCellMar>
        </w:tblPrEx>
        <w:trPr>
          <w:trHeight w:val="748" w:hRule="exac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生态效益指标</w:t>
            </w:r>
          </w:p>
        </w:tc>
        <w:tc>
          <w:tcPr>
            <w:tcW w:w="4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土壤质量得到改善</w:t>
            </w:r>
          </w:p>
        </w:tc>
        <w:tc>
          <w:tcPr>
            <w:tcW w:w="2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有效</w:t>
            </w:r>
          </w:p>
        </w:tc>
      </w:tr>
      <w:tr>
        <w:tblPrEx>
          <w:tblCellMar>
            <w:top w:w="0" w:type="dxa"/>
            <w:left w:w="0" w:type="dxa"/>
            <w:bottom w:w="0" w:type="dxa"/>
            <w:right w:w="0" w:type="dxa"/>
          </w:tblCellMar>
        </w:tblPrEx>
        <w:trPr>
          <w:trHeight w:val="559"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持续影响指标</w:t>
            </w:r>
          </w:p>
        </w:tc>
        <w:tc>
          <w:tcPr>
            <w:tcW w:w="403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健全土壤污染防治工作机制</w:t>
            </w:r>
          </w:p>
        </w:tc>
        <w:tc>
          <w:tcPr>
            <w:tcW w:w="284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有效</w:t>
            </w:r>
          </w:p>
        </w:tc>
      </w:tr>
      <w:tr>
        <w:tblPrEx>
          <w:tblCellMar>
            <w:top w:w="0" w:type="dxa"/>
            <w:left w:w="0" w:type="dxa"/>
            <w:bottom w:w="0" w:type="dxa"/>
            <w:right w:w="0" w:type="dxa"/>
          </w:tblCellMar>
        </w:tblPrEx>
        <w:trPr>
          <w:trHeight w:val="1173" w:hRule="exact"/>
        </w:trPr>
        <w:tc>
          <w:tcPr>
            <w:tcW w:w="71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1472"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服务对象</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40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群众满意度</w:t>
            </w:r>
          </w:p>
        </w:tc>
        <w:tc>
          <w:tcPr>
            <w:tcW w:w="28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≥90%</w:t>
            </w:r>
          </w:p>
        </w:tc>
      </w:tr>
      <w:tr>
        <w:tblPrEx>
          <w:tblCellMar>
            <w:top w:w="0" w:type="dxa"/>
            <w:left w:w="0" w:type="dxa"/>
            <w:bottom w:w="0" w:type="dxa"/>
            <w:right w:w="0" w:type="dxa"/>
          </w:tblCellMar>
        </w:tblPrEx>
        <w:trPr>
          <w:trHeight w:val="570" w:hRule="atLeast"/>
        </w:trPr>
        <w:tc>
          <w:tcPr>
            <w:tcW w:w="7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p>
        </w:tc>
        <w:tc>
          <w:tcPr>
            <w:tcW w:w="40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主管部门满意度</w:t>
            </w:r>
          </w:p>
        </w:tc>
        <w:tc>
          <w:tcPr>
            <w:tcW w:w="2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≥90%</w:t>
            </w:r>
          </w:p>
        </w:tc>
      </w:tr>
    </w:tbl>
    <w:p>
      <w:pPr>
        <w:pStyle w:val="50"/>
        <w:spacing w:line="240" w:lineRule="auto"/>
        <w:ind w:left="0"/>
        <w:jc w:val="left"/>
        <w:rPr>
          <w:rFonts w:hint="eastAsia" w:ascii="仿宋" w:hAnsi="仿宋" w:eastAsia="仿宋" w:cs="仿宋"/>
          <w:kern w:val="2"/>
          <w:sz w:val="24"/>
          <w:szCs w:val="24"/>
        </w:rPr>
      </w:pPr>
    </w:p>
    <w:p>
      <w:pPr>
        <w:pStyle w:val="41"/>
        <w:rPr>
          <w:rFonts w:hint="eastAsia"/>
          <w:sz w:val="24"/>
          <w:szCs w:val="24"/>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41"/>
        <w:rPr>
          <w:rFonts w:hint="eastAsia"/>
          <w:sz w:val="21"/>
          <w:szCs w:val="21"/>
        </w:rPr>
      </w:pPr>
    </w:p>
    <w:p>
      <w:pPr>
        <w:pStyle w:val="9"/>
        <w:spacing w:before="0" w:after="0" w:line="360" w:lineRule="auto"/>
        <w:ind w:firstLine="643" w:firstLineChars="200"/>
        <w:rPr>
          <w:sz w:val="32"/>
          <w:szCs w:val="32"/>
        </w:rPr>
      </w:pPr>
      <w:r>
        <w:rPr>
          <w:rFonts w:hint="eastAsia"/>
          <w:sz w:val="32"/>
          <w:szCs w:val="32"/>
        </w:rPr>
        <w:t>第六章 质疑与投诉</w:t>
      </w:r>
      <w:bookmarkEnd w:id="277"/>
    </w:p>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 参与政府采购活动的投标人认为采购文件、采购过程、中标或者成交结果使自己的权益受到损害的，可以在知道或者应知其权益受到损害之日起7个工作日内，以书面形式向采购人、采购代理机构提出质疑。</w:t>
      </w:r>
    </w:p>
    <w:p>
      <w:pPr>
        <w:pStyle w:val="5"/>
        <w:spacing w:line="360" w:lineRule="auto"/>
        <w:ind w:firstLine="480"/>
        <w:rPr>
          <w:rFonts w:ascii="宋体" w:hAnsi="宋体" w:cs="宋体"/>
          <w:sz w:val="24"/>
        </w:rPr>
      </w:pPr>
      <w:r>
        <w:rPr>
          <w:rFonts w:hint="eastAsia" w:ascii="宋体" w:hAnsi="宋体" w:cs="宋体"/>
          <w:sz w:val="24"/>
        </w:rPr>
        <w:t>2. 投标人提出质疑应当提交质疑函和必要的证明材料。政府采购投标人质疑函范本下载地址：</w:t>
      </w:r>
    </w:p>
    <w:p>
      <w:pPr>
        <w:pStyle w:val="5"/>
        <w:spacing w:line="360" w:lineRule="auto"/>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5"/>
          <w:rFonts w:hint="eastAsia" w:ascii="宋体" w:hAnsi="宋体" w:cs="宋体"/>
          <w:color w:val="auto"/>
          <w:sz w:val="24"/>
        </w:rPr>
        <w:t>http://download.ccgp.gov.cn/2018/zhiyihanfanben.zip；</w:t>
      </w:r>
      <w:r>
        <w:rPr>
          <w:rStyle w:val="35"/>
          <w:rFonts w:hint="eastAsia" w:ascii="宋体" w:hAnsi="宋体" w:cs="宋体"/>
          <w:color w:val="auto"/>
          <w:sz w:val="24"/>
        </w:rPr>
        <w:fldChar w:fldCharType="end"/>
      </w:r>
    </w:p>
    <w:p>
      <w:pPr>
        <w:numPr>
          <w:ilvl w:val="0"/>
          <w:numId w:val="13"/>
        </w:numPr>
        <w:spacing w:line="360" w:lineRule="auto"/>
        <w:ind w:firstLine="480" w:firstLineChars="200"/>
        <w:rPr>
          <w:rFonts w:ascii="宋体" w:hAnsi="宋体" w:cs="宋体"/>
          <w:sz w:val="24"/>
        </w:rPr>
      </w:pPr>
      <w:r>
        <w:rPr>
          <w:rFonts w:hint="eastAsia" w:ascii="宋体" w:hAnsi="宋体" w:cs="宋体"/>
          <w:sz w:val="24"/>
        </w:rPr>
        <w:t>采购人、采购代理机构不得拒收质疑投标人在法定质疑期内发出的质疑函，应当在收到质疑函后7个工作日内作出答复，并以书面形式通知质疑投标人和其他有关投标人。</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投标人提出质疑应当提交质疑函和必要的证明材料。质疑函应当包括下列内容：</w:t>
      </w:r>
    </w:p>
    <w:p>
      <w:pPr>
        <w:numPr>
          <w:ilvl w:val="1"/>
          <w:numId w:val="13"/>
        </w:numPr>
        <w:spacing w:line="360" w:lineRule="auto"/>
        <w:ind w:left="420" w:leftChars="200"/>
        <w:rPr>
          <w:rFonts w:ascii="宋体" w:hAnsi="宋体" w:cs="宋体"/>
          <w:sz w:val="24"/>
        </w:rPr>
      </w:pPr>
      <w:r>
        <w:rPr>
          <w:rFonts w:hint="eastAsia" w:ascii="宋体" w:hAnsi="宋体" w:cs="宋体"/>
          <w:sz w:val="24"/>
        </w:rPr>
        <w:t>投标人的姓名或者名称、地址、邮编、联系人及联系电话；</w:t>
      </w:r>
    </w:p>
    <w:p>
      <w:pPr>
        <w:numPr>
          <w:ilvl w:val="1"/>
          <w:numId w:val="13"/>
        </w:numPr>
        <w:spacing w:line="360" w:lineRule="auto"/>
        <w:ind w:left="420" w:leftChars="200"/>
        <w:rPr>
          <w:rFonts w:ascii="宋体" w:hAnsi="宋体" w:cs="宋体"/>
          <w:sz w:val="24"/>
        </w:rPr>
      </w:pPr>
      <w:r>
        <w:rPr>
          <w:rFonts w:hint="eastAsia" w:ascii="宋体" w:hAnsi="宋体" w:cs="宋体"/>
          <w:sz w:val="24"/>
        </w:rPr>
        <w:t>质疑项目的名称、编号；</w:t>
      </w:r>
    </w:p>
    <w:p>
      <w:pPr>
        <w:numPr>
          <w:ilvl w:val="1"/>
          <w:numId w:val="13"/>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3"/>
        </w:numPr>
        <w:spacing w:line="360" w:lineRule="auto"/>
        <w:ind w:left="420" w:leftChars="200"/>
        <w:rPr>
          <w:rFonts w:ascii="宋体" w:hAnsi="宋体" w:cs="宋体"/>
          <w:sz w:val="24"/>
        </w:rPr>
      </w:pPr>
      <w:r>
        <w:rPr>
          <w:rFonts w:hint="eastAsia" w:ascii="宋体" w:hAnsi="宋体" w:cs="宋体"/>
          <w:sz w:val="24"/>
        </w:rPr>
        <w:t>事实依据；</w:t>
      </w:r>
    </w:p>
    <w:p>
      <w:pPr>
        <w:numPr>
          <w:ilvl w:val="1"/>
          <w:numId w:val="13"/>
        </w:numPr>
        <w:spacing w:line="360" w:lineRule="auto"/>
        <w:ind w:left="420" w:leftChars="200"/>
        <w:rPr>
          <w:rFonts w:ascii="宋体" w:hAnsi="宋体" w:cs="宋体"/>
          <w:sz w:val="24"/>
        </w:rPr>
      </w:pPr>
      <w:r>
        <w:rPr>
          <w:rFonts w:hint="eastAsia" w:ascii="宋体" w:hAnsi="宋体" w:cs="宋体"/>
          <w:sz w:val="24"/>
        </w:rPr>
        <w:t>必要的法律依据；</w:t>
      </w:r>
    </w:p>
    <w:p>
      <w:pPr>
        <w:numPr>
          <w:ilvl w:val="1"/>
          <w:numId w:val="13"/>
        </w:numPr>
        <w:spacing w:line="360" w:lineRule="auto"/>
        <w:ind w:left="420" w:leftChars="200"/>
        <w:rPr>
          <w:rFonts w:ascii="宋体" w:hAnsi="宋体" w:cs="宋体"/>
          <w:sz w:val="24"/>
        </w:rPr>
      </w:pPr>
      <w:r>
        <w:rPr>
          <w:rFonts w:hint="eastAsia" w:ascii="宋体" w:hAnsi="宋体" w:cs="宋体"/>
          <w:sz w:val="24"/>
        </w:rPr>
        <w:t>提出质疑的日期；</w:t>
      </w:r>
    </w:p>
    <w:p>
      <w:pPr>
        <w:numPr>
          <w:ilvl w:val="1"/>
          <w:numId w:val="13"/>
        </w:numPr>
        <w:spacing w:line="360" w:lineRule="auto"/>
        <w:ind w:left="420" w:leftChars="200"/>
        <w:rPr>
          <w:rFonts w:ascii="宋体" w:hAnsi="宋体" w:cs="宋体"/>
          <w:sz w:val="24"/>
        </w:rPr>
      </w:pPr>
      <w:r>
        <w:rPr>
          <w:rFonts w:hint="eastAsia" w:ascii="宋体" w:hAnsi="宋体" w:cs="宋体"/>
          <w:sz w:val="24"/>
        </w:rPr>
        <w:t>获取招标文件的凭证；</w:t>
      </w:r>
    </w:p>
    <w:p>
      <w:pPr>
        <w:numPr>
          <w:ilvl w:val="1"/>
          <w:numId w:val="13"/>
        </w:numPr>
        <w:spacing w:line="360" w:lineRule="auto"/>
        <w:ind w:left="420" w:leftChars="200"/>
        <w:rPr>
          <w:rFonts w:ascii="宋体" w:hAnsi="宋体" w:cs="宋体"/>
          <w:sz w:val="24"/>
        </w:rPr>
      </w:pPr>
      <w:r>
        <w:rPr>
          <w:rFonts w:hint="eastAsia" w:ascii="宋体" w:hAnsi="宋体" w:cs="宋体"/>
          <w:sz w:val="24"/>
        </w:rPr>
        <w:t>以上资料一式二份（采购人、采购代理机构各执一份）。</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投标人不得虚假质疑和恶意质疑，并对质疑内容的真实性承担责任。</w:t>
      </w:r>
    </w:p>
    <w:p>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1、质疑投标人对采购人、采购代理机构的答复不满意，或者采购人、采购代理机构未在规定时间内作出答复的，可以在答复期满后15个工作日内向本办法第六条规定的财政部门提起投诉。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sz w:val="24"/>
        </w:rPr>
      </w:pPr>
      <w:r>
        <w:rPr>
          <w:rFonts w:hint="eastAsia" w:ascii="宋体" w:hAnsi="宋体" w:cs="宋体"/>
          <w:sz w:val="24"/>
        </w:rPr>
        <w:t>2、质疑投标人对采购人、采购代理机构的答复不满意，或者采购人、采购代理机构未在规定时间内作出答复的，可以在答复期满后15个工作日内向财政部门提起投诉。</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3、投诉人投诉时,应当提交投诉书和必要的证明材料，并按照被投诉采购人、采购代理机构（以下简称被投诉人）和与投诉事项有关的投标人数量提供投诉书的副本。政府采购投标人投诉书范本下载地址：</w:t>
      </w:r>
    </w:p>
    <w:p>
      <w:pPr>
        <w:pStyle w:val="2"/>
        <w:spacing w:line="360" w:lineRule="auto"/>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5"/>
          <w:rFonts w:ascii="宋体" w:hAnsi="宋体" w:eastAsia="宋体" w:cs="宋体"/>
          <w:color w:val="auto"/>
          <w:sz w:val="24"/>
        </w:rPr>
        <w:t>http://download.ccgp.gov.cn/2018/tousushufanben.zip</w:t>
      </w:r>
      <w:r>
        <w:rPr>
          <w:rStyle w:val="35"/>
          <w:rFonts w:ascii="宋体" w:hAnsi="宋体" w:eastAsia="宋体" w:cs="宋体"/>
          <w:color w:val="auto"/>
          <w:sz w:val="24"/>
        </w:rPr>
        <w:fldChar w:fldCharType="end"/>
      </w:r>
    </w:p>
    <w:p>
      <w:pPr>
        <w:numPr>
          <w:ilvl w:val="0"/>
          <w:numId w:val="2"/>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360" w:lineRule="auto"/>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pStyle w:val="5"/>
        <w:spacing w:line="360" w:lineRule="auto"/>
        <w:ind w:firstLine="480"/>
        <w:rPr>
          <w:rFonts w:ascii="宋体" w:hAnsi="宋体" w:cs="宋体"/>
          <w:sz w:val="24"/>
        </w:rPr>
      </w:pPr>
    </w:p>
    <w:p>
      <w:pPr>
        <w:pStyle w:val="9"/>
        <w:spacing w:before="0" w:after="0" w:line="360" w:lineRule="auto"/>
        <w:ind w:firstLine="480" w:firstLineChars="200"/>
        <w:jc w:val="both"/>
        <w:rPr>
          <w:rFonts w:ascii="宋体" w:hAnsi="宋体" w:cs="宋体"/>
          <w:b w:val="0"/>
          <w:bCs w:val="0"/>
          <w:sz w:val="24"/>
          <w:szCs w:val="24"/>
        </w:rPr>
      </w:pPr>
      <w:bookmarkStart w:id="281" w:name="_Toc3437"/>
      <w:r>
        <w:rPr>
          <w:rFonts w:hint="eastAsia" w:ascii="宋体" w:hAnsi="宋体" w:cs="宋体"/>
          <w:b w:val="0"/>
          <w:bCs w:val="0"/>
          <w:sz w:val="24"/>
          <w:szCs w:val="24"/>
        </w:rPr>
        <w:t>投诉联系电话：0391-8683273  地址：博爱县机关综合办公楼主楼1213室</w:t>
      </w:r>
      <w:bookmarkEnd w:id="281"/>
      <w:r>
        <w:rPr>
          <w:rFonts w:hint="eastAsia" w:ascii="宋体" w:hAnsi="宋体" w:cs="宋体"/>
          <w:b w:val="0"/>
          <w:bCs w:val="0"/>
          <w:sz w:val="24"/>
          <w:szCs w:val="24"/>
        </w:rPr>
        <w:t xml:space="preserve"> </w:t>
      </w:r>
    </w:p>
    <w:p>
      <w:pPr>
        <w:rPr>
          <w:rFonts w:ascii="宋体" w:hAnsi="宋体" w:cs="宋体"/>
          <w:sz w:val="24"/>
        </w:rPr>
      </w:pPr>
    </w:p>
    <w:p>
      <w:pPr>
        <w:pStyle w:val="10"/>
      </w:pPr>
    </w:p>
    <w:p/>
    <w:p>
      <w:pPr>
        <w:pStyle w:val="10"/>
      </w:pPr>
    </w:p>
    <w:p/>
    <w:p>
      <w:pPr>
        <w:pStyle w:val="10"/>
      </w:pPr>
    </w:p>
    <w:p/>
    <w:p>
      <w:pPr>
        <w:pStyle w:val="4"/>
      </w:pPr>
    </w:p>
    <w:p>
      <w:pPr>
        <w:pStyle w:val="3"/>
      </w:pPr>
    </w:p>
    <w:p>
      <w:pPr>
        <w:pStyle w:val="4"/>
      </w:pPr>
    </w:p>
    <w:p>
      <w:pPr>
        <w:pStyle w:val="2"/>
        <w:spacing w:line="360" w:lineRule="auto"/>
        <w:ind w:firstLine="643" w:firstLineChars="200"/>
        <w:jc w:val="center"/>
        <w:rPr>
          <w:rFonts w:hint="default" w:asciiTheme="majorEastAsia" w:hAnsiTheme="majorEastAsia" w:eastAsiaTheme="majorEastAsia" w:cstheme="majorEastAsia"/>
          <w:b/>
          <w:bCs/>
          <w:szCs w:val="32"/>
        </w:rPr>
      </w:pPr>
      <w:r>
        <w:rPr>
          <w:rFonts w:asciiTheme="majorEastAsia" w:hAnsiTheme="majorEastAsia" w:eastAsiaTheme="majorEastAsia" w:cstheme="majorEastAsia"/>
          <w:b/>
          <w:bCs/>
          <w:szCs w:val="32"/>
        </w:rPr>
        <w:t>第七章 履约验收</w:t>
      </w:r>
    </w:p>
    <w:p>
      <w:pPr>
        <w:pStyle w:val="5"/>
      </w:pPr>
    </w:p>
    <w:p>
      <w:pPr>
        <w:pStyle w:val="2"/>
        <w:spacing w:line="360" w:lineRule="auto"/>
        <w:ind w:firstLine="480" w:firstLineChars="200"/>
        <w:rPr>
          <w:rFonts w:hint="default" w:ascii="Times New Roman" w:eastAsia="宋体"/>
          <w:sz w:val="24"/>
        </w:rPr>
      </w:pPr>
      <w:r>
        <w:rPr>
          <w:rFonts w:ascii="Times New Roman" w:eastAsia="宋体"/>
          <w:sz w:val="24"/>
        </w:rPr>
        <w:t>投标人履约完成后，向采购人提出验收建议，采购人自收到验收建议之日起五个工作日内，采购人组织投标人参与，共同完成验收。技术复杂、专业性强等项目可适当延长验收时间。验收流程如下：</w:t>
      </w:r>
    </w:p>
    <w:p>
      <w:pPr>
        <w:pStyle w:val="2"/>
        <w:numPr>
          <w:ilvl w:val="0"/>
          <w:numId w:val="14"/>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4"/>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投标人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4"/>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4"/>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投标人在履约过程中有政府采购法律法规规定的违法委会情形，采购人应及时报财政部门。</w:t>
      </w:r>
    </w:p>
    <w:p>
      <w:pPr>
        <w:pStyle w:val="3"/>
      </w:pPr>
    </w:p>
    <w:p>
      <w:pPr>
        <w:pStyle w:val="4"/>
      </w:pPr>
    </w:p>
    <w:p>
      <w:pPr>
        <w:pStyle w:val="3"/>
      </w:pPr>
    </w:p>
    <w:p>
      <w:pPr>
        <w:pStyle w:val="24"/>
        <w:spacing w:line="600" w:lineRule="exact"/>
        <w:ind w:right="-63" w:rightChars="-30"/>
        <w:rPr>
          <w:rFonts w:asciiTheme="minorEastAsia" w:hAnsiTheme="minorEastAsia" w:eastAsiaTheme="minorEastAsia" w:cstheme="minorEastAsia"/>
          <w:sz w:val="36"/>
          <w:szCs w:val="36"/>
        </w:rPr>
      </w:pPr>
      <w:bookmarkStart w:id="282" w:name="_Toc7253"/>
      <w:r>
        <w:rPr>
          <w:rFonts w:hint="eastAsia" w:asciiTheme="minorEastAsia" w:hAnsiTheme="minorEastAsia" w:eastAsiaTheme="minorEastAsia" w:cstheme="minorEastAsia"/>
          <w:sz w:val="36"/>
          <w:szCs w:val="36"/>
        </w:rPr>
        <w:t>第八章  投标文件格式</w:t>
      </w:r>
      <w:bookmarkEnd w:id="278"/>
      <w:bookmarkEnd w:id="279"/>
      <w:bookmarkEnd w:id="280"/>
      <w:bookmarkEnd w:id="282"/>
    </w:p>
    <w:p>
      <w:pPr>
        <w:rPr>
          <w:rFonts w:asciiTheme="minorEastAsia" w:hAnsiTheme="minorEastAsia" w:eastAsiaTheme="minorEastAsia" w:cstheme="minorEastAsia"/>
        </w:rPr>
      </w:pPr>
      <w:bookmarkStart w:id="283" w:name="_Toc18905"/>
      <w:bookmarkStart w:id="284" w:name="_Toc403122573"/>
      <w:bookmarkStart w:id="285" w:name="_Toc27452"/>
      <w:bookmarkStart w:id="286" w:name="_Toc402961301"/>
    </w:p>
    <w:bookmarkEnd w:id="283"/>
    <w:bookmarkEnd w:id="284"/>
    <w:bookmarkEnd w:id="285"/>
    <w:bookmarkEnd w:id="286"/>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14"/>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8"/>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8"/>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8"/>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5"/>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87" w:name="_Toc31547"/>
      <w:bookmarkStart w:id="288" w:name="_Toc2130"/>
      <w:bookmarkStart w:id="289" w:name="_Toc5525"/>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90" w:name="_Toc1921"/>
      <w:r>
        <w:rPr>
          <w:rFonts w:hint="eastAsia" w:asciiTheme="minorEastAsia" w:hAnsiTheme="minorEastAsia" w:eastAsiaTheme="minorEastAsia" w:cstheme="minorEastAsia"/>
          <w:b/>
          <w:bCs/>
          <w:sz w:val="30"/>
          <w:szCs w:val="30"/>
        </w:rPr>
        <w:t>一、投标函</w:t>
      </w:r>
      <w:bookmarkEnd w:id="287"/>
      <w:r>
        <w:rPr>
          <w:rFonts w:hint="eastAsia" w:asciiTheme="minorEastAsia" w:hAnsiTheme="minorEastAsia" w:eastAsiaTheme="minorEastAsia" w:cstheme="minorEastAsia"/>
          <w:b/>
          <w:bCs/>
          <w:sz w:val="30"/>
          <w:szCs w:val="30"/>
        </w:rPr>
        <w:t>及开标一览表</w:t>
      </w:r>
      <w:bookmarkEnd w:id="288"/>
      <w:bookmarkEnd w:id="289"/>
      <w:bookmarkEnd w:id="290"/>
    </w:p>
    <w:p>
      <w:pPr>
        <w:jc w:val="center"/>
        <w:outlineLvl w:val="2"/>
        <w:rPr>
          <w:rFonts w:asciiTheme="minorEastAsia" w:hAnsiTheme="minorEastAsia" w:eastAsiaTheme="minorEastAsia" w:cstheme="minorEastAsia"/>
          <w:b/>
          <w:bCs/>
          <w:sz w:val="28"/>
        </w:rPr>
      </w:pPr>
      <w:bookmarkStart w:id="291" w:name="_Toc600"/>
      <w:bookmarkStart w:id="292" w:name="_Toc15513"/>
      <w:bookmarkStart w:id="293" w:name="_Toc28684"/>
      <w:bookmarkStart w:id="294" w:name="_Toc27218"/>
      <w:bookmarkStart w:id="295" w:name="_Toc12044"/>
      <w:r>
        <w:rPr>
          <w:rFonts w:hint="eastAsia" w:asciiTheme="minorEastAsia" w:hAnsiTheme="minorEastAsia" w:eastAsiaTheme="minorEastAsia" w:cstheme="minorEastAsia"/>
          <w:b/>
          <w:sz w:val="28"/>
          <w:szCs w:val="28"/>
        </w:rPr>
        <w:t>（一）投标函</w:t>
      </w:r>
      <w:bookmarkEnd w:id="291"/>
      <w:bookmarkEnd w:id="292"/>
      <w:bookmarkEnd w:id="293"/>
      <w:bookmarkEnd w:id="294"/>
      <w:bookmarkEnd w:id="295"/>
    </w:p>
    <w:p>
      <w:pPr>
        <w:pStyle w:val="10"/>
        <w:ind w:left="72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line="360" w:lineRule="auto"/>
        <w:ind w:firstLine="480" w:firstLineChars="200"/>
        <w:rPr>
          <w:rFonts w:hint="default" w:asciiTheme="minorEastAsia" w:hAnsiTheme="minorEastAsia" w:eastAsiaTheme="minorEastAsia" w:cstheme="minorEastAsia"/>
        </w:rPr>
      </w:pPr>
      <w:r>
        <w:rPr>
          <w:rFonts w:asciiTheme="minorEastAsia" w:hAnsiTheme="minorEastAsia" w:eastAsiaTheme="minorEastAsia" w:cstheme="minorEastAsia"/>
          <w:sz w:val="24"/>
        </w:rPr>
        <w:t xml:space="preserve">我单位已收到的 </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项目（采购编号：</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）采购文件及有关纪要通知，现对参与投标及成交后工作，做出如下郑重承诺：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1、我方愿以总价为人民币（大写）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（小写）￥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元，服务期：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，按合同约定实施和完成本项目。 </w:t>
      </w:r>
    </w:p>
    <w:p>
      <w:pPr>
        <w:widowControl/>
        <w:spacing w:line="360" w:lineRule="auto"/>
        <w:ind w:firstLine="480" w:firstLineChars="200"/>
        <w:rPr>
          <w:rFonts w:asciiTheme="minorEastAsia" w:hAnsiTheme="minorEastAsia" w:eastAsiaTheme="minorEastAsia" w:cstheme="minorEastAsia"/>
          <w:strike/>
          <w:sz w:val="24"/>
        </w:rPr>
      </w:pPr>
      <w:r>
        <w:rPr>
          <w:rFonts w:hint="eastAsia" w:asciiTheme="minorEastAsia" w:hAnsiTheme="minorEastAsia" w:eastAsiaTheme="minorEastAsia" w:cstheme="minorEastAsia"/>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内，我单位不得要求退出竞标或者修改响应性文件。</w:t>
      </w:r>
    </w:p>
    <w:p>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3、我方明白采购人不一定接纳最低投标报价的采购，也不需要采购人解释选择或否决任何供应商的原因和理由。</w:t>
      </w: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供应商：（盖章）</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6" w:name="_Toc208"/>
      <w:bookmarkStart w:id="297" w:name="_Toc14778"/>
      <w:bookmarkStart w:id="298" w:name="_Toc9543"/>
      <w:bookmarkStart w:id="299" w:name="_Toc16691"/>
      <w:bookmarkStart w:id="300" w:name="_Toc31291"/>
      <w:r>
        <w:rPr>
          <w:rFonts w:hint="eastAsia" w:asciiTheme="minorEastAsia" w:hAnsiTheme="minorEastAsia" w:eastAsiaTheme="minorEastAsia" w:cstheme="minorEastAsia"/>
          <w:b/>
          <w:bCs/>
          <w:sz w:val="28"/>
          <w:szCs w:val="28"/>
        </w:rPr>
        <w:t>（二） 开标一览表</w:t>
      </w:r>
      <w:bookmarkEnd w:id="296"/>
      <w:bookmarkEnd w:id="297"/>
      <w:bookmarkEnd w:id="298"/>
      <w:bookmarkEnd w:id="299"/>
      <w:bookmarkEnd w:id="300"/>
    </w:p>
    <w:p>
      <w:pPr>
        <w:jc w:val="center"/>
        <w:rPr>
          <w:rFonts w:asciiTheme="minorEastAsia" w:hAnsiTheme="minorEastAsia" w:eastAsiaTheme="minorEastAsia" w:cstheme="minorEastAsia"/>
          <w:b/>
          <w:bCs/>
          <w:sz w:val="28"/>
        </w:rPr>
      </w:pPr>
    </w:p>
    <w:tbl>
      <w:tblPr>
        <w:tblStyle w:val="2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服务期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24"/>
        <w:spacing w:before="120" w:after="120" w:line="500" w:lineRule="exact"/>
        <w:ind w:right="29" w:rightChars="14"/>
        <w:outlineLvl w:val="1"/>
        <w:rPr>
          <w:rFonts w:asciiTheme="minorEastAsia" w:hAnsiTheme="minorEastAsia" w:eastAsiaTheme="minorEastAsia" w:cstheme="minorEastAsia"/>
          <w:sz w:val="24"/>
        </w:rPr>
      </w:pPr>
    </w:p>
    <w:p>
      <w:pPr>
        <w:pStyle w:val="24"/>
        <w:spacing w:before="120" w:after="120" w:line="500" w:lineRule="exact"/>
        <w:ind w:right="29" w:rightChars="14"/>
        <w:outlineLvl w:val="1"/>
        <w:rPr>
          <w:rFonts w:asciiTheme="minorEastAsia" w:hAnsiTheme="minorEastAsia" w:eastAsiaTheme="minorEastAsia" w:cstheme="minorEastAsia"/>
          <w:sz w:val="24"/>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pStyle w:val="5"/>
        <w:ind w:firstLine="480"/>
        <w:rPr>
          <w:rFonts w:asciiTheme="minorEastAsia" w:hAnsiTheme="minorEastAsia" w:eastAsiaTheme="minorEastAsia" w:cstheme="minorEastAsia"/>
          <w:sz w:val="24"/>
        </w:rPr>
      </w:pPr>
    </w:p>
    <w:p>
      <w:pPr>
        <w:pStyle w:val="24"/>
        <w:numPr>
          <w:ilvl w:val="0"/>
          <w:numId w:val="15"/>
        </w:numPr>
        <w:spacing w:before="120" w:after="120" w:line="500" w:lineRule="exact"/>
        <w:ind w:right="29" w:rightChars="14"/>
        <w:outlineLvl w:val="1"/>
        <w:rPr>
          <w:rFonts w:asciiTheme="minorEastAsia" w:hAnsiTheme="minorEastAsia" w:eastAsiaTheme="minorEastAsia" w:cstheme="minorEastAsia"/>
          <w:sz w:val="30"/>
          <w:szCs w:val="30"/>
        </w:rPr>
      </w:pPr>
      <w:bookmarkStart w:id="301" w:name="_Toc28839"/>
      <w:bookmarkStart w:id="302" w:name="_Toc26698"/>
      <w:bookmarkStart w:id="303" w:name="_Toc2213"/>
      <w:bookmarkStart w:id="304" w:name="_Toc5614"/>
      <w:r>
        <w:rPr>
          <w:rFonts w:hint="eastAsia" w:asciiTheme="minorEastAsia" w:hAnsiTheme="minorEastAsia" w:eastAsiaTheme="minorEastAsia" w:cstheme="minorEastAsia"/>
          <w:sz w:val="30"/>
          <w:szCs w:val="30"/>
        </w:rPr>
        <w:t>法定代表人身份证明书</w:t>
      </w:r>
      <w:bookmarkEnd w:id="301"/>
      <w:bookmarkEnd w:id="302"/>
      <w:bookmarkEnd w:id="303"/>
      <w:bookmarkEnd w:id="304"/>
    </w:p>
    <w:p/>
    <w:p>
      <w:pPr>
        <w:spacing w:line="360" w:lineRule="auto"/>
        <w:ind w:firstLine="480" w:firstLineChars="200"/>
        <w:rPr>
          <w:rFonts w:ascii="宋体" w:hAnsi="宋体"/>
          <w:sz w:val="24"/>
        </w:rPr>
      </w:pPr>
      <w:r>
        <w:rPr>
          <w:rFonts w:hint="eastAsia" w:ascii="宋体" w:hAnsi="宋体"/>
          <w:sz w:val="24"/>
          <w:szCs w:val="18"/>
        </w:rPr>
        <w:t>投标人</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r>
        <w:rPr>
          <w:rFonts w:hint="eastAsia" w:ascii="宋体" w:hAnsi="宋体"/>
          <w:sz w:val="24"/>
        </w:rPr>
        <w:t>特此证明。</w:t>
      </w:r>
    </w:p>
    <w:p>
      <w:pPr>
        <w:pStyle w:val="10"/>
        <w:rPr>
          <w:rFonts w:ascii="宋体" w:hAnsi="宋体"/>
          <w:sz w:val="24"/>
        </w:rPr>
      </w:pPr>
      <w:r>
        <w:rPr>
          <w:sz w:val="24"/>
        </w:rPr>
        <w:pict>
          <v:shape id="_x0000_s2050" o:spid="_x0000_s2050" o:spt="176" type="#_x0000_t176" style="position:absolute;left:0pt;margin-left:208.6pt;margin-top:27.3pt;height:166pt;width:246.8pt;z-index:251661312;mso-width-relative:page;mso-height-relative:page;" coordsize="21600,21600">
            <v:path/>
            <v:fill focussize="0,0"/>
            <v:stroke joinstyle="miter"/>
            <v:imagedata o:title=""/>
            <o:lock v:ext="edit"/>
            <v:textbox>
              <w:txbxContent>
                <w:p/>
              </w:txbxContent>
            </v:textbox>
          </v:shape>
        </w:pict>
      </w:r>
      <w:r>
        <w:rPr>
          <w:sz w:val="24"/>
        </w:rPr>
        <w:pict>
          <v:shape id="_x0000_s2051" o:spid="_x0000_s2051" o:spt="176" type="#_x0000_t176" style="position:absolute;left:0pt;margin-left:-23.4pt;margin-top:21.65pt;height:176pt;width:229.35pt;z-index:251659264;mso-width-relative:page;mso-height-relative:page;" coordsize="21600,21600">
            <v:path/>
            <v:fill focussize="0,0"/>
            <v:stroke joinstyle="miter"/>
            <v:imagedata o:title=""/>
            <o:lock v:ext="edit"/>
            <v:textbox>
              <w:txbxContent>
                <w:p/>
              </w:txbxContent>
            </v:textbox>
          </v:shape>
        </w:pict>
      </w:r>
    </w:p>
    <w:p>
      <w:pPr>
        <w:rPr>
          <w:rFonts w:ascii="宋体" w:hAnsi="宋体"/>
          <w:sz w:val="24"/>
        </w:rPr>
      </w:pPr>
    </w:p>
    <w:p>
      <w:pPr>
        <w:pStyle w:val="10"/>
        <w:rPr>
          <w:rFonts w:ascii="宋体" w:hAnsi="宋体"/>
          <w:sz w:val="24"/>
        </w:rPr>
      </w:pPr>
      <w:r>
        <w:rPr>
          <w:sz w:val="24"/>
        </w:rPr>
        <w:pict>
          <v:shape id="_x0000_s2053" o:spid="_x0000_s2053" o:spt="202" type="#_x0000_t202" style="position:absolute;left:0pt;margin-left:-20.75pt;margin-top:28.6pt;height:23.35pt;width:221.3pt;z-index:251660288;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法定代表人身份证复印件粘贴处（正面）</w:t>
                  </w:r>
                </w:p>
              </w:txbxContent>
            </v:textbox>
          </v:shape>
        </w:pict>
      </w:r>
      <w:r>
        <w:rPr>
          <w:sz w:val="24"/>
        </w:rPr>
        <w:pict>
          <v:shape id="_x0000_s2052" o:spid="_x0000_s2052" o:spt="202" type="#_x0000_t202" style="position:absolute;left:0pt;margin-left:219pt;margin-top:28.45pt;height:23.35pt;width:221.3pt;z-index:251662336;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法定代表人身份证复印件粘贴处（背面）</w:t>
                  </w:r>
                </w:p>
              </w:txbxContent>
            </v:textbox>
          </v:shape>
        </w:pict>
      </w:r>
    </w:p>
    <w:p>
      <w:pPr>
        <w:rPr>
          <w:rFonts w:ascii="宋体" w:hAnsi="宋体"/>
          <w:sz w:val="24"/>
        </w:rPr>
      </w:pPr>
    </w:p>
    <w:p>
      <w:pPr>
        <w:pStyle w:val="10"/>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投标人：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4"/>
        <w:spacing w:before="120" w:after="120" w:line="500" w:lineRule="exact"/>
        <w:ind w:right="29" w:rightChars="14"/>
        <w:outlineLvl w:val="1"/>
        <w:rPr>
          <w:rFonts w:asciiTheme="minorEastAsia" w:hAnsiTheme="minorEastAsia" w:eastAsiaTheme="minorEastAsia" w:cstheme="minorEastAsia"/>
          <w:sz w:val="30"/>
          <w:szCs w:val="30"/>
        </w:rPr>
      </w:pPr>
      <w:bookmarkStart w:id="305" w:name="_Toc6009"/>
      <w:bookmarkStart w:id="306" w:name="_Toc15395"/>
    </w:p>
    <w:p>
      <w:pPr>
        <w:pStyle w:val="24"/>
        <w:spacing w:before="120" w:after="120" w:line="500" w:lineRule="exact"/>
        <w:ind w:right="29" w:rightChars="14"/>
        <w:outlineLvl w:val="1"/>
        <w:rPr>
          <w:rFonts w:asciiTheme="minorEastAsia" w:hAnsiTheme="minorEastAsia" w:eastAsiaTheme="minorEastAsia" w:cstheme="minorEastAsia"/>
          <w:sz w:val="30"/>
          <w:szCs w:val="30"/>
        </w:rPr>
      </w:pPr>
      <w:bookmarkStart w:id="307" w:name="_Toc17236"/>
      <w:bookmarkStart w:id="308" w:name="_Toc17980"/>
      <w:r>
        <w:rPr>
          <w:rFonts w:hint="eastAsia" w:asciiTheme="minorEastAsia" w:hAnsiTheme="minorEastAsia" w:eastAsiaTheme="minorEastAsia" w:cstheme="minorEastAsia"/>
          <w:sz w:val="30"/>
          <w:szCs w:val="30"/>
        </w:rPr>
        <w:t>三、授权委托书</w:t>
      </w:r>
      <w:bookmarkEnd w:id="305"/>
      <w:bookmarkEnd w:id="306"/>
      <w:bookmarkEnd w:id="307"/>
      <w:bookmarkEnd w:id="308"/>
    </w:p>
    <w:p>
      <w:pPr>
        <w:pStyle w:val="10"/>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w:pict>
          <v:shape id="_x0000_s2055" o:spid="_x0000_s2055" o:spt="176" type="#_x0000_t176" style="position:absolute;left:0pt;margin-left:-28.65pt;margin-top:12.5pt;height:176pt;width:240.2pt;z-index:251663360;mso-width-relative:page;mso-height-relative:page;" coordsize="21600,21600">
            <v:path/>
            <v:fill focussize="0,0"/>
            <v:stroke joinstyle="miter"/>
            <v:imagedata o:title=""/>
            <o:lock v:ext="edit"/>
            <v:textbox>
              <w:txbxContent>
                <w:p/>
              </w:txbxContent>
            </v:textbox>
          </v:shape>
        </w:pict>
      </w:r>
      <w:r>
        <w:rPr>
          <w:sz w:val="24"/>
        </w:rPr>
        <w:pict>
          <v:shape id="_x0000_s2054" o:spid="_x0000_s2054" o:spt="176" type="#_x0000_t176" style="position:absolute;left:0pt;margin-left:212.25pt;margin-top:14.15pt;height:176pt;width:246.8pt;z-index:251664384;mso-width-relative:page;mso-height-relative:page;" coordsize="21600,21600">
            <v:path/>
            <v:fill focussize="0,0"/>
            <v:stroke joinstyle="miter"/>
            <v:imagedata o:title=""/>
            <o:lock v:ext="edit"/>
          </v:shape>
        </w:pic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w:pict>
          <v:shape id="_x0000_s2056" o:spid="_x0000_s2056" o:spt="202" type="#_x0000_t202" style="position:absolute;left:0pt;margin-left:-20.9pt;margin-top:21.5pt;height:23.35pt;width:221.3pt;z-index:251665408;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委托代理人身份证复印件粘贴处（正面）</w:t>
                  </w:r>
                </w:p>
              </w:txbxContent>
            </v:textbox>
          </v:shape>
        </w:pict>
      </w:r>
      <w:r>
        <w:rPr>
          <w:sz w:val="24"/>
        </w:rPr>
        <w:pict>
          <v:shape id="_x0000_s2057" o:spid="_x0000_s2057" o:spt="202" type="#_x0000_t202" style="position:absolute;left:0pt;margin-left:222.45pt;margin-top:18.5pt;height:23.35pt;width:221.3pt;z-index:251666432;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委托代理人身份证复印件粘贴处（背面）</w:t>
                  </w:r>
                </w:p>
              </w:txbxContent>
            </v:textbox>
          </v:shape>
        </w:pic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6"/>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309" w:name="_Toc8304"/>
      <w:bookmarkStart w:id="310" w:name="_Toc18947"/>
      <w:bookmarkStart w:id="311" w:name="_Toc25161"/>
      <w:r>
        <w:rPr>
          <w:rFonts w:hint="eastAsia" w:asciiTheme="minorEastAsia" w:hAnsiTheme="minorEastAsia" w:eastAsiaTheme="minorEastAsia" w:cstheme="minorEastAsia"/>
          <w:b/>
          <w:kern w:val="2"/>
          <w:sz w:val="30"/>
          <w:szCs w:val="30"/>
        </w:rPr>
        <w:t>四、</w:t>
      </w:r>
      <w:bookmarkEnd w:id="309"/>
      <w:r>
        <w:rPr>
          <w:rFonts w:hint="eastAsia" w:asciiTheme="minorEastAsia" w:hAnsiTheme="minorEastAsia" w:eastAsiaTheme="minorEastAsia" w:cstheme="minorEastAsia"/>
          <w:b/>
          <w:kern w:val="2"/>
          <w:sz w:val="30"/>
          <w:szCs w:val="30"/>
        </w:rPr>
        <w:t>项目</w:t>
      </w:r>
      <w:r>
        <w:rPr>
          <w:rFonts w:hint="eastAsia" w:asciiTheme="minorEastAsia" w:hAnsiTheme="minorEastAsia" w:eastAsiaTheme="minorEastAsia" w:cstheme="minorEastAsia"/>
          <w:b/>
          <w:kern w:val="2"/>
          <w:sz w:val="30"/>
          <w:szCs w:val="30"/>
          <w:lang w:val="en-US" w:eastAsia="zh-CN"/>
        </w:rPr>
        <w:t>总体</w:t>
      </w:r>
      <w:r>
        <w:rPr>
          <w:rFonts w:hint="eastAsia" w:asciiTheme="minorEastAsia" w:hAnsiTheme="minorEastAsia" w:eastAsiaTheme="minorEastAsia" w:cstheme="minorEastAsia"/>
          <w:b/>
          <w:kern w:val="2"/>
          <w:sz w:val="30"/>
          <w:szCs w:val="30"/>
        </w:rPr>
        <w:t>实施方案、质量保证及安全措施等</w:t>
      </w:r>
      <w:bookmarkEnd w:id="310"/>
      <w:bookmarkEnd w:id="311"/>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2" w:name="_Toc10043"/>
      <w:bookmarkStart w:id="313" w:name="_Toc20650"/>
      <w:bookmarkStart w:id="314" w:name="_Toc30146"/>
      <w:bookmarkStart w:id="315" w:name="_Toc29492"/>
      <w:bookmarkStart w:id="316" w:name="_Toc5854"/>
      <w:r>
        <w:rPr>
          <w:rFonts w:hint="eastAsia" w:asciiTheme="minorEastAsia" w:hAnsiTheme="minorEastAsia" w:eastAsiaTheme="minorEastAsia" w:cstheme="minorEastAsia"/>
          <w:b/>
          <w:kern w:val="2"/>
          <w:sz w:val="30"/>
          <w:szCs w:val="30"/>
        </w:rPr>
        <w:t>五、资格证明文件</w:t>
      </w:r>
      <w:bookmarkEnd w:id="312"/>
      <w:bookmarkEnd w:id="313"/>
      <w:bookmarkEnd w:id="314"/>
      <w:bookmarkEnd w:id="315"/>
      <w:bookmarkEnd w:id="316"/>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ind w:firstLine="480" w:firstLineChars="200"/>
        <w:jc w:val="left"/>
        <w:rPr>
          <w:sz w:val="24"/>
        </w:rPr>
      </w:pPr>
      <w:r>
        <w:rPr>
          <w:rFonts w:hint="eastAsia"/>
          <w:sz w:val="24"/>
        </w:rPr>
        <w:t>一、 投标人营业执照副本（三证合一）；</w:t>
      </w:r>
    </w:p>
    <w:p>
      <w:pPr>
        <w:spacing w:line="400" w:lineRule="exact"/>
        <w:ind w:firstLine="480" w:firstLineChars="200"/>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widowControl/>
        <w:spacing w:line="440" w:lineRule="exact"/>
        <w:ind w:firstLine="480" w:firstLineChars="200"/>
        <w:jc w:val="left"/>
        <w:rPr>
          <w:rFonts w:hint="eastAsia"/>
          <w:sz w:val="24"/>
        </w:rPr>
      </w:pPr>
      <w:r>
        <w:rPr>
          <w:rFonts w:hint="eastAsia"/>
          <w:sz w:val="24"/>
        </w:rPr>
        <w:t>三、</w:t>
      </w:r>
      <w:r>
        <w:rPr>
          <w:rFonts w:hint="eastAsia" w:ascii="宋体" w:hAnsi="宋体" w:eastAsia="宋体" w:cs="宋体"/>
          <w:color w:val="auto"/>
          <w:kern w:val="0"/>
          <w:sz w:val="24"/>
          <w:szCs w:val="24"/>
          <w:highlight w:val="none"/>
          <w:shd w:val="clear" w:color="auto" w:fill="FFFFFF"/>
          <w:lang w:val="en-US" w:eastAsia="zh-CN" w:bidi="ar-SA"/>
        </w:rPr>
        <w:t>项目负责人具有地质类相关专业高级工程师及以上职称（项目负责人应为本单位员工并提供近6个月连续在本单位缴纳社保证明，个人缴纳社保名称须与投标单位名称一致，否则不予认可）。</w:t>
      </w:r>
    </w:p>
    <w:p>
      <w:pPr>
        <w:spacing w:line="400" w:lineRule="exact"/>
        <w:ind w:firstLine="480" w:firstLineChars="200"/>
        <w:jc w:val="left"/>
        <w:rPr>
          <w:sz w:val="24"/>
        </w:rPr>
      </w:pPr>
      <w:r>
        <w:rPr>
          <w:rFonts w:hint="eastAsia"/>
          <w:sz w:val="24"/>
          <w:lang w:val="en-US" w:eastAsia="zh-CN"/>
        </w:rPr>
        <w:t>四、</w:t>
      </w:r>
      <w:r>
        <w:rPr>
          <w:rFonts w:hint="eastAsia"/>
          <w:sz w:val="24"/>
        </w:rPr>
        <w:t>招标文件中要求的其他资格证明材料。</w:t>
      </w:r>
    </w:p>
    <w:p>
      <w:pPr>
        <w:pStyle w:val="5"/>
        <w:ind w:firstLine="482"/>
        <w:rPr>
          <w:b/>
          <w:bCs/>
        </w:rPr>
      </w:pPr>
      <w:r>
        <w:rPr>
          <w:rFonts w:hint="eastAsia"/>
          <w:b/>
          <w:bCs/>
          <w:sz w:val="24"/>
        </w:rPr>
        <w:t>备注：以上资格证明文件须提供原件的扫描件。</w:t>
      </w:r>
    </w:p>
    <w:p>
      <w:pPr>
        <w:pStyle w:val="5"/>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317" w:name="_Toc6465"/>
      <w:bookmarkStart w:id="318" w:name="_Toc8330"/>
      <w:bookmarkStart w:id="319" w:name="_Toc31553"/>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20" w:name="_Toc4390"/>
      <w:bookmarkStart w:id="321" w:name="_Toc12355"/>
      <w:r>
        <w:rPr>
          <w:rFonts w:hint="eastAsia" w:asciiTheme="minorEastAsia" w:hAnsiTheme="minorEastAsia" w:eastAsiaTheme="minorEastAsia" w:cstheme="minorEastAsia"/>
          <w:b/>
          <w:kern w:val="2"/>
          <w:sz w:val="30"/>
          <w:szCs w:val="30"/>
        </w:rPr>
        <w:t>六、投标人服务承诺和优惠承诺</w:t>
      </w:r>
      <w:bookmarkEnd w:id="320"/>
      <w:bookmarkEnd w:id="321"/>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bookmarkEnd w:id="317"/>
    <w:bookmarkEnd w:id="318"/>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22" w:name="_Toc24850"/>
      <w:bookmarkStart w:id="323" w:name="_Toc23227"/>
      <w:bookmarkStart w:id="324" w:name="_Toc10717"/>
      <w:bookmarkStart w:id="325" w:name="_Toc15396"/>
      <w:r>
        <w:rPr>
          <w:rFonts w:hint="eastAsia" w:asciiTheme="minorEastAsia" w:hAnsiTheme="minorEastAsia" w:eastAsiaTheme="minorEastAsia" w:cstheme="minorEastAsia"/>
          <w:b/>
          <w:kern w:val="2"/>
          <w:sz w:val="30"/>
          <w:szCs w:val="30"/>
        </w:rPr>
        <w:t>七、中小企业声明函（如有）</w:t>
      </w:r>
      <w:bookmarkEnd w:id="322"/>
      <w:bookmarkEnd w:id="323"/>
      <w:bookmarkEnd w:id="324"/>
      <w:bookmarkEnd w:id="325"/>
    </w:p>
    <w:p>
      <w:pPr>
        <w:pStyle w:val="23"/>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26" w:name="_Toc20881"/>
      <w:bookmarkStart w:id="327" w:name="_Toc18562"/>
      <w:bookmarkStart w:id="328" w:name="_Toc11708"/>
      <w:bookmarkStart w:id="329" w:name="_Toc30170"/>
      <w:bookmarkStart w:id="330" w:name="_Toc14292"/>
      <w:r>
        <w:rPr>
          <w:rFonts w:hint="eastAsia" w:asciiTheme="minorEastAsia" w:hAnsiTheme="minorEastAsia" w:eastAsiaTheme="minorEastAsia" w:cstheme="minorEastAsia"/>
          <w:b/>
          <w:kern w:val="2"/>
          <w:sz w:val="30"/>
          <w:szCs w:val="30"/>
        </w:rPr>
        <w:t>八、残疾人福利性单位声明函（如有）</w:t>
      </w:r>
      <w:bookmarkEnd w:id="326"/>
      <w:bookmarkEnd w:id="327"/>
      <w:bookmarkEnd w:id="328"/>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319"/>
    <w:bookmarkEnd w:id="329"/>
    <w:bookmarkEnd w:id="330"/>
    <w:p>
      <w:pPr>
        <w:rPr>
          <w:rFonts w:ascii="Times New Roman" w:hAnsi="Times New Roman" w:eastAsia="仿宋"/>
          <w:sz w:val="32"/>
          <w:szCs w:val="32"/>
          <w:shd w:val="clear" w:color="FFFFFF" w:fill="D9D9D9"/>
        </w:rPr>
      </w:pPr>
    </w:p>
    <w:p>
      <w:pPr>
        <w:pStyle w:val="11"/>
        <w:rPr>
          <w:shd w:val="clear" w:color="FFFFFF" w:fill="D9D9D9"/>
        </w:rPr>
      </w:pPr>
    </w:p>
    <w:p>
      <w:pPr>
        <w:pStyle w:val="23"/>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31" w:name="_Toc16608"/>
      <w:bookmarkStart w:id="332" w:name="_Toc18605"/>
      <w:bookmarkStart w:id="333" w:name="_Toc10970"/>
      <w:r>
        <w:rPr>
          <w:rFonts w:hint="eastAsia" w:asciiTheme="minorEastAsia" w:hAnsiTheme="minorEastAsia" w:eastAsiaTheme="minorEastAsia" w:cstheme="minorEastAsia"/>
          <w:b/>
          <w:kern w:val="2"/>
          <w:sz w:val="30"/>
          <w:szCs w:val="30"/>
        </w:rPr>
        <w:t>九、招标文件要求的或投标人认为须提交的其他材料</w:t>
      </w:r>
      <w:bookmarkEnd w:id="331"/>
      <w:bookmarkEnd w:id="332"/>
      <w:bookmarkEnd w:id="333"/>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招标文件规定的其他资料及投标人认为需要提交的其他材料。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5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59"/>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三、评标结果确认时限。自评标（评审）结束后应2个工作日内确定中标（成交）投标人，5个工作日内公告结果，同时发送中标（成交）通知书。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六、项目验收。自收到投标人项目验收建议之日起5个工作日内组织验收；验收结束后2个工作日内出具《验收报告》，并在焦作市政府采购网公告验收结果。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10"/>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360" w:lineRule="exact"/>
        <w:ind w:firstLine="420" w:firstLineChars="175"/>
        <w:rPr>
          <w:rFonts w:ascii="宋体" w:hAnsi="宋体" w:cs="宋体"/>
          <w:bCs/>
          <w:sz w:val="24"/>
        </w:rPr>
      </w:pPr>
      <w:r>
        <w:rPr>
          <w:rFonts w:hint="eastAsia" w:ascii="宋体" w:hAnsi="宋体" w:cs="宋体"/>
          <w:bCs/>
          <w:sz w:val="24"/>
        </w:rPr>
        <w:t>各投标人：</w:t>
      </w:r>
    </w:p>
    <w:p>
      <w:pPr>
        <w:spacing w:line="36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36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依据《河南省采购合同融资工作实施方案》（豫财购[2017]10号），按照双方自愿的原则提供便捷、优惠的贷款服务。</w:t>
      </w:r>
    </w:p>
    <w:p>
      <w:pPr>
        <w:spacing w:line="36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- 24 -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B3EEABB"/>
    <w:multiLevelType w:val="singleLevel"/>
    <w:tmpl w:val="9B3EEABB"/>
    <w:lvl w:ilvl="0" w:tentative="0">
      <w:start w:val="1"/>
      <w:numFmt w:val="decimal"/>
      <w:lvlText w:val="%1."/>
      <w:lvlJc w:val="left"/>
      <w:pPr>
        <w:tabs>
          <w:tab w:val="left" w:pos="312"/>
        </w:tabs>
      </w:pPr>
    </w:lvl>
  </w:abstractNum>
  <w:abstractNum w:abstractNumId="3">
    <w:nsid w:val="9FB039FA"/>
    <w:multiLevelType w:val="singleLevel"/>
    <w:tmpl w:val="9FB039FA"/>
    <w:lvl w:ilvl="0" w:tentative="0">
      <w:start w:val="2"/>
      <w:numFmt w:val="chineseCounting"/>
      <w:suff w:val="nothing"/>
      <w:lvlText w:val="%1、"/>
      <w:lvlJc w:val="left"/>
      <w:rPr>
        <w:rFonts w:hint="eastAsia"/>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35C2360"/>
    <w:multiLevelType w:val="singleLevel"/>
    <w:tmpl w:val="B35C2360"/>
    <w:lvl w:ilvl="0" w:tentative="0">
      <w:start w:val="1"/>
      <w:numFmt w:val="chineseCounting"/>
      <w:suff w:val="nothing"/>
      <w:lvlText w:val="（%1）"/>
      <w:lvlJc w:val="left"/>
      <w:rPr>
        <w:rFonts w:hint="eastAsia"/>
      </w:rPr>
    </w:lvl>
  </w:abstractNum>
  <w:abstractNum w:abstractNumId="6">
    <w:nsid w:val="B83DBB98"/>
    <w:multiLevelType w:val="singleLevel"/>
    <w:tmpl w:val="B83DBB98"/>
    <w:lvl w:ilvl="0" w:tentative="0">
      <w:start w:val="1"/>
      <w:numFmt w:val="decimal"/>
      <w:lvlText w:val="%1."/>
      <w:lvlJc w:val="left"/>
      <w:pPr>
        <w:tabs>
          <w:tab w:val="left" w:pos="312"/>
        </w:tabs>
      </w:pPr>
    </w:lvl>
  </w:abstractNum>
  <w:abstractNum w:abstractNumId="7">
    <w:nsid w:val="B940B7CB"/>
    <w:multiLevelType w:val="singleLevel"/>
    <w:tmpl w:val="B940B7CB"/>
    <w:lvl w:ilvl="0" w:tentative="0">
      <w:start w:val="3"/>
      <w:numFmt w:val="decimal"/>
      <w:suff w:val="nothing"/>
      <w:lvlText w:val="%1、"/>
      <w:lvlJc w:val="left"/>
    </w:lvl>
  </w:abstractNum>
  <w:abstractNum w:abstractNumId="8">
    <w:nsid w:val="E25B3C03"/>
    <w:multiLevelType w:val="singleLevel"/>
    <w:tmpl w:val="E25B3C03"/>
    <w:lvl w:ilvl="0" w:tentative="0">
      <w:start w:val="1"/>
      <w:numFmt w:val="decimal"/>
      <w:suff w:val="nothing"/>
      <w:lvlText w:val="（%1）"/>
      <w:lvlJc w:val="left"/>
    </w:lvl>
  </w:abstractNum>
  <w:abstractNum w:abstractNumId="9">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9"/>
  </w:num>
  <w:num w:numId="2">
    <w:abstractNumId w:val="7"/>
  </w:num>
  <w:num w:numId="3">
    <w:abstractNumId w:val="13"/>
  </w:num>
  <w:num w:numId="4">
    <w:abstractNumId w:val="0"/>
  </w:num>
  <w:num w:numId="5">
    <w:abstractNumId w:val="12"/>
  </w:num>
  <w:num w:numId="6">
    <w:abstractNumId w:val="5"/>
  </w:num>
  <w:num w:numId="7">
    <w:abstractNumId w:val="2"/>
  </w:num>
  <w:num w:numId="8">
    <w:abstractNumId w:val="6"/>
  </w:num>
  <w:num w:numId="9">
    <w:abstractNumId w:val="1"/>
  </w:num>
  <w:num w:numId="10">
    <w:abstractNumId w:val="10"/>
  </w:num>
  <w:num w:numId="11">
    <w:abstractNumId w:val="8"/>
  </w:num>
  <w:num w:numId="12">
    <w:abstractNumId w:val="14"/>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4NDAyZTFmN2Y0NjRlNDgyMzUxOWI3NWU4MjI2MGYifQ=="/>
  </w:docVars>
  <w:rsids>
    <w:rsidRoot w:val="00CF3BAF"/>
    <w:rsid w:val="00013654"/>
    <w:rsid w:val="000720C4"/>
    <w:rsid w:val="00145803"/>
    <w:rsid w:val="00281BCC"/>
    <w:rsid w:val="002A1364"/>
    <w:rsid w:val="0034193D"/>
    <w:rsid w:val="00382698"/>
    <w:rsid w:val="003840CE"/>
    <w:rsid w:val="00515F67"/>
    <w:rsid w:val="005315C8"/>
    <w:rsid w:val="005B5440"/>
    <w:rsid w:val="00666E50"/>
    <w:rsid w:val="006838D7"/>
    <w:rsid w:val="006B2CA3"/>
    <w:rsid w:val="007074F1"/>
    <w:rsid w:val="008A148B"/>
    <w:rsid w:val="00A13C3D"/>
    <w:rsid w:val="00A61B02"/>
    <w:rsid w:val="00AA4C85"/>
    <w:rsid w:val="00B22521"/>
    <w:rsid w:val="00B3402D"/>
    <w:rsid w:val="00BC45CD"/>
    <w:rsid w:val="00BC47C8"/>
    <w:rsid w:val="00C15FCB"/>
    <w:rsid w:val="00C71C7E"/>
    <w:rsid w:val="00C94A06"/>
    <w:rsid w:val="00C94AF7"/>
    <w:rsid w:val="00CF3BAF"/>
    <w:rsid w:val="00D833BE"/>
    <w:rsid w:val="00E61A34"/>
    <w:rsid w:val="00F8584C"/>
    <w:rsid w:val="00FB3E02"/>
    <w:rsid w:val="00FF5EE5"/>
    <w:rsid w:val="01180CA1"/>
    <w:rsid w:val="01597611"/>
    <w:rsid w:val="019C74BD"/>
    <w:rsid w:val="01A249C3"/>
    <w:rsid w:val="01CD0413"/>
    <w:rsid w:val="02023511"/>
    <w:rsid w:val="02204E7D"/>
    <w:rsid w:val="023F2212"/>
    <w:rsid w:val="02407E32"/>
    <w:rsid w:val="02534437"/>
    <w:rsid w:val="02A079AD"/>
    <w:rsid w:val="02AD7AC3"/>
    <w:rsid w:val="031F2043"/>
    <w:rsid w:val="03345AEF"/>
    <w:rsid w:val="03A34A22"/>
    <w:rsid w:val="03DF62D5"/>
    <w:rsid w:val="04351B1E"/>
    <w:rsid w:val="04764B57"/>
    <w:rsid w:val="049A5F70"/>
    <w:rsid w:val="04A46CA4"/>
    <w:rsid w:val="05154305"/>
    <w:rsid w:val="064B3EA8"/>
    <w:rsid w:val="06A27213"/>
    <w:rsid w:val="06B37672"/>
    <w:rsid w:val="06F1337E"/>
    <w:rsid w:val="06F21FF8"/>
    <w:rsid w:val="07302A71"/>
    <w:rsid w:val="0740516B"/>
    <w:rsid w:val="074D4119"/>
    <w:rsid w:val="0753050D"/>
    <w:rsid w:val="07554ACD"/>
    <w:rsid w:val="07997BA5"/>
    <w:rsid w:val="07BA3B46"/>
    <w:rsid w:val="07CB4548"/>
    <w:rsid w:val="082509A7"/>
    <w:rsid w:val="08297BEC"/>
    <w:rsid w:val="083A174E"/>
    <w:rsid w:val="08B6562F"/>
    <w:rsid w:val="08D370D1"/>
    <w:rsid w:val="091A12E3"/>
    <w:rsid w:val="09714F13"/>
    <w:rsid w:val="09A514F4"/>
    <w:rsid w:val="0A083831"/>
    <w:rsid w:val="0A3E54A5"/>
    <w:rsid w:val="0AB44F17"/>
    <w:rsid w:val="0B1A1A6E"/>
    <w:rsid w:val="0B344BF6"/>
    <w:rsid w:val="0B61144B"/>
    <w:rsid w:val="0C076843"/>
    <w:rsid w:val="0C2D57D1"/>
    <w:rsid w:val="0C4D19CF"/>
    <w:rsid w:val="0CD05128"/>
    <w:rsid w:val="0D1F511A"/>
    <w:rsid w:val="0D610B1D"/>
    <w:rsid w:val="0D674D12"/>
    <w:rsid w:val="0D792EC2"/>
    <w:rsid w:val="0D81592D"/>
    <w:rsid w:val="0DEE2D3E"/>
    <w:rsid w:val="0E0D2F3E"/>
    <w:rsid w:val="0EA33B28"/>
    <w:rsid w:val="0EDC105C"/>
    <w:rsid w:val="0EDE6CBA"/>
    <w:rsid w:val="0EFC7167"/>
    <w:rsid w:val="0F0410E0"/>
    <w:rsid w:val="0FE278B1"/>
    <w:rsid w:val="0FE563E7"/>
    <w:rsid w:val="0FE73EE9"/>
    <w:rsid w:val="1012372A"/>
    <w:rsid w:val="1031492B"/>
    <w:rsid w:val="10374E70"/>
    <w:rsid w:val="10544429"/>
    <w:rsid w:val="110A2E9D"/>
    <w:rsid w:val="113D3D5C"/>
    <w:rsid w:val="115630D4"/>
    <w:rsid w:val="11A25357"/>
    <w:rsid w:val="11B34CF4"/>
    <w:rsid w:val="1255782F"/>
    <w:rsid w:val="126E269F"/>
    <w:rsid w:val="129F0B79"/>
    <w:rsid w:val="12D032FB"/>
    <w:rsid w:val="13196E1B"/>
    <w:rsid w:val="13432851"/>
    <w:rsid w:val="13651CF4"/>
    <w:rsid w:val="13D308D7"/>
    <w:rsid w:val="143C687A"/>
    <w:rsid w:val="144162BD"/>
    <w:rsid w:val="1457163D"/>
    <w:rsid w:val="14860849"/>
    <w:rsid w:val="14C80D54"/>
    <w:rsid w:val="14D233B9"/>
    <w:rsid w:val="14E629C1"/>
    <w:rsid w:val="15883A78"/>
    <w:rsid w:val="16985F3D"/>
    <w:rsid w:val="16997753"/>
    <w:rsid w:val="169D288C"/>
    <w:rsid w:val="16A62408"/>
    <w:rsid w:val="179C380B"/>
    <w:rsid w:val="18D3325C"/>
    <w:rsid w:val="196A7BE4"/>
    <w:rsid w:val="19CA0B03"/>
    <w:rsid w:val="19EF2318"/>
    <w:rsid w:val="1A913822"/>
    <w:rsid w:val="1A9D1D74"/>
    <w:rsid w:val="1B1E4680"/>
    <w:rsid w:val="1B33310F"/>
    <w:rsid w:val="1BC81072"/>
    <w:rsid w:val="1BD529D4"/>
    <w:rsid w:val="1BE9127A"/>
    <w:rsid w:val="1BF9122C"/>
    <w:rsid w:val="1C0320AA"/>
    <w:rsid w:val="1CD57C9C"/>
    <w:rsid w:val="1CD852E5"/>
    <w:rsid w:val="1CDD28FB"/>
    <w:rsid w:val="1D2E3157"/>
    <w:rsid w:val="1D5A65E9"/>
    <w:rsid w:val="1DAD0520"/>
    <w:rsid w:val="1DD106B2"/>
    <w:rsid w:val="1E212A6F"/>
    <w:rsid w:val="1E360353"/>
    <w:rsid w:val="1E37603B"/>
    <w:rsid w:val="1EB33136"/>
    <w:rsid w:val="1EE937D9"/>
    <w:rsid w:val="1F5238BB"/>
    <w:rsid w:val="1FA2174D"/>
    <w:rsid w:val="1FB04E84"/>
    <w:rsid w:val="205C7FDB"/>
    <w:rsid w:val="21C85928"/>
    <w:rsid w:val="223F3A67"/>
    <w:rsid w:val="22956B6C"/>
    <w:rsid w:val="23C21A0E"/>
    <w:rsid w:val="24044C11"/>
    <w:rsid w:val="24581EC9"/>
    <w:rsid w:val="245D7AC3"/>
    <w:rsid w:val="245F3E5F"/>
    <w:rsid w:val="24AC7783"/>
    <w:rsid w:val="24D32F62"/>
    <w:rsid w:val="24ED3BD2"/>
    <w:rsid w:val="2556149D"/>
    <w:rsid w:val="257C53A7"/>
    <w:rsid w:val="25BB6827"/>
    <w:rsid w:val="25F10BAD"/>
    <w:rsid w:val="26557F83"/>
    <w:rsid w:val="2671382C"/>
    <w:rsid w:val="26AF355A"/>
    <w:rsid w:val="27DD7C53"/>
    <w:rsid w:val="28013942"/>
    <w:rsid w:val="2858552C"/>
    <w:rsid w:val="287019A1"/>
    <w:rsid w:val="287E4274"/>
    <w:rsid w:val="28915683"/>
    <w:rsid w:val="28BD1C36"/>
    <w:rsid w:val="28CA467C"/>
    <w:rsid w:val="28E62B38"/>
    <w:rsid w:val="29712D49"/>
    <w:rsid w:val="29AD1F3E"/>
    <w:rsid w:val="2A1F4553"/>
    <w:rsid w:val="2A334727"/>
    <w:rsid w:val="2AFC77ED"/>
    <w:rsid w:val="2B7E0BF1"/>
    <w:rsid w:val="2C120077"/>
    <w:rsid w:val="2C5E36B7"/>
    <w:rsid w:val="2C7566AC"/>
    <w:rsid w:val="2CA70830"/>
    <w:rsid w:val="2D104627"/>
    <w:rsid w:val="2D137C54"/>
    <w:rsid w:val="2D4759F0"/>
    <w:rsid w:val="2D4B17C9"/>
    <w:rsid w:val="2D746964"/>
    <w:rsid w:val="2E2D06C1"/>
    <w:rsid w:val="2E3D58F0"/>
    <w:rsid w:val="2E7164C1"/>
    <w:rsid w:val="2E8C4181"/>
    <w:rsid w:val="2E996D68"/>
    <w:rsid w:val="2ED6354F"/>
    <w:rsid w:val="2ED80964"/>
    <w:rsid w:val="2F312BCB"/>
    <w:rsid w:val="2F8B27CE"/>
    <w:rsid w:val="30204B81"/>
    <w:rsid w:val="3054090C"/>
    <w:rsid w:val="31466F7E"/>
    <w:rsid w:val="315E08FB"/>
    <w:rsid w:val="31600FDA"/>
    <w:rsid w:val="316A0035"/>
    <w:rsid w:val="31B94039"/>
    <w:rsid w:val="32243EA7"/>
    <w:rsid w:val="326E1ADA"/>
    <w:rsid w:val="32AC094E"/>
    <w:rsid w:val="32BD2B5B"/>
    <w:rsid w:val="32D560F7"/>
    <w:rsid w:val="330C04D6"/>
    <w:rsid w:val="335039CF"/>
    <w:rsid w:val="33896EE1"/>
    <w:rsid w:val="33947D60"/>
    <w:rsid w:val="3442156A"/>
    <w:rsid w:val="34572E48"/>
    <w:rsid w:val="34BF0E0C"/>
    <w:rsid w:val="34C74165"/>
    <w:rsid w:val="351B1DBB"/>
    <w:rsid w:val="356103C1"/>
    <w:rsid w:val="35773B55"/>
    <w:rsid w:val="359F479A"/>
    <w:rsid w:val="3608233F"/>
    <w:rsid w:val="36370E76"/>
    <w:rsid w:val="364C5C5D"/>
    <w:rsid w:val="36525CB0"/>
    <w:rsid w:val="367B0D63"/>
    <w:rsid w:val="36AA33F6"/>
    <w:rsid w:val="36F2243E"/>
    <w:rsid w:val="372A4537"/>
    <w:rsid w:val="37533A8E"/>
    <w:rsid w:val="37D13E88"/>
    <w:rsid w:val="38C56745"/>
    <w:rsid w:val="395221DE"/>
    <w:rsid w:val="3A323E2F"/>
    <w:rsid w:val="3A414072"/>
    <w:rsid w:val="3A864B89"/>
    <w:rsid w:val="3AAA15E3"/>
    <w:rsid w:val="3AC405E4"/>
    <w:rsid w:val="3B680882"/>
    <w:rsid w:val="3B9D352A"/>
    <w:rsid w:val="3C5740DD"/>
    <w:rsid w:val="3C5E67DC"/>
    <w:rsid w:val="3C617ADE"/>
    <w:rsid w:val="3C875BD5"/>
    <w:rsid w:val="3D3F6549"/>
    <w:rsid w:val="3D6E3B32"/>
    <w:rsid w:val="3DA476DF"/>
    <w:rsid w:val="3DC254CA"/>
    <w:rsid w:val="3DCB7BB1"/>
    <w:rsid w:val="3E5B7207"/>
    <w:rsid w:val="3E5E0144"/>
    <w:rsid w:val="3E7460A7"/>
    <w:rsid w:val="3E8E1D06"/>
    <w:rsid w:val="3EA91C86"/>
    <w:rsid w:val="3EC86B10"/>
    <w:rsid w:val="3F4505E5"/>
    <w:rsid w:val="3F51170A"/>
    <w:rsid w:val="3FD66319"/>
    <w:rsid w:val="3FF840EB"/>
    <w:rsid w:val="400C231E"/>
    <w:rsid w:val="407C1AED"/>
    <w:rsid w:val="40AE6405"/>
    <w:rsid w:val="410D1152"/>
    <w:rsid w:val="417B430D"/>
    <w:rsid w:val="419212F6"/>
    <w:rsid w:val="41A82C28"/>
    <w:rsid w:val="420C4EF5"/>
    <w:rsid w:val="42181E5B"/>
    <w:rsid w:val="427215D9"/>
    <w:rsid w:val="42E303BC"/>
    <w:rsid w:val="42F65BA4"/>
    <w:rsid w:val="43463A73"/>
    <w:rsid w:val="435B61A4"/>
    <w:rsid w:val="435E3058"/>
    <w:rsid w:val="43EA7528"/>
    <w:rsid w:val="4453447A"/>
    <w:rsid w:val="447514E8"/>
    <w:rsid w:val="44760DBC"/>
    <w:rsid w:val="44823C05"/>
    <w:rsid w:val="44F506CB"/>
    <w:rsid w:val="46001285"/>
    <w:rsid w:val="46337F86"/>
    <w:rsid w:val="467D28D5"/>
    <w:rsid w:val="47503B46"/>
    <w:rsid w:val="47CD2D22"/>
    <w:rsid w:val="47F673B3"/>
    <w:rsid w:val="485633DE"/>
    <w:rsid w:val="486E372E"/>
    <w:rsid w:val="48C22822"/>
    <w:rsid w:val="48D04411"/>
    <w:rsid w:val="49080B7C"/>
    <w:rsid w:val="495261A3"/>
    <w:rsid w:val="499F2B63"/>
    <w:rsid w:val="49B4660E"/>
    <w:rsid w:val="49BC1967"/>
    <w:rsid w:val="4A373881"/>
    <w:rsid w:val="4BA55B26"/>
    <w:rsid w:val="4BB943B0"/>
    <w:rsid w:val="4BC6087B"/>
    <w:rsid w:val="4BCD1C09"/>
    <w:rsid w:val="4C4814B5"/>
    <w:rsid w:val="4D246DA4"/>
    <w:rsid w:val="4D477799"/>
    <w:rsid w:val="4D66012C"/>
    <w:rsid w:val="4D8C494F"/>
    <w:rsid w:val="4D987FF5"/>
    <w:rsid w:val="4E7C3AE4"/>
    <w:rsid w:val="4EB16272"/>
    <w:rsid w:val="4ED84B4D"/>
    <w:rsid w:val="4FDA48F5"/>
    <w:rsid w:val="4FDD6193"/>
    <w:rsid w:val="50067E95"/>
    <w:rsid w:val="50091D29"/>
    <w:rsid w:val="50357D7D"/>
    <w:rsid w:val="50506C38"/>
    <w:rsid w:val="505B3C87"/>
    <w:rsid w:val="50FC2E79"/>
    <w:rsid w:val="51B11685"/>
    <w:rsid w:val="51F1490D"/>
    <w:rsid w:val="51F82BBB"/>
    <w:rsid w:val="520E4D2A"/>
    <w:rsid w:val="522B7DE8"/>
    <w:rsid w:val="52DC6BD6"/>
    <w:rsid w:val="52E955F3"/>
    <w:rsid w:val="52EB6588"/>
    <w:rsid w:val="53A43CC8"/>
    <w:rsid w:val="53A948E5"/>
    <w:rsid w:val="53CF72B2"/>
    <w:rsid w:val="53D14261"/>
    <w:rsid w:val="544704A9"/>
    <w:rsid w:val="55161DC8"/>
    <w:rsid w:val="5549056E"/>
    <w:rsid w:val="55C81AB9"/>
    <w:rsid w:val="55FB20AD"/>
    <w:rsid w:val="5664557C"/>
    <w:rsid w:val="569F2D39"/>
    <w:rsid w:val="56A31EE4"/>
    <w:rsid w:val="56B85264"/>
    <w:rsid w:val="56BB3C75"/>
    <w:rsid w:val="56DE7067"/>
    <w:rsid w:val="570620A6"/>
    <w:rsid w:val="570955B4"/>
    <w:rsid w:val="573237C5"/>
    <w:rsid w:val="574F7976"/>
    <w:rsid w:val="57527C3E"/>
    <w:rsid w:val="5783793E"/>
    <w:rsid w:val="578810DA"/>
    <w:rsid w:val="57964022"/>
    <w:rsid w:val="57B43C7D"/>
    <w:rsid w:val="57CC2BA0"/>
    <w:rsid w:val="586C4DA8"/>
    <w:rsid w:val="58BC103B"/>
    <w:rsid w:val="58BF28DA"/>
    <w:rsid w:val="59441031"/>
    <w:rsid w:val="594828CF"/>
    <w:rsid w:val="594F1EAF"/>
    <w:rsid w:val="599F77C9"/>
    <w:rsid w:val="59C95F43"/>
    <w:rsid w:val="59D73707"/>
    <w:rsid w:val="59E76456"/>
    <w:rsid w:val="5A8042EB"/>
    <w:rsid w:val="5A851901"/>
    <w:rsid w:val="5A93268F"/>
    <w:rsid w:val="5A957D96"/>
    <w:rsid w:val="5AB2046A"/>
    <w:rsid w:val="5AE6318E"/>
    <w:rsid w:val="5BB31F68"/>
    <w:rsid w:val="5C1B251D"/>
    <w:rsid w:val="5C296787"/>
    <w:rsid w:val="5C3E7FB9"/>
    <w:rsid w:val="5C8E651C"/>
    <w:rsid w:val="5C917CF5"/>
    <w:rsid w:val="5D120EE1"/>
    <w:rsid w:val="5D7C6FEB"/>
    <w:rsid w:val="5D886CB3"/>
    <w:rsid w:val="5DB443B5"/>
    <w:rsid w:val="5E313880"/>
    <w:rsid w:val="5E803BCC"/>
    <w:rsid w:val="5E893766"/>
    <w:rsid w:val="5EAE4FD3"/>
    <w:rsid w:val="5ECC0D8F"/>
    <w:rsid w:val="5ED73C45"/>
    <w:rsid w:val="5EE74938"/>
    <w:rsid w:val="5F09244A"/>
    <w:rsid w:val="5F1514A5"/>
    <w:rsid w:val="5F9177D9"/>
    <w:rsid w:val="5FB7255D"/>
    <w:rsid w:val="5FEF619A"/>
    <w:rsid w:val="60082DB8"/>
    <w:rsid w:val="60B25AEA"/>
    <w:rsid w:val="60FF35F5"/>
    <w:rsid w:val="615C6151"/>
    <w:rsid w:val="61BC3E5A"/>
    <w:rsid w:val="62047871"/>
    <w:rsid w:val="622B3906"/>
    <w:rsid w:val="62D6719E"/>
    <w:rsid w:val="62DD22DA"/>
    <w:rsid w:val="62EF46F3"/>
    <w:rsid w:val="63100901"/>
    <w:rsid w:val="633148D2"/>
    <w:rsid w:val="63BE035D"/>
    <w:rsid w:val="64852E60"/>
    <w:rsid w:val="64CA3CB4"/>
    <w:rsid w:val="652266CA"/>
    <w:rsid w:val="65A442CC"/>
    <w:rsid w:val="65EF7DA6"/>
    <w:rsid w:val="66342B59"/>
    <w:rsid w:val="66373858"/>
    <w:rsid w:val="66521231"/>
    <w:rsid w:val="666845B1"/>
    <w:rsid w:val="66D734E4"/>
    <w:rsid w:val="66DE4873"/>
    <w:rsid w:val="66E3632D"/>
    <w:rsid w:val="66F10A4A"/>
    <w:rsid w:val="67477DD7"/>
    <w:rsid w:val="67923FAF"/>
    <w:rsid w:val="67AB689B"/>
    <w:rsid w:val="67F105D6"/>
    <w:rsid w:val="682E6AFE"/>
    <w:rsid w:val="68B476C6"/>
    <w:rsid w:val="69431305"/>
    <w:rsid w:val="69676C0C"/>
    <w:rsid w:val="69AE1092"/>
    <w:rsid w:val="69D37A82"/>
    <w:rsid w:val="69E71C90"/>
    <w:rsid w:val="6A425119"/>
    <w:rsid w:val="6AE54422"/>
    <w:rsid w:val="6AE9729B"/>
    <w:rsid w:val="6BCF1CE1"/>
    <w:rsid w:val="6BD36CF4"/>
    <w:rsid w:val="6CD72490"/>
    <w:rsid w:val="6D0A63C2"/>
    <w:rsid w:val="6D2917A9"/>
    <w:rsid w:val="6D3563AF"/>
    <w:rsid w:val="6D4E6E2B"/>
    <w:rsid w:val="6D67660A"/>
    <w:rsid w:val="6D8A1C5D"/>
    <w:rsid w:val="6DC81DD9"/>
    <w:rsid w:val="6F33431F"/>
    <w:rsid w:val="6F54601A"/>
    <w:rsid w:val="6FB07BA6"/>
    <w:rsid w:val="6FB37B49"/>
    <w:rsid w:val="6FC576F1"/>
    <w:rsid w:val="6FE0340A"/>
    <w:rsid w:val="70136E2A"/>
    <w:rsid w:val="706B0FD9"/>
    <w:rsid w:val="70822713"/>
    <w:rsid w:val="70B46F74"/>
    <w:rsid w:val="714B51FB"/>
    <w:rsid w:val="71801EBF"/>
    <w:rsid w:val="718F0D21"/>
    <w:rsid w:val="71DF0C7B"/>
    <w:rsid w:val="71FA2DDC"/>
    <w:rsid w:val="721049DF"/>
    <w:rsid w:val="727442DD"/>
    <w:rsid w:val="72A42EE3"/>
    <w:rsid w:val="72F96528"/>
    <w:rsid w:val="72FD1EE3"/>
    <w:rsid w:val="73900C02"/>
    <w:rsid w:val="73BE334D"/>
    <w:rsid w:val="73C92407"/>
    <w:rsid w:val="73D90859"/>
    <w:rsid w:val="73DC1ABD"/>
    <w:rsid w:val="746A5998"/>
    <w:rsid w:val="75BA38FC"/>
    <w:rsid w:val="75F6021B"/>
    <w:rsid w:val="765C2A04"/>
    <w:rsid w:val="77062AB4"/>
    <w:rsid w:val="77463913"/>
    <w:rsid w:val="778925D9"/>
    <w:rsid w:val="786F17CF"/>
    <w:rsid w:val="78D6184E"/>
    <w:rsid w:val="7957206C"/>
    <w:rsid w:val="79631BE1"/>
    <w:rsid w:val="797A2798"/>
    <w:rsid w:val="79981A71"/>
    <w:rsid w:val="79992F3A"/>
    <w:rsid w:val="79C773E8"/>
    <w:rsid w:val="79EC68CF"/>
    <w:rsid w:val="7A5779B3"/>
    <w:rsid w:val="7A921700"/>
    <w:rsid w:val="7ADC6EC3"/>
    <w:rsid w:val="7B1D3764"/>
    <w:rsid w:val="7BC67A39"/>
    <w:rsid w:val="7C1A207B"/>
    <w:rsid w:val="7C4D62CB"/>
    <w:rsid w:val="7C537629"/>
    <w:rsid w:val="7C574A54"/>
    <w:rsid w:val="7CC83F86"/>
    <w:rsid w:val="7CCA3711"/>
    <w:rsid w:val="7DE76694"/>
    <w:rsid w:val="7EF95A5A"/>
    <w:rsid w:val="7EFB200E"/>
    <w:rsid w:val="7F301526"/>
    <w:rsid w:val="7F3E1EFB"/>
    <w:rsid w:val="7F463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11">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rPr>
      <w:rFonts w:hint="eastAsia" w:ascii="楷体_GB2312" w:eastAsia="楷体_GB2312"/>
      <w:sz w:val="32"/>
    </w:rPr>
  </w:style>
  <w:style w:type="paragraph" w:styleId="3">
    <w:name w:val="Body Text"/>
    <w:basedOn w:val="1"/>
    <w:next w:val="4"/>
    <w:qFormat/>
    <w:uiPriority w:val="0"/>
    <w:rPr>
      <w:rFonts w:ascii="Times New Roman" w:hAnsi="Times New Roman"/>
    </w:rPr>
  </w:style>
  <w:style w:type="paragraph" w:styleId="4">
    <w:name w:val="Body Text 2"/>
    <w:basedOn w:val="1"/>
    <w:next w:val="3"/>
    <w:unhideWhenUsed/>
    <w:qFormat/>
    <w:uiPriority w:val="0"/>
    <w:pPr>
      <w:spacing w:after="120" w:line="480" w:lineRule="auto"/>
    </w:pPr>
    <w:rPr>
      <w:rFonts w:ascii="Times New Roman" w:hAnsi="Times New Roman"/>
    </w:rPr>
  </w:style>
  <w:style w:type="paragraph" w:styleId="5">
    <w:name w:val="Body Text First Indent 2"/>
    <w:basedOn w:val="6"/>
    <w:next w:val="8"/>
    <w:qFormat/>
    <w:uiPriority w:val="0"/>
    <w:pPr>
      <w:ind w:firstLine="420"/>
    </w:pPr>
  </w:style>
  <w:style w:type="paragraph" w:styleId="6">
    <w:name w:val="Body Text Indent"/>
    <w:basedOn w:val="1"/>
    <w:next w:val="7"/>
    <w:qFormat/>
    <w:uiPriority w:val="0"/>
    <w:pPr>
      <w:ind w:firstLine="560" w:firstLineChars="200"/>
    </w:pPr>
    <w:rPr>
      <w:rFonts w:ascii="Times New Roman" w:hAnsi="Times New Roman"/>
    </w:rPr>
  </w:style>
  <w:style w:type="paragraph" w:styleId="7">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rPr>
  </w:style>
  <w:style w:type="paragraph" w:styleId="12">
    <w:name w:val="caption"/>
    <w:basedOn w:val="1"/>
    <w:next w:val="1"/>
    <w:qFormat/>
    <w:uiPriority w:val="0"/>
    <w:rPr>
      <w:rFonts w:ascii="Arial" w:hAnsi="Arial" w:eastAsia="黑体" w:cstheme="minorBidi"/>
      <w:sz w:val="20"/>
    </w:rPr>
  </w:style>
  <w:style w:type="paragraph" w:styleId="13">
    <w:name w:val="Document Map"/>
    <w:basedOn w:val="1"/>
    <w:unhideWhenUsed/>
    <w:qFormat/>
    <w:uiPriority w:val="0"/>
    <w:rPr>
      <w:rFonts w:ascii="宋体"/>
      <w:sz w:val="18"/>
      <w:szCs w:val="18"/>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qFormat/>
    <w:uiPriority w:val="0"/>
    <w:pPr>
      <w:jc w:val="left"/>
    </w:pPr>
  </w:style>
  <w:style w:type="paragraph" w:styleId="16">
    <w:name w:val="Body Text 3"/>
    <w:basedOn w:val="1"/>
    <w:unhideWhenUsed/>
    <w:qFormat/>
    <w:uiPriority w:val="0"/>
    <w:pPr>
      <w:spacing w:after="120"/>
    </w:pPr>
    <w:rPr>
      <w:rFonts w:ascii="Times New Roman" w:hAnsi="Times New Roman"/>
      <w:sz w:val="16"/>
      <w:szCs w:val="16"/>
    </w:rPr>
  </w:style>
  <w:style w:type="paragraph" w:styleId="17">
    <w:name w:val="toc 3"/>
    <w:basedOn w:val="1"/>
    <w:next w:val="1"/>
    <w:qFormat/>
    <w:uiPriority w:val="0"/>
    <w:pPr>
      <w:ind w:left="840" w:leftChars="400"/>
    </w:pPr>
  </w:style>
  <w:style w:type="paragraph" w:styleId="18">
    <w:name w:val="Plain Text"/>
    <w:basedOn w:val="1"/>
    <w:qFormat/>
    <w:uiPriority w:val="0"/>
    <w:rPr>
      <w:rFonts w:hint="eastAsia" w:ascii="宋体" w:hAnsi="Courier New"/>
      <w:szCs w:val="21"/>
    </w:rPr>
  </w:style>
  <w:style w:type="paragraph" w:styleId="19">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1">
    <w:name w:val="toc 1"/>
    <w:basedOn w:val="1"/>
    <w:next w:val="1"/>
    <w:qFormat/>
    <w:uiPriority w:val="0"/>
    <w:rPr>
      <w:rFonts w:ascii="Times New Roman" w:hAnsi="Times New Roman"/>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5"/>
    <w:next w:val="1"/>
    <w:qFormat/>
    <w:uiPriority w:val="0"/>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qFormat/>
    <w:uiPriority w:val="0"/>
    <w:rPr>
      <w:color w:val="800080"/>
      <w:u w:val="none"/>
    </w:rPr>
  </w:style>
  <w:style w:type="character" w:styleId="30">
    <w:name w:val="Emphasis"/>
    <w:basedOn w:val="28"/>
    <w:qFormat/>
    <w:uiPriority w:val="0"/>
    <w:rPr>
      <w:color w:val="F73131"/>
    </w:rPr>
  </w:style>
  <w:style w:type="character" w:styleId="31">
    <w:name w:val="HTML Definition"/>
    <w:basedOn w:val="28"/>
    <w:qFormat/>
    <w:uiPriority w:val="0"/>
  </w:style>
  <w:style w:type="character" w:styleId="32">
    <w:name w:val="HTML Typewriter"/>
    <w:basedOn w:val="28"/>
    <w:qFormat/>
    <w:uiPriority w:val="0"/>
    <w:rPr>
      <w:rFonts w:hint="default"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qFormat/>
    <w:uiPriority w:val="99"/>
    <w:rPr>
      <w:rFonts w:cs="Times New Roman"/>
      <w:color w:val="0000FF"/>
      <w:u w:val="single"/>
    </w:rPr>
  </w:style>
  <w:style w:type="character" w:styleId="36">
    <w:name w:val="HTML Code"/>
    <w:basedOn w:val="28"/>
    <w:qFormat/>
    <w:uiPriority w:val="0"/>
    <w:rPr>
      <w:rFonts w:hint="default" w:ascii="monospace" w:hAnsi="monospace" w:eastAsia="monospace" w:cs="monospace"/>
      <w:sz w:val="20"/>
    </w:rPr>
  </w:style>
  <w:style w:type="character" w:styleId="37">
    <w:name w:val="HTML Cite"/>
    <w:basedOn w:val="28"/>
    <w:qFormat/>
    <w:uiPriority w:val="0"/>
  </w:style>
  <w:style w:type="character" w:styleId="38">
    <w:name w:val="HTML Keyboard"/>
    <w:basedOn w:val="28"/>
    <w:qFormat/>
    <w:uiPriority w:val="0"/>
    <w:rPr>
      <w:rFonts w:ascii="monospace" w:hAnsi="monospace" w:eastAsia="monospace" w:cs="monospace"/>
      <w:sz w:val="20"/>
    </w:rPr>
  </w:style>
  <w:style w:type="character" w:styleId="39">
    <w:name w:val="HTML Sample"/>
    <w:basedOn w:val="28"/>
    <w:qFormat/>
    <w:uiPriority w:val="0"/>
    <w:rPr>
      <w:rFonts w:hint="default" w:ascii="monospace" w:hAnsi="monospace" w:eastAsia="monospace" w:cs="monospace"/>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正文文本 21"/>
    <w:basedOn w:val="1"/>
    <w:qFormat/>
    <w:uiPriority w:val="0"/>
    <w:rPr>
      <w:rFonts w:ascii="Times New Roman" w:hAnsi="Times New Roman"/>
      <w:sz w:val="28"/>
    </w:rPr>
  </w:style>
  <w:style w:type="paragraph" w:customStyle="1" w:styleId="43">
    <w:name w:val="style4"/>
    <w:basedOn w:val="44"/>
    <w:next w:val="45"/>
    <w:qFormat/>
    <w:uiPriority w:val="0"/>
    <w:pPr>
      <w:widowControl/>
      <w:spacing w:beforeAutospacing="1" w:afterAutospacing="1"/>
      <w:jc w:val="left"/>
    </w:pPr>
    <w:rPr>
      <w:rFonts w:ascii="宋体" w:hAnsi="宋体" w:cs="宋体"/>
      <w:kern w:val="0"/>
      <w:sz w:val="18"/>
      <w:szCs w:val="18"/>
    </w:rPr>
  </w:style>
  <w:style w:type="paragraph" w:customStyle="1" w:styleId="44">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ody Text First Indent1"/>
    <w:basedOn w:val="3"/>
    <w:qFormat/>
    <w:uiPriority w:val="0"/>
    <w:pPr>
      <w:ind w:firstLine="420" w:firstLineChars="100"/>
    </w:pPr>
  </w:style>
  <w:style w:type="paragraph" w:customStyle="1" w:styleId="47">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49">
    <w:name w:val="表格文字"/>
    <w:basedOn w:val="1"/>
    <w:next w:val="3"/>
    <w:qFormat/>
    <w:uiPriority w:val="0"/>
    <w:pPr>
      <w:adjustRightInd w:val="0"/>
      <w:spacing w:line="420" w:lineRule="atLeast"/>
      <w:jc w:val="left"/>
      <w:textAlignment w:val="baseline"/>
    </w:pPr>
    <w:rPr>
      <w:kern w:val="0"/>
    </w:rPr>
  </w:style>
  <w:style w:type="paragraph" w:customStyle="1" w:styleId="50">
    <w:name w:val="p0"/>
    <w:basedOn w:val="51"/>
    <w:qFormat/>
    <w:uiPriority w:val="0"/>
    <w:pPr>
      <w:widowControl/>
    </w:pPr>
    <w:rPr>
      <w:kern w:val="0"/>
      <w:szCs w:val="21"/>
    </w:rPr>
  </w:style>
  <w:style w:type="paragraph" w:customStyle="1" w:styleId="51">
    <w:name w:val="正文1"/>
    <w:next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文本1"/>
    <w:basedOn w:val="51"/>
    <w:qFormat/>
    <w:uiPriority w:val="99"/>
    <w:rPr>
      <w:rFonts w:eastAsia="楷体_GB2312"/>
      <w:sz w:val="28"/>
    </w:rPr>
  </w:style>
  <w:style w:type="character" w:customStyle="1" w:styleId="53">
    <w:name w:val="NormalCharacter"/>
    <w:qFormat/>
    <w:uiPriority w:val="0"/>
    <w:rPr>
      <w:rFonts w:ascii="Book Antiqua" w:hAnsi="Book Antiqua" w:eastAsia="宋体" w:cs="Times New Roman"/>
      <w:kern w:val="2"/>
      <w:sz w:val="21"/>
      <w:szCs w:val="24"/>
      <w:lang w:val="en-US" w:eastAsia="zh-CN" w:bidi="ar-SA"/>
    </w:rPr>
  </w:style>
  <w:style w:type="paragraph" w:customStyle="1" w:styleId="54">
    <w:name w:val="BodyText1I"/>
    <w:basedOn w:val="55"/>
    <w:next w:val="57"/>
    <w:qFormat/>
    <w:uiPriority w:val="0"/>
    <w:pPr>
      <w:ind w:firstLine="420" w:firstLineChars="100"/>
    </w:pPr>
    <w:rPr>
      <w:rFonts w:ascii="楷体_GB2312"/>
      <w:sz w:val="32"/>
    </w:rPr>
  </w:style>
  <w:style w:type="paragraph" w:customStyle="1" w:styleId="55">
    <w:name w:val="BodyText"/>
    <w:basedOn w:val="1"/>
    <w:next w:val="56"/>
    <w:qFormat/>
    <w:uiPriority w:val="0"/>
    <w:pPr>
      <w:textAlignment w:val="baseline"/>
    </w:pPr>
    <w:rPr>
      <w:rFonts w:ascii="Calibri" w:hAnsi="Calibri" w:eastAsia="楷体_GB2312"/>
      <w:kern w:val="0"/>
      <w:sz w:val="28"/>
    </w:rPr>
  </w:style>
  <w:style w:type="paragraph" w:customStyle="1" w:styleId="56">
    <w:name w:val="BodyText2"/>
    <w:basedOn w:val="1"/>
    <w:next w:val="55"/>
    <w:qFormat/>
    <w:uiPriority w:val="0"/>
    <w:pPr>
      <w:spacing w:after="120" w:line="480" w:lineRule="auto"/>
      <w:textAlignment w:val="baseline"/>
    </w:pPr>
  </w:style>
  <w:style w:type="paragraph" w:customStyle="1" w:styleId="57">
    <w:name w:val="BodyText1I2"/>
    <w:basedOn w:val="58"/>
    <w:qFormat/>
    <w:uiPriority w:val="0"/>
    <w:pPr>
      <w:ind w:firstLine="420" w:firstLineChars="200"/>
    </w:pPr>
  </w:style>
  <w:style w:type="paragraph" w:customStyle="1" w:styleId="58">
    <w:name w:val="BodyTextIndent"/>
    <w:basedOn w:val="1"/>
    <w:qFormat/>
    <w:uiPriority w:val="0"/>
    <w:pPr>
      <w:spacing w:after="120"/>
      <w:ind w:left="420" w:leftChars="200"/>
      <w:textAlignment w:val="baseline"/>
    </w:pPr>
  </w:style>
  <w:style w:type="paragraph" w:customStyle="1" w:styleId="59">
    <w:name w:val="TOAHeading"/>
    <w:basedOn w:val="1"/>
    <w:next w:val="1"/>
    <w:qFormat/>
    <w:uiPriority w:val="0"/>
    <w:pPr>
      <w:spacing w:before="120"/>
      <w:textAlignment w:val="baseline"/>
    </w:pPr>
    <w:rPr>
      <w:rFonts w:ascii="Arial" w:hAnsi="Arial"/>
      <w:sz w:val="24"/>
      <w:szCs w:val="22"/>
    </w:rPr>
  </w:style>
  <w:style w:type="paragraph" w:customStyle="1" w:styleId="60">
    <w:name w:val="Table Paragraph"/>
    <w:basedOn w:val="51"/>
    <w:qFormat/>
    <w:uiPriority w:val="1"/>
    <w:rPr>
      <w:rFonts w:ascii="宋体" w:hAnsi="宋体" w:cs="宋体"/>
      <w:lang w:val="zh-CN" w:bidi="zh-CN"/>
    </w:rPr>
  </w:style>
  <w:style w:type="paragraph" w:styleId="61">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62">
    <w:name w:val="_Style 41"/>
    <w:basedOn w:val="1"/>
    <w:next w:val="61"/>
    <w:qFormat/>
    <w:uiPriority w:val="34"/>
    <w:pPr>
      <w:ind w:firstLine="420" w:firstLineChars="200"/>
    </w:pPr>
    <w:rPr>
      <w:rFonts w:ascii="等线" w:hAnsi="等线" w:eastAsia="等线"/>
      <w:szCs w:val="22"/>
    </w:rPr>
  </w:style>
  <w:style w:type="paragraph" w:customStyle="1" w:styleId="63">
    <w:name w:val="首行缩进"/>
    <w:basedOn w:val="1"/>
    <w:next w:val="1"/>
    <w:qFormat/>
    <w:uiPriority w:val="0"/>
    <w:pPr>
      <w:spacing w:line="360" w:lineRule="auto"/>
      <w:ind w:left="210" w:leftChars="100" w:firstLine="420" w:firstLineChars="200"/>
    </w:pPr>
    <w:rPr>
      <w:rFonts w:ascii="宋体" w:hAnsi="宋体" w:eastAsia="宋体" w:cs="Times New Roman"/>
      <w:szCs w:val="24"/>
    </w:rPr>
  </w:style>
  <w:style w:type="character" w:customStyle="1" w:styleId="64">
    <w:name w:val="hover16"/>
    <w:basedOn w:val="28"/>
    <w:qFormat/>
    <w:uiPriority w:val="0"/>
  </w:style>
  <w:style w:type="character" w:customStyle="1" w:styleId="65">
    <w:name w:val="hover17"/>
    <w:basedOn w:val="28"/>
    <w:qFormat/>
    <w:uiPriority w:val="0"/>
  </w:style>
  <w:style w:type="character" w:customStyle="1" w:styleId="66">
    <w:name w:val="c-icon28"/>
    <w:basedOn w:val="28"/>
    <w:uiPriority w:val="0"/>
  </w:style>
  <w:style w:type="character" w:customStyle="1" w:styleId="67">
    <w:name w:val="hover27"/>
    <w:basedOn w:val="28"/>
    <w:qFormat/>
    <w:uiPriority w:val="0"/>
  </w:style>
  <w:style w:type="character" w:customStyle="1" w:styleId="68">
    <w:name w:val="hover28"/>
    <w:basedOn w:val="28"/>
    <w:uiPriority w:val="0"/>
    <w:rPr>
      <w:color w:val="315EFB"/>
    </w:rPr>
  </w:style>
  <w:style w:type="character" w:customStyle="1" w:styleId="69">
    <w:name w:val="hover29"/>
    <w:basedOn w:val="28"/>
    <w:uiPriority w:val="0"/>
    <w:rPr>
      <w:color w:val="315EFB"/>
    </w:rPr>
  </w:style>
  <w:style w:type="character" w:customStyle="1" w:styleId="70">
    <w:name w:val="hover"/>
    <w:basedOn w:val="28"/>
    <w:uiPriority w:val="0"/>
    <w:rPr>
      <w:color w:val="315EFB"/>
    </w:rPr>
  </w:style>
  <w:style w:type="character" w:customStyle="1" w:styleId="71">
    <w:name w:val="hover1"/>
    <w:basedOn w:val="28"/>
    <w:uiPriority w:val="0"/>
  </w:style>
  <w:style w:type="character" w:customStyle="1" w:styleId="72">
    <w:name w:val="hover2"/>
    <w:basedOn w:val="28"/>
    <w:uiPriority w:val="0"/>
    <w:rPr>
      <w:color w:val="315EFB"/>
    </w:rPr>
  </w:style>
  <w:style w:type="character" w:customStyle="1" w:styleId="73">
    <w:name w:val="c-icon30"/>
    <w:basedOn w:val="28"/>
    <w:uiPriority w:val="0"/>
  </w:style>
  <w:style w:type="paragraph" w:customStyle="1" w:styleId="74">
    <w:name w:val="页脚1"/>
    <w:basedOn w:val="5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8"/>
    <customShpInfo spid="_x0000_s1029"/>
    <customShpInfo spid="_x0000_s1027"/>
    <customShpInfo spid="_x0000_s2050"/>
    <customShpInfo spid="_x0000_s2051"/>
    <customShpInfo spid="_x0000_s2053"/>
    <customShpInfo spid="_x0000_s2052"/>
    <customShpInfo spid="_x0000_s2055"/>
    <customShpInfo spid="_x0000_s2054"/>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85D03-FBD8-40A3-B3B3-ABF82DB811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20353</Words>
  <Characters>22222</Characters>
  <Lines>217</Lines>
  <Paragraphs>61</Paragraphs>
  <TotalTime>8</TotalTime>
  <ScaleCrop>false</ScaleCrop>
  <LinksUpToDate>false</LinksUpToDate>
  <CharactersWithSpaces>23609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2022-05-27T00:38:00Z</dcterms:created>
  <dc:creator>DELL</dc:creator>
  <cp:lastModifiedBy>DELL</cp:lastModifiedBy>
  <cp:lastPrinted>2022-08-18T08:13:00Z</cp:lastPrinted>
  <dcterms:modified xsi:type="dcterms:W3CDTF">2022-12-08T08:58:09Z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5703602E5BDE4F539C1B9C1983ED5595</vt:lpwstr>
  </property>
</Properties>
</file>