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heme="minorEastAsia" w:hAnsiTheme="minorEastAsia" w:eastAsiaTheme="minorEastAsia" w:cstheme="minorEastAsia"/>
        </w:rPr>
      </w:pPr>
      <w:bookmarkStart w:id="0" w:name="_Toc281574833"/>
    </w:p>
    <w:p>
      <w:pPr>
        <w:pStyle w:val="4"/>
        <w:rPr>
          <w:rFonts w:asciiTheme="minorEastAsia" w:hAnsiTheme="minorEastAsia" w:eastAsiaTheme="minorEastAsia" w:cstheme="minorEastAsia"/>
        </w:rPr>
      </w:pPr>
    </w:p>
    <w:p>
      <w:pPr>
        <w:spacing w:line="360" w:lineRule="auto"/>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博爱县人民医院血液透析设备采购项目（</w:t>
      </w:r>
      <w:r>
        <w:rPr>
          <w:rFonts w:hint="eastAsia" w:asciiTheme="majorEastAsia" w:hAnsiTheme="majorEastAsia" w:eastAsiaTheme="majorEastAsia" w:cstheme="majorEastAsia"/>
          <w:b/>
          <w:bCs/>
          <w:sz w:val="44"/>
          <w:szCs w:val="44"/>
          <w:lang w:val="en-US" w:eastAsia="zh-CN"/>
        </w:rPr>
        <w:t>二次</w:t>
      </w:r>
      <w:r>
        <w:rPr>
          <w:rFonts w:hint="eastAsia" w:asciiTheme="majorEastAsia" w:hAnsiTheme="majorEastAsia" w:eastAsiaTheme="majorEastAsia" w:cstheme="majorEastAsia"/>
          <w:b/>
          <w:bCs/>
          <w:sz w:val="44"/>
          <w:szCs w:val="44"/>
          <w:lang w:eastAsia="zh-CN"/>
        </w:rPr>
        <w:t>）</w:t>
      </w: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3"/>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spacing w:line="360" w:lineRule="auto"/>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采购编号：博政采购</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2022</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108号</w:t>
      </w:r>
    </w:p>
    <w:p>
      <w:pPr>
        <w:snapToGrid w:val="0"/>
        <w:spacing w:line="360" w:lineRule="auto"/>
        <w:ind w:firstLine="2397" w:firstLineChars="746"/>
        <w:jc w:val="both"/>
        <w:rPr>
          <w:rFonts w:ascii="宋体"/>
          <w:b/>
          <w:color w:val="auto"/>
          <w:kern w:val="0"/>
          <w:sz w:val="32"/>
          <w:szCs w:val="32"/>
          <w:u w:val="double"/>
        </w:rPr>
      </w:pPr>
      <w:r>
        <w:rPr>
          <w:rFonts w:hint="eastAsia" w:ascii="宋体"/>
          <w:b/>
          <w:color w:val="auto"/>
          <w:kern w:val="0"/>
          <w:sz w:val="32"/>
          <w:szCs w:val="32"/>
          <w:u w:val="double"/>
          <w:lang w:val="en-US" w:eastAsia="zh-CN"/>
        </w:rPr>
        <w:t>该项目全额面向中小企业采购</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3"/>
        <w:rPr>
          <w:rFonts w:asciiTheme="minorEastAsia" w:hAnsiTheme="minorEastAsia" w:eastAsiaTheme="minorEastAsia" w:cstheme="minorEastAsia"/>
        </w:rPr>
      </w:pPr>
    </w:p>
    <w:p>
      <w:pPr>
        <w:pStyle w:val="4"/>
        <w:rPr>
          <w:rFonts w:asciiTheme="minorEastAsia" w:hAnsiTheme="minorEastAsia" w:eastAsiaTheme="minorEastAsia" w:cstheme="minorEastAsia"/>
        </w:rPr>
      </w:pPr>
    </w:p>
    <w:p>
      <w:pPr>
        <w:pStyle w:val="3"/>
      </w:pP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 购 人：博爱县人民医院</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代理机构：博爱县城市建设项目管理有限公司</w:t>
      </w:r>
    </w:p>
    <w:p>
      <w:pPr>
        <w:ind w:firstLine="1928" w:firstLineChars="600"/>
        <w:rPr>
          <w:rFonts w:asciiTheme="minorEastAsia" w:hAnsiTheme="minorEastAsia" w:eastAsiaTheme="minorEastAsia" w:cstheme="minorEastAsia"/>
          <w:b/>
          <w:bCs/>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期：2022年</w:t>
      </w:r>
      <w:r>
        <w:rPr>
          <w:rFonts w:hint="eastAsia" w:asciiTheme="minorEastAsia" w:hAnsiTheme="minorEastAsia" w:eastAsiaTheme="minorEastAsia" w:cstheme="minorEastAsia"/>
          <w:b/>
          <w:bCs/>
          <w:sz w:val="32"/>
          <w:szCs w:val="32"/>
          <w:lang w:val="en-US" w:eastAsia="zh-CN"/>
        </w:rPr>
        <w:t>12</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21"/>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21"/>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21"/>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21"/>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 xml:space="preserve"> 评标办法（综合评分法）</w:t>
      </w:r>
      <w:r>
        <w:tab/>
      </w:r>
      <w:r>
        <w:fldChar w:fldCharType="begin"/>
      </w:r>
      <w:r>
        <w:instrText xml:space="preserve"> PAGEREF _Toc8251 \h </w:instrText>
      </w:r>
      <w:r>
        <w:fldChar w:fldCharType="separate"/>
      </w:r>
      <w:r>
        <w:t>- 21 -</w:t>
      </w:r>
      <w:r>
        <w:fldChar w:fldCharType="end"/>
      </w:r>
      <w:r>
        <w:fldChar w:fldCharType="end"/>
      </w:r>
    </w:p>
    <w:p>
      <w:pPr>
        <w:pStyle w:val="21"/>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- 26 -</w:t>
      </w:r>
      <w:r>
        <w:fldChar w:fldCharType="end"/>
      </w:r>
      <w:r>
        <w:fldChar w:fldCharType="end"/>
      </w:r>
    </w:p>
    <w:p>
      <w:pPr>
        <w:pStyle w:val="21"/>
        <w:tabs>
          <w:tab w:val="right" w:leader="dot" w:pos="9880"/>
        </w:tabs>
        <w:rPr>
          <w:rFonts w:asciiTheme="minorEastAsia" w:hAnsiTheme="minorEastAsia" w:eastAsiaTheme="minorEastAsia" w:cstheme="minorEastAsia"/>
          <w:bCs/>
          <w:caps/>
          <w:szCs w:val="21"/>
          <w:lang w:val="zh-CN"/>
        </w:rPr>
      </w:pPr>
      <w:r>
        <w:fldChar w:fldCharType="begin"/>
      </w:r>
      <w:r>
        <w:instrText xml:space="preserve"> HYPERLINK \l "_Toc18967" </w:instrText>
      </w:r>
      <w:r>
        <w:fldChar w:fldCharType="separate"/>
      </w:r>
      <w:r>
        <w:rPr>
          <w:rFonts w:hint="eastAsia" w:asciiTheme="minorEastAsia" w:hAnsiTheme="minorEastAsia" w:eastAsiaTheme="minorEastAsia" w:cstheme="minorEastAsia"/>
          <w:bCs/>
          <w:caps/>
          <w:szCs w:val="21"/>
          <w:lang w:val="zh-CN"/>
        </w:rPr>
        <w:t>第五章</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采购内容及需求</w:t>
      </w:r>
      <w:r>
        <w:tab/>
      </w:r>
      <w:r>
        <w:rPr>
          <w:rFonts w:hint="eastAsia" w:asciiTheme="minorEastAsia" w:hAnsiTheme="minorEastAsia" w:eastAsiaTheme="minorEastAsia" w:cstheme="minorEastAsia"/>
          <w:bCs/>
          <w:caps/>
          <w:szCs w:val="21"/>
          <w:lang w:val="zh-CN"/>
        </w:rPr>
        <w:fldChar w:fldCharType="begin"/>
      </w:r>
      <w:r>
        <w:rPr>
          <w:rFonts w:hint="eastAsia" w:asciiTheme="minorEastAsia" w:hAnsiTheme="minorEastAsia" w:eastAsiaTheme="minorEastAsia" w:cstheme="minorEastAsia"/>
          <w:bCs/>
          <w:caps/>
          <w:szCs w:val="21"/>
          <w:lang w:val="zh-CN"/>
        </w:rPr>
        <w:instrText xml:space="preserve"> PAGEREF _Toc18967 \h </w:instrText>
      </w:r>
      <w:r>
        <w:rPr>
          <w:rFonts w:hint="eastAsia" w:asciiTheme="minorEastAsia" w:hAnsiTheme="minorEastAsia" w:eastAsiaTheme="minorEastAsia" w:cstheme="minorEastAsia"/>
          <w:bCs/>
          <w:caps/>
          <w:szCs w:val="21"/>
          <w:lang w:val="zh-CN"/>
        </w:rPr>
        <w:fldChar w:fldCharType="separate"/>
      </w:r>
      <w:r>
        <w:rPr>
          <w:rFonts w:hint="eastAsia" w:asciiTheme="minorEastAsia" w:hAnsiTheme="minorEastAsia" w:eastAsiaTheme="minorEastAsia" w:cstheme="minorEastAsia"/>
          <w:bCs/>
          <w:caps/>
          <w:szCs w:val="21"/>
          <w:lang w:val="zh-CN"/>
        </w:rPr>
        <w:t>- 28 -</w:t>
      </w:r>
      <w:r>
        <w:rPr>
          <w:rFonts w:hint="eastAsia" w:asciiTheme="minorEastAsia" w:hAnsiTheme="minorEastAsia" w:eastAsiaTheme="minorEastAsia" w:cstheme="minorEastAsia"/>
          <w:bCs/>
          <w:caps/>
          <w:szCs w:val="21"/>
          <w:lang w:val="zh-CN"/>
        </w:rPr>
        <w:fldChar w:fldCharType="end"/>
      </w:r>
      <w:r>
        <w:rPr>
          <w:rFonts w:hint="eastAsia" w:asciiTheme="minorEastAsia" w:hAnsiTheme="minorEastAsia" w:eastAsiaTheme="minorEastAsia" w:cstheme="minorEastAsia"/>
          <w:bCs/>
          <w:caps/>
          <w:szCs w:val="21"/>
          <w:lang w:val="zh-CN"/>
        </w:rPr>
        <w:fldChar w:fldCharType="end"/>
      </w:r>
    </w:p>
    <w:p>
      <w:pPr>
        <w:pStyle w:val="21"/>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第六章</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 xml:space="preserve"> 质疑与</w:t>
      </w:r>
      <w:r>
        <w:rPr>
          <w:rFonts w:hint="eastAsia" w:asciiTheme="minorEastAsia" w:hAnsiTheme="minorEastAsia" w:eastAsiaTheme="minorEastAsia" w:cstheme="minorEastAsia"/>
          <w:bCs/>
          <w:caps/>
          <w:szCs w:val="21"/>
        </w:rPr>
        <w:t>投诉</w:t>
      </w:r>
      <w:r>
        <w:tab/>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-34-</w:t>
      </w:r>
    </w:p>
    <w:p>
      <w:pPr>
        <w:pStyle w:val="21"/>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 xml:space="preserve">第七章 </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履约</w:t>
      </w:r>
      <w:r>
        <w:rPr>
          <w:rFonts w:hint="eastAsia" w:asciiTheme="minorEastAsia" w:hAnsiTheme="minorEastAsia" w:eastAsiaTheme="minorEastAsia" w:cstheme="minorEastAsia"/>
          <w:bCs/>
          <w:caps/>
          <w:szCs w:val="21"/>
        </w:rPr>
        <w:t>验</w:t>
      </w:r>
      <w:r>
        <w:rPr>
          <w:rFonts w:hint="eastAsia" w:asciiTheme="minorEastAsia" w:hAnsiTheme="minorEastAsia" w:eastAsiaTheme="minorEastAsia" w:cstheme="minorEastAsia"/>
          <w:bCs/>
          <w:caps/>
          <w:szCs w:val="21"/>
          <w:lang w:val="zh-CN"/>
        </w:rPr>
        <w:t>收</w:t>
      </w:r>
      <w:r>
        <w:tab/>
      </w:r>
      <w:r>
        <w:rPr>
          <w:rFonts w:hint="eastAsia" w:asciiTheme="minorEastAsia" w:hAnsiTheme="minorEastAsia" w:eastAsiaTheme="minorEastAsia" w:cstheme="minorEastAsia"/>
          <w:bCs/>
          <w:caps/>
          <w:szCs w:val="21"/>
          <w:lang w:val="zh-CN"/>
        </w:rPr>
        <w:t>-36-</w:t>
      </w:r>
    </w:p>
    <w:p>
      <w:pPr>
        <w:pStyle w:val="21"/>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第八章  投标文件格式</w:t>
      </w:r>
      <w:r>
        <w:tab/>
      </w:r>
      <w:r>
        <w:rPr>
          <w:rFonts w:hint="eastAsia" w:asciiTheme="minorEastAsia" w:hAnsiTheme="minorEastAsia" w:eastAsiaTheme="minorEastAsia" w:cstheme="minorEastAsia"/>
          <w:bCs/>
          <w:caps/>
          <w:szCs w:val="21"/>
          <w:lang w:val="zh-CN"/>
        </w:rPr>
        <w:fldChar w:fldCharType="begin"/>
      </w:r>
      <w:r>
        <w:rPr>
          <w:rFonts w:hint="eastAsia" w:asciiTheme="minorEastAsia" w:hAnsiTheme="minorEastAsia" w:eastAsiaTheme="minorEastAsia" w:cstheme="minorEastAsia"/>
          <w:bCs/>
          <w:caps/>
          <w:szCs w:val="21"/>
          <w:lang w:val="zh-CN"/>
        </w:rPr>
        <w:instrText xml:space="preserve"> PAGEREF _Toc12999 \h </w:instrText>
      </w:r>
      <w:r>
        <w:rPr>
          <w:rFonts w:hint="eastAsia" w:asciiTheme="minorEastAsia" w:hAnsiTheme="minorEastAsia" w:eastAsiaTheme="minorEastAsia" w:cstheme="minorEastAsia"/>
          <w:bCs/>
          <w:caps/>
          <w:szCs w:val="21"/>
          <w:lang w:val="zh-CN"/>
        </w:rPr>
        <w:fldChar w:fldCharType="separate"/>
      </w:r>
      <w:r>
        <w:rPr>
          <w:rFonts w:hint="eastAsia" w:asciiTheme="minorEastAsia" w:hAnsiTheme="minorEastAsia" w:eastAsiaTheme="minorEastAsia" w:cstheme="minorEastAsia"/>
          <w:bCs/>
          <w:caps/>
          <w:szCs w:val="21"/>
          <w:lang w:val="zh-CN"/>
        </w:rPr>
        <w:t>- 35 -</w:t>
      </w:r>
      <w:r>
        <w:rPr>
          <w:rFonts w:hint="eastAsia" w:asciiTheme="minorEastAsia" w:hAnsiTheme="minorEastAsia" w:eastAsiaTheme="minorEastAsia" w:cstheme="minorEastAsia"/>
          <w:bCs/>
          <w:caps/>
          <w:szCs w:val="21"/>
          <w:lang w:val="zh-CN"/>
        </w:rPr>
        <w:fldChar w:fldCharType="end"/>
      </w:r>
    </w:p>
    <w:p>
      <w:pPr>
        <w:rPr>
          <w:lang w:val="zh-CN"/>
        </w:rPr>
      </w:pPr>
    </w:p>
    <w:p/>
    <w:p>
      <w:pPr>
        <w:pStyle w:val="21"/>
        <w:tabs>
          <w:tab w:val="right" w:leader="dot" w:pos="9880"/>
        </w:tabs>
        <w:rPr>
          <w:rFonts w:asciiTheme="minorEastAsia" w:hAnsiTheme="minorEastAsia" w:eastAsiaTheme="minorEastAsia" w:cstheme="minorEastAsia"/>
          <w:bCs/>
          <w:caps/>
          <w:szCs w:val="21"/>
          <w:lang w:val="zh-CN"/>
        </w:rPr>
      </w:pPr>
    </w:p>
    <w:p>
      <w:pPr>
        <w:pStyle w:val="22"/>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rPr>
          <w:rFonts w:asciiTheme="minorEastAsia" w:hAnsiTheme="minorEastAsia" w:eastAsiaTheme="minorEastAsia" w:cstheme="minorEastAsia"/>
          <w:bCs/>
        </w:rPr>
      </w:pPr>
    </w:p>
    <w:p>
      <w:pPr>
        <w:pStyle w:val="24"/>
        <w:spacing w:line="360" w:lineRule="auto"/>
        <w:ind w:right="-63" w:rightChars="-30"/>
        <w:jc w:val="both"/>
        <w:rPr>
          <w:rFonts w:asciiTheme="minorEastAsia" w:hAnsiTheme="minorEastAsia" w:eastAsiaTheme="minorEastAsia" w:cstheme="minorEastAsia"/>
          <w:bCs/>
        </w:rPr>
      </w:pPr>
    </w:p>
    <w:p>
      <w:pPr>
        <w:pStyle w:val="9"/>
        <w:rPr>
          <w:rFonts w:ascii="宋体" w:hAnsi="宋体" w:cs="宋体"/>
        </w:rPr>
      </w:pPr>
      <w:bookmarkStart w:id="1" w:name="_Toc2773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3"/>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360" w:lineRule="auto"/>
        <w:ind w:firstLine="480" w:firstLineChars="200"/>
        <w:jc w:val="both"/>
      </w:pPr>
      <w:r>
        <w:rPr>
          <w:rFonts w:hint="eastAsia"/>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3"/>
        <w:spacing w:before="0" w:beforeAutospacing="0" w:after="0" w:afterAutospacing="0" w:line="360" w:lineRule="auto"/>
        <w:ind w:firstLine="480" w:firstLineChars="200"/>
        <w:jc w:val="both"/>
      </w:pPr>
      <w:r>
        <w:rPr>
          <w:rFonts w:hint="eastAsia"/>
        </w:rPr>
        <w:t>1、未按招标文件明示的规定签字盖章的；</w:t>
      </w:r>
    </w:p>
    <w:p>
      <w:pPr>
        <w:pStyle w:val="23"/>
        <w:spacing w:before="0" w:beforeAutospacing="0" w:after="0" w:afterAutospacing="0" w:line="360" w:lineRule="auto"/>
        <w:ind w:firstLine="480" w:firstLineChars="200"/>
        <w:jc w:val="both"/>
      </w:pPr>
      <w:r>
        <w:rPr>
          <w:rFonts w:hint="eastAsia"/>
        </w:rPr>
        <w:t>2、投标文件的关键内容（供货</w:t>
      </w:r>
      <w:r>
        <w:rPr>
          <w:rFonts w:hint="eastAsia"/>
          <w:lang w:val="en-US" w:eastAsia="zh-CN"/>
        </w:rPr>
        <w:t>安装</w:t>
      </w:r>
      <w:r>
        <w:rPr>
          <w:rFonts w:hint="eastAsia"/>
        </w:rPr>
        <w:t>期、质量标准、品牌、型号等）未填写或填写字迹模糊、达不到采购要求的；</w:t>
      </w:r>
    </w:p>
    <w:p>
      <w:pPr>
        <w:pStyle w:val="23"/>
        <w:spacing w:before="0" w:beforeAutospacing="0" w:after="0" w:afterAutospacing="0" w:line="360" w:lineRule="auto"/>
        <w:ind w:firstLine="480" w:firstLineChars="200"/>
        <w:jc w:val="both"/>
      </w:pPr>
      <w:r>
        <w:rPr>
          <w:rFonts w:hint="eastAsia"/>
        </w:rPr>
        <w:t>3、投标报价超出招标控制价的；</w:t>
      </w:r>
    </w:p>
    <w:p>
      <w:pPr>
        <w:pStyle w:val="23"/>
        <w:spacing w:before="0" w:beforeAutospacing="0" w:after="0" w:afterAutospacing="0" w:line="360" w:lineRule="auto"/>
        <w:ind w:firstLine="480" w:firstLineChars="200"/>
        <w:jc w:val="both"/>
      </w:pPr>
      <w:r>
        <w:rPr>
          <w:rFonts w:hint="eastAsia"/>
        </w:rPr>
        <w:t>4、供应商递交两份或多份内容不同的投标文件，或在一份投标文件中对同一招标项目有两个或多个报价，且未声明哪一个有效的；</w:t>
      </w:r>
    </w:p>
    <w:p>
      <w:pPr>
        <w:pStyle w:val="23"/>
        <w:spacing w:before="0" w:beforeAutospacing="0" w:after="0" w:afterAutospacing="0" w:line="360" w:lineRule="auto"/>
        <w:ind w:firstLine="480" w:firstLineChars="200"/>
        <w:jc w:val="both"/>
      </w:pPr>
      <w:r>
        <w:rPr>
          <w:rFonts w:hint="eastAsia"/>
        </w:rPr>
        <w:t>5、相关资格证明文件不合格的；</w:t>
      </w:r>
    </w:p>
    <w:p>
      <w:pPr>
        <w:pStyle w:val="23"/>
        <w:spacing w:before="0" w:beforeAutospacing="0" w:after="0" w:afterAutospacing="0" w:line="360" w:lineRule="auto"/>
        <w:ind w:firstLine="480" w:firstLineChars="200"/>
        <w:jc w:val="both"/>
      </w:pPr>
      <w:r>
        <w:rPr>
          <w:rFonts w:hint="eastAsia"/>
        </w:rPr>
        <w:t>6、未按要求在报价明细表中标明品牌、型号及技术参数的。</w:t>
      </w:r>
    </w:p>
    <w:p>
      <w:pPr>
        <w:pStyle w:val="23"/>
        <w:spacing w:before="0" w:beforeAutospacing="0" w:after="0" w:afterAutospacing="0" w:line="360" w:lineRule="auto"/>
        <w:ind w:firstLine="480" w:firstLineChars="200"/>
        <w:jc w:val="both"/>
      </w:pPr>
      <w:r>
        <w:rPr>
          <w:rFonts w:hint="eastAsia"/>
        </w:rPr>
        <w:t>7、附有采购人不能接受的条件的；</w:t>
      </w:r>
    </w:p>
    <w:p>
      <w:pPr>
        <w:pStyle w:val="23"/>
        <w:spacing w:before="0" w:beforeAutospacing="0" w:after="0" w:afterAutospacing="0" w:line="360" w:lineRule="auto"/>
        <w:ind w:firstLine="480" w:firstLineChars="200"/>
        <w:jc w:val="both"/>
      </w:pPr>
      <w:r>
        <w:rPr>
          <w:rFonts w:hint="eastAsia"/>
        </w:rPr>
        <w:t>8、评标过程中，如因两个或两个以上投标人在同一台计算或同一个IP上传响应文件，而被不见面开标系统提示为“投标文件制作机器码一致”的，则视其投标无效。</w:t>
      </w:r>
    </w:p>
    <w:p>
      <w:pPr>
        <w:pStyle w:val="23"/>
        <w:spacing w:before="0" w:beforeAutospacing="0" w:after="0" w:afterAutospacing="0" w:line="360" w:lineRule="auto"/>
        <w:ind w:firstLine="480" w:firstLineChars="200"/>
        <w:jc w:val="both"/>
      </w:pPr>
      <w:r>
        <w:rPr>
          <w:rFonts w:hint="eastAsia"/>
        </w:rPr>
        <w:t>9、投标文件有明显不符合招标文件其它要求和有关法律法规的。</w:t>
      </w:r>
    </w:p>
    <w:p>
      <w:pPr>
        <w:pStyle w:val="9"/>
        <w:spacing w:before="0" w:after="0" w:line="360" w:lineRule="auto"/>
        <w:ind w:firstLine="643" w:firstLineChars="200"/>
        <w:rPr>
          <w:rFonts w:ascii="宋体" w:hAnsi="宋体" w:cs="宋体"/>
          <w:sz w:val="32"/>
          <w:szCs w:val="32"/>
        </w:rPr>
      </w:pPr>
    </w:p>
    <w:p>
      <w:pPr>
        <w:pStyle w:val="9"/>
        <w:spacing w:before="0" w:after="0" w:line="360" w:lineRule="auto"/>
        <w:ind w:firstLine="643" w:firstLineChars="200"/>
        <w:rPr>
          <w:rFonts w:ascii="宋体" w:hAnsi="宋体" w:cs="宋体"/>
          <w:sz w:val="32"/>
          <w:szCs w:val="32"/>
        </w:rPr>
      </w:pPr>
    </w:p>
    <w:p>
      <w:pPr>
        <w:rPr>
          <w:rFonts w:ascii="宋体" w:hAnsi="宋体" w:cs="宋体"/>
          <w:sz w:val="32"/>
          <w:szCs w:val="32"/>
        </w:rPr>
      </w:pPr>
    </w:p>
    <w:p>
      <w:pPr>
        <w:pStyle w:val="12"/>
        <w:rPr>
          <w:rFonts w:ascii="宋体" w:hAnsi="宋体" w:cs="宋体"/>
          <w:sz w:val="32"/>
          <w:szCs w:val="32"/>
        </w:rPr>
      </w:pPr>
    </w:p>
    <w:p>
      <w:pPr>
        <w:rPr>
          <w:rFonts w:ascii="宋体" w:hAnsi="宋体" w:cs="宋体"/>
          <w:sz w:val="32"/>
          <w:szCs w:val="32"/>
        </w:rPr>
      </w:pPr>
    </w:p>
    <w:p>
      <w:pPr>
        <w:pStyle w:val="12"/>
        <w:rPr>
          <w:rFonts w:ascii="宋体" w:hAnsi="宋体" w:cs="宋体"/>
          <w:sz w:val="32"/>
          <w:szCs w:val="32"/>
        </w:rPr>
      </w:pPr>
    </w:p>
    <w:p>
      <w:pPr>
        <w:rPr>
          <w:rFonts w:ascii="宋体" w:hAnsi="宋体" w:cs="宋体"/>
          <w:sz w:val="32"/>
          <w:szCs w:val="32"/>
        </w:rPr>
      </w:pPr>
    </w:p>
    <w:p>
      <w:pPr>
        <w:pStyle w:val="12"/>
      </w:pPr>
    </w:p>
    <w:p>
      <w:pPr>
        <w:rPr>
          <w:rFonts w:ascii="宋体" w:hAnsi="宋体" w:cs="宋体"/>
          <w:b/>
          <w:bCs/>
          <w:sz w:val="32"/>
          <w:szCs w:val="32"/>
        </w:rPr>
      </w:pPr>
    </w:p>
    <w:p>
      <w:pPr>
        <w:pStyle w:val="24"/>
        <w:spacing w:line="360" w:lineRule="auto"/>
        <w:ind w:right="-63" w:rightChars="-30"/>
        <w:jc w:val="both"/>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
      </w:pPr>
    </w:p>
    <w:p>
      <w:pPr>
        <w:pStyle w:val="24"/>
        <w:spacing w:line="600" w:lineRule="exact"/>
        <w:ind w:right="-63" w:rightChars="-30"/>
        <w:rPr>
          <w:rFonts w:hint="eastAsia" w:asciiTheme="minorEastAsia" w:hAnsiTheme="minorEastAsia" w:eastAsiaTheme="minorEastAsia" w:cstheme="minorEastAsia"/>
          <w:sz w:val="36"/>
          <w:szCs w:val="36"/>
        </w:rPr>
      </w:pPr>
      <w:bookmarkStart w:id="2" w:name="_Toc23622"/>
      <w:r>
        <w:rPr>
          <w:rFonts w:hint="eastAsia" w:asciiTheme="minorEastAsia" w:hAnsiTheme="minorEastAsia" w:eastAsiaTheme="minorEastAsia" w:cstheme="minorEastAsia"/>
          <w:sz w:val="36"/>
          <w:szCs w:val="36"/>
          <w:lang w:val="en-US" w:eastAsia="zh-CN"/>
        </w:rPr>
        <w:t>第一章</w:t>
      </w:r>
      <w:r>
        <w:rPr>
          <w:rFonts w:hint="eastAsia" w:asciiTheme="minorEastAsia" w:hAnsiTheme="minorEastAsia" w:eastAsiaTheme="minorEastAsia" w:cstheme="minorEastAsia"/>
          <w:sz w:val="36"/>
          <w:szCs w:val="36"/>
        </w:rPr>
        <w:t xml:space="preserve">   招标公告</w:t>
      </w:r>
      <w:bookmarkEnd w:id="2"/>
    </w:p>
    <w:p>
      <w:pPr>
        <w:spacing w:line="360" w:lineRule="auto"/>
        <w:jc w:val="center"/>
        <w:rPr>
          <w:rFonts w:hint="eastAsia" w:ascii="宋体" w:hAnsi="宋体" w:eastAsia="宋体" w:cs="宋体"/>
          <w:b/>
          <w:bCs/>
          <w:sz w:val="32"/>
          <w:szCs w:val="32"/>
          <w:lang w:eastAsia="zh-CN"/>
        </w:rPr>
      </w:pPr>
      <w:r>
        <w:rPr>
          <w:rFonts w:hint="eastAsia" w:ascii="宋体" w:hAnsi="宋体" w:cs="宋体"/>
          <w:b/>
          <w:bCs/>
          <w:sz w:val="32"/>
          <w:szCs w:val="32"/>
        </w:rPr>
        <w:t>博爱县人民医院血液透析设备</w:t>
      </w:r>
      <w:r>
        <w:rPr>
          <w:rFonts w:hint="eastAsia" w:ascii="宋体" w:hAnsi="宋体" w:cs="宋体"/>
          <w:b/>
          <w:bCs/>
          <w:sz w:val="32"/>
          <w:szCs w:val="32"/>
          <w:lang w:val="en-US" w:eastAsia="zh-CN"/>
        </w:rPr>
        <w:t>采购</w:t>
      </w:r>
      <w:r>
        <w:rPr>
          <w:rFonts w:hint="eastAsia" w:ascii="宋体" w:hAnsi="宋体" w:cs="宋体"/>
          <w:b/>
          <w:bCs/>
          <w:sz w:val="32"/>
          <w:szCs w:val="32"/>
        </w:rPr>
        <w:t>项目</w:t>
      </w:r>
      <w:r>
        <w:rPr>
          <w:rFonts w:hint="eastAsia" w:ascii="宋体" w:hAnsi="宋体" w:cs="宋体"/>
          <w:b/>
          <w:bCs/>
          <w:sz w:val="32"/>
          <w:szCs w:val="32"/>
          <w:lang w:eastAsia="zh-CN"/>
        </w:rPr>
        <w:t>（</w:t>
      </w:r>
      <w:r>
        <w:rPr>
          <w:rFonts w:hint="eastAsia" w:ascii="宋体" w:hAnsi="宋体" w:cs="宋体"/>
          <w:b/>
          <w:bCs/>
          <w:sz w:val="32"/>
          <w:szCs w:val="32"/>
          <w:lang w:val="en-US" w:eastAsia="zh-CN"/>
        </w:rPr>
        <w:t>二次</w:t>
      </w:r>
      <w:r>
        <w:rPr>
          <w:rFonts w:hint="eastAsia" w:ascii="宋体" w:hAnsi="宋体" w:cs="宋体"/>
          <w:b/>
          <w:bCs/>
          <w:sz w:val="32"/>
          <w:szCs w:val="32"/>
          <w:lang w:eastAsia="zh-CN"/>
        </w:rPr>
        <w:t>）</w:t>
      </w:r>
    </w:p>
    <w:tbl>
      <w:tblPr>
        <w:tblStyle w:val="26"/>
        <w:tblW w:w="9743" w:type="dxa"/>
        <w:tblInd w:w="2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43" w:type="dxa"/>
          </w:tcPr>
          <w:p>
            <w:pPr>
              <w:pStyle w:val="5"/>
              <w:spacing w:line="440" w:lineRule="exact"/>
              <w:ind w:firstLine="480"/>
              <w:rPr>
                <w:rFonts w:ascii="宋体" w:hAnsi="宋体" w:cs="宋体"/>
                <w:sz w:val="24"/>
              </w:rPr>
            </w:pPr>
            <w:r>
              <w:rPr>
                <w:rFonts w:hint="eastAsia" w:ascii="宋体" w:hAnsi="宋体" w:cs="宋体"/>
                <w:sz w:val="24"/>
              </w:rPr>
              <w:t>项目概况：</w:t>
            </w:r>
            <w:r>
              <w:rPr>
                <w:rFonts w:hint="eastAsia" w:ascii="宋体" w:hAnsi="宋体" w:cs="宋体"/>
                <w:sz w:val="24"/>
                <w:lang w:eastAsia="zh-CN"/>
              </w:rPr>
              <w:t>博爱县人民医院血液透析设备采购项目</w:t>
            </w:r>
            <w:r>
              <w:rPr>
                <w:rFonts w:hint="eastAsia" w:ascii="宋体" w:hAnsi="宋体" w:cs="宋体"/>
                <w:sz w:val="24"/>
              </w:rPr>
              <w:t>的潜在供应商应在焦作市公共资源交易中心网站获取采购文件，并</w:t>
            </w:r>
            <w:r>
              <w:rPr>
                <w:rFonts w:hint="eastAsia" w:ascii="宋体" w:hAnsi="宋体" w:cs="宋体"/>
                <w:color w:val="auto"/>
                <w:sz w:val="24"/>
              </w:rPr>
              <w:t>于</w:t>
            </w:r>
            <w:r>
              <w:rPr>
                <w:rFonts w:hint="eastAsia" w:ascii="宋体" w:hAnsi="宋体" w:cs="宋体"/>
                <w:color w:val="auto"/>
                <w:kern w:val="0"/>
                <w:sz w:val="24"/>
                <w:u w:val="single"/>
              </w:rPr>
              <w:t>2022年</w:t>
            </w:r>
            <w:r>
              <w:rPr>
                <w:rFonts w:hint="eastAsia" w:ascii="宋体" w:hAnsi="宋体" w:cs="宋体"/>
                <w:color w:val="auto"/>
                <w:kern w:val="0"/>
                <w:sz w:val="24"/>
                <w:u w:val="single"/>
                <w:lang w:val="en-US" w:eastAsia="zh-CN"/>
              </w:rPr>
              <w:t>12</w:t>
            </w:r>
            <w:r>
              <w:rPr>
                <w:rFonts w:hint="eastAsia" w:ascii="宋体" w:hAnsi="宋体" w:cs="宋体"/>
                <w:color w:val="auto"/>
                <w:kern w:val="0"/>
                <w:sz w:val="24"/>
                <w:u w:val="single"/>
              </w:rPr>
              <w:t>月</w:t>
            </w:r>
            <w:r>
              <w:rPr>
                <w:rFonts w:hint="eastAsia" w:ascii="宋体" w:hAnsi="宋体" w:cs="宋体"/>
                <w:color w:val="auto"/>
                <w:kern w:val="0"/>
                <w:sz w:val="24"/>
                <w:u w:val="single"/>
                <w:lang w:val="en-US" w:eastAsia="zh-CN"/>
              </w:rPr>
              <w:t>28</w:t>
            </w:r>
            <w:r>
              <w:rPr>
                <w:rFonts w:hint="eastAsia" w:ascii="宋体" w:hAnsi="宋体" w:cs="宋体"/>
                <w:color w:val="auto"/>
                <w:kern w:val="0"/>
                <w:sz w:val="24"/>
                <w:u w:val="single"/>
              </w:rPr>
              <w:t>日上午</w:t>
            </w:r>
            <w:r>
              <w:rPr>
                <w:rFonts w:hint="eastAsia" w:ascii="宋体" w:hAnsi="宋体" w:cs="宋体"/>
                <w:color w:val="auto"/>
                <w:kern w:val="0"/>
                <w:sz w:val="24"/>
                <w:u w:val="single"/>
                <w:lang w:val="en-US" w:eastAsia="zh-CN"/>
              </w:rPr>
              <w:t>9</w:t>
            </w:r>
            <w:r>
              <w:rPr>
                <w:rFonts w:hint="eastAsia" w:ascii="宋体" w:hAnsi="宋体" w:cs="宋体"/>
                <w:color w:val="auto"/>
                <w:kern w:val="0"/>
                <w:sz w:val="24"/>
                <w:u w:val="single"/>
              </w:rPr>
              <w:t>点</w:t>
            </w:r>
            <w:r>
              <w:rPr>
                <w:rFonts w:hint="eastAsia" w:ascii="宋体" w:hAnsi="宋体" w:cs="宋体"/>
                <w:color w:val="auto"/>
                <w:kern w:val="0"/>
                <w:sz w:val="24"/>
                <w:u w:val="single"/>
                <w:lang w:val="en-US" w:eastAsia="zh-CN"/>
              </w:rPr>
              <w:t>00</w:t>
            </w:r>
            <w:r>
              <w:rPr>
                <w:rFonts w:hint="eastAsia" w:ascii="宋体" w:hAnsi="宋体" w:cs="宋体"/>
                <w:color w:val="auto"/>
                <w:kern w:val="0"/>
                <w:sz w:val="24"/>
                <w:u w:val="single"/>
              </w:rPr>
              <w:t>分</w:t>
            </w:r>
            <w:r>
              <w:rPr>
                <w:rFonts w:hint="eastAsia" w:ascii="宋体" w:hAnsi="宋体" w:cs="宋体"/>
                <w:color w:val="auto"/>
                <w:sz w:val="24"/>
                <w:u w:val="single"/>
              </w:rPr>
              <w:t>（</w:t>
            </w:r>
            <w:r>
              <w:rPr>
                <w:rFonts w:hint="eastAsia" w:ascii="宋体" w:hAnsi="宋体" w:cs="宋体"/>
                <w:sz w:val="24"/>
                <w:u w:val="single"/>
              </w:rPr>
              <w:t>北京时间）</w:t>
            </w:r>
            <w:r>
              <w:rPr>
                <w:rFonts w:hint="eastAsia" w:ascii="宋体" w:hAnsi="宋体" w:cs="宋体"/>
                <w:sz w:val="24"/>
              </w:rPr>
              <w:t>前提交响应文件。</w:t>
            </w:r>
          </w:p>
        </w:tc>
      </w:tr>
    </w:tbl>
    <w:p>
      <w:pPr>
        <w:pStyle w:val="37"/>
        <w:spacing w:line="440" w:lineRule="exact"/>
        <w:ind w:left="0" w:firstLine="0"/>
        <w:rPr>
          <w:b/>
          <w:bCs/>
          <w:sz w:val="24"/>
          <w:lang w:eastAsia="zh-CN"/>
        </w:rPr>
      </w:pPr>
      <w:r>
        <w:rPr>
          <w:rFonts w:hint="eastAsia"/>
          <w:b/>
          <w:bCs/>
          <w:sz w:val="24"/>
          <w:lang w:eastAsia="zh-CN"/>
        </w:rPr>
        <w:t>一、项目基本情况</w:t>
      </w:r>
    </w:p>
    <w:p>
      <w:pPr>
        <w:pStyle w:val="37"/>
        <w:spacing w:line="440" w:lineRule="exact"/>
        <w:ind w:left="0" w:firstLine="480" w:firstLineChars="200"/>
        <w:rPr>
          <w:sz w:val="24"/>
          <w:lang w:eastAsia="zh-CN"/>
        </w:rPr>
      </w:pPr>
      <w:r>
        <w:rPr>
          <w:rFonts w:hint="eastAsia"/>
          <w:sz w:val="24"/>
          <w:lang w:eastAsia="zh-CN"/>
        </w:rPr>
        <w:t>采购编号：博政采购〔2022〕108号</w:t>
      </w:r>
    </w:p>
    <w:p>
      <w:pPr>
        <w:pStyle w:val="37"/>
        <w:spacing w:line="440" w:lineRule="exact"/>
        <w:ind w:left="0" w:firstLine="480" w:firstLineChars="200"/>
        <w:rPr>
          <w:sz w:val="24"/>
          <w:lang w:eastAsia="zh-CN"/>
        </w:rPr>
      </w:pPr>
      <w:r>
        <w:rPr>
          <w:rFonts w:hint="eastAsia"/>
          <w:sz w:val="24"/>
          <w:lang w:eastAsia="zh-CN"/>
        </w:rPr>
        <w:t>项目名称：博爱县人民医院血液透析设备采购项目（</w:t>
      </w:r>
      <w:r>
        <w:rPr>
          <w:rFonts w:hint="eastAsia"/>
          <w:sz w:val="24"/>
          <w:lang w:val="en-US" w:eastAsia="zh-CN"/>
        </w:rPr>
        <w:t>二次</w:t>
      </w:r>
      <w:r>
        <w:rPr>
          <w:rFonts w:hint="eastAsia"/>
          <w:sz w:val="24"/>
          <w:lang w:eastAsia="zh-CN"/>
        </w:rPr>
        <w:t>）</w:t>
      </w:r>
    </w:p>
    <w:p>
      <w:pPr>
        <w:pStyle w:val="37"/>
        <w:spacing w:line="440" w:lineRule="exact"/>
        <w:ind w:left="0" w:firstLine="480" w:firstLineChars="200"/>
        <w:rPr>
          <w:sz w:val="24"/>
          <w:lang w:eastAsia="zh-CN"/>
        </w:rPr>
      </w:pPr>
      <w:r>
        <w:rPr>
          <w:rFonts w:hint="eastAsia"/>
          <w:sz w:val="24"/>
          <w:lang w:eastAsia="zh-CN"/>
        </w:rPr>
        <w:t>采购方式：公开招标</w:t>
      </w: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rPr>
        <w:t>预算金额：2700000元</w:t>
      </w:r>
    </w:p>
    <w:p>
      <w:pPr>
        <w:widowControl/>
        <w:spacing w:line="440" w:lineRule="exact"/>
        <w:ind w:firstLine="480" w:firstLineChars="200"/>
        <w:jc w:val="left"/>
      </w:pPr>
      <w:r>
        <w:rPr>
          <w:rFonts w:hint="eastAsia" w:ascii="宋体" w:hAnsi="宋体" w:cs="宋体"/>
          <w:kern w:val="0"/>
          <w:sz w:val="24"/>
          <w:lang w:val="en-US" w:eastAsia="zh-CN"/>
        </w:rPr>
        <w:t>资金来源：专项债券资金</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采购内容：</w:t>
      </w:r>
      <w:r>
        <w:rPr>
          <w:rFonts w:hint="eastAsia" w:ascii="宋体" w:hAnsi="宋体" w:cs="宋体"/>
          <w:color w:val="auto"/>
          <w:kern w:val="0"/>
          <w:sz w:val="24"/>
        </w:rPr>
        <w:t>10台透析机和2台血滤机</w:t>
      </w:r>
      <w:r>
        <w:rPr>
          <w:rFonts w:hint="eastAsia" w:ascii="宋体" w:hAnsi="宋体" w:cs="宋体"/>
          <w:kern w:val="0"/>
          <w:sz w:val="24"/>
        </w:rPr>
        <w:t>（详见招标文件）。</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供货</w:t>
      </w:r>
      <w:r>
        <w:rPr>
          <w:rFonts w:hint="eastAsia" w:ascii="宋体" w:hAnsi="宋体" w:cs="宋体"/>
          <w:kern w:val="0"/>
          <w:sz w:val="24"/>
          <w:lang w:val="en-US" w:eastAsia="zh-CN"/>
        </w:rPr>
        <w:t>安装</w:t>
      </w:r>
      <w:r>
        <w:rPr>
          <w:rFonts w:hint="eastAsia" w:ascii="宋体" w:hAnsi="宋体" w:cs="宋体"/>
          <w:kern w:val="0"/>
          <w:sz w:val="24"/>
        </w:rPr>
        <w:t>期：合同签订后 15 日历天内供货</w:t>
      </w:r>
      <w:r>
        <w:rPr>
          <w:rFonts w:hint="eastAsia" w:ascii="宋体" w:hAnsi="宋体" w:cs="宋体"/>
          <w:kern w:val="0"/>
          <w:sz w:val="24"/>
          <w:lang w:val="en-US" w:eastAsia="zh-CN"/>
        </w:rPr>
        <w:t>安装</w:t>
      </w:r>
      <w:r>
        <w:rPr>
          <w:rFonts w:hint="eastAsia" w:ascii="宋体" w:hAnsi="宋体" w:cs="宋体"/>
          <w:kern w:val="0"/>
          <w:sz w:val="24"/>
        </w:rPr>
        <w:t>完毕。</w:t>
      </w: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rPr>
        <w:t>质量标准：合格，符合国家及行业规范标准。</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440" w:lineRule="exact"/>
        <w:ind w:firstLine="480" w:firstLineChars="200"/>
        <w:jc w:val="left"/>
        <w:rPr>
          <w:rFonts w:hint="eastAsia" w:ascii="宋体" w:hAnsi="宋体" w:eastAsia="宋体" w:cs="宋体"/>
          <w:sz w:val="24"/>
          <w:shd w:val="clear" w:color="auto" w:fill="FFFFFF"/>
          <w:lang w:val="en-US" w:eastAsia="zh-CN"/>
        </w:rPr>
      </w:pPr>
      <w:r>
        <w:rPr>
          <w:rFonts w:hint="eastAsia" w:ascii="宋体" w:hAnsi="宋体" w:cs="宋体"/>
          <w:sz w:val="24"/>
          <w:shd w:val="clear" w:color="auto" w:fill="FFFFFF"/>
        </w:rPr>
        <w:t>2、落实</w:t>
      </w:r>
      <w:r>
        <w:rPr>
          <w:rFonts w:hint="eastAsia" w:ascii="宋体" w:hAnsi="宋体" w:cs="宋体"/>
          <w:color w:val="auto"/>
          <w:sz w:val="24"/>
          <w:shd w:val="clear" w:color="auto" w:fill="FFFFFF"/>
        </w:rPr>
        <w:t>政府采购政策需满足的资格要求：</w:t>
      </w:r>
      <w:r>
        <w:rPr>
          <w:rFonts w:hint="eastAsia" w:ascii="宋体" w:hAnsi="宋体" w:eastAsia="宋体" w:cs="宋体"/>
          <w:b w:val="0"/>
          <w:bCs w:val="0"/>
          <w:color w:val="auto"/>
          <w:sz w:val="24"/>
          <w:szCs w:val="24"/>
          <w:highlight w:val="none"/>
        </w:rPr>
        <w:t>促进政府强制采购节能产品及环境标志产品优先采购</w:t>
      </w:r>
      <w:r>
        <w:rPr>
          <w:rFonts w:hint="eastAsia" w:ascii="宋体" w:hAnsi="宋体" w:eastAsia="宋体" w:cs="宋体"/>
          <w:color w:val="auto"/>
          <w:sz w:val="24"/>
          <w:shd w:val="clear" w:color="auto" w:fill="FFFFFF"/>
          <w:lang w:eastAsia="zh-CN"/>
        </w:rPr>
        <w:t>，</w:t>
      </w:r>
      <w:r>
        <w:rPr>
          <w:rFonts w:hint="eastAsia" w:ascii="宋体" w:hAnsi="宋体" w:cs="宋体"/>
          <w:color w:val="auto"/>
          <w:sz w:val="24"/>
          <w:shd w:val="clear" w:color="auto" w:fill="FFFFFF"/>
          <w:lang w:val="en-US" w:eastAsia="zh-CN"/>
        </w:rPr>
        <w:t>且</w:t>
      </w:r>
      <w:r>
        <w:rPr>
          <w:rFonts w:hint="eastAsia" w:ascii="宋体" w:hAnsi="宋体" w:eastAsia="宋体" w:cs="宋体"/>
          <w:color w:val="auto"/>
          <w:sz w:val="24"/>
          <w:shd w:val="clear" w:color="auto" w:fill="FFFFFF"/>
          <w:lang w:val="en-US" w:eastAsia="zh-CN"/>
        </w:rPr>
        <w:t>该项目全额面向中小企业采购，</w:t>
      </w:r>
      <w:r>
        <w:rPr>
          <w:rFonts w:hint="eastAsia" w:ascii="宋体" w:hAnsi="宋体" w:eastAsia="宋体" w:cs="宋体"/>
          <w:b w:val="0"/>
          <w:bCs w:val="0"/>
          <w:color w:val="auto"/>
          <w:sz w:val="24"/>
          <w:szCs w:val="24"/>
          <w:highlight w:val="none"/>
        </w:rPr>
        <w:t>需要提供中小企业声明函</w:t>
      </w:r>
      <w:r>
        <w:rPr>
          <w:rFonts w:hint="eastAsia" w:ascii="宋体" w:hAnsi="宋体" w:eastAsia="宋体" w:cs="宋体"/>
          <w:b w:val="0"/>
          <w:bCs w:val="0"/>
          <w:color w:val="auto"/>
          <w:sz w:val="24"/>
          <w:szCs w:val="24"/>
          <w:highlight w:val="none"/>
          <w:lang w:eastAsia="zh-CN"/>
        </w:rPr>
        <w:t>；</w:t>
      </w:r>
    </w:p>
    <w:p>
      <w:pPr>
        <w:widowControl/>
        <w:spacing w:line="440" w:lineRule="exact"/>
        <w:ind w:firstLine="480" w:firstLineChars="200"/>
        <w:jc w:val="left"/>
        <w:rPr>
          <w:rFonts w:hint="eastAsia"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3.1供应商须具有有效的营业执照，</w:t>
      </w:r>
      <w:r>
        <w:rPr>
          <w:rFonts w:hint="eastAsia" w:ascii="宋体" w:hAnsi="宋体" w:eastAsia="宋体" w:cs="宋体"/>
          <w:i w:val="0"/>
          <w:iCs w:val="0"/>
          <w:caps w:val="0"/>
          <w:color w:val="000000"/>
          <w:spacing w:val="0"/>
          <w:sz w:val="24"/>
          <w:szCs w:val="24"/>
          <w:shd w:val="clear" w:fill="FFFFFF"/>
        </w:rPr>
        <w:t>具有医疗器械经营许可证或医疗器械经营备案凭证或生产许可证</w:t>
      </w:r>
      <w:r>
        <w:rPr>
          <w:rFonts w:hint="eastAsia" w:ascii="宋体" w:hAnsi="宋体" w:cs="宋体"/>
          <w:i w:val="0"/>
          <w:iCs w:val="0"/>
          <w:caps w:val="0"/>
          <w:color w:val="000000"/>
          <w:spacing w:val="0"/>
          <w:sz w:val="24"/>
          <w:szCs w:val="24"/>
          <w:shd w:val="clear" w:fill="FFFFFF"/>
          <w:lang w:eastAsia="zh-CN"/>
        </w:rPr>
        <w:t>，</w:t>
      </w:r>
      <w:r>
        <w:rPr>
          <w:rFonts w:hint="eastAsia" w:ascii="宋体" w:hAnsi="宋体" w:cs="宋体"/>
          <w:sz w:val="24"/>
          <w:shd w:val="clear" w:color="auto" w:fill="FFFFFF"/>
        </w:rPr>
        <w:t>并具有实施完成本项目的经营实力和完善的售后服务体系；</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3.3本项目不接受联合体投标；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3"/>
        <w:shd w:val="clear" w:color="auto" w:fill="FFFFFF"/>
        <w:autoSpaceDE w:val="0"/>
        <w:spacing w:before="0" w:beforeAutospacing="0" w:after="0" w:afterAutospacing="0" w:line="440" w:lineRule="atLeast"/>
        <w:ind w:firstLine="480" w:firstLineChars="200"/>
        <w:rPr>
          <w:u w:val="single"/>
        </w:rPr>
      </w:pPr>
      <w:r>
        <w:rPr>
          <w:rFonts w:hint="eastAsia"/>
        </w:rPr>
        <w:t>1.时间</w:t>
      </w:r>
      <w:r>
        <w:rPr>
          <w:rFonts w:hint="eastAsia"/>
          <w:u w:val="none"/>
        </w:rPr>
        <w:t>：</w:t>
      </w:r>
      <w:r>
        <w:rPr>
          <w:rFonts w:hint="eastAsia"/>
          <w:u w:val="single"/>
        </w:rPr>
        <w:t>2022年</w:t>
      </w:r>
      <w:r>
        <w:rPr>
          <w:rFonts w:hint="eastAsia"/>
          <w:u w:val="single"/>
          <w:lang w:val="en-US" w:eastAsia="zh-CN"/>
        </w:rPr>
        <w:t>12</w:t>
      </w:r>
      <w:r>
        <w:rPr>
          <w:rFonts w:hint="eastAsia"/>
          <w:u w:val="single"/>
        </w:rPr>
        <w:t>月</w:t>
      </w:r>
      <w:r>
        <w:rPr>
          <w:rFonts w:hint="eastAsia"/>
          <w:u w:val="single"/>
          <w:lang w:val="en-US" w:eastAsia="zh-CN"/>
        </w:rPr>
        <w:t>8</w:t>
      </w:r>
      <w:r>
        <w:rPr>
          <w:rFonts w:hint="eastAsia"/>
          <w:u w:val="single"/>
        </w:rPr>
        <w:t>日至2022年</w:t>
      </w:r>
      <w:r>
        <w:rPr>
          <w:rFonts w:hint="eastAsia"/>
          <w:u w:val="single"/>
          <w:lang w:val="en-US" w:eastAsia="zh-CN"/>
        </w:rPr>
        <w:t>12</w:t>
      </w:r>
      <w:r>
        <w:rPr>
          <w:rFonts w:hint="eastAsia"/>
          <w:u w:val="single"/>
        </w:rPr>
        <w:t>月</w:t>
      </w:r>
      <w:r>
        <w:rPr>
          <w:rFonts w:hint="eastAsia"/>
          <w:u w:val="single"/>
          <w:lang w:val="en-US" w:eastAsia="zh-CN"/>
        </w:rPr>
        <w:t>14</w:t>
      </w:r>
      <w:r>
        <w:rPr>
          <w:rFonts w:hint="eastAsia"/>
          <w:u w:val="single"/>
        </w:rPr>
        <w:t>日（北京时间）；</w:t>
      </w:r>
    </w:p>
    <w:p>
      <w:pPr>
        <w:pStyle w:val="23"/>
        <w:shd w:val="clear" w:color="auto" w:fill="FFFFFF"/>
        <w:autoSpaceDE w:val="0"/>
        <w:spacing w:before="0" w:beforeAutospacing="0" w:after="0" w:afterAutospacing="0" w:line="440" w:lineRule="atLeast"/>
        <w:ind w:firstLine="480" w:firstLineChars="200"/>
      </w:pPr>
      <w:r>
        <w:rPr>
          <w:rFonts w:hint="eastAsia"/>
        </w:rPr>
        <w:t>2.地点：</w:t>
      </w:r>
      <w:r>
        <w:rPr>
          <w:rFonts w:hint="eastAsia"/>
          <w:shd w:val="clear" w:color="auto" w:fill="FFFFFF"/>
        </w:rPr>
        <w:t>凡有意参加投标者，请登陆焦作市公共资源交易中心网站会员系统进行网上下载。（联系电话：0391-3568920，QQ：232850725、361532918（群）；</w:t>
      </w:r>
    </w:p>
    <w:p>
      <w:pPr>
        <w:pStyle w:val="23"/>
        <w:shd w:val="clear" w:color="auto" w:fill="FFFFFF"/>
        <w:autoSpaceDE w:val="0"/>
        <w:spacing w:before="0" w:beforeAutospacing="0" w:after="0" w:afterAutospacing="0" w:line="440" w:lineRule="atLeast"/>
      </w:pPr>
      <w:r>
        <w:rPr>
          <w:rFonts w:hint="eastAsia"/>
        </w:rPr>
        <w:t xml:space="preserve">  </w:t>
      </w:r>
      <w:r>
        <w:rPr>
          <w:rFonts w:hint="eastAsia"/>
          <w:lang w:val="en-US" w:eastAsia="zh-CN"/>
        </w:rPr>
        <w:t xml:space="preserve"> </w:t>
      </w:r>
      <w:r>
        <w:rPr>
          <w:rFonts w:hint="eastAsia"/>
        </w:rPr>
        <w:t>3.方式：网上下载；</w:t>
      </w:r>
    </w:p>
    <w:p>
      <w:pPr>
        <w:adjustRightInd w:val="0"/>
        <w:snapToGrid w:val="0"/>
        <w:spacing w:line="440" w:lineRule="exact"/>
        <w:rPr>
          <w:rFonts w:ascii="宋体" w:hAnsi="宋体" w:cs="宋体"/>
          <w:b/>
          <w:kern w:val="0"/>
          <w:sz w:val="24"/>
        </w:rPr>
      </w:pPr>
      <w:r>
        <w:rPr>
          <w:rFonts w:hint="eastAsia" w:ascii="宋体" w:hAnsi="宋体" w:cs="宋体"/>
          <w:b/>
          <w:kern w:val="0"/>
          <w:sz w:val="24"/>
        </w:rPr>
        <w:t>四、响应文件提交</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1.截止时间：</w:t>
      </w:r>
      <w:r>
        <w:rPr>
          <w:rFonts w:hint="eastAsia" w:ascii="宋体" w:hAnsi="宋体" w:cs="宋体"/>
          <w:kern w:val="0"/>
          <w:sz w:val="24"/>
          <w:u w:val="single"/>
        </w:rPr>
        <w:t>2022年</w:t>
      </w:r>
      <w:r>
        <w:rPr>
          <w:rFonts w:hint="eastAsia" w:ascii="宋体" w:hAnsi="宋体" w:cs="宋体"/>
          <w:kern w:val="0"/>
          <w:sz w:val="24"/>
          <w:u w:val="single"/>
          <w:lang w:val="en-US" w:eastAsia="zh-CN"/>
        </w:rPr>
        <w:t>12</w:t>
      </w:r>
      <w:r>
        <w:rPr>
          <w:rFonts w:hint="eastAsia" w:ascii="宋体" w:hAnsi="宋体" w:cs="宋体"/>
          <w:kern w:val="0"/>
          <w:sz w:val="24"/>
          <w:u w:val="single"/>
        </w:rPr>
        <w:t>月</w:t>
      </w:r>
      <w:r>
        <w:rPr>
          <w:rFonts w:hint="eastAsia" w:ascii="宋体" w:hAnsi="宋体" w:cs="宋体"/>
          <w:kern w:val="0"/>
          <w:sz w:val="24"/>
          <w:u w:val="single"/>
          <w:lang w:val="en-US" w:eastAsia="zh-CN"/>
        </w:rPr>
        <w:t>28</w:t>
      </w:r>
      <w:r>
        <w:rPr>
          <w:rFonts w:hint="eastAsia" w:ascii="宋体" w:hAnsi="宋体" w:cs="宋体"/>
          <w:kern w:val="0"/>
          <w:sz w:val="24"/>
          <w:u w:val="single"/>
        </w:rPr>
        <w:t>日上午</w:t>
      </w:r>
      <w:r>
        <w:rPr>
          <w:rFonts w:hint="eastAsia" w:ascii="宋体" w:hAnsi="宋体" w:cs="宋体"/>
          <w:kern w:val="0"/>
          <w:sz w:val="24"/>
          <w:u w:val="single"/>
          <w:lang w:val="en-US" w:eastAsia="zh-CN"/>
        </w:rPr>
        <w:t>9</w:t>
      </w:r>
      <w:r>
        <w:rPr>
          <w:rFonts w:hint="eastAsia" w:ascii="宋体" w:hAnsi="宋体" w:cs="宋体"/>
          <w:kern w:val="0"/>
          <w:sz w:val="24"/>
          <w:u w:val="single"/>
        </w:rPr>
        <w:t>点</w:t>
      </w:r>
      <w:r>
        <w:rPr>
          <w:rFonts w:hint="eastAsia" w:ascii="宋体" w:hAnsi="宋体" w:cs="宋体"/>
          <w:kern w:val="0"/>
          <w:sz w:val="24"/>
          <w:u w:val="single"/>
          <w:lang w:val="en-US" w:eastAsia="zh-CN"/>
        </w:rPr>
        <w:t>00</w:t>
      </w:r>
      <w:r>
        <w:rPr>
          <w:rFonts w:hint="eastAsia" w:ascii="宋体" w:hAnsi="宋体" w:cs="宋体"/>
          <w:kern w:val="0"/>
          <w:sz w:val="24"/>
          <w:u w:val="single"/>
        </w:rPr>
        <w:t>分（北京时间）</w:t>
      </w:r>
      <w:r>
        <w:rPr>
          <w:rFonts w:hint="eastAsia" w:ascii="宋体" w:hAnsi="宋体" w:cs="宋体"/>
          <w:kern w:val="0"/>
          <w:sz w:val="24"/>
        </w:rPr>
        <w:t>；</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kern w:val="0"/>
          <w:sz w:val="24"/>
        </w:rPr>
      </w:pPr>
      <w:r>
        <w:rPr>
          <w:rFonts w:hint="eastAsia" w:ascii="宋体" w:hAnsi="宋体" w:cs="宋体"/>
          <w:b/>
          <w:kern w:val="0"/>
          <w:sz w:val="24"/>
        </w:rPr>
        <w:t>五、开启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color w:val="auto"/>
          <w:kern w:val="0"/>
          <w:sz w:val="24"/>
          <w:u w:val="single"/>
        </w:rPr>
        <w:t>2022年</w:t>
      </w:r>
      <w:r>
        <w:rPr>
          <w:rFonts w:hint="eastAsia" w:ascii="宋体" w:hAnsi="宋体" w:cs="宋体"/>
          <w:color w:val="auto"/>
          <w:kern w:val="0"/>
          <w:sz w:val="24"/>
          <w:u w:val="single"/>
          <w:lang w:val="en-US" w:eastAsia="zh-CN"/>
        </w:rPr>
        <w:t>12</w:t>
      </w:r>
      <w:r>
        <w:rPr>
          <w:rFonts w:hint="eastAsia" w:ascii="宋体" w:hAnsi="宋体" w:cs="宋体"/>
          <w:color w:val="auto"/>
          <w:kern w:val="0"/>
          <w:sz w:val="24"/>
          <w:u w:val="single"/>
        </w:rPr>
        <w:t>月</w:t>
      </w:r>
      <w:r>
        <w:rPr>
          <w:rFonts w:hint="eastAsia" w:ascii="宋体" w:hAnsi="宋体" w:cs="宋体"/>
          <w:color w:val="auto"/>
          <w:kern w:val="0"/>
          <w:sz w:val="24"/>
          <w:u w:val="single"/>
          <w:lang w:val="en-US" w:eastAsia="zh-CN"/>
        </w:rPr>
        <w:t>28</w:t>
      </w:r>
      <w:r>
        <w:rPr>
          <w:rFonts w:hint="eastAsia" w:ascii="宋体" w:hAnsi="宋体" w:cs="宋体"/>
          <w:color w:val="auto"/>
          <w:kern w:val="0"/>
          <w:sz w:val="24"/>
          <w:u w:val="single"/>
        </w:rPr>
        <w:t>日上午</w:t>
      </w:r>
      <w:r>
        <w:rPr>
          <w:rFonts w:hint="eastAsia" w:ascii="宋体" w:hAnsi="宋体" w:cs="宋体"/>
          <w:color w:val="auto"/>
          <w:kern w:val="0"/>
          <w:sz w:val="24"/>
          <w:u w:val="single"/>
          <w:lang w:val="en-US" w:eastAsia="zh-CN"/>
        </w:rPr>
        <w:t>9</w:t>
      </w:r>
      <w:r>
        <w:rPr>
          <w:rFonts w:hint="eastAsia" w:ascii="宋体" w:hAnsi="宋体" w:cs="宋体"/>
          <w:color w:val="auto"/>
          <w:kern w:val="0"/>
          <w:sz w:val="24"/>
          <w:u w:val="single"/>
        </w:rPr>
        <w:t>点</w:t>
      </w:r>
      <w:r>
        <w:rPr>
          <w:rFonts w:hint="eastAsia" w:ascii="宋体" w:hAnsi="宋体" w:cs="宋体"/>
          <w:color w:val="auto"/>
          <w:kern w:val="0"/>
          <w:sz w:val="24"/>
          <w:u w:val="single"/>
          <w:lang w:val="en-US" w:eastAsia="zh-CN"/>
        </w:rPr>
        <w:t>00</w:t>
      </w:r>
      <w:r>
        <w:rPr>
          <w:rFonts w:hint="eastAsia" w:ascii="宋体" w:hAnsi="宋体" w:cs="宋体"/>
          <w:color w:val="auto"/>
          <w:kern w:val="0"/>
          <w:sz w:val="24"/>
          <w:u w:val="single"/>
        </w:rPr>
        <w:t>分</w:t>
      </w:r>
      <w:r>
        <w:rPr>
          <w:rFonts w:hint="eastAsia" w:ascii="宋体" w:hAnsi="宋体" w:cs="宋体"/>
          <w:kern w:val="0"/>
          <w:sz w:val="24"/>
          <w:u w:val="single"/>
        </w:rPr>
        <w:t>（北京时间）</w:t>
      </w:r>
      <w:r>
        <w:rPr>
          <w:rFonts w:hint="eastAsia" w:ascii="宋体" w:hAnsi="宋体" w:cs="宋体"/>
          <w:kern w:val="0"/>
          <w:sz w:val="24"/>
        </w:rPr>
        <w:t>；</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bCs/>
          <w:sz w:val="24"/>
        </w:rPr>
      </w:pPr>
      <w:r>
        <w:rPr>
          <w:rFonts w:hint="eastAsia" w:ascii="宋体" w:hAnsi="宋体" w:cs="宋体"/>
          <w:b/>
          <w:bCs/>
          <w:sz w:val="24"/>
        </w:rPr>
        <w:t>六、公告期限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自本公告发布之</w:t>
      </w:r>
      <w:r>
        <w:rPr>
          <w:rFonts w:hint="eastAsia" w:ascii="宋体" w:hAnsi="宋体" w:cs="宋体"/>
          <w:kern w:val="0"/>
          <w:sz w:val="24"/>
        </w:rPr>
        <w:t>日起5个工作日。</w:t>
      </w:r>
    </w:p>
    <w:p>
      <w:pPr>
        <w:pStyle w:val="23"/>
        <w:numPr>
          <w:ilvl w:val="0"/>
          <w:numId w:val="3"/>
        </w:numPr>
        <w:shd w:val="clear" w:color="auto" w:fill="FFFFFF"/>
        <w:autoSpaceDE w:val="0"/>
        <w:spacing w:before="0" w:beforeAutospacing="0" w:after="0" w:afterAutospacing="0" w:line="440" w:lineRule="exact"/>
        <w:rPr>
          <w:b/>
          <w:shd w:val="clear" w:color="auto" w:fill="FFFFFF"/>
        </w:rPr>
      </w:pPr>
      <w:r>
        <w:rPr>
          <w:rFonts w:hint="eastAsia"/>
          <w:b/>
          <w:shd w:val="clear" w:color="auto" w:fill="FFFFFF"/>
        </w:rPr>
        <w:t>其他补充事宜</w:t>
      </w:r>
    </w:p>
    <w:p>
      <w:pPr>
        <w:pStyle w:val="23"/>
        <w:shd w:val="clear" w:color="auto" w:fill="FFFFFF"/>
        <w:autoSpaceDE w:val="0"/>
        <w:spacing w:before="0" w:beforeAutospacing="0" w:after="0" w:afterAutospacing="0" w:line="440" w:lineRule="exact"/>
        <w:ind w:firstLine="480" w:firstLineChars="200"/>
        <w:rPr>
          <w:shd w:val="clear" w:color="auto" w:fill="FFFFFF"/>
        </w:rPr>
      </w:pPr>
      <w:r>
        <w:rPr>
          <w:rFonts w:hint="eastAsia"/>
          <w:shd w:val="clear" w:color="auto" w:fill="FFFFFF"/>
        </w:rPr>
        <w:t>1.本次本公告在</w:t>
      </w:r>
      <w:r>
        <w:rPr>
          <w:rFonts w:hint="eastAsia"/>
          <w:bCs/>
        </w:rPr>
        <w:t>中国招标投标公共服务平台、</w:t>
      </w:r>
      <w:r>
        <w:rPr>
          <w:rFonts w:hint="eastAsia"/>
          <w:shd w:val="clear" w:color="auto" w:fill="FFFFFF"/>
        </w:rPr>
        <w:t>河南省政府采购网、焦作市政府采购网、焦作市公共资源交易中心网、博爱县人民政府网、博爱县公共资源交易中心网http://www.baxggzyjyzx.cn/上发布。</w:t>
      </w:r>
    </w:p>
    <w:p>
      <w:pPr>
        <w:pStyle w:val="23"/>
        <w:spacing w:beforeAutospacing="0" w:afterAutospacing="0" w:line="440" w:lineRule="exact"/>
        <w:ind w:firstLine="468" w:firstLineChars="195"/>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3"/>
        <w:spacing w:beforeAutospacing="0" w:afterAutospacing="0" w:line="440" w:lineRule="exact"/>
        <w:ind w:firstLine="468" w:firstLineChars="195"/>
        <w:jc w:val="both"/>
      </w:pPr>
      <w:r>
        <w:rPr>
          <w:rFonts w:hint="eastAsia"/>
        </w:rPr>
        <w:t>3.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1.采购人信息：</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 xml:space="preserve">采购人：博爱县人民医院 </w:t>
      </w:r>
    </w:p>
    <w:p>
      <w:pPr>
        <w:adjustRightInd w:val="0"/>
        <w:snapToGrid w:val="0"/>
        <w:spacing w:line="440" w:lineRule="exact"/>
        <w:ind w:firstLine="480" w:firstLineChars="200"/>
        <w:rPr>
          <w:rFonts w:ascii="宋体" w:hAnsi="宋体" w:cs="宋体"/>
          <w:bCs/>
          <w:sz w:val="24"/>
        </w:rPr>
      </w:pPr>
      <w:r>
        <w:rPr>
          <w:rFonts w:hint="eastAsia" w:ascii="宋体" w:hAnsi="宋体" w:cs="宋体"/>
          <w:kern w:val="0"/>
          <w:sz w:val="24"/>
        </w:rPr>
        <w:t>地址：博爱县清化镇滨河路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w:t>
      </w:r>
      <w:r>
        <w:rPr>
          <w:rFonts w:hint="eastAsia" w:ascii="宋体" w:hAnsi="宋体" w:cs="宋体"/>
          <w:sz w:val="24"/>
        </w:rPr>
        <w:t>秦先生</w:t>
      </w:r>
      <w:r>
        <w:rPr>
          <w:rFonts w:hint="eastAsia" w:ascii="宋体" w:hAnsi="宋体" w:cs="宋体"/>
          <w:bCs/>
          <w:sz w:val="24"/>
        </w:rPr>
        <w:t xml:space="preserve"> </w:t>
      </w:r>
    </w:p>
    <w:p>
      <w:pPr>
        <w:adjustRightInd w:val="0"/>
        <w:snapToGrid w:val="0"/>
        <w:spacing w:line="440" w:lineRule="exact"/>
        <w:ind w:firstLine="480" w:firstLineChars="200"/>
        <w:rPr>
          <w:rFonts w:ascii="宋体" w:hAnsi="宋体" w:cs="宋体"/>
          <w:sz w:val="24"/>
        </w:rPr>
      </w:pPr>
      <w:r>
        <w:rPr>
          <w:rFonts w:hint="eastAsia" w:ascii="宋体" w:hAnsi="宋体" w:cs="宋体"/>
          <w:kern w:val="0"/>
          <w:sz w:val="24"/>
        </w:rPr>
        <w:t>电话：15978760197</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2.采购代理机构信息：</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 xml:space="preserve">名称：博爱县城市建设项目管理有限公司 </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地址：</w:t>
      </w:r>
      <w:r>
        <w:rPr>
          <w:rFonts w:hint="eastAsia" w:ascii="宋体" w:hAnsi="宋体" w:cs="宋体"/>
          <w:sz w:val="24"/>
          <w:shd w:val="clear" w:color="auto" w:fill="FFFFFF"/>
        </w:rPr>
        <w:t>博爱县发展大道188号机关办公楼东配楼806室</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电话：13782768572</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3.项目联系方式</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项目联系人：秦先生</w:t>
      </w:r>
      <w:r>
        <w:rPr>
          <w:rFonts w:hint="eastAsia" w:ascii="宋体" w:hAnsi="宋体" w:cs="宋体"/>
          <w:bCs/>
          <w:sz w:val="24"/>
        </w:rPr>
        <w:t xml:space="preserve"> </w:t>
      </w:r>
    </w:p>
    <w:p>
      <w:pPr>
        <w:adjustRightInd w:val="0"/>
        <w:snapToGrid w:val="0"/>
        <w:spacing w:line="440" w:lineRule="exact"/>
        <w:ind w:firstLine="480" w:firstLineChars="200"/>
        <w:rPr>
          <w:rFonts w:ascii="宋体" w:hAnsi="宋体" w:cs="宋体"/>
          <w:sz w:val="24"/>
        </w:rPr>
      </w:pPr>
      <w:r>
        <w:rPr>
          <w:rFonts w:hint="eastAsia" w:ascii="宋体" w:hAnsi="宋体" w:cs="宋体"/>
          <w:kern w:val="0"/>
          <w:sz w:val="24"/>
        </w:rPr>
        <w:t>电话：15978760197</w:t>
      </w:r>
    </w:p>
    <w:p>
      <w:pPr>
        <w:adjustRightInd w:val="0"/>
        <w:snapToGrid w:val="0"/>
        <w:spacing w:line="440" w:lineRule="exact"/>
        <w:ind w:firstLine="480" w:firstLineChars="200"/>
        <w:rPr>
          <w:rFonts w:ascii="宋体" w:hAnsi="宋体" w:cs="宋体"/>
          <w:kern w:val="0"/>
          <w:sz w:val="24"/>
        </w:rPr>
      </w:pPr>
    </w:p>
    <w:p>
      <w:pPr>
        <w:widowControl/>
        <w:spacing w:line="440" w:lineRule="exact"/>
        <w:ind w:left="2940" w:firstLine="420"/>
        <w:rPr>
          <w:rFonts w:ascii="宋体" w:hAnsi="宋体" w:cs="宋体"/>
          <w:sz w:val="24"/>
        </w:rPr>
      </w:pPr>
    </w:p>
    <w:p>
      <w:pPr>
        <w:widowControl/>
        <w:spacing w:line="440" w:lineRule="exact"/>
        <w:ind w:left="2940" w:firstLine="420"/>
        <w:rPr>
          <w:rFonts w:ascii="宋体" w:hAnsi="宋体" w:cs="宋体"/>
          <w:sz w:val="24"/>
        </w:rPr>
      </w:pPr>
    </w:p>
    <w:p>
      <w:pPr>
        <w:widowControl/>
        <w:spacing w:line="440" w:lineRule="exact"/>
        <w:ind w:left="2940" w:firstLine="420"/>
        <w:rPr>
          <w:rFonts w:ascii="宋体" w:hAnsi="宋体" w:cs="宋体"/>
          <w:sz w:val="24"/>
        </w:rPr>
      </w:pPr>
    </w:p>
    <w:p>
      <w:pPr>
        <w:widowControl/>
        <w:spacing w:line="440" w:lineRule="exact"/>
        <w:ind w:left="2940" w:firstLine="960" w:firstLineChars="400"/>
        <w:rPr>
          <w:rFonts w:ascii="宋体" w:hAnsi="宋体" w:cs="宋体"/>
          <w:sz w:val="24"/>
          <w:shd w:val="clear" w:color="auto" w:fill="FFFFFF"/>
        </w:rPr>
      </w:pPr>
      <w:r>
        <w:rPr>
          <w:rFonts w:hint="eastAsia" w:ascii="宋体" w:hAnsi="宋体" w:cs="宋体"/>
          <w:sz w:val="24"/>
        </w:rPr>
        <w:t>采购人：</w:t>
      </w:r>
      <w:r>
        <w:rPr>
          <w:rFonts w:hint="eastAsia" w:ascii="宋体" w:hAnsi="宋体" w:cs="宋体"/>
          <w:sz w:val="24"/>
          <w:shd w:val="clear" w:color="auto" w:fill="FFFFFF"/>
        </w:rPr>
        <w:t>博爱县人民医院</w:t>
      </w:r>
    </w:p>
    <w:p>
      <w:pPr>
        <w:widowControl/>
        <w:spacing w:line="440" w:lineRule="exact"/>
        <w:ind w:firstLine="2880" w:firstLineChars="1200"/>
        <w:jc w:val="left"/>
        <w:rPr>
          <w:rFonts w:ascii="宋体" w:hAnsi="宋体" w:cs="宋体"/>
          <w:sz w:val="24"/>
          <w:shd w:val="clear" w:color="auto" w:fill="FFFFFF"/>
        </w:rPr>
      </w:pPr>
      <w:r>
        <w:rPr>
          <w:rFonts w:hint="eastAsia" w:ascii="宋体" w:hAnsi="宋体" w:cs="宋体"/>
          <w:sz w:val="24"/>
          <w:shd w:val="clear" w:color="auto" w:fill="FFFFFF"/>
        </w:rPr>
        <w:t>采购代理机构：博爱县城市建设项目管理有限公司</w:t>
      </w:r>
    </w:p>
    <w:p>
      <w:pPr>
        <w:widowControl/>
        <w:spacing w:line="440" w:lineRule="exact"/>
        <w:ind w:left="2940" w:firstLine="960" w:firstLineChars="400"/>
      </w:pPr>
      <w:r>
        <w:rPr>
          <w:rFonts w:hint="eastAsia" w:ascii="宋体" w:hAnsi="宋体" w:cs="宋体"/>
          <w:sz w:val="24"/>
        </w:rPr>
        <w:t>发布时间：2022年</w:t>
      </w:r>
      <w:r>
        <w:rPr>
          <w:rFonts w:hint="eastAsia" w:ascii="宋体" w:hAnsi="宋体" w:cs="宋体"/>
          <w:sz w:val="24"/>
          <w:lang w:val="en-US" w:eastAsia="zh-CN"/>
        </w:rPr>
        <w:t>12</w:t>
      </w:r>
      <w:r>
        <w:rPr>
          <w:rFonts w:hint="eastAsia" w:ascii="宋体" w:hAnsi="宋体" w:cs="宋体"/>
          <w:sz w:val="24"/>
        </w:rPr>
        <w:t>月</w:t>
      </w:r>
      <w:r>
        <w:rPr>
          <w:rFonts w:hint="eastAsia" w:ascii="宋体" w:hAnsi="宋体" w:cs="宋体"/>
          <w:sz w:val="24"/>
          <w:lang w:val="en-US" w:eastAsia="zh-CN"/>
        </w:rPr>
        <w:t>7</w:t>
      </w:r>
      <w:r>
        <w:rPr>
          <w:rFonts w:hint="eastAsia" w:ascii="宋体" w:hAnsi="宋体" w:cs="宋体"/>
          <w:sz w:val="24"/>
        </w:rPr>
        <w:t>日</w:t>
      </w:r>
    </w:p>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pStyle w:val="33"/>
      </w:pPr>
    </w:p>
    <w:p>
      <w:pPr>
        <w:pStyle w:val="35"/>
      </w:pPr>
    </w:p>
    <w:p/>
    <w:p>
      <w:pPr>
        <w:pStyle w:val="31"/>
        <w:numPr>
          <w:ilvl w:val="0"/>
          <w:numId w:val="0"/>
        </w:numPr>
        <w:tabs>
          <w:tab w:val="clear" w:pos="432"/>
        </w:tabs>
        <w:jc w:val="both"/>
      </w:pPr>
    </w:p>
    <w:p>
      <w:pPr>
        <w:pStyle w:val="32"/>
        <w:ind w:firstLine="420"/>
      </w:pPr>
    </w:p>
    <w:p>
      <w:pPr>
        <w:pStyle w:val="32"/>
        <w:ind w:firstLine="420"/>
      </w:pPr>
    </w:p>
    <w:p>
      <w:pPr>
        <w:pStyle w:val="32"/>
        <w:ind w:firstLine="420"/>
      </w:pPr>
    </w:p>
    <w:p>
      <w:pPr>
        <w:pStyle w:val="32"/>
        <w:ind w:firstLine="420"/>
      </w:pPr>
    </w:p>
    <w:p>
      <w:pPr>
        <w:pStyle w:val="32"/>
        <w:ind w:firstLine="420"/>
      </w:pPr>
    </w:p>
    <w:p>
      <w:pPr>
        <w:pStyle w:val="32"/>
        <w:ind w:firstLine="420"/>
      </w:pPr>
    </w:p>
    <w:p>
      <w:pPr>
        <w:pStyle w:val="32"/>
        <w:ind w:firstLine="420"/>
      </w:pPr>
    </w:p>
    <w:p>
      <w:pPr>
        <w:pStyle w:val="32"/>
        <w:ind w:firstLine="420"/>
      </w:pPr>
    </w:p>
    <w:p>
      <w:pPr>
        <w:pStyle w:val="32"/>
        <w:ind w:firstLine="420"/>
      </w:pPr>
    </w:p>
    <w:p>
      <w:pPr>
        <w:pStyle w:val="3"/>
      </w:pPr>
    </w:p>
    <w:p>
      <w:pPr>
        <w:pStyle w:val="24"/>
        <w:spacing w:line="600" w:lineRule="exact"/>
        <w:ind w:right="-63" w:rightChars="-30"/>
        <w:rPr>
          <w:rFonts w:hint="eastAsia" w:asciiTheme="minorEastAsia" w:hAnsiTheme="minorEastAsia" w:eastAsiaTheme="minorEastAsia" w:cstheme="minorEastAsia"/>
          <w:sz w:val="36"/>
          <w:szCs w:val="36"/>
        </w:rPr>
      </w:pPr>
      <w:bookmarkStart w:id="3" w:name="_Toc21974"/>
      <w:r>
        <w:rPr>
          <w:rFonts w:hint="eastAsia" w:asciiTheme="minorEastAsia" w:hAnsiTheme="minorEastAsia" w:eastAsiaTheme="minorEastAsia" w:cstheme="minorEastAsia"/>
          <w:sz w:val="36"/>
          <w:szCs w:val="36"/>
        </w:rPr>
        <w:t>第二章  供应商须知</w:t>
      </w:r>
      <w:bookmarkEnd w:id="0"/>
      <w:bookmarkEnd w:id="3"/>
    </w:p>
    <w:p>
      <w:pPr>
        <w:pStyle w:val="24"/>
        <w:spacing w:before="0" w:after="0" w:line="360" w:lineRule="auto"/>
        <w:ind w:right="-23" w:rightChars="-11"/>
        <w:rPr>
          <w:rFonts w:asciiTheme="minorEastAsia" w:hAnsiTheme="minorEastAsia" w:eastAsiaTheme="minorEastAsia" w:cstheme="minorEastAsia"/>
          <w:sz w:val="30"/>
          <w:szCs w:val="30"/>
        </w:rPr>
      </w:pPr>
      <w:bookmarkStart w:id="4" w:name="_Toc14655"/>
      <w:bookmarkStart w:id="5" w:name="_Toc403122490"/>
      <w:bookmarkStart w:id="6" w:name="_Toc426369478"/>
      <w:bookmarkStart w:id="7" w:name="_Toc9161"/>
      <w:bookmarkStart w:id="8" w:name="_Toc32497"/>
      <w:r>
        <w:rPr>
          <w:rFonts w:hint="eastAsia" w:asciiTheme="minorEastAsia" w:hAnsiTheme="minorEastAsia" w:eastAsiaTheme="minorEastAsia" w:cstheme="minorEastAsia"/>
          <w:sz w:val="30"/>
          <w:szCs w:val="30"/>
        </w:rPr>
        <w:t>供应商须知前附表</w:t>
      </w:r>
      <w:bookmarkEnd w:id="4"/>
      <w:bookmarkEnd w:id="5"/>
      <w:bookmarkEnd w:id="6"/>
      <w:bookmarkEnd w:id="7"/>
      <w:bookmarkEnd w:id="8"/>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条款号</w:t>
            </w:r>
          </w:p>
        </w:tc>
        <w:tc>
          <w:tcPr>
            <w:tcW w:w="2318" w:type="dxa"/>
            <w:vAlign w:val="center"/>
          </w:tcPr>
          <w:p>
            <w:pPr>
              <w:pStyle w:val="18"/>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条款名称</w:t>
            </w:r>
          </w:p>
        </w:tc>
        <w:tc>
          <w:tcPr>
            <w:tcW w:w="6112" w:type="dxa"/>
            <w:vAlign w:val="center"/>
          </w:tcPr>
          <w:p>
            <w:pPr>
              <w:pStyle w:val="18"/>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名称：博爱县人民医院</w:t>
            </w:r>
          </w:p>
          <w:p>
            <w:pPr>
              <w:pStyle w:val="18"/>
              <w:spacing w:line="360" w:lineRule="exact"/>
              <w:rPr>
                <w:rFonts w:hint="default" w:asciiTheme="minorEastAsia" w:hAnsiTheme="minorEastAsia" w:eastAsiaTheme="minorEastAsia" w:cstheme="minorEastAsia"/>
                <w:szCs w:val="24"/>
              </w:rPr>
            </w:pPr>
            <w:r>
              <w:rPr>
                <w:rFonts w:asciiTheme="minorEastAsia" w:hAnsiTheme="minorEastAsia" w:eastAsiaTheme="minorEastAsia" w:cstheme="minorEastAsia"/>
              </w:rPr>
              <w:t>联系</w:t>
            </w:r>
            <w:r>
              <w:rPr>
                <w:rFonts w:asciiTheme="minorEastAsia" w:hAnsiTheme="minorEastAsia" w:eastAsiaTheme="minorEastAsia" w:cstheme="minorEastAsia"/>
                <w:szCs w:val="24"/>
              </w:rPr>
              <w:t xml:space="preserve">人：秦先生 </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szCs w:val="24"/>
              </w:rPr>
              <w:t>电话：15978760197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1.1.3</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采购代理机构</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 xml:space="preserve">采购代理机构：博爱县城市建设项目管理有限公司  </w:t>
            </w:r>
          </w:p>
          <w:p>
            <w:pPr>
              <w:pStyle w:val="18"/>
              <w:spacing w:line="360" w:lineRule="exact"/>
              <w:rPr>
                <w:rFonts w:hint="default" w:asciiTheme="minorEastAsia" w:hAnsiTheme="minorEastAsia" w:eastAsiaTheme="minorEastAsia" w:cstheme="minorEastAsia"/>
                <w:bCs/>
                <w:iCs/>
              </w:rPr>
            </w:pPr>
            <w:r>
              <w:rPr>
                <w:rFonts w:asciiTheme="minorEastAsia" w:hAnsiTheme="minorEastAsia" w:eastAsiaTheme="minorEastAsia" w:cstheme="minorEastAsia"/>
              </w:rPr>
              <w:t>联</w:t>
            </w:r>
            <w:r>
              <w:rPr>
                <w:rFonts w:asciiTheme="minorEastAsia" w:hAnsiTheme="minorEastAsia" w:eastAsiaTheme="minorEastAsia" w:cstheme="minorEastAsia"/>
                <w:bCs/>
                <w:iCs/>
              </w:rPr>
              <w:t xml:space="preserve">系人：张先生      </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bCs/>
                <w:iCs/>
              </w:rPr>
              <w:t>电话：13782768572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1.1.4</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szCs w:val="21"/>
                <w:lang w:eastAsia="zh-CN"/>
              </w:rPr>
              <w:t>博爱县人民医院血液透析设备采购项目（</w:t>
            </w:r>
            <w:r>
              <w:rPr>
                <w:rFonts w:hint="eastAsia" w:asciiTheme="minorEastAsia" w:hAnsiTheme="minorEastAsia" w:eastAsiaTheme="minorEastAsia" w:cstheme="minorEastAsia"/>
                <w:szCs w:val="21"/>
                <w:lang w:val="en-US" w:eastAsia="zh-CN"/>
              </w:rPr>
              <w:t>二次</w:t>
            </w:r>
            <w:r>
              <w:rPr>
                <w:rFonts w:hint="eastAsia" w:asciiTheme="minorEastAsia" w:hAnsiTheme="minorEastAsia" w:eastAsiaTheme="minorEastAsia" w:cs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iCs/>
                <w:szCs w:val="21"/>
              </w:rPr>
              <w:t>项目地点</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资金来源</w:t>
            </w:r>
          </w:p>
        </w:tc>
        <w:tc>
          <w:tcPr>
            <w:tcW w:w="6112" w:type="dxa"/>
            <w:vAlign w:val="center"/>
          </w:tcPr>
          <w:p>
            <w:pPr>
              <w:pStyle w:val="18"/>
              <w:spacing w:line="360" w:lineRule="exact"/>
              <w:rPr>
                <w:rFonts w:hint="default" w:asciiTheme="minorEastAsia" w:hAnsiTheme="minorEastAsia" w:eastAsiaTheme="minorEastAsia" w:cstheme="minorEastAsia"/>
              </w:rPr>
            </w:pPr>
            <w:r>
              <w:rPr>
                <w:rFonts w:hint="eastAsia" w:asciiTheme="minorEastAsia" w:hAnsiTheme="minorEastAsia" w:eastAsiaTheme="minorEastAsia" w:cstheme="minorEastAsia"/>
                <w:lang w:val="en-US" w:eastAsia="zh-CN"/>
              </w:rPr>
              <w:t>专项债券</w:t>
            </w:r>
            <w:r>
              <w:rPr>
                <w:rFonts w:hint="default" w:asciiTheme="minorEastAsia" w:hAnsiTheme="minorEastAsia" w:eastAsiaTheme="minorEastAsia" w:cstheme="minorEastAsia"/>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资金落实情况</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1.3.1</w:t>
            </w:r>
          </w:p>
        </w:tc>
        <w:tc>
          <w:tcPr>
            <w:tcW w:w="2318" w:type="dxa"/>
            <w:vAlign w:val="center"/>
          </w:tcPr>
          <w:p>
            <w:pPr>
              <w:pStyle w:val="18"/>
              <w:spacing w:line="360" w:lineRule="exact"/>
              <w:ind w:firstLine="630" w:firstLineChars="300"/>
              <w:rPr>
                <w:rFonts w:hint="default" w:asciiTheme="minorEastAsia" w:hAnsiTheme="minorEastAsia" w:eastAsiaTheme="minorEastAsia" w:cstheme="minorEastAsia"/>
              </w:rPr>
            </w:pPr>
            <w:r>
              <w:rPr>
                <w:rFonts w:asciiTheme="minorEastAsia" w:hAnsiTheme="minorEastAsia" w:eastAsiaTheme="minorEastAsia" w:cstheme="minorEastAsia"/>
              </w:rPr>
              <w:t>采购内容</w:t>
            </w:r>
          </w:p>
        </w:tc>
        <w:tc>
          <w:tcPr>
            <w:tcW w:w="6112" w:type="dxa"/>
          </w:tcPr>
          <w:p>
            <w:pPr>
              <w:pStyle w:val="18"/>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10台透析机和2台血滤机。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供货</w:t>
            </w:r>
            <w:r>
              <w:rPr>
                <w:rFonts w:hint="eastAsia" w:asciiTheme="minorEastAsia" w:hAnsiTheme="minorEastAsia" w:eastAsiaTheme="minorEastAsia" w:cstheme="minorEastAsia"/>
                <w:lang w:val="en-US" w:eastAsia="zh-CN"/>
              </w:rPr>
              <w:t>安装</w:t>
            </w:r>
            <w:r>
              <w:rPr>
                <w:rFonts w:asciiTheme="minorEastAsia" w:hAnsiTheme="minorEastAsia" w:eastAsiaTheme="minorEastAsia" w:cstheme="minorEastAsia"/>
              </w:rPr>
              <w:t>期</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合同签订后15 日历天内供货</w:t>
            </w:r>
            <w:r>
              <w:rPr>
                <w:rFonts w:hint="eastAsia" w:asciiTheme="minorEastAsia" w:hAnsiTheme="minorEastAsia" w:eastAsiaTheme="minorEastAsia" w:cstheme="minorEastAsia"/>
                <w:lang w:val="en-US" w:eastAsia="zh-CN"/>
              </w:rPr>
              <w:t>安装</w:t>
            </w:r>
            <w:r>
              <w:rPr>
                <w:rFonts w:asciiTheme="minorEastAsia" w:hAnsiTheme="minorEastAsia" w:eastAsiaTheme="minorEastAsia" w:cstheme="minorEastAsia"/>
              </w:rPr>
              <w:t>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1.3.3</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hint="default" w:asciiTheme="minorEastAsia" w:hAnsiTheme="minorEastAsia" w:eastAsiaTheme="minorEastAsia" w:cstheme="minorEastAsia"/>
              </w:rPr>
              <w:t>质量标准</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1.3.4</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质保期</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供应商资质条件</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1、符合《中华人民共和国政府采购法》第二十二条之规定；</w:t>
            </w:r>
          </w:p>
          <w:p>
            <w:pPr>
              <w:pStyle w:val="18"/>
              <w:spacing w:line="360" w:lineRule="exact"/>
              <w:rPr>
                <w:rFonts w:hint="eastAsia" w:asciiTheme="minorEastAsia" w:hAnsiTheme="minorEastAsia" w:eastAsiaTheme="minorEastAsia" w:cstheme="minorEastAsia"/>
                <w:color w:val="0000FF"/>
                <w:lang w:eastAsia="zh-CN"/>
              </w:rPr>
            </w:pPr>
            <w:r>
              <w:rPr>
                <w:rFonts w:asciiTheme="minorEastAsia" w:hAnsiTheme="minorEastAsia" w:eastAsiaTheme="minorEastAsia" w:cstheme="minorEastAsia"/>
              </w:rPr>
              <w:t>2、落</w:t>
            </w:r>
            <w:r>
              <w:rPr>
                <w:rFonts w:asciiTheme="minorEastAsia" w:hAnsiTheme="minorEastAsia" w:eastAsiaTheme="minorEastAsia" w:cstheme="minorEastAsia"/>
                <w:color w:val="auto"/>
              </w:rPr>
              <w:t>实政府采购政策需满足的资格要求：</w:t>
            </w:r>
            <w:r>
              <w:rPr>
                <w:rFonts w:hint="eastAsia" w:asciiTheme="minorEastAsia" w:hAnsiTheme="minorEastAsia" w:eastAsiaTheme="minorEastAsia" w:cstheme="minorEastAsia"/>
                <w:color w:val="auto"/>
              </w:rPr>
              <w:t>促进政府强制采购节能产品及环境标志产品优先采购</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lang w:val="en-US" w:eastAsia="zh-CN"/>
              </w:rPr>
              <w:t>且该项目全额面向中小企业采购，</w:t>
            </w:r>
            <w:r>
              <w:rPr>
                <w:rFonts w:hint="eastAsia" w:asciiTheme="minorEastAsia" w:hAnsiTheme="minorEastAsia" w:eastAsiaTheme="minorEastAsia" w:cstheme="minorEastAsia"/>
                <w:color w:val="auto"/>
              </w:rPr>
              <w:t>需要提供中小企业声明函</w:t>
            </w:r>
            <w:r>
              <w:rPr>
                <w:rFonts w:hint="eastAsia" w:asciiTheme="minorEastAsia" w:hAnsiTheme="minorEastAsia" w:eastAsiaTheme="minorEastAsia" w:cstheme="minorEastAsia"/>
                <w:color w:val="auto"/>
                <w:lang w:eastAsia="zh-CN"/>
              </w:rPr>
              <w:t>；</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3、本项目的特定资格要求：</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3.1供应商须具有有效的营业执照，</w:t>
            </w:r>
            <w:r>
              <w:rPr>
                <w:rFonts w:hint="eastAsia" w:asciiTheme="minorEastAsia" w:hAnsiTheme="minorEastAsia" w:eastAsiaTheme="minorEastAsia" w:cstheme="minorEastAsia"/>
              </w:rPr>
              <w:t>具有医疗器械经营许可证或医疗器械经营备案凭证或生产许可证</w:t>
            </w:r>
            <w:r>
              <w:rPr>
                <w:rFonts w:hint="eastAsia" w:asciiTheme="minorEastAsia" w:hAnsiTheme="minorEastAsia" w:eastAsiaTheme="minorEastAsia" w:cstheme="minorEastAsia"/>
                <w:lang w:eastAsia="zh-CN"/>
              </w:rPr>
              <w:t>，</w:t>
            </w:r>
            <w:r>
              <w:rPr>
                <w:rFonts w:asciiTheme="minorEastAsia" w:hAnsiTheme="minorEastAsia" w:eastAsiaTheme="minorEastAsia" w:cstheme="minorEastAsia"/>
              </w:rPr>
              <w:t>并具有实施完成本项目的经营实力和完善的售后服务体系；</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3.3本项目不接受联合体投标；</w:t>
            </w:r>
          </w:p>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是否接受联合体</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投标预备会</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供应商提出问题的</w:t>
            </w:r>
          </w:p>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截止时间</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1.10.3</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采购人说明澄清的时间</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分包</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偏离</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允许负偏离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供应商要求澄清招标文件的截止时间</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w:t>
            </w:r>
            <w:r>
              <w:rPr>
                <w:rFonts w:hint="eastAsia" w:asciiTheme="minorEastAsia" w:hAnsiTheme="minorEastAsia" w:eastAsiaTheme="minorEastAsia" w:cstheme="minorEastAsia"/>
                <w:lang w:eastAsia="zh-CN"/>
              </w:rPr>
              <w:t>七</w:t>
            </w:r>
            <w:r>
              <w:rPr>
                <w:rFonts w:asciiTheme="minorEastAsia" w:hAnsiTheme="minorEastAsia" w:eastAsiaTheme="minorEastAsia" w:cstheme="minorEastAsia"/>
              </w:rPr>
              <w:t>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2.2.2</w:t>
            </w:r>
          </w:p>
        </w:tc>
        <w:tc>
          <w:tcPr>
            <w:tcW w:w="2318" w:type="dxa"/>
            <w:vAlign w:val="center"/>
          </w:tcPr>
          <w:p>
            <w:pPr>
              <w:pStyle w:val="18"/>
              <w:spacing w:line="360" w:lineRule="exact"/>
              <w:jc w:val="center"/>
              <w:rPr>
                <w:rFonts w:hint="default" w:asciiTheme="minorEastAsia" w:hAnsiTheme="minorEastAsia" w:eastAsiaTheme="minorEastAsia" w:cstheme="minorEastAsia"/>
                <w:b/>
                <w:bCs/>
              </w:rPr>
            </w:pPr>
            <w:r>
              <w:rPr>
                <w:rFonts w:asciiTheme="minorEastAsia" w:hAnsiTheme="minorEastAsia" w:eastAsiaTheme="minorEastAsia" w:cstheme="minorEastAsia"/>
              </w:rPr>
              <w:t>投标截止时间</w:t>
            </w:r>
          </w:p>
        </w:tc>
        <w:tc>
          <w:tcPr>
            <w:tcW w:w="6112" w:type="dxa"/>
            <w:vAlign w:val="center"/>
          </w:tcPr>
          <w:p>
            <w:pPr>
              <w:spacing w:line="360" w:lineRule="exact"/>
              <w:jc w:val="left"/>
              <w:rPr>
                <w:rFonts w:asciiTheme="minorEastAsia" w:hAnsiTheme="minorEastAsia" w:eastAsiaTheme="minorEastAsia" w:cstheme="minorEastAsia"/>
                <w:b/>
                <w:bCs/>
              </w:rPr>
            </w:pPr>
            <w:r>
              <w:rPr>
                <w:rFonts w:hint="eastAsia" w:ascii="宋体" w:hAnsi="宋体" w:cs="宋体"/>
                <w:b/>
                <w:bCs/>
                <w:kern w:val="0"/>
                <w:szCs w:val="21"/>
              </w:rPr>
              <w:t>2022年</w:t>
            </w:r>
            <w:r>
              <w:rPr>
                <w:rFonts w:hint="eastAsia" w:ascii="宋体" w:hAnsi="宋体" w:cs="宋体"/>
                <w:b/>
                <w:bCs/>
                <w:kern w:val="0"/>
                <w:szCs w:val="21"/>
                <w:lang w:val="en-US" w:eastAsia="zh-CN"/>
              </w:rPr>
              <w:t>12</w:t>
            </w:r>
            <w:r>
              <w:rPr>
                <w:rFonts w:hint="eastAsia" w:ascii="宋体" w:hAnsi="宋体" w:cs="宋体"/>
                <w:b/>
                <w:bCs/>
                <w:kern w:val="0"/>
                <w:szCs w:val="21"/>
              </w:rPr>
              <w:t>月</w:t>
            </w:r>
            <w:r>
              <w:rPr>
                <w:rFonts w:hint="eastAsia" w:ascii="宋体" w:hAnsi="宋体" w:cs="宋体"/>
                <w:b/>
                <w:bCs/>
                <w:kern w:val="0"/>
                <w:szCs w:val="21"/>
                <w:lang w:val="en-US" w:eastAsia="zh-CN"/>
              </w:rPr>
              <w:t>28</w:t>
            </w:r>
            <w:r>
              <w:rPr>
                <w:rFonts w:hint="eastAsia" w:ascii="宋体" w:hAnsi="宋体" w:cs="宋体"/>
                <w:b/>
                <w:bCs/>
                <w:kern w:val="0"/>
                <w:szCs w:val="21"/>
              </w:rPr>
              <w:t>日上午</w:t>
            </w:r>
            <w:r>
              <w:rPr>
                <w:rFonts w:hint="eastAsia" w:ascii="宋体" w:hAnsi="宋体" w:cs="宋体"/>
                <w:b/>
                <w:bCs/>
                <w:kern w:val="0"/>
                <w:szCs w:val="21"/>
                <w:lang w:val="en-US" w:eastAsia="zh-CN"/>
              </w:rPr>
              <w:t>9</w:t>
            </w:r>
            <w:r>
              <w:rPr>
                <w:rFonts w:hint="eastAsia" w:ascii="宋体" w:hAnsi="宋体" w:cs="宋体"/>
                <w:b/>
                <w:bCs/>
                <w:kern w:val="0"/>
                <w:szCs w:val="21"/>
              </w:rPr>
              <w:t>点</w:t>
            </w:r>
            <w:r>
              <w:rPr>
                <w:rFonts w:hint="eastAsia" w:ascii="宋体" w:hAnsi="宋体" w:cs="宋体"/>
                <w:b/>
                <w:bCs/>
                <w:kern w:val="0"/>
                <w:szCs w:val="21"/>
                <w:lang w:val="en-US" w:eastAsia="zh-CN"/>
              </w:rPr>
              <w:t>00</w:t>
            </w:r>
            <w:r>
              <w:rPr>
                <w:rFonts w:hint="eastAsia" w:ascii="宋体" w:hAnsi="宋体" w:cs="宋体"/>
                <w:b/>
                <w:bCs/>
                <w:kern w:val="0"/>
                <w:szCs w:val="21"/>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2.2.3</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供应商确认收到招标文件澄清的时间</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招标文件澄清文件发出后4小时内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2.3.2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供应商确认收到招标文件修改的时间</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招标文件修改文件发出后4小时内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构成投标文件的</w:t>
            </w:r>
          </w:p>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其他材料</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3.3.1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投标有效期</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3.6</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是否允许递交备选</w:t>
            </w:r>
          </w:p>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投标方案</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签字盖章要求</w:t>
            </w:r>
          </w:p>
        </w:tc>
        <w:tc>
          <w:tcPr>
            <w:tcW w:w="6112" w:type="dxa"/>
            <w:shd w:val="clear" w:color="auto" w:fill="auto"/>
            <w:vAlign w:val="center"/>
          </w:tcPr>
          <w:p>
            <w:pPr>
              <w:pStyle w:val="18"/>
              <w:spacing w:line="400" w:lineRule="exact"/>
              <w:rPr>
                <w:rFonts w:hint="default" w:hAnsi="宋体"/>
              </w:rPr>
            </w:pPr>
            <w:r>
              <w:rPr>
                <w:rFonts w:hAnsi="宋体"/>
              </w:rPr>
              <w:t>（1）所有要求投标人加盖公章的地方都须加盖投标人单位的 CA 印章。</w:t>
            </w:r>
          </w:p>
          <w:p>
            <w:pPr>
              <w:pStyle w:val="18"/>
              <w:spacing w:line="400" w:lineRule="exact"/>
              <w:rPr>
                <w:rFonts w:hint="default" w:hAnsi="宋体"/>
              </w:rPr>
            </w:pPr>
            <w:r>
              <w:rPr>
                <w:rFonts w:hAnsi="宋体"/>
              </w:rPr>
              <w:t>（2）所有要求法定代表人或其委托代理人签字的地方都须加盖法定代表人CA 印章或其委托代理人签字。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3.7.4</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投标文件份数</w:t>
            </w:r>
          </w:p>
        </w:tc>
        <w:tc>
          <w:tcPr>
            <w:tcW w:w="6112" w:type="dxa"/>
            <w:vAlign w:val="center"/>
          </w:tcPr>
          <w:p>
            <w:pPr>
              <w:pStyle w:val="18"/>
              <w:spacing w:line="400" w:lineRule="exact"/>
              <w:rPr>
                <w:rFonts w:hint="default" w:hAnsi="宋体"/>
              </w:rPr>
            </w:pPr>
            <w:r>
              <w:rPr>
                <w:rFonts w:hAnsi="宋体"/>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4.2.2</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递交投标文件方式和</w:t>
            </w:r>
          </w:p>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地点</w:t>
            </w:r>
          </w:p>
        </w:tc>
        <w:tc>
          <w:tcPr>
            <w:tcW w:w="6112" w:type="dxa"/>
            <w:vAlign w:val="center"/>
          </w:tcPr>
          <w:p>
            <w:pPr>
              <w:pStyle w:val="18"/>
              <w:spacing w:line="400" w:lineRule="exact"/>
              <w:rPr>
                <w:rFonts w:hint="default" w:hAnsi="宋体"/>
              </w:rPr>
            </w:pPr>
            <w:r>
              <w:rPr>
                <w:rFonts w:hAnsi="宋体"/>
              </w:rPr>
              <w:t xml:space="preserve">本项目采用“远程不见面”开标方式，远程开标大厅网址为http://122.112.246.33/BidOpening/bidopeninghallaction/hall/login。投标人不需到开标现场参加开标会议，不需提交原件资料等。 </w:t>
            </w:r>
          </w:p>
          <w:p>
            <w:pPr>
              <w:pStyle w:val="18"/>
              <w:spacing w:line="400" w:lineRule="exact"/>
              <w:rPr>
                <w:rFonts w:hint="default" w:hAnsi="宋体"/>
              </w:rPr>
            </w:pPr>
            <w:r>
              <w:rPr>
                <w:rFonts w:hAnsi="宋体"/>
              </w:rPr>
              <w:t>（1）电子投标文件的递交</w:t>
            </w:r>
          </w:p>
          <w:p>
            <w:pPr>
              <w:pStyle w:val="18"/>
              <w:spacing w:line="400" w:lineRule="exact"/>
              <w:rPr>
                <w:rFonts w:hint="default" w:hAnsi="宋体"/>
              </w:rPr>
            </w:pPr>
            <w:r>
              <w:rPr>
                <w:rFonts w:hAnsi="宋体"/>
              </w:rPr>
              <w:t>a、各投标人应在投标截止时间前上传加密的电子投标文件</w:t>
            </w:r>
          </w:p>
          <w:p>
            <w:pPr>
              <w:pStyle w:val="18"/>
              <w:spacing w:line="400" w:lineRule="exact"/>
              <w:rPr>
                <w:rFonts w:hint="default" w:hAnsi="宋体"/>
              </w:rPr>
            </w:pPr>
            <w:r>
              <w:rPr>
                <w:rFonts w:hAnsi="宋体"/>
              </w:rPr>
              <w:t>（.jztf 格式）到会员系统的指定位置。上传时必须得到电脑“上传成功”的确认回复。请投标人在上传时认真检查上传投标文件是否完整、正确。</w:t>
            </w:r>
          </w:p>
          <w:p>
            <w:pPr>
              <w:pStyle w:val="18"/>
              <w:spacing w:line="400" w:lineRule="exact"/>
              <w:rPr>
                <w:rFonts w:hint="default"/>
              </w:rPr>
            </w:pPr>
            <w:r>
              <w:rPr>
                <w:rFonts w:hAnsi="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4.2.3</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是否退还投标文件</w:t>
            </w:r>
          </w:p>
        </w:tc>
        <w:tc>
          <w:tcPr>
            <w:tcW w:w="6112" w:type="dxa"/>
            <w:vAlign w:val="center"/>
          </w:tcPr>
          <w:p>
            <w:pPr>
              <w:pStyle w:val="18"/>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5.1</w:t>
            </w:r>
          </w:p>
        </w:tc>
        <w:tc>
          <w:tcPr>
            <w:tcW w:w="2318"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开标时间和地点</w:t>
            </w:r>
          </w:p>
        </w:tc>
        <w:tc>
          <w:tcPr>
            <w:tcW w:w="6112" w:type="dxa"/>
            <w:vAlign w:val="center"/>
          </w:tcPr>
          <w:p>
            <w:pPr>
              <w:adjustRightInd w:val="0"/>
              <w:snapToGrid w:val="0"/>
              <w:spacing w:line="400" w:lineRule="exact"/>
              <w:rPr>
                <w:rFonts w:ascii="宋体" w:hAnsi="宋体"/>
                <w:szCs w:val="21"/>
              </w:rPr>
            </w:pPr>
            <w:r>
              <w:rPr>
                <w:rFonts w:hint="eastAsia" w:ascii="宋体" w:hAnsi="宋体"/>
                <w:szCs w:val="21"/>
              </w:rPr>
              <w:t>开标时间：同投标截止时间。投标人应当在投标截止时间前，登录远程开标大厅，凭制作投标文件所用的企业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rPr>
            </w:pPr>
            <w:r>
              <w:rPr>
                <w:rFonts w:hint="eastAsia" w:ascii="宋体" w:hAnsi="宋体"/>
                <w:szCs w:val="21"/>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评标委员会的组建</w:t>
            </w:r>
          </w:p>
        </w:tc>
        <w:tc>
          <w:tcPr>
            <w:tcW w:w="6112" w:type="dxa"/>
            <w:vAlign w:val="center"/>
          </w:tcPr>
          <w:p>
            <w:pPr>
              <w:spacing w:line="360" w:lineRule="exact"/>
              <w:ind w:left="700" w:hanging="7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评标委员会构成：由采购人代表1名和政府采购专家库中随机抽</w:t>
            </w:r>
          </w:p>
          <w:p>
            <w:pPr>
              <w:spacing w:line="360" w:lineRule="exact"/>
              <w:ind w:left="700" w:hanging="7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取的评审专家4名共5人组成。</w:t>
            </w:r>
          </w:p>
          <w:p>
            <w:pPr>
              <w:spacing w:line="360" w:lineRule="exact"/>
              <w:jc w:val="lef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履约保证金</w:t>
            </w:r>
          </w:p>
        </w:tc>
        <w:tc>
          <w:tcPr>
            <w:tcW w:w="6112" w:type="dxa"/>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8"/>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预算金额</w:t>
            </w:r>
          </w:p>
        </w:tc>
        <w:tc>
          <w:tcPr>
            <w:tcW w:w="6112" w:type="dxa"/>
            <w:vAlign w:val="bottom"/>
          </w:tcPr>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1、本项目预算金额为：2700000.00元</w:t>
            </w:r>
          </w:p>
          <w:p>
            <w:pPr>
              <w:spacing w:line="44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auto"/>
                <w:szCs w:val="21"/>
                <w:highlight w:val="none"/>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1、对小型或微型企业投标的扶持：(如有）</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小微企业应当列明本项目中所投的“小型和微型企业产品的清单”并提供《中小企业声明函》（见格式）。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1.2按照</w:t>
            </w:r>
            <w:r>
              <w:rPr>
                <w:rFonts w:hint="eastAsia" w:ascii="宋体" w:hAnsi="宋体" w:cs="宋体"/>
                <w:kern w:val="0"/>
                <w:sz w:val="24"/>
                <w:szCs w:val="22"/>
              </w:rPr>
              <w:t>《</w:t>
            </w:r>
            <w:r>
              <w:rPr>
                <w:rFonts w:hint="eastAsia" w:ascii="宋体" w:hAnsi="宋体" w:cs="宋体"/>
                <w:kern w:val="0"/>
                <w:szCs w:val="21"/>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1.2.3小型、微型企业提供有中型企业制造的货物的，视同为中型企业；小型、微型、中型企业提供有大型企业制造的货物的，视同为大型企业。</w:t>
            </w:r>
          </w:p>
          <w:p>
            <w:pPr>
              <w:spacing w:line="440" w:lineRule="exact"/>
              <w:rPr>
                <w:rFonts w:ascii="宋体" w:hAnsi="宋体" w:cs="宋体"/>
                <w:bCs/>
              </w:rPr>
            </w:pPr>
            <w:r>
              <w:rPr>
                <w:rFonts w:hint="eastAsia" w:ascii="宋体" w:hAnsi="宋体" w:cs="宋体"/>
                <w:bCs/>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rPr>
            </w:pPr>
            <w:r>
              <w:rPr>
                <w:rFonts w:hint="eastAsia" w:ascii="宋体" w:hAnsi="宋体" w:cs="宋体"/>
                <w:bCs/>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10.3</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w:t>
            </w:r>
          </w:p>
        </w:tc>
        <w:tc>
          <w:tcPr>
            <w:tcW w:w="6112" w:type="dxa"/>
            <w:vAlign w:val="center"/>
          </w:tcPr>
          <w:p>
            <w:pPr>
              <w:spacing w:line="360" w:lineRule="exact"/>
              <w:jc w:val="left"/>
              <w:rPr>
                <w:rFonts w:asciiTheme="minorEastAsia" w:hAnsiTheme="minorEastAsia" w:eastAsiaTheme="minorEastAsia" w:cstheme="minorEastAsia"/>
                <w:szCs w:val="21"/>
              </w:rPr>
            </w:pPr>
            <w:r>
              <w:rPr>
                <w:rFonts w:asciiTheme="minorEastAsia" w:hAnsiTheme="minorEastAsia" w:eastAsiaTheme="minorEastAsia" w:cstheme="minorEastAsia"/>
                <w:color w:val="auto"/>
                <w:szCs w:val="21"/>
              </w:rPr>
              <w:t>采购人在全部货物安装调试完毕，货物验收合格后，</w:t>
            </w:r>
            <w:r>
              <w:rPr>
                <w:rFonts w:hint="eastAsia" w:asciiTheme="minorEastAsia" w:hAnsiTheme="minorEastAsia" w:eastAsiaTheme="minorEastAsia" w:cstheme="minorEastAsia"/>
                <w:color w:val="auto"/>
                <w:szCs w:val="21"/>
              </w:rPr>
              <w:t>15个工作日内一次性</w:t>
            </w:r>
            <w:r>
              <w:rPr>
                <w:rFonts w:asciiTheme="minorEastAsia" w:hAnsiTheme="minorEastAsia" w:eastAsiaTheme="minorEastAsia" w:cstheme="minorEastAsia"/>
                <w:color w:val="auto"/>
                <w:szCs w:val="21"/>
              </w:rPr>
              <w:t>支付中标人合同</w:t>
            </w:r>
            <w:r>
              <w:rPr>
                <w:rFonts w:hint="eastAsia" w:asciiTheme="minorEastAsia" w:hAnsiTheme="minorEastAsia" w:eastAsiaTheme="minorEastAsia" w:cstheme="minorEastAsia"/>
                <w:color w:val="auto"/>
                <w:szCs w:val="21"/>
              </w:rPr>
              <w:t>金额的90%，三个月后支付合同金额的10%</w:t>
            </w:r>
            <w:r>
              <w:rPr>
                <w:rFonts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10.4</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供货要求</w:t>
            </w:r>
          </w:p>
        </w:tc>
        <w:tc>
          <w:tcPr>
            <w:tcW w:w="6112" w:type="dxa"/>
            <w:vAlign w:val="center"/>
          </w:tcPr>
          <w:p>
            <w:pPr>
              <w:spacing w:line="360" w:lineRule="exact"/>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t>供应商应保证所提供货物是全新的，未使用过的，完全符合采购文件中的质量、技术要求，并符合国家规定的相关质量标准，在采购文件没有其他要求时，供应商须按照国家“三包”规定进行后续服务。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招标代理服务费</w:t>
            </w:r>
          </w:p>
        </w:tc>
        <w:tc>
          <w:tcPr>
            <w:tcW w:w="6112" w:type="dxa"/>
            <w:vAlign w:val="center"/>
          </w:tcPr>
          <w:p>
            <w:pPr>
              <w:spacing w:line="440" w:lineRule="exact"/>
            </w:pPr>
            <w:r>
              <w:rPr>
                <w:rFonts w:hint="eastAsia" w:ascii="宋体" w:hAnsi="宋体" w:cs="宋体"/>
                <w:bCs/>
              </w:rPr>
              <w:t>招标代理服务费依据国家发展改革委发改价格[2015]299号文件的规定收取，由中标人支付。招标代理费由招标代理机构通知中标企业结清后，领取中标通知书。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10.8</w:t>
            </w:r>
          </w:p>
        </w:tc>
        <w:tc>
          <w:tcPr>
            <w:tcW w:w="2318" w:type="dxa"/>
            <w:vAlign w:val="center"/>
          </w:tcPr>
          <w:p>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认定为不响应招标文件的其它条件</w:t>
            </w:r>
          </w:p>
        </w:tc>
        <w:tc>
          <w:tcPr>
            <w:tcW w:w="6112" w:type="dxa"/>
            <w:vAlign w:val="center"/>
          </w:tcPr>
          <w:p>
            <w:pPr>
              <w:spacing w:line="440" w:lineRule="exact"/>
              <w:rPr>
                <w:rFonts w:ascii="宋体" w:hAnsi="宋体" w:cs="宋体"/>
                <w:bCs/>
              </w:rPr>
            </w:pPr>
            <w:r>
              <w:rPr>
                <w:rFonts w:hint="eastAsia" w:ascii="宋体" w:hAnsi="宋体" w:cs="宋体"/>
                <w:bCs/>
              </w:rPr>
              <w:t>1、未按招标文件明示的规定签字盖章的；</w:t>
            </w:r>
          </w:p>
          <w:p>
            <w:pPr>
              <w:spacing w:line="440" w:lineRule="exact"/>
              <w:rPr>
                <w:rFonts w:ascii="宋体" w:hAnsi="宋体" w:cs="宋体"/>
                <w:bCs/>
              </w:rPr>
            </w:pPr>
            <w:r>
              <w:rPr>
                <w:rFonts w:hint="eastAsia" w:ascii="宋体" w:hAnsi="宋体" w:cs="宋体"/>
                <w:bCs/>
              </w:rPr>
              <w:t>2、投标文件的关键内容（供货</w:t>
            </w:r>
            <w:r>
              <w:rPr>
                <w:rFonts w:hint="eastAsia" w:ascii="宋体" w:hAnsi="宋体" w:cs="宋体"/>
                <w:bCs/>
                <w:lang w:val="en-US" w:eastAsia="zh-CN"/>
              </w:rPr>
              <w:t>安装</w:t>
            </w:r>
            <w:r>
              <w:rPr>
                <w:rFonts w:hint="eastAsia" w:ascii="宋体" w:hAnsi="宋体" w:cs="宋体"/>
                <w:bCs/>
              </w:rPr>
              <w:t>期、质量标准、品牌、型号等）未填写或填写字迹模糊、达不到采购要求的；</w:t>
            </w:r>
          </w:p>
          <w:p>
            <w:pPr>
              <w:spacing w:line="440" w:lineRule="exact"/>
              <w:rPr>
                <w:rFonts w:ascii="宋体" w:hAnsi="宋体" w:cs="宋体"/>
                <w:bCs/>
              </w:rPr>
            </w:pPr>
            <w:r>
              <w:rPr>
                <w:rFonts w:hint="eastAsia" w:ascii="宋体" w:hAnsi="宋体" w:cs="宋体"/>
                <w:bCs/>
              </w:rPr>
              <w:t>3、投标报价超出招标控制价的；</w:t>
            </w:r>
          </w:p>
          <w:p>
            <w:pPr>
              <w:spacing w:line="440" w:lineRule="exact"/>
              <w:rPr>
                <w:rFonts w:ascii="宋体" w:hAnsi="宋体" w:cs="宋体"/>
                <w:bCs/>
              </w:rPr>
            </w:pPr>
            <w:r>
              <w:rPr>
                <w:rFonts w:hint="eastAsia" w:ascii="宋体" w:hAnsi="宋体" w:cs="宋体"/>
                <w:bCs/>
              </w:rPr>
              <w:t>4、供应商递交两份或多份内容不同的投标文件，或在一份投标文件中对同一招标项目有两个或多个报价，且未声明哪一个有效的；</w:t>
            </w:r>
          </w:p>
          <w:p>
            <w:pPr>
              <w:spacing w:line="440" w:lineRule="exact"/>
              <w:rPr>
                <w:rFonts w:ascii="宋体" w:hAnsi="宋体" w:cs="宋体"/>
                <w:bCs/>
              </w:rPr>
            </w:pPr>
            <w:r>
              <w:rPr>
                <w:rFonts w:hint="eastAsia" w:ascii="宋体" w:hAnsi="宋体" w:cs="宋体"/>
                <w:bCs/>
              </w:rPr>
              <w:t>5、相关资格证明文件不合格的；</w:t>
            </w:r>
          </w:p>
          <w:p>
            <w:pPr>
              <w:spacing w:line="440" w:lineRule="exact"/>
              <w:rPr>
                <w:rFonts w:ascii="宋体" w:hAnsi="宋体" w:cs="宋体"/>
                <w:bCs/>
              </w:rPr>
            </w:pPr>
            <w:r>
              <w:rPr>
                <w:rFonts w:hint="eastAsia" w:ascii="宋体" w:hAnsi="宋体" w:cs="宋体"/>
                <w:bCs/>
              </w:rPr>
              <w:t>6、未按要求在报价明细表中标明品牌、型号及技术参数的。</w:t>
            </w:r>
          </w:p>
          <w:p>
            <w:pPr>
              <w:spacing w:line="440" w:lineRule="exact"/>
              <w:rPr>
                <w:rFonts w:ascii="宋体" w:hAnsi="宋体" w:cs="宋体"/>
                <w:bCs/>
              </w:rPr>
            </w:pPr>
            <w:r>
              <w:rPr>
                <w:rFonts w:hint="eastAsia" w:ascii="宋体" w:hAnsi="宋体" w:cs="宋体"/>
                <w:bCs/>
              </w:rPr>
              <w:t>7、附有采购人不能接受的条件的；</w:t>
            </w:r>
          </w:p>
          <w:p>
            <w:pPr>
              <w:spacing w:line="440" w:lineRule="exact"/>
              <w:rPr>
                <w:rFonts w:ascii="宋体" w:hAnsi="宋体" w:cs="宋体"/>
                <w:bCs/>
              </w:rPr>
            </w:pPr>
            <w:r>
              <w:rPr>
                <w:rFonts w:hint="eastAsia" w:ascii="宋体" w:hAnsi="宋体" w:cs="宋体"/>
                <w:bCs/>
              </w:rPr>
              <w:t>8、评标过程中，如因两个或两个以上投标人在同一台计算或同一个IP上传响应文件，而被不见面开标系统提示为“投标文件制作机器码一致”的，则视其投标无效。</w:t>
            </w:r>
          </w:p>
          <w:p>
            <w:pPr>
              <w:spacing w:line="440" w:lineRule="exact"/>
              <w:rPr>
                <w:b/>
                <w:bCs/>
              </w:rPr>
            </w:pPr>
            <w:r>
              <w:rPr>
                <w:rFonts w:hint="eastAsia" w:ascii="宋体" w:hAnsi="宋体" w:cs="宋体"/>
                <w:bCs/>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10.9</w:t>
            </w:r>
          </w:p>
        </w:tc>
        <w:tc>
          <w:tcPr>
            <w:tcW w:w="8430" w:type="dxa"/>
            <w:gridSpan w:val="2"/>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本招标文件解释权归采购人</w:t>
            </w:r>
          </w:p>
        </w:tc>
      </w:tr>
    </w:tbl>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9" w:name="_Toc23576"/>
      <w:bookmarkStart w:id="10" w:name="_Toc426369479"/>
      <w:bookmarkStart w:id="11" w:name="_Toc403122491"/>
      <w:bookmarkStart w:id="12" w:name="_Toc23082"/>
      <w:bookmarkStart w:id="13" w:name="_Toc9048"/>
      <w:bookmarkStart w:id="14" w:name="_Toc426369491"/>
      <w:bookmarkStart w:id="15" w:name="_Toc26894"/>
      <w:bookmarkStart w:id="16" w:name="_Toc403122503"/>
      <w:r>
        <w:rPr>
          <w:rFonts w:hint="eastAsia" w:asciiTheme="minorEastAsia" w:hAnsiTheme="minorEastAsia" w:eastAsiaTheme="minorEastAsia" w:cstheme="minorEastAsia"/>
          <w:sz w:val="24"/>
          <w:szCs w:val="24"/>
        </w:rPr>
        <w:t>1. 总则</w:t>
      </w:r>
      <w:bookmarkEnd w:id="9"/>
      <w:bookmarkEnd w:id="10"/>
      <w:bookmarkEnd w:id="11"/>
      <w:bookmarkEnd w:id="12"/>
      <w:bookmarkEnd w:id="13"/>
    </w:p>
    <w:p>
      <w:pPr>
        <w:spacing w:line="500" w:lineRule="exact"/>
        <w:ind w:firstLine="482" w:firstLineChars="200"/>
        <w:rPr>
          <w:rFonts w:asciiTheme="minorEastAsia" w:hAnsiTheme="minorEastAsia" w:eastAsiaTheme="minorEastAsia" w:cstheme="minorEastAsia"/>
          <w:b/>
          <w:bCs/>
          <w:sz w:val="24"/>
        </w:rPr>
      </w:pPr>
      <w:bookmarkStart w:id="17" w:name="_Toc403122492"/>
      <w:bookmarkStart w:id="18" w:name="_Toc274249575"/>
      <w:bookmarkStart w:id="19" w:name="_Toc426369480"/>
      <w:bookmarkStart w:id="20" w:name="_Toc279599771"/>
      <w:r>
        <w:rPr>
          <w:rFonts w:hint="eastAsia" w:asciiTheme="minorEastAsia" w:hAnsiTheme="minorEastAsia" w:eastAsiaTheme="minorEastAsia" w:cstheme="minorEastAsia"/>
          <w:b/>
          <w:bCs/>
          <w:sz w:val="24"/>
        </w:rPr>
        <w:t>1.1 项目概况</w:t>
      </w:r>
      <w:bookmarkEnd w:id="17"/>
      <w:bookmarkEnd w:id="18"/>
      <w:bookmarkEnd w:id="19"/>
      <w:bookmarkEnd w:id="2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21" w:name="_Toc279599772"/>
      <w:bookmarkStart w:id="22" w:name="_Toc426369481"/>
      <w:bookmarkStart w:id="23" w:name="_Toc403122493"/>
      <w:bookmarkStart w:id="24" w:name="_Toc274249576"/>
      <w:r>
        <w:rPr>
          <w:rFonts w:hint="eastAsia" w:asciiTheme="minorEastAsia" w:hAnsiTheme="minorEastAsia" w:eastAsiaTheme="minorEastAsia" w:cstheme="minorEastAsia"/>
          <w:b/>
          <w:bCs/>
          <w:sz w:val="24"/>
        </w:rPr>
        <w:t>1.2 资金来源和落实情况</w:t>
      </w:r>
      <w:bookmarkEnd w:id="21"/>
      <w:bookmarkEnd w:id="22"/>
      <w:bookmarkEnd w:id="23"/>
      <w:bookmarkEnd w:id="2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25" w:name="_Toc279599773"/>
      <w:bookmarkStart w:id="26" w:name="_Toc403122494"/>
      <w:bookmarkStart w:id="27" w:name="_Toc274249577"/>
      <w:bookmarkStart w:id="28" w:name="_Toc426369482"/>
      <w:r>
        <w:rPr>
          <w:rFonts w:hint="eastAsia" w:asciiTheme="minorEastAsia" w:hAnsiTheme="minorEastAsia" w:eastAsiaTheme="minorEastAsia" w:cstheme="minorEastAsia"/>
          <w:b/>
          <w:bCs/>
          <w:sz w:val="24"/>
        </w:rPr>
        <w:t>1.3 采购内容、供货</w:t>
      </w:r>
      <w:r>
        <w:rPr>
          <w:rFonts w:hint="eastAsia" w:asciiTheme="minorEastAsia" w:hAnsiTheme="minorEastAsia" w:eastAsiaTheme="minorEastAsia" w:cstheme="minorEastAsia"/>
          <w:b/>
          <w:bCs/>
          <w:sz w:val="24"/>
          <w:lang w:val="en-US" w:eastAsia="zh-CN"/>
        </w:rPr>
        <w:t>安装</w:t>
      </w:r>
      <w:r>
        <w:rPr>
          <w:rFonts w:hint="eastAsia" w:asciiTheme="minorEastAsia" w:hAnsiTheme="minorEastAsia" w:eastAsiaTheme="minorEastAsia" w:cstheme="minorEastAsia"/>
          <w:b/>
          <w:bCs/>
          <w:sz w:val="24"/>
        </w:rPr>
        <w:t>期和质量</w:t>
      </w:r>
      <w:bookmarkEnd w:id="25"/>
      <w:bookmarkEnd w:id="26"/>
      <w:bookmarkEnd w:id="27"/>
      <w:bookmarkEnd w:id="28"/>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本次招标的质量要求：见供应商须知前附表。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29" w:name="_Toc274249578"/>
      <w:bookmarkStart w:id="30" w:name="_Toc279599774"/>
      <w:bookmarkStart w:id="31" w:name="_Toc426369483"/>
      <w:bookmarkStart w:id="32" w:name="_Toc403122495"/>
      <w:r>
        <w:rPr>
          <w:rFonts w:hint="eastAsia" w:asciiTheme="minorEastAsia" w:hAnsiTheme="minorEastAsia" w:eastAsiaTheme="minorEastAsia" w:cstheme="minorEastAsia"/>
          <w:b/>
          <w:bCs/>
          <w:sz w:val="24"/>
        </w:rPr>
        <w:t>1.4 供应商资格要求</w:t>
      </w:r>
      <w:bookmarkEnd w:id="29"/>
      <w:bookmarkEnd w:id="30"/>
      <w:bookmarkEnd w:id="31"/>
      <w:bookmarkEnd w:id="3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33" w:name="_Toc274249579"/>
      <w:bookmarkStart w:id="34" w:name="_Toc279599775"/>
      <w:bookmarkStart w:id="35" w:name="_Toc403122496"/>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36" w:name="_Toc426369484"/>
      <w:r>
        <w:rPr>
          <w:rFonts w:hint="eastAsia" w:asciiTheme="minorEastAsia" w:hAnsiTheme="minorEastAsia" w:eastAsiaTheme="minorEastAsia" w:cstheme="minorEastAsia"/>
          <w:b/>
          <w:bCs/>
          <w:sz w:val="24"/>
        </w:rPr>
        <w:t>1.5 费用承担</w:t>
      </w:r>
      <w:bookmarkEnd w:id="33"/>
      <w:bookmarkEnd w:id="34"/>
      <w:bookmarkEnd w:id="35"/>
      <w:bookmarkEnd w:id="3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37" w:name="_Toc403122497"/>
      <w:bookmarkStart w:id="38" w:name="_Toc426369485"/>
      <w:r>
        <w:rPr>
          <w:rFonts w:hint="eastAsia" w:asciiTheme="minorEastAsia" w:hAnsiTheme="minorEastAsia" w:eastAsiaTheme="minorEastAsia" w:cstheme="minorEastAsia"/>
          <w:b/>
          <w:bCs/>
          <w:sz w:val="24"/>
        </w:rPr>
        <w:t>1.6 保密</w:t>
      </w:r>
      <w:bookmarkEnd w:id="37"/>
      <w:bookmarkEnd w:id="3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39" w:name="_Toc274249581"/>
      <w:bookmarkStart w:id="40" w:name="_Toc403122498"/>
      <w:bookmarkStart w:id="41" w:name="_Toc426369486"/>
      <w:bookmarkStart w:id="42" w:name="_Toc279599777"/>
      <w:r>
        <w:rPr>
          <w:rFonts w:hint="eastAsia" w:asciiTheme="minorEastAsia" w:hAnsiTheme="minorEastAsia" w:eastAsiaTheme="minorEastAsia" w:cstheme="minorEastAsia"/>
          <w:b/>
          <w:bCs/>
          <w:sz w:val="24"/>
        </w:rPr>
        <w:t>1.7 语言文字</w:t>
      </w:r>
      <w:bookmarkEnd w:id="39"/>
      <w:bookmarkEnd w:id="40"/>
      <w:bookmarkEnd w:id="41"/>
      <w:bookmarkEnd w:id="42"/>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pStyle w:val="10"/>
        <w:ind w:firstLine="420" w:firstLineChars="200"/>
        <w:rPr>
          <w:rFonts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3" w:name="_Toc426369487"/>
      <w:bookmarkStart w:id="44" w:name="_Toc403122499"/>
    </w:p>
    <w:p>
      <w:pPr>
        <w:pStyle w:val="10"/>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 计量单位</w:t>
      </w:r>
      <w:bookmarkEnd w:id="43"/>
      <w:bookmarkEnd w:id="4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45" w:name="_Toc274249583"/>
      <w:bookmarkStart w:id="46" w:name="_Toc279599779"/>
      <w:bookmarkStart w:id="47" w:name="_Toc426369488"/>
      <w:bookmarkStart w:id="48" w:name="_Toc403122500"/>
      <w:r>
        <w:rPr>
          <w:rFonts w:hint="eastAsia" w:asciiTheme="minorEastAsia" w:hAnsiTheme="minorEastAsia" w:eastAsiaTheme="minorEastAsia" w:cstheme="minorEastAsia"/>
          <w:b/>
          <w:bCs/>
          <w:sz w:val="24"/>
        </w:rPr>
        <w:t>1.9 踏勘现场</w:t>
      </w:r>
      <w:bookmarkEnd w:id="45"/>
      <w:bookmarkEnd w:id="46"/>
      <w:bookmarkEnd w:id="47"/>
      <w:bookmarkEnd w:id="4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49" w:name="_Toc403122501"/>
      <w:bookmarkStart w:id="50" w:name="_Toc274249584"/>
      <w:bookmarkStart w:id="51" w:name="_Toc279599780"/>
      <w:bookmarkStart w:id="52" w:name="_Toc426369489"/>
      <w:r>
        <w:rPr>
          <w:rFonts w:hint="eastAsia" w:asciiTheme="minorEastAsia" w:hAnsiTheme="minorEastAsia" w:eastAsiaTheme="minorEastAsia" w:cstheme="minorEastAsia"/>
          <w:b/>
          <w:bCs/>
          <w:sz w:val="24"/>
        </w:rPr>
        <w:t>1.10 投标预备会</w:t>
      </w:r>
      <w:bookmarkEnd w:id="49"/>
      <w:bookmarkEnd w:id="50"/>
      <w:bookmarkEnd w:id="51"/>
      <w:bookmarkEnd w:id="5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53" w:name="_Toc274249585"/>
      <w:bookmarkStart w:id="54" w:name="_Toc403122502"/>
      <w:bookmarkStart w:id="55" w:name="_Toc426369490"/>
      <w:bookmarkStart w:id="56" w:name="_Toc279599781"/>
      <w:r>
        <w:rPr>
          <w:rFonts w:hint="eastAsia" w:asciiTheme="minorEastAsia" w:hAnsiTheme="minorEastAsia" w:eastAsiaTheme="minorEastAsia" w:cstheme="minorEastAsia"/>
          <w:b/>
          <w:bCs/>
          <w:sz w:val="24"/>
        </w:rPr>
        <w:t>1.11 分包</w:t>
      </w:r>
      <w:bookmarkEnd w:id="53"/>
      <w:bookmarkEnd w:id="54"/>
      <w:bookmarkEnd w:id="55"/>
      <w:bookmarkEnd w:id="5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57" w:name="_Toc9121"/>
      <w:bookmarkStart w:id="58" w:name="_Toc28663"/>
      <w:r>
        <w:rPr>
          <w:rFonts w:hint="eastAsia" w:asciiTheme="minorEastAsia" w:hAnsiTheme="minorEastAsia" w:eastAsiaTheme="minorEastAsia" w:cstheme="minorEastAsia"/>
          <w:sz w:val="24"/>
          <w:szCs w:val="24"/>
        </w:rPr>
        <w:t>2. 招标文件</w:t>
      </w:r>
      <w:bookmarkEnd w:id="14"/>
      <w:bookmarkEnd w:id="15"/>
      <w:bookmarkEnd w:id="16"/>
      <w:bookmarkEnd w:id="57"/>
      <w:bookmarkEnd w:id="58"/>
    </w:p>
    <w:p>
      <w:pPr>
        <w:spacing w:line="500" w:lineRule="exact"/>
        <w:ind w:firstLine="482" w:firstLineChars="200"/>
        <w:rPr>
          <w:rFonts w:asciiTheme="minorEastAsia" w:hAnsiTheme="minorEastAsia" w:eastAsiaTheme="minorEastAsia" w:cstheme="minorEastAsia"/>
          <w:b/>
          <w:bCs/>
          <w:sz w:val="24"/>
        </w:rPr>
      </w:pPr>
      <w:bookmarkStart w:id="59" w:name="_Toc274249587"/>
      <w:bookmarkStart w:id="60" w:name="_Toc279599783"/>
      <w:bookmarkStart w:id="61" w:name="_Toc426369492"/>
      <w:bookmarkStart w:id="62" w:name="_Toc403122504"/>
      <w:r>
        <w:rPr>
          <w:rFonts w:hint="eastAsia" w:asciiTheme="minorEastAsia" w:hAnsiTheme="minorEastAsia" w:eastAsiaTheme="minorEastAsia" w:cstheme="minorEastAsia"/>
          <w:b/>
          <w:bCs/>
          <w:sz w:val="24"/>
        </w:rPr>
        <w:t>2.1 招标文件的组成</w:t>
      </w:r>
      <w:bookmarkEnd w:id="59"/>
      <w:bookmarkEnd w:id="60"/>
      <w:bookmarkEnd w:id="61"/>
      <w:bookmarkEnd w:id="6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63" w:name="_Toc279599784"/>
      <w:bookmarkStart w:id="64" w:name="_Toc426369493"/>
      <w:bookmarkStart w:id="65" w:name="_Toc403122505"/>
      <w:bookmarkStart w:id="66" w:name="_Toc274249588"/>
      <w:r>
        <w:rPr>
          <w:rFonts w:hint="eastAsia" w:asciiTheme="minorEastAsia" w:hAnsiTheme="minorEastAsia" w:eastAsiaTheme="minorEastAsia" w:cstheme="minorEastAsia"/>
          <w:b/>
          <w:bCs/>
          <w:sz w:val="24"/>
        </w:rPr>
        <w:t>2.2 招标文件的澄清</w:t>
      </w:r>
      <w:bookmarkEnd w:id="63"/>
      <w:bookmarkEnd w:id="64"/>
      <w:bookmarkEnd w:id="65"/>
      <w:bookmarkEnd w:id="6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包括信函、电报、传真等可以有形地表现所载内容的形式，下同），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67" w:name="_Toc403122506"/>
      <w:bookmarkStart w:id="68" w:name="_Toc426369494"/>
      <w:bookmarkStart w:id="69" w:name="_Toc279599785"/>
      <w:bookmarkStart w:id="70" w:name="_Toc274249589"/>
      <w:r>
        <w:rPr>
          <w:rFonts w:hint="eastAsia" w:asciiTheme="minorEastAsia" w:hAnsiTheme="minorEastAsia" w:eastAsiaTheme="minorEastAsia" w:cstheme="minorEastAsia"/>
          <w:b/>
          <w:bCs/>
          <w:sz w:val="24"/>
        </w:rPr>
        <w:t>2.3 招标文件的修改</w:t>
      </w:r>
      <w:bookmarkEnd w:id="67"/>
      <w:bookmarkEnd w:id="68"/>
      <w:bookmarkEnd w:id="69"/>
      <w:bookmarkEnd w:id="7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71" w:name="_Toc426369495"/>
      <w:bookmarkStart w:id="72" w:name="_Toc23265"/>
      <w:bookmarkStart w:id="73" w:name="_Toc403122507"/>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74" w:name="_Toc22914"/>
      <w:bookmarkStart w:id="75" w:name="_Toc13865"/>
      <w:r>
        <w:rPr>
          <w:rFonts w:hint="eastAsia" w:asciiTheme="minorEastAsia" w:hAnsiTheme="minorEastAsia" w:eastAsiaTheme="minorEastAsia" w:cstheme="minorEastAsia"/>
          <w:sz w:val="24"/>
          <w:szCs w:val="24"/>
        </w:rPr>
        <w:t>3. 投标文件</w:t>
      </w:r>
      <w:bookmarkEnd w:id="71"/>
      <w:bookmarkEnd w:id="72"/>
      <w:bookmarkEnd w:id="73"/>
      <w:bookmarkEnd w:id="74"/>
      <w:bookmarkEnd w:id="75"/>
    </w:p>
    <w:p>
      <w:pPr>
        <w:spacing w:line="500" w:lineRule="exact"/>
        <w:ind w:firstLine="482" w:firstLineChars="200"/>
        <w:rPr>
          <w:rFonts w:asciiTheme="minorEastAsia" w:hAnsiTheme="minorEastAsia" w:eastAsiaTheme="minorEastAsia" w:cstheme="minorEastAsia"/>
          <w:b/>
          <w:bCs/>
          <w:sz w:val="24"/>
        </w:rPr>
      </w:pPr>
      <w:bookmarkStart w:id="76" w:name="_Toc403122508"/>
      <w:bookmarkStart w:id="77" w:name="_Toc274249591"/>
      <w:bookmarkStart w:id="78" w:name="_Toc426369496"/>
      <w:bookmarkStart w:id="79" w:name="_Toc279599787"/>
      <w:r>
        <w:rPr>
          <w:rFonts w:hint="eastAsia" w:asciiTheme="minorEastAsia" w:hAnsiTheme="minorEastAsia" w:eastAsiaTheme="minorEastAsia" w:cstheme="minorEastAsia"/>
          <w:b/>
          <w:bCs/>
          <w:sz w:val="24"/>
        </w:rPr>
        <w:t>3.1 投标文件的组成</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80" w:name="_Toc426369497"/>
      <w:bookmarkStart w:id="81" w:name="_Toc274249592"/>
      <w:bookmarkStart w:id="82" w:name="_Toc279599788"/>
      <w:bookmarkStart w:id="83" w:name="_Toc403122509"/>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pStyle w:val="2"/>
        <w:spacing w:line="440" w:lineRule="exact"/>
        <w:ind w:firstLineChars="200"/>
        <w:rPr>
          <w:rFonts w:hint="default" w:ascii="宋体" w:hAnsi="宋体" w:eastAsia="宋体" w:cs="宋体"/>
          <w:sz w:val="21"/>
          <w:szCs w:val="21"/>
        </w:rPr>
      </w:pPr>
      <w:r>
        <w:rPr>
          <w:rFonts w:ascii="宋体" w:hAnsi="宋体" w:eastAsia="宋体" w:cs="宋体"/>
          <w:sz w:val="21"/>
          <w:szCs w:val="21"/>
        </w:rPr>
        <w:t>四、项目供货保证措施、售后服务方案等</w:t>
      </w:r>
    </w:p>
    <w:p>
      <w:pPr>
        <w:spacing w:line="440" w:lineRule="exact"/>
        <w:ind w:firstLine="420" w:firstLineChars="200"/>
        <w:rPr>
          <w:rFonts w:ascii="宋体" w:hAnsi="宋体" w:cs="宋体"/>
          <w:szCs w:val="21"/>
        </w:rPr>
      </w:pPr>
      <w:r>
        <w:rPr>
          <w:rFonts w:hint="eastAsia" w:ascii="宋体" w:hAnsi="宋体" w:cs="宋体"/>
          <w:szCs w:val="21"/>
        </w:rPr>
        <w:t>五、资格证明文件；</w:t>
      </w:r>
    </w:p>
    <w:p>
      <w:pPr>
        <w:pStyle w:val="2"/>
        <w:spacing w:line="440" w:lineRule="exact"/>
        <w:ind w:firstLineChars="200"/>
        <w:rPr>
          <w:rFonts w:hint="default" w:ascii="宋体" w:hAnsi="宋体" w:eastAsia="宋体" w:cs="宋体"/>
          <w:sz w:val="21"/>
          <w:szCs w:val="21"/>
        </w:rPr>
      </w:pPr>
      <w:r>
        <w:rPr>
          <w:rFonts w:ascii="宋体" w:hAnsi="宋体" w:eastAsia="宋体" w:cs="宋体"/>
          <w:sz w:val="21"/>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十、招标文件要求的或投标人认为需要加以说明的其他内容。</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80"/>
      <w:bookmarkEnd w:id="81"/>
      <w:bookmarkEnd w:id="82"/>
      <w:bookmarkEnd w:id="83"/>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w:t>
      </w:r>
      <w:r>
        <w:rPr>
          <w:rFonts w:hint="eastAsia" w:ascii="宋体" w:hAnsi="宋体" w:cs="宋体"/>
          <w:szCs w:val="21"/>
        </w:rPr>
        <w:t>保险费、</w:t>
      </w:r>
      <w:r>
        <w:rPr>
          <w:rFonts w:hint="eastAsia" w:asciiTheme="minorEastAsia" w:hAnsiTheme="minorEastAsia" w:eastAsiaTheme="minorEastAsia" w:cstheme="minorEastAsia"/>
          <w:szCs w:val="21"/>
        </w:rPr>
        <w:t>安装费、质量保证费、相关的伴随服务费、货物本身已支付或将支付的各种税费以及其它交付使用前的所有费用。投标价不是唯一的或不是固定不变的响应文件将被作为非响应性投标而予以拒绝。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84" w:name="_Toc279599789"/>
      <w:bookmarkStart w:id="85" w:name="_Toc426369498"/>
      <w:bookmarkStart w:id="86" w:name="_Toc274249593"/>
      <w:bookmarkStart w:id="87" w:name="_Toc403122510"/>
      <w:r>
        <w:rPr>
          <w:rFonts w:hint="eastAsia" w:asciiTheme="minorEastAsia" w:hAnsiTheme="minorEastAsia" w:eastAsiaTheme="minorEastAsia" w:cstheme="minorEastAsia"/>
          <w:b/>
          <w:bCs/>
          <w:sz w:val="24"/>
        </w:rPr>
        <w:t>3.3 投标有效期</w:t>
      </w:r>
      <w:bookmarkEnd w:id="84"/>
      <w:bookmarkEnd w:id="85"/>
      <w:bookmarkEnd w:id="86"/>
      <w:bookmarkEnd w:id="87"/>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88" w:name="_Toc274249595"/>
      <w:bookmarkStart w:id="89" w:name="_Toc279599791"/>
      <w:bookmarkStart w:id="90" w:name="_Toc426369501"/>
      <w:bookmarkStart w:id="91" w:name="_Toc403122512"/>
      <w:r>
        <w:rPr>
          <w:rFonts w:hint="eastAsia" w:asciiTheme="minorEastAsia" w:hAnsiTheme="minorEastAsia" w:eastAsiaTheme="minorEastAsia" w:cstheme="minorEastAsia"/>
          <w:b/>
          <w:bCs/>
          <w:sz w:val="24"/>
        </w:rPr>
        <w:t>3.5 资格审查资料</w:t>
      </w:r>
      <w:bookmarkEnd w:id="88"/>
      <w:bookmarkEnd w:id="89"/>
      <w:bookmarkEnd w:id="90"/>
      <w:bookmarkEnd w:id="91"/>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92" w:name="_Toc274249596"/>
      <w:bookmarkStart w:id="93" w:name="_Toc403122513"/>
      <w:bookmarkStart w:id="94" w:name="_Toc279599792"/>
      <w:bookmarkStart w:id="95" w:name="_Toc426369502"/>
      <w:r>
        <w:rPr>
          <w:rFonts w:hint="eastAsia" w:asciiTheme="minorEastAsia" w:hAnsiTheme="minorEastAsia" w:eastAsiaTheme="minorEastAsia" w:cstheme="minorEastAsia"/>
          <w:b/>
          <w:bCs/>
          <w:sz w:val="24"/>
        </w:rPr>
        <w:t>3.6 备选投标方案</w:t>
      </w:r>
      <w:bookmarkEnd w:id="92"/>
      <w:bookmarkEnd w:id="93"/>
      <w:bookmarkEnd w:id="94"/>
      <w:bookmarkEnd w:id="95"/>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96" w:name="_Toc426369503"/>
      <w:bookmarkStart w:id="97" w:name="_Toc403122514"/>
      <w:bookmarkStart w:id="98" w:name="_Toc274249597"/>
      <w:bookmarkStart w:id="99" w:name="_Toc279599793"/>
      <w:r>
        <w:rPr>
          <w:rFonts w:hint="eastAsia" w:asciiTheme="minorEastAsia" w:hAnsiTheme="minorEastAsia" w:eastAsiaTheme="minorEastAsia" w:cstheme="minorEastAsia"/>
          <w:b/>
          <w:bCs/>
          <w:sz w:val="24"/>
        </w:rPr>
        <w:t>3.7 投标文件的编制</w:t>
      </w:r>
      <w:bookmarkEnd w:id="96"/>
      <w:bookmarkEnd w:id="97"/>
      <w:bookmarkEnd w:id="98"/>
      <w:bookmarkEnd w:id="9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w:t>
      </w:r>
      <w:r>
        <w:rPr>
          <w:rFonts w:hint="eastAsia" w:asciiTheme="minorEastAsia" w:hAnsiTheme="minorEastAsia" w:eastAsiaTheme="minorEastAsia" w:cstheme="minorEastAsia"/>
          <w:szCs w:val="21"/>
          <w:lang w:val="en-US" w:eastAsia="zh-CN"/>
        </w:rPr>
        <w:t>安装</w:t>
      </w:r>
      <w:r>
        <w:rPr>
          <w:rFonts w:hint="eastAsia" w:asciiTheme="minorEastAsia" w:hAnsiTheme="minorEastAsia" w:eastAsiaTheme="minorEastAsia" w:cstheme="minorEastAsia"/>
          <w:szCs w:val="21"/>
        </w:rPr>
        <w:t>期、投标有效期、质量要求、采购要求及服务内容、等实质性内容作出响应。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00" w:name="_Toc426369504"/>
      <w:bookmarkStart w:id="101" w:name="_Toc30100"/>
      <w:bookmarkStart w:id="102" w:name="_Toc403122515"/>
      <w:bookmarkStart w:id="103" w:name="_Toc26998"/>
      <w:bookmarkStart w:id="104" w:name="_Toc31809"/>
      <w:r>
        <w:rPr>
          <w:rFonts w:hint="eastAsia" w:asciiTheme="minorEastAsia" w:hAnsiTheme="minorEastAsia" w:eastAsiaTheme="minorEastAsia" w:cstheme="minorEastAsia"/>
          <w:sz w:val="24"/>
          <w:szCs w:val="24"/>
        </w:rPr>
        <w:t>4. 投标</w:t>
      </w:r>
      <w:bookmarkEnd w:id="100"/>
      <w:bookmarkEnd w:id="101"/>
      <w:bookmarkEnd w:id="102"/>
      <w:bookmarkEnd w:id="103"/>
      <w:bookmarkEnd w:id="104"/>
    </w:p>
    <w:p>
      <w:pPr>
        <w:spacing w:line="500" w:lineRule="exact"/>
        <w:ind w:firstLine="482" w:firstLineChars="200"/>
        <w:rPr>
          <w:rFonts w:asciiTheme="minorEastAsia" w:hAnsiTheme="minorEastAsia" w:eastAsiaTheme="minorEastAsia" w:cstheme="minorEastAsia"/>
          <w:b/>
          <w:bCs/>
          <w:sz w:val="24"/>
        </w:rPr>
      </w:pPr>
      <w:bookmarkStart w:id="105" w:name="_Toc426369505"/>
      <w:bookmarkStart w:id="106" w:name="_Toc279599795"/>
      <w:bookmarkStart w:id="107" w:name="_Toc274249599"/>
      <w:bookmarkStart w:id="108" w:name="_Toc403122516"/>
      <w:r>
        <w:rPr>
          <w:rFonts w:hint="eastAsia" w:asciiTheme="minorEastAsia" w:hAnsiTheme="minorEastAsia" w:eastAsiaTheme="minorEastAsia" w:cstheme="minorEastAsia"/>
          <w:b/>
          <w:bCs/>
          <w:sz w:val="24"/>
        </w:rPr>
        <w:t>4.1 投标文件的密封和标记</w:t>
      </w:r>
      <w:bookmarkEnd w:id="105"/>
      <w:bookmarkEnd w:id="106"/>
      <w:bookmarkEnd w:id="107"/>
      <w:bookmarkEnd w:id="108"/>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09" w:name="_Toc279599796"/>
      <w:bookmarkStart w:id="110" w:name="_Toc403122517"/>
      <w:bookmarkStart w:id="111" w:name="_Toc426369506"/>
      <w:bookmarkStart w:id="112" w:name="_Toc274249600"/>
      <w:r>
        <w:rPr>
          <w:rFonts w:hint="eastAsia" w:asciiTheme="minorEastAsia" w:hAnsiTheme="minorEastAsia" w:eastAsiaTheme="minorEastAsia" w:cstheme="minorEastAsia"/>
          <w:b/>
          <w:bCs/>
          <w:sz w:val="24"/>
        </w:rPr>
        <w:t>4.2 投标文件的递交</w:t>
      </w:r>
      <w:bookmarkEnd w:id="109"/>
      <w:bookmarkEnd w:id="110"/>
      <w:bookmarkEnd w:id="111"/>
      <w:bookmarkEnd w:id="112"/>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不能按时上传、签到、解密者视为自动放弃投标。</w:t>
      </w:r>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13" w:name="_Hlt26954862"/>
      <w:bookmarkEnd w:id="113"/>
      <w:bookmarkStart w:id="114" w:name="_Hlt26954754"/>
      <w:bookmarkEnd w:id="114"/>
    </w:p>
    <w:p>
      <w:pPr>
        <w:spacing w:line="400" w:lineRule="exact"/>
        <w:ind w:firstLine="420" w:firstLineChars="200"/>
        <w:rPr>
          <w:rFonts w:asciiTheme="minorEastAsia" w:hAnsiTheme="minorEastAsia" w:eastAsiaTheme="minorEastAsia" w:cstheme="minorEastAsia"/>
          <w:szCs w:val="21"/>
        </w:rPr>
      </w:pPr>
    </w:p>
    <w:p>
      <w:pPr>
        <w:spacing w:line="500" w:lineRule="exact"/>
        <w:ind w:firstLine="482" w:firstLineChars="200"/>
        <w:rPr>
          <w:rFonts w:asciiTheme="minorEastAsia" w:hAnsiTheme="minorEastAsia" w:eastAsiaTheme="minorEastAsia" w:cstheme="minorEastAsia"/>
          <w:b/>
          <w:bCs/>
          <w:sz w:val="24"/>
        </w:rPr>
      </w:pPr>
      <w:bookmarkStart w:id="115" w:name="_Toc403122518"/>
      <w:bookmarkStart w:id="116" w:name="_Toc426369507"/>
      <w:bookmarkStart w:id="117" w:name="_Toc279599797"/>
      <w:bookmarkStart w:id="118" w:name="_Toc274249601"/>
      <w:r>
        <w:rPr>
          <w:rFonts w:hint="eastAsia" w:asciiTheme="minorEastAsia" w:hAnsiTheme="minorEastAsia" w:eastAsiaTheme="minorEastAsia" w:cstheme="minorEastAsia"/>
          <w:b/>
          <w:bCs/>
          <w:sz w:val="24"/>
        </w:rPr>
        <w:t>4.3 投标文件的修改与撤回</w:t>
      </w:r>
      <w:bookmarkEnd w:id="115"/>
      <w:bookmarkEnd w:id="116"/>
      <w:bookmarkEnd w:id="117"/>
      <w:bookmarkEnd w:id="11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4"/>
        <w:spacing w:before="120" w:after="120" w:line="500" w:lineRule="exact"/>
        <w:ind w:right="-1029" w:rightChars="-490" w:firstLine="482" w:firstLineChars="200"/>
        <w:jc w:val="left"/>
        <w:rPr>
          <w:rFonts w:asciiTheme="minorEastAsia" w:hAnsiTheme="minorEastAsia" w:eastAsiaTheme="minorEastAsia" w:cstheme="minorEastAsia"/>
          <w:sz w:val="24"/>
          <w:szCs w:val="24"/>
        </w:rPr>
      </w:pPr>
      <w:bookmarkStart w:id="119" w:name="_Toc426369508"/>
      <w:bookmarkStart w:id="120" w:name="_Toc18170"/>
      <w:bookmarkStart w:id="121" w:name="_Toc403122519"/>
      <w:bookmarkStart w:id="122" w:name="_Toc5457"/>
      <w:bookmarkStart w:id="123" w:name="_Toc32449"/>
      <w:r>
        <w:rPr>
          <w:rFonts w:hint="eastAsia" w:asciiTheme="minorEastAsia" w:hAnsiTheme="minorEastAsia" w:eastAsiaTheme="minorEastAsia" w:cstheme="minorEastAsia"/>
          <w:sz w:val="24"/>
          <w:szCs w:val="24"/>
        </w:rPr>
        <w:t>5. 开标</w:t>
      </w:r>
      <w:bookmarkEnd w:id="119"/>
      <w:bookmarkEnd w:id="120"/>
      <w:bookmarkEnd w:id="121"/>
      <w:bookmarkEnd w:id="122"/>
      <w:bookmarkEnd w:id="12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所有投标文件必须在本招标文件中规定的投标截止时间之前提前上传投标文件，按要求解密投标文件，不能按时上传、签到、解密者视为自动放弃投标。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24" w:name="_Toc279599799"/>
      <w:bookmarkStart w:id="125" w:name="_Toc274249603"/>
      <w:bookmarkStart w:id="126" w:name="_Toc426369509"/>
      <w:bookmarkStart w:id="127" w:name="_Toc403122520"/>
      <w:r>
        <w:rPr>
          <w:rFonts w:hint="eastAsia" w:asciiTheme="minorEastAsia" w:hAnsiTheme="minorEastAsia" w:eastAsiaTheme="minorEastAsia" w:cstheme="minorEastAsia"/>
          <w:b/>
          <w:bCs/>
          <w:sz w:val="24"/>
        </w:rPr>
        <w:t>5.2 开标时间和地点</w:t>
      </w:r>
      <w:bookmarkEnd w:id="124"/>
      <w:bookmarkEnd w:id="125"/>
      <w:bookmarkEnd w:id="126"/>
      <w:bookmarkEnd w:id="12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28" w:name="_Toc403122521"/>
      <w:bookmarkStart w:id="129" w:name="_Toc426369510"/>
      <w:bookmarkStart w:id="130" w:name="_Toc279599800"/>
      <w:bookmarkStart w:id="131" w:name="_Toc274249604"/>
      <w:r>
        <w:rPr>
          <w:rFonts w:hint="eastAsia" w:asciiTheme="minorEastAsia" w:hAnsiTheme="minorEastAsia" w:eastAsiaTheme="minorEastAsia" w:cstheme="minorEastAsia"/>
          <w:b/>
          <w:bCs/>
          <w:sz w:val="24"/>
        </w:rPr>
        <w:t>5.3开标程序</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lang w:val="zh-CN"/>
        </w:rPr>
      </w:pPr>
      <w:bookmarkStart w:id="132"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（4）宣布投标文件开标顺序，电子唱标并记录在案；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(6）开标结束。</w:t>
      </w:r>
    </w:p>
    <w:p>
      <w:pPr>
        <w:spacing w:line="400" w:lineRule="exact"/>
        <w:ind w:firstLine="630" w:firstLineChars="3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5.3.</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（2）投标人未按投标人须知前附表规定的时间内解密投标文件的；</w:t>
      </w:r>
    </w:p>
    <w:p>
      <w:pPr>
        <w:spacing w:line="400" w:lineRule="exact"/>
        <w:ind w:firstLine="420" w:firstLineChars="200"/>
        <w:rPr>
          <w:rFonts w:asciiTheme="minorEastAsia" w:hAnsiTheme="minorEastAsia" w:eastAsiaTheme="minorEastAsia" w:cstheme="minorEastAsia"/>
          <w:szCs w:val="21"/>
          <w:lang w:val="zh-CN"/>
        </w:rPr>
      </w:pP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32"/>
    </w:p>
    <w:p>
      <w:pPr>
        <w:spacing w:line="400" w:lineRule="exact"/>
        <w:ind w:firstLine="420" w:firstLineChars="200"/>
        <w:rPr>
          <w:rFonts w:asciiTheme="minorEastAsia" w:hAnsiTheme="minorEastAsia" w:eastAsiaTheme="minorEastAsia" w:cstheme="minorEastAsia"/>
          <w:szCs w:val="21"/>
          <w:lang w:val="zh-CN"/>
        </w:rPr>
      </w:pPr>
      <w:bookmarkStart w:id="133" w:name="_Toc12881"/>
      <w:bookmarkStart w:id="134" w:name="_Toc426369512"/>
      <w:bookmarkStart w:id="135" w:name="_Toc21662"/>
      <w:bookmarkStart w:id="136" w:name="_Toc40312252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37" w:name="_Toc12998"/>
      <w:r>
        <w:rPr>
          <w:rFonts w:hint="eastAsia" w:asciiTheme="minorEastAsia" w:hAnsiTheme="minorEastAsia" w:eastAsiaTheme="minorEastAsia" w:cstheme="minorEastAsia"/>
          <w:szCs w:val="21"/>
          <w:lang w:val="zh-CN"/>
        </w:rPr>
        <w:t>语音异议</w:t>
      </w:r>
      <w:bookmarkEnd w:id="137"/>
      <w:r>
        <w:rPr>
          <w:rFonts w:hint="eastAsia" w:asciiTheme="minorEastAsia" w:hAnsiTheme="minorEastAsia" w:eastAsiaTheme="minorEastAsia" w:cstheme="minorEastAsia"/>
          <w:szCs w:val="21"/>
          <w:lang w:val="zh-CN"/>
        </w:rPr>
        <w:t>、</w:t>
      </w:r>
      <w:bookmarkStart w:id="138" w:name="_Toc20745"/>
      <w:r>
        <w:rPr>
          <w:rFonts w:hint="eastAsia" w:asciiTheme="minorEastAsia" w:hAnsiTheme="minorEastAsia" w:eastAsiaTheme="minorEastAsia" w:cstheme="minorEastAsia"/>
          <w:szCs w:val="21"/>
          <w:lang w:val="zh-CN"/>
        </w:rPr>
        <w:t>文字异议</w:t>
      </w:r>
      <w:bookmarkEnd w:id="138"/>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39" w:name="_Toc13445"/>
      <w:bookmarkStart w:id="140" w:name="_Toc9927"/>
      <w:r>
        <w:rPr>
          <w:rFonts w:hint="eastAsia" w:asciiTheme="minorEastAsia" w:hAnsiTheme="minorEastAsia" w:eastAsiaTheme="minorEastAsia" w:cstheme="minorEastAsia"/>
          <w:b/>
          <w:bCs/>
          <w:szCs w:val="21"/>
        </w:rPr>
        <w:t>5.资格审查工作</w:t>
      </w:r>
      <w:bookmarkEnd w:id="139"/>
      <w:bookmarkEnd w:id="140"/>
    </w:p>
    <w:p>
      <w:pPr>
        <w:spacing w:line="400" w:lineRule="exact"/>
        <w:ind w:firstLine="420" w:firstLineChars="200"/>
        <w:rPr>
          <w:rFonts w:asciiTheme="minorEastAsia" w:hAnsiTheme="minorEastAsia" w:eastAsiaTheme="minorEastAsia" w:cstheme="minorEastAsia"/>
          <w:szCs w:val="21"/>
        </w:rPr>
      </w:pPr>
      <w:bookmarkStart w:id="141" w:name="_Toc15919"/>
      <w:bookmarkStart w:id="142" w:name="_Toc22488"/>
      <w:bookmarkStart w:id="143" w:name="_Toc25275"/>
      <w:bookmarkStart w:id="144" w:name="_Toc18806"/>
      <w:bookmarkStart w:id="145" w:name="_Toc18803"/>
      <w:bookmarkStart w:id="146" w:name="_Toc18888"/>
      <w:bookmarkStart w:id="147" w:name="_Toc25448"/>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1"/>
      <w:bookmarkEnd w:id="142"/>
      <w:bookmarkEnd w:id="143"/>
      <w:bookmarkEnd w:id="144"/>
      <w:bookmarkEnd w:id="145"/>
      <w:bookmarkEnd w:id="146"/>
      <w:bookmarkEnd w:id="147"/>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48" w:name="_Toc6889"/>
      <w:r>
        <w:rPr>
          <w:rFonts w:hint="eastAsia" w:asciiTheme="minorEastAsia" w:hAnsiTheme="minorEastAsia" w:eastAsiaTheme="minorEastAsia" w:cstheme="minorEastAsia"/>
          <w:sz w:val="24"/>
          <w:szCs w:val="24"/>
        </w:rPr>
        <w:t>6. 评标</w:t>
      </w:r>
      <w:bookmarkEnd w:id="133"/>
      <w:bookmarkEnd w:id="134"/>
      <w:bookmarkEnd w:id="135"/>
      <w:bookmarkEnd w:id="136"/>
      <w:bookmarkEnd w:id="148"/>
    </w:p>
    <w:p>
      <w:pPr>
        <w:spacing w:line="500" w:lineRule="exact"/>
        <w:ind w:firstLine="482" w:firstLineChars="200"/>
        <w:rPr>
          <w:rFonts w:asciiTheme="minorEastAsia" w:hAnsiTheme="minorEastAsia" w:eastAsiaTheme="minorEastAsia" w:cstheme="minorEastAsia"/>
          <w:b/>
          <w:bCs/>
          <w:sz w:val="24"/>
        </w:rPr>
      </w:pPr>
      <w:bookmarkStart w:id="149" w:name="_Toc279599802"/>
      <w:bookmarkStart w:id="150" w:name="_Toc426369513"/>
      <w:bookmarkStart w:id="151" w:name="_Toc403122523"/>
      <w:bookmarkStart w:id="152" w:name="_Toc274249606"/>
      <w:r>
        <w:rPr>
          <w:rFonts w:hint="eastAsia" w:asciiTheme="minorEastAsia" w:hAnsiTheme="minorEastAsia" w:eastAsiaTheme="minorEastAsia" w:cstheme="minorEastAsia"/>
          <w:b/>
          <w:bCs/>
          <w:sz w:val="24"/>
        </w:rPr>
        <w:t>6.1 评标委员会</w:t>
      </w:r>
      <w:bookmarkEnd w:id="149"/>
      <w:bookmarkEnd w:id="150"/>
      <w:bookmarkEnd w:id="151"/>
      <w:bookmarkEnd w:id="15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53" w:name="_Toc279599803"/>
      <w:bookmarkStart w:id="154" w:name="_Toc403122524"/>
      <w:bookmarkStart w:id="155" w:name="_Toc426369514"/>
      <w:bookmarkStart w:id="156" w:name="_Toc274249607"/>
      <w:r>
        <w:rPr>
          <w:rFonts w:hint="eastAsia" w:asciiTheme="minorEastAsia" w:hAnsiTheme="minorEastAsia" w:eastAsiaTheme="minorEastAsia" w:cstheme="minorEastAsia"/>
          <w:b/>
          <w:bCs/>
          <w:sz w:val="24"/>
        </w:rPr>
        <w:t>6.2 评标原则</w:t>
      </w:r>
      <w:bookmarkEnd w:id="153"/>
      <w:bookmarkEnd w:id="154"/>
      <w:bookmarkEnd w:id="155"/>
      <w:bookmarkEnd w:id="15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57" w:name="_Toc426369515"/>
      <w:bookmarkStart w:id="158" w:name="_Toc274249608"/>
      <w:bookmarkStart w:id="159" w:name="_Toc279599804"/>
      <w:bookmarkStart w:id="160" w:name="_Toc403122525"/>
      <w:r>
        <w:rPr>
          <w:rFonts w:hint="eastAsia" w:asciiTheme="minorEastAsia" w:hAnsiTheme="minorEastAsia" w:eastAsiaTheme="minorEastAsia" w:cstheme="minorEastAsia"/>
          <w:b/>
          <w:bCs/>
          <w:sz w:val="24"/>
        </w:rPr>
        <w:t>6.3 评标</w:t>
      </w:r>
      <w:bookmarkEnd w:id="157"/>
      <w:bookmarkEnd w:id="158"/>
      <w:bookmarkEnd w:id="159"/>
      <w:bookmarkEnd w:id="16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4"/>
        <w:spacing w:before="120" w:after="120" w:line="500" w:lineRule="exact"/>
        <w:ind w:right="-1029" w:rightChars="-490" w:firstLine="482" w:firstLineChars="200"/>
        <w:jc w:val="both"/>
      </w:pPr>
      <w:bookmarkStart w:id="161" w:name="_Toc426369516"/>
      <w:bookmarkStart w:id="162" w:name="_Toc22968"/>
      <w:bookmarkStart w:id="163" w:name="_Toc17811"/>
      <w:bookmarkStart w:id="164" w:name="_Toc403122526"/>
      <w:bookmarkStart w:id="165" w:name="_Toc26569"/>
      <w:r>
        <w:rPr>
          <w:rFonts w:hint="eastAsia" w:asciiTheme="minorEastAsia" w:hAnsiTheme="minorEastAsia" w:eastAsiaTheme="minorEastAsia" w:cstheme="minorEastAsia"/>
          <w:sz w:val="24"/>
          <w:szCs w:val="24"/>
        </w:rPr>
        <w:t>7. 合同授予</w:t>
      </w:r>
      <w:bookmarkEnd w:id="161"/>
      <w:bookmarkEnd w:id="162"/>
      <w:bookmarkEnd w:id="163"/>
      <w:bookmarkEnd w:id="164"/>
      <w:bookmarkEnd w:id="165"/>
    </w:p>
    <w:p>
      <w:pPr>
        <w:spacing w:line="500" w:lineRule="exact"/>
        <w:ind w:firstLine="482" w:firstLineChars="200"/>
        <w:rPr>
          <w:rFonts w:asciiTheme="minorEastAsia" w:hAnsiTheme="minorEastAsia" w:eastAsiaTheme="minorEastAsia" w:cstheme="minorEastAsia"/>
          <w:b/>
          <w:bCs/>
          <w:sz w:val="24"/>
        </w:rPr>
      </w:pPr>
      <w:bookmarkStart w:id="166" w:name="_Toc403122527"/>
      <w:bookmarkStart w:id="167" w:name="_Toc279599806"/>
      <w:bookmarkStart w:id="168" w:name="_Toc274249610"/>
      <w:bookmarkStart w:id="169" w:name="_Toc426369517"/>
      <w:r>
        <w:rPr>
          <w:rFonts w:hint="eastAsia" w:asciiTheme="minorEastAsia" w:hAnsiTheme="minorEastAsia" w:eastAsiaTheme="minorEastAsia" w:cstheme="minorEastAsia"/>
          <w:b/>
          <w:bCs/>
          <w:sz w:val="24"/>
        </w:rPr>
        <w:t>7.1 定标方式</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70" w:name="_Toc279599807"/>
      <w:bookmarkStart w:id="171" w:name="_Toc403122528"/>
      <w:bookmarkStart w:id="172" w:name="_Toc274249611"/>
      <w:bookmarkStart w:id="173" w:name="_Toc426369518"/>
      <w:r>
        <w:rPr>
          <w:rFonts w:hint="eastAsia" w:asciiTheme="minorEastAsia" w:hAnsiTheme="minorEastAsia" w:eastAsiaTheme="minorEastAsia" w:cstheme="minorEastAsia"/>
          <w:b/>
          <w:bCs/>
          <w:sz w:val="24"/>
        </w:rPr>
        <w:t>7.2 中标通知</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74" w:name="_Toc274249612"/>
      <w:bookmarkStart w:id="175" w:name="_Toc279599808"/>
      <w:bookmarkStart w:id="176" w:name="_Toc311550376"/>
      <w:bookmarkStart w:id="177" w:name="_Toc403122529"/>
      <w:bookmarkStart w:id="178" w:name="_Toc426369519"/>
      <w:r>
        <w:rPr>
          <w:rFonts w:hint="eastAsia" w:asciiTheme="minorEastAsia" w:hAnsiTheme="minorEastAsia" w:eastAsiaTheme="minorEastAsia" w:cstheme="minorEastAsia"/>
          <w:b/>
          <w:bCs/>
          <w:sz w:val="24"/>
        </w:rPr>
        <w:t>7.3履约</w:t>
      </w:r>
      <w:bookmarkEnd w:id="174"/>
      <w:bookmarkEnd w:id="175"/>
      <w:bookmarkEnd w:id="176"/>
      <w:r>
        <w:rPr>
          <w:rFonts w:hint="eastAsia" w:asciiTheme="minorEastAsia" w:hAnsiTheme="minorEastAsia" w:eastAsiaTheme="minorEastAsia" w:cstheme="minorEastAsia"/>
          <w:b/>
          <w:bCs/>
          <w:sz w:val="24"/>
        </w:rPr>
        <w:t>保证金</w:t>
      </w:r>
      <w:bookmarkEnd w:id="177"/>
      <w:bookmarkEnd w:id="17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500" w:lineRule="exact"/>
        <w:ind w:firstLine="482" w:firstLineChars="200"/>
        <w:rPr>
          <w:rFonts w:asciiTheme="minorEastAsia" w:hAnsiTheme="minorEastAsia" w:eastAsiaTheme="minorEastAsia" w:cstheme="minorEastAsia"/>
          <w:b/>
          <w:bCs/>
          <w:sz w:val="24"/>
        </w:rPr>
      </w:pPr>
      <w:bookmarkStart w:id="179" w:name="_Toc279599809"/>
      <w:bookmarkStart w:id="180" w:name="_Toc274249613"/>
      <w:bookmarkStart w:id="181" w:name="_Toc403122530"/>
      <w:bookmarkStart w:id="182" w:name="_Toc426369520"/>
      <w:r>
        <w:rPr>
          <w:rFonts w:hint="eastAsia" w:asciiTheme="minorEastAsia" w:hAnsiTheme="minorEastAsia" w:eastAsiaTheme="minorEastAsia" w:cstheme="minorEastAsia"/>
          <w:b/>
          <w:bCs/>
          <w:sz w:val="24"/>
        </w:rPr>
        <w:t>7.4 签订合同</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83" w:name="_Toc426369521"/>
      <w:bookmarkStart w:id="184" w:name="_Toc403122531"/>
      <w:bookmarkStart w:id="185" w:name="_Toc30009"/>
      <w:bookmarkStart w:id="186" w:name="_Toc10541"/>
      <w:bookmarkStart w:id="187" w:name="_Toc10417"/>
      <w:r>
        <w:rPr>
          <w:rFonts w:hint="eastAsia" w:asciiTheme="minorEastAsia" w:hAnsiTheme="minorEastAsia" w:eastAsiaTheme="minorEastAsia" w:cstheme="minorEastAsia"/>
          <w:sz w:val="24"/>
          <w:szCs w:val="24"/>
        </w:rPr>
        <w:t>8. 重新招标</w:t>
      </w:r>
      <w:bookmarkEnd w:id="183"/>
      <w:bookmarkEnd w:id="184"/>
      <w:bookmarkEnd w:id="185"/>
      <w:bookmarkEnd w:id="186"/>
      <w:bookmarkEnd w:id="187"/>
    </w:p>
    <w:p>
      <w:pPr>
        <w:spacing w:line="500" w:lineRule="exact"/>
        <w:ind w:firstLine="482" w:firstLineChars="200"/>
        <w:rPr>
          <w:rFonts w:asciiTheme="minorEastAsia" w:hAnsiTheme="minorEastAsia" w:eastAsiaTheme="minorEastAsia" w:cstheme="minorEastAsia"/>
          <w:b/>
          <w:bCs/>
          <w:sz w:val="24"/>
        </w:rPr>
      </w:pPr>
      <w:bookmarkStart w:id="188" w:name="_Toc274249615"/>
      <w:bookmarkStart w:id="189" w:name="_Toc279599811"/>
      <w:bookmarkStart w:id="190" w:name="_Toc426369522"/>
      <w:bookmarkStart w:id="191" w:name="_Toc403122532"/>
      <w:r>
        <w:rPr>
          <w:rFonts w:hint="eastAsia" w:asciiTheme="minorEastAsia" w:hAnsiTheme="minorEastAsia" w:eastAsiaTheme="minorEastAsia" w:cstheme="minorEastAsia"/>
          <w:b/>
          <w:bCs/>
          <w:sz w:val="24"/>
        </w:rPr>
        <w:t>8.1 重新招标</w:t>
      </w:r>
      <w:bookmarkEnd w:id="188"/>
      <w:bookmarkEnd w:id="189"/>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92" w:name="_Toc3760"/>
      <w:bookmarkStart w:id="193" w:name="_Toc403122533"/>
      <w:bookmarkStart w:id="194" w:name="_Toc27398"/>
      <w:bookmarkStart w:id="195" w:name="_Toc426369523"/>
      <w:bookmarkStart w:id="196" w:name="_Toc10372"/>
      <w:r>
        <w:rPr>
          <w:rFonts w:hint="eastAsia" w:asciiTheme="minorEastAsia" w:hAnsiTheme="minorEastAsia" w:eastAsiaTheme="minorEastAsia" w:cstheme="minorEastAsia"/>
          <w:sz w:val="24"/>
          <w:szCs w:val="24"/>
        </w:rPr>
        <w:t>9. 纪律和监督</w:t>
      </w:r>
      <w:bookmarkEnd w:id="192"/>
      <w:bookmarkEnd w:id="193"/>
      <w:bookmarkEnd w:id="194"/>
      <w:bookmarkEnd w:id="195"/>
      <w:bookmarkEnd w:id="196"/>
    </w:p>
    <w:p>
      <w:pPr>
        <w:spacing w:line="500" w:lineRule="exact"/>
        <w:ind w:firstLine="482" w:firstLineChars="200"/>
        <w:rPr>
          <w:rFonts w:asciiTheme="minorEastAsia" w:hAnsiTheme="minorEastAsia" w:eastAsiaTheme="minorEastAsia" w:cstheme="minorEastAsia"/>
          <w:b/>
          <w:bCs/>
          <w:sz w:val="24"/>
        </w:rPr>
      </w:pPr>
      <w:bookmarkStart w:id="197" w:name="_Toc403122534"/>
      <w:bookmarkStart w:id="198" w:name="_Toc274249618"/>
      <w:bookmarkStart w:id="199" w:name="_Toc426369524"/>
      <w:bookmarkStart w:id="200" w:name="_Toc279599814"/>
      <w:r>
        <w:rPr>
          <w:rFonts w:hint="eastAsia" w:asciiTheme="minorEastAsia" w:hAnsiTheme="minorEastAsia" w:eastAsiaTheme="minorEastAsia" w:cstheme="minorEastAsia"/>
          <w:b/>
          <w:bCs/>
          <w:sz w:val="24"/>
        </w:rPr>
        <w:t>9.1 对采购人的纪律要求</w:t>
      </w:r>
      <w:bookmarkEnd w:id="197"/>
      <w:bookmarkEnd w:id="198"/>
      <w:bookmarkEnd w:id="199"/>
      <w:bookmarkEnd w:id="20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01" w:name="_Toc279599815"/>
      <w:bookmarkStart w:id="202" w:name="_Toc403122535"/>
      <w:bookmarkStart w:id="203" w:name="_Toc274249619"/>
      <w:bookmarkStart w:id="204" w:name="_Toc426369525"/>
      <w:r>
        <w:rPr>
          <w:rFonts w:hint="eastAsia" w:asciiTheme="minorEastAsia" w:hAnsiTheme="minorEastAsia" w:eastAsiaTheme="minorEastAsia" w:cstheme="minorEastAsia"/>
          <w:b/>
          <w:bCs/>
          <w:sz w:val="24"/>
        </w:rPr>
        <w:t>9.2 对投标人的纪律要求</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05" w:name="_Toc274249620"/>
      <w:bookmarkStart w:id="206" w:name="_Toc426369526"/>
      <w:bookmarkStart w:id="207" w:name="_Toc403122536"/>
      <w:bookmarkStart w:id="208" w:name="_Toc279599816"/>
      <w:r>
        <w:rPr>
          <w:rFonts w:hint="eastAsia" w:asciiTheme="minorEastAsia" w:hAnsiTheme="minorEastAsia" w:eastAsiaTheme="minorEastAsia" w:cstheme="minorEastAsia"/>
          <w:b/>
          <w:bCs/>
          <w:sz w:val="24"/>
        </w:rPr>
        <w:t>9.3 对评标委员会成员的纪律要求</w:t>
      </w:r>
      <w:bookmarkEnd w:id="205"/>
      <w:bookmarkEnd w:id="206"/>
      <w:bookmarkEnd w:id="207"/>
      <w:bookmarkEnd w:id="20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09" w:name="_Toc426369527"/>
      <w:bookmarkStart w:id="210" w:name="_Toc403122537"/>
      <w:bookmarkStart w:id="211" w:name="_Toc279599817"/>
      <w:bookmarkStart w:id="212" w:name="_Toc274249621"/>
      <w:r>
        <w:rPr>
          <w:rFonts w:hint="eastAsia" w:asciiTheme="minorEastAsia" w:hAnsiTheme="minorEastAsia" w:eastAsiaTheme="minorEastAsia" w:cstheme="minorEastAsia"/>
          <w:b/>
          <w:bCs/>
          <w:sz w:val="24"/>
        </w:rPr>
        <w:t>9.4 对与评标活动有关的工作人员的纪律要求</w:t>
      </w:r>
      <w:bookmarkEnd w:id="209"/>
      <w:bookmarkEnd w:id="210"/>
      <w:bookmarkEnd w:id="211"/>
      <w:bookmarkEnd w:id="2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13" w:name="_Toc403122538"/>
      <w:bookmarkStart w:id="214" w:name="_Toc426369528"/>
      <w:bookmarkStart w:id="215" w:name="_Toc279599818"/>
      <w:bookmarkStart w:id="216" w:name="_Toc274249622"/>
      <w:r>
        <w:rPr>
          <w:rFonts w:hint="eastAsia" w:asciiTheme="minorEastAsia" w:hAnsiTheme="minorEastAsia" w:eastAsiaTheme="minorEastAsia" w:cstheme="minorEastAsia"/>
          <w:b/>
          <w:bCs/>
          <w:sz w:val="24"/>
        </w:rPr>
        <w:t>9.5 投诉</w:t>
      </w:r>
      <w:bookmarkEnd w:id="213"/>
      <w:bookmarkEnd w:id="214"/>
      <w:bookmarkEnd w:id="215"/>
      <w:bookmarkEnd w:id="21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24"/>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217" w:name="_Toc426369529"/>
      <w:bookmarkStart w:id="218" w:name="_Toc25080"/>
      <w:bookmarkStart w:id="219" w:name="_Toc403122539"/>
      <w:bookmarkStart w:id="220" w:name="_Toc13281"/>
      <w:bookmarkStart w:id="221" w:name="_Toc10880"/>
      <w:r>
        <w:rPr>
          <w:rFonts w:hint="eastAsia" w:asciiTheme="minorEastAsia" w:hAnsiTheme="minorEastAsia" w:eastAsiaTheme="minorEastAsia" w:cstheme="minorEastAsia"/>
          <w:sz w:val="24"/>
          <w:szCs w:val="24"/>
        </w:rPr>
        <w:t>10. 需要补充的其他内容</w:t>
      </w:r>
      <w:bookmarkEnd w:id="217"/>
      <w:bookmarkEnd w:id="218"/>
      <w:bookmarkEnd w:id="219"/>
      <w:bookmarkEnd w:id="220"/>
      <w:bookmarkEnd w:id="221"/>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39"/>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4"/>
        <w:numPr>
          <w:ilvl w:val="0"/>
          <w:numId w:val="5"/>
        </w:numPr>
        <w:spacing w:line="600" w:lineRule="exact"/>
        <w:ind w:right="-63" w:rightChars="-30"/>
        <w:rPr>
          <w:rFonts w:asciiTheme="minorEastAsia" w:hAnsiTheme="minorEastAsia" w:eastAsiaTheme="minorEastAsia" w:cstheme="minorEastAsia"/>
          <w:sz w:val="36"/>
          <w:szCs w:val="36"/>
        </w:rPr>
      </w:pPr>
      <w:bookmarkStart w:id="222" w:name="_Toc403122540"/>
      <w:bookmarkStart w:id="223" w:name="_Toc426369530"/>
      <w:bookmarkStart w:id="224" w:name="_Toc28433"/>
      <w:bookmarkStart w:id="225" w:name="_Toc8251"/>
      <w:r>
        <w:rPr>
          <w:rFonts w:hint="eastAsia" w:asciiTheme="minorEastAsia" w:hAnsiTheme="minorEastAsia" w:eastAsiaTheme="minorEastAsia" w:cstheme="minorEastAsia"/>
          <w:sz w:val="36"/>
          <w:szCs w:val="36"/>
        </w:rPr>
        <w:t>评标办法</w:t>
      </w:r>
      <w:bookmarkEnd w:id="222"/>
      <w:bookmarkEnd w:id="223"/>
      <w:bookmarkEnd w:id="224"/>
      <w:r>
        <w:rPr>
          <w:rFonts w:hint="eastAsia" w:asciiTheme="minorEastAsia" w:hAnsiTheme="minorEastAsia" w:eastAsiaTheme="minorEastAsia" w:cstheme="minorEastAsia"/>
          <w:sz w:val="36"/>
          <w:szCs w:val="36"/>
        </w:rPr>
        <w:t>（综合评分法）</w:t>
      </w:r>
      <w:bookmarkEnd w:id="225"/>
    </w:p>
    <w:p>
      <w:pPr>
        <w:pStyle w:val="40"/>
        <w:spacing w:line="540" w:lineRule="exact"/>
        <w:jc w:val="center"/>
        <w:outlineLvl w:val="2"/>
        <w:rPr>
          <w:rFonts w:asciiTheme="minorEastAsia" w:hAnsiTheme="minorEastAsia" w:eastAsiaTheme="minorEastAsia" w:cstheme="minorEastAsia"/>
          <w:b/>
          <w:bCs/>
          <w:sz w:val="28"/>
          <w:szCs w:val="28"/>
        </w:rPr>
      </w:pPr>
      <w:bookmarkStart w:id="226" w:name="_Toc30933"/>
      <w:bookmarkStart w:id="227" w:name="_Toc29947"/>
      <w:bookmarkStart w:id="228" w:name="_Toc21885"/>
      <w:bookmarkStart w:id="229" w:name="_Toc9561"/>
      <w:bookmarkStart w:id="230" w:name="_Toc16529"/>
      <w:bookmarkStart w:id="231" w:name="_Toc17859"/>
      <w:bookmarkStart w:id="232" w:name="_Toc2761070"/>
      <w:r>
        <w:rPr>
          <w:rFonts w:hint="eastAsia" w:asciiTheme="minorEastAsia" w:hAnsiTheme="minorEastAsia" w:eastAsiaTheme="minorEastAsia" w:cstheme="minorEastAsia"/>
          <w:b/>
          <w:bCs/>
          <w:sz w:val="28"/>
          <w:szCs w:val="28"/>
        </w:rPr>
        <w:t>评分办法前附表</w:t>
      </w:r>
      <w:bookmarkEnd w:id="226"/>
      <w:bookmarkEnd w:id="227"/>
      <w:bookmarkEnd w:id="228"/>
      <w:bookmarkEnd w:id="229"/>
      <w:bookmarkEnd w:id="230"/>
      <w:bookmarkEnd w:id="231"/>
    </w:p>
    <w:p>
      <w:pPr>
        <w:pStyle w:val="3"/>
        <w:rPr>
          <w:rFonts w:asciiTheme="minorEastAsia" w:hAnsiTheme="minorEastAsia" w:eastAsiaTheme="minorEastAsia" w:cstheme="minorEastAsia"/>
          <w:sz w:val="24"/>
        </w:rPr>
      </w:pPr>
      <w:bookmarkStart w:id="233" w:name="_Toc426369531"/>
      <w:bookmarkStart w:id="234" w:name="_Toc403122541"/>
      <w:bookmarkStart w:id="235" w:name="_Toc31084"/>
    </w:p>
    <w:tbl>
      <w:tblPr>
        <w:tblStyle w:val="26"/>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000000"/>
                <w:szCs w:val="21"/>
              </w:rPr>
            </w:pPr>
            <w:bookmarkStart w:id="236" w:name="_Toc28874"/>
            <w:bookmarkStart w:id="237" w:name="_Toc26394"/>
            <w:bookmarkStart w:id="238" w:name="_Toc471"/>
            <w:bookmarkStart w:id="239" w:name="_Toc13389"/>
            <w:r>
              <w:rPr>
                <w:rFonts w:hint="eastAsia" w:ascii="宋体" w:hAnsi="宋体" w:cs="宋体"/>
                <w:b/>
                <w:bCs/>
                <w:color w:val="000000"/>
                <w:kern w:val="0"/>
                <w:szCs w:val="21"/>
              </w:rPr>
              <w:t>审查主体</w:t>
            </w:r>
          </w:p>
        </w:tc>
        <w:tc>
          <w:tcPr>
            <w:tcW w:w="3179" w:type="dxa"/>
            <w:gridSpan w:val="2"/>
            <w:vAlign w:val="center"/>
          </w:tcPr>
          <w:p>
            <w:pPr>
              <w:spacing w:line="440" w:lineRule="exact"/>
              <w:jc w:val="center"/>
              <w:rPr>
                <w:rFonts w:ascii="宋体" w:hAnsi="宋体" w:cs="宋体"/>
                <w:b/>
                <w:color w:val="000000"/>
                <w:szCs w:val="21"/>
              </w:rPr>
            </w:pPr>
            <w:r>
              <w:rPr>
                <w:rFonts w:hint="eastAsia" w:ascii="宋体" w:hAnsi="宋体" w:cs="宋体"/>
                <w:b/>
                <w:color w:val="000000"/>
                <w:szCs w:val="21"/>
              </w:rPr>
              <w:t>评审因素</w:t>
            </w:r>
          </w:p>
        </w:tc>
        <w:tc>
          <w:tcPr>
            <w:tcW w:w="5602" w:type="dxa"/>
            <w:vAlign w:val="center"/>
          </w:tcPr>
          <w:p>
            <w:pPr>
              <w:tabs>
                <w:tab w:val="left" w:pos="417"/>
                <w:tab w:val="center" w:pos="2999"/>
              </w:tabs>
              <w:spacing w:line="440" w:lineRule="exact"/>
              <w:jc w:val="left"/>
              <w:rPr>
                <w:rFonts w:ascii="宋体" w:hAnsi="宋体" w:cs="宋体"/>
                <w:b/>
                <w:color w:val="000000"/>
                <w:szCs w:val="21"/>
              </w:rPr>
            </w:pPr>
            <w:r>
              <w:rPr>
                <w:rFonts w:hint="eastAsia" w:ascii="宋体" w:hAnsi="宋体" w:cs="宋体"/>
                <w:b/>
                <w:color w:val="000000"/>
                <w:szCs w:val="21"/>
              </w:rPr>
              <w:tab/>
            </w:r>
            <w:r>
              <w:rPr>
                <w:rFonts w:hint="eastAsia" w:ascii="宋体" w:hAnsi="宋体" w:cs="宋体"/>
                <w:b/>
                <w:color w:val="000000"/>
                <w:szCs w:val="21"/>
              </w:rPr>
              <w:tab/>
            </w:r>
            <w:r>
              <w:rPr>
                <w:rFonts w:hint="eastAsia" w:ascii="宋体" w:hAnsi="宋体" w:cs="宋体"/>
                <w:b/>
                <w:color w:val="00000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exact"/>
        </w:trPr>
        <w:tc>
          <w:tcPr>
            <w:tcW w:w="1095" w:type="dxa"/>
            <w:vMerge w:val="restart"/>
            <w:vAlign w:val="center"/>
          </w:tcPr>
          <w:p>
            <w:pPr>
              <w:spacing w:line="360" w:lineRule="exact"/>
              <w:jc w:val="center"/>
              <w:rPr>
                <w:rFonts w:ascii="宋体" w:hAnsi="宋体" w:cs="宋体"/>
                <w:color w:val="000000"/>
                <w:szCs w:val="21"/>
              </w:rPr>
            </w:pPr>
            <w:r>
              <w:rPr>
                <w:rFonts w:hint="eastAsia" w:ascii="宋体" w:hAnsi="宋体" w:cs="宋体"/>
                <w:color w:val="000000"/>
                <w:szCs w:val="21"/>
              </w:rPr>
              <w:t>资格审查小组</w:t>
            </w:r>
          </w:p>
        </w:tc>
        <w:tc>
          <w:tcPr>
            <w:tcW w:w="1095" w:type="dxa"/>
            <w:vMerge w:val="restart"/>
            <w:vAlign w:val="center"/>
          </w:tcPr>
          <w:p>
            <w:pPr>
              <w:spacing w:line="360" w:lineRule="exact"/>
              <w:jc w:val="center"/>
              <w:rPr>
                <w:rFonts w:ascii="宋体" w:hAnsi="宋体" w:cs="宋体"/>
                <w:color w:val="000000"/>
                <w:szCs w:val="21"/>
              </w:rPr>
            </w:pPr>
            <w:r>
              <w:rPr>
                <w:rFonts w:hint="eastAsia" w:ascii="宋体" w:hAnsi="宋体" w:cs="宋体"/>
                <w:color w:val="000000"/>
                <w:szCs w:val="21"/>
              </w:rPr>
              <w:t>一、资格评审标准</w:t>
            </w:r>
          </w:p>
        </w:tc>
        <w:tc>
          <w:tcPr>
            <w:tcW w:w="2084" w:type="dxa"/>
            <w:vAlign w:val="center"/>
          </w:tcPr>
          <w:p>
            <w:pPr>
              <w:spacing w:line="320" w:lineRule="exact"/>
              <w:jc w:val="center"/>
              <w:rPr>
                <w:rFonts w:ascii="宋体" w:hAnsi="宋体" w:cs="宋体"/>
                <w:color w:val="000000"/>
                <w:szCs w:val="21"/>
              </w:rPr>
            </w:pPr>
            <w:r>
              <w:rPr>
                <w:rFonts w:hint="eastAsia" w:ascii="宋体" w:hAnsi="宋体" w:cs="宋体"/>
                <w:color w:val="000000"/>
                <w:szCs w:val="21"/>
              </w:rPr>
              <w:t>营业执照、税务登记证、组织机构代码证</w:t>
            </w:r>
          </w:p>
        </w:tc>
        <w:tc>
          <w:tcPr>
            <w:tcW w:w="5602" w:type="dxa"/>
            <w:vAlign w:val="center"/>
          </w:tcPr>
          <w:p>
            <w:pPr>
              <w:spacing w:line="320" w:lineRule="exact"/>
              <w:rPr>
                <w:rFonts w:hint="eastAsia" w:ascii="宋体" w:hAnsi="宋体" w:eastAsia="宋体" w:cs="宋体"/>
                <w:color w:val="000000"/>
                <w:szCs w:val="21"/>
                <w:lang w:val="en-US" w:eastAsia="zh-CN"/>
              </w:rPr>
            </w:pPr>
            <w:r>
              <w:rPr>
                <w:rFonts w:hint="eastAsia" w:ascii="宋体" w:hAnsi="宋体" w:cs="宋体"/>
                <w:color w:val="auto"/>
                <w:szCs w:val="21"/>
              </w:rPr>
              <w:t>具备有效的营业执照（副本）、税务登记证（副本）、组织机构代码证（副本）（或三证合一的营业执照）</w:t>
            </w:r>
            <w:r>
              <w:rPr>
                <w:rFonts w:hint="eastAsia" w:ascii="宋体" w:hAnsi="宋体" w:cs="宋体"/>
                <w:color w:val="auto"/>
                <w:szCs w:val="21"/>
                <w:lang w:eastAsia="zh-CN"/>
              </w:rPr>
              <w:t>；</w:t>
            </w:r>
            <w:r>
              <w:rPr>
                <w:rFonts w:hint="eastAsia" w:ascii="宋体" w:hAnsi="宋体" w:cs="宋体"/>
                <w:color w:val="auto"/>
                <w:szCs w:val="21"/>
                <w:lang w:val="en-US" w:eastAsia="zh-CN"/>
              </w:rPr>
              <w:t>医疗器械经营许可证或医疗器械经营备案凭证或生产许可证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exact"/>
        </w:trPr>
        <w:tc>
          <w:tcPr>
            <w:tcW w:w="1095" w:type="dxa"/>
            <w:vMerge w:val="continue"/>
            <w:vAlign w:val="center"/>
          </w:tcPr>
          <w:p>
            <w:pPr>
              <w:spacing w:line="440" w:lineRule="exact"/>
              <w:jc w:val="center"/>
              <w:rPr>
                <w:rFonts w:ascii="宋体" w:hAnsi="宋体" w:cs="宋体"/>
                <w:color w:val="000000"/>
                <w:szCs w:val="21"/>
              </w:rPr>
            </w:pPr>
          </w:p>
        </w:tc>
        <w:tc>
          <w:tcPr>
            <w:tcW w:w="1095" w:type="dxa"/>
            <w:vMerge w:val="continue"/>
            <w:vAlign w:val="center"/>
          </w:tcPr>
          <w:p>
            <w:pPr>
              <w:spacing w:line="440" w:lineRule="exact"/>
              <w:jc w:val="center"/>
              <w:rPr>
                <w:rFonts w:ascii="宋体" w:hAnsi="宋体" w:cs="宋体"/>
                <w:color w:val="000000"/>
                <w:szCs w:val="21"/>
              </w:rPr>
            </w:pPr>
          </w:p>
        </w:tc>
        <w:tc>
          <w:tcPr>
            <w:tcW w:w="2084" w:type="dxa"/>
            <w:vAlign w:val="center"/>
          </w:tcPr>
          <w:p>
            <w:pPr>
              <w:spacing w:line="360" w:lineRule="exact"/>
              <w:jc w:val="center"/>
              <w:rPr>
                <w:rFonts w:ascii="宋体" w:hAnsi="宋体" w:cs="宋体"/>
                <w:color w:val="000000"/>
                <w:szCs w:val="21"/>
              </w:rPr>
            </w:pPr>
            <w:r>
              <w:rPr>
                <w:rFonts w:hint="eastAsia" w:ascii="宋体" w:hAnsi="宋体" w:cs="宋体"/>
                <w:color w:val="000000"/>
                <w:szCs w:val="21"/>
              </w:rPr>
              <w:t>法定代表人证明或法人授权委托书</w:t>
            </w:r>
          </w:p>
        </w:tc>
        <w:tc>
          <w:tcPr>
            <w:tcW w:w="5602" w:type="dxa"/>
            <w:vAlign w:val="center"/>
          </w:tcPr>
          <w:p>
            <w:pPr>
              <w:spacing w:line="360" w:lineRule="exact"/>
              <w:rPr>
                <w:rFonts w:ascii="宋体" w:hAnsi="宋体" w:cs="宋体"/>
                <w:color w:val="000000"/>
                <w:szCs w:val="21"/>
              </w:rPr>
            </w:pPr>
            <w:r>
              <w:rPr>
                <w:rFonts w:hint="eastAsia" w:ascii="宋体" w:hAnsi="宋体" w:cs="宋体"/>
                <w:color w:val="000000"/>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95" w:type="dxa"/>
            <w:vMerge w:val="continue"/>
            <w:vAlign w:val="center"/>
          </w:tcPr>
          <w:p>
            <w:pPr>
              <w:spacing w:line="440" w:lineRule="exact"/>
              <w:jc w:val="center"/>
              <w:rPr>
                <w:rFonts w:ascii="宋体" w:hAnsi="宋体" w:cs="宋体"/>
                <w:color w:val="000000"/>
                <w:szCs w:val="21"/>
              </w:rPr>
            </w:pPr>
          </w:p>
        </w:tc>
        <w:tc>
          <w:tcPr>
            <w:tcW w:w="1095" w:type="dxa"/>
            <w:vMerge w:val="continue"/>
            <w:vAlign w:val="center"/>
          </w:tcPr>
          <w:p>
            <w:pPr>
              <w:spacing w:line="440" w:lineRule="exact"/>
              <w:jc w:val="center"/>
              <w:rPr>
                <w:rFonts w:ascii="宋体" w:hAnsi="宋体" w:cs="宋体"/>
                <w:color w:val="000000"/>
                <w:szCs w:val="21"/>
              </w:rPr>
            </w:pPr>
          </w:p>
        </w:tc>
        <w:tc>
          <w:tcPr>
            <w:tcW w:w="2084" w:type="dxa"/>
            <w:vAlign w:val="center"/>
          </w:tcPr>
          <w:p>
            <w:pPr>
              <w:spacing w:line="360" w:lineRule="exact"/>
              <w:jc w:val="center"/>
              <w:rPr>
                <w:rFonts w:ascii="宋体" w:hAnsi="宋体" w:cs="宋体"/>
                <w:color w:val="000000"/>
                <w:szCs w:val="21"/>
              </w:rPr>
            </w:pPr>
            <w:r>
              <w:rPr>
                <w:rFonts w:hint="eastAsia" w:ascii="宋体" w:hAnsi="宋体" w:cs="宋体"/>
                <w:color w:val="000000"/>
                <w:szCs w:val="21"/>
              </w:rPr>
              <w:t>信誉要求</w:t>
            </w:r>
          </w:p>
        </w:tc>
        <w:tc>
          <w:tcPr>
            <w:tcW w:w="5602" w:type="dxa"/>
            <w:vAlign w:val="center"/>
          </w:tcPr>
          <w:p>
            <w:pPr>
              <w:spacing w:line="360" w:lineRule="exact"/>
              <w:rPr>
                <w:rFonts w:ascii="宋体" w:hAnsi="宋体" w:cs="宋体"/>
                <w:color w:val="000000"/>
                <w:szCs w:val="21"/>
              </w:rPr>
            </w:pPr>
            <w:r>
              <w:rPr>
                <w:rFonts w:hint="eastAsia" w:ascii="宋体" w:hAnsi="宋体" w:cs="宋体"/>
                <w:color w:val="000000"/>
                <w:szCs w:val="21"/>
              </w:rPr>
              <w:t>符合招标文件资格要求的</w:t>
            </w:r>
            <w:r>
              <w:rPr>
                <w:rFonts w:hint="eastAsia" w:ascii="宋体" w:hAnsi="宋体" w:cs="宋体"/>
                <w:color w:val="000000"/>
                <w:szCs w:val="21"/>
                <w:lang w:val="en-US" w:eastAsia="zh-CN"/>
              </w:rPr>
              <w:t>信誉</w:t>
            </w:r>
            <w:r>
              <w:rPr>
                <w:rFonts w:hint="eastAsia" w:ascii="宋体" w:hAnsi="宋体" w:cs="宋体"/>
                <w:color w:val="000000"/>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095" w:type="dxa"/>
            <w:vMerge w:val="continue"/>
            <w:tcBorders>
              <w:bottom w:val="single" w:color="auto" w:sz="4" w:space="0"/>
            </w:tcBorders>
            <w:vAlign w:val="center"/>
          </w:tcPr>
          <w:p>
            <w:pPr>
              <w:spacing w:line="440" w:lineRule="exact"/>
              <w:jc w:val="center"/>
              <w:rPr>
                <w:rFonts w:ascii="宋体" w:hAnsi="宋体" w:cs="宋体"/>
                <w:color w:val="000000"/>
                <w:szCs w:val="21"/>
              </w:rPr>
            </w:pPr>
          </w:p>
        </w:tc>
        <w:tc>
          <w:tcPr>
            <w:tcW w:w="1095" w:type="dxa"/>
            <w:vMerge w:val="continue"/>
            <w:tcBorders>
              <w:bottom w:val="single" w:color="auto" w:sz="4" w:space="0"/>
            </w:tcBorders>
            <w:vAlign w:val="center"/>
          </w:tcPr>
          <w:p>
            <w:pPr>
              <w:spacing w:line="440" w:lineRule="exact"/>
              <w:jc w:val="center"/>
              <w:rPr>
                <w:rFonts w:ascii="宋体" w:hAnsi="宋体" w:cs="宋体"/>
                <w:color w:val="000000"/>
                <w:szCs w:val="21"/>
              </w:rPr>
            </w:pPr>
          </w:p>
        </w:tc>
        <w:tc>
          <w:tcPr>
            <w:tcW w:w="2084" w:type="dxa"/>
            <w:tcBorders>
              <w:bottom w:val="single" w:color="auto" w:sz="4" w:space="0"/>
            </w:tcBorders>
            <w:vAlign w:val="center"/>
          </w:tcPr>
          <w:p>
            <w:pPr>
              <w:spacing w:line="360" w:lineRule="exact"/>
              <w:jc w:val="center"/>
              <w:rPr>
                <w:rFonts w:ascii="宋体" w:hAnsi="宋体" w:cs="宋体"/>
                <w:color w:val="000000"/>
                <w:szCs w:val="21"/>
              </w:rPr>
            </w:pPr>
            <w:r>
              <w:rPr>
                <w:rFonts w:hint="eastAsia" w:ascii="宋体" w:hAnsi="宋体" w:cs="宋体"/>
                <w:color w:val="000000"/>
                <w:szCs w:val="21"/>
              </w:rPr>
              <w:t>其他要求</w:t>
            </w:r>
          </w:p>
        </w:tc>
        <w:tc>
          <w:tcPr>
            <w:tcW w:w="5602" w:type="dxa"/>
            <w:tcBorders>
              <w:bottom w:val="single" w:color="auto" w:sz="4" w:space="0"/>
            </w:tcBorders>
            <w:vAlign w:val="center"/>
          </w:tcPr>
          <w:p>
            <w:pPr>
              <w:spacing w:line="360" w:lineRule="exact"/>
              <w:rPr>
                <w:rFonts w:ascii="宋体" w:hAnsi="宋体" w:cs="宋体"/>
                <w:color w:val="000000"/>
                <w:szCs w:val="21"/>
              </w:rPr>
            </w:pPr>
            <w:r>
              <w:rPr>
                <w:rFonts w:hint="eastAsia" w:ascii="宋体" w:hAnsi="宋体" w:cs="宋体"/>
                <w:color w:val="000000"/>
                <w:szCs w:val="21"/>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000000"/>
                <w:szCs w:val="21"/>
              </w:rPr>
            </w:pPr>
            <w:r>
              <w:rPr>
                <w:rFonts w:hint="eastAsia" w:ascii="宋体" w:hAnsi="宋体" w:cs="宋体"/>
                <w:color w:val="000000"/>
                <w:szCs w:val="21"/>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000000"/>
                <w:szCs w:val="21"/>
              </w:rPr>
            </w:pPr>
            <w:r>
              <w:rPr>
                <w:rFonts w:hint="eastAsia" w:ascii="宋体" w:hAnsi="宋体" w:cs="宋体"/>
                <w:color w:val="000000"/>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采购内容</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bCs/>
                <w:iCs/>
                <w:color w:val="000000"/>
                <w:szCs w:val="21"/>
              </w:rPr>
              <w:t>供货</w:t>
            </w:r>
            <w:r>
              <w:rPr>
                <w:rFonts w:hint="eastAsia" w:ascii="宋体" w:hAnsi="宋体" w:cs="宋体"/>
                <w:bCs/>
                <w:iCs/>
                <w:color w:val="000000"/>
                <w:szCs w:val="21"/>
                <w:lang w:val="en-US" w:eastAsia="zh-CN"/>
              </w:rPr>
              <w:t>安装</w:t>
            </w:r>
            <w:r>
              <w:rPr>
                <w:rFonts w:hint="eastAsia" w:ascii="宋体" w:hAnsi="宋体" w:cs="宋体"/>
                <w:bCs/>
                <w:iCs/>
                <w:color w:val="000000"/>
                <w:szCs w:val="21"/>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合同签订后 15 日历天内供货</w:t>
            </w:r>
            <w:r>
              <w:rPr>
                <w:rFonts w:hint="eastAsia" w:ascii="宋体" w:hAnsi="宋体" w:cs="宋体"/>
                <w:color w:val="000000"/>
                <w:szCs w:val="21"/>
                <w:lang w:val="en-US" w:eastAsia="zh-CN"/>
              </w:rPr>
              <w:t>安装</w:t>
            </w:r>
            <w:r>
              <w:rPr>
                <w:rFonts w:hint="eastAsia" w:ascii="宋体" w:hAnsi="宋体" w:cs="宋体"/>
                <w:color w:val="000000"/>
                <w:szCs w:val="21"/>
              </w:rPr>
              <w:t>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质量标准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ascii="宋体" w:hAnsi="宋体" w:cs="宋体"/>
                <w:color w:val="000000"/>
                <w:szCs w:val="21"/>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质保期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szCs w:val="21"/>
              </w:rPr>
            </w:pPr>
            <w:r>
              <w:rPr>
                <w:rFonts w:hint="eastAsia" w:ascii="宋体" w:hAnsi="宋体" w:cs="宋体"/>
                <w:color w:val="000000"/>
                <w:szCs w:val="21"/>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szCs w:val="21"/>
              </w:rPr>
            </w:pPr>
            <w:r>
              <w:rPr>
                <w:rFonts w:hint="eastAsia" w:ascii="宋体" w:hAnsi="宋体" w:cs="宋体"/>
                <w:color w:val="000000"/>
                <w:szCs w:val="21"/>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000000"/>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000000"/>
                <w:szCs w:val="21"/>
              </w:rPr>
            </w:pPr>
            <w:r>
              <w:rPr>
                <w:rFonts w:hint="eastAsia" w:ascii="宋体" w:hAnsi="宋体" w:cs="宋体"/>
                <w:color w:val="000000"/>
                <w:szCs w:val="21"/>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000000"/>
                <w:szCs w:val="21"/>
              </w:rPr>
            </w:pPr>
            <w:r>
              <w:rPr>
                <w:rFonts w:hint="eastAsia" w:ascii="宋体" w:hAnsi="宋体" w:cs="宋体"/>
                <w:color w:val="000000"/>
                <w:szCs w:val="21"/>
              </w:rPr>
              <w:t>符合法律、法规和招标文件中规定的其他实质性要求的</w:t>
            </w:r>
          </w:p>
        </w:tc>
      </w:tr>
      <w:bookmarkEnd w:id="236"/>
      <w:bookmarkEnd w:id="237"/>
      <w:bookmarkEnd w:id="238"/>
      <w:bookmarkEnd w:id="239"/>
    </w:tbl>
    <w:p>
      <w:pPr>
        <w:pStyle w:val="40"/>
        <w:spacing w:line="540" w:lineRule="exact"/>
        <w:outlineLvl w:val="2"/>
        <w:rPr>
          <w:rFonts w:asciiTheme="minorEastAsia" w:hAnsiTheme="minorEastAsia" w:eastAsiaTheme="minorEastAsia" w:cstheme="minorEastAsia"/>
          <w:b/>
          <w:bCs/>
          <w:sz w:val="28"/>
          <w:szCs w:val="28"/>
        </w:rPr>
      </w:pPr>
    </w:p>
    <w:p>
      <w:pPr>
        <w:pStyle w:val="5"/>
        <w:ind w:firstLine="0" w:firstLineChars="0"/>
        <w:rPr>
          <w:rFonts w:asciiTheme="minorEastAsia" w:hAnsiTheme="minorEastAsia" w:eastAsiaTheme="minorEastAsia" w:cstheme="minorEastAsia"/>
          <w:b/>
          <w:bCs/>
          <w:sz w:val="28"/>
          <w:szCs w:val="28"/>
        </w:rPr>
      </w:pPr>
    </w:p>
    <w:p>
      <w:pPr>
        <w:rPr>
          <w:rFonts w:asciiTheme="minorEastAsia" w:hAnsiTheme="minorEastAsia" w:eastAsiaTheme="minorEastAsia" w:cstheme="minorEastAsia"/>
          <w:b/>
          <w:bCs/>
          <w:sz w:val="28"/>
          <w:szCs w:val="28"/>
        </w:rPr>
      </w:pPr>
    </w:p>
    <w:p>
      <w:pPr>
        <w:pStyle w:val="14"/>
      </w:pPr>
    </w:p>
    <w:tbl>
      <w:tblPr>
        <w:tblStyle w:val="26"/>
        <w:tblW w:w="102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0"/>
        <w:gridCol w:w="1066"/>
        <w:gridCol w:w="1150"/>
        <w:gridCol w:w="6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tcBorders>
              <w:bottom w:val="single" w:color="000000" w:sz="6" w:space="0"/>
              <w:right w:val="single" w:color="000000" w:sz="6" w:space="0"/>
            </w:tcBorders>
            <w:noWrap/>
            <w:vAlign w:val="center"/>
          </w:tcPr>
          <w:p>
            <w:pPr>
              <w:widowControl/>
              <w:adjustRightInd w:val="0"/>
              <w:snapToGrid w:val="0"/>
              <w:jc w:val="center"/>
              <w:rPr>
                <w:rFonts w:hint="eastAsia" w:ascii="宋体" w:cs="宋体"/>
                <w:b/>
                <w:sz w:val="24"/>
                <w:lang w:bidi="ar-SA"/>
              </w:rPr>
            </w:pPr>
            <w:r>
              <w:rPr>
                <w:rFonts w:hint="eastAsia" w:ascii="宋体" w:cs="宋体"/>
                <w:b/>
                <w:bCs/>
                <w:color w:val="000000"/>
                <w:kern w:val="0"/>
                <w:sz w:val="24"/>
                <w:lang w:bidi="ar-SA"/>
              </w:rPr>
              <w:t>详细条款</w:t>
            </w:r>
          </w:p>
        </w:tc>
        <w:tc>
          <w:tcPr>
            <w:tcW w:w="1066" w:type="dxa"/>
            <w:tcBorders>
              <w:left w:val="single" w:color="000000" w:sz="6" w:space="0"/>
              <w:bottom w:val="single" w:color="000000" w:sz="6" w:space="0"/>
              <w:right w:val="single" w:color="auto" w:sz="4" w:space="0"/>
            </w:tcBorders>
            <w:noWrap/>
            <w:vAlign w:val="center"/>
          </w:tcPr>
          <w:p>
            <w:pPr>
              <w:widowControl/>
              <w:adjustRightInd w:val="0"/>
              <w:snapToGrid w:val="0"/>
              <w:jc w:val="center"/>
              <w:rPr>
                <w:rFonts w:hint="eastAsia" w:ascii="宋体" w:cs="宋体"/>
                <w:b/>
                <w:sz w:val="24"/>
                <w:lang w:bidi="ar-SA"/>
              </w:rPr>
            </w:pPr>
            <w:r>
              <w:rPr>
                <w:rFonts w:hint="eastAsia" w:ascii="宋体" w:cs="宋体"/>
                <w:b/>
                <w:bCs/>
                <w:color w:val="000000"/>
                <w:kern w:val="0"/>
                <w:sz w:val="24"/>
                <w:lang w:bidi="ar-SA"/>
              </w:rPr>
              <w:t>评审因素</w:t>
            </w:r>
          </w:p>
        </w:tc>
        <w:tc>
          <w:tcPr>
            <w:tcW w:w="1150" w:type="dxa"/>
            <w:tcBorders>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b/>
                <w:sz w:val="24"/>
                <w:lang w:bidi="ar-SA"/>
              </w:rPr>
            </w:pPr>
            <w:r>
              <w:rPr>
                <w:rFonts w:hint="eastAsia" w:ascii="宋体" w:cs="宋体"/>
                <w:b/>
                <w:bCs/>
                <w:color w:val="000000"/>
                <w:kern w:val="0"/>
                <w:sz w:val="24"/>
                <w:lang w:bidi="ar-SA"/>
              </w:rPr>
              <w:t>分值</w:t>
            </w:r>
          </w:p>
        </w:tc>
        <w:tc>
          <w:tcPr>
            <w:tcW w:w="6750" w:type="dxa"/>
            <w:tcBorders>
              <w:left w:val="single" w:color="000000" w:sz="6" w:space="0"/>
              <w:bottom w:val="single" w:color="000000" w:sz="6" w:space="0"/>
            </w:tcBorders>
            <w:noWrap/>
            <w:vAlign w:val="center"/>
          </w:tcPr>
          <w:p>
            <w:pPr>
              <w:widowControl/>
              <w:adjustRightInd w:val="0"/>
              <w:snapToGrid w:val="0"/>
              <w:jc w:val="center"/>
              <w:rPr>
                <w:rFonts w:hint="eastAsia" w:ascii="宋体" w:cs="宋体"/>
                <w:b/>
                <w:sz w:val="24"/>
                <w:lang w:bidi="ar-SA"/>
              </w:rPr>
            </w:pPr>
            <w:r>
              <w:rPr>
                <w:rFonts w:hint="eastAsia" w:ascii="宋体" w:cs="宋体"/>
                <w:b/>
                <w:bCs/>
                <w:color w:val="000000"/>
                <w:kern w:val="0"/>
                <w:sz w:val="24"/>
                <w:lang w:bidi="ar-SA"/>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tcBorders>
              <w:top w:val="single" w:color="000000" w:sz="6" w:space="0"/>
              <w:bottom w:val="single" w:color="000000" w:sz="6" w:space="0"/>
              <w:right w:val="single" w:color="000000" w:sz="6" w:space="0"/>
            </w:tcBorders>
            <w:noWrap/>
            <w:vAlign w:val="center"/>
          </w:tcPr>
          <w:p>
            <w:pPr>
              <w:pStyle w:val="50"/>
              <w:adjustRightInd w:val="0"/>
              <w:snapToGrid w:val="0"/>
              <w:jc w:val="center"/>
              <w:rPr>
                <w:sz w:val="24"/>
              </w:rPr>
            </w:pPr>
            <w:r>
              <w:rPr>
                <w:rFonts w:hint="eastAsia"/>
                <w:sz w:val="24"/>
                <w:lang w:val="en-US" w:eastAsia="en-US"/>
              </w:rPr>
              <w:t>报价</w:t>
            </w:r>
            <w:r>
              <w:rPr>
                <w:rFonts w:hint="eastAsia"/>
                <w:sz w:val="24"/>
              </w:rPr>
              <w:t>部分（</w:t>
            </w:r>
            <w:r>
              <w:rPr>
                <w:rFonts w:hint="eastAsia"/>
                <w:bCs/>
                <w:sz w:val="24"/>
                <w:lang w:val="en-US" w:eastAsia="en-US"/>
              </w:rPr>
              <w:t>30</w:t>
            </w:r>
            <w:r>
              <w:rPr>
                <w:rFonts w:hint="eastAsia"/>
                <w:bCs/>
                <w:sz w:val="24"/>
              </w:rPr>
              <w:t>分</w:t>
            </w:r>
            <w:r>
              <w:rPr>
                <w:rFonts w:hint="eastAsia"/>
                <w:sz w:val="24"/>
              </w:rPr>
              <w:t>）</w:t>
            </w:r>
          </w:p>
        </w:tc>
        <w:tc>
          <w:tcPr>
            <w:tcW w:w="1066" w:type="dxa"/>
            <w:tcBorders>
              <w:top w:val="single" w:color="000000" w:sz="6" w:space="0"/>
              <w:left w:val="single" w:color="000000" w:sz="6" w:space="0"/>
              <w:bottom w:val="single" w:color="000000" w:sz="6" w:space="0"/>
              <w:right w:val="single" w:color="auto" w:sz="4" w:space="0"/>
            </w:tcBorders>
            <w:noWrap/>
            <w:vAlign w:val="center"/>
          </w:tcPr>
          <w:p>
            <w:pPr>
              <w:pStyle w:val="50"/>
              <w:adjustRightInd w:val="0"/>
              <w:snapToGrid w:val="0"/>
              <w:jc w:val="center"/>
              <w:rPr>
                <w:bCs/>
                <w:sz w:val="24"/>
              </w:rPr>
            </w:pPr>
            <w:r>
              <w:rPr>
                <w:rFonts w:hint="eastAsia"/>
                <w:bCs/>
                <w:sz w:val="24"/>
              </w:rPr>
              <w:t>投标报价</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Style w:val="50"/>
              <w:adjustRightInd w:val="0"/>
              <w:snapToGrid w:val="0"/>
              <w:jc w:val="center"/>
              <w:rPr>
                <w:bCs/>
                <w:sz w:val="24"/>
              </w:rPr>
            </w:pPr>
            <w:r>
              <w:rPr>
                <w:rFonts w:hint="eastAsia"/>
                <w:bCs/>
                <w:sz w:val="24"/>
                <w:lang w:val="en-US" w:eastAsia="en-US"/>
              </w:rPr>
              <w:t>30</w:t>
            </w:r>
            <w:r>
              <w:rPr>
                <w:rFonts w:hint="eastAsia"/>
                <w:bCs/>
                <w:sz w:val="24"/>
              </w:rPr>
              <w:t>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rPr>
                <w:rFonts w:hint="eastAsia" w:ascii="宋体" w:cs="宋体"/>
                <w:sz w:val="24"/>
                <w:lang w:bidi="ar-SA"/>
              </w:rPr>
            </w:pPr>
            <w:r>
              <w:rPr>
                <w:rFonts w:hint="eastAsia" w:ascii="宋体" w:cs="宋体"/>
                <w:sz w:val="24"/>
                <w:lang w:bidi="ar-SA"/>
              </w:rPr>
              <w:t>1、满足招标文件要求且投标报价最低的投标报价为评标基准价，其价格分为满分。其他投标供应商的价格分统一按照下列公式计算：投标报价得分=（评标基准价/投标报价）×30</w:t>
            </w:r>
          </w:p>
          <w:p>
            <w:pPr>
              <w:widowControl/>
              <w:adjustRightInd w:val="0"/>
              <w:snapToGrid w:val="0"/>
              <w:jc w:val="left"/>
              <w:rPr>
                <w:rFonts w:hint="eastAsia" w:ascii="宋体" w:cs="宋体"/>
                <w:sz w:val="24"/>
                <w:lang w:bidi="ar-SA"/>
              </w:rPr>
            </w:pPr>
            <w:r>
              <w:rPr>
                <w:rFonts w:hint="eastAsia" w:ascii="宋体" w:cs="宋体"/>
                <w:sz w:val="24"/>
                <w:lang w:bidi="ar-SA"/>
              </w:rPr>
              <w:t>2、根据《政府采购促进中小企业发展暂行办法》（财库【2011】181 号）的规定，对小型和微型企业产品的价格给20%的扣除，用扣除后的价格参与评审。</w:t>
            </w:r>
          </w:p>
          <w:p>
            <w:pPr>
              <w:widowControl/>
              <w:adjustRightInd w:val="0"/>
              <w:snapToGrid w:val="0"/>
              <w:jc w:val="left"/>
              <w:rPr>
                <w:rFonts w:hint="eastAsia" w:ascii="宋体" w:cs="宋体"/>
                <w:sz w:val="24"/>
                <w:lang w:bidi="ar-SA"/>
              </w:rPr>
            </w:pPr>
            <w:r>
              <w:rPr>
                <w:rFonts w:hint="eastAsia" w:ascii="宋体" w:cs="宋体"/>
                <w:sz w:val="24"/>
                <w:lang w:bidi="ar-SA"/>
              </w:rPr>
              <w:t>3、评标委员会认为供应商的报价明显低于其他通过符合性审查供应商的报价，有可能影响产品质量或不能诚信履约的，将要求其在评标现场合理的时间内提供书面说明，必要时提交相关证明材料，供应商不能证明其报价合理性的，其投标将被作为无效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vMerge w:val="restart"/>
            <w:tcBorders>
              <w:top w:val="single" w:color="000000" w:sz="6" w:space="0"/>
              <w:right w:val="single" w:color="000000" w:sz="6" w:space="0"/>
            </w:tcBorders>
            <w:noWrap/>
            <w:vAlign w:val="center"/>
          </w:tcPr>
          <w:p>
            <w:pPr>
              <w:widowControl/>
              <w:adjustRightInd w:val="0"/>
              <w:snapToGrid w:val="0"/>
              <w:jc w:val="center"/>
              <w:rPr>
                <w:rFonts w:hint="eastAsia" w:ascii="宋体" w:cs="宋体"/>
                <w:sz w:val="24"/>
                <w:lang w:bidi="ar-SA"/>
              </w:rPr>
            </w:pPr>
            <w:r>
              <w:rPr>
                <w:rFonts w:hint="eastAsia" w:ascii="宋体" w:cs="宋体"/>
                <w:color w:val="000000"/>
                <w:kern w:val="0"/>
                <w:sz w:val="24"/>
                <w:lang w:bidi="ar-SA"/>
              </w:rPr>
              <w:t>技术部分（</w:t>
            </w:r>
            <w:r>
              <w:rPr>
                <w:rFonts w:hint="eastAsia" w:ascii="宋体" w:cs="宋体"/>
                <w:color w:val="000000"/>
                <w:kern w:val="0"/>
                <w:sz w:val="24"/>
                <w:lang w:val="en-US" w:eastAsia="zh-CN" w:bidi="ar-SA"/>
              </w:rPr>
              <w:t>50</w:t>
            </w:r>
            <w:r>
              <w:rPr>
                <w:rFonts w:hint="eastAsia" w:ascii="宋体" w:cs="宋体"/>
                <w:color w:val="000000"/>
                <w:kern w:val="0"/>
                <w:sz w:val="24"/>
                <w:lang w:bidi="ar-SA"/>
              </w:rPr>
              <w:t>分）</w:t>
            </w:r>
          </w:p>
        </w:tc>
        <w:tc>
          <w:tcPr>
            <w:tcW w:w="1066" w:type="dxa"/>
            <w:tcBorders>
              <w:top w:val="single" w:color="000000" w:sz="6" w:space="0"/>
              <w:left w:val="single" w:color="000000" w:sz="6" w:space="0"/>
              <w:bottom w:val="single" w:color="000000" w:sz="6" w:space="0"/>
              <w:right w:val="single" w:color="auto" w:sz="4" w:space="0"/>
            </w:tcBorders>
            <w:noWrap/>
            <w:vAlign w:val="center"/>
          </w:tcPr>
          <w:p>
            <w:pPr>
              <w:widowControl/>
              <w:adjustRightInd w:val="0"/>
              <w:snapToGrid w:val="0"/>
              <w:jc w:val="center"/>
              <w:rPr>
                <w:rFonts w:hint="eastAsia" w:ascii="宋体" w:cs="宋体"/>
                <w:sz w:val="24"/>
                <w:lang w:bidi="ar-SA"/>
              </w:rPr>
            </w:pPr>
            <w:r>
              <w:rPr>
                <w:rFonts w:hint="eastAsia" w:ascii="宋体" w:cs="宋体"/>
                <w:color w:val="000000"/>
                <w:kern w:val="0"/>
                <w:sz w:val="24"/>
                <w:lang w:bidi="ar-SA"/>
              </w:rPr>
              <w:t>技术响应情况</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sz w:val="24"/>
                <w:lang w:bidi="ar-SA"/>
              </w:rPr>
            </w:pPr>
            <w:r>
              <w:rPr>
                <w:rFonts w:hint="eastAsia" w:ascii="宋体" w:cs="宋体"/>
                <w:color w:val="000000"/>
                <w:kern w:val="0"/>
                <w:sz w:val="24"/>
                <w:lang w:val="en-US" w:eastAsia="zh-CN" w:bidi="ar-SA"/>
              </w:rPr>
              <w:t>40</w:t>
            </w:r>
            <w:r>
              <w:rPr>
                <w:rFonts w:hint="eastAsia" w:ascii="宋体" w:cs="宋体"/>
                <w:color w:val="000000"/>
                <w:kern w:val="0"/>
                <w:sz w:val="24"/>
                <w:lang w:bidi="ar-SA"/>
              </w:rPr>
              <w:t>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rPr>
                <w:rFonts w:hint="eastAsia" w:ascii="宋体" w:cs="宋体"/>
                <w:sz w:val="24"/>
                <w:lang w:bidi="ar-SA"/>
              </w:rPr>
            </w:pPr>
            <w:r>
              <w:rPr>
                <w:rFonts w:hint="eastAsia" w:ascii="宋体" w:cs="宋体"/>
                <w:sz w:val="24"/>
                <w:lang w:val="zh-CN" w:eastAsia="zh-CN" w:bidi="ar-SA"/>
              </w:rPr>
              <w:t>根据投标人所投产品与采购要求的响应情况确定得分：满足技术指标要求的得</w:t>
            </w:r>
            <w:r>
              <w:rPr>
                <w:rFonts w:hint="eastAsia" w:ascii="宋体" w:cs="宋体"/>
                <w:sz w:val="24"/>
                <w:lang w:val="en-US" w:eastAsia="zh-CN" w:bidi="ar-SA"/>
              </w:rPr>
              <w:t>40</w:t>
            </w:r>
            <w:r>
              <w:rPr>
                <w:rFonts w:hint="eastAsia" w:ascii="宋体" w:cs="宋体"/>
                <w:sz w:val="24"/>
                <w:lang w:val="zh-CN" w:eastAsia="zh-CN" w:bidi="ar-SA"/>
              </w:rPr>
              <w:t>分，不满足为无效投标。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vMerge w:val="continue"/>
            <w:tcBorders>
              <w:right w:val="single" w:color="000000" w:sz="6" w:space="0"/>
            </w:tcBorders>
            <w:noWrap/>
            <w:vAlign w:val="center"/>
          </w:tcPr>
          <w:p/>
        </w:tc>
        <w:tc>
          <w:tcPr>
            <w:tcW w:w="1066" w:type="dxa"/>
            <w:tcBorders>
              <w:top w:val="single" w:color="000000" w:sz="6" w:space="0"/>
              <w:left w:val="single" w:color="000000" w:sz="6" w:space="0"/>
              <w:bottom w:val="single" w:color="000000" w:sz="6" w:space="0"/>
              <w:right w:val="single" w:color="auto" w:sz="4" w:space="0"/>
            </w:tcBorders>
            <w:noWrap/>
            <w:vAlign w:val="center"/>
          </w:tcPr>
          <w:p>
            <w:pPr>
              <w:widowControl/>
              <w:adjustRightInd w:val="0"/>
              <w:snapToGrid w:val="0"/>
              <w:jc w:val="center"/>
              <w:rPr>
                <w:rFonts w:hint="default" w:ascii="宋体" w:eastAsia="宋体" w:cs="宋体"/>
                <w:sz w:val="24"/>
                <w:lang w:val="en-US" w:eastAsia="zh-CN" w:bidi="ar-SA"/>
              </w:rPr>
            </w:pPr>
            <w:r>
              <w:rPr>
                <w:rFonts w:hint="eastAsia" w:ascii="宋体" w:cs="宋体"/>
                <w:color w:val="000000"/>
                <w:kern w:val="0"/>
                <w:sz w:val="24"/>
                <w:lang w:bidi="ar-SA"/>
              </w:rPr>
              <w:t>供货方案</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color w:val="000000"/>
                <w:kern w:val="0"/>
                <w:sz w:val="24"/>
                <w:lang w:bidi="ar-SA"/>
              </w:rPr>
              <w:t>5分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rPr>
                <w:rFonts w:hint="eastAsia" w:ascii="宋体" w:cs="宋体"/>
                <w:sz w:val="24"/>
                <w:lang w:bidi="ar-SA"/>
              </w:rPr>
            </w:pPr>
            <w:r>
              <w:rPr>
                <w:rFonts w:hint="eastAsia" w:ascii="宋体" w:cs="宋体"/>
                <w:sz w:val="24"/>
                <w:lang w:bidi="ar-SA"/>
              </w:rPr>
              <w:t>供货方案完善详细，有针对采购方要求所制定的有效措施，供货响应速度优于采购方需求，保证能在采购方规定时间内完成供货，能够完全充分满足采购方对于设备的使用需求，承诺保证按照</w:t>
            </w:r>
            <w:r>
              <w:rPr>
                <w:rFonts w:hint="eastAsia" w:ascii="宋体" w:cs="宋体"/>
                <w:sz w:val="24"/>
                <w:lang w:val="en-US" w:eastAsia="zh-CN" w:bidi="ar-SA"/>
              </w:rPr>
              <w:t>提</w:t>
            </w:r>
            <w:r>
              <w:rPr>
                <w:rFonts w:hint="eastAsia" w:ascii="宋体" w:cs="宋体"/>
                <w:sz w:val="24"/>
                <w:lang w:bidi="ar-SA"/>
              </w:rPr>
              <w:t>供方案实际供货得4-</w:t>
            </w:r>
            <w:r>
              <w:rPr>
                <w:rFonts w:hint="eastAsia" w:ascii="宋体" w:cs="宋体"/>
                <w:sz w:val="24"/>
                <w:lang w:val="en-US" w:eastAsia="zh-CN" w:bidi="ar-SA"/>
              </w:rPr>
              <w:t>5</w:t>
            </w:r>
            <w:r>
              <w:rPr>
                <w:rFonts w:hint="eastAsia" w:ascii="宋体" w:cs="宋体"/>
                <w:sz w:val="24"/>
                <w:lang w:bidi="ar-SA"/>
              </w:rPr>
              <w:t xml:space="preserve">分； </w:t>
            </w:r>
          </w:p>
          <w:p>
            <w:pPr>
              <w:widowControl/>
              <w:adjustRightInd w:val="0"/>
              <w:snapToGrid w:val="0"/>
              <w:jc w:val="left"/>
              <w:rPr>
                <w:rFonts w:hint="eastAsia" w:ascii="宋体" w:cs="宋体"/>
                <w:sz w:val="24"/>
                <w:lang w:bidi="ar-SA"/>
              </w:rPr>
            </w:pPr>
            <w:r>
              <w:rPr>
                <w:rFonts w:hint="eastAsia" w:ascii="宋体" w:cs="宋体"/>
                <w:sz w:val="24"/>
                <w:lang w:bidi="ar-SA"/>
              </w:rPr>
              <w:t>供货方案基本合理，供货时间安排妥当，基本满足实际需求的得1-3分；</w:t>
            </w:r>
          </w:p>
          <w:p>
            <w:pPr>
              <w:widowControl/>
              <w:adjustRightInd w:val="0"/>
              <w:snapToGrid w:val="0"/>
              <w:jc w:val="left"/>
              <w:rPr>
                <w:rFonts w:hint="eastAsia" w:ascii="宋体" w:cs="宋体"/>
                <w:sz w:val="24"/>
                <w:lang w:val="zh-CN" w:eastAsia="zh-CN" w:bidi="ar-SA"/>
              </w:rPr>
            </w:pPr>
            <w:r>
              <w:rPr>
                <w:rFonts w:hint="eastAsia" w:ascii="宋体" w:cs="宋体"/>
                <w:sz w:val="24"/>
                <w:lang w:bidi="ar-SA"/>
              </w:rPr>
              <w:t>未提供供货实施方案，得0分。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 w:hRule="atLeast"/>
          <w:jc w:val="center"/>
        </w:trPr>
        <w:tc>
          <w:tcPr>
            <w:tcW w:w="1300" w:type="dxa"/>
            <w:vMerge w:val="continue"/>
            <w:tcBorders>
              <w:bottom w:val="single" w:color="auto" w:sz="4" w:space="0"/>
              <w:right w:val="single" w:color="000000" w:sz="6" w:space="0"/>
            </w:tcBorders>
            <w:noWrap/>
            <w:vAlign w:val="center"/>
          </w:tcPr>
          <w:p/>
        </w:tc>
        <w:tc>
          <w:tcPr>
            <w:tcW w:w="1066" w:type="dxa"/>
            <w:tcBorders>
              <w:top w:val="single" w:color="000000" w:sz="6" w:space="0"/>
              <w:left w:val="single" w:color="000000" w:sz="6" w:space="0"/>
              <w:bottom w:val="single" w:color="auto" w:sz="4" w:space="0"/>
              <w:right w:val="single" w:color="auto" w:sz="4"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sz w:val="24"/>
                <w:lang w:val="en-US" w:eastAsia="zh-CN" w:bidi="ar-SA"/>
              </w:rPr>
              <w:t>安装调试方案</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color w:val="000000"/>
                <w:kern w:val="0"/>
                <w:sz w:val="24"/>
                <w:lang w:bidi="ar-SA"/>
              </w:rPr>
              <w:t>5分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pPr>
            <w:r>
              <w:rPr>
                <w:rFonts w:hint="eastAsia" w:ascii="宋体" w:cs="宋体"/>
                <w:sz w:val="24"/>
                <w:lang w:val="zh-CN" w:eastAsia="zh-CN" w:bidi="ar-SA"/>
              </w:rPr>
              <w:t>针对本项目编制具体的货物运输</w:t>
            </w:r>
            <w:r>
              <w:rPr>
                <w:rFonts w:hint="eastAsia" w:ascii="宋体" w:hAnsi="宋体" w:cs="宋体"/>
                <w:spacing w:val="-1"/>
                <w:sz w:val="24"/>
              </w:rPr>
              <w:t>、</w:t>
            </w:r>
            <w:r>
              <w:rPr>
                <w:rFonts w:hint="eastAsia" w:ascii="宋体" w:cs="宋体"/>
                <w:sz w:val="24"/>
                <w:lang w:val="zh-CN" w:eastAsia="zh-CN" w:bidi="ar-SA"/>
              </w:rPr>
              <w:t>安装调试</w:t>
            </w:r>
            <w:r>
              <w:rPr>
                <w:rFonts w:hint="eastAsia" w:ascii="宋体" w:cs="宋体"/>
                <w:sz w:val="24"/>
                <w:lang w:val="en-US" w:eastAsia="zh-CN" w:bidi="ar-SA"/>
              </w:rPr>
              <w:t>方案</w:t>
            </w:r>
            <w:r>
              <w:rPr>
                <w:rFonts w:hint="eastAsia" w:ascii="宋体" w:cs="宋体"/>
                <w:sz w:val="24"/>
                <w:lang w:val="zh-CN" w:eastAsia="zh-CN" w:bidi="ar-SA"/>
              </w:rPr>
              <w:t>，内容</w:t>
            </w:r>
            <w:r>
              <w:rPr>
                <w:rFonts w:hint="eastAsia" w:ascii="宋体" w:cs="宋体"/>
                <w:sz w:val="24"/>
                <w:lang w:val="en-US" w:eastAsia="zh-CN" w:bidi="ar-SA"/>
              </w:rPr>
              <w:t>可行性</w:t>
            </w:r>
            <w:r>
              <w:rPr>
                <w:rFonts w:hint="eastAsia" w:ascii="宋体" w:cs="宋体"/>
                <w:sz w:val="24"/>
                <w:lang w:val="zh-CN" w:eastAsia="zh-CN" w:bidi="ar-SA"/>
              </w:rPr>
              <w:t>合理性</w:t>
            </w:r>
            <w:r>
              <w:rPr>
                <w:rFonts w:hint="eastAsia" w:ascii="宋体" w:cs="宋体"/>
                <w:sz w:val="24"/>
                <w:lang w:val="en-US" w:eastAsia="zh-CN" w:bidi="ar-SA"/>
              </w:rPr>
              <w:t>在</w:t>
            </w:r>
            <w:r>
              <w:rPr>
                <w:rFonts w:hint="eastAsia" w:ascii="宋体" w:cs="宋体"/>
                <w:sz w:val="24"/>
                <w:lang w:bidi="ar-SA"/>
              </w:rPr>
              <w:t>0-</w:t>
            </w:r>
            <w:r>
              <w:rPr>
                <w:rFonts w:hint="eastAsia" w:ascii="宋体" w:cs="宋体"/>
                <w:sz w:val="24"/>
                <w:lang w:val="en-US" w:eastAsia="zh-CN" w:bidi="ar-SA"/>
              </w:rPr>
              <w:t>5</w:t>
            </w:r>
            <w:r>
              <w:rPr>
                <w:rFonts w:hint="eastAsia" w:ascii="宋体" w:cs="宋体"/>
                <w:sz w:val="24"/>
                <w:lang w:bidi="ar-SA"/>
              </w:rPr>
              <w:t>分</w:t>
            </w:r>
            <w:r>
              <w:rPr>
                <w:rFonts w:hint="eastAsia" w:ascii="宋体" w:cs="宋体"/>
                <w:sz w:val="24"/>
                <w:lang w:val="en-US" w:eastAsia="zh-CN" w:bidi="ar-SA"/>
              </w:rPr>
              <w:t>之间进行评分</w:t>
            </w:r>
            <w:r>
              <w:rPr>
                <w:rFonts w:hint="eastAsia" w:ascii="宋体" w:cs="宋体"/>
                <w:sz w:val="24"/>
                <w:lang w:val="zh-CN" w:eastAsia="zh-CN" w:bidi="ar-SA"/>
              </w:rPr>
              <w:t>，不提供不得分。</w:t>
            </w:r>
            <w:r>
              <w:rPr>
                <w:rFonts w:hint="eastAsia" w:ascii="宋体" w:cs="宋体"/>
                <w:sz w:val="24"/>
                <w:lang w:val="zh-CN" w:eastAsia="zh-CN" w:bidi="ar-SA"/>
              </w:rPr>
              <w:c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vMerge w:val="restart"/>
            <w:tcBorders>
              <w:top w:val="single" w:color="auto" w:sz="4" w:space="0"/>
              <w:right w:val="single" w:color="000000" w:sz="6" w:space="0"/>
            </w:tcBorders>
            <w:noWrap/>
            <w:vAlign w:val="center"/>
          </w:tcPr>
          <w:p>
            <w:pPr>
              <w:rPr>
                <w:rFonts w:hint="default" w:eastAsia="宋体"/>
                <w:color w:val="FF0000"/>
                <w:lang w:val="en-US" w:eastAsia="zh-CN"/>
              </w:rPr>
            </w:pPr>
            <w:r>
              <w:rPr>
                <w:rFonts w:hint="eastAsia" w:ascii="宋体" w:cs="宋体"/>
                <w:color w:val="000000"/>
                <w:kern w:val="0"/>
                <w:sz w:val="24"/>
                <w:lang w:val="en-US" w:eastAsia="zh-CN" w:bidi="ar-SA"/>
              </w:rPr>
              <w:t>综合部分（20分）</w:t>
            </w:r>
          </w:p>
        </w:tc>
        <w:tc>
          <w:tcPr>
            <w:tcW w:w="1066" w:type="dxa"/>
            <w:tcBorders>
              <w:top w:val="single" w:color="auto" w:sz="4" w:space="0"/>
              <w:left w:val="single" w:color="000000" w:sz="6" w:space="0"/>
              <w:bottom w:val="single" w:color="000000" w:sz="6" w:space="0"/>
              <w:right w:val="single" w:color="auto" w:sz="4" w:space="0"/>
            </w:tcBorders>
            <w:noWrap/>
            <w:vAlign w:val="center"/>
          </w:tcPr>
          <w:p>
            <w:pPr>
              <w:widowControl/>
              <w:adjustRightInd w:val="0"/>
              <w:snapToGrid w:val="0"/>
              <w:jc w:val="center"/>
              <w:rPr>
                <w:rFonts w:hint="eastAsia" w:ascii="宋体" w:cs="宋体"/>
                <w:sz w:val="24"/>
                <w:lang w:val="en-US" w:eastAsia="zh-CN" w:bidi="ar-SA"/>
              </w:rPr>
            </w:pPr>
            <w:r>
              <w:rPr>
                <w:rFonts w:hint="eastAsia" w:ascii="宋体" w:cs="宋体"/>
                <w:sz w:val="24"/>
                <w:lang w:val="en-US" w:eastAsia="zh-CN" w:bidi="ar-SA"/>
              </w:rPr>
              <w:t>企业业绩</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color w:val="000000"/>
                <w:kern w:val="0"/>
                <w:sz w:val="24"/>
                <w:lang w:val="en-US" w:eastAsia="zh-CN" w:bidi="ar-SA"/>
              </w:rPr>
              <w:t>3</w:t>
            </w:r>
            <w:r>
              <w:rPr>
                <w:rFonts w:hint="eastAsia" w:ascii="宋体" w:cs="宋体"/>
                <w:color w:val="000000"/>
                <w:kern w:val="0"/>
                <w:sz w:val="24"/>
                <w:lang w:bidi="ar-SA"/>
              </w:rPr>
              <w:t>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rPr>
                <w:rFonts w:hint="eastAsia" w:ascii="宋体" w:cs="宋体"/>
                <w:sz w:val="24"/>
                <w:lang w:bidi="ar-SA"/>
              </w:rPr>
            </w:pPr>
            <w:r>
              <w:rPr>
                <w:rFonts w:hint="eastAsia" w:ascii="宋体" w:cs="宋体"/>
                <w:sz w:val="24"/>
                <w:lang w:bidi="ar-SA"/>
              </w:rPr>
              <w:t>投标</w:t>
            </w:r>
            <w:r>
              <w:rPr>
                <w:rFonts w:hint="eastAsia" w:ascii="宋体" w:cs="宋体"/>
                <w:sz w:val="24"/>
                <w:lang w:val="zh-CN" w:eastAsia="zh-CN" w:bidi="ar-SA"/>
              </w:rPr>
              <w:t>人</w:t>
            </w:r>
            <w:r>
              <w:rPr>
                <w:rFonts w:hint="eastAsia" w:ascii="宋体" w:cs="宋体"/>
                <w:sz w:val="24"/>
                <w:lang w:bidi="ar-SA"/>
              </w:rPr>
              <w:t>提供2019年1月1日至今完成的类似项目业绩，每提供一个得</w:t>
            </w:r>
            <w:r>
              <w:rPr>
                <w:rFonts w:hint="eastAsia" w:ascii="宋体" w:cs="宋体"/>
                <w:sz w:val="24"/>
                <w:lang w:val="en-US" w:eastAsia="zh-CN" w:bidi="ar-SA"/>
              </w:rPr>
              <w:t>1</w:t>
            </w:r>
            <w:r>
              <w:rPr>
                <w:rFonts w:hint="eastAsia" w:ascii="宋体" w:cs="宋体"/>
                <w:sz w:val="24"/>
                <w:lang w:bidi="ar-SA"/>
              </w:rPr>
              <w:t>分，最高得</w:t>
            </w:r>
            <w:r>
              <w:rPr>
                <w:rFonts w:hint="eastAsia" w:ascii="宋体" w:cs="宋体"/>
                <w:sz w:val="24"/>
                <w:lang w:val="en-US" w:eastAsia="zh-CN" w:bidi="ar-SA"/>
              </w:rPr>
              <w:t>3</w:t>
            </w:r>
            <w:r>
              <w:rPr>
                <w:rFonts w:hint="eastAsia" w:ascii="宋体" w:cs="宋体"/>
                <w:sz w:val="24"/>
                <w:lang w:bidi="ar-SA"/>
              </w:rPr>
              <w:t>分。须提供合同扫描件，时间以合同签订时间为准。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6" w:hRule="atLeast"/>
          <w:jc w:val="center"/>
        </w:trPr>
        <w:tc>
          <w:tcPr>
            <w:tcW w:w="1300" w:type="dxa"/>
            <w:vMerge w:val="continue"/>
            <w:tcBorders>
              <w:right w:val="single" w:color="000000" w:sz="6" w:space="0"/>
            </w:tcBorders>
            <w:noWrap/>
            <w:vAlign w:val="center"/>
          </w:tcPr>
          <w:p>
            <w:pPr>
              <w:rPr>
                <w:rFonts w:hint="eastAsia" w:ascii="宋体" w:cs="宋体"/>
                <w:color w:val="000000"/>
                <w:kern w:val="0"/>
                <w:sz w:val="24"/>
                <w:lang w:val="en-US" w:eastAsia="zh-CN" w:bidi="ar-SA"/>
              </w:rPr>
            </w:pPr>
          </w:p>
        </w:tc>
        <w:tc>
          <w:tcPr>
            <w:tcW w:w="1066" w:type="dxa"/>
            <w:tcBorders>
              <w:top w:val="single" w:color="auto" w:sz="4" w:space="0"/>
              <w:left w:val="single" w:color="000000" w:sz="6" w:space="0"/>
              <w:bottom w:val="single" w:color="000000" w:sz="6" w:space="0"/>
              <w:right w:val="single" w:color="auto" w:sz="4" w:space="0"/>
            </w:tcBorders>
            <w:noWrap/>
            <w:vAlign w:val="center"/>
          </w:tcPr>
          <w:p>
            <w:pPr>
              <w:widowControl/>
              <w:adjustRightInd w:val="0"/>
              <w:snapToGrid w:val="0"/>
              <w:jc w:val="center"/>
              <w:rPr>
                <w:rFonts w:hint="eastAsia" w:ascii="宋体" w:eastAsia="宋体" w:cs="宋体"/>
                <w:sz w:val="24"/>
                <w:lang w:val="en-US" w:eastAsia="zh-CN" w:bidi="ar-SA"/>
              </w:rPr>
            </w:pPr>
            <w:r>
              <w:rPr>
                <w:rFonts w:hint="eastAsia" w:ascii="宋体" w:cs="宋体"/>
                <w:color w:val="000000"/>
                <w:kern w:val="0"/>
                <w:sz w:val="24"/>
                <w:lang w:bidi="ar-SA"/>
              </w:rPr>
              <w:t>企业信用</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eastAsia="宋体" w:cs="宋体"/>
                <w:sz w:val="24"/>
                <w:lang w:val="en-US" w:eastAsia="zh-CN" w:bidi="ar-SA"/>
              </w:rPr>
            </w:pPr>
            <w:r>
              <w:rPr>
                <w:rFonts w:hint="eastAsia" w:ascii="宋体" w:cs="宋体"/>
                <w:color w:val="000000"/>
                <w:kern w:val="0"/>
                <w:sz w:val="24"/>
                <w:lang w:val="en-US" w:eastAsia="zh-CN" w:bidi="ar-SA"/>
              </w:rPr>
              <w:t>3</w:t>
            </w:r>
            <w:r>
              <w:rPr>
                <w:rFonts w:hint="eastAsia" w:ascii="宋体" w:cs="宋体"/>
                <w:color w:val="000000"/>
                <w:kern w:val="0"/>
                <w:sz w:val="24"/>
                <w:lang w:bidi="ar-SA"/>
              </w:rPr>
              <w:t>分</w:t>
            </w:r>
          </w:p>
        </w:tc>
        <w:tc>
          <w:tcPr>
            <w:tcW w:w="6750" w:type="dxa"/>
            <w:tcBorders>
              <w:top w:val="single" w:color="000000" w:sz="6" w:space="0"/>
              <w:left w:val="single" w:color="000000" w:sz="6" w:space="0"/>
              <w:bottom w:val="single" w:color="000000" w:sz="6" w:space="0"/>
            </w:tcBorders>
            <w:noWrap/>
            <w:vAlign w:val="center"/>
          </w:tcPr>
          <w:p>
            <w:pPr>
              <w:widowControl/>
              <w:spacing w:line="600" w:lineRule="exact"/>
              <w:jc w:val="left"/>
              <w:rPr>
                <w:rFonts w:hint="eastAsia" w:ascii="宋体" w:eastAsia="宋体" w:cs="宋体"/>
                <w:sz w:val="24"/>
                <w:lang w:val="en-US" w:eastAsia="zh-CN" w:bidi="ar-SA"/>
              </w:rPr>
            </w:pPr>
            <w:r>
              <w:rPr>
                <w:rFonts w:hint="eastAsia" w:ascii="宋体" w:cs="宋体"/>
                <w:sz w:val="24"/>
                <w:lang w:bidi="ar-SA"/>
              </w:rPr>
              <w:t>投标人具有AAA信用等级的得</w:t>
            </w:r>
            <w:r>
              <w:rPr>
                <w:rFonts w:hint="eastAsia" w:ascii="宋体" w:cs="宋体"/>
                <w:sz w:val="24"/>
                <w:lang w:val="en-US" w:eastAsia="zh-CN" w:bidi="ar-SA"/>
              </w:rPr>
              <w:t>3</w:t>
            </w:r>
            <w:r>
              <w:rPr>
                <w:rFonts w:hint="eastAsia" w:ascii="宋体" w:cs="宋体"/>
                <w:sz w:val="24"/>
                <w:lang w:bidi="ar-SA"/>
              </w:rPr>
              <w:t>分，AA信用等级得</w:t>
            </w:r>
            <w:r>
              <w:rPr>
                <w:rFonts w:hint="eastAsia" w:ascii="宋体" w:cs="宋体"/>
                <w:sz w:val="24"/>
                <w:lang w:val="en-US" w:eastAsia="zh-CN" w:bidi="ar-SA"/>
              </w:rPr>
              <w:t>2</w:t>
            </w:r>
            <w:r>
              <w:rPr>
                <w:rFonts w:hint="eastAsia" w:ascii="宋体" w:cs="宋体"/>
                <w:sz w:val="24"/>
                <w:lang w:bidi="ar-SA"/>
              </w:rPr>
              <w:t>分，A信用等级得1分（提供原件扫描件)。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300" w:type="dxa"/>
            <w:vMerge w:val="continue"/>
            <w:tcBorders>
              <w:right w:val="single" w:color="000000" w:sz="6" w:space="0"/>
            </w:tcBorders>
            <w:noWrap/>
            <w:vAlign w:val="center"/>
          </w:tcPr>
          <w:p>
            <w:pPr>
              <w:rPr>
                <w:color w:val="FF0000"/>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widowControl/>
              <w:adjustRightInd w:val="0"/>
              <w:snapToGrid w:val="0"/>
              <w:jc w:val="center"/>
              <w:rPr>
                <w:rFonts w:hint="eastAsia" w:ascii="宋体" w:cs="宋体"/>
                <w:sz w:val="24"/>
                <w:lang w:val="en-US" w:eastAsia="zh-CN" w:bidi="ar-SA"/>
              </w:rPr>
            </w:pPr>
            <w:r>
              <w:rPr>
                <w:rFonts w:hint="eastAsia" w:ascii="宋体" w:cs="宋体"/>
                <w:sz w:val="24"/>
                <w:lang w:val="en-US" w:eastAsia="zh-CN" w:bidi="ar-SA"/>
              </w:rPr>
              <w:t>质量保证措施</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color w:val="000000"/>
                <w:kern w:val="0"/>
                <w:sz w:val="24"/>
                <w:lang w:bidi="ar-SA"/>
              </w:rPr>
              <w:t>5分</w:t>
            </w:r>
          </w:p>
        </w:tc>
        <w:tc>
          <w:tcPr>
            <w:tcW w:w="6750" w:type="dxa"/>
            <w:tcBorders>
              <w:top w:val="single" w:color="000000" w:sz="6" w:space="0"/>
              <w:left w:val="single" w:color="000000" w:sz="6" w:space="0"/>
              <w:bottom w:val="single" w:color="000000" w:sz="6" w:space="0"/>
            </w:tcBorders>
            <w:noWrap/>
            <w:vAlign w:val="center"/>
          </w:tcPr>
          <w:p>
            <w:pPr>
              <w:widowControl/>
              <w:adjustRightInd w:val="0"/>
              <w:snapToGrid w:val="0"/>
              <w:jc w:val="left"/>
              <w:rPr>
                <w:rFonts w:hint="eastAsia" w:ascii="宋体" w:cs="宋体"/>
                <w:sz w:val="24"/>
                <w:lang w:bidi="ar-SA"/>
              </w:rPr>
            </w:pPr>
            <w:r>
              <w:rPr>
                <w:rFonts w:hint="eastAsia" w:ascii="宋体" w:cs="宋体"/>
                <w:sz w:val="24"/>
                <w:lang w:bidi="ar-SA"/>
              </w:rPr>
              <w:t>根据投标人提供的质量保证期内维修承诺在0-5分之间进行评分，不提供不得分。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5" w:hRule="atLeast"/>
          <w:jc w:val="center"/>
        </w:trPr>
        <w:tc>
          <w:tcPr>
            <w:tcW w:w="1300" w:type="dxa"/>
            <w:vMerge w:val="continue"/>
            <w:tcBorders>
              <w:right w:val="single" w:color="000000" w:sz="6" w:space="0"/>
            </w:tcBorders>
            <w:noWrap/>
            <w:vAlign w:val="center"/>
          </w:tcPr>
          <w:p>
            <w:pPr>
              <w:rPr>
                <w:color w:val="FF0000"/>
              </w:rPr>
            </w:pPr>
          </w:p>
        </w:tc>
        <w:tc>
          <w:tcPr>
            <w:tcW w:w="1066" w:type="dxa"/>
            <w:tcBorders>
              <w:top w:val="single" w:color="000000" w:sz="6" w:space="0"/>
              <w:left w:val="single" w:color="000000" w:sz="6" w:space="0"/>
              <w:right w:val="single" w:color="auto" w:sz="4" w:space="0"/>
            </w:tcBorders>
            <w:noWrap/>
            <w:vAlign w:val="center"/>
          </w:tcPr>
          <w:p>
            <w:pPr>
              <w:widowControl/>
              <w:adjustRightInd w:val="0"/>
              <w:snapToGrid w:val="0"/>
              <w:jc w:val="center"/>
              <w:rPr>
                <w:rFonts w:hint="eastAsia" w:ascii="宋体" w:cs="宋体"/>
                <w:sz w:val="24"/>
                <w:lang w:val="en-US" w:eastAsia="zh-CN" w:bidi="ar-SA"/>
              </w:rPr>
            </w:pPr>
            <w:r>
              <w:rPr>
                <w:rFonts w:hint="eastAsia" w:ascii="宋体" w:cs="宋体"/>
                <w:sz w:val="24"/>
                <w:lang w:val="en-US" w:eastAsia="zh-CN" w:bidi="ar-SA"/>
              </w:rPr>
              <w:t>售后服务方案</w:t>
            </w:r>
          </w:p>
        </w:tc>
        <w:tc>
          <w:tcPr>
            <w:tcW w:w="1150" w:type="dxa"/>
            <w:tcBorders>
              <w:top w:val="single" w:color="000000" w:sz="6" w:space="0"/>
              <w:left w:val="single" w:color="auto" w:sz="4" w:space="0"/>
              <w:right w:val="single" w:color="000000" w:sz="6" w:space="0"/>
            </w:tcBorders>
            <w:noWrap/>
            <w:vAlign w:val="center"/>
          </w:tcPr>
          <w:p>
            <w:pPr>
              <w:widowControl/>
              <w:adjustRightInd w:val="0"/>
              <w:snapToGrid w:val="0"/>
              <w:jc w:val="center"/>
              <w:rPr>
                <w:rFonts w:hint="eastAsia" w:ascii="宋体" w:cs="宋体"/>
                <w:color w:val="000000"/>
                <w:kern w:val="0"/>
                <w:sz w:val="24"/>
                <w:lang w:bidi="ar-SA"/>
              </w:rPr>
            </w:pPr>
            <w:r>
              <w:rPr>
                <w:rFonts w:hint="eastAsia" w:ascii="宋体" w:cs="宋体"/>
                <w:color w:val="000000"/>
                <w:kern w:val="0"/>
                <w:sz w:val="24"/>
                <w:lang w:val="en-US" w:eastAsia="zh-CN" w:bidi="ar-SA"/>
              </w:rPr>
              <w:t>9</w:t>
            </w:r>
            <w:r>
              <w:rPr>
                <w:rFonts w:hint="eastAsia" w:ascii="宋体" w:cs="宋体"/>
                <w:color w:val="000000"/>
                <w:kern w:val="0"/>
                <w:sz w:val="24"/>
                <w:lang w:bidi="ar-SA"/>
              </w:rPr>
              <w:t>分</w:t>
            </w:r>
          </w:p>
        </w:tc>
        <w:tc>
          <w:tcPr>
            <w:tcW w:w="6750" w:type="dxa"/>
            <w:tcBorders>
              <w:top w:val="single" w:color="000000" w:sz="6" w:space="0"/>
              <w:left w:val="single" w:color="000000" w:sz="6" w:space="0"/>
            </w:tcBorders>
            <w:noWrap/>
            <w:vAlign w:val="center"/>
          </w:tcPr>
          <w:p>
            <w:pPr>
              <w:widowControl/>
              <w:adjustRightInd w:val="0"/>
              <w:snapToGrid w:val="0"/>
              <w:jc w:val="left"/>
              <w:rPr>
                <w:rFonts w:hint="eastAsia" w:ascii="宋体" w:eastAsia="宋体" w:cs="宋体"/>
                <w:sz w:val="24"/>
                <w:lang w:val="zh-CN" w:eastAsia="zh-CN" w:bidi="ar-SA"/>
              </w:rPr>
            </w:pPr>
            <w:r>
              <w:rPr>
                <w:rFonts w:hint="eastAsia" w:ascii="宋体" w:eastAsia="宋体" w:cs="宋体"/>
                <w:sz w:val="24"/>
                <w:lang w:val="en-US" w:eastAsia="zh-CN" w:bidi="ar-SA"/>
              </w:rPr>
              <w:t>1</w:t>
            </w:r>
            <w:r>
              <w:rPr>
                <w:rFonts w:hint="eastAsia" w:ascii="宋体" w:eastAsia="宋体" w:cs="宋体"/>
                <w:sz w:val="24"/>
                <w:lang w:bidi="ar-SA"/>
              </w:rPr>
              <w:t>、</w:t>
            </w:r>
            <w:r>
              <w:rPr>
                <w:rFonts w:hint="eastAsia" w:ascii="宋体" w:eastAsia="宋体" w:cs="宋体"/>
                <w:sz w:val="24"/>
                <w:lang w:val="en-US" w:eastAsia="zh-CN" w:bidi="ar-SA"/>
              </w:rPr>
              <w:t>针对</w:t>
            </w:r>
            <w:r>
              <w:rPr>
                <w:rFonts w:hint="eastAsia" w:ascii="宋体" w:eastAsia="宋体" w:cs="宋体"/>
                <w:sz w:val="24"/>
                <w:lang w:bidi="ar-SA"/>
              </w:rPr>
              <w:t>投标人为本项目提供售后服务方案，</w:t>
            </w:r>
            <w:r>
              <w:rPr>
                <w:rFonts w:hint="eastAsia" w:ascii="宋体" w:cs="宋体"/>
                <w:sz w:val="24"/>
                <w:lang w:val="en-US" w:eastAsia="zh-CN" w:bidi="ar-SA"/>
              </w:rPr>
              <w:t>在</w:t>
            </w:r>
            <w:r>
              <w:rPr>
                <w:rFonts w:hint="eastAsia" w:ascii="宋体" w:eastAsia="宋体" w:cs="宋体"/>
                <w:sz w:val="24"/>
                <w:lang w:bidi="ar-SA"/>
              </w:rPr>
              <w:t>0-</w:t>
            </w:r>
            <w:r>
              <w:rPr>
                <w:rFonts w:hint="eastAsia" w:ascii="宋体" w:cs="宋体"/>
                <w:sz w:val="24"/>
                <w:lang w:val="en-US" w:eastAsia="zh-CN" w:bidi="ar-SA"/>
              </w:rPr>
              <w:t>3</w:t>
            </w:r>
            <w:r>
              <w:rPr>
                <w:rFonts w:hint="eastAsia" w:ascii="宋体" w:eastAsia="宋体" w:cs="宋体"/>
                <w:sz w:val="24"/>
                <w:lang w:bidi="ar-SA"/>
              </w:rPr>
              <w:t>分</w:t>
            </w:r>
            <w:r>
              <w:rPr>
                <w:rFonts w:hint="eastAsia" w:ascii="宋体" w:eastAsia="宋体" w:cs="宋体"/>
                <w:sz w:val="24"/>
                <w:lang w:val="en-US" w:eastAsia="zh-CN" w:bidi="ar-SA"/>
              </w:rPr>
              <w:t>之间</w:t>
            </w:r>
            <w:r>
              <w:rPr>
                <w:rFonts w:hint="eastAsia" w:ascii="宋体" w:eastAsia="宋体" w:cs="宋体"/>
                <w:sz w:val="24"/>
                <w:lang w:bidi="ar-SA"/>
              </w:rPr>
              <w:t>进行评分</w:t>
            </w:r>
            <w:r>
              <w:rPr>
                <w:rFonts w:hint="eastAsia" w:ascii="宋体" w:eastAsia="宋体" w:cs="宋体"/>
                <w:sz w:val="24"/>
                <w:lang w:val="zh-CN" w:eastAsia="zh-CN" w:bidi="ar-SA"/>
              </w:rPr>
              <w:t>，不提供不得分</w:t>
            </w:r>
            <w:r>
              <w:rPr>
                <w:rFonts w:hint="eastAsia" w:ascii="宋体" w:cs="宋体"/>
                <w:sz w:val="24"/>
                <w:lang w:val="zh-CN" w:eastAsia="zh-CN" w:bidi="ar-SA"/>
              </w:rPr>
              <w:t>；</w:t>
            </w:r>
          </w:p>
          <w:p>
            <w:pPr>
              <w:widowControl/>
              <w:adjustRightInd w:val="0"/>
              <w:snapToGrid w:val="0"/>
              <w:jc w:val="left"/>
              <w:rPr>
                <w:rFonts w:hint="eastAsia" w:ascii="宋体" w:eastAsia="宋体" w:cs="宋体"/>
                <w:sz w:val="24"/>
                <w:lang w:bidi="ar-SA"/>
              </w:rPr>
            </w:pPr>
            <w:r>
              <w:rPr>
                <w:rFonts w:hint="eastAsia" w:ascii="宋体" w:eastAsia="宋体" w:cs="宋体"/>
                <w:sz w:val="24"/>
                <w:lang w:bidi="ar-SA"/>
              </w:rPr>
              <w:t>2、投标人具有完整的售后维修保养计划及科学的维修保养。评委根据投标人提供方案的科学性、合理性进行评分0-</w:t>
            </w:r>
            <w:r>
              <w:rPr>
                <w:rFonts w:hint="eastAsia" w:ascii="宋体" w:eastAsia="宋体" w:cs="宋体"/>
                <w:sz w:val="24"/>
                <w:lang w:val="en-US" w:eastAsia="zh-CN" w:bidi="ar-SA"/>
              </w:rPr>
              <w:t>3</w:t>
            </w:r>
            <w:r>
              <w:rPr>
                <w:rFonts w:hint="eastAsia" w:ascii="宋体" w:eastAsia="宋体" w:cs="宋体"/>
                <w:sz w:val="24"/>
                <w:lang w:bidi="ar-SA"/>
              </w:rPr>
              <w:t>分</w:t>
            </w:r>
            <w:r>
              <w:rPr>
                <w:rFonts w:hint="eastAsia" w:ascii="宋体" w:eastAsia="宋体" w:cs="宋体"/>
                <w:sz w:val="24"/>
                <w:lang w:val="en-US" w:eastAsia="zh-CN" w:bidi="ar-SA"/>
              </w:rPr>
              <w:t>之间进行评分</w:t>
            </w:r>
            <w:r>
              <w:rPr>
                <w:rFonts w:hint="eastAsia" w:ascii="宋体" w:eastAsia="宋体" w:cs="宋体"/>
                <w:sz w:val="24"/>
                <w:lang w:bidi="ar-SA"/>
              </w:rPr>
              <w:t>，</w:t>
            </w:r>
            <w:r>
              <w:rPr>
                <w:rFonts w:hint="eastAsia" w:ascii="宋体" w:eastAsia="宋体" w:cs="宋体"/>
                <w:sz w:val="24"/>
                <w:lang w:val="en-US" w:eastAsia="zh-CN" w:bidi="ar-SA"/>
              </w:rPr>
              <w:t>不提供不得分；</w:t>
            </w:r>
          </w:p>
          <w:p>
            <w:pPr>
              <w:widowControl/>
              <w:adjustRightInd w:val="0"/>
              <w:snapToGrid w:val="0"/>
              <w:jc w:val="left"/>
              <w:rPr>
                <w:rFonts w:hint="eastAsia" w:ascii="宋体" w:eastAsia="宋体" w:cs="宋体"/>
                <w:sz w:val="24"/>
                <w:lang w:val="en-US" w:eastAsia="zh-CN" w:bidi="ar-SA"/>
              </w:rPr>
            </w:pPr>
            <w:r>
              <w:rPr>
                <w:rFonts w:hint="eastAsia" w:ascii="宋体" w:eastAsia="宋体" w:cs="宋体"/>
                <w:sz w:val="24"/>
                <w:lang w:val="en-US" w:eastAsia="zh-CN" w:bidi="ar-SA"/>
              </w:rPr>
              <w:t>3</w:t>
            </w:r>
            <w:r>
              <w:rPr>
                <w:rFonts w:hint="eastAsia" w:ascii="宋体" w:eastAsia="宋体" w:cs="宋体"/>
                <w:sz w:val="24"/>
                <w:lang w:bidi="ar-SA"/>
              </w:rPr>
              <w:t>、根据投标人提供产品备件和保障措施</w:t>
            </w:r>
            <w:r>
              <w:rPr>
                <w:rFonts w:hint="eastAsia" w:ascii="宋体" w:eastAsia="宋体" w:cs="宋体"/>
                <w:sz w:val="24"/>
                <w:lang w:val="en-US" w:eastAsia="zh-CN" w:bidi="ar-SA"/>
              </w:rPr>
              <w:t>在</w:t>
            </w:r>
            <w:r>
              <w:rPr>
                <w:rFonts w:hint="eastAsia" w:ascii="宋体" w:eastAsia="宋体" w:cs="宋体"/>
                <w:sz w:val="24"/>
                <w:lang w:bidi="ar-SA"/>
              </w:rPr>
              <w:t>0-</w:t>
            </w:r>
            <w:r>
              <w:rPr>
                <w:rFonts w:hint="eastAsia" w:ascii="宋体" w:cs="宋体"/>
                <w:sz w:val="24"/>
                <w:lang w:val="en-US" w:eastAsia="zh-CN" w:bidi="ar-SA"/>
              </w:rPr>
              <w:t>2</w:t>
            </w:r>
            <w:r>
              <w:rPr>
                <w:rFonts w:hint="eastAsia" w:ascii="宋体" w:eastAsia="宋体" w:cs="宋体"/>
                <w:sz w:val="24"/>
                <w:lang w:bidi="ar-SA"/>
              </w:rPr>
              <w:t>分</w:t>
            </w:r>
            <w:r>
              <w:rPr>
                <w:rFonts w:hint="eastAsia" w:ascii="宋体" w:eastAsia="宋体" w:cs="宋体"/>
                <w:sz w:val="24"/>
                <w:lang w:val="en-US" w:eastAsia="zh-CN" w:bidi="ar-SA"/>
              </w:rPr>
              <w:t>之间进行评分</w:t>
            </w:r>
            <w:r>
              <w:rPr>
                <w:rFonts w:hint="eastAsia" w:ascii="宋体" w:eastAsia="宋体" w:cs="宋体"/>
                <w:sz w:val="24"/>
                <w:lang w:bidi="ar-SA"/>
              </w:rPr>
              <w:t>，</w:t>
            </w:r>
            <w:r>
              <w:rPr>
                <w:rFonts w:hint="eastAsia" w:ascii="宋体" w:eastAsia="宋体" w:cs="宋体"/>
                <w:sz w:val="24"/>
                <w:lang w:val="en-US" w:eastAsia="zh-CN" w:bidi="ar-SA"/>
              </w:rPr>
              <w:t>不提供不得分；</w:t>
            </w:r>
          </w:p>
          <w:p>
            <w:pPr>
              <w:widowControl/>
              <w:adjustRightInd w:val="0"/>
              <w:snapToGrid w:val="0"/>
              <w:jc w:val="left"/>
              <w:rPr>
                <w:rFonts w:hint="default"/>
                <w:lang w:val="en-US"/>
              </w:rPr>
            </w:pPr>
            <w:r>
              <w:rPr>
                <w:rFonts w:hint="eastAsia" w:ascii="宋体" w:eastAsia="宋体" w:cs="宋体"/>
                <w:sz w:val="24"/>
                <w:lang w:val="en-US" w:eastAsia="zh-CN" w:bidi="ar-SA"/>
              </w:rPr>
              <w:t>4、投标人在质量保证期承诺延长1年加0.5分，最多加</w:t>
            </w:r>
            <w:r>
              <w:rPr>
                <w:rFonts w:hint="eastAsia" w:ascii="宋体" w:cs="宋体"/>
                <w:sz w:val="24"/>
                <w:lang w:val="en-US" w:eastAsia="zh-CN" w:bidi="ar-SA"/>
              </w:rPr>
              <w:t>1</w:t>
            </w:r>
            <w:r>
              <w:rPr>
                <w:rFonts w:hint="eastAsia" w:ascii="宋体" w:eastAsia="宋体" w:cs="宋体"/>
                <w:sz w:val="24"/>
                <w:lang w:val="en-US" w:eastAsia="zh-CN" w:bidi="ar-SA"/>
              </w:rPr>
              <w:t>分，不提供不得分。</w:t>
            </w:r>
          </w:p>
        </w:tc>
      </w:tr>
    </w:tbl>
    <w:p>
      <w:pPr>
        <w:rPr>
          <w:color w:val="FF0000"/>
        </w:rPr>
      </w:pPr>
    </w:p>
    <w:p>
      <w:pPr>
        <w:tabs>
          <w:tab w:val="left" w:pos="170"/>
          <w:tab w:val="left" w:pos="303"/>
          <w:tab w:val="left" w:pos="420"/>
        </w:tabs>
        <w:adjustRightInd w:val="0"/>
        <w:snapToGrid w:val="0"/>
        <w:spacing w:line="560" w:lineRule="exact"/>
        <w:outlineLvl w:val="1"/>
        <w:rPr>
          <w:rFonts w:ascii="宋体" w:hAnsi="宋体" w:cs="仿宋_GB2312"/>
          <w:b/>
          <w:sz w:val="28"/>
          <w:szCs w:val="28"/>
        </w:rPr>
      </w:pPr>
      <w:bookmarkStart w:id="240" w:name="_Toc21064"/>
      <w:bookmarkStart w:id="241" w:name="_Toc466017207"/>
      <w:bookmarkStart w:id="242" w:name="_Toc19403"/>
      <w:bookmarkStart w:id="243" w:name="_Toc465502579"/>
      <w:bookmarkStart w:id="244" w:name="_Toc454147538"/>
      <w:r>
        <w:rPr>
          <w:rFonts w:hint="eastAsia" w:ascii="宋体" w:hAnsi="宋体" w:cs="仿宋_GB2312"/>
          <w:b/>
          <w:sz w:val="28"/>
          <w:szCs w:val="28"/>
        </w:rPr>
        <w:t xml:space="preserve"> </w:t>
      </w:r>
      <w:bookmarkStart w:id="245" w:name="_Toc6843"/>
      <w:r>
        <w:rPr>
          <w:rFonts w:hint="eastAsia" w:ascii="宋体" w:hAnsi="宋体" w:cs="仿宋_GB2312"/>
          <w:b/>
          <w:sz w:val="28"/>
          <w:szCs w:val="28"/>
        </w:rPr>
        <w:t>评标准则和评标方法</w:t>
      </w:r>
      <w:bookmarkEnd w:id="240"/>
      <w:bookmarkEnd w:id="241"/>
      <w:bookmarkEnd w:id="242"/>
      <w:bookmarkEnd w:id="243"/>
      <w:bookmarkEnd w:id="244"/>
      <w:bookmarkEnd w:id="245"/>
    </w:p>
    <w:p>
      <w:pPr>
        <w:adjustRightInd w:val="0"/>
        <w:snapToGrid w:val="0"/>
        <w:spacing w:line="560" w:lineRule="exact"/>
        <w:rPr>
          <w:szCs w:val="21"/>
        </w:rPr>
      </w:pPr>
      <w:r>
        <w:rPr>
          <w:rFonts w:hint="eastAsia"/>
          <w:szCs w:val="21"/>
        </w:rPr>
        <w:t>1.1 评标过程将遵循“公平、公正、科学、择优”的原则进行。</w:t>
      </w:r>
    </w:p>
    <w:p>
      <w:pPr>
        <w:adjustRightInd w:val="0"/>
        <w:snapToGrid w:val="0"/>
        <w:spacing w:line="560" w:lineRule="exact"/>
        <w:rPr>
          <w:szCs w:val="21"/>
        </w:rPr>
      </w:pPr>
      <w:r>
        <w:rPr>
          <w:rFonts w:hint="eastAsia"/>
          <w:szCs w:val="21"/>
        </w:rPr>
        <w:t>1.2 评标将严格按照招标文件的要求和条件进行。</w:t>
      </w:r>
    </w:p>
    <w:p>
      <w:pPr>
        <w:adjustRightInd w:val="0"/>
        <w:snapToGrid w:val="0"/>
        <w:spacing w:line="560" w:lineRule="exact"/>
        <w:rPr>
          <w:szCs w:val="21"/>
        </w:rPr>
      </w:pPr>
      <w:r>
        <w:rPr>
          <w:rFonts w:hint="eastAsia"/>
          <w:szCs w:val="21"/>
        </w:rPr>
        <w:t>1.3 本次评标采用综合评分法。</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46" w:name="_Toc13195"/>
      <w:bookmarkStart w:id="247" w:name="_Toc454147539"/>
      <w:bookmarkStart w:id="248" w:name="_Toc465502580"/>
      <w:bookmarkStart w:id="249" w:name="_Toc7951"/>
      <w:bookmarkStart w:id="250" w:name="_Toc466017208"/>
      <w:bookmarkStart w:id="251" w:name="_Toc15449"/>
      <w:r>
        <w:rPr>
          <w:rFonts w:hint="eastAsia" w:ascii="宋体" w:hAnsi="宋体" w:cs="仿宋_GB2312"/>
          <w:b/>
          <w:sz w:val="28"/>
          <w:szCs w:val="28"/>
        </w:rPr>
        <w:t>评审标准</w:t>
      </w:r>
      <w:bookmarkEnd w:id="246"/>
      <w:bookmarkEnd w:id="247"/>
      <w:bookmarkEnd w:id="248"/>
      <w:bookmarkEnd w:id="249"/>
      <w:bookmarkEnd w:id="250"/>
      <w:bookmarkEnd w:id="251"/>
    </w:p>
    <w:p>
      <w:pPr>
        <w:adjustRightInd w:val="0"/>
        <w:snapToGrid w:val="0"/>
        <w:spacing w:line="560" w:lineRule="exact"/>
        <w:rPr>
          <w:szCs w:val="21"/>
        </w:rPr>
      </w:pPr>
      <w:r>
        <w:rPr>
          <w:rFonts w:hint="eastAsia"/>
          <w:szCs w:val="21"/>
        </w:rPr>
        <w:t>2.1 资格评审标准：详见《评分办法前附表》中资格评审标准。</w:t>
      </w:r>
    </w:p>
    <w:p>
      <w:pPr>
        <w:adjustRightInd w:val="0"/>
        <w:snapToGrid w:val="0"/>
        <w:spacing w:line="560" w:lineRule="exact"/>
        <w:rPr>
          <w:szCs w:val="21"/>
        </w:rPr>
      </w:pPr>
      <w:r>
        <w:rPr>
          <w:rFonts w:hint="eastAsia"/>
          <w:szCs w:val="21"/>
        </w:rPr>
        <w:t>2.2 评分标准：详见《评分办法前附表》报价部分、技术部分、</w:t>
      </w:r>
      <w:r>
        <w:rPr>
          <w:rFonts w:hint="eastAsia"/>
          <w:szCs w:val="21"/>
          <w:lang w:eastAsia="zh-Hans"/>
        </w:rPr>
        <w:t>综合</w:t>
      </w:r>
      <w:r>
        <w:rPr>
          <w:rFonts w:hint="eastAsia"/>
          <w:szCs w:val="21"/>
        </w:rPr>
        <w:t>部分评审因素。</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52" w:name="_Toc19609"/>
      <w:bookmarkStart w:id="253" w:name="_Toc11065"/>
      <w:r>
        <w:rPr>
          <w:rFonts w:hint="eastAsia" w:ascii="宋体" w:hAnsi="宋体" w:cs="仿宋_GB2312"/>
          <w:b/>
          <w:sz w:val="28"/>
          <w:szCs w:val="28"/>
        </w:rPr>
        <w:t>评标程序</w:t>
      </w:r>
      <w:bookmarkEnd w:id="252"/>
      <w:bookmarkEnd w:id="253"/>
    </w:p>
    <w:p>
      <w:pPr>
        <w:adjustRightInd w:val="0"/>
        <w:snapToGrid w:val="0"/>
        <w:spacing w:line="560" w:lineRule="exact"/>
        <w:rPr>
          <w:b/>
          <w:bCs/>
          <w:sz w:val="24"/>
        </w:rPr>
      </w:pPr>
      <w:r>
        <w:rPr>
          <w:rFonts w:hint="eastAsia"/>
          <w:b/>
          <w:bCs/>
          <w:sz w:val="24"/>
        </w:rPr>
        <w:t>3.1初步评审</w:t>
      </w:r>
    </w:p>
    <w:p>
      <w:pPr>
        <w:adjustRightInd w:val="0"/>
        <w:snapToGrid w:val="0"/>
        <w:spacing w:line="560" w:lineRule="exact"/>
        <w:rPr>
          <w:lang w:val="zh-CN"/>
        </w:rPr>
      </w:pPr>
      <w:r>
        <w:rPr>
          <w:rFonts w:hint="eastAsia" w:ascii="Times New Roman" w:hAnsi="Times New Roman"/>
          <w:szCs w:val="21"/>
        </w:rPr>
        <w:t xml:space="preserve">3.11 </w:t>
      </w:r>
      <w:r>
        <w:rPr>
          <w:rFonts w:hint="eastAsia" w:ascii="Times New Roman" w:hAnsi="Times New Roman"/>
          <w:szCs w:val="21"/>
          <w:lang w:val="zh-CN"/>
        </w:rPr>
        <w:t>采购人或代理机构可以要求投标人提交第二章“投标人须知”规定的有关证明。采购人或代理机构依据本章第2.1款规定的标准对投标文件进行资格评审。有一项</w:t>
      </w:r>
      <w:r>
        <w:rPr>
          <w:rFonts w:hint="eastAsia"/>
          <w:lang w:val="zh-CN"/>
        </w:rPr>
        <w:t>不符合资格评审标准的，作无效投标处理。</w:t>
      </w:r>
    </w:p>
    <w:p>
      <w:pPr>
        <w:adjustRightInd w:val="0"/>
        <w:snapToGrid w:val="0"/>
        <w:spacing w:line="560" w:lineRule="exact"/>
        <w:rPr>
          <w:lang w:val="zh-CN"/>
        </w:rPr>
      </w:pPr>
      <w:r>
        <w:rPr>
          <w:rFonts w:hint="eastAsia"/>
        </w:rPr>
        <w:t xml:space="preserve">3.12 </w:t>
      </w:r>
      <w:r>
        <w:rPr>
          <w:rFonts w:hint="eastAsia"/>
          <w:lang w:val="zh-CN"/>
        </w:rPr>
        <w:t>投标文件属下列情况之一的，应当在资格性、符合性检查时按照无效投标处理：</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未按照招标文件规定要求签署、盖章的；</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不具备招标文件中规定资格要求的；</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不符合法律、法规和招标文件中规定的其他实质性要求的。</w:t>
      </w:r>
    </w:p>
    <w:p>
      <w:pPr>
        <w:adjustRightInd w:val="0"/>
        <w:snapToGrid w:val="0"/>
        <w:spacing w:line="560" w:lineRule="exact"/>
        <w:rPr>
          <w:lang w:val="zh-CN"/>
        </w:rPr>
      </w:pPr>
      <w:r>
        <w:rPr>
          <w:rFonts w:hint="eastAsia"/>
        </w:rPr>
        <w:t xml:space="preserve">3.13 </w:t>
      </w:r>
      <w:r>
        <w:rPr>
          <w:rFonts w:hint="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8"/>
        </w:numPr>
        <w:autoSpaceDE w:val="0"/>
        <w:autoSpaceDN w:val="0"/>
        <w:adjustRightInd w:val="0"/>
        <w:snapToGrid w:val="0"/>
        <w:spacing w:line="560" w:lineRule="exact"/>
        <w:jc w:val="left"/>
        <w:rPr>
          <w:rFonts w:ascii="宋体" w:hAnsi="宋体" w:cs="宋体"/>
        </w:rPr>
      </w:pPr>
      <w:r>
        <w:rPr>
          <w:rFonts w:hint="eastAsia" w:ascii="宋体" w:hAnsi="宋体" w:cs="宋体"/>
        </w:rPr>
        <w:t>投标文件中的大写金额与小写金额不一致的，以大写金额为准；</w:t>
      </w:r>
    </w:p>
    <w:p>
      <w:pPr>
        <w:numPr>
          <w:ilvl w:val="0"/>
          <w:numId w:val="8"/>
        </w:numPr>
        <w:autoSpaceDE w:val="0"/>
        <w:autoSpaceDN w:val="0"/>
        <w:adjustRightInd w:val="0"/>
        <w:snapToGrid w:val="0"/>
        <w:spacing w:line="560" w:lineRule="exact"/>
        <w:jc w:val="left"/>
        <w:rPr>
          <w:rFonts w:ascii="宋体" w:hAnsi="宋体" w:cs="宋体"/>
        </w:rPr>
      </w:pPr>
      <w:r>
        <w:rPr>
          <w:rFonts w:hint="eastAsia" w:ascii="宋体" w:hAnsi="宋体" w:cs="宋体"/>
        </w:rPr>
        <w:t>投标文件中开标一览表内容与投标文件中明细表内容不一致的，以开标一览表为准。</w:t>
      </w:r>
    </w:p>
    <w:p>
      <w:pPr>
        <w:adjustRightInd w:val="0"/>
        <w:snapToGrid w:val="0"/>
        <w:spacing w:line="560" w:lineRule="exact"/>
        <w:rPr>
          <w:b/>
          <w:bCs/>
          <w:sz w:val="24"/>
        </w:rPr>
      </w:pPr>
      <w:r>
        <w:rPr>
          <w:rFonts w:hint="eastAsia"/>
          <w:b/>
          <w:bCs/>
          <w:sz w:val="24"/>
        </w:rPr>
        <w:t>3.2 详细评审</w:t>
      </w:r>
    </w:p>
    <w:p>
      <w:pPr>
        <w:adjustRightInd w:val="0"/>
        <w:snapToGrid w:val="0"/>
        <w:spacing w:line="560" w:lineRule="exact"/>
        <w:rPr>
          <w:lang w:val="zh-CN"/>
        </w:rPr>
      </w:pPr>
      <w:r>
        <w:rPr>
          <w:rFonts w:hint="eastAsia"/>
        </w:rPr>
        <w:t xml:space="preserve">3.2.1 </w:t>
      </w:r>
      <w:r>
        <w:rPr>
          <w:rFonts w:hint="eastAsia"/>
          <w:lang w:val="zh-CN"/>
        </w:rPr>
        <w:t>评标委员会按本章第2.2款的评分标准进行打分，并计算出综合评审得分。</w:t>
      </w:r>
    </w:p>
    <w:p>
      <w:pPr>
        <w:adjustRightInd w:val="0"/>
        <w:snapToGrid w:val="0"/>
        <w:spacing w:line="560" w:lineRule="exact"/>
        <w:rPr>
          <w:lang w:val="zh-CN"/>
        </w:rPr>
      </w:pPr>
      <w:r>
        <w:rPr>
          <w:rFonts w:hint="eastAsia"/>
        </w:rPr>
        <w:t xml:space="preserve">3.2.2 </w:t>
      </w:r>
      <w:r>
        <w:rPr>
          <w:rFonts w:hint="eastAsia"/>
          <w:lang w:val="zh-CN"/>
        </w:rPr>
        <w:t>评标委员会发现投标人的投标总报价</w:t>
      </w:r>
      <w:r>
        <w:rPr>
          <w:rFonts w:hint="eastAsia"/>
        </w:rPr>
        <w:t>高</w:t>
      </w:r>
      <w:r>
        <w:rPr>
          <w:rFonts w:hint="eastAsia"/>
          <w:lang w:val="zh-CN"/>
        </w:rPr>
        <w:t>于</w:t>
      </w:r>
      <w:r>
        <w:rPr>
          <w:rFonts w:hint="eastAsia"/>
        </w:rPr>
        <w:t>招标文件规定的控制价</w:t>
      </w:r>
      <w:r>
        <w:rPr>
          <w:rFonts w:hint="eastAsia"/>
          <w:lang w:val="zh-CN"/>
        </w:rPr>
        <w:t>，评标委员会应按无效投标处理。</w:t>
      </w:r>
    </w:p>
    <w:p>
      <w:pPr>
        <w:adjustRightInd w:val="0"/>
        <w:snapToGrid w:val="0"/>
        <w:spacing w:line="560" w:lineRule="exact"/>
        <w:rPr>
          <w:b/>
          <w:bCs/>
          <w:sz w:val="24"/>
        </w:rPr>
      </w:pPr>
      <w:r>
        <w:rPr>
          <w:rFonts w:hint="eastAsia"/>
          <w:b/>
          <w:bCs/>
          <w:sz w:val="24"/>
        </w:rPr>
        <w:t>3.3 投标文件的澄清和补正</w:t>
      </w:r>
    </w:p>
    <w:p>
      <w:pPr>
        <w:adjustRightInd w:val="0"/>
        <w:snapToGrid w:val="0"/>
        <w:spacing w:line="560" w:lineRule="exact"/>
        <w:rPr>
          <w:lang w:val="zh-CN"/>
        </w:rPr>
      </w:pPr>
      <w:r>
        <w:rPr>
          <w:rFonts w:hint="eastAsia"/>
        </w:rPr>
        <w:t xml:space="preserve">3.3.1 </w:t>
      </w:r>
      <w:r>
        <w:rPr>
          <w:rFonts w:hint="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lang w:val="zh-CN"/>
        </w:rPr>
      </w:pPr>
      <w:r>
        <w:rPr>
          <w:rFonts w:hint="eastAsia"/>
        </w:rPr>
        <w:t xml:space="preserve">3.3.2 </w:t>
      </w:r>
      <w:r>
        <w:rPr>
          <w:rFonts w:hint="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b/>
          <w:bCs/>
          <w:sz w:val="24"/>
        </w:rPr>
      </w:pPr>
      <w:r>
        <w:rPr>
          <w:rFonts w:hint="eastAsia"/>
          <w:b/>
          <w:bCs/>
          <w:sz w:val="24"/>
        </w:rPr>
        <w:t>3.4 评标结果</w:t>
      </w:r>
    </w:p>
    <w:p>
      <w:pPr>
        <w:adjustRightInd w:val="0"/>
        <w:snapToGrid w:val="0"/>
        <w:spacing w:line="560" w:lineRule="exact"/>
      </w:pPr>
      <w:r>
        <w:rPr>
          <w:rFonts w:hint="eastAsia"/>
        </w:rPr>
        <w:t xml:space="preserve">3.4.1 </w:t>
      </w:r>
      <w:r>
        <w:rPr>
          <w:rFonts w:hint="eastAsia"/>
          <w:lang w:val="zh-CN"/>
        </w:rPr>
        <w:t>投标人得分=投标报价得分+</w:t>
      </w:r>
      <w:r>
        <w:rPr>
          <w:rFonts w:hint="eastAsia"/>
        </w:rPr>
        <w:t>技术部分得分</w:t>
      </w:r>
      <w:r>
        <w:rPr>
          <w:rFonts w:hint="eastAsia"/>
          <w:lang w:val="zh-CN"/>
        </w:rPr>
        <w:t>+</w:t>
      </w:r>
      <w:r>
        <w:rPr>
          <w:rFonts w:hint="eastAsia"/>
          <w:lang w:eastAsia="zh-Hans"/>
        </w:rPr>
        <w:t>综合</w:t>
      </w:r>
      <w:r>
        <w:rPr>
          <w:rFonts w:hint="eastAsia"/>
        </w:rPr>
        <w:t>部分得分</w:t>
      </w:r>
    </w:p>
    <w:p>
      <w:pPr>
        <w:adjustRightInd w:val="0"/>
        <w:snapToGrid w:val="0"/>
        <w:spacing w:line="560" w:lineRule="exact"/>
        <w:rPr>
          <w:lang w:val="zh-CN"/>
        </w:rPr>
      </w:pPr>
      <w:r>
        <w:rPr>
          <w:rFonts w:hint="eastAsia"/>
        </w:rPr>
        <w:t>3.4.2</w:t>
      </w:r>
      <w:r>
        <w:rPr>
          <w:rFonts w:hint="eastAsia"/>
          <w:lang w:val="zh-CN"/>
        </w:rPr>
        <w:t>投标人最终得分为评标委员会完成评审后所有评分的算术平均值，作为该投标人最终得分。</w:t>
      </w:r>
    </w:p>
    <w:p>
      <w:pPr>
        <w:adjustRightInd w:val="0"/>
        <w:snapToGrid w:val="0"/>
        <w:spacing w:line="560" w:lineRule="exact"/>
        <w:rPr>
          <w:lang w:val="zh-CN"/>
        </w:rPr>
      </w:pPr>
      <w:r>
        <w:rPr>
          <w:rFonts w:hint="eastAsia"/>
        </w:rPr>
        <w:t xml:space="preserve">3.4.3 </w:t>
      </w:r>
      <w:r>
        <w:rPr>
          <w:rFonts w:hint="eastAsia"/>
          <w:lang w:val="zh-CN"/>
        </w:rPr>
        <w:t>投标人最终得分相同的，投标报价</w:t>
      </w:r>
      <w:r>
        <w:rPr>
          <w:rFonts w:hint="eastAsia"/>
        </w:rPr>
        <w:t>低</w:t>
      </w:r>
      <w:r>
        <w:rPr>
          <w:rFonts w:hint="eastAsia"/>
          <w:lang w:val="zh-CN"/>
        </w:rPr>
        <w:t>的优先，</w:t>
      </w:r>
      <w:r>
        <w:rPr>
          <w:rFonts w:hint="eastAsia"/>
        </w:rPr>
        <w:t>投标报价也相同的以技术得分高的优先，技术得分也相同的由采购人自行确定</w:t>
      </w:r>
      <w:r>
        <w:rPr>
          <w:rFonts w:hint="eastAsia"/>
          <w:lang w:val="zh-CN"/>
        </w:rPr>
        <w:t>。</w:t>
      </w:r>
    </w:p>
    <w:p>
      <w:pPr>
        <w:adjustRightInd w:val="0"/>
        <w:snapToGrid w:val="0"/>
        <w:spacing w:line="560" w:lineRule="exact"/>
        <w:rPr>
          <w:lang w:val="zh-CN"/>
        </w:rPr>
      </w:pPr>
      <w:r>
        <w:rPr>
          <w:rFonts w:hint="eastAsia"/>
        </w:rPr>
        <w:t xml:space="preserve">3.4.4 </w:t>
      </w:r>
      <w:r>
        <w:rPr>
          <w:rFonts w:hint="eastAsia"/>
          <w:lang w:val="zh-CN"/>
        </w:rPr>
        <w:t>计分过程中按四舍五入的法则，最终结果取至小数点后两位。</w:t>
      </w:r>
    </w:p>
    <w:p>
      <w:pPr>
        <w:adjustRightInd w:val="0"/>
        <w:snapToGrid w:val="0"/>
        <w:spacing w:line="560" w:lineRule="exact"/>
        <w:rPr>
          <w:lang w:val="zh-CN"/>
        </w:rPr>
      </w:pPr>
      <w:r>
        <w:rPr>
          <w:rFonts w:hint="eastAsia"/>
        </w:rPr>
        <w:t xml:space="preserve">3.4.5 </w:t>
      </w:r>
      <w:r>
        <w:rPr>
          <w:rFonts w:hint="eastAsia"/>
          <w:lang w:val="zh-CN"/>
        </w:rPr>
        <w:t>评标委员会按照得分由高到低的顺序推荐</w:t>
      </w:r>
      <w:r>
        <w:rPr>
          <w:rFonts w:hint="eastAsia"/>
        </w:rPr>
        <w:t>1-3名</w:t>
      </w:r>
      <w:r>
        <w:rPr>
          <w:rFonts w:hint="eastAsia"/>
          <w:lang w:val="zh-CN"/>
        </w:rPr>
        <w:t>中标候选人。</w:t>
      </w:r>
    </w:p>
    <w:p>
      <w:pPr>
        <w:adjustRightInd w:val="0"/>
        <w:snapToGrid w:val="0"/>
        <w:spacing w:line="560" w:lineRule="exact"/>
        <w:rPr>
          <w:lang w:val="zh-CN"/>
        </w:rPr>
      </w:pPr>
      <w:r>
        <w:rPr>
          <w:rFonts w:hint="eastAsia"/>
        </w:rPr>
        <w:t xml:space="preserve">3.4.6 </w:t>
      </w:r>
      <w:r>
        <w:rPr>
          <w:rFonts w:hint="eastAsia"/>
          <w:lang w:val="zh-CN"/>
        </w:rPr>
        <w:t>评标委员会完成评标后，应当向采购人提交书面评标报告。</w:t>
      </w:r>
    </w:p>
    <w:p>
      <w:pPr>
        <w:adjustRightInd w:val="0"/>
        <w:snapToGrid w:val="0"/>
        <w:spacing w:line="560" w:lineRule="exact"/>
        <w:rPr>
          <w:b/>
          <w:bCs/>
          <w:sz w:val="24"/>
          <w:lang w:val="zh-CN"/>
        </w:rPr>
      </w:pPr>
      <w:r>
        <w:rPr>
          <w:rFonts w:hint="eastAsia"/>
          <w:b/>
          <w:bCs/>
          <w:sz w:val="24"/>
        </w:rPr>
        <w:t xml:space="preserve">3.5 </w:t>
      </w:r>
      <w:r>
        <w:rPr>
          <w:rFonts w:hint="eastAsia"/>
          <w:b/>
          <w:bCs/>
          <w:sz w:val="24"/>
          <w:lang w:val="zh-CN"/>
        </w:rPr>
        <w:t>顺延中标人或重新招标</w:t>
      </w:r>
    </w:p>
    <w:p>
      <w:pPr>
        <w:adjustRightInd w:val="0"/>
        <w:snapToGrid w:val="0"/>
        <w:spacing w:line="560" w:lineRule="exact"/>
        <w:rPr>
          <w:lang w:val="zh-CN"/>
        </w:rPr>
      </w:pPr>
      <w:r>
        <w:rPr>
          <w:rFonts w:hint="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b/>
          <w:bCs/>
          <w:sz w:val="24"/>
        </w:rPr>
      </w:pPr>
      <w:bookmarkStart w:id="254" w:name="_Toc19590"/>
      <w:bookmarkStart w:id="255" w:name="_Toc28863"/>
      <w:bookmarkStart w:id="256" w:name="_Toc7468"/>
      <w:bookmarkStart w:id="257" w:name="_Toc54"/>
      <w:bookmarkStart w:id="258" w:name="_Toc17922"/>
      <w:bookmarkStart w:id="259" w:name="_Toc11630"/>
      <w:bookmarkStart w:id="260" w:name="_Toc16293"/>
      <w:r>
        <w:rPr>
          <w:rFonts w:hint="eastAsia"/>
          <w:b/>
          <w:bCs/>
          <w:sz w:val="24"/>
        </w:rPr>
        <w:t>3.6 保密及其他注意事项</w:t>
      </w:r>
      <w:bookmarkEnd w:id="254"/>
      <w:bookmarkEnd w:id="255"/>
      <w:bookmarkEnd w:id="256"/>
      <w:bookmarkEnd w:id="257"/>
      <w:bookmarkEnd w:id="258"/>
      <w:bookmarkEnd w:id="259"/>
      <w:bookmarkEnd w:id="260"/>
    </w:p>
    <w:p>
      <w:pPr>
        <w:adjustRightInd w:val="0"/>
        <w:snapToGrid w:val="0"/>
        <w:spacing w:line="560" w:lineRule="exact"/>
        <w:rPr>
          <w:lang w:val="zh-CN"/>
        </w:rPr>
      </w:pPr>
      <w:r>
        <w:rPr>
          <w:rFonts w:hint="eastAsia"/>
        </w:rPr>
        <w:t xml:space="preserve">3.6.1 </w:t>
      </w:r>
      <w:r>
        <w:rPr>
          <w:rFonts w:hint="eastAsia"/>
          <w:lang w:val="zh-CN"/>
        </w:rPr>
        <w:t>在评标期间，投标企业不得向评标委员会成员询问评标情况，不得进行旨在影响中标结果的活动。</w:t>
      </w:r>
    </w:p>
    <w:p>
      <w:pPr>
        <w:adjustRightInd w:val="0"/>
        <w:snapToGrid w:val="0"/>
        <w:spacing w:line="560" w:lineRule="exact"/>
        <w:rPr>
          <w:lang w:val="zh-CN"/>
        </w:rPr>
      </w:pPr>
      <w:r>
        <w:rPr>
          <w:rFonts w:hint="eastAsia"/>
        </w:rPr>
        <w:t xml:space="preserve">3.6.2 </w:t>
      </w:r>
      <w:r>
        <w:rPr>
          <w:rFonts w:hint="eastAsia"/>
          <w:lang w:val="zh-CN"/>
        </w:rPr>
        <w:t>在评标结束后，凡与评标情况有接触的任何人不得也不应将评标情况扩散出评标委员会成员之外。</w:t>
      </w:r>
    </w:p>
    <w:p>
      <w:pPr>
        <w:adjustRightInd w:val="0"/>
        <w:snapToGrid w:val="0"/>
        <w:spacing w:line="560" w:lineRule="exact"/>
        <w:rPr>
          <w:rFonts w:ascii="方正小标宋简体" w:hAnsi="方正小标宋简体" w:eastAsia="方正小标宋简体" w:cs="方正小标宋简体"/>
          <w:sz w:val="44"/>
          <w:szCs w:val="44"/>
        </w:rPr>
      </w:pPr>
      <w:r>
        <w:rPr>
          <w:rFonts w:hint="eastAsia"/>
        </w:rPr>
        <w:t>3.6.3</w:t>
      </w:r>
      <w:r>
        <w:rPr>
          <w:rFonts w:hint="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4"/>
        <w:numPr>
          <w:ilvl w:val="0"/>
          <w:numId w:val="5"/>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61" w:name="_Toc7325"/>
      <w:r>
        <w:rPr>
          <w:rFonts w:hint="eastAsia" w:asciiTheme="minorEastAsia" w:hAnsiTheme="minorEastAsia" w:eastAsiaTheme="minorEastAsia" w:cstheme="minorEastAsia"/>
          <w:sz w:val="36"/>
          <w:szCs w:val="36"/>
        </w:rPr>
        <w:t>合同条款及格式</w:t>
      </w:r>
      <w:bookmarkEnd w:id="233"/>
      <w:bookmarkEnd w:id="234"/>
      <w:bookmarkEnd w:id="235"/>
      <w:bookmarkEnd w:id="261"/>
    </w:p>
    <w:p>
      <w:pPr>
        <w:rPr>
          <w:color w:val="FF0000"/>
        </w:rPr>
      </w:pPr>
      <w:r>
        <w:rPr>
          <w:rFonts w:hint="eastAsia"/>
        </w:rPr>
        <w:t xml:space="preserve">                                         </w:t>
      </w:r>
      <w:r>
        <w:rPr>
          <w:rFonts w:hint="eastAsia"/>
          <w:b/>
          <w:bCs/>
        </w:rPr>
        <w:t xml:space="preserve">  （仅供参考）</w:t>
      </w:r>
    </w:p>
    <w:p>
      <w:pPr>
        <w:adjustRightInd w:val="0"/>
        <w:spacing w:line="360" w:lineRule="auto"/>
        <w:ind w:firstLine="480" w:firstLineChars="200"/>
        <w:textAlignment w:val="baseline"/>
        <w:rPr>
          <w:rFonts w:ascii="宋体" w:hAnsi="宋体" w:cs="宋体"/>
          <w:color w:val="FF0000"/>
          <w:sz w:val="24"/>
        </w:rPr>
      </w:pPr>
      <w:bookmarkStart w:id="262" w:name="_Toc12807"/>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采购项目中标通知书，根据采购文件、投标文件的内容，并经双方协商一致，达成以下合同条款：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 xml:space="preserve">一、本合同所指货物为此次采购的货物（注明品名、规格、数量、单价等技术要求），合同总价款为 </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 xml:space="preserve">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乙方应于2022年 月 日前按甲方要求在</w:t>
      </w:r>
      <w:r>
        <w:rPr>
          <w:rFonts w:hint="eastAsia" w:ascii="宋体" w:hAnsi="宋体" w:cs="宋体"/>
          <w:sz w:val="24"/>
          <w:u w:val="single"/>
        </w:rPr>
        <w:t xml:space="preserve">         </w:t>
      </w:r>
      <w:r>
        <w:rPr>
          <w:rFonts w:hint="eastAsia" w:ascii="宋体" w:hAnsi="宋体" w:cs="宋体"/>
          <w:sz w:val="24"/>
        </w:rPr>
        <w:t>（甲方指定地点）将货物运送达到验收条件。货物运送产生的费用由乙方负责。由甲方组织相关人员进行验收。</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四、付款方式：</w:t>
      </w:r>
      <w:r>
        <w:rPr>
          <w:rFonts w:ascii="宋体" w:hAnsi="宋体" w:cs="宋体"/>
          <w:color w:val="auto"/>
          <w:sz w:val="24"/>
        </w:rPr>
        <w:t>采购人在全部货物安装调试完毕，货物验收合格后，</w:t>
      </w:r>
      <w:r>
        <w:rPr>
          <w:rFonts w:hint="eastAsia" w:ascii="宋体" w:hAnsi="宋体" w:cs="宋体"/>
          <w:color w:val="auto"/>
          <w:sz w:val="24"/>
        </w:rPr>
        <w:t>15个工作日内一次性</w:t>
      </w:r>
      <w:r>
        <w:rPr>
          <w:rFonts w:ascii="宋体" w:hAnsi="宋体" w:cs="宋体"/>
          <w:color w:val="auto"/>
          <w:sz w:val="24"/>
        </w:rPr>
        <w:t>支付中标人合同</w:t>
      </w:r>
      <w:r>
        <w:rPr>
          <w:rFonts w:hint="eastAsia" w:ascii="宋体" w:hAnsi="宋体" w:cs="宋体"/>
          <w:color w:val="auto"/>
          <w:sz w:val="24"/>
        </w:rPr>
        <w:t>金额的90%，三个月后支付合同金额的10%</w:t>
      </w:r>
      <w:r>
        <w:rPr>
          <w:rFonts w:ascii="宋体" w:hAnsi="宋体" w:cs="宋体"/>
          <w:color w:val="auto"/>
          <w:sz w:val="24"/>
        </w:rPr>
        <w:t>。</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五、违约责任：甲方无正当理由拒收货物、拒付货款的，向乙方偿付拒收拒付部分货物款总额的____0____违约金。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乙方不能交付货物的，乙方向甲方支付未交付部分货物款总额__0__违约金。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乙方不能交付货物或逾期交付货物而违约的，则需提供正当的书面声明，若无正当说明，除应及时交足货物外，应向甲方偿付逾期交货部分货款总额的万分之一/天的违约金，违约金总额不超出合同总金额的0%；</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w:t>
      </w:r>
    </w:p>
    <w:p>
      <w:pPr>
        <w:pStyle w:val="16"/>
        <w:outlineLvl w:val="0"/>
        <w:rPr>
          <w:b/>
          <w:bCs/>
          <w:sz w:val="32"/>
          <w:szCs w:val="32"/>
        </w:rPr>
      </w:pPr>
      <w:bookmarkStart w:id="263" w:name="_Toc18967"/>
    </w:p>
    <w:p>
      <w:pPr>
        <w:pStyle w:val="16"/>
        <w:outlineLvl w:val="0"/>
        <w:rPr>
          <w:b/>
          <w:bCs/>
          <w:sz w:val="32"/>
          <w:szCs w:val="32"/>
        </w:rPr>
      </w:pPr>
    </w:p>
    <w:p>
      <w:pPr>
        <w:pStyle w:val="16"/>
        <w:outlineLvl w:val="0"/>
        <w:rPr>
          <w:b/>
          <w:bCs/>
          <w:sz w:val="32"/>
          <w:szCs w:val="32"/>
        </w:rPr>
      </w:pPr>
    </w:p>
    <w:p>
      <w:pPr>
        <w:pStyle w:val="16"/>
        <w:outlineLvl w:val="0"/>
        <w:rPr>
          <w:b/>
          <w:bCs/>
          <w:sz w:val="32"/>
          <w:szCs w:val="32"/>
        </w:rPr>
      </w:pPr>
    </w:p>
    <w:p>
      <w:pPr>
        <w:pStyle w:val="24"/>
        <w:spacing w:line="600" w:lineRule="exact"/>
        <w:ind w:right="-63" w:rightChars="-30"/>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第五章    采购内容及技术</w:t>
      </w:r>
      <w:bookmarkEnd w:id="263"/>
      <w:r>
        <w:rPr>
          <w:rFonts w:hint="eastAsia" w:asciiTheme="minorEastAsia" w:hAnsiTheme="minorEastAsia" w:eastAsiaTheme="minorEastAsia" w:cstheme="minorEastAsia"/>
          <w:sz w:val="36"/>
          <w:szCs w:val="36"/>
        </w:rPr>
        <w:t>要求</w:t>
      </w:r>
      <w:bookmarkEnd w:id="262"/>
    </w:p>
    <w:tbl>
      <w:tblPr>
        <w:tblStyle w:val="26"/>
        <w:tblW w:w="5135" w:type="pct"/>
        <w:jc w:val="center"/>
        <w:tblLayout w:type="fixed"/>
        <w:tblCellMar>
          <w:top w:w="0" w:type="dxa"/>
          <w:left w:w="108" w:type="dxa"/>
          <w:bottom w:w="0" w:type="dxa"/>
          <w:right w:w="108" w:type="dxa"/>
        </w:tblCellMar>
      </w:tblPr>
      <w:tblGrid>
        <w:gridCol w:w="684"/>
        <w:gridCol w:w="800"/>
        <w:gridCol w:w="7278"/>
        <w:gridCol w:w="1001"/>
        <w:gridCol w:w="606"/>
      </w:tblGrid>
      <w:tr>
        <w:tblPrEx>
          <w:tblCellMar>
            <w:top w:w="0" w:type="dxa"/>
            <w:left w:w="108" w:type="dxa"/>
            <w:bottom w:w="0" w:type="dxa"/>
            <w:right w:w="108" w:type="dxa"/>
          </w:tblCellMar>
        </w:tblPrEx>
        <w:trPr>
          <w:trHeight w:val="286" w:hRule="atLeast"/>
          <w:jc w:val="center"/>
        </w:trPr>
        <w:tc>
          <w:tcPr>
            <w:tcW w:w="329" w:type="pct"/>
            <w:tcBorders>
              <w:top w:val="single" w:color="000000" w:sz="4" w:space="0"/>
              <w:left w:val="single" w:color="000000" w:sz="4" w:space="0"/>
              <w:bottom w:val="single" w:color="000000" w:sz="4" w:space="0"/>
              <w:right w:val="single" w:color="000000" w:sz="4" w:space="0"/>
            </w:tcBorders>
            <w:noWrap/>
            <w:vAlign w:val="center"/>
          </w:tcPr>
          <w:p>
            <w:pPr>
              <w:widowControl/>
              <w:spacing w:line="500" w:lineRule="exact"/>
              <w:jc w:val="left"/>
              <w:textAlignment w:val="center"/>
              <w:rPr>
                <w:rFonts w:ascii="宋体" w:hAnsi="宋体" w:cs="宋体"/>
                <w:sz w:val="24"/>
                <w:szCs w:val="24"/>
              </w:rPr>
            </w:pPr>
            <w:bookmarkStart w:id="264" w:name="_Toc403122572"/>
            <w:bookmarkStart w:id="265" w:name="_Toc7906"/>
            <w:bookmarkStart w:id="266" w:name="_Toc426369533"/>
            <w:r>
              <w:rPr>
                <w:rFonts w:hint="eastAsia" w:ascii="宋体" w:hAnsi="宋体" w:cs="宋体"/>
                <w:kern w:val="0"/>
                <w:sz w:val="24"/>
                <w:szCs w:val="24"/>
              </w:rPr>
              <w:t>序号</w:t>
            </w:r>
          </w:p>
        </w:tc>
        <w:tc>
          <w:tcPr>
            <w:tcW w:w="385"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ascii="宋体" w:hAnsi="宋体" w:cs="宋体"/>
                <w:sz w:val="22"/>
                <w:szCs w:val="24"/>
              </w:rPr>
            </w:pPr>
            <w:r>
              <w:rPr>
                <w:rFonts w:hint="eastAsia" w:ascii="宋体" w:hAnsi="宋体" w:cs="宋体"/>
                <w:kern w:val="0"/>
                <w:sz w:val="22"/>
                <w:szCs w:val="24"/>
              </w:rPr>
              <w:t>名称</w:t>
            </w:r>
          </w:p>
        </w:tc>
        <w:tc>
          <w:tcPr>
            <w:tcW w:w="3509"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hint="eastAsia" w:ascii="宋体" w:hAnsi="宋体" w:cs="宋体"/>
                <w:sz w:val="22"/>
                <w:szCs w:val="24"/>
              </w:rPr>
            </w:pPr>
            <w:r>
              <w:rPr>
                <w:rFonts w:hint="eastAsia" w:ascii="宋体" w:hAnsi="宋体" w:cs="宋体"/>
                <w:kern w:val="0"/>
                <w:sz w:val="22"/>
                <w:szCs w:val="24"/>
              </w:rPr>
              <w:t>技术参数要求</w:t>
            </w:r>
          </w:p>
        </w:tc>
        <w:tc>
          <w:tcPr>
            <w:tcW w:w="48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ascii="宋体" w:hAnsi="宋体" w:cs="宋体"/>
                <w:sz w:val="22"/>
                <w:szCs w:val="24"/>
              </w:rPr>
            </w:pPr>
            <w:r>
              <w:rPr>
                <w:rFonts w:hint="eastAsia" w:ascii="宋体" w:hAnsi="宋体" w:cs="宋体"/>
                <w:kern w:val="0"/>
                <w:sz w:val="22"/>
                <w:szCs w:val="24"/>
              </w:rPr>
              <w:t>数量</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ascii="宋体" w:hAnsi="宋体" w:cs="宋体"/>
                <w:sz w:val="22"/>
                <w:szCs w:val="24"/>
              </w:rPr>
            </w:pPr>
            <w:r>
              <w:rPr>
                <w:rFonts w:hint="eastAsia" w:ascii="宋体" w:hAnsi="宋体" w:cs="宋体"/>
                <w:kern w:val="0"/>
                <w:sz w:val="22"/>
                <w:szCs w:val="24"/>
              </w:rPr>
              <w:t>单位</w:t>
            </w:r>
          </w:p>
        </w:tc>
      </w:tr>
      <w:tr>
        <w:tblPrEx>
          <w:tblCellMar>
            <w:top w:w="0" w:type="dxa"/>
            <w:left w:w="108" w:type="dxa"/>
            <w:bottom w:w="0" w:type="dxa"/>
            <w:right w:w="108" w:type="dxa"/>
          </w:tblCellMar>
        </w:tblPrEx>
        <w:trPr>
          <w:trHeight w:val="627" w:hRule="atLeast"/>
          <w:jc w:val="center"/>
        </w:trPr>
        <w:tc>
          <w:tcPr>
            <w:tcW w:w="329" w:type="pct"/>
            <w:tcBorders>
              <w:top w:val="single" w:color="000000" w:sz="4" w:space="0"/>
              <w:left w:val="single" w:color="000000" w:sz="4" w:space="0"/>
              <w:bottom w:val="single" w:color="000000" w:sz="4" w:space="0"/>
              <w:right w:val="single" w:color="000000" w:sz="4" w:space="0"/>
            </w:tcBorders>
            <w:noWrap/>
            <w:vAlign w:val="center"/>
          </w:tcPr>
          <w:p>
            <w:pPr>
              <w:widowControl/>
              <w:spacing w:line="500" w:lineRule="exact"/>
              <w:jc w:val="center"/>
              <w:textAlignment w:val="center"/>
              <w:rPr>
                <w:rFonts w:ascii="宋体" w:hAnsi="宋体" w:cs="宋体"/>
                <w:szCs w:val="21"/>
              </w:rPr>
            </w:pPr>
            <w:r>
              <w:rPr>
                <w:rFonts w:hint="eastAsia" w:ascii="宋体" w:hAnsi="宋体" w:cs="宋体"/>
                <w:kern w:val="0"/>
                <w:szCs w:val="21"/>
              </w:rPr>
              <w:t>1</w:t>
            </w:r>
          </w:p>
        </w:tc>
        <w:tc>
          <w:tcPr>
            <w:tcW w:w="385"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ascii="宋体" w:hAnsi="宋体" w:cs="宋体"/>
                <w:szCs w:val="21"/>
              </w:rPr>
            </w:pPr>
            <w:r>
              <w:rPr>
                <w:rFonts w:hint="eastAsia" w:ascii="宋体" w:hAnsi="宋体" w:cs="宋体"/>
                <w:szCs w:val="21"/>
              </w:rPr>
              <w:t>血液透析滤过机（双泵机）</w:t>
            </w:r>
          </w:p>
        </w:tc>
        <w:tc>
          <w:tcPr>
            <w:tcW w:w="3509" w:type="pct"/>
            <w:tcBorders>
              <w:top w:val="single" w:color="000000" w:sz="4" w:space="0"/>
              <w:left w:val="single" w:color="000000" w:sz="4" w:space="0"/>
              <w:bottom w:val="single" w:color="000000" w:sz="4" w:space="0"/>
              <w:right w:val="single" w:color="000000" w:sz="4" w:space="0"/>
            </w:tcBorders>
            <w:noWrap w:val="0"/>
            <w:vAlign w:val="top"/>
          </w:tcPr>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cs="宋体"/>
                <w:szCs w:val="24"/>
              </w:rPr>
              <w:t>1、国内生产，显示屏＞14英寸彩色液晶触摸屏，全中文操作系统，可作碳酸氢盐、醋酸盐常规透析。血路管、原液配方等全开放。</w:t>
            </w:r>
          </w:p>
          <w:p>
            <w:pPr>
              <w:widowControl/>
              <w:spacing w:line="500" w:lineRule="exact"/>
              <w:jc w:val="left"/>
              <w:textAlignment w:val="top"/>
              <w:rPr>
                <w:rFonts w:hint="eastAsia" w:ascii="宋体" w:hAnsi="宋体" w:cs="宋体"/>
                <w:szCs w:val="24"/>
              </w:rPr>
            </w:pPr>
            <w:r>
              <w:rPr>
                <w:rFonts w:hint="eastAsia" w:ascii="宋体" w:hAnsi="宋体" w:cs="宋体"/>
                <w:szCs w:val="24"/>
              </w:rPr>
              <w:t>2、压力监测要求：</w:t>
            </w:r>
          </w:p>
          <w:p>
            <w:pPr>
              <w:widowControl/>
              <w:spacing w:line="500" w:lineRule="exact"/>
              <w:jc w:val="left"/>
              <w:textAlignment w:val="top"/>
              <w:rPr>
                <w:rFonts w:hint="eastAsia" w:ascii="宋体" w:hAnsi="宋体" w:cs="宋体"/>
                <w:szCs w:val="24"/>
              </w:rPr>
            </w:pPr>
            <w:r>
              <w:rPr>
                <w:rFonts w:hint="eastAsia" w:ascii="宋体" w:hAnsi="宋体" w:cs="宋体"/>
                <w:szCs w:val="24"/>
              </w:rPr>
              <w:t>动脉压监测范围：-300～＋400 mmHg，监测精度: ±10 mmHg</w:t>
            </w:r>
          </w:p>
          <w:p>
            <w:pPr>
              <w:widowControl/>
              <w:spacing w:line="500" w:lineRule="exact"/>
              <w:jc w:val="left"/>
              <w:textAlignment w:val="top"/>
              <w:rPr>
                <w:rFonts w:hint="eastAsia" w:ascii="宋体" w:hAnsi="宋体" w:cs="宋体"/>
                <w:szCs w:val="24"/>
              </w:rPr>
            </w:pPr>
            <w:r>
              <w:rPr>
                <w:rFonts w:hint="eastAsia" w:ascii="宋体" w:hAnsi="宋体" w:cs="宋体"/>
                <w:szCs w:val="24"/>
              </w:rPr>
              <w:t xml:space="preserve">静脉压监测范围: 0～＋350 mmHg，监测精度: ±10 mmHg </w:t>
            </w:r>
          </w:p>
          <w:p>
            <w:pPr>
              <w:numPr>
                <w:ilvl w:val="0"/>
                <w:numId w:val="0"/>
              </w:numPr>
              <w:spacing w:after="120" w:line="500" w:lineRule="exact"/>
              <w:rPr>
                <w:rFonts w:hint="eastAsia" w:ascii="宋体" w:hAnsi="宋体" w:cs="宋体"/>
                <w:szCs w:val="24"/>
                <w:lang w:val="en-US" w:eastAsia="zh-CN"/>
              </w:rPr>
            </w:pPr>
            <w:r>
              <w:rPr>
                <w:rFonts w:hint="eastAsia" w:ascii="宋体" w:hAnsi="宋体" w:cs="宋体"/>
                <w:szCs w:val="24"/>
              </w:rPr>
              <w:t>跨膜压监测范围: ﹣100mmHg～﹢700 mmHg，监测精度：±20 mmHg</w:t>
            </w:r>
            <w:r>
              <w:rPr>
                <w:rFonts w:hint="eastAsia" w:ascii="宋体" w:hAnsi="宋体" w:cs="宋体"/>
                <w:szCs w:val="24"/>
                <w:lang w:val="en-US" w:eastAsia="zh-CN"/>
              </w:rPr>
              <w:t xml:space="preserve">  </w:t>
            </w:r>
          </w:p>
          <w:p>
            <w:pPr>
              <w:widowControl/>
              <w:spacing w:line="500" w:lineRule="exact"/>
              <w:jc w:val="left"/>
              <w:textAlignment w:val="top"/>
              <w:rPr>
                <w:rFonts w:hint="eastAsia" w:ascii="宋体" w:hAnsi="宋体" w:eastAsia="宋体" w:cs="宋体"/>
                <w:szCs w:val="24"/>
              </w:rPr>
            </w:pPr>
            <w:r>
              <w:rPr>
                <w:rFonts w:hint="eastAsia" w:ascii="宋体" w:hAnsi="宋体" w:cs="宋体"/>
                <w:szCs w:val="24"/>
                <w:lang w:val="en-US" w:eastAsia="zh-CN"/>
              </w:rPr>
              <w:t>3、</w:t>
            </w:r>
            <w:r>
              <w:rPr>
                <w:rFonts w:hint="eastAsia" w:ascii="宋体" w:hAnsi="宋体" w:eastAsia="宋体" w:cs="宋体"/>
                <w:szCs w:val="24"/>
              </w:rPr>
              <w:t>透析液要求：</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rPr>
              <w:t>透析液流量: 300～750ml/min, 10ml可调</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rPr>
              <w:t>温度范围: 33℃～40℃</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rPr>
              <w:t>导电率监测范围: 12.5～16ms/cm</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rPr>
              <w:t>具有反馈式电导度监测及配比机制，可分别监测B液电导度与总电导度</w:t>
            </w:r>
            <w:r>
              <w:rPr>
                <w:rFonts w:hint="eastAsia" w:ascii="宋体" w:hAnsi="宋体" w:eastAsia="宋体" w:cs="宋体"/>
                <w:szCs w:val="24"/>
                <w:lang w:val="en-US" w:eastAsia="zh-CN"/>
              </w:rPr>
              <w:t>。</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4、</w:t>
            </w:r>
            <w:r>
              <w:rPr>
                <w:rFonts w:hint="eastAsia" w:ascii="宋体" w:hAnsi="宋体" w:eastAsia="宋体" w:cs="宋体"/>
                <w:szCs w:val="24"/>
              </w:rPr>
              <w:t>有自动待机功能，透析液流量可降至0ml/min。</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5、超滤控制要求：</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超滤方式: 容量式平衡腔控制，（可探测膜位移）。</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超滤率: 0～4L/h，精度: ±1.0%。</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 xml:space="preserve">6、置换液流量范围: 20-400ml/min。 </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7、</w:t>
            </w:r>
            <w:r>
              <w:rPr>
                <w:rFonts w:hint="eastAsia" w:ascii="宋体" w:hAnsi="宋体" w:eastAsia="宋体" w:cs="宋体"/>
                <w:szCs w:val="24"/>
              </w:rPr>
              <w:t>血泵流量：0～600ml/min</w:t>
            </w:r>
            <w:r>
              <w:rPr>
                <w:rFonts w:hint="eastAsia" w:ascii="宋体" w:hAnsi="宋体" w:eastAsia="宋体" w:cs="宋体"/>
                <w:szCs w:val="24"/>
                <w:lang w:val="en-US" w:eastAsia="zh-CN"/>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8、</w:t>
            </w:r>
            <w:r>
              <w:rPr>
                <w:rFonts w:hint="eastAsia" w:ascii="宋体" w:hAnsi="宋体" w:eastAsia="宋体" w:cs="宋体"/>
                <w:szCs w:val="24"/>
              </w:rPr>
              <w:t>肝素注射：可编定停止时间，读取累计肝素容量，肝素泵有自动注入和追加功能。流速：1～10 ml/h。</w:t>
            </w:r>
            <w:r>
              <w:rPr>
                <w:rFonts w:hint="eastAsia" w:ascii="宋体" w:hAnsi="宋体" w:eastAsia="宋体" w:cs="宋体"/>
                <w:szCs w:val="24"/>
                <w:lang w:val="en-US" w:eastAsia="zh-CN"/>
              </w:rPr>
              <w:t xml:space="preserve">   </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9、</w:t>
            </w:r>
            <w:r>
              <w:rPr>
                <w:rFonts w:hint="eastAsia" w:ascii="宋体" w:hAnsi="宋体" w:eastAsia="宋体" w:cs="宋体"/>
                <w:szCs w:val="24"/>
              </w:rPr>
              <w:t xml:space="preserve">可提供超滤量、钠离子、碳酸盐、肝素、透析液流量等多种曲线自定义功能，提供个性化透析方案 </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10、</w:t>
            </w:r>
            <w:r>
              <w:rPr>
                <w:rFonts w:hint="eastAsia" w:ascii="宋体" w:hAnsi="宋体" w:eastAsia="宋体" w:cs="宋体"/>
                <w:szCs w:val="24"/>
              </w:rPr>
              <w:t xml:space="preserve">漏血检测与报警: 超声或光学原理检测 </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11、</w:t>
            </w:r>
            <w:r>
              <w:rPr>
                <w:rFonts w:hint="eastAsia" w:ascii="宋体" w:hAnsi="宋体" w:eastAsia="宋体" w:cs="宋体"/>
                <w:szCs w:val="24"/>
              </w:rPr>
              <w:t>标配原装透析液过滤器及支架，每支透析液过滤器可使用＞140人次</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12、</w:t>
            </w:r>
            <w:r>
              <w:rPr>
                <w:rFonts w:hint="eastAsia" w:ascii="宋体" w:hAnsi="宋体" w:eastAsia="宋体" w:cs="宋体"/>
                <w:szCs w:val="24"/>
              </w:rPr>
              <w:t>设备具备热、化学方式消毒，可脱钙消毒同时完成，并可保存消毒记录</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13、</w:t>
            </w:r>
            <w:r>
              <w:rPr>
                <w:rFonts w:hint="eastAsia" w:ascii="宋体" w:hAnsi="宋体" w:eastAsia="宋体" w:cs="宋体"/>
                <w:szCs w:val="24"/>
              </w:rPr>
              <w:t>标配充分性监测装置: 显示Kt/V值,为临床医生提供治疗有益数据及参考。</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14、</w:t>
            </w:r>
            <w:r>
              <w:rPr>
                <w:rFonts w:hint="eastAsia" w:ascii="宋体" w:hAnsi="宋体" w:eastAsia="宋体" w:cs="宋体"/>
                <w:szCs w:val="24"/>
              </w:rPr>
              <w:t>透析过程中，具有快速精准补液功能，总补液量可以自动累计计算。</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15、</w:t>
            </w:r>
            <w:r>
              <w:rPr>
                <w:rFonts w:hint="eastAsia" w:ascii="宋体" w:hAnsi="宋体" w:eastAsia="宋体" w:cs="宋体"/>
                <w:szCs w:val="24"/>
              </w:rPr>
              <w:t>可保存治疗方案与治疗结果，自动保存≥15次病人治疗记录</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16、</w:t>
            </w:r>
            <w:r>
              <w:rPr>
                <w:rFonts w:hint="eastAsia" w:ascii="宋体" w:hAnsi="宋体" w:eastAsia="宋体" w:cs="宋体"/>
                <w:szCs w:val="24"/>
              </w:rPr>
              <w:t>水供应要求：水压：0.5-6.0bar，入水温度：10-30度</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17、</w:t>
            </w:r>
            <w:r>
              <w:rPr>
                <w:rFonts w:hint="eastAsia" w:ascii="宋体" w:hAnsi="宋体" w:eastAsia="宋体" w:cs="宋体"/>
                <w:szCs w:val="24"/>
              </w:rPr>
              <w:t>安全要求: 符合GB9706.1，GB9706.2安全标准且机器具有完备的自检功能，可以故障自我诊断，机器具有维修菜单。</w:t>
            </w:r>
          </w:p>
          <w:p>
            <w:pPr>
              <w:widowControl/>
              <w:spacing w:line="500" w:lineRule="exact"/>
              <w:jc w:val="left"/>
              <w:textAlignment w:val="top"/>
              <w:rPr>
                <w:rFonts w:hint="eastAsia" w:ascii="宋体" w:hAnsi="宋体" w:eastAsia="宋体" w:cs="宋体"/>
                <w:szCs w:val="24"/>
                <w:lang w:eastAsia="zh-CN"/>
              </w:rPr>
            </w:pPr>
            <w:r>
              <w:rPr>
                <w:rFonts w:hint="eastAsia" w:ascii="宋体" w:hAnsi="宋体" w:eastAsia="宋体" w:cs="宋体"/>
                <w:szCs w:val="24"/>
                <w:lang w:val="en-US" w:eastAsia="zh-CN"/>
              </w:rPr>
              <w:t>18、</w:t>
            </w:r>
            <w:r>
              <w:rPr>
                <w:rFonts w:hint="eastAsia" w:ascii="宋体" w:hAnsi="宋体" w:eastAsia="宋体" w:cs="宋体"/>
                <w:szCs w:val="24"/>
              </w:rPr>
              <w:t>电源: 交流230V±10%(或220V),频率50～60Hz</w:t>
            </w:r>
            <w:r>
              <w:rPr>
                <w:rFonts w:hint="eastAsia" w:ascii="宋体" w:hAnsi="宋体" w:eastAsia="宋体" w:cs="宋体"/>
                <w:szCs w:val="24"/>
                <w:lang w:eastAsia="zh-CN"/>
              </w:rPr>
              <w:t>。</w:t>
            </w:r>
          </w:p>
          <w:p>
            <w:pPr>
              <w:widowControl/>
              <w:spacing w:line="500" w:lineRule="exact"/>
              <w:jc w:val="left"/>
              <w:textAlignment w:val="top"/>
              <w:rPr>
                <w:rFonts w:hint="eastAsia" w:ascii="Book Antiqua" w:hAnsi="Book Antiqua" w:eastAsia="宋体"/>
                <w:szCs w:val="24"/>
                <w:lang w:val="en-US" w:eastAsia="zh-CN"/>
              </w:rPr>
            </w:pPr>
            <w:r>
              <w:rPr>
                <w:rFonts w:hint="eastAsia" w:ascii="宋体" w:hAnsi="宋体" w:eastAsia="宋体" w:cs="宋体"/>
                <w:szCs w:val="24"/>
                <w:lang w:val="en-US" w:eastAsia="zh-CN"/>
              </w:rPr>
              <w:t>19、</w:t>
            </w:r>
            <w:r>
              <w:rPr>
                <w:rFonts w:hint="eastAsia" w:ascii="宋体" w:hAnsi="宋体" w:eastAsia="宋体" w:cs="宋体"/>
                <w:szCs w:val="24"/>
              </w:rPr>
              <w:t>后备电池: 标配内置电池,保证机器停电后使用≥20分钟,并且不丢失数据;同时压力监测，漏血和气泡检测正常工作</w:t>
            </w:r>
            <w:r>
              <w:rPr>
                <w:rFonts w:hint="eastAsia" w:ascii="宋体" w:hAnsi="宋体" w:eastAsia="宋体" w:cs="宋体"/>
                <w:szCs w:val="24"/>
                <w:lang w:eastAsia="zh-CN"/>
              </w:rPr>
              <w:t>。</w:t>
            </w:r>
          </w:p>
        </w:tc>
        <w:tc>
          <w:tcPr>
            <w:tcW w:w="48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hint="eastAsia" w:ascii="宋体" w:hAnsi="宋体" w:eastAsia="宋体" w:cs="宋体"/>
                <w:szCs w:val="21"/>
                <w:lang w:eastAsia="zh-CN"/>
              </w:rPr>
            </w:pPr>
            <w:r>
              <w:rPr>
                <w:rFonts w:hint="eastAsia" w:ascii="宋体" w:hAnsi="宋体" w:cs="宋体"/>
                <w:kern w:val="0"/>
                <w:sz w:val="24"/>
                <w:szCs w:val="24"/>
                <w:lang w:val="en-US" w:eastAsia="zh-CN"/>
              </w:rPr>
              <w:t>2</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hint="eastAsia" w:ascii="宋体" w:hAnsi="宋体" w:eastAsia="宋体" w:cs="宋体"/>
                <w:szCs w:val="21"/>
                <w:lang w:eastAsia="zh-CN"/>
              </w:rPr>
            </w:pPr>
            <w:r>
              <w:rPr>
                <w:rFonts w:hint="eastAsia" w:ascii="宋体" w:hAnsi="宋体" w:cs="宋体"/>
                <w:kern w:val="0"/>
                <w:szCs w:val="21"/>
                <w:lang w:val="en-US" w:eastAsia="zh-CN"/>
              </w:rPr>
              <w:t>台</w:t>
            </w:r>
          </w:p>
        </w:tc>
      </w:tr>
      <w:tr>
        <w:tblPrEx>
          <w:tblCellMar>
            <w:top w:w="0" w:type="dxa"/>
            <w:left w:w="108" w:type="dxa"/>
            <w:bottom w:w="0" w:type="dxa"/>
            <w:right w:w="108" w:type="dxa"/>
          </w:tblCellMar>
        </w:tblPrEx>
        <w:trPr>
          <w:trHeight w:val="627" w:hRule="atLeast"/>
          <w:jc w:val="center"/>
        </w:trPr>
        <w:tc>
          <w:tcPr>
            <w:tcW w:w="329" w:type="pct"/>
            <w:tcBorders>
              <w:top w:val="single" w:color="000000" w:sz="4" w:space="0"/>
              <w:left w:val="single" w:color="000000" w:sz="4" w:space="0"/>
              <w:bottom w:val="single" w:color="000000" w:sz="4" w:space="0"/>
              <w:right w:val="single" w:color="000000" w:sz="4" w:space="0"/>
            </w:tcBorders>
            <w:noWrap/>
            <w:vAlign w:val="center"/>
          </w:tcPr>
          <w:p>
            <w:pPr>
              <w:widowControl/>
              <w:spacing w:line="500" w:lineRule="exact"/>
              <w:jc w:val="center"/>
              <w:textAlignment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385"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ascii="宋体" w:hAnsi="宋体" w:cs="宋体"/>
                <w:szCs w:val="21"/>
              </w:rPr>
            </w:pPr>
            <w:r>
              <w:rPr>
                <w:rFonts w:hint="eastAsia" w:ascii="宋体" w:hAnsi="宋体" w:cs="宋体"/>
                <w:szCs w:val="21"/>
              </w:rPr>
              <w:t>血液透析机（单泵机）</w:t>
            </w:r>
          </w:p>
        </w:tc>
        <w:tc>
          <w:tcPr>
            <w:tcW w:w="3509" w:type="pct"/>
            <w:tcBorders>
              <w:top w:val="single" w:color="000000" w:sz="4" w:space="0"/>
              <w:left w:val="single" w:color="000000" w:sz="4" w:space="0"/>
              <w:bottom w:val="single" w:color="000000" w:sz="4" w:space="0"/>
              <w:right w:val="single" w:color="000000" w:sz="4" w:space="0"/>
            </w:tcBorders>
            <w:noWrap w:val="0"/>
            <w:vAlign w:val="top"/>
          </w:tcPr>
          <w:p>
            <w:pPr>
              <w:widowControl/>
              <w:numPr>
                <w:ilvl w:val="0"/>
                <w:numId w:val="9"/>
              </w:numPr>
              <w:spacing w:line="500" w:lineRule="exact"/>
              <w:jc w:val="left"/>
              <w:textAlignment w:val="top"/>
              <w:rPr>
                <w:rFonts w:hint="eastAsia" w:ascii="宋体" w:hAnsi="宋体" w:cs="宋体"/>
                <w:szCs w:val="24"/>
              </w:rPr>
            </w:pPr>
            <w:r>
              <w:rPr>
                <w:rFonts w:hint="eastAsia" w:ascii="宋体" w:hAnsi="宋体" w:cs="宋体"/>
                <w:szCs w:val="24"/>
              </w:rPr>
              <w:t>国内生产，显示屏＞14英寸彩色液晶触摸屏，全中文操作及显示系统，可作碳酸氢盐、醋酸盐常规透析。血路管、原液配方等全开放。</w:t>
            </w:r>
          </w:p>
          <w:p>
            <w:pPr>
              <w:numPr>
                <w:ilvl w:val="0"/>
                <w:numId w:val="0"/>
              </w:numPr>
              <w:spacing w:after="120" w:line="500" w:lineRule="exact"/>
              <w:rPr>
                <w:rFonts w:hint="eastAsia" w:ascii="宋体" w:hAnsi="宋体" w:cs="宋体"/>
                <w:szCs w:val="24"/>
              </w:rPr>
            </w:pPr>
            <w:r>
              <w:rPr>
                <w:rFonts w:hint="eastAsia" w:ascii="宋体" w:hAnsi="宋体" w:cs="宋体"/>
                <w:szCs w:val="24"/>
              </w:rPr>
              <w:t>2、压力监测要求：</w:t>
            </w:r>
          </w:p>
          <w:p>
            <w:pPr>
              <w:numPr>
                <w:ilvl w:val="0"/>
                <w:numId w:val="0"/>
              </w:numPr>
              <w:spacing w:after="120" w:line="500" w:lineRule="exact"/>
              <w:rPr>
                <w:rFonts w:hint="eastAsia" w:ascii="宋体" w:hAnsi="宋体" w:eastAsia="宋体" w:cs="宋体"/>
                <w:szCs w:val="24"/>
                <w:lang w:eastAsia="zh-CN"/>
              </w:rPr>
            </w:pPr>
            <w:r>
              <w:rPr>
                <w:rFonts w:hint="eastAsia" w:ascii="宋体" w:hAnsi="宋体" w:cs="宋体"/>
                <w:szCs w:val="24"/>
              </w:rPr>
              <w:t>动脉压监测范围：-400～＋400 mmHg，监测精度: ±10 mmHg</w:t>
            </w:r>
            <w:r>
              <w:rPr>
                <w:rFonts w:hint="eastAsia" w:ascii="宋体" w:hAnsi="宋体" w:cs="宋体"/>
                <w:szCs w:val="24"/>
                <w:lang w:eastAsia="zh-CN"/>
              </w:rPr>
              <w:t>。</w:t>
            </w:r>
          </w:p>
          <w:p>
            <w:pPr>
              <w:numPr>
                <w:ilvl w:val="0"/>
                <w:numId w:val="0"/>
              </w:numPr>
              <w:spacing w:after="120" w:line="500" w:lineRule="exact"/>
              <w:rPr>
                <w:rFonts w:hint="eastAsia" w:ascii="宋体" w:hAnsi="宋体" w:eastAsia="宋体" w:cs="宋体"/>
                <w:szCs w:val="24"/>
                <w:lang w:eastAsia="zh-CN"/>
              </w:rPr>
            </w:pPr>
            <w:r>
              <w:rPr>
                <w:rFonts w:hint="eastAsia" w:ascii="宋体" w:hAnsi="宋体" w:cs="宋体"/>
                <w:szCs w:val="24"/>
              </w:rPr>
              <w:t xml:space="preserve">静脉压监测范围: -50～＋390 mmHg，监测精度: ±10 mmHg </w:t>
            </w:r>
            <w:r>
              <w:rPr>
                <w:rFonts w:hint="eastAsia" w:ascii="宋体" w:hAnsi="宋体" w:cs="宋体"/>
                <w:szCs w:val="24"/>
                <w:lang w:eastAsia="zh-CN"/>
              </w:rPr>
              <w:t>。</w:t>
            </w:r>
          </w:p>
          <w:p>
            <w:pPr>
              <w:numPr>
                <w:ilvl w:val="0"/>
                <w:numId w:val="0"/>
              </w:numPr>
              <w:spacing w:after="120" w:line="500" w:lineRule="exact"/>
              <w:rPr>
                <w:rFonts w:hint="eastAsia" w:ascii="宋体" w:hAnsi="宋体" w:eastAsia="宋体" w:cs="宋体"/>
                <w:szCs w:val="24"/>
                <w:lang w:val="en-US" w:eastAsia="zh-CN"/>
              </w:rPr>
            </w:pPr>
            <w:r>
              <w:rPr>
                <w:rFonts w:hint="eastAsia" w:ascii="宋体" w:hAnsi="宋体" w:cs="宋体"/>
                <w:szCs w:val="24"/>
              </w:rPr>
              <w:t>跨膜压监测范围: ﹣100mmHg～﹢700 mmHg，监测精度：±20 mmHg</w:t>
            </w:r>
            <w:r>
              <w:rPr>
                <w:rFonts w:hint="eastAsia" w:ascii="宋体" w:hAnsi="宋体" w:cs="宋体"/>
                <w:szCs w:val="24"/>
                <w:lang w:eastAsia="zh-CN"/>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3、透析液要求：</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透析液流量: 300～750ml/min, 10ml可调。</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温度范围: 33℃～40℃。</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4、导电率监测范围: 12.5～16ms/cm。</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反馈式电导度监测及配比机制，可分别监测B液电导度与总电导度。</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5、预冲后可自动待机，透析液流量可降至0ml/min。</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6、超滤控制要求：</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超滤方式: 容量式平衡腔控制。</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超滤率: 0～4L/h，精度: ±1.0%。</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7、血泵流量：0～600ml/min。</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 xml:space="preserve">8、肝素注射：可编定停止时间，读取累计肝素容量，肝素泵具备自动注入和追加功能。流速：1～10 ml/h可调。   </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9、可提供超滤量、钠离子、碳酸盐、肝素、透析液流量等多种曲线自定义功能，提供个性化透析方案。</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10、</w:t>
            </w:r>
            <w:r>
              <w:rPr>
                <w:rFonts w:hint="eastAsia" w:ascii="宋体" w:hAnsi="宋体" w:eastAsia="宋体" w:cs="宋体"/>
                <w:szCs w:val="24"/>
              </w:rPr>
              <w:t>漏血检测与报警: 超声或光学原理检测</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eastAsia="zh-CN"/>
              </w:rPr>
            </w:pPr>
            <w:r>
              <w:rPr>
                <w:rFonts w:hint="eastAsia" w:ascii="宋体" w:hAnsi="宋体" w:eastAsia="宋体" w:cs="宋体"/>
                <w:szCs w:val="24"/>
                <w:lang w:val="en-US" w:eastAsia="zh-CN"/>
              </w:rPr>
              <w:t>11、</w:t>
            </w:r>
            <w:r>
              <w:rPr>
                <w:rFonts w:hint="eastAsia" w:ascii="宋体" w:hAnsi="宋体" w:eastAsia="宋体" w:cs="宋体"/>
                <w:szCs w:val="24"/>
              </w:rPr>
              <w:t>标配原装透析液过滤器及支架，每支透析液过滤器可使用＞140人次</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12、</w:t>
            </w:r>
            <w:r>
              <w:rPr>
                <w:rFonts w:hint="eastAsia" w:ascii="宋体" w:hAnsi="宋体" w:eastAsia="宋体" w:cs="宋体"/>
                <w:szCs w:val="24"/>
              </w:rPr>
              <w:t>设备具备热、化学方式消毒，可脱钙消毒同时完成，并可保存消毒记录</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13、</w:t>
            </w:r>
            <w:r>
              <w:rPr>
                <w:rFonts w:hint="eastAsia" w:ascii="宋体" w:hAnsi="宋体" w:eastAsia="宋体" w:cs="宋体"/>
                <w:szCs w:val="24"/>
              </w:rPr>
              <w:t>标配充分性监测装置: 显示Kt/V值,为临床医生提供治疗有益数据及参考。</w:t>
            </w:r>
          </w:p>
          <w:p>
            <w:pPr>
              <w:widowControl/>
              <w:spacing w:line="500" w:lineRule="exact"/>
              <w:jc w:val="left"/>
              <w:textAlignment w:val="top"/>
              <w:rPr>
                <w:rFonts w:hint="eastAsia" w:ascii="宋体" w:hAnsi="宋体" w:eastAsia="宋体" w:cs="宋体"/>
                <w:szCs w:val="24"/>
              </w:rPr>
            </w:pPr>
            <w:r>
              <w:rPr>
                <w:rFonts w:hint="eastAsia" w:ascii="宋体" w:hAnsi="宋体" w:eastAsia="宋体" w:cs="宋体"/>
                <w:szCs w:val="24"/>
                <w:lang w:val="en-US" w:eastAsia="zh-CN"/>
              </w:rPr>
              <w:t>14、透析过程中，具有快速精准补液功能，可以自动累计计算总补液量</w:t>
            </w:r>
            <w:r>
              <w:rPr>
                <w:rFonts w:hint="eastAsia" w:ascii="宋体" w:hAnsi="宋体" w:eastAsia="宋体" w:cs="宋体"/>
                <w:szCs w:val="24"/>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15、</w:t>
            </w:r>
            <w:r>
              <w:rPr>
                <w:rFonts w:hint="eastAsia" w:ascii="宋体" w:hAnsi="宋体" w:eastAsia="宋体" w:cs="宋体"/>
                <w:szCs w:val="24"/>
              </w:rPr>
              <w:t>可保存治疗方案与治疗结果，自动保存≥15次病人治疗记录</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eastAsia="zh-CN"/>
              </w:rPr>
            </w:pPr>
            <w:r>
              <w:rPr>
                <w:rFonts w:hint="eastAsia" w:ascii="宋体" w:hAnsi="宋体" w:eastAsia="宋体" w:cs="宋体"/>
                <w:szCs w:val="24"/>
                <w:lang w:val="en-US" w:eastAsia="zh-CN"/>
              </w:rPr>
              <w:t>16、</w:t>
            </w:r>
            <w:r>
              <w:rPr>
                <w:rFonts w:hint="eastAsia" w:ascii="宋体" w:hAnsi="宋体" w:eastAsia="宋体" w:cs="宋体"/>
                <w:szCs w:val="24"/>
              </w:rPr>
              <w:t>水供应要求：水压：0.5-6.0bar，入水温度：10-30度</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val="en-US" w:eastAsia="zh-CN"/>
              </w:rPr>
            </w:pPr>
            <w:r>
              <w:rPr>
                <w:rFonts w:hint="eastAsia" w:ascii="宋体" w:hAnsi="宋体" w:eastAsia="宋体" w:cs="宋体"/>
                <w:szCs w:val="24"/>
                <w:lang w:val="en-US" w:eastAsia="zh-CN"/>
              </w:rPr>
              <w:t>17、</w:t>
            </w:r>
            <w:r>
              <w:rPr>
                <w:rFonts w:hint="eastAsia" w:ascii="宋体" w:hAnsi="宋体" w:eastAsia="宋体" w:cs="宋体"/>
                <w:szCs w:val="24"/>
              </w:rPr>
              <w:t>安全要求: 符合GB9706.1，GB9706.2安全标准且机器具有完备的自检功能，可以故障自我诊断，机器具有维修菜单。</w:t>
            </w:r>
          </w:p>
          <w:p>
            <w:pPr>
              <w:widowControl/>
              <w:spacing w:line="500" w:lineRule="exact"/>
              <w:jc w:val="left"/>
              <w:textAlignment w:val="top"/>
              <w:rPr>
                <w:rFonts w:hint="eastAsia" w:ascii="宋体" w:hAnsi="宋体" w:eastAsia="宋体" w:cs="宋体"/>
                <w:szCs w:val="24"/>
                <w:lang w:eastAsia="zh-CN"/>
              </w:rPr>
            </w:pPr>
            <w:r>
              <w:rPr>
                <w:rFonts w:hint="eastAsia" w:ascii="宋体" w:hAnsi="宋体" w:eastAsia="宋体" w:cs="宋体"/>
                <w:szCs w:val="24"/>
                <w:lang w:val="en-US" w:eastAsia="zh-CN"/>
              </w:rPr>
              <w:t>18、</w:t>
            </w:r>
            <w:r>
              <w:rPr>
                <w:rFonts w:hint="eastAsia" w:ascii="宋体" w:hAnsi="宋体" w:eastAsia="宋体" w:cs="宋体"/>
                <w:szCs w:val="24"/>
              </w:rPr>
              <w:t>电源: 交流230V±10%(或220V),频率50～60Hz</w:t>
            </w:r>
            <w:r>
              <w:rPr>
                <w:rFonts w:hint="eastAsia" w:ascii="宋体" w:hAnsi="宋体" w:eastAsia="宋体" w:cs="宋体"/>
                <w:szCs w:val="24"/>
                <w:lang w:eastAsia="zh-CN"/>
              </w:rPr>
              <w:t>。</w:t>
            </w:r>
          </w:p>
          <w:p>
            <w:pPr>
              <w:widowControl/>
              <w:spacing w:line="500" w:lineRule="exact"/>
              <w:jc w:val="left"/>
              <w:textAlignment w:val="top"/>
              <w:rPr>
                <w:rFonts w:hint="eastAsia" w:ascii="宋体" w:hAnsi="宋体" w:eastAsia="宋体" w:cs="宋体"/>
                <w:szCs w:val="24"/>
                <w:lang w:eastAsia="zh-CN"/>
              </w:rPr>
            </w:pPr>
            <w:r>
              <w:rPr>
                <w:rFonts w:hint="eastAsia" w:ascii="宋体" w:hAnsi="宋体" w:eastAsia="宋体" w:cs="宋体"/>
                <w:szCs w:val="24"/>
                <w:lang w:val="en-US" w:eastAsia="zh-CN"/>
              </w:rPr>
              <w:t>19、</w:t>
            </w:r>
            <w:r>
              <w:rPr>
                <w:rFonts w:hint="eastAsia" w:ascii="宋体" w:hAnsi="宋体" w:eastAsia="宋体" w:cs="宋体"/>
                <w:szCs w:val="24"/>
              </w:rPr>
              <w:t>后备电池: 标配内置电池,保证机器停电后使用≥20分钟,并且不丢失数据;同时压力监测，漏血和气泡检测正常工作</w:t>
            </w:r>
            <w:r>
              <w:rPr>
                <w:rFonts w:hint="eastAsia" w:ascii="宋体" w:hAnsi="宋体" w:eastAsia="宋体" w:cs="宋体"/>
                <w:szCs w:val="24"/>
                <w:lang w:eastAsia="zh-CN"/>
              </w:rPr>
              <w:t>。</w:t>
            </w:r>
          </w:p>
          <w:p>
            <w:pPr>
              <w:widowControl/>
              <w:spacing w:line="500" w:lineRule="exact"/>
              <w:jc w:val="left"/>
              <w:textAlignment w:val="top"/>
              <w:rPr>
                <w:rFonts w:hint="default" w:ascii="Book Antiqua" w:hAnsi="Book Antiqua" w:eastAsia="宋体"/>
                <w:szCs w:val="24"/>
                <w:lang w:val="en-US" w:eastAsia="zh-CN"/>
              </w:rPr>
            </w:pPr>
            <w:r>
              <w:rPr>
                <w:rFonts w:hint="eastAsia" w:ascii="宋体" w:hAnsi="宋体" w:eastAsia="宋体" w:cs="宋体"/>
                <w:szCs w:val="24"/>
                <w:lang w:val="en-US" w:eastAsia="zh-CN"/>
              </w:rPr>
              <w:t>20、其他要求:</w:t>
            </w:r>
            <w:r>
              <w:rPr>
                <w:rFonts w:hint="eastAsia" w:ascii="宋体" w:hAnsi="宋体" w:cs="宋体"/>
                <w:szCs w:val="24"/>
                <w:lang w:val="en-US" w:eastAsia="zh-CN"/>
              </w:rPr>
              <w:t>（1）</w:t>
            </w:r>
            <w:r>
              <w:rPr>
                <w:rFonts w:hint="eastAsia" w:ascii="宋体" w:hAnsi="宋体" w:eastAsia="宋体" w:cs="宋体"/>
                <w:szCs w:val="24"/>
                <w:lang w:val="en-US" w:eastAsia="zh-CN"/>
              </w:rPr>
              <w:t>免费提供12套透析专用医疗床、床垫。</w:t>
            </w:r>
            <w:r>
              <w:rPr>
                <w:rFonts w:hint="eastAsia" w:ascii="宋体" w:hAnsi="宋体" w:cs="宋体"/>
                <w:szCs w:val="24"/>
                <w:lang w:val="en-US" w:eastAsia="zh-CN"/>
              </w:rPr>
              <w:t>（2）</w:t>
            </w:r>
            <w:r>
              <w:rPr>
                <w:rFonts w:hint="eastAsia" w:ascii="宋体" w:hAnsi="宋体" w:eastAsia="宋体" w:cs="宋体"/>
                <w:szCs w:val="24"/>
                <w:lang w:val="en-US" w:eastAsia="zh-CN"/>
              </w:rPr>
              <w:t>免费提供同品牌90套透析机专用细菌过滤器。</w:t>
            </w:r>
            <w:r>
              <w:rPr>
                <w:rFonts w:hint="eastAsia" w:ascii="宋体" w:hAnsi="宋体" w:cs="宋体"/>
                <w:szCs w:val="24"/>
                <w:lang w:val="en-US" w:eastAsia="zh-CN"/>
              </w:rPr>
              <w:t>（3）</w:t>
            </w:r>
            <w:r>
              <w:rPr>
                <w:rFonts w:hint="eastAsia" w:ascii="宋体" w:hAnsi="宋体" w:eastAsia="宋体" w:cs="宋体"/>
                <w:szCs w:val="24"/>
                <w:lang w:val="en-US" w:eastAsia="zh-CN"/>
              </w:rPr>
              <w:t>免费提供现有透析机的维保维修服务。</w:t>
            </w:r>
          </w:p>
        </w:tc>
        <w:tc>
          <w:tcPr>
            <w:tcW w:w="48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hint="default" w:ascii="宋体" w:hAnsi="宋体" w:eastAsia="宋体" w:cs="宋体"/>
                <w:szCs w:val="21"/>
                <w:lang w:val="en-US" w:eastAsia="zh-CN"/>
              </w:rPr>
            </w:pPr>
            <w:r>
              <w:rPr>
                <w:rFonts w:hint="eastAsia" w:ascii="宋体" w:hAnsi="宋体" w:cs="宋体"/>
                <w:kern w:val="0"/>
                <w:sz w:val="24"/>
                <w:szCs w:val="24"/>
                <w:lang w:val="en-US" w:eastAsia="zh-CN"/>
              </w:rPr>
              <w:t>10</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widowControl/>
              <w:spacing w:line="500" w:lineRule="exact"/>
              <w:jc w:val="center"/>
              <w:textAlignment w:val="center"/>
              <w:rPr>
                <w:rFonts w:hint="eastAsia" w:ascii="宋体" w:hAnsi="宋体" w:eastAsia="宋体" w:cs="宋体"/>
                <w:szCs w:val="21"/>
                <w:lang w:eastAsia="zh-CN"/>
              </w:rPr>
            </w:pPr>
            <w:r>
              <w:rPr>
                <w:rFonts w:hint="eastAsia" w:ascii="宋体" w:hAnsi="宋体" w:cs="宋体"/>
                <w:kern w:val="0"/>
                <w:szCs w:val="21"/>
                <w:lang w:val="en-US" w:eastAsia="zh-CN"/>
              </w:rPr>
              <w:t>台</w:t>
            </w:r>
          </w:p>
        </w:tc>
      </w:tr>
    </w:tbl>
    <w:p>
      <w:pPr>
        <w:adjustRightInd w:val="0"/>
        <w:snapToGrid w:val="0"/>
        <w:spacing w:line="300" w:lineRule="auto"/>
        <w:rPr>
          <w:b/>
          <w:bCs/>
          <w:sz w:val="24"/>
        </w:rPr>
      </w:pPr>
      <w:r>
        <w:rPr>
          <w:b/>
          <w:bCs/>
          <w:sz w:val="24"/>
        </w:rPr>
        <w:t>注：本招标项目必须要实质性满足技术要求和商务要求：</w:t>
      </w:r>
    </w:p>
    <w:p>
      <w:pPr>
        <w:widowControl/>
        <w:spacing w:line="560" w:lineRule="exact"/>
        <w:ind w:firstLine="482"/>
        <w:rPr>
          <w:rFonts w:hint="eastAsia" w:eastAsia="宋体"/>
          <w:b/>
          <w:bCs/>
          <w:sz w:val="24"/>
          <w:lang w:eastAsia="zh-CN"/>
        </w:rPr>
      </w:pPr>
      <w:r>
        <w:rPr>
          <w:rFonts w:hint="eastAsia"/>
          <w:b/>
          <w:bCs/>
          <w:sz w:val="24"/>
        </w:rPr>
        <w:t>1</w:t>
      </w:r>
      <w:r>
        <w:rPr>
          <w:b/>
          <w:bCs/>
          <w:sz w:val="24"/>
        </w:rPr>
        <w:t>、投标人提供的货物必须是原装全新、高于或等于招标文件规定技术参数的产品</w:t>
      </w:r>
      <w:r>
        <w:rPr>
          <w:rFonts w:hint="eastAsia"/>
          <w:b/>
          <w:bCs/>
          <w:sz w:val="24"/>
          <w:lang w:eastAsia="zh-CN"/>
        </w:rPr>
        <w:t>。</w:t>
      </w:r>
    </w:p>
    <w:p>
      <w:pPr>
        <w:widowControl/>
        <w:spacing w:line="560" w:lineRule="exact"/>
        <w:ind w:firstLine="482"/>
        <w:rPr>
          <w:b/>
          <w:bCs/>
          <w:sz w:val="24"/>
        </w:rPr>
      </w:pPr>
      <w:r>
        <w:rPr>
          <w:rFonts w:hint="eastAsia"/>
          <w:b/>
          <w:bCs/>
          <w:sz w:val="24"/>
        </w:rPr>
        <w:t>2</w:t>
      </w:r>
      <w:r>
        <w:rPr>
          <w:b/>
          <w:bCs/>
          <w:sz w:val="24"/>
        </w:rPr>
        <w:t>、属于节能产品政府采购清单规定必须强制采购的, 必须采购当期节能产品政府采购清单内设备或产品；在价格、技术、服务等指标同等条件下，优先采购节能、环保产品。（开标时需提供投标人所投产品属于政府采购清单规定的节能环保产品的证明材料）。</w:t>
      </w:r>
    </w:p>
    <w:p>
      <w:pPr>
        <w:pStyle w:val="14"/>
      </w:pPr>
    </w:p>
    <w:p/>
    <w:p>
      <w:pPr>
        <w:pStyle w:val="3"/>
      </w:pPr>
    </w:p>
    <w:p>
      <w:pPr>
        <w:pStyle w:val="4"/>
      </w:pPr>
    </w:p>
    <w:p/>
    <w:p/>
    <w:p>
      <w:pPr>
        <w:pStyle w:val="24"/>
        <w:spacing w:line="600" w:lineRule="exact"/>
        <w:ind w:right="-63" w:rightChars="-30"/>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第六章 质疑与投诉</w:t>
      </w:r>
    </w:p>
    <w:p/>
    <w:p>
      <w:pPr>
        <w:spacing w:line="360" w:lineRule="auto"/>
        <w:ind w:firstLine="562" w:firstLineChars="200"/>
        <w:rPr>
          <w:rFonts w:ascii="宋体" w:hAnsi="宋体" w:cs="宋体"/>
          <w:b/>
          <w:bCs/>
          <w:sz w:val="28"/>
          <w:szCs w:val="28"/>
        </w:rPr>
      </w:pPr>
      <w:r>
        <w:rPr>
          <w:rFonts w:hint="eastAsia" w:ascii="宋体" w:hAnsi="宋体" w:cs="宋体"/>
          <w:b/>
          <w:bCs/>
          <w:sz w:val="28"/>
          <w:szCs w:val="28"/>
        </w:rPr>
        <w:t>一、质疑与答复</w:t>
      </w:r>
    </w:p>
    <w:p>
      <w:pPr>
        <w:pStyle w:val="2"/>
        <w:spacing w:line="360" w:lineRule="auto"/>
        <w:ind w:firstLine="480" w:firstLineChars="200"/>
        <w:rPr>
          <w:rFonts w:hint="default" w:ascii="宋体" w:hAnsi="宋体" w:eastAsia="宋体" w:cs="宋体"/>
          <w:sz w:val="24"/>
        </w:rPr>
      </w:pPr>
      <w:r>
        <w:rPr>
          <w:rFonts w:ascii="宋体" w:hAnsi="宋体" w:eastAsia="宋体" w:cs="宋体"/>
          <w:sz w:val="24"/>
        </w:rPr>
        <w:t>1. 参与政府采购活动的供应商认为采购文件、采购过程、中标或者成交结果使自己的权益受到损害的，可以在知道或者应知其权益受到损害之日起</w:t>
      </w:r>
      <w:r>
        <w:rPr>
          <w:rFonts w:hint="eastAsia" w:ascii="宋体" w:hAnsi="宋体" w:eastAsia="宋体" w:cs="宋体"/>
          <w:sz w:val="24"/>
          <w:lang w:val="en-US" w:eastAsia="zh-CN"/>
        </w:rPr>
        <w:t>7</w:t>
      </w:r>
      <w:r>
        <w:rPr>
          <w:rFonts w:ascii="宋体" w:hAnsi="宋体" w:eastAsia="宋体" w:cs="宋体"/>
          <w:sz w:val="24"/>
        </w:rPr>
        <w:t>个工作日内，以书面形式向采购人、采购代理机构提出质疑。</w:t>
      </w:r>
    </w:p>
    <w:p>
      <w:pPr>
        <w:pStyle w:val="5"/>
        <w:spacing w:line="360" w:lineRule="auto"/>
        <w:ind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5"/>
        <w:spacing w:line="360" w:lineRule="auto"/>
        <w:ind w:left="420" w:leftChars="200"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0"/>
          <w:rFonts w:hint="eastAsia" w:ascii="宋体" w:hAnsi="宋体" w:cs="宋体"/>
          <w:color w:val="auto"/>
          <w:sz w:val="24"/>
        </w:rPr>
        <w:t>http://download.ccgp.gov.cn/2018/zhiyihanfanben.zip；</w:t>
      </w:r>
      <w:r>
        <w:rPr>
          <w:rStyle w:val="30"/>
          <w:rFonts w:hint="eastAsia" w:ascii="宋体" w:hAnsi="宋体" w:cs="宋体"/>
          <w:color w:val="auto"/>
          <w:sz w:val="24"/>
        </w:rPr>
        <w:fldChar w:fldCharType="end"/>
      </w:r>
    </w:p>
    <w:p>
      <w:pPr>
        <w:numPr>
          <w:ilvl w:val="0"/>
          <w:numId w:val="10"/>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w:t>
      </w:r>
      <w:r>
        <w:rPr>
          <w:rFonts w:hint="eastAsia" w:ascii="宋体" w:hAnsi="宋体" w:cs="宋体"/>
          <w:sz w:val="24"/>
          <w:lang w:val="en-US" w:eastAsia="zh-CN"/>
        </w:rPr>
        <w:t>7</w:t>
      </w:r>
      <w:r>
        <w:rPr>
          <w:rFonts w:hint="eastAsia" w:ascii="宋体" w:hAnsi="宋体" w:cs="宋体"/>
          <w:sz w:val="24"/>
        </w:rPr>
        <w:t>个工作日内作出答复，并以书面形式通知质疑供应商和其他有关供应商。</w:t>
      </w:r>
    </w:p>
    <w:p>
      <w:pPr>
        <w:numPr>
          <w:ilvl w:val="0"/>
          <w:numId w:val="10"/>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10"/>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10"/>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10"/>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10"/>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10"/>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10"/>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10"/>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10"/>
        </w:numPr>
        <w:spacing w:line="360" w:lineRule="auto"/>
        <w:ind w:left="420" w:leftChars="200"/>
        <w:rPr>
          <w:rFonts w:ascii="宋体" w:hAnsi="宋体" w:cs="宋体"/>
          <w:sz w:val="24"/>
        </w:rPr>
      </w:pPr>
      <w:r>
        <w:rPr>
          <w:rFonts w:hint="eastAsia" w:ascii="宋体" w:hAnsi="宋体" w:cs="宋体"/>
          <w:sz w:val="24"/>
        </w:rPr>
        <w:t>以上资料一式二份（采购人、采购代理机构各执一份）。</w:t>
      </w:r>
    </w:p>
    <w:p>
      <w:pPr>
        <w:numPr>
          <w:ilvl w:val="0"/>
          <w:numId w:val="10"/>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
        <w:spacing w:line="360" w:lineRule="auto"/>
        <w:ind w:firstLine="480" w:firstLineChars="200"/>
        <w:rPr>
          <w:rFonts w:hint="default" w:ascii="宋体" w:hAnsi="宋体" w:eastAsia="宋体" w:cs="宋体"/>
          <w:sz w:val="24"/>
        </w:rPr>
      </w:pPr>
      <w:r>
        <w:rPr>
          <w:rFonts w:ascii="宋体" w:hAnsi="宋体" w:eastAsia="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
        <w:spacing w:line="360" w:lineRule="auto"/>
        <w:ind w:firstLine="480" w:firstLineChars="200"/>
        <w:rPr>
          <w:rFonts w:hint="default" w:ascii="宋体" w:hAnsi="宋体" w:eastAsia="宋体" w:cs="宋体"/>
          <w:sz w:val="24"/>
        </w:rPr>
      </w:pPr>
      <w:r>
        <w:rPr>
          <w:rFonts w:ascii="宋体" w:hAnsi="宋体" w:eastAsia="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
        <w:spacing w:line="360" w:lineRule="auto"/>
        <w:ind w:firstLine="640" w:firstLineChars="200"/>
        <w:rPr>
          <w:rFonts w:hint="default" w:ascii="宋体" w:hAnsi="宋体" w:eastAsia="宋体" w:cs="宋体"/>
          <w:sz w:val="24"/>
        </w:rPr>
      </w:pPr>
      <w:r>
        <w:fldChar w:fldCharType="begin"/>
      </w:r>
      <w:r>
        <w:instrText xml:space="preserve"> HYPERLINK "http://download.ccgp.gov.cn/2018/tousushufanben.zip" </w:instrText>
      </w:r>
      <w:r>
        <w:fldChar w:fldCharType="separate"/>
      </w:r>
      <w:r>
        <w:rPr>
          <w:rStyle w:val="30"/>
          <w:rFonts w:ascii="宋体" w:hAnsi="宋体" w:eastAsia="宋体" w:cs="宋体"/>
          <w:color w:val="auto"/>
          <w:sz w:val="24"/>
        </w:rPr>
        <w:t>http://download.ccgp.gov.cn/2018/tousushufanben.zip</w:t>
      </w:r>
      <w:r>
        <w:rPr>
          <w:rStyle w:val="30"/>
          <w:rFonts w:ascii="宋体" w:hAnsi="宋体" w:eastAsia="宋体" w:cs="宋体"/>
          <w:color w:val="auto"/>
          <w:sz w:val="24"/>
        </w:rPr>
        <w:fldChar w:fldCharType="end"/>
      </w:r>
    </w:p>
    <w:p>
      <w:pPr>
        <w:numPr>
          <w:ilvl w:val="0"/>
          <w:numId w:val="2"/>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5"/>
        <w:spacing w:line="360" w:lineRule="auto"/>
        <w:ind w:firstLine="480"/>
        <w:rPr>
          <w:rFonts w:ascii="宋体" w:hAnsi="宋体" w:cs="宋体"/>
          <w:sz w:val="24"/>
        </w:rPr>
      </w:pPr>
    </w:p>
    <w:p>
      <w:pPr>
        <w:pStyle w:val="9"/>
        <w:spacing w:before="0" w:after="0" w:line="360" w:lineRule="auto"/>
        <w:ind w:firstLine="480" w:firstLineChars="200"/>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p>
    <w:p>
      <w:pPr>
        <w:rPr>
          <w:rFonts w:ascii="宋体" w:hAnsi="宋体" w:cs="宋体"/>
          <w:sz w:val="24"/>
        </w:rPr>
      </w:pPr>
    </w:p>
    <w:p>
      <w:pPr>
        <w:pStyle w:val="10"/>
      </w:pPr>
    </w:p>
    <w:p/>
    <w:p>
      <w:pPr>
        <w:pStyle w:val="10"/>
      </w:pPr>
    </w:p>
    <w:p/>
    <w:p>
      <w:pPr>
        <w:pStyle w:val="10"/>
      </w:pPr>
    </w:p>
    <w:p/>
    <w:p>
      <w:pPr>
        <w:pStyle w:val="4"/>
      </w:pPr>
    </w:p>
    <w:p>
      <w:pPr>
        <w:pStyle w:val="3"/>
      </w:pPr>
    </w:p>
    <w:p>
      <w:pPr>
        <w:pStyle w:val="4"/>
      </w:pPr>
    </w:p>
    <w:p>
      <w:pPr>
        <w:pStyle w:val="24"/>
        <w:spacing w:line="600" w:lineRule="exact"/>
        <w:ind w:right="-63" w:rightChars="-30"/>
        <w:rPr>
          <w:rFonts w:hint="default"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第七章 履约验收</w:t>
      </w:r>
    </w:p>
    <w:p>
      <w:pPr>
        <w:pStyle w:val="5"/>
      </w:pPr>
    </w:p>
    <w:p>
      <w:pPr>
        <w:pStyle w:val="2"/>
        <w:spacing w:line="360" w:lineRule="auto"/>
        <w:ind w:firstLine="480" w:firstLineChars="200"/>
        <w:rPr>
          <w:rFonts w:hint="default" w:ascii="Times New Roman" w:eastAsia="宋体"/>
          <w:sz w:val="24"/>
        </w:rPr>
      </w:pPr>
      <w:r>
        <w:rPr>
          <w:sz w:val="24"/>
        </w:rPr>
        <w:t>供</w:t>
      </w:r>
      <w:r>
        <w:rPr>
          <w:rFonts w:ascii="Times New Roman" w:eastAsia="宋体"/>
          <w:sz w:val="24"/>
        </w:rPr>
        <w:t>应商履约完成后，向采购人提出验收建议，采购人自收到验收建议之日起五个工作日内，采购人组织供应商参与，共同完成验收。技术复杂、专业性强等项目可适当延长验收时间。验收流程如下：</w:t>
      </w:r>
    </w:p>
    <w:p>
      <w:pPr>
        <w:pStyle w:val="2"/>
        <w:numPr>
          <w:ilvl w:val="0"/>
          <w:numId w:val="11"/>
        </w:numPr>
        <w:spacing w:line="360" w:lineRule="auto"/>
        <w:ind w:firstLine="480" w:firstLineChars="200"/>
        <w:rPr>
          <w:rFonts w:hint="default" w:ascii="Times New Roman" w:eastAsia="宋体"/>
          <w:sz w:val="24"/>
        </w:rPr>
      </w:pPr>
      <w:r>
        <w:rPr>
          <w:rFonts w:ascii="Times New Roman" w:eastAsia="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
        <w:numPr>
          <w:ilvl w:val="0"/>
          <w:numId w:val="11"/>
        </w:numPr>
        <w:spacing w:line="360" w:lineRule="auto"/>
        <w:ind w:firstLine="480" w:firstLineChars="200"/>
        <w:rPr>
          <w:rFonts w:hint="default" w:ascii="Times New Roman" w:eastAsia="宋体"/>
          <w:sz w:val="24"/>
        </w:rPr>
      </w:pPr>
      <w:r>
        <w:rPr>
          <w:rFonts w:ascii="Times New Roman" w:eastAsia="宋体"/>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
        <w:numPr>
          <w:ilvl w:val="0"/>
          <w:numId w:val="11"/>
        </w:numPr>
        <w:spacing w:line="360" w:lineRule="auto"/>
        <w:ind w:firstLine="480" w:firstLineChars="200"/>
        <w:rPr>
          <w:rFonts w:hint="default" w:ascii="Times New Roman" w:eastAsia="宋体"/>
          <w:sz w:val="24"/>
        </w:rPr>
      </w:pPr>
      <w:r>
        <w:rPr>
          <w:rFonts w:ascii="Times New Roman" w:eastAsia="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
        <w:numPr>
          <w:ilvl w:val="0"/>
          <w:numId w:val="11"/>
        </w:numPr>
        <w:spacing w:line="360" w:lineRule="auto"/>
        <w:ind w:firstLine="480" w:firstLineChars="200"/>
        <w:rPr>
          <w:rFonts w:hint="default" w:ascii="Times New Roman" w:eastAsia="宋体"/>
          <w:sz w:val="24"/>
        </w:rPr>
      </w:pPr>
      <w:r>
        <w:rPr>
          <w:rFonts w:ascii="Times New Roman" w:eastAsia="宋体"/>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3"/>
      </w:pPr>
    </w:p>
    <w:p>
      <w:pPr>
        <w:pStyle w:val="4"/>
      </w:pPr>
    </w:p>
    <w:p>
      <w:pPr>
        <w:pStyle w:val="3"/>
      </w:pPr>
      <w:bookmarkStart w:id="314" w:name="_GoBack"/>
      <w:bookmarkEnd w:id="314"/>
    </w:p>
    <w:p>
      <w:pPr>
        <w:pStyle w:val="24"/>
        <w:spacing w:line="600" w:lineRule="exact"/>
        <w:ind w:right="-63" w:rightChars="-30"/>
        <w:rPr>
          <w:rFonts w:asciiTheme="minorEastAsia" w:hAnsiTheme="minorEastAsia" w:eastAsiaTheme="minorEastAsia" w:cstheme="minorEastAsia"/>
          <w:sz w:val="36"/>
          <w:szCs w:val="36"/>
        </w:rPr>
      </w:pPr>
      <w:bookmarkStart w:id="267" w:name="_Toc12999"/>
      <w:r>
        <w:rPr>
          <w:rFonts w:hint="eastAsia" w:asciiTheme="minorEastAsia" w:hAnsiTheme="minorEastAsia" w:eastAsiaTheme="minorEastAsia" w:cstheme="minorEastAsia"/>
          <w:sz w:val="36"/>
          <w:szCs w:val="36"/>
        </w:rPr>
        <w:t>第八章  投标文件格式</w:t>
      </w:r>
      <w:bookmarkEnd w:id="264"/>
      <w:bookmarkEnd w:id="265"/>
      <w:bookmarkEnd w:id="266"/>
      <w:bookmarkEnd w:id="267"/>
    </w:p>
    <w:p>
      <w:pPr>
        <w:rPr>
          <w:rFonts w:asciiTheme="minorEastAsia" w:hAnsiTheme="minorEastAsia" w:eastAsiaTheme="minorEastAsia" w:cstheme="minorEastAsia"/>
        </w:rPr>
      </w:pPr>
      <w:bookmarkStart w:id="268" w:name="_Toc18905"/>
      <w:bookmarkEnd w:id="268"/>
      <w:bookmarkStart w:id="269" w:name="_Toc403122573"/>
      <w:bookmarkEnd w:id="269"/>
      <w:bookmarkStart w:id="270" w:name="_Toc402961301"/>
      <w:bookmarkEnd w:id="270"/>
      <w:bookmarkStart w:id="271" w:name="_Toc27452"/>
      <w:bookmarkEnd w:id="271"/>
    </w:p>
    <w:p>
      <w:pPr>
        <w:ind w:firstLine="3975" w:firstLineChars="11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5"/>
      </w:pPr>
    </w:p>
    <w:p>
      <w:pPr>
        <w:pStyle w:val="5"/>
      </w:pPr>
    </w:p>
    <w:p>
      <w:pPr>
        <w:pStyle w:val="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14"/>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8"/>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8"/>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8"/>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pStyle w:val="10"/>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500" w:lineRule="exact"/>
        <w:jc w:val="center"/>
        <w:outlineLvl w:val="1"/>
        <w:rPr>
          <w:rFonts w:asciiTheme="minorEastAsia" w:hAnsiTheme="minorEastAsia" w:eastAsiaTheme="minorEastAsia" w:cstheme="minorEastAsia"/>
          <w:b/>
          <w:bCs/>
          <w:sz w:val="28"/>
          <w:szCs w:val="28"/>
        </w:rPr>
      </w:pPr>
      <w:bookmarkStart w:id="272" w:name="_Toc31547"/>
      <w:bookmarkStart w:id="273"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74" w:name="_Toc1921"/>
      <w:r>
        <w:rPr>
          <w:rFonts w:hint="eastAsia" w:asciiTheme="minorEastAsia" w:hAnsiTheme="minorEastAsia" w:eastAsiaTheme="minorEastAsia" w:cstheme="minorEastAsia"/>
          <w:b/>
          <w:bCs/>
          <w:sz w:val="30"/>
          <w:szCs w:val="30"/>
        </w:rPr>
        <w:t>一、投标函</w:t>
      </w:r>
      <w:bookmarkEnd w:id="272"/>
      <w:r>
        <w:rPr>
          <w:rFonts w:hint="eastAsia" w:asciiTheme="minorEastAsia" w:hAnsiTheme="minorEastAsia" w:eastAsiaTheme="minorEastAsia" w:cstheme="minorEastAsia"/>
          <w:b/>
          <w:bCs/>
          <w:sz w:val="30"/>
          <w:szCs w:val="30"/>
        </w:rPr>
        <w:t>及开标一览表</w:t>
      </w:r>
      <w:bookmarkEnd w:id="273"/>
      <w:bookmarkEnd w:id="274"/>
    </w:p>
    <w:p>
      <w:pPr>
        <w:jc w:val="center"/>
        <w:outlineLvl w:val="2"/>
        <w:rPr>
          <w:rFonts w:asciiTheme="minorEastAsia" w:hAnsiTheme="minorEastAsia" w:eastAsiaTheme="minorEastAsia" w:cstheme="minorEastAsia"/>
          <w:b/>
          <w:bCs/>
          <w:sz w:val="28"/>
        </w:rPr>
      </w:pPr>
      <w:bookmarkStart w:id="275" w:name="_Toc27218"/>
      <w:bookmarkStart w:id="276" w:name="_Toc600"/>
      <w:bookmarkStart w:id="277" w:name="_Toc28684"/>
      <w:bookmarkStart w:id="278" w:name="_Toc12044"/>
      <w:r>
        <w:rPr>
          <w:rFonts w:hint="eastAsia" w:asciiTheme="minorEastAsia" w:hAnsiTheme="minorEastAsia" w:eastAsiaTheme="minorEastAsia" w:cstheme="minorEastAsia"/>
          <w:b/>
          <w:sz w:val="28"/>
          <w:szCs w:val="28"/>
        </w:rPr>
        <w:t>（一）投标函</w:t>
      </w:r>
      <w:bookmarkEnd w:id="275"/>
      <w:bookmarkEnd w:id="276"/>
      <w:bookmarkEnd w:id="277"/>
      <w:bookmarkEnd w:id="278"/>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项目（采购编号：</w:t>
      </w:r>
      <w:r>
        <w:rPr>
          <w:rFonts w:ascii="宋体" w:hAnsi="宋体" w:eastAsia="宋体"/>
          <w:sz w:val="24"/>
          <w:u w:val="single"/>
        </w:rPr>
        <w:t xml:space="preserve">      </w:t>
      </w:r>
      <w:r>
        <w:rPr>
          <w:rFonts w:ascii="宋体" w:hAnsi="宋体" w:eastAsia="宋体"/>
          <w:sz w:val="24"/>
        </w:rPr>
        <w:t xml:space="preserve"> ）采购文件及有关纪要通知，现对参与投标及中标后工作，做出如下郑重承诺：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w:t>
      </w:r>
      <w:r>
        <w:rPr>
          <w:rFonts w:hint="eastAsia" w:ascii="宋体" w:hAnsi="宋体"/>
          <w:sz w:val="24"/>
          <w:lang w:val="en-US" w:eastAsia="zh-CN"/>
        </w:rPr>
        <w:t>安装</w:t>
      </w:r>
      <w:r>
        <w:rPr>
          <w:rFonts w:hint="eastAsia" w:ascii="宋体" w:hAnsi="宋体"/>
          <w:sz w:val="24"/>
        </w:rPr>
        <w:t>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79" w:name="_Toc208"/>
      <w:bookmarkStart w:id="280" w:name="_Toc9543"/>
      <w:bookmarkStart w:id="281" w:name="_Toc31291"/>
      <w:bookmarkStart w:id="282" w:name="_Toc14778"/>
      <w:r>
        <w:rPr>
          <w:rFonts w:hint="eastAsia" w:asciiTheme="minorEastAsia" w:hAnsiTheme="minorEastAsia" w:eastAsiaTheme="minorEastAsia" w:cstheme="minorEastAsia"/>
          <w:b/>
          <w:bCs/>
          <w:sz w:val="28"/>
          <w:szCs w:val="28"/>
        </w:rPr>
        <w:t>（二） 开标一览表</w:t>
      </w:r>
      <w:bookmarkEnd w:id="279"/>
      <w:bookmarkEnd w:id="280"/>
      <w:bookmarkEnd w:id="281"/>
      <w:bookmarkEnd w:id="282"/>
    </w:p>
    <w:p>
      <w:pPr>
        <w:jc w:val="center"/>
        <w:rPr>
          <w:rFonts w:asciiTheme="minorEastAsia" w:hAnsiTheme="minorEastAsia" w:eastAsiaTheme="minorEastAsia" w:cstheme="minorEastAsia"/>
          <w:b/>
          <w:bCs/>
          <w:sz w:val="28"/>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供货</w:t>
            </w:r>
            <w:r>
              <w:rPr>
                <w:rFonts w:hint="eastAsia" w:asciiTheme="minorEastAsia" w:hAnsiTheme="minorEastAsia" w:eastAsiaTheme="minorEastAsia" w:cstheme="minorEastAsia"/>
                <w:bCs/>
                <w:iCs/>
                <w:sz w:val="24"/>
                <w:lang w:val="en-US" w:eastAsia="zh-CN"/>
              </w:rPr>
              <w:t>安装</w:t>
            </w:r>
            <w:r>
              <w:rPr>
                <w:rFonts w:hint="eastAsia" w:asciiTheme="minorEastAsia" w:hAnsiTheme="minorEastAsia" w:eastAsiaTheme="minorEastAsia" w:cstheme="minorEastAsia"/>
                <w:bCs/>
                <w:iCs/>
                <w:sz w:val="24"/>
              </w:rPr>
              <w:t>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质保期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6"/>
              <w:spacing w:line="400" w:lineRule="exact"/>
              <w:ind w:firstLine="960" w:firstLineChars="40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6"/>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3"/>
        <w:rPr>
          <w:rFonts w:asciiTheme="minorEastAsia" w:hAnsiTheme="minorEastAsia" w:eastAsiaTheme="minorEastAsia" w:cstheme="minorEastAsia"/>
          <w:sz w:val="24"/>
        </w:rPr>
      </w:pPr>
    </w:p>
    <w:p>
      <w:pPr>
        <w:pStyle w:val="24"/>
        <w:spacing w:before="120" w:after="120" w:line="500" w:lineRule="exact"/>
        <w:ind w:right="29" w:rightChars="14"/>
        <w:outlineLvl w:val="1"/>
        <w:rPr>
          <w:rFonts w:asciiTheme="minorEastAsia" w:hAnsiTheme="minorEastAsia" w:eastAsiaTheme="minorEastAsia" w:cstheme="minorEastAsia"/>
          <w:sz w:val="24"/>
        </w:rPr>
      </w:pPr>
    </w:p>
    <w:p>
      <w:pPr>
        <w:pStyle w:val="24"/>
        <w:spacing w:before="120" w:after="120" w:line="500" w:lineRule="exact"/>
        <w:ind w:right="29" w:rightChars="14"/>
        <w:outlineLvl w:val="1"/>
        <w:rPr>
          <w:rFonts w:asciiTheme="minorEastAsia" w:hAnsiTheme="minorEastAsia" w:eastAsiaTheme="minorEastAsia" w:cstheme="minorEastAsia"/>
          <w:sz w:val="24"/>
        </w:rPr>
        <w:sectPr>
          <w:headerReference r:id="rId9" w:type="default"/>
          <w:footerReference r:id="rId10" w:type="default"/>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10338"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002"/>
        <w:gridCol w:w="1000"/>
        <w:gridCol w:w="2968"/>
        <w:gridCol w:w="1038"/>
        <w:gridCol w:w="723"/>
        <w:gridCol w:w="963"/>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名称</w:t>
            </w:r>
          </w:p>
        </w:tc>
        <w:tc>
          <w:tcPr>
            <w:tcW w:w="1002"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品牌</w:t>
            </w:r>
          </w:p>
        </w:tc>
        <w:tc>
          <w:tcPr>
            <w:tcW w:w="1000"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型号</w:t>
            </w:r>
          </w:p>
        </w:tc>
        <w:tc>
          <w:tcPr>
            <w:tcW w:w="2968"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技术参数</w:t>
            </w:r>
          </w:p>
        </w:tc>
        <w:tc>
          <w:tcPr>
            <w:tcW w:w="1038"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单位</w:t>
            </w:r>
          </w:p>
        </w:tc>
        <w:tc>
          <w:tcPr>
            <w:tcW w:w="723"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数量</w:t>
            </w:r>
          </w:p>
        </w:tc>
        <w:tc>
          <w:tcPr>
            <w:tcW w:w="963"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rPr>
            </w:pPr>
          </w:p>
          <w:p>
            <w:pPr>
              <w:pStyle w:val="23"/>
              <w:widowControl w:val="0"/>
              <w:adjustRightInd w:val="0"/>
              <w:spacing w:before="0" w:beforeAutospacing="0" w:after="0" w:afterAutospacing="0" w:line="480" w:lineRule="exact"/>
              <w:jc w:val="center"/>
              <w:rPr>
                <w:bCs/>
              </w:rPr>
            </w:pPr>
            <w:r>
              <w:rPr>
                <w:rFonts w:hint="eastAsia"/>
                <w:bCs/>
              </w:rPr>
              <w:t>单价（元）</w:t>
            </w:r>
          </w:p>
          <w:p>
            <w:pPr>
              <w:pStyle w:val="23"/>
              <w:widowControl w:val="0"/>
              <w:adjustRightInd w:val="0"/>
              <w:spacing w:before="0" w:beforeAutospacing="0" w:after="0" w:afterAutospacing="0" w:line="480" w:lineRule="exact"/>
              <w:ind w:firstLine="235" w:firstLineChars="98"/>
              <w:jc w:val="center"/>
              <w:rPr>
                <w:bCs/>
              </w:rPr>
            </w:pPr>
          </w:p>
        </w:tc>
        <w:tc>
          <w:tcPr>
            <w:tcW w:w="1104"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798" w:type="dxa"/>
            <w:gridSpan w:val="7"/>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0" w:hRule="atLeast"/>
        </w:trPr>
        <w:tc>
          <w:tcPr>
            <w:tcW w:w="10338"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p>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pStyle w:val="3"/>
        <w:rPr>
          <w:rFonts w:ascii="宋体" w:hAnsi="宋体" w:cs="宋体"/>
          <w:b/>
          <w:sz w:val="30"/>
          <w:szCs w:val="30"/>
        </w:rPr>
      </w:pPr>
    </w:p>
    <w:p>
      <w:pPr>
        <w:pStyle w:val="4"/>
        <w:rPr>
          <w:rFonts w:ascii="宋体" w:hAnsi="宋体" w:cs="宋体"/>
          <w:b/>
          <w:sz w:val="30"/>
          <w:szCs w:val="30"/>
        </w:rPr>
      </w:pPr>
    </w:p>
    <w:p>
      <w:pPr>
        <w:pStyle w:val="3"/>
        <w:rPr>
          <w:rFonts w:ascii="宋体" w:hAnsi="宋体" w:cs="宋体"/>
          <w:b/>
          <w:sz w:val="30"/>
          <w:szCs w:val="30"/>
        </w:rPr>
      </w:pPr>
    </w:p>
    <w:p>
      <w:pPr>
        <w:pStyle w:val="3"/>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w:t>
      </w:r>
      <w:bookmarkStart w:id="283" w:name="_Hlk116385650"/>
      <w:r>
        <w:rPr>
          <w:rFonts w:hint="eastAsia" w:ascii="宋体" w:hAnsi="宋体" w:cs="宋体"/>
          <w:b/>
          <w:sz w:val="30"/>
          <w:szCs w:val="30"/>
        </w:rPr>
        <w:t>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3"/>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20" w:firstLineChars="200"/>
        <w:rPr>
          <w:rFonts w:ascii="宋体" w:hAnsi="宋体"/>
          <w:szCs w:val="21"/>
        </w:rPr>
      </w:pPr>
      <w:r>
        <w:rPr>
          <w:rFonts w:hint="eastAsia" w:ascii="宋体" w:hAnsi="宋体"/>
          <w:szCs w:val="21"/>
        </w:rPr>
        <w:t>注：投标人须对照招标文件技术规格，将自己所投的所有货物的功能、技术性能、配置等内容按照</w:t>
      </w:r>
      <w:bookmarkEnd w:id="283"/>
      <w:r>
        <w:rPr>
          <w:rFonts w:hint="eastAsia" w:ascii="宋体" w:hAnsi="宋体"/>
          <w:szCs w:val="21"/>
        </w:rPr>
        <w:t>上表格式与招标文件要求逐条填写，</w:t>
      </w:r>
      <w:r>
        <w:rPr>
          <w:rFonts w:hint="eastAsia" w:ascii="宋体" w:hAnsi="宋体"/>
          <w:b/>
          <w:bCs/>
          <w:szCs w:val="21"/>
        </w:rPr>
        <w:t>供应商必须提供所投设备的具体参数值，并在偏离说明栏中标明技术及配置的实际响应情况</w:t>
      </w:r>
      <w:r>
        <w:rPr>
          <w:rFonts w:hint="eastAsia" w:ascii="宋体" w:hAnsi="宋体"/>
          <w:szCs w:val="21"/>
        </w:rPr>
        <w:t>：</w:t>
      </w:r>
    </w:p>
    <w:p>
      <w:pPr>
        <w:ind w:firstLine="420" w:firstLineChars="200"/>
        <w:rPr>
          <w:rFonts w:ascii="宋体" w:hAnsi="宋体"/>
          <w:szCs w:val="21"/>
        </w:rPr>
      </w:pPr>
      <w:r>
        <w:rPr>
          <w:rFonts w:hint="eastAsia" w:ascii="宋体" w:hAnsi="宋体"/>
          <w:szCs w:val="21"/>
        </w:rPr>
        <w:t>1、偏离说明栏中必须标明技术及配置的响应情况，整项货物及该项货物各部分相应情况须按下列要求填写，任何不真实响应都将按无效投标处理：</w:t>
      </w:r>
    </w:p>
    <w:p>
      <w:pPr>
        <w:numPr>
          <w:ilvl w:val="0"/>
          <w:numId w:val="12"/>
        </w:numPr>
        <w:ind w:firstLine="420" w:firstLineChars="200"/>
        <w:rPr>
          <w:rFonts w:ascii="宋体" w:hAnsi="宋体"/>
          <w:szCs w:val="21"/>
        </w:rPr>
      </w:pPr>
      <w:r>
        <w:rPr>
          <w:rFonts w:hint="eastAsia" w:ascii="宋体" w:hAnsi="宋体"/>
          <w:szCs w:val="21"/>
        </w:rPr>
        <w:t>对应项中的所有技术参数、性能和配置全部符合招标文件要求的才能填写“符合”；</w:t>
      </w:r>
    </w:p>
    <w:p>
      <w:pPr>
        <w:numPr>
          <w:ilvl w:val="0"/>
          <w:numId w:val="12"/>
        </w:numPr>
        <w:ind w:firstLine="420" w:firstLineChars="200"/>
        <w:rPr>
          <w:rFonts w:ascii="宋体" w:hAnsi="宋体"/>
          <w:szCs w:val="21"/>
        </w:rPr>
      </w:pPr>
      <w:r>
        <w:rPr>
          <w:rFonts w:hint="eastAsia" w:ascii="宋体" w:hAnsi="宋体"/>
          <w:szCs w:val="21"/>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宋体" w:hAnsi="宋体" w:cs="宋体"/>
          <w:sz w:val="24"/>
        </w:rPr>
        <w:t>投标单位名称（盖章）：</w:t>
      </w:r>
    </w:p>
    <w:p>
      <w:pPr>
        <w:spacing w:line="600" w:lineRule="exact"/>
        <w:rPr>
          <w:rFonts w:ascii="宋体" w:hAnsi="宋体" w:cs="宋体"/>
          <w:sz w:val="24"/>
        </w:rPr>
      </w:pPr>
      <w:r>
        <w:rPr>
          <w:rFonts w:hint="eastAsia" w:ascii="宋体" w:hAnsi="宋体" w:cs="宋体"/>
          <w:sz w:val="24"/>
        </w:rPr>
        <w:t>法人代表或授权委托人（签字或盖章）：</w:t>
      </w:r>
    </w:p>
    <w:p>
      <w:pPr>
        <w:ind w:firstLine="480"/>
        <w:rPr>
          <w:rFonts w:ascii="宋体" w:hAnsi="宋体" w:cs="宋体"/>
          <w:sz w:val="24"/>
        </w:rPr>
        <w:sectPr>
          <w:pgSz w:w="11907" w:h="16840"/>
          <w:pgMar w:top="1276" w:right="1117" w:bottom="1417" w:left="913" w:header="850" w:footer="998" w:gutter="0"/>
          <w:pgNumType w:fmt="numberInDash"/>
          <w:cols w:space="0" w:num="1"/>
          <w:docGrid w:type="lines" w:linePitch="379" w:charSpace="0"/>
        </w:sectPr>
      </w:pPr>
      <w:r>
        <w:rPr>
          <w:rFonts w:hint="eastAsia" w:ascii="宋体" w:hAnsi="宋体" w:cs="宋体"/>
          <w:sz w:val="24"/>
        </w:rPr>
        <w:t xml:space="preserve">                                         年    月    日  </w:t>
      </w:r>
    </w:p>
    <w:p>
      <w:pPr>
        <w:pStyle w:val="5"/>
        <w:ind w:firstLine="480"/>
        <w:rPr>
          <w:rFonts w:asciiTheme="minorEastAsia" w:hAnsiTheme="minorEastAsia" w:eastAsiaTheme="minorEastAsia" w:cstheme="minorEastAsia"/>
          <w:sz w:val="24"/>
        </w:rPr>
      </w:pPr>
    </w:p>
    <w:p>
      <w:pPr>
        <w:pStyle w:val="24"/>
        <w:numPr>
          <w:ilvl w:val="0"/>
          <w:numId w:val="13"/>
        </w:numPr>
        <w:spacing w:before="120" w:after="120" w:line="500" w:lineRule="exact"/>
        <w:ind w:right="29" w:rightChars="14"/>
        <w:outlineLvl w:val="1"/>
        <w:rPr>
          <w:rFonts w:asciiTheme="minorEastAsia" w:hAnsiTheme="minorEastAsia" w:eastAsiaTheme="minorEastAsia" w:cstheme="minorEastAsia"/>
          <w:sz w:val="30"/>
          <w:szCs w:val="30"/>
        </w:rPr>
      </w:pPr>
      <w:bookmarkStart w:id="284" w:name="_Toc5614"/>
      <w:bookmarkStart w:id="285" w:name="_Toc2213"/>
      <w:bookmarkStart w:id="286" w:name="_Toc26698"/>
      <w:r>
        <w:rPr>
          <w:rFonts w:hint="eastAsia" w:asciiTheme="minorEastAsia" w:hAnsiTheme="minorEastAsia" w:eastAsiaTheme="minorEastAsia" w:cstheme="minorEastAsia"/>
          <w:sz w:val="30"/>
          <w:szCs w:val="30"/>
        </w:rPr>
        <w:t>法定代表人身份证明书</w:t>
      </w:r>
      <w:bookmarkEnd w:id="284"/>
      <w:bookmarkEnd w:id="285"/>
      <w:bookmarkEnd w:id="286"/>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10"/>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15875" b="571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8890" b="1587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pStyle w:val="10"/>
        <w:rPr>
          <w:rFonts w:ascii="宋体" w:hAnsi="宋体"/>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-149225</wp:posOffset>
                </wp:positionH>
                <wp:positionV relativeFrom="paragraph">
                  <wp:posOffset>420370</wp:posOffset>
                </wp:positionV>
                <wp:extent cx="2810510" cy="296545"/>
                <wp:effectExtent l="4445" t="4445" r="19685" b="1905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1.75pt;margin-top:33.1pt;height:23.35pt;width:221.3pt;z-index:251660288;mso-width-relative:page;mso-height-relative:page;" fillcolor="#FFFFFF" filled="t" stroked="t" coordsize="21600,21600" o:gfxdata="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pLfC/aAAAACgEAAA8AAAAAAAAAAQAg&#10;AAAAIgAAAGRycy9kb3ducmV2LnhtbFBLAQIUABQAAAAIAIdO4kCZSaFvDAIAADYEAAAOAAAAAAAA&#10;AAEAIAAAACkBAABkcnMvZTJvRG9jLnhtbFBLBQYAAAAABgAGAFkBAACnBQ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19685" b="1905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sz w:val="24"/>
        </w:rPr>
      </w:pPr>
    </w:p>
    <w:p>
      <w:pPr>
        <w:pStyle w:val="10"/>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4"/>
        <w:spacing w:before="120" w:after="120" w:line="500" w:lineRule="exact"/>
        <w:ind w:right="29" w:rightChars="14"/>
        <w:outlineLvl w:val="1"/>
        <w:rPr>
          <w:rFonts w:asciiTheme="minorEastAsia" w:hAnsiTheme="minorEastAsia" w:eastAsiaTheme="minorEastAsia" w:cstheme="minorEastAsia"/>
          <w:sz w:val="30"/>
          <w:szCs w:val="30"/>
        </w:rPr>
      </w:pPr>
      <w:bookmarkStart w:id="287" w:name="_Toc6009"/>
      <w:bookmarkStart w:id="288" w:name="_Toc15395"/>
    </w:p>
    <w:p>
      <w:pPr>
        <w:pStyle w:val="24"/>
        <w:spacing w:before="120" w:after="120" w:line="500" w:lineRule="exact"/>
        <w:ind w:right="29" w:rightChars="14"/>
        <w:outlineLvl w:val="1"/>
        <w:rPr>
          <w:rFonts w:asciiTheme="minorEastAsia" w:hAnsiTheme="minorEastAsia" w:eastAsiaTheme="minorEastAsia" w:cstheme="minorEastAsia"/>
          <w:sz w:val="30"/>
          <w:szCs w:val="30"/>
        </w:rPr>
      </w:pPr>
      <w:bookmarkStart w:id="289" w:name="_Toc17980"/>
      <w:r>
        <w:rPr>
          <w:rFonts w:hint="eastAsia" w:asciiTheme="minorEastAsia" w:hAnsiTheme="minorEastAsia" w:eastAsiaTheme="minorEastAsia" w:cstheme="minorEastAsia"/>
          <w:sz w:val="30"/>
          <w:szCs w:val="30"/>
        </w:rPr>
        <w:t>三、授权委托书</w:t>
      </w:r>
      <w:bookmarkEnd w:id="287"/>
      <w:bookmarkEnd w:id="288"/>
      <w:bookmarkEnd w:id="289"/>
    </w:p>
    <w:p>
      <w:pPr>
        <w:pStyle w:val="10"/>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-167005</wp:posOffset>
                </wp:positionH>
                <wp:positionV relativeFrom="paragraph">
                  <wp:posOffset>158750</wp:posOffset>
                </wp:positionV>
                <wp:extent cx="2874010" cy="2235200"/>
                <wp:effectExtent l="4445" t="4445" r="17145" b="8255"/>
                <wp:wrapNone/>
                <wp:docPr id="5" name="自选图形 7"/>
                <wp:cNvGraphicFramePr/>
                <a:graphic xmlns:a="http://schemas.openxmlformats.org/drawingml/2006/main">
                  <a:graphicData uri="http://schemas.microsoft.com/office/word/2010/wordprocessingShape">
                    <wps:wsp>
                      <wps:cNvSpPr/>
                      <wps:spPr>
                        <a:xfrm>
                          <a:off x="0" y="0"/>
                          <a:ext cx="28740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13.15pt;margin-top:12.5pt;height:176pt;width:226.3pt;z-index:251663360;mso-width-relative:page;mso-height-relative:page;" fillcolor="#FFFFFF" filled="t" stroked="t" coordsize="21600,21600" o:gfxdata="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5U5V1wAAAAoBAAAP&#10;AAAAAAAAAAEAIAAAACIAAABkcnMvZG93bnJldi54bWxQSwECFAAUAAAACACHTuJAEy6krBkCAABF&#10;BAAADgAAAAAAAAABACAAAAAmAQAAZHJzL2Uyb0RvYy54bWxQSwUGAAAAAAYABgBZAQAAsQU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3124200</wp:posOffset>
                </wp:positionH>
                <wp:positionV relativeFrom="paragraph">
                  <wp:posOffset>165735</wp:posOffset>
                </wp:positionV>
                <wp:extent cx="2936875" cy="2235200"/>
                <wp:effectExtent l="4445" t="4445" r="11430" b="8255"/>
                <wp:wrapNone/>
                <wp:docPr id="6" name="自选图形 6"/>
                <wp:cNvGraphicFramePr/>
                <a:graphic xmlns:a="http://schemas.openxmlformats.org/drawingml/2006/main">
                  <a:graphicData uri="http://schemas.microsoft.com/office/word/2010/wordprocessingShape">
                    <wps:wsp>
                      <wps:cNvSpPr/>
                      <wps:spPr>
                        <a:xfrm>
                          <a:off x="0" y="0"/>
                          <a:ext cx="293687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46pt;margin-top:13.05pt;height:176pt;width:231.25pt;z-index:251664384;mso-width-relative:page;mso-height-relative:page;" fillcolor="#FFFFFF" filled="t" stroked="t" coordsize="21600,21600" o:gfxdata="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BC3M82QAAAAoBAAAPAAAA&#10;AAAAAAEAIAAAACIAAABkcnMvZG93bnJldi54bWxQSwECFAAUAAAACACHTuJAbexA0B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3357880</wp:posOffset>
                </wp:positionH>
                <wp:positionV relativeFrom="paragraph">
                  <wp:posOffset>234950</wp:posOffset>
                </wp:positionV>
                <wp:extent cx="2277745" cy="296545"/>
                <wp:effectExtent l="4445" t="4445" r="22860" b="22860"/>
                <wp:wrapNone/>
                <wp:docPr id="8" name="文本框 9"/>
                <wp:cNvGraphicFramePr/>
                <a:graphic xmlns:a="http://schemas.openxmlformats.org/drawingml/2006/main">
                  <a:graphicData uri="http://schemas.microsoft.com/office/word/2010/wordprocessingShape">
                    <wps:wsp>
                      <wps:cNvSpPr txBox="1"/>
                      <wps:spPr>
                        <a:xfrm>
                          <a:off x="0" y="0"/>
                          <a:ext cx="2277745"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64.4pt;margin-top:18.5pt;height:23.35pt;width:179.35pt;z-index:251666432;mso-width-relative:page;mso-height-relative:page;" fillcolor="#FFFFFF" filled="t" stroked="t" coordsize="21600,21600" o:gfxdata="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eHU3DZAAAACQEAAA8AAAAAAAAAAQAgAAAA&#10;IgAAAGRycy9kb3ducmV2LnhtbFBLAQIUABQAAAAIAIdO4kDfjDfl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10795</wp:posOffset>
                </wp:positionH>
                <wp:positionV relativeFrom="paragraph">
                  <wp:posOffset>301625</wp:posOffset>
                </wp:positionV>
                <wp:extent cx="2430145" cy="296545"/>
                <wp:effectExtent l="4445" t="4445" r="22860" b="22860"/>
                <wp:wrapNone/>
                <wp:docPr id="7" name="文本框 8"/>
                <wp:cNvGraphicFramePr/>
                <a:graphic xmlns:a="http://schemas.openxmlformats.org/drawingml/2006/main">
                  <a:graphicData uri="http://schemas.microsoft.com/office/word/2010/wordprocessingShape">
                    <wps:wsp>
                      <wps:cNvSpPr txBox="1"/>
                      <wps:spPr>
                        <a:xfrm>
                          <a:off x="0" y="0"/>
                          <a:ext cx="2430145"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0.85pt;margin-top:23.75pt;height:23.35pt;width:191.35pt;z-index:251665408;mso-width-relative:page;mso-height-relative:page;" fillcolor="#FFFFFF" filled="t" stroked="t" coordsize="21600,21600" o:gfxdata="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aWFr81gAAAAcBAAAPAAAAAAAAAAEAIAAAACIA&#10;AABkcnMvZG93bnJldi54bWxQSwECFAAUAAAACACHTuJAmSo6+AsCAAA2BAAADgAAAAAAAAABACAA&#10;AAAlAQAAZHJzL2Uyb0RvYy54bWxQSwUGAAAAAAYABgBZAQAAogU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32"/>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bCs/>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290" w:name="_Toc8304"/>
      <w:bookmarkStart w:id="291" w:name="_Toc25161"/>
      <w:r>
        <w:rPr>
          <w:rFonts w:hint="eastAsia" w:asciiTheme="minorEastAsia" w:hAnsiTheme="minorEastAsia" w:eastAsiaTheme="minorEastAsia" w:cstheme="minorEastAsia"/>
          <w:b/>
          <w:kern w:val="2"/>
          <w:sz w:val="30"/>
          <w:szCs w:val="30"/>
        </w:rPr>
        <w:t>四、项目供货</w:t>
      </w:r>
      <w:r>
        <w:rPr>
          <w:rFonts w:hint="eastAsia" w:asciiTheme="minorEastAsia" w:hAnsiTheme="minorEastAsia" w:eastAsiaTheme="minorEastAsia" w:cstheme="minorEastAsia"/>
          <w:b/>
          <w:kern w:val="2"/>
          <w:sz w:val="30"/>
          <w:szCs w:val="30"/>
          <w:lang w:val="en-US" w:eastAsia="zh-CN"/>
        </w:rPr>
        <w:t>安装</w:t>
      </w:r>
      <w:r>
        <w:rPr>
          <w:rFonts w:hint="eastAsia" w:asciiTheme="minorEastAsia" w:hAnsiTheme="minorEastAsia" w:eastAsiaTheme="minorEastAsia" w:cstheme="minorEastAsia"/>
          <w:b/>
          <w:kern w:val="2"/>
          <w:sz w:val="30"/>
          <w:szCs w:val="30"/>
        </w:rPr>
        <w:t>期保证措施、售后服务方案</w:t>
      </w:r>
      <w:bookmarkEnd w:id="290"/>
      <w:r>
        <w:rPr>
          <w:rFonts w:hint="eastAsia" w:asciiTheme="minorEastAsia" w:hAnsiTheme="minorEastAsia" w:eastAsiaTheme="minorEastAsia" w:cstheme="minorEastAsia"/>
          <w:b/>
          <w:kern w:val="2"/>
          <w:sz w:val="30"/>
          <w:szCs w:val="30"/>
        </w:rPr>
        <w:t>等</w:t>
      </w:r>
      <w:bookmarkEnd w:id="291"/>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autoSpaceDE w:val="0"/>
        <w:autoSpaceDN w:val="0"/>
        <w:adjustRightInd w:val="0"/>
        <w:spacing w:line="440" w:lineRule="exact"/>
        <w:jc w:val="center"/>
        <w:rPr>
          <w:rFonts w:ascii="宋体" w:hAnsi="宋体" w:cs="宋体"/>
          <w:b/>
          <w:sz w:val="30"/>
          <w:szCs w:val="30"/>
        </w:rPr>
      </w:pPr>
      <w:bookmarkStart w:id="292" w:name="_Toc10043"/>
    </w:p>
    <w:p>
      <w:pPr>
        <w:autoSpaceDE w:val="0"/>
        <w:autoSpaceDN w:val="0"/>
        <w:adjustRightInd w:val="0"/>
        <w:spacing w:line="440" w:lineRule="exact"/>
        <w:jc w:val="center"/>
        <w:rPr>
          <w:rFonts w:ascii="宋体" w:hAnsi="宋体" w:cs="宋体"/>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293" w:name="_Toc29492"/>
      <w:bookmarkStart w:id="294" w:name="_Toc30146"/>
      <w:bookmarkStart w:id="295" w:name="_Toc20650"/>
      <w:r>
        <w:rPr>
          <w:rFonts w:hint="eastAsia" w:asciiTheme="minorEastAsia" w:hAnsiTheme="minorEastAsia" w:eastAsiaTheme="minorEastAsia" w:cstheme="minorEastAsia"/>
          <w:b/>
          <w:kern w:val="2"/>
          <w:sz w:val="30"/>
          <w:szCs w:val="30"/>
        </w:rPr>
        <w:t>五、资格证明文件</w:t>
      </w:r>
      <w:bookmarkEnd w:id="292"/>
      <w:bookmarkEnd w:id="293"/>
      <w:bookmarkEnd w:id="294"/>
      <w:bookmarkEnd w:id="295"/>
    </w:p>
    <w:p>
      <w:pPr>
        <w:spacing w:line="400" w:lineRule="exact"/>
        <w:jc w:val="left"/>
        <w:rPr>
          <w:rFonts w:asciiTheme="minorEastAsia" w:hAnsiTheme="minorEastAsia" w:eastAsiaTheme="minorEastAsia" w:cstheme="minorEastAsia"/>
          <w:bCs/>
          <w:sz w:val="24"/>
        </w:rPr>
      </w:pPr>
    </w:p>
    <w:p>
      <w:pPr>
        <w:spacing w:line="400" w:lineRule="exact"/>
        <w:jc w:val="left"/>
        <w:rPr>
          <w:sz w:val="24"/>
        </w:rPr>
      </w:pPr>
    </w:p>
    <w:p>
      <w:pPr>
        <w:spacing w:line="400" w:lineRule="exact"/>
        <w:jc w:val="left"/>
        <w:rPr>
          <w:sz w:val="24"/>
        </w:rPr>
      </w:pPr>
      <w:r>
        <w:rPr>
          <w:rFonts w:hint="eastAsia"/>
          <w:sz w:val="24"/>
        </w:rPr>
        <w:t>一、 供应商营业执照副本（三证合一）；</w:t>
      </w:r>
    </w:p>
    <w:p>
      <w:pPr>
        <w:spacing w:line="400" w:lineRule="exact"/>
        <w:jc w:val="left"/>
        <w:rPr>
          <w:sz w:val="24"/>
        </w:rPr>
      </w:pPr>
      <w:r>
        <w:rPr>
          <w:rFonts w:hint="eastAsia"/>
          <w:sz w:val="24"/>
        </w:rPr>
        <w:t>二、符合《中华人民共和国政府采购法》第二十二条规定:</w:t>
      </w:r>
    </w:p>
    <w:p>
      <w:pPr>
        <w:spacing w:line="400" w:lineRule="exact"/>
        <w:ind w:firstLine="480" w:firstLineChars="200"/>
        <w:jc w:val="left"/>
        <w:rPr>
          <w:sz w:val="24"/>
        </w:rPr>
      </w:pPr>
      <w:r>
        <w:rPr>
          <w:rFonts w:hint="eastAsia"/>
          <w:sz w:val="24"/>
        </w:rPr>
        <w:t>2.1.开标日前六个月内任一个月的依法缴纳税收的相关证明、开标日前六个月内任一个月的依法缴纳社会保障资金的相关证明、开标日前六个月内任一个月的资产负债表或损益表或年度财务会计报表或上年度会计事务所出具的审计报告；</w:t>
      </w:r>
    </w:p>
    <w:p>
      <w:pPr>
        <w:spacing w:line="400" w:lineRule="exact"/>
        <w:ind w:firstLine="480" w:firstLineChars="200"/>
        <w:jc w:val="left"/>
        <w:rPr>
          <w:sz w:val="24"/>
        </w:rPr>
      </w:pPr>
      <w:r>
        <w:rPr>
          <w:rFonts w:hint="eastAsia"/>
          <w:sz w:val="24"/>
        </w:rPr>
        <w:t>2.2.参加政府采购活动前三年内无重大违法记录的书面声明；</w:t>
      </w:r>
    </w:p>
    <w:p>
      <w:pPr>
        <w:spacing w:line="400" w:lineRule="exact"/>
        <w:jc w:val="left"/>
        <w:rPr>
          <w:sz w:val="24"/>
        </w:rPr>
      </w:pPr>
      <w:r>
        <w:rPr>
          <w:rFonts w:hint="eastAsia"/>
          <w:sz w:val="24"/>
        </w:rPr>
        <w:t>三、招标文件中要求的其他资格证明材料。</w:t>
      </w:r>
    </w:p>
    <w:p>
      <w:pPr>
        <w:pStyle w:val="5"/>
        <w:ind w:firstLine="482"/>
        <w:rPr>
          <w:b/>
          <w:bCs/>
        </w:rPr>
      </w:pPr>
      <w:r>
        <w:rPr>
          <w:rFonts w:hint="eastAsia"/>
          <w:b/>
          <w:bCs/>
          <w:sz w:val="24"/>
        </w:rPr>
        <w:t>备注：以上资格证明文件须提供原件的扫描件。</w:t>
      </w:r>
    </w:p>
    <w:p>
      <w:pPr>
        <w:pStyle w:val="5"/>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
        <w:ind w:firstLine="281"/>
        <w:rPr>
          <w:rFonts w:hint="default" w:asciiTheme="minorEastAsia" w:hAnsiTheme="minorEastAsia" w:eastAsiaTheme="minorEastAsia" w:cstheme="minorEastAsia"/>
          <w:b/>
          <w:sz w:val="28"/>
        </w:rPr>
      </w:pPr>
    </w:p>
    <w:p>
      <w:pPr>
        <w:pStyle w:val="5"/>
        <w:ind w:firstLine="562"/>
        <w:rPr>
          <w:rFonts w:asciiTheme="minorEastAsia" w:hAnsiTheme="minorEastAsia" w:eastAsiaTheme="minorEastAsia" w:cstheme="minorEastAsia"/>
          <w:b/>
          <w:sz w:val="28"/>
        </w:rPr>
      </w:pPr>
    </w:p>
    <w:p>
      <w:pPr>
        <w:pStyle w:val="5"/>
        <w:ind w:firstLine="562"/>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bookmarkStart w:id="296" w:name="_Toc8330"/>
      <w:bookmarkStart w:id="297" w:name="_Toc6465"/>
      <w:bookmarkStart w:id="298" w:name="_Toc31553"/>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299" w:name="_Toc4390"/>
      <w:r>
        <w:rPr>
          <w:rFonts w:hint="eastAsia" w:asciiTheme="minorEastAsia" w:hAnsiTheme="minorEastAsia" w:eastAsiaTheme="minorEastAsia" w:cstheme="minorEastAsia"/>
          <w:b/>
          <w:kern w:val="2"/>
          <w:sz w:val="30"/>
          <w:szCs w:val="30"/>
        </w:rPr>
        <w:t>六、供应商服务承诺和优惠承诺</w:t>
      </w:r>
      <w:bookmarkEnd w:id="299"/>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firstLine="602" w:firstLineChars="200"/>
        <w:jc w:val="both"/>
        <w:outlineLvl w:val="1"/>
        <w:rPr>
          <w:rFonts w:asciiTheme="minorEastAsia" w:hAnsiTheme="minorEastAsia" w:eastAsiaTheme="minorEastAsia" w:cstheme="minorEastAsia"/>
          <w:sz w:val="30"/>
          <w:szCs w:val="30"/>
        </w:rPr>
      </w:pPr>
      <w:bookmarkStart w:id="300" w:name="_Toc700"/>
      <w:r>
        <w:rPr>
          <w:rFonts w:hint="eastAsia" w:asciiTheme="minorEastAsia" w:hAnsiTheme="minorEastAsia" w:eastAsiaTheme="minorEastAsia" w:cstheme="minorEastAsia"/>
          <w:b/>
          <w:kern w:val="2"/>
          <w:sz w:val="30"/>
          <w:szCs w:val="30"/>
        </w:rPr>
        <w:t>七、供应商所投产品属于当期政府采购清单规定的节能环保产品的</w:t>
      </w:r>
      <w:bookmarkEnd w:id="296"/>
      <w:bookmarkEnd w:id="300"/>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1" w:name="_Toc28422"/>
      <w:bookmarkStart w:id="302" w:name="_Toc24210"/>
      <w:bookmarkStart w:id="303" w:name="_Toc18925"/>
      <w:bookmarkStart w:id="304" w:name="_Toc21287"/>
      <w:r>
        <w:rPr>
          <w:rFonts w:hint="eastAsia" w:asciiTheme="minorEastAsia" w:hAnsiTheme="minorEastAsia" w:eastAsiaTheme="minorEastAsia" w:cstheme="minorEastAsia"/>
          <w:b/>
          <w:kern w:val="2"/>
          <w:sz w:val="30"/>
          <w:szCs w:val="30"/>
        </w:rPr>
        <w:t>证明材料</w:t>
      </w:r>
      <w:bookmarkEnd w:id="297"/>
      <w:bookmarkEnd w:id="301"/>
      <w:bookmarkEnd w:id="302"/>
      <w:bookmarkEnd w:id="303"/>
      <w:r>
        <w:rPr>
          <w:rFonts w:hint="eastAsia" w:asciiTheme="minorEastAsia" w:hAnsiTheme="minorEastAsia" w:eastAsiaTheme="minorEastAsia" w:cstheme="minorEastAsia"/>
          <w:b/>
          <w:kern w:val="2"/>
          <w:sz w:val="30"/>
          <w:szCs w:val="30"/>
        </w:rPr>
        <w:t>（如有）</w:t>
      </w:r>
      <w:bookmarkEnd w:id="304"/>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5" w:name="_Toc24850"/>
      <w:bookmarkStart w:id="306" w:name="_Toc23227"/>
      <w:bookmarkStart w:id="307" w:name="_Toc10717"/>
      <w:r>
        <w:rPr>
          <w:rFonts w:hint="eastAsia" w:asciiTheme="minorEastAsia" w:hAnsiTheme="minorEastAsia" w:eastAsiaTheme="minorEastAsia" w:cstheme="minorEastAsia"/>
          <w:b/>
          <w:kern w:val="2"/>
          <w:sz w:val="30"/>
          <w:szCs w:val="30"/>
        </w:rPr>
        <w:t>八、中小企业声明函（如有）</w:t>
      </w:r>
      <w:bookmarkEnd w:id="305"/>
      <w:bookmarkEnd w:id="306"/>
      <w:bookmarkEnd w:id="307"/>
    </w:p>
    <w:p>
      <w:pPr>
        <w:pStyle w:val="23"/>
        <w:shd w:val="clear" w:color="auto" w:fill="FFFFFF"/>
        <w:spacing w:line="315" w:lineRule="atLeast"/>
        <w:ind w:firstLine="420"/>
        <w:rPr>
          <w:rFonts w:asciiTheme="minorEastAsia" w:hAnsiTheme="minorEastAsia" w:eastAsiaTheme="minorEastAsia" w:cstheme="minorEastAsia"/>
          <w:shd w:val="clear" w:color="auto" w:fill="FFFFFF"/>
        </w:rPr>
      </w:pPr>
      <w:r>
        <w:rPr>
          <w:rFonts w:hint="eastAsia" w:asciiTheme="minorEastAsia" w:hAnsiTheme="minorEastAsia" w:eastAsiaTheme="minorEastAsia" w:cstheme="minorEastAsia"/>
          <w:shd w:val="clear" w:color="auto" w:fill="FFFFFF"/>
        </w:rPr>
        <w:t>本公司郑重声明，根据《政府采购促进中小企业发展暂行办法》（财库[2011]181号）的规定，本公司为______（请填写：中型、小型、微型）企业。即，本公司同时满足以下条件：</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1.根据《工业和信息化部、国家统计局、国家发展和改革委员会、财政部关于印发中小企业划型标准规定的通知》（工信部联企业[2011]300号）规定的划分标准，本公司为______（请填写：中型、小型、微型）企业。</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本公司对上述声明的真实性负责。如有虚假，将依法承担相应责任。</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　　　　　　　　　　　　　　　企业名称（</w:t>
      </w:r>
      <w:r>
        <w:rPr>
          <w:rFonts w:hint="eastAsia" w:asciiTheme="minorEastAsia" w:hAnsiTheme="minorEastAsia" w:eastAsiaTheme="minorEastAsia" w:cstheme="minorEastAsia"/>
          <w:bCs/>
          <w:sz w:val="24"/>
        </w:rPr>
        <w:t>盖单位公章</w:t>
      </w:r>
      <w:r>
        <w:rPr>
          <w:rFonts w:hint="eastAsia" w:asciiTheme="minorEastAsia" w:hAnsiTheme="minorEastAsia" w:eastAsiaTheme="minorEastAsia" w:cstheme="minorEastAsia"/>
          <w:kern w:val="0"/>
          <w:sz w:val="24"/>
          <w:shd w:val="clear" w:color="auto" w:fill="FFFFFF"/>
        </w:rPr>
        <w:t>）：</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　　　　　　　　　　　　　　　　　　日期：</w:t>
      </w:r>
    </w:p>
    <w:p>
      <w:pPr>
        <w:spacing w:line="600" w:lineRule="exact"/>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08" w:name="_Toc11708"/>
      <w:bookmarkStart w:id="309" w:name="_Toc20881"/>
      <w:bookmarkStart w:id="310" w:name="_Toc30170"/>
      <w:bookmarkStart w:id="311" w:name="_Toc14292"/>
      <w:r>
        <w:rPr>
          <w:rFonts w:hint="eastAsia" w:asciiTheme="minorEastAsia" w:hAnsiTheme="minorEastAsia" w:eastAsiaTheme="minorEastAsia" w:cstheme="minorEastAsia"/>
          <w:b/>
          <w:kern w:val="2"/>
          <w:sz w:val="30"/>
          <w:szCs w:val="30"/>
        </w:rPr>
        <w:t>九、残疾人福利性单位声明函（如有）</w:t>
      </w:r>
      <w:bookmarkEnd w:id="308"/>
      <w:bookmarkEnd w:id="309"/>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298"/>
    <w:bookmarkEnd w:id="310"/>
    <w:bookmarkEnd w:id="311"/>
    <w:p>
      <w:pPr>
        <w:spacing w:after="758" w:afterLines="200"/>
        <w:ind w:firstLine="2259" w:firstLineChars="750"/>
        <w:rPr>
          <w:rFonts w:asciiTheme="minorEastAsia" w:hAnsiTheme="minorEastAsia" w:eastAsiaTheme="minorEastAsia" w:cstheme="minorEastAsia"/>
          <w:b/>
          <w:sz w:val="30"/>
          <w:szCs w:val="30"/>
        </w:rPr>
      </w:pPr>
    </w:p>
    <w:p>
      <w:pPr>
        <w:rPr>
          <w:rFonts w:ascii="Times New Roman" w:hAnsi="Times New Roman" w:eastAsia="仿宋"/>
          <w:sz w:val="32"/>
          <w:szCs w:val="32"/>
          <w:shd w:val="clear" w:color="FFFFFF" w:fill="D9D9D9"/>
        </w:rPr>
      </w:pPr>
    </w:p>
    <w:p>
      <w:pPr>
        <w:pStyle w:val="11"/>
        <w:rPr>
          <w:shd w:val="clear" w:color="FFFFFF" w:fill="D9D9D9"/>
        </w:rPr>
      </w:pPr>
    </w:p>
    <w:p>
      <w:pPr>
        <w:pStyle w:val="23"/>
        <w:widowControl w:val="0"/>
        <w:spacing w:before="120" w:beforeAutospacing="0" w:after="120" w:afterAutospacing="0" w:line="500" w:lineRule="exact"/>
        <w:ind w:right="29" w:rightChars="14" w:firstLine="602" w:firstLineChars="200"/>
        <w:jc w:val="both"/>
        <w:outlineLvl w:val="1"/>
        <w:rPr>
          <w:rFonts w:asciiTheme="minorEastAsia" w:hAnsiTheme="minorEastAsia" w:eastAsiaTheme="minorEastAsia" w:cstheme="minorEastAsia"/>
          <w:b/>
          <w:kern w:val="2"/>
          <w:sz w:val="30"/>
          <w:szCs w:val="30"/>
          <w:shd w:val="clear" w:color="FFFFFF" w:fill="D9D9D9"/>
        </w:rPr>
      </w:pPr>
    </w:p>
    <w:p>
      <w:pPr>
        <w:pStyle w:val="23"/>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12" w:name="_Toc18605"/>
      <w:bookmarkStart w:id="313" w:name="_Toc16608"/>
      <w:r>
        <w:rPr>
          <w:rFonts w:hint="eastAsia" w:asciiTheme="minorEastAsia" w:hAnsiTheme="minorEastAsia" w:eastAsiaTheme="minorEastAsia" w:cstheme="minorEastAsia"/>
          <w:b/>
          <w:kern w:val="2"/>
          <w:sz w:val="30"/>
          <w:szCs w:val="30"/>
        </w:rPr>
        <w:t>十、招标文件要求的或供应商认为须提交的其他材料</w:t>
      </w:r>
      <w:bookmarkEnd w:id="312"/>
      <w:bookmarkEnd w:id="313"/>
    </w:p>
    <w:p>
      <w:pPr>
        <w:spacing w:line="360" w:lineRule="auto"/>
        <w:rPr>
          <w:rFonts w:asciiTheme="minorEastAsia" w:hAnsiTheme="minorEastAsia" w:eastAsiaTheme="minorEastAsia" w:cstheme="minorEastAsia"/>
          <w:sz w:val="24"/>
          <w:shd w:val="clear" w:color="FFFFFF" w:fill="D9D9D9"/>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spacing w:line="360" w:lineRule="auto"/>
        <w:jc w:val="center"/>
        <w:rPr>
          <w:rFonts w:ascii="方正小标宋简体" w:hAnsi="方正小标宋简体" w:eastAsia="方正小标宋简体" w:cs="方正小标宋简体"/>
          <w:b/>
          <w:sz w:val="44"/>
          <w:szCs w:val="44"/>
        </w:rPr>
      </w:pP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三、评标结果确认时限。自评标（评审）结束后应2个工作日内确定中标（成交）供应商，5个工作日内公告结果，同时发送中标（成交）通知书。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10"/>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b/>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5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6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58"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
    <w:altName w:val="Arial"/>
    <w:panose1 w:val="020B0604020202020204"/>
    <w:charset w:val="00"/>
    <w:family w:val="swiss"/>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9"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59264;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O&#10;Pf+m2AAAAAsBAAAPAAAAAAAAAAEAIAAAACIAAABkcnMvZG93bnJldi54bWxQSwECFAAUAAAACACH&#10;TuJAQ2062bIBAABdAwAADgAAAAAAAAABACAAAAAnAQAAZHJzL2Uyb0RvYy54bWxQSwUGAAAAAAYA&#10;BgBZAQAASwUAAAAA&#10;">
              <v:fill on="f" focussize="0,0"/>
              <v:stroke on="f"/>
              <v:imagedata o:title=""/>
              <o:lock v:ext="edit" aspectratio="f"/>
              <v:textbox>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ipFLs0AAAAAMBAAAPAAAAAAAAAAEAIAAAACIAAABkcnMv&#10;ZG93bnJldi54bWxQSwECFAAUAAAACACHTuJAdSJXXtIBAACmAwAADgAAAAAAAAABACAAAAAfAQAA&#10;ZHJzL2Uyb0RvYy54bWxQSwUGAAAAAAYABgBZAQAAYw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9FB039FA"/>
    <w:multiLevelType w:val="singleLevel"/>
    <w:tmpl w:val="9FB039FA"/>
    <w:lvl w:ilvl="0" w:tentative="0">
      <w:start w:val="2"/>
      <w:numFmt w:val="chineseCounting"/>
      <w:suff w:val="nothing"/>
      <w:lvlText w:val="%1、"/>
      <w:lvlJc w:val="left"/>
      <w:rPr>
        <w:rFonts w:hint="eastAsia"/>
      </w:rPr>
    </w:lvl>
  </w:abstractNum>
  <w:abstractNum w:abstractNumId="3">
    <w:nsid w:val="A58974FB"/>
    <w:multiLevelType w:val="singleLevel"/>
    <w:tmpl w:val="A58974FB"/>
    <w:lvl w:ilvl="0" w:tentative="0">
      <w:start w:val="1"/>
      <w:numFmt w:val="decimal"/>
      <w:suff w:val="space"/>
      <w:lvlText w:val="%1."/>
      <w:lvlJc w:val="left"/>
    </w:lvl>
  </w:abstractNum>
  <w:abstractNum w:abstractNumId="4">
    <w:nsid w:val="B93A6C9F"/>
    <w:multiLevelType w:val="singleLevel"/>
    <w:tmpl w:val="B93A6C9F"/>
    <w:lvl w:ilvl="0" w:tentative="0">
      <w:start w:val="1"/>
      <w:numFmt w:val="decimal"/>
      <w:suff w:val="nothing"/>
      <w:lvlText w:val="%1、"/>
      <w:lvlJc w:val="left"/>
    </w:lvl>
  </w:abstractNum>
  <w:abstractNum w:abstractNumId="5">
    <w:nsid w:val="B940B7CB"/>
    <w:multiLevelType w:val="singleLevel"/>
    <w:tmpl w:val="B940B7CB"/>
    <w:lvl w:ilvl="0" w:tentative="0">
      <w:start w:val="3"/>
      <w:numFmt w:val="decimal"/>
      <w:suff w:val="nothing"/>
      <w:lvlText w:val="%1、"/>
      <w:lvlJc w:val="left"/>
    </w:lvl>
  </w:abstractNum>
  <w:abstractNum w:abstractNumId="6">
    <w:nsid w:val="E25B3C03"/>
    <w:multiLevelType w:val="singleLevel"/>
    <w:tmpl w:val="E25B3C03"/>
    <w:lvl w:ilvl="0" w:tentative="0">
      <w:start w:val="1"/>
      <w:numFmt w:val="decimal"/>
      <w:suff w:val="nothing"/>
      <w:lvlText w:val="（%1）"/>
      <w:lvlJc w:val="left"/>
    </w:lvl>
  </w:abstractNum>
  <w:abstractNum w:abstractNumId="7">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74054F6"/>
    <w:multiLevelType w:val="multilevel"/>
    <w:tmpl w:val="074054F6"/>
    <w:lvl w:ilvl="0" w:tentative="0">
      <w:start w:val="1"/>
      <w:numFmt w:val="decimal"/>
      <w:pStyle w:val="31"/>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9">
    <w:nsid w:val="1C58BAF0"/>
    <w:multiLevelType w:val="singleLevel"/>
    <w:tmpl w:val="1C58BAF0"/>
    <w:lvl w:ilvl="0" w:tentative="0">
      <w:start w:val="1"/>
      <w:numFmt w:val="decimal"/>
      <w:suff w:val="nothing"/>
      <w:lvlText w:val="（%1）"/>
      <w:lvlJc w:val="left"/>
    </w:lvl>
  </w:abstractNum>
  <w:abstractNum w:abstractNumId="10">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59CCA2E1"/>
    <w:multiLevelType w:val="singleLevel"/>
    <w:tmpl w:val="59CCA2E1"/>
    <w:lvl w:ilvl="0" w:tentative="0">
      <w:start w:val="1"/>
      <w:numFmt w:val="decimal"/>
      <w:suff w:val="nothing"/>
      <w:lvlText w:val="（%1）"/>
      <w:lvlJc w:val="left"/>
    </w:lvl>
  </w:abstractNum>
  <w:abstractNum w:abstractNumId="12">
    <w:nsid w:val="5A693C2F"/>
    <w:multiLevelType w:val="singleLevel"/>
    <w:tmpl w:val="5A693C2F"/>
    <w:lvl w:ilvl="0" w:tentative="0">
      <w:start w:val="3"/>
      <w:numFmt w:val="chineseCounting"/>
      <w:suff w:val="space"/>
      <w:lvlText w:val="第%1章"/>
      <w:lvlJc w:val="left"/>
    </w:lvl>
  </w:abstractNum>
  <w:num w:numId="1">
    <w:abstractNumId w:val="8"/>
  </w:num>
  <w:num w:numId="2">
    <w:abstractNumId w:val="5"/>
  </w:num>
  <w:num w:numId="3">
    <w:abstractNumId w:val="0"/>
  </w:num>
  <w:num w:numId="4">
    <w:abstractNumId w:val="7"/>
  </w:num>
  <w:num w:numId="5">
    <w:abstractNumId w:val="12"/>
  </w:num>
  <w:num w:numId="6">
    <w:abstractNumId w:val="1"/>
  </w:num>
  <w:num w:numId="7">
    <w:abstractNumId w:val="9"/>
  </w:num>
  <w:num w:numId="8">
    <w:abstractNumId w:val="6"/>
  </w:num>
  <w:num w:numId="9">
    <w:abstractNumId w:val="4"/>
  </w:num>
  <w:num w:numId="10">
    <w:abstractNumId w:val="10"/>
  </w:num>
  <w:num w:numId="11">
    <w:abstractNumId w:val="3"/>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00CF3BAF"/>
    <w:rsid w:val="00222183"/>
    <w:rsid w:val="00281BCC"/>
    <w:rsid w:val="0034193D"/>
    <w:rsid w:val="00382698"/>
    <w:rsid w:val="0047053D"/>
    <w:rsid w:val="004F3919"/>
    <w:rsid w:val="004F7D11"/>
    <w:rsid w:val="005164FE"/>
    <w:rsid w:val="005A3CE9"/>
    <w:rsid w:val="005C427C"/>
    <w:rsid w:val="00666E50"/>
    <w:rsid w:val="006B2CA3"/>
    <w:rsid w:val="006D1107"/>
    <w:rsid w:val="007E1A9C"/>
    <w:rsid w:val="008E4247"/>
    <w:rsid w:val="00981849"/>
    <w:rsid w:val="009972E0"/>
    <w:rsid w:val="00A74E1F"/>
    <w:rsid w:val="00B217DC"/>
    <w:rsid w:val="00BF6D90"/>
    <w:rsid w:val="00C94A06"/>
    <w:rsid w:val="00C94AF7"/>
    <w:rsid w:val="00CA1119"/>
    <w:rsid w:val="00CF3BAF"/>
    <w:rsid w:val="00DC3C68"/>
    <w:rsid w:val="00E41BD4"/>
    <w:rsid w:val="00E61A34"/>
    <w:rsid w:val="00E7430C"/>
    <w:rsid w:val="00EC4BBF"/>
    <w:rsid w:val="00F1378B"/>
    <w:rsid w:val="00F64654"/>
    <w:rsid w:val="00FB3E02"/>
    <w:rsid w:val="01541F62"/>
    <w:rsid w:val="019C74BD"/>
    <w:rsid w:val="01A249C3"/>
    <w:rsid w:val="01CD0413"/>
    <w:rsid w:val="0219639B"/>
    <w:rsid w:val="02534437"/>
    <w:rsid w:val="02825064"/>
    <w:rsid w:val="02A079AD"/>
    <w:rsid w:val="02AD7AC3"/>
    <w:rsid w:val="0340637B"/>
    <w:rsid w:val="03D177E1"/>
    <w:rsid w:val="04351B1E"/>
    <w:rsid w:val="044A49EA"/>
    <w:rsid w:val="049A5F70"/>
    <w:rsid w:val="04A265F5"/>
    <w:rsid w:val="04B947D7"/>
    <w:rsid w:val="053C7B2A"/>
    <w:rsid w:val="055E36DF"/>
    <w:rsid w:val="05C3315A"/>
    <w:rsid w:val="064B3EA8"/>
    <w:rsid w:val="06F1337E"/>
    <w:rsid w:val="074D4119"/>
    <w:rsid w:val="07822F3C"/>
    <w:rsid w:val="078C004C"/>
    <w:rsid w:val="07997BA5"/>
    <w:rsid w:val="07BA4E4C"/>
    <w:rsid w:val="083A174E"/>
    <w:rsid w:val="08B6562F"/>
    <w:rsid w:val="08D8241F"/>
    <w:rsid w:val="0989722B"/>
    <w:rsid w:val="09DF0FD9"/>
    <w:rsid w:val="0BD01EC0"/>
    <w:rsid w:val="0BD34311"/>
    <w:rsid w:val="0C076843"/>
    <w:rsid w:val="0C2D57D1"/>
    <w:rsid w:val="0C6A5E4D"/>
    <w:rsid w:val="0CB16C35"/>
    <w:rsid w:val="0CD05128"/>
    <w:rsid w:val="0D792EC2"/>
    <w:rsid w:val="0D81592D"/>
    <w:rsid w:val="0EA33B28"/>
    <w:rsid w:val="0EDE6CBA"/>
    <w:rsid w:val="0F0410E0"/>
    <w:rsid w:val="0FB133D7"/>
    <w:rsid w:val="0FC04C41"/>
    <w:rsid w:val="0FC15F47"/>
    <w:rsid w:val="1012372A"/>
    <w:rsid w:val="10544429"/>
    <w:rsid w:val="10826F67"/>
    <w:rsid w:val="11A25357"/>
    <w:rsid w:val="11B34CF4"/>
    <w:rsid w:val="1299534A"/>
    <w:rsid w:val="12B7533A"/>
    <w:rsid w:val="13663891"/>
    <w:rsid w:val="13B91FBD"/>
    <w:rsid w:val="144162BD"/>
    <w:rsid w:val="14860849"/>
    <w:rsid w:val="14D02DF5"/>
    <w:rsid w:val="15C617EC"/>
    <w:rsid w:val="15E21848"/>
    <w:rsid w:val="1655619D"/>
    <w:rsid w:val="16997753"/>
    <w:rsid w:val="169D288C"/>
    <w:rsid w:val="16D10720"/>
    <w:rsid w:val="174A608B"/>
    <w:rsid w:val="176C2540"/>
    <w:rsid w:val="179C380B"/>
    <w:rsid w:val="17B16FB2"/>
    <w:rsid w:val="17B42DE1"/>
    <w:rsid w:val="18283E16"/>
    <w:rsid w:val="18A84B5D"/>
    <w:rsid w:val="19047267"/>
    <w:rsid w:val="19363992"/>
    <w:rsid w:val="196A7BE4"/>
    <w:rsid w:val="19EF2318"/>
    <w:rsid w:val="1A743BC1"/>
    <w:rsid w:val="1A913822"/>
    <w:rsid w:val="1AE13C5B"/>
    <w:rsid w:val="1B1C538E"/>
    <w:rsid w:val="1B33310F"/>
    <w:rsid w:val="1B5630EA"/>
    <w:rsid w:val="1B6F72F8"/>
    <w:rsid w:val="1B891503"/>
    <w:rsid w:val="1B9118D8"/>
    <w:rsid w:val="1BBE70BF"/>
    <w:rsid w:val="1BCE2BAE"/>
    <w:rsid w:val="1BD318B6"/>
    <w:rsid w:val="1BD529D4"/>
    <w:rsid w:val="1BE9127A"/>
    <w:rsid w:val="1C2812FB"/>
    <w:rsid w:val="1CD57C9C"/>
    <w:rsid w:val="1CEE68B6"/>
    <w:rsid w:val="1D5A65E9"/>
    <w:rsid w:val="1D9D734A"/>
    <w:rsid w:val="1E212A6F"/>
    <w:rsid w:val="1E360353"/>
    <w:rsid w:val="1E3E28D3"/>
    <w:rsid w:val="1E421502"/>
    <w:rsid w:val="1EB33136"/>
    <w:rsid w:val="1ECC611B"/>
    <w:rsid w:val="1EE937D9"/>
    <w:rsid w:val="1F497B8B"/>
    <w:rsid w:val="1FE97C73"/>
    <w:rsid w:val="2012158F"/>
    <w:rsid w:val="20974A9E"/>
    <w:rsid w:val="20AC4ABE"/>
    <w:rsid w:val="224A458F"/>
    <w:rsid w:val="22645EEA"/>
    <w:rsid w:val="231F3F61"/>
    <w:rsid w:val="23B45EBE"/>
    <w:rsid w:val="23C21A0E"/>
    <w:rsid w:val="24581EC9"/>
    <w:rsid w:val="245D7AC3"/>
    <w:rsid w:val="24F102C3"/>
    <w:rsid w:val="255A0F8D"/>
    <w:rsid w:val="259D70CC"/>
    <w:rsid w:val="25B04653"/>
    <w:rsid w:val="2605123A"/>
    <w:rsid w:val="26443C9E"/>
    <w:rsid w:val="2671382C"/>
    <w:rsid w:val="26AF355A"/>
    <w:rsid w:val="26EB6DA0"/>
    <w:rsid w:val="272F2932"/>
    <w:rsid w:val="284F6323"/>
    <w:rsid w:val="286421DF"/>
    <w:rsid w:val="2892738E"/>
    <w:rsid w:val="28BD1C36"/>
    <w:rsid w:val="28DE3C83"/>
    <w:rsid w:val="28FA6578"/>
    <w:rsid w:val="292518B2"/>
    <w:rsid w:val="29AD1F3E"/>
    <w:rsid w:val="29D64538"/>
    <w:rsid w:val="2A077209"/>
    <w:rsid w:val="2A334727"/>
    <w:rsid w:val="2A5F15D3"/>
    <w:rsid w:val="2A901CF8"/>
    <w:rsid w:val="2A911121"/>
    <w:rsid w:val="2B6D4BAF"/>
    <w:rsid w:val="2BE60D87"/>
    <w:rsid w:val="2C3801CB"/>
    <w:rsid w:val="2C464019"/>
    <w:rsid w:val="2D283E2A"/>
    <w:rsid w:val="2D4759F0"/>
    <w:rsid w:val="2D4B17C9"/>
    <w:rsid w:val="2D7E0BE4"/>
    <w:rsid w:val="2DBB1C5C"/>
    <w:rsid w:val="2DE15B66"/>
    <w:rsid w:val="2E7164C1"/>
    <w:rsid w:val="2E813C5F"/>
    <w:rsid w:val="2EA4634A"/>
    <w:rsid w:val="2EA53E53"/>
    <w:rsid w:val="2EB217E6"/>
    <w:rsid w:val="2ED80964"/>
    <w:rsid w:val="2EE21A82"/>
    <w:rsid w:val="2EEE6515"/>
    <w:rsid w:val="2EFA13EE"/>
    <w:rsid w:val="2F666780"/>
    <w:rsid w:val="2F990904"/>
    <w:rsid w:val="30204B81"/>
    <w:rsid w:val="3054090C"/>
    <w:rsid w:val="307D7835"/>
    <w:rsid w:val="30A0509E"/>
    <w:rsid w:val="30D1097F"/>
    <w:rsid w:val="314A0F7E"/>
    <w:rsid w:val="31675B9E"/>
    <w:rsid w:val="31BB24A3"/>
    <w:rsid w:val="323A30A1"/>
    <w:rsid w:val="32844488"/>
    <w:rsid w:val="32AB166A"/>
    <w:rsid w:val="32AC094E"/>
    <w:rsid w:val="3308533D"/>
    <w:rsid w:val="333319A8"/>
    <w:rsid w:val="33D146A4"/>
    <w:rsid w:val="343D132C"/>
    <w:rsid w:val="3449641B"/>
    <w:rsid w:val="34742E35"/>
    <w:rsid w:val="34872615"/>
    <w:rsid w:val="34BF0E0C"/>
    <w:rsid w:val="356103C1"/>
    <w:rsid w:val="35687BFA"/>
    <w:rsid w:val="35AC060C"/>
    <w:rsid w:val="35CC0DC1"/>
    <w:rsid w:val="368E3763"/>
    <w:rsid w:val="36F2243E"/>
    <w:rsid w:val="371E508C"/>
    <w:rsid w:val="377044C0"/>
    <w:rsid w:val="37763604"/>
    <w:rsid w:val="37A24EC9"/>
    <w:rsid w:val="386C0E23"/>
    <w:rsid w:val="38950DA7"/>
    <w:rsid w:val="38A10829"/>
    <w:rsid w:val="39FA02E8"/>
    <w:rsid w:val="3A4167E7"/>
    <w:rsid w:val="3A9643BE"/>
    <w:rsid w:val="3AB3360F"/>
    <w:rsid w:val="3AC405E4"/>
    <w:rsid w:val="3B4E0E59"/>
    <w:rsid w:val="3B680882"/>
    <w:rsid w:val="3C5740DD"/>
    <w:rsid w:val="3C875BD5"/>
    <w:rsid w:val="3CBA0813"/>
    <w:rsid w:val="3D0F6E1F"/>
    <w:rsid w:val="3D183361"/>
    <w:rsid w:val="3D291973"/>
    <w:rsid w:val="3D3F6549"/>
    <w:rsid w:val="3D4960C9"/>
    <w:rsid w:val="3D711112"/>
    <w:rsid w:val="3D730B7A"/>
    <w:rsid w:val="3DA476DF"/>
    <w:rsid w:val="3DB54DD9"/>
    <w:rsid w:val="3DEC46DF"/>
    <w:rsid w:val="3E09134A"/>
    <w:rsid w:val="3E1D16FD"/>
    <w:rsid w:val="3E8E1D06"/>
    <w:rsid w:val="3EC82EF0"/>
    <w:rsid w:val="3EC94CC5"/>
    <w:rsid w:val="3F353A5B"/>
    <w:rsid w:val="3F51170A"/>
    <w:rsid w:val="3F7E5489"/>
    <w:rsid w:val="3FD66319"/>
    <w:rsid w:val="402758B6"/>
    <w:rsid w:val="404D4928"/>
    <w:rsid w:val="40701AC1"/>
    <w:rsid w:val="407C1AED"/>
    <w:rsid w:val="40AE6405"/>
    <w:rsid w:val="40ED789B"/>
    <w:rsid w:val="41686388"/>
    <w:rsid w:val="417B430D"/>
    <w:rsid w:val="41A82C28"/>
    <w:rsid w:val="4205007B"/>
    <w:rsid w:val="420C4EF5"/>
    <w:rsid w:val="42181E5B"/>
    <w:rsid w:val="422416D4"/>
    <w:rsid w:val="42EC7699"/>
    <w:rsid w:val="42F65BA4"/>
    <w:rsid w:val="43223930"/>
    <w:rsid w:val="43A7402D"/>
    <w:rsid w:val="444A3E10"/>
    <w:rsid w:val="4453447A"/>
    <w:rsid w:val="45237A84"/>
    <w:rsid w:val="459D73E9"/>
    <w:rsid w:val="45C32973"/>
    <w:rsid w:val="46335620"/>
    <w:rsid w:val="46780480"/>
    <w:rsid w:val="46B21C2E"/>
    <w:rsid w:val="46DA5EDD"/>
    <w:rsid w:val="47185450"/>
    <w:rsid w:val="47A66166"/>
    <w:rsid w:val="47FA1782"/>
    <w:rsid w:val="4821276F"/>
    <w:rsid w:val="486E372E"/>
    <w:rsid w:val="492D3382"/>
    <w:rsid w:val="49722DC2"/>
    <w:rsid w:val="49BF0A58"/>
    <w:rsid w:val="4A282B58"/>
    <w:rsid w:val="4A3E05CE"/>
    <w:rsid w:val="4B9336BF"/>
    <w:rsid w:val="4BB26A41"/>
    <w:rsid w:val="4BBC0491"/>
    <w:rsid w:val="4C31571C"/>
    <w:rsid w:val="4C45520A"/>
    <w:rsid w:val="4C4814B5"/>
    <w:rsid w:val="4D495A2D"/>
    <w:rsid w:val="4D812CAB"/>
    <w:rsid w:val="4D8C494F"/>
    <w:rsid w:val="4DD30D0C"/>
    <w:rsid w:val="4F6E081A"/>
    <w:rsid w:val="4F8D1A36"/>
    <w:rsid w:val="50124FE5"/>
    <w:rsid w:val="50525849"/>
    <w:rsid w:val="50530248"/>
    <w:rsid w:val="508467BD"/>
    <w:rsid w:val="508E7989"/>
    <w:rsid w:val="509D0F48"/>
    <w:rsid w:val="50BC5872"/>
    <w:rsid w:val="50DB0C9B"/>
    <w:rsid w:val="50FB222E"/>
    <w:rsid w:val="510C344B"/>
    <w:rsid w:val="51B11685"/>
    <w:rsid w:val="51C03D42"/>
    <w:rsid w:val="51D257F3"/>
    <w:rsid w:val="51D25C28"/>
    <w:rsid w:val="51F82BBB"/>
    <w:rsid w:val="522B7DE8"/>
    <w:rsid w:val="52DC6BD6"/>
    <w:rsid w:val="52EB6588"/>
    <w:rsid w:val="52FD1026"/>
    <w:rsid w:val="53714FC7"/>
    <w:rsid w:val="538F3711"/>
    <w:rsid w:val="54833F90"/>
    <w:rsid w:val="5490104A"/>
    <w:rsid w:val="5549056E"/>
    <w:rsid w:val="555E775A"/>
    <w:rsid w:val="55A45CF2"/>
    <w:rsid w:val="55C81AB9"/>
    <w:rsid w:val="5664557C"/>
    <w:rsid w:val="569E585C"/>
    <w:rsid w:val="56BB3C75"/>
    <w:rsid w:val="56DE7067"/>
    <w:rsid w:val="570955B4"/>
    <w:rsid w:val="57527C3E"/>
    <w:rsid w:val="577F454D"/>
    <w:rsid w:val="5783793E"/>
    <w:rsid w:val="57CC2BA0"/>
    <w:rsid w:val="58995D7A"/>
    <w:rsid w:val="58DA7713"/>
    <w:rsid w:val="593705EE"/>
    <w:rsid w:val="59395F6C"/>
    <w:rsid w:val="59683ECF"/>
    <w:rsid w:val="599F77C9"/>
    <w:rsid w:val="59BF65B1"/>
    <w:rsid w:val="59C70CFE"/>
    <w:rsid w:val="59C95F43"/>
    <w:rsid w:val="5A4A08C9"/>
    <w:rsid w:val="5A6875FF"/>
    <w:rsid w:val="5A907841"/>
    <w:rsid w:val="5A93268F"/>
    <w:rsid w:val="5AB2046A"/>
    <w:rsid w:val="5AE6318E"/>
    <w:rsid w:val="5AF82759"/>
    <w:rsid w:val="5B7142C9"/>
    <w:rsid w:val="5BDB7A2A"/>
    <w:rsid w:val="5C094EE4"/>
    <w:rsid w:val="5C556240"/>
    <w:rsid w:val="5C626C2B"/>
    <w:rsid w:val="5C8E651C"/>
    <w:rsid w:val="5CC73186"/>
    <w:rsid w:val="5D120EE1"/>
    <w:rsid w:val="5DB443B5"/>
    <w:rsid w:val="5DD443B9"/>
    <w:rsid w:val="5E313880"/>
    <w:rsid w:val="5E803BCC"/>
    <w:rsid w:val="5EAE4FD3"/>
    <w:rsid w:val="5ED40A1F"/>
    <w:rsid w:val="5EE60767"/>
    <w:rsid w:val="5F09244A"/>
    <w:rsid w:val="5F7D37F7"/>
    <w:rsid w:val="5F9177D9"/>
    <w:rsid w:val="6039028A"/>
    <w:rsid w:val="608A62C4"/>
    <w:rsid w:val="60B25AEA"/>
    <w:rsid w:val="60EC3EAA"/>
    <w:rsid w:val="611A256B"/>
    <w:rsid w:val="61375EAB"/>
    <w:rsid w:val="615C6151"/>
    <w:rsid w:val="615E1291"/>
    <w:rsid w:val="61757E80"/>
    <w:rsid w:val="61F25A5A"/>
    <w:rsid w:val="62047871"/>
    <w:rsid w:val="622B3906"/>
    <w:rsid w:val="62EF46F3"/>
    <w:rsid w:val="63470AA8"/>
    <w:rsid w:val="637D010E"/>
    <w:rsid w:val="6482392E"/>
    <w:rsid w:val="64CA3CB4"/>
    <w:rsid w:val="65EF7DA6"/>
    <w:rsid w:val="66370323"/>
    <w:rsid w:val="665347D6"/>
    <w:rsid w:val="66A658E8"/>
    <w:rsid w:val="66E449D7"/>
    <w:rsid w:val="66EF08CC"/>
    <w:rsid w:val="66F10A4A"/>
    <w:rsid w:val="67477DD7"/>
    <w:rsid w:val="67923FAF"/>
    <w:rsid w:val="67AB689B"/>
    <w:rsid w:val="67AE06E9"/>
    <w:rsid w:val="682E6AFE"/>
    <w:rsid w:val="685A30AC"/>
    <w:rsid w:val="6897117D"/>
    <w:rsid w:val="68B476C6"/>
    <w:rsid w:val="69496431"/>
    <w:rsid w:val="696723FF"/>
    <w:rsid w:val="69AE1092"/>
    <w:rsid w:val="6A152BF7"/>
    <w:rsid w:val="6A5E48CA"/>
    <w:rsid w:val="6C225202"/>
    <w:rsid w:val="6C6377A0"/>
    <w:rsid w:val="6C8C6807"/>
    <w:rsid w:val="6D045625"/>
    <w:rsid w:val="6D066E01"/>
    <w:rsid w:val="6D0A63C2"/>
    <w:rsid w:val="6D2917A9"/>
    <w:rsid w:val="6D4E6E2B"/>
    <w:rsid w:val="6DFA6270"/>
    <w:rsid w:val="6F33431F"/>
    <w:rsid w:val="6F3449C2"/>
    <w:rsid w:val="6F353F7D"/>
    <w:rsid w:val="6F964E3F"/>
    <w:rsid w:val="6FE0340A"/>
    <w:rsid w:val="707B416A"/>
    <w:rsid w:val="70822713"/>
    <w:rsid w:val="70A03843"/>
    <w:rsid w:val="70B46F74"/>
    <w:rsid w:val="70E160AE"/>
    <w:rsid w:val="71AA15DD"/>
    <w:rsid w:val="71FD71C8"/>
    <w:rsid w:val="724A3704"/>
    <w:rsid w:val="726522EC"/>
    <w:rsid w:val="726C53CA"/>
    <w:rsid w:val="73900C02"/>
    <w:rsid w:val="739771E6"/>
    <w:rsid w:val="73A616D3"/>
    <w:rsid w:val="73BE334D"/>
    <w:rsid w:val="74143FCA"/>
    <w:rsid w:val="74236324"/>
    <w:rsid w:val="755744A6"/>
    <w:rsid w:val="76475789"/>
    <w:rsid w:val="766320B0"/>
    <w:rsid w:val="76B35133"/>
    <w:rsid w:val="77034052"/>
    <w:rsid w:val="774412B1"/>
    <w:rsid w:val="77463913"/>
    <w:rsid w:val="7784270F"/>
    <w:rsid w:val="77A94A29"/>
    <w:rsid w:val="785E5813"/>
    <w:rsid w:val="78A7306A"/>
    <w:rsid w:val="795B7E31"/>
    <w:rsid w:val="79797E6F"/>
    <w:rsid w:val="79A14261"/>
    <w:rsid w:val="7A921700"/>
    <w:rsid w:val="7ADA0A3D"/>
    <w:rsid w:val="7AEC5308"/>
    <w:rsid w:val="7B113416"/>
    <w:rsid w:val="7B760B85"/>
    <w:rsid w:val="7B811F45"/>
    <w:rsid w:val="7B9A2605"/>
    <w:rsid w:val="7C1A207B"/>
    <w:rsid w:val="7C537629"/>
    <w:rsid w:val="7CC83F86"/>
    <w:rsid w:val="7CCA3711"/>
    <w:rsid w:val="7D4B79EB"/>
    <w:rsid w:val="7D7A30EF"/>
    <w:rsid w:val="7D936A50"/>
    <w:rsid w:val="7D97215C"/>
    <w:rsid w:val="7D985324"/>
    <w:rsid w:val="7DF40949"/>
    <w:rsid w:val="7DF649C9"/>
    <w:rsid w:val="7E8A55B4"/>
    <w:rsid w:val="7EE92B2C"/>
    <w:rsid w:val="7EF95A5A"/>
    <w:rsid w:val="7F591CD9"/>
    <w:rsid w:val="7F6851CA"/>
    <w:rsid w:val="7F840255"/>
    <w:rsid w:val="7FBB79EF"/>
    <w:rsid w:val="BFB8CF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9">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10">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11">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rPr>
      <w:rFonts w:hint="eastAsia" w:ascii="楷体_GB2312" w:eastAsia="楷体_GB2312"/>
      <w:sz w:val="32"/>
    </w:rPr>
  </w:style>
  <w:style w:type="paragraph" w:styleId="3">
    <w:name w:val="Body Text"/>
    <w:basedOn w:val="1"/>
    <w:next w:val="4"/>
    <w:qFormat/>
    <w:uiPriority w:val="0"/>
    <w:rPr>
      <w:rFonts w:ascii="Times New Roman" w:hAnsi="Times New Roman"/>
    </w:rPr>
  </w:style>
  <w:style w:type="paragraph" w:styleId="4">
    <w:name w:val="Body Text 2"/>
    <w:basedOn w:val="1"/>
    <w:next w:val="3"/>
    <w:unhideWhenUsed/>
    <w:qFormat/>
    <w:uiPriority w:val="0"/>
    <w:pPr>
      <w:spacing w:after="120" w:line="480" w:lineRule="auto"/>
    </w:pPr>
    <w:rPr>
      <w:rFonts w:ascii="Times New Roman" w:hAnsi="Times New Roman"/>
    </w:rPr>
  </w:style>
  <w:style w:type="paragraph" w:styleId="5">
    <w:name w:val="Body Text First Indent 2"/>
    <w:basedOn w:val="6"/>
    <w:next w:val="8"/>
    <w:qFormat/>
    <w:uiPriority w:val="0"/>
    <w:pPr>
      <w:ind w:firstLine="420"/>
    </w:pPr>
  </w:style>
  <w:style w:type="paragraph" w:styleId="6">
    <w:name w:val="Body Text Indent"/>
    <w:basedOn w:val="1"/>
    <w:next w:val="7"/>
    <w:qFormat/>
    <w:uiPriority w:val="0"/>
    <w:pPr>
      <w:ind w:firstLine="560" w:firstLineChars="200"/>
    </w:pPr>
    <w:rPr>
      <w:rFonts w:ascii="Times New Roman" w:hAnsi="Times New Roman"/>
    </w:rPr>
  </w:style>
  <w:style w:type="paragraph" w:styleId="7">
    <w:name w:val="envelope return"/>
    <w:basedOn w:val="1"/>
    <w:qFormat/>
    <w:uiPriority w:val="99"/>
    <w:pPr>
      <w:snapToGrid w:val="0"/>
    </w:pPr>
    <w:rPr>
      <w:rFonts w:ascii="Arial" w:hAnsi="Arial" w:cs="Arial"/>
    </w:rPr>
  </w:style>
  <w:style w:type="paragraph" w:styleId="8">
    <w:name w:val="Normal Indent"/>
    <w:basedOn w:val="1"/>
    <w:qFormat/>
    <w:uiPriority w:val="0"/>
    <w:pPr>
      <w:ind w:firstLine="420"/>
    </w:pPr>
    <w:rPr>
      <w:rFonts w:ascii="Calibri" w:hAnsi="Calibri"/>
      <w:szCs w:val="20"/>
    </w:rPr>
  </w:style>
  <w:style w:type="paragraph" w:styleId="12">
    <w:name w:val="table of authorities"/>
    <w:basedOn w:val="1"/>
    <w:next w:val="1"/>
    <w:qFormat/>
    <w:uiPriority w:val="0"/>
    <w:pPr>
      <w:ind w:left="420" w:leftChars="200"/>
    </w:pPr>
  </w:style>
  <w:style w:type="paragraph" w:styleId="13">
    <w:name w:val="caption"/>
    <w:basedOn w:val="1"/>
    <w:next w:val="1"/>
    <w:qFormat/>
    <w:uiPriority w:val="0"/>
    <w:rPr>
      <w:rFonts w:ascii="Arial" w:hAnsi="Arial" w:eastAsia="黑体" w:cstheme="minorBidi"/>
      <w:sz w:val="20"/>
    </w:rPr>
  </w:style>
  <w:style w:type="paragraph" w:styleId="14">
    <w:name w:val="toa heading"/>
    <w:basedOn w:val="1"/>
    <w:next w:val="1"/>
    <w:unhideWhenUsed/>
    <w:qFormat/>
    <w:uiPriority w:val="99"/>
    <w:pPr>
      <w:spacing w:before="120"/>
    </w:pPr>
    <w:rPr>
      <w:rFonts w:ascii="Arial" w:hAnsi="Arial" w:cs="Arial"/>
      <w:sz w:val="24"/>
    </w:rPr>
  </w:style>
  <w:style w:type="paragraph" w:styleId="15">
    <w:name w:val="annotation text"/>
    <w:basedOn w:val="1"/>
    <w:semiHidden/>
    <w:qFormat/>
    <w:uiPriority w:val="0"/>
    <w:pPr>
      <w:jc w:val="left"/>
    </w:pPr>
  </w:style>
  <w:style w:type="paragraph" w:styleId="16">
    <w:name w:val="Body Text 3"/>
    <w:basedOn w:val="1"/>
    <w:unhideWhenUsed/>
    <w:qFormat/>
    <w:uiPriority w:val="0"/>
    <w:pPr>
      <w:spacing w:after="120"/>
    </w:pPr>
    <w:rPr>
      <w:rFonts w:ascii="Times New Roman" w:hAnsi="Times New Roman"/>
      <w:sz w:val="16"/>
      <w:szCs w:val="16"/>
    </w:rPr>
  </w:style>
  <w:style w:type="paragraph" w:styleId="17">
    <w:name w:val="toc 3"/>
    <w:basedOn w:val="1"/>
    <w:next w:val="1"/>
    <w:qFormat/>
    <w:uiPriority w:val="0"/>
    <w:pPr>
      <w:ind w:left="840" w:leftChars="400"/>
    </w:pPr>
  </w:style>
  <w:style w:type="paragraph" w:styleId="18">
    <w:name w:val="Plain Text"/>
    <w:basedOn w:val="1"/>
    <w:qFormat/>
    <w:uiPriority w:val="0"/>
    <w:rPr>
      <w:rFonts w:hint="eastAsia" w:ascii="宋体" w:hAnsi="Courier New"/>
      <w:szCs w:val="21"/>
    </w:rPr>
  </w:style>
  <w:style w:type="paragraph" w:styleId="19">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1">
    <w:name w:val="toc 1"/>
    <w:basedOn w:val="1"/>
    <w:next w:val="1"/>
    <w:qFormat/>
    <w:uiPriority w:val="0"/>
    <w:rPr>
      <w:rFonts w:ascii="Times New Roman" w:hAnsi="Times New Roman"/>
    </w:rPr>
  </w:style>
  <w:style w:type="paragraph" w:styleId="22">
    <w:name w:val="toc 2"/>
    <w:basedOn w:val="1"/>
    <w:next w:val="1"/>
    <w:qFormat/>
    <w:uiPriority w:val="0"/>
    <w:pPr>
      <w:ind w:left="420" w:leftChars="200"/>
    </w:p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15"/>
    <w:next w:val="1"/>
    <w:qFormat/>
    <w:uiPriority w:val="0"/>
    <w:rPr>
      <w:b/>
      <w:bCs/>
    </w:r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page number"/>
    <w:basedOn w:val="28"/>
    <w:qFormat/>
    <w:uiPriority w:val="0"/>
  </w:style>
  <w:style w:type="character" w:styleId="30">
    <w:name w:val="Hyperlink"/>
    <w:qFormat/>
    <w:uiPriority w:val="99"/>
    <w:rPr>
      <w:rFonts w:cs="Times New Roman"/>
      <w:color w:val="0000FF"/>
      <w:u w:val="single"/>
    </w:rPr>
  </w:style>
  <w:style w:type="paragraph" w:customStyle="1" w:styleId="31">
    <w:name w:val="Style1"/>
    <w:next w:val="32"/>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32">
    <w:name w:val="*正文"/>
    <w:basedOn w:val="1"/>
    <w:qFormat/>
    <w:uiPriority w:val="0"/>
    <w:pPr>
      <w:ind w:firstLine="200" w:firstLineChars="200"/>
    </w:pPr>
    <w:rPr>
      <w:rFonts w:ascii="宋体" w:hAnsi="宋体"/>
      <w:szCs w:val="22"/>
    </w:rPr>
  </w:style>
  <w:style w:type="paragraph" w:customStyle="1" w:styleId="33">
    <w:name w:val="style4"/>
    <w:basedOn w:val="34"/>
    <w:next w:val="35"/>
    <w:qFormat/>
    <w:uiPriority w:val="0"/>
    <w:pPr>
      <w:widowControl/>
      <w:spacing w:before="100" w:beforeAutospacing="1" w:after="100" w:afterAutospacing="1"/>
      <w:jc w:val="left"/>
    </w:pPr>
    <w:rPr>
      <w:rFonts w:ascii="宋体" w:hAnsi="宋体" w:cs="宋体"/>
      <w:kern w:val="0"/>
      <w:sz w:val="18"/>
      <w:szCs w:val="18"/>
    </w:rPr>
  </w:style>
  <w:style w:type="paragraph" w:customStyle="1" w:styleId="34">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Body Text First Indent1"/>
    <w:basedOn w:val="3"/>
    <w:qFormat/>
    <w:uiPriority w:val="0"/>
    <w:pPr>
      <w:ind w:firstLine="420" w:firstLineChars="100"/>
    </w:pPr>
  </w:style>
  <w:style w:type="paragraph" w:customStyle="1" w:styleId="37">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38">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9">
    <w:name w:val="表格文字"/>
    <w:basedOn w:val="1"/>
    <w:next w:val="3"/>
    <w:qFormat/>
    <w:uiPriority w:val="0"/>
    <w:pPr>
      <w:adjustRightInd w:val="0"/>
      <w:spacing w:line="420" w:lineRule="atLeast"/>
      <w:jc w:val="left"/>
      <w:textAlignment w:val="baseline"/>
    </w:pPr>
    <w:rPr>
      <w:kern w:val="0"/>
    </w:rPr>
  </w:style>
  <w:style w:type="paragraph" w:customStyle="1" w:styleId="40">
    <w:name w:val="p0"/>
    <w:basedOn w:val="41"/>
    <w:qFormat/>
    <w:uiPriority w:val="0"/>
    <w:pPr>
      <w:widowControl/>
    </w:pPr>
    <w:rPr>
      <w:kern w:val="0"/>
      <w:szCs w:val="21"/>
    </w:rPr>
  </w:style>
  <w:style w:type="paragraph" w:customStyle="1" w:styleId="41">
    <w:name w:val="正文1"/>
    <w:next w:val="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文本1"/>
    <w:basedOn w:val="41"/>
    <w:qFormat/>
    <w:uiPriority w:val="99"/>
    <w:rPr>
      <w:rFonts w:eastAsia="楷体_GB2312"/>
      <w:sz w:val="28"/>
    </w:rPr>
  </w:style>
  <w:style w:type="character" w:customStyle="1" w:styleId="43">
    <w:name w:val="NormalCharacter"/>
    <w:qFormat/>
    <w:uiPriority w:val="0"/>
    <w:rPr>
      <w:rFonts w:ascii="Book Antiqua" w:hAnsi="Book Antiqua" w:eastAsia="宋体" w:cs="Times New Roman"/>
      <w:kern w:val="2"/>
      <w:sz w:val="21"/>
      <w:szCs w:val="24"/>
      <w:lang w:val="en-US" w:eastAsia="zh-CN" w:bidi="ar-SA"/>
    </w:rPr>
  </w:style>
  <w:style w:type="paragraph" w:customStyle="1" w:styleId="44">
    <w:name w:val="BodyText1I"/>
    <w:basedOn w:val="45"/>
    <w:next w:val="47"/>
    <w:qFormat/>
    <w:uiPriority w:val="0"/>
    <w:pPr>
      <w:ind w:firstLine="420" w:firstLineChars="100"/>
    </w:pPr>
    <w:rPr>
      <w:rFonts w:ascii="楷体_GB2312"/>
      <w:sz w:val="32"/>
    </w:rPr>
  </w:style>
  <w:style w:type="paragraph" w:customStyle="1" w:styleId="45">
    <w:name w:val="BodyText"/>
    <w:basedOn w:val="1"/>
    <w:next w:val="46"/>
    <w:qFormat/>
    <w:uiPriority w:val="0"/>
    <w:pPr>
      <w:textAlignment w:val="baseline"/>
    </w:pPr>
    <w:rPr>
      <w:rFonts w:ascii="Calibri" w:hAnsi="Calibri" w:eastAsia="楷体_GB2312"/>
      <w:kern w:val="0"/>
      <w:sz w:val="28"/>
    </w:rPr>
  </w:style>
  <w:style w:type="paragraph" w:customStyle="1" w:styleId="46">
    <w:name w:val="BodyText2"/>
    <w:basedOn w:val="1"/>
    <w:next w:val="45"/>
    <w:qFormat/>
    <w:uiPriority w:val="0"/>
    <w:pPr>
      <w:spacing w:after="120" w:line="480" w:lineRule="auto"/>
      <w:textAlignment w:val="baseline"/>
    </w:pPr>
  </w:style>
  <w:style w:type="paragraph" w:customStyle="1" w:styleId="47">
    <w:name w:val="BodyText1I2"/>
    <w:basedOn w:val="48"/>
    <w:qFormat/>
    <w:uiPriority w:val="0"/>
    <w:pPr>
      <w:ind w:firstLine="420" w:firstLineChars="200"/>
    </w:pPr>
  </w:style>
  <w:style w:type="paragraph" w:customStyle="1" w:styleId="48">
    <w:name w:val="BodyTextIndent"/>
    <w:basedOn w:val="1"/>
    <w:qFormat/>
    <w:uiPriority w:val="0"/>
    <w:pPr>
      <w:spacing w:after="120"/>
      <w:ind w:left="420" w:leftChars="200"/>
      <w:textAlignment w:val="baseline"/>
    </w:pPr>
  </w:style>
  <w:style w:type="paragraph" w:customStyle="1" w:styleId="49">
    <w:name w:val="TOAHeading"/>
    <w:basedOn w:val="1"/>
    <w:next w:val="1"/>
    <w:qFormat/>
    <w:uiPriority w:val="0"/>
    <w:pPr>
      <w:spacing w:before="120"/>
      <w:textAlignment w:val="baseline"/>
    </w:pPr>
    <w:rPr>
      <w:rFonts w:ascii="Arial" w:hAnsi="Arial"/>
      <w:sz w:val="24"/>
      <w:szCs w:val="22"/>
    </w:rPr>
  </w:style>
  <w:style w:type="paragraph" w:customStyle="1" w:styleId="50">
    <w:name w:val="Table Paragraph"/>
    <w:basedOn w:val="1"/>
    <w:qFormat/>
    <w:uiPriority w:val="1"/>
    <w:rPr>
      <w:rFonts w:ascii="宋体" w:hAnsi="宋体" w:cs="宋体"/>
      <w:lang w:val="zh-CN" w:bidi="zh-CN"/>
    </w:rPr>
  </w:style>
  <w:style w:type="paragraph" w:customStyle="1" w:styleId="51">
    <w:name w:val="List Paragraph1"/>
    <w:basedOn w:val="1"/>
    <w:qFormat/>
    <w:uiPriority w:val="0"/>
    <w:pPr>
      <w:widowControl/>
      <w:ind w:left="720"/>
      <w:jc w:val="left"/>
    </w:pPr>
    <w:rPr>
      <w:rFonts w:hint="eastAsia" w:ascii="Calibri" w:hAnsi="Calibri"/>
      <w:kern w:val="0"/>
      <w:sz w:val="24"/>
      <w:lang w:eastAsia="en-US" w:bidi="en-US"/>
    </w:rPr>
  </w:style>
  <w:style w:type="paragraph" w:customStyle="1" w:styleId="52">
    <w:name w:val="_Style 41"/>
    <w:basedOn w:val="1"/>
    <w:next w:val="51"/>
    <w:qFormat/>
    <w:uiPriority w:val="34"/>
    <w:pPr>
      <w:ind w:firstLine="420" w:firstLineChars="200"/>
    </w:pPr>
    <w:rPr>
      <w:rFonts w:ascii="等线" w:hAnsi="等线" w:eastAsia="等线"/>
      <w:szCs w:val="22"/>
    </w:rPr>
  </w:style>
  <w:style w:type="character" w:customStyle="1" w:styleId="53">
    <w:name w:val="font41"/>
    <w:qFormat/>
    <w:uiPriority w:val="0"/>
    <w:rPr>
      <w:rFonts w:hint="eastAsia" w:ascii="宋体" w:hAnsi="宋体" w:eastAsia="宋体" w:cs="宋体"/>
      <w:color w:val="000000"/>
      <w:sz w:val="20"/>
      <w:szCs w:val="20"/>
      <w:u w:val="none"/>
    </w:rPr>
  </w:style>
  <w:style w:type="character" w:customStyle="1" w:styleId="54">
    <w:name w:val="font01"/>
    <w:basedOn w:val="28"/>
    <w:qFormat/>
    <w:uiPriority w:val="0"/>
    <w:rPr>
      <w:rFonts w:hint="eastAsia" w:ascii="宋体" w:hAnsi="宋体" w:eastAsia="宋体" w:cs="宋体"/>
      <w:color w:val="000000"/>
      <w:sz w:val="24"/>
      <w:szCs w:val="24"/>
      <w:u w:val="none"/>
    </w:rPr>
  </w:style>
  <w:style w:type="paragraph" w:customStyle="1" w:styleId="55">
    <w:name w:val="No Spacing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列出段落1"/>
    <w:basedOn w:val="1"/>
    <w:qFormat/>
    <w:uiPriority w:val="0"/>
    <w:pPr>
      <w:ind w:firstLine="420" w:firstLineChars="200"/>
    </w:pPr>
  </w:style>
  <w:style w:type="paragraph" w:customStyle="1" w:styleId="57">
    <w:name w:val="文档正文"/>
    <w:basedOn w:val="1"/>
    <w:qFormat/>
    <w:uiPriority w:val="0"/>
    <w:pPr>
      <w:adjustRightInd w:val="0"/>
      <w:spacing w:line="480" w:lineRule="atLeast"/>
      <w:ind w:firstLine="567"/>
      <w:textAlignment w:val="baseline"/>
    </w:pPr>
    <w:rPr>
      <w:rFonts w:ascii="Ari" w:eastAsia="Ari"/>
      <w:kern w:val="0"/>
      <w:sz w:val="28"/>
      <w:szCs w:val="20"/>
    </w:rPr>
  </w:style>
  <w:style w:type="paragraph" w:customStyle="1" w:styleId="58">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50E59E-5EC9-41C1-97EF-C7F04458916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21363</Words>
  <Characters>23312</Characters>
  <Lines>189</Lines>
  <Paragraphs>53</Paragraphs>
  <TotalTime>1</TotalTime>
  <ScaleCrop>false</ScaleCrop>
  <LinksUpToDate>false</LinksUpToDate>
  <CharactersWithSpaces>24798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2022-03-04T16:07:00Z</dcterms:created>
  <dc:creator>DELL</dc:creator>
  <cp:lastModifiedBy>DELL</cp:lastModifiedBy>
  <cp:lastPrinted>2022-09-16T02:51:00Z</cp:lastPrinted>
  <dcterms:modified xsi:type="dcterms:W3CDTF">2022-12-07T09:21:08Z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459E49ADA13941EE918B8875E6E85E24</vt:lpwstr>
  </property>
  <property fmtid="{D5CDD505-2E9C-101B-9397-08002B2CF9AE}" pid="4" name="MSIP_Label_a8de25a8-ef47-40a7-b7ec-c38f3edc2acf_Enabled">
    <vt:lpwstr>true</vt:lpwstr>
  </property>
  <property fmtid="{D5CDD505-2E9C-101B-9397-08002B2CF9AE}" pid="5" name="MSIP_Label_a8de25a8-ef47-40a7-b7ec-c38f3edc2acf_SetDate">
    <vt:lpwstr>2022-10-11T04:54:35Z</vt:lpwstr>
  </property>
  <property fmtid="{D5CDD505-2E9C-101B-9397-08002B2CF9AE}" pid="6" name="MSIP_Label_a8de25a8-ef47-40a7-b7ec-c38f3edc2acf_Method">
    <vt:lpwstr>Standard</vt:lpwstr>
  </property>
  <property fmtid="{D5CDD505-2E9C-101B-9397-08002B2CF9AE}" pid="7" name="MSIP_Label_a8de25a8-ef47-40a7-b7ec-c38f3edc2acf_Name">
    <vt:lpwstr>a8de25a8-ef47-40a7-b7ec-c38f3edc2acf</vt:lpwstr>
  </property>
  <property fmtid="{D5CDD505-2E9C-101B-9397-08002B2CF9AE}" pid="8" name="MSIP_Label_a8de25a8-ef47-40a7-b7ec-c38f3edc2acf_SiteId">
    <vt:lpwstr>15d1bef2-0a6a-46f9-be4c-023279325e51</vt:lpwstr>
  </property>
  <property fmtid="{D5CDD505-2E9C-101B-9397-08002B2CF9AE}" pid="9" name="MSIP_Label_a8de25a8-ef47-40a7-b7ec-c38f3edc2acf_ActionId">
    <vt:lpwstr>a0fe5e04-1935-462f-8810-f72c199d6286</vt:lpwstr>
  </property>
  <property fmtid="{D5CDD505-2E9C-101B-9397-08002B2CF9AE}" pid="10" name="MSIP_Label_a8de25a8-ef47-40a7-b7ec-c38f3edc2acf_ContentBits">
    <vt:lpwstr>0</vt:lpwstr>
  </property>
</Properties>
</file>