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inorEastAsia" w:hAnsiTheme="minorEastAsia" w:eastAsiaTheme="minorEastAsia" w:cstheme="minorEastAsia"/>
          <w:color w:val="auto"/>
          <w:highlight w:val="none"/>
        </w:rPr>
      </w:pPr>
      <w:bookmarkStart w:id="0" w:name="_Toc281574833"/>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r>
        <w:rPr>
          <w:rFonts w:hint="eastAsia" w:asciiTheme="majorEastAsia" w:hAnsiTheme="majorEastAsia" w:eastAsiaTheme="majorEastAsia" w:cstheme="majorEastAsia"/>
          <w:b/>
          <w:bCs/>
          <w:color w:val="auto"/>
          <w:kern w:val="2"/>
          <w:sz w:val="44"/>
          <w:szCs w:val="44"/>
          <w:highlight w:val="none"/>
          <w:lang w:val="en-US" w:eastAsia="zh-CN" w:bidi="ar-SA"/>
        </w:rPr>
        <w:t>博爱县公安局建设完善“防控圈”感知设备</w:t>
      </w: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r>
        <w:rPr>
          <w:rFonts w:hint="eastAsia" w:asciiTheme="majorEastAsia" w:hAnsiTheme="majorEastAsia" w:eastAsiaTheme="majorEastAsia" w:cstheme="majorEastAsia"/>
          <w:b/>
          <w:bCs/>
          <w:color w:val="auto"/>
          <w:kern w:val="2"/>
          <w:sz w:val="44"/>
          <w:szCs w:val="44"/>
          <w:highlight w:val="none"/>
          <w:lang w:val="en-US" w:eastAsia="zh-CN" w:bidi="ar-SA"/>
        </w:rPr>
        <w:t>采购项目</w:t>
      </w: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 </w:t>
      </w:r>
    </w:p>
    <w:p>
      <w:pPr>
        <w:pStyle w:val="2"/>
        <w:rPr>
          <w:color w:val="auto"/>
          <w:highlight w:val="none"/>
        </w:rPr>
      </w:pP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rPr>
        <w:t>采购编号：</w:t>
      </w:r>
      <w:r>
        <w:rPr>
          <w:rFonts w:hint="eastAsia" w:asciiTheme="minorEastAsia" w:hAnsiTheme="minorEastAsia" w:eastAsiaTheme="minorEastAsia" w:cstheme="minorEastAsia"/>
          <w:b/>
          <w:bCs/>
          <w:color w:val="auto"/>
          <w:sz w:val="36"/>
          <w:szCs w:val="36"/>
          <w:highlight w:val="none"/>
          <w:lang w:eastAsia="zh-CN"/>
        </w:rPr>
        <w:t>博政采购〔2022〕109号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highlight w:val="none"/>
        </w:rPr>
      </w:pPr>
    </w:p>
    <w:p>
      <w:pPr>
        <w:pStyle w:val="3"/>
        <w:rPr>
          <w:rFonts w:asciiTheme="minorEastAsia" w:hAnsiTheme="minorEastAsia" w:eastAsiaTheme="minorEastAsia" w:cstheme="minorEastAsia"/>
          <w:color w:val="auto"/>
          <w:highlight w:val="none"/>
        </w:rPr>
      </w:pPr>
    </w:p>
    <w:p>
      <w:pPr>
        <w:pStyle w:val="2"/>
        <w:rPr>
          <w:color w:val="auto"/>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eastAsia="zh-CN"/>
        </w:rPr>
        <w:t>博爱县公安局</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w:t>
      </w:r>
      <w:r>
        <w:rPr>
          <w:rFonts w:hint="eastAsia" w:asciiTheme="minorEastAsia" w:hAnsiTheme="minorEastAsia" w:eastAsiaTheme="minorEastAsia" w:cstheme="minorEastAsia"/>
          <w:b/>
          <w:bCs/>
          <w:color w:val="auto"/>
          <w:sz w:val="32"/>
          <w:szCs w:val="32"/>
          <w:highlight w:val="none"/>
          <w:lang w:val="en-US" w:eastAsia="zh-CN"/>
        </w:rPr>
        <w:t>3</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1</w:t>
      </w:r>
      <w:r>
        <w:rPr>
          <w:rFonts w:hint="eastAsia" w:asciiTheme="minorEastAsia" w:hAnsiTheme="minorEastAsia" w:eastAsiaTheme="minorEastAsia" w:cstheme="minorEastAsia"/>
          <w:b/>
          <w:bCs/>
          <w:color w:val="auto"/>
          <w:sz w:val="32"/>
          <w:szCs w:val="32"/>
          <w:highlight w:val="none"/>
        </w:rPr>
        <w:t>月</w:t>
      </w:r>
    </w:p>
    <w:p>
      <w:pPr>
        <w:jc w:val="center"/>
        <w:rPr>
          <w:rFonts w:hint="eastAsia" w:asciiTheme="minorEastAsia" w:hAnsiTheme="minorEastAsia" w:eastAsiaTheme="minorEastAsia" w:cstheme="minorEastAsia"/>
          <w:b/>
          <w:bCs/>
          <w:color w:val="auto"/>
          <w:sz w:val="32"/>
          <w:szCs w:val="32"/>
          <w:highlight w:val="none"/>
        </w:rPr>
      </w:pPr>
    </w:p>
    <w:p>
      <w:pPr>
        <w:jc w:val="center"/>
        <w:rPr>
          <w:rFonts w:hint="eastAsia" w:asciiTheme="minorEastAsia" w:hAnsiTheme="minorEastAsia" w:eastAsiaTheme="minorEastAsia" w:cstheme="minorEastAsia"/>
          <w:b/>
          <w:bCs/>
          <w:color w:val="auto"/>
          <w:kern w:val="2"/>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rPr>
        <w:t>目     录</w:t>
      </w:r>
    </w:p>
    <w:p>
      <w:pPr>
        <w:pStyle w:val="20"/>
        <w:tabs>
          <w:tab w:val="right" w:leader="dot" w:pos="9880"/>
        </w:tabs>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szCs w:val="21"/>
          <w:highlight w:val="none"/>
          <w:lang w:val="zh-CN"/>
        </w:rPr>
        <w:instrText xml:space="preserve"> HYPERLINK \l _Toc31845 </w:instrText>
      </w:r>
      <w:r>
        <w:rPr>
          <w:rFonts w:hint="eastAsia" w:asciiTheme="minorEastAsia" w:hAnsiTheme="minorEastAsia" w:eastAsiaTheme="minorEastAsia" w:cstheme="minorEastAsia"/>
          <w:bCs/>
          <w:szCs w:val="21"/>
          <w:highlight w:val="none"/>
          <w:lang w:val="zh-CN"/>
        </w:rPr>
        <w:fldChar w:fldCharType="separate"/>
      </w:r>
      <w:r>
        <w:rPr>
          <w:rFonts w:hint="eastAsia"/>
          <w:highlight w:val="none"/>
          <w:lang w:val="en-US" w:eastAsia="zh-CN"/>
        </w:rPr>
        <w:t>重要事项提示</w:t>
      </w:r>
      <w:r>
        <w:tab/>
      </w:r>
      <w:r>
        <w:fldChar w:fldCharType="begin"/>
      </w:r>
      <w:r>
        <w:instrText xml:space="preserve"> PAGEREF _Toc31845 \h </w:instrText>
      </w:r>
      <w:r>
        <w:fldChar w:fldCharType="separate"/>
      </w:r>
      <w:r>
        <w:t>- 3 -</w:t>
      </w:r>
      <w:r>
        <w:fldChar w:fldCharType="end"/>
      </w:r>
      <w:r>
        <w:rPr>
          <w:rFonts w:hint="eastAsia" w:asciiTheme="minorEastAsia" w:hAnsiTheme="minorEastAsia" w:eastAsiaTheme="minorEastAsia" w:cstheme="minorEastAsia"/>
          <w:bC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_Toc7002 </w:instrText>
      </w:r>
      <w:r>
        <w:rPr>
          <w:rFonts w:hint="eastAsia" w:asciiTheme="minorEastAsia" w:hAnsiTheme="minorEastAsia" w:eastAsiaTheme="minorEastAsia" w:cstheme="minorEastAsia"/>
          <w:bCs/>
          <w:caps/>
          <w:szCs w:val="21"/>
          <w:highlight w:val="none"/>
          <w:lang w:val="zh-CN"/>
        </w:rPr>
        <w:fldChar w:fldCharType="separate"/>
      </w:r>
      <w:r>
        <w:rPr>
          <w:rFonts w:hint="eastAsia"/>
        </w:rPr>
        <w:t xml:space="preserve">第一章 </w:t>
      </w:r>
      <w:r>
        <w:rPr>
          <w:rFonts w:hint="eastAsia" w:asciiTheme="minorEastAsia" w:hAnsiTheme="minorEastAsia" w:eastAsiaTheme="minorEastAsia" w:cstheme="minorEastAsia"/>
          <w:bCs/>
          <w:highlight w:val="none"/>
        </w:rPr>
        <w:t>招标公告</w:t>
      </w:r>
      <w:r>
        <w:tab/>
      </w:r>
      <w:r>
        <w:fldChar w:fldCharType="begin"/>
      </w:r>
      <w:r>
        <w:instrText xml:space="preserve"> PAGEREF _Toc7002 \h </w:instrText>
      </w:r>
      <w:r>
        <w:fldChar w:fldCharType="separate"/>
      </w:r>
      <w:r>
        <w:t>- 5 -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_Toc28480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32"/>
          <w:highlight w:val="none"/>
        </w:rPr>
        <w:t>第二章  供应商须知</w:t>
      </w:r>
      <w:r>
        <w:tab/>
      </w:r>
      <w:r>
        <w:fldChar w:fldCharType="begin"/>
      </w:r>
      <w:r>
        <w:instrText xml:space="preserve"> PAGEREF _Toc28480 \h </w:instrText>
      </w:r>
      <w:r>
        <w:fldChar w:fldCharType="separate"/>
      </w:r>
      <w:r>
        <w:t>- 8 -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_Toc31723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30"/>
          <w:highlight w:val="none"/>
        </w:rPr>
        <w:t>供应商须知前附表</w:t>
      </w:r>
      <w:r>
        <w:tab/>
      </w:r>
      <w:r>
        <w:fldChar w:fldCharType="begin"/>
      </w:r>
      <w:r>
        <w:instrText xml:space="preserve"> PAGEREF _Toc31723 \h </w:instrText>
      </w:r>
      <w:r>
        <w:fldChar w:fldCharType="separate"/>
      </w:r>
      <w:r>
        <w:t>- 8 -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_Toc11465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1. 总则</w:t>
      </w:r>
      <w:r>
        <w:tab/>
      </w:r>
      <w:r>
        <w:fldChar w:fldCharType="begin"/>
      </w:r>
      <w:r>
        <w:instrText xml:space="preserve"> PAGEREF _Toc11465 \h </w:instrText>
      </w:r>
      <w:r>
        <w:fldChar w:fldCharType="separate"/>
      </w:r>
      <w:r>
        <w:t>- 12 -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_Toc11741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2. 招标文件</w:t>
      </w:r>
      <w:r>
        <w:tab/>
      </w:r>
      <w:r>
        <w:fldChar w:fldCharType="begin"/>
      </w:r>
      <w:r>
        <w:instrText xml:space="preserve"> PAGEREF _Toc11741 \h </w:instrText>
      </w:r>
      <w:r>
        <w:fldChar w:fldCharType="separate"/>
      </w:r>
      <w:r>
        <w:t>- 13 -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_Toc17131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3. 投标文件</w:t>
      </w:r>
      <w:r>
        <w:tab/>
      </w:r>
      <w:r>
        <w:fldChar w:fldCharType="begin"/>
      </w:r>
      <w:r>
        <w:instrText xml:space="preserve"> PAGEREF _Toc17131 \h </w:instrText>
      </w:r>
      <w:r>
        <w:fldChar w:fldCharType="separate"/>
      </w:r>
      <w:r>
        <w:t>- 14 -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_Toc2735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4. 投标</w:t>
      </w:r>
      <w:r>
        <w:tab/>
      </w:r>
      <w:r>
        <w:fldChar w:fldCharType="begin"/>
      </w:r>
      <w:r>
        <w:instrText xml:space="preserve"> PAGEREF _Toc2735 \h </w:instrText>
      </w:r>
      <w:r>
        <w:fldChar w:fldCharType="separate"/>
      </w:r>
      <w:r>
        <w:t>- 16 -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_Toc24840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5. 开标</w:t>
      </w:r>
      <w:r>
        <w:tab/>
      </w:r>
      <w:r>
        <w:fldChar w:fldCharType="begin"/>
      </w:r>
      <w:r>
        <w:instrText xml:space="preserve"> PAGEREF _Toc24840 \h </w:instrText>
      </w:r>
      <w:r>
        <w:fldChar w:fldCharType="separate"/>
      </w:r>
      <w:r>
        <w:t>- 16 -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_Toc19898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6. 评标</w:t>
      </w:r>
      <w:r>
        <w:tab/>
      </w:r>
      <w:r>
        <w:fldChar w:fldCharType="begin"/>
      </w:r>
      <w:r>
        <w:instrText xml:space="preserve"> PAGEREF _Toc19898 \h </w:instrText>
      </w:r>
      <w:r>
        <w:fldChar w:fldCharType="separate"/>
      </w:r>
      <w:r>
        <w:t>- 17 -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_Toc3678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7. 合同授予</w:t>
      </w:r>
      <w:r>
        <w:tab/>
      </w:r>
      <w:r>
        <w:fldChar w:fldCharType="begin"/>
      </w:r>
      <w:r>
        <w:instrText xml:space="preserve"> PAGEREF _Toc3678 \h </w:instrText>
      </w:r>
      <w:r>
        <w:fldChar w:fldCharType="separate"/>
      </w:r>
      <w:r>
        <w:t>- 18 -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_Toc30325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8. 重新招标</w:t>
      </w:r>
      <w:r>
        <w:tab/>
      </w:r>
      <w:r>
        <w:fldChar w:fldCharType="begin"/>
      </w:r>
      <w:r>
        <w:instrText xml:space="preserve"> PAGEREF _Toc30325 \h </w:instrText>
      </w:r>
      <w:r>
        <w:fldChar w:fldCharType="separate"/>
      </w:r>
      <w:r>
        <w:t>- 19 -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_Toc17817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9. 纪律和监督</w:t>
      </w:r>
      <w:r>
        <w:tab/>
      </w:r>
      <w:r>
        <w:fldChar w:fldCharType="begin"/>
      </w:r>
      <w:r>
        <w:instrText xml:space="preserve"> PAGEREF _Toc17817 \h </w:instrText>
      </w:r>
      <w:r>
        <w:fldChar w:fldCharType="separate"/>
      </w:r>
      <w:r>
        <w:t>- 19 -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_Toc29091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24"/>
          <w:highlight w:val="none"/>
        </w:rPr>
        <w:t>10. 需要补充的其他内容</w:t>
      </w:r>
      <w:r>
        <w:tab/>
      </w:r>
      <w:r>
        <w:fldChar w:fldCharType="begin"/>
      </w:r>
      <w:r>
        <w:instrText xml:space="preserve"> PAGEREF _Toc29091 \h </w:instrText>
      </w:r>
      <w:r>
        <w:fldChar w:fldCharType="separate"/>
      </w:r>
      <w:r>
        <w:t>- 20 -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_Toc21008 </w:instrText>
      </w:r>
      <w:r>
        <w:rPr>
          <w:rFonts w:hint="eastAsia" w:asciiTheme="minorEastAsia" w:hAnsiTheme="minorEastAsia" w:eastAsiaTheme="minorEastAsia" w:cstheme="minorEastAsia"/>
          <w:bCs/>
          <w:caps/>
          <w:szCs w:val="21"/>
          <w:highlight w:val="none"/>
          <w:lang w:val="zh-CN"/>
        </w:rP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highlight w:val="none"/>
        </w:rPr>
        <w:t>评标办法（综合评分法）</w:t>
      </w:r>
      <w:r>
        <w:tab/>
      </w:r>
      <w:r>
        <w:fldChar w:fldCharType="begin"/>
      </w:r>
      <w:r>
        <w:instrText xml:space="preserve"> PAGEREF _Toc21008 \h </w:instrText>
      </w:r>
      <w:r>
        <w:fldChar w:fldCharType="separate"/>
      </w:r>
      <w:r>
        <w:t>- 21 -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_Toc15098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highlight w:val="none"/>
        </w:rPr>
        <w:t>合同条款及格式</w:t>
      </w:r>
      <w:r>
        <w:tab/>
      </w:r>
      <w:r>
        <w:fldChar w:fldCharType="begin"/>
      </w:r>
      <w:r>
        <w:instrText xml:space="preserve"> PAGEREF _Toc15098 \h </w:instrText>
      </w:r>
      <w:r>
        <w:fldChar w:fldCharType="separate"/>
      </w:r>
      <w:r>
        <w:t>- 27 -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_Toc5848 </w:instrText>
      </w:r>
      <w:r>
        <w:rPr>
          <w:rFonts w:hint="eastAsia" w:asciiTheme="minorEastAsia" w:hAnsiTheme="minorEastAsia" w:eastAsiaTheme="minorEastAsia" w:cstheme="minorEastAsia"/>
          <w:bCs/>
          <w:caps/>
          <w:szCs w:val="21"/>
          <w:highlight w:val="none"/>
          <w:lang w:val="zh-CN"/>
        </w:rPr>
        <w:fldChar w:fldCharType="separate"/>
      </w:r>
      <w:r>
        <w:rPr>
          <w:rFonts w:hint="eastAsia"/>
          <w:bCs/>
          <w:szCs w:val="32"/>
          <w:lang w:val="en-US" w:eastAsia="zh-CN"/>
        </w:rPr>
        <w:t xml:space="preserve">第五章 </w:t>
      </w:r>
      <w:r>
        <w:rPr>
          <w:rFonts w:hint="eastAsia"/>
          <w:bCs/>
          <w:szCs w:val="32"/>
          <w:highlight w:val="none"/>
        </w:rPr>
        <w:t>采购需求及</w:t>
      </w:r>
      <w:r>
        <w:rPr>
          <w:rFonts w:hint="eastAsia"/>
          <w:bCs/>
          <w:szCs w:val="32"/>
          <w:highlight w:val="none"/>
          <w:lang w:val="en-US" w:eastAsia="zh-CN"/>
        </w:rPr>
        <w:t>技术</w:t>
      </w:r>
      <w:r>
        <w:rPr>
          <w:rFonts w:hint="eastAsia"/>
          <w:bCs/>
          <w:szCs w:val="32"/>
          <w:highlight w:val="none"/>
        </w:rPr>
        <w:t>参数</w:t>
      </w:r>
      <w:r>
        <w:rPr>
          <w:rFonts w:hint="eastAsia"/>
          <w:bCs/>
          <w:szCs w:val="32"/>
          <w:highlight w:val="none"/>
          <w:lang w:val="en-US" w:eastAsia="zh-CN"/>
        </w:rPr>
        <w:t>要求</w:t>
      </w:r>
      <w:r>
        <w:tab/>
      </w:r>
      <w:r>
        <w:fldChar w:fldCharType="begin"/>
      </w:r>
      <w:r>
        <w:instrText xml:space="preserve"> PAGEREF _Toc5848 \h </w:instrText>
      </w:r>
      <w:r>
        <w:fldChar w:fldCharType="separate"/>
      </w:r>
      <w:r>
        <w:rPr>
          <w:b/>
        </w:rPr>
        <w:t>错误！未定义书签。</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_Toc3770 </w:instrText>
      </w:r>
      <w:r>
        <w:rPr>
          <w:rFonts w:hint="eastAsia" w:asciiTheme="minorEastAsia" w:hAnsiTheme="minorEastAsia" w:eastAsiaTheme="minorEastAsia" w:cstheme="minorEastAsia"/>
          <w:bCs/>
          <w:caps/>
          <w:szCs w:val="21"/>
          <w:highlight w:val="none"/>
          <w:lang w:val="zh-CN"/>
        </w:rPr>
        <w:fldChar w:fldCharType="separate"/>
      </w:r>
      <w:r>
        <w:rPr>
          <w:rFonts w:hint="eastAsia"/>
          <w:szCs w:val="32"/>
          <w:highlight w:val="none"/>
          <w:lang w:eastAsia="zh-CN"/>
        </w:rPr>
        <w:t>第</w:t>
      </w:r>
      <w:r>
        <w:rPr>
          <w:rFonts w:hint="eastAsia"/>
          <w:szCs w:val="32"/>
          <w:highlight w:val="none"/>
          <w:lang w:val="en-US" w:eastAsia="zh-CN"/>
        </w:rPr>
        <w:t>六章 质疑与投诉</w:t>
      </w:r>
      <w:r>
        <w:tab/>
      </w:r>
      <w:r>
        <w:fldChar w:fldCharType="begin"/>
      </w:r>
      <w:r>
        <w:instrText xml:space="preserve"> PAGEREF _Toc3770 \h </w:instrText>
      </w:r>
      <w:r>
        <w:fldChar w:fldCharType="separate"/>
      </w:r>
      <w:r>
        <w:t>- 34 -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_Toc5413 </w:instrText>
      </w:r>
      <w:r>
        <w:rPr>
          <w:rFonts w:hint="eastAsia" w:asciiTheme="minorEastAsia" w:hAnsiTheme="minorEastAsia" w:eastAsiaTheme="minorEastAsia" w:cstheme="minorEastAsia"/>
          <w:bCs/>
          <w:caps/>
          <w:szCs w:val="21"/>
          <w:highlight w:val="none"/>
          <w:lang w:val="zh-CN"/>
        </w:rPr>
        <w:fldChar w:fldCharType="separate"/>
      </w:r>
      <w:r>
        <w:rPr>
          <w:rFonts w:hint="eastAsia" w:ascii="宋体" w:hAnsi="宋体" w:eastAsia="宋体" w:cs="宋体"/>
          <w:bCs w:val="0"/>
          <w:szCs w:val="21"/>
          <w:highlight w:val="none"/>
          <w:lang w:val="en-US" w:eastAsia="zh-CN"/>
        </w:rPr>
        <w:t>投诉联系电话：0391-8683273  地址：博爱县机关综合办公楼主楼1213室</w:t>
      </w:r>
      <w:r>
        <w:tab/>
      </w:r>
      <w:r>
        <w:fldChar w:fldCharType="begin"/>
      </w:r>
      <w:r>
        <w:instrText xml:space="preserve"> PAGEREF _Toc5413 \h </w:instrText>
      </w:r>
      <w:r>
        <w:fldChar w:fldCharType="separate"/>
      </w:r>
      <w:r>
        <w:t>- 35 -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20"/>
        <w:tabs>
          <w:tab w:val="right" w:leader="dot" w:pos="9880"/>
        </w:tabs>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szCs w:val="21"/>
          <w:highlight w:val="none"/>
          <w:lang w:val="zh-CN"/>
        </w:rPr>
        <w:instrText xml:space="preserve"> HYPERLINK \l _Toc28084 </w:instrText>
      </w:r>
      <w:r>
        <w:rPr>
          <w:rFonts w:hint="eastAsia" w:asciiTheme="minorEastAsia" w:hAnsiTheme="minorEastAsia" w:eastAsiaTheme="minorEastAsia" w:cstheme="minorEastAsia"/>
          <w:bCs/>
          <w:caps/>
          <w:szCs w:val="21"/>
          <w:highlight w:val="none"/>
          <w:lang w:val="zh-CN"/>
        </w:rPr>
        <w:fldChar w:fldCharType="separate"/>
      </w:r>
      <w:r>
        <w:rPr>
          <w:rFonts w:hint="eastAsia" w:asciiTheme="minorEastAsia" w:hAnsiTheme="minorEastAsia" w:eastAsiaTheme="minorEastAsia" w:cstheme="minorEastAsia"/>
          <w:szCs w:val="36"/>
          <w:highlight w:val="none"/>
        </w:rPr>
        <w:t>第</w:t>
      </w:r>
      <w:r>
        <w:rPr>
          <w:rFonts w:hint="eastAsia" w:asciiTheme="minorEastAsia" w:hAnsiTheme="minorEastAsia" w:eastAsiaTheme="minorEastAsia" w:cstheme="minorEastAsia"/>
          <w:szCs w:val="36"/>
          <w:highlight w:val="none"/>
          <w:lang w:val="en-US" w:eastAsia="zh-CN"/>
        </w:rPr>
        <w:t>八</w:t>
      </w:r>
      <w:r>
        <w:rPr>
          <w:rFonts w:hint="eastAsia" w:asciiTheme="minorEastAsia" w:hAnsiTheme="minorEastAsia" w:eastAsiaTheme="minorEastAsia" w:cstheme="minorEastAsia"/>
          <w:szCs w:val="36"/>
          <w:highlight w:val="none"/>
        </w:rPr>
        <w:t>章  投标文件格式</w:t>
      </w:r>
      <w:r>
        <w:tab/>
      </w:r>
      <w:r>
        <w:fldChar w:fldCharType="begin"/>
      </w:r>
      <w:r>
        <w:instrText xml:space="preserve"> PAGEREF _Toc28084 \h </w:instrText>
      </w:r>
      <w:r>
        <w:fldChar w:fldCharType="separate"/>
      </w:r>
      <w:r>
        <w:t>- 37 -</w:t>
      </w:r>
      <w: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aps/>
          <w:color w:val="auto"/>
          <w:szCs w:val="21"/>
          <w:highlight w:val="none"/>
          <w:lang w:val="zh-CN"/>
        </w:rPr>
        <w:fldChar w:fldCharType="end"/>
      </w:r>
    </w:p>
    <w:p>
      <w:pPr>
        <w:pStyle w:val="6"/>
        <w:spacing w:line="360" w:lineRule="auto"/>
        <w:ind w:right="-63" w:rightChars="-30"/>
        <w:rPr>
          <w:rFonts w:asciiTheme="minorEastAsia" w:hAnsiTheme="minorEastAsia" w:eastAsiaTheme="minorEastAsia" w:cstheme="minorEastAsia"/>
          <w:bCs/>
          <w:color w:val="auto"/>
          <w:highlight w:val="none"/>
        </w:rPr>
      </w:pPr>
    </w:p>
    <w:p>
      <w:pPr>
        <w:pStyle w:val="6"/>
        <w:spacing w:line="360" w:lineRule="auto"/>
        <w:ind w:right="-63" w:rightChars="-30"/>
        <w:rPr>
          <w:rFonts w:asciiTheme="minorEastAsia" w:hAnsiTheme="minorEastAsia" w:eastAsiaTheme="minorEastAsia" w:cstheme="minorEastAsia"/>
          <w:bCs/>
          <w:color w:val="auto"/>
          <w:highlight w:val="none"/>
        </w:rPr>
      </w:pPr>
    </w:p>
    <w:p>
      <w:pPr>
        <w:pStyle w:val="6"/>
        <w:spacing w:line="360" w:lineRule="auto"/>
        <w:ind w:right="-63" w:rightChars="-30"/>
        <w:rPr>
          <w:rFonts w:asciiTheme="minorEastAsia" w:hAnsiTheme="minorEastAsia" w:eastAsiaTheme="minorEastAsia" w:cstheme="minorEastAsia"/>
          <w:bCs/>
          <w:color w:val="auto"/>
          <w:highlight w:val="none"/>
        </w:rPr>
      </w:pPr>
    </w:p>
    <w:p>
      <w:pPr>
        <w:pStyle w:val="6"/>
        <w:spacing w:line="360" w:lineRule="auto"/>
        <w:ind w:right="-63" w:rightChars="-30"/>
        <w:rPr>
          <w:rFonts w:asciiTheme="minorEastAsia" w:hAnsiTheme="minorEastAsia" w:eastAsiaTheme="minorEastAsia" w:cstheme="minorEastAsia"/>
          <w:bCs/>
          <w:color w:val="auto"/>
          <w:highlight w:val="none"/>
        </w:rPr>
      </w:pPr>
    </w:p>
    <w:p>
      <w:pPr>
        <w:pStyle w:val="4"/>
        <w:bidi w:val="0"/>
        <w:rPr>
          <w:rFonts w:hint="eastAsia" w:ascii="宋体" w:hAnsi="宋体" w:eastAsia="宋体" w:cs="宋体"/>
          <w:b/>
          <w:bCs/>
          <w:color w:val="auto"/>
          <w:szCs w:val="44"/>
          <w:highlight w:val="none"/>
          <w:lang w:val="en-US" w:eastAsia="zh-CN"/>
        </w:rPr>
      </w:pPr>
      <w:bookmarkStart w:id="1" w:name="_Toc31845"/>
      <w:r>
        <w:rPr>
          <w:rFonts w:hint="eastAsia"/>
          <w:color w:val="auto"/>
          <w:highlight w:val="none"/>
          <w:lang w:val="en-US" w:eastAsia="zh-CN"/>
        </w:rPr>
        <w:t>重要事项提示</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以下环节是此采购文件中需要重点关注的环节，对以下内容的忽视，可能是影响贵公司中标的重要因素。请在编制相应文件参与政府采购时高度重视。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1、采购文件应通过焦作市公共资源交易中心网站会员系统进行网上下载；未使用</w:t>
      </w:r>
      <w:r>
        <w:rPr>
          <w:rFonts w:hint="eastAsia" w:ascii="宋体" w:hAnsi="宋体" w:eastAsia="宋体" w:cs="Times New Roman"/>
          <w:b w:val="0"/>
          <w:bCs/>
          <w:color w:val="auto"/>
          <w:kern w:val="0"/>
          <w:sz w:val="24"/>
          <w:szCs w:val="24"/>
          <w:highlight w:val="none"/>
          <w:lang w:val="en-US" w:eastAsia="zh-CN" w:bidi="ar-SA"/>
        </w:rPr>
        <w:t>企业 CA 密匙</w:t>
      </w:r>
      <w:r>
        <w:rPr>
          <w:rFonts w:hint="eastAsia" w:ascii="宋体" w:hAnsi="宋体" w:eastAsia="宋体" w:cs="宋体"/>
          <w:color w:val="auto"/>
          <w:sz w:val="24"/>
          <w:szCs w:val="24"/>
          <w:highlight w:val="none"/>
          <w:lang w:val="en-US" w:eastAsia="zh-CN"/>
        </w:rPr>
        <w:t>登录焦作市公共资源交易中心网站会员系统进行网上下载文件的，投标视为无效；</w:t>
      </w:r>
    </w:p>
    <w:p>
      <w:pPr>
        <w:pStyle w:val="22"/>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2"/>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2"/>
        <w:keepNext w:val="0"/>
        <w:keepLines w:val="0"/>
        <w:pageBreakBefore w:val="0"/>
        <w:numPr>
          <w:ilvl w:val="0"/>
          <w:numId w:val="3"/>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在</w:t>
      </w: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文件中对同一采购项目有两个或多个报价，且未声明哪一个有效的；</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响应文件的关键内容（采购报价、</w:t>
      </w:r>
      <w:r>
        <w:rPr>
          <w:rFonts w:hint="eastAsia" w:cs="宋体"/>
          <w:color w:val="auto"/>
          <w:kern w:val="0"/>
          <w:sz w:val="24"/>
          <w:highlight w:val="none"/>
          <w:lang w:val="en-US" w:eastAsia="zh-CN"/>
        </w:rPr>
        <w:t>供货安装期</w:t>
      </w:r>
      <w:r>
        <w:rPr>
          <w:rFonts w:hint="eastAsia" w:ascii="宋体" w:hAnsi="宋体" w:eastAsia="宋体" w:cs="Times New Roman"/>
          <w:color w:val="auto"/>
          <w:kern w:val="0"/>
          <w:sz w:val="24"/>
          <w:highlight w:val="none"/>
          <w:lang w:val="en-US" w:eastAsia="zh-CN"/>
        </w:rPr>
        <w:t>、质量</w:t>
      </w:r>
      <w:r>
        <w:rPr>
          <w:rFonts w:hint="eastAsia" w:cs="Times New Roman"/>
          <w:color w:val="auto"/>
          <w:kern w:val="0"/>
          <w:sz w:val="24"/>
          <w:highlight w:val="none"/>
          <w:lang w:val="en-US" w:eastAsia="zh-CN"/>
        </w:rPr>
        <w:t>标准</w:t>
      </w:r>
      <w:r>
        <w:rPr>
          <w:rFonts w:hint="eastAsia" w:ascii="宋体" w:hAnsi="宋体" w:eastAsia="宋体" w:cs="Times New Roman"/>
          <w:color w:val="auto"/>
          <w:kern w:val="0"/>
          <w:sz w:val="24"/>
          <w:highlight w:val="none"/>
          <w:lang w:val="en-US" w:eastAsia="zh-CN"/>
        </w:rPr>
        <w:t>、品牌、型号等）未填写或填写字迹模糊无法辨认的；</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相关资格证明文件不合格的；</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采购报价超出控制价的；</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文件中附有采购人不能接受的条件的；</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color w:val="auto"/>
          <w:highlight w:val="none"/>
          <w:lang w:val="en-US" w:eastAsia="zh-CN"/>
        </w:rPr>
      </w:pP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文件有明显不符合采购文件其它要求和有关法律法规的；</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2"/>
        <w:keepNext w:val="0"/>
        <w:keepLines w:val="0"/>
        <w:pageBreakBefore w:val="0"/>
        <w:numPr>
          <w:ilvl w:val="0"/>
          <w:numId w:val="4"/>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color w:val="auto"/>
          <w:kern w:val="0"/>
          <w:sz w:val="24"/>
          <w:highlight w:val="none"/>
        </w:rPr>
        <w:t>在评标过程中，</w:t>
      </w:r>
      <w:r>
        <w:rPr>
          <w:rFonts w:hint="eastAsia"/>
          <w:color w:val="auto"/>
          <w:kern w:val="0"/>
          <w:sz w:val="24"/>
          <w:highlight w:val="none"/>
          <w:lang w:val="en-US" w:eastAsia="zh-CN"/>
        </w:rPr>
        <w:t>评标委员会</w:t>
      </w:r>
      <w:r>
        <w:rPr>
          <w:rFonts w:hint="eastAsia" w:ascii="宋体" w:hAnsi="宋体"/>
          <w:color w:val="auto"/>
          <w:kern w:val="0"/>
          <w:sz w:val="24"/>
          <w:highlight w:val="none"/>
        </w:rPr>
        <w:t>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w:t>
      </w:r>
      <w:r>
        <w:rPr>
          <w:rFonts w:hint="eastAsia"/>
          <w:color w:val="auto"/>
          <w:kern w:val="0"/>
          <w:sz w:val="24"/>
          <w:highlight w:val="none"/>
          <w:lang w:val="en-US" w:eastAsia="zh-CN"/>
        </w:rPr>
        <w:t>人</w:t>
      </w:r>
      <w:r>
        <w:rPr>
          <w:rFonts w:hint="eastAsia" w:ascii="宋体" w:hAnsi="宋体"/>
          <w:color w:val="auto"/>
          <w:kern w:val="0"/>
          <w:sz w:val="24"/>
          <w:highlight w:val="none"/>
        </w:rPr>
        <w:t>作出书面说明并提供相关证明材料。投标</w:t>
      </w:r>
      <w:r>
        <w:rPr>
          <w:rFonts w:hint="eastAsia"/>
          <w:color w:val="auto"/>
          <w:kern w:val="0"/>
          <w:sz w:val="24"/>
          <w:highlight w:val="none"/>
          <w:lang w:val="en-US" w:eastAsia="zh-CN"/>
        </w:rPr>
        <w:t>人</w:t>
      </w:r>
      <w:r>
        <w:rPr>
          <w:rFonts w:hint="eastAsia" w:ascii="宋体" w:hAnsi="宋体"/>
          <w:color w:val="auto"/>
          <w:kern w:val="0"/>
          <w:sz w:val="24"/>
          <w:highlight w:val="none"/>
        </w:rPr>
        <w:t>不能合理说明或者不能提供相关证明材料的，由</w:t>
      </w:r>
      <w:r>
        <w:rPr>
          <w:rFonts w:hint="eastAsia"/>
          <w:color w:val="auto"/>
          <w:kern w:val="0"/>
          <w:sz w:val="24"/>
          <w:highlight w:val="none"/>
          <w:lang w:val="en-US" w:eastAsia="zh-CN"/>
        </w:rPr>
        <w:t>评标委员会</w:t>
      </w:r>
      <w:r>
        <w:rPr>
          <w:rFonts w:hint="eastAsia" w:ascii="宋体" w:hAnsi="宋体"/>
          <w:color w:val="auto"/>
          <w:kern w:val="0"/>
          <w:sz w:val="24"/>
          <w:highlight w:val="none"/>
        </w:rPr>
        <w:t>认定该投标</w:t>
      </w:r>
      <w:r>
        <w:rPr>
          <w:rFonts w:hint="eastAsia"/>
          <w:color w:val="auto"/>
          <w:kern w:val="0"/>
          <w:sz w:val="24"/>
          <w:highlight w:val="none"/>
          <w:lang w:val="en-US" w:eastAsia="zh-CN"/>
        </w:rPr>
        <w:t>人</w:t>
      </w:r>
      <w:r>
        <w:rPr>
          <w:rFonts w:hint="eastAsia" w:ascii="宋体" w:hAnsi="宋体"/>
          <w:color w:val="auto"/>
          <w:kern w:val="0"/>
          <w:sz w:val="24"/>
          <w:highlight w:val="none"/>
        </w:rPr>
        <w:t>以低于成本报价竞标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w:t>
      </w: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yellow"/>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rPr>
          <w:rFonts w:hint="eastAsia" w:ascii="宋体" w:hAnsi="宋体" w:eastAsia="宋体" w:cs="宋体"/>
          <w:b/>
          <w:bCs/>
          <w:color w:val="auto"/>
          <w:sz w:val="32"/>
          <w:szCs w:val="32"/>
          <w:highlight w:val="none"/>
          <w:lang w:eastAsia="zh-CN"/>
        </w:rPr>
      </w:pPr>
    </w:p>
    <w:p>
      <w:pPr>
        <w:jc w:val="center"/>
        <w:rPr>
          <w:rFonts w:hint="eastAsia" w:asciiTheme="minorEastAsia" w:hAnsiTheme="minorEastAsia" w:eastAsiaTheme="minorEastAsia" w:cstheme="minorEastAsia"/>
          <w:b/>
          <w:bCs/>
          <w:color w:val="auto"/>
          <w:sz w:val="32"/>
          <w:szCs w:val="32"/>
          <w:highlight w:val="none"/>
        </w:rPr>
      </w:pPr>
    </w:p>
    <w:p>
      <w:pPr>
        <w:pStyle w:val="6"/>
        <w:spacing w:line="360" w:lineRule="auto"/>
        <w:ind w:right="-63" w:rightChars="-30"/>
        <w:jc w:val="both"/>
        <w:rPr>
          <w:rFonts w:asciiTheme="minorEastAsia" w:hAnsiTheme="minorEastAsia" w:eastAsiaTheme="minorEastAsia" w:cstheme="minorEastAsia"/>
          <w:bCs/>
          <w:color w:val="auto"/>
          <w:highlight w:val="none"/>
        </w:rPr>
      </w:pPr>
    </w:p>
    <w:p>
      <w:pPr>
        <w:rPr>
          <w:rFonts w:asciiTheme="minorEastAsia" w:hAnsiTheme="minorEastAsia" w:eastAsiaTheme="minorEastAsia" w:cstheme="minorEastAsia"/>
          <w:bCs/>
          <w:color w:val="auto"/>
          <w:highlight w:val="none"/>
        </w:rPr>
      </w:pPr>
    </w:p>
    <w:p>
      <w:pPr>
        <w:pStyle w:val="2"/>
        <w:rPr>
          <w:rFonts w:asciiTheme="minorEastAsia" w:hAnsiTheme="minorEastAsia" w:eastAsiaTheme="minorEastAsia" w:cstheme="minorEastAsia"/>
          <w:bCs/>
          <w:color w:val="auto"/>
          <w:highlight w:val="none"/>
        </w:rPr>
      </w:pPr>
    </w:p>
    <w:p>
      <w:pPr>
        <w:pStyle w:val="3"/>
        <w:rPr>
          <w:rFonts w:asciiTheme="minorEastAsia" w:hAnsiTheme="minorEastAsia" w:eastAsiaTheme="minorEastAsia" w:cstheme="minorEastAsia"/>
          <w:bCs/>
          <w:color w:val="auto"/>
          <w:highlight w:val="none"/>
        </w:rPr>
      </w:pPr>
    </w:p>
    <w:p>
      <w:pPr>
        <w:pStyle w:val="2"/>
        <w:rPr>
          <w:rFonts w:asciiTheme="minorEastAsia" w:hAnsiTheme="minorEastAsia" w:eastAsiaTheme="minorEastAsia" w:cstheme="minorEastAsia"/>
          <w:bCs/>
          <w:color w:val="auto"/>
          <w:highlight w:val="none"/>
        </w:rPr>
      </w:pPr>
    </w:p>
    <w:p>
      <w:pPr>
        <w:pStyle w:val="3"/>
        <w:rPr>
          <w:color w:val="auto"/>
        </w:rPr>
      </w:pPr>
    </w:p>
    <w:p>
      <w:pPr>
        <w:pStyle w:val="2"/>
        <w:rPr>
          <w:color w:val="auto"/>
        </w:rPr>
      </w:pPr>
    </w:p>
    <w:p>
      <w:pPr>
        <w:pStyle w:val="3"/>
        <w:rPr>
          <w:color w:val="auto"/>
        </w:rPr>
      </w:pPr>
    </w:p>
    <w:p>
      <w:pPr>
        <w:pStyle w:val="2"/>
      </w:pPr>
    </w:p>
    <w:p>
      <w:pPr>
        <w:pStyle w:val="6"/>
        <w:numPr>
          <w:ilvl w:val="0"/>
          <w:numId w:val="5"/>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2" w:name="_Toc7002"/>
      <w:r>
        <w:rPr>
          <w:rFonts w:hint="eastAsia" w:asciiTheme="minorEastAsia" w:hAnsiTheme="minorEastAsia" w:eastAsiaTheme="minorEastAsia" w:cstheme="minorEastAsia"/>
          <w:bCs/>
          <w:color w:val="auto"/>
          <w:highlight w:val="none"/>
        </w:rPr>
        <w:t>招标公告</w:t>
      </w:r>
      <w:bookmarkEnd w:id="2"/>
    </w:p>
    <w:p>
      <w:pPr>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博爱县公安局建设完善“防控圈”感知设备采购项目招标公告</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（不见面开标）</w:t>
      </w:r>
      <w:r>
        <w:rPr>
          <w:rFonts w:hint="eastAsia" w:asciiTheme="minorEastAsia" w:hAnsiTheme="minorEastAsia" w:eastAsiaTheme="minorEastAsia" w:cstheme="minorEastAsia"/>
          <w:b/>
          <w:bCs/>
          <w:color w:val="auto"/>
          <w:sz w:val="32"/>
          <w:szCs w:val="32"/>
          <w:highlight w:val="none"/>
          <w:lang w:val="en-US" w:eastAsia="zh-CN"/>
        </w:rPr>
        <w:t xml:space="preserve"> </w:t>
      </w:r>
    </w:p>
    <w:tbl>
      <w:tblPr>
        <w:tblStyle w:val="25"/>
        <w:tblW w:w="87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2" w:type="dxa"/>
          </w:tcPr>
          <w:p>
            <w:pPr>
              <w:pStyle w:val="24"/>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博爱县公安局建设完善“防控圈”感知设备采购项目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w:t>
            </w:r>
            <w:r>
              <w:rPr>
                <w:rFonts w:hint="eastAsia" w:ascii="宋体" w:hAnsi="宋体" w:cs="宋体"/>
                <w:color w:val="auto"/>
                <w:sz w:val="24"/>
                <w:highlight w:val="none"/>
                <w:u w:val="single"/>
              </w:rPr>
              <w:t>（北京时间）</w:t>
            </w:r>
            <w:r>
              <w:rPr>
                <w:rFonts w:hint="eastAsia" w:ascii="宋体" w:hAnsi="宋体" w:cs="宋体"/>
                <w:color w:val="auto"/>
                <w:sz w:val="24"/>
                <w:highlight w:val="none"/>
              </w:rPr>
              <w:t>前提交响应文件。</w:t>
            </w:r>
          </w:p>
        </w:tc>
      </w:tr>
    </w:tbl>
    <w:p>
      <w:pPr>
        <w:pStyle w:val="35"/>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35"/>
        <w:spacing w:line="440" w:lineRule="exact"/>
        <w:ind w:left="0" w:firstLine="480" w:firstLineChars="200"/>
        <w:rPr>
          <w:color w:val="auto"/>
          <w:sz w:val="24"/>
          <w:highlight w:val="none"/>
          <w:lang w:eastAsia="zh-CN"/>
        </w:rPr>
      </w:pPr>
      <w:r>
        <w:rPr>
          <w:rFonts w:hint="eastAsia"/>
          <w:color w:val="auto"/>
          <w:sz w:val="24"/>
          <w:highlight w:val="none"/>
          <w:lang w:val="en-US" w:eastAsia="zh-CN"/>
        </w:rPr>
        <w:t>采购</w:t>
      </w:r>
      <w:r>
        <w:rPr>
          <w:rFonts w:hint="eastAsia"/>
          <w:color w:val="auto"/>
          <w:sz w:val="24"/>
          <w:highlight w:val="none"/>
          <w:lang w:eastAsia="zh-CN"/>
        </w:rPr>
        <w:t>编号：博政采购〔2022〕109号</w:t>
      </w:r>
    </w:p>
    <w:p>
      <w:pPr>
        <w:pStyle w:val="35"/>
        <w:spacing w:line="440" w:lineRule="exact"/>
        <w:ind w:left="0" w:firstLine="480" w:firstLineChars="200"/>
        <w:rPr>
          <w:color w:val="auto"/>
          <w:sz w:val="24"/>
          <w:highlight w:val="none"/>
          <w:lang w:eastAsia="zh-CN"/>
        </w:rPr>
      </w:pPr>
      <w:r>
        <w:rPr>
          <w:rFonts w:hint="eastAsia"/>
          <w:color w:val="auto"/>
          <w:sz w:val="24"/>
          <w:highlight w:val="none"/>
          <w:lang w:eastAsia="zh-CN"/>
        </w:rPr>
        <w:t>项目名称：博爱县公安局建设完善“防控圈”感知设备采购项目</w:t>
      </w:r>
    </w:p>
    <w:p>
      <w:pPr>
        <w:pStyle w:val="35"/>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2000000</w:t>
      </w:r>
      <w:r>
        <w:rPr>
          <w:rFonts w:hint="eastAsia" w:ascii="宋体" w:hAnsi="宋体" w:cs="宋体"/>
          <w:color w:val="auto"/>
          <w:kern w:val="0"/>
          <w:sz w:val="24"/>
          <w:highlight w:val="none"/>
        </w:rPr>
        <w:t>元</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采购内容：</w:t>
      </w:r>
      <w:r>
        <w:rPr>
          <w:rFonts w:hint="eastAsia" w:ascii="宋体" w:hAnsi="宋体" w:cs="宋体"/>
          <w:color w:val="auto"/>
          <w:kern w:val="0"/>
          <w:sz w:val="24"/>
          <w:highlight w:val="none"/>
          <w:lang w:val="en-US" w:eastAsia="zh-CN"/>
        </w:rPr>
        <w:t>采购900W环保车辆人脸卡口抓拍单元、红外白光爆闪一体灯、卡口终端服务器、400万像素红外全景球机、800万黑光级双舱全结构化摄像机、云计算服务器、数据分析服务器等</w:t>
      </w:r>
      <w:r>
        <w:rPr>
          <w:rFonts w:hint="eastAsia" w:ascii="宋体" w:hAnsi="宋体" w:cs="宋体"/>
          <w:color w:val="auto"/>
          <w:kern w:val="0"/>
          <w:sz w:val="24"/>
          <w:highlight w:val="none"/>
        </w:rPr>
        <w:t>（详见招标文件）。</w:t>
      </w:r>
    </w:p>
    <w:p>
      <w:pPr>
        <w:widowControl/>
        <w:spacing w:line="440" w:lineRule="exact"/>
        <w:ind w:firstLine="480" w:firstLineChars="200"/>
        <w:jc w:val="left"/>
        <w:rPr>
          <w:rFonts w:hint="eastAsia" w:ascii="宋体" w:hAnsi="宋体" w:eastAsia="宋体" w:cs="宋体"/>
          <w:color w:val="auto"/>
          <w:kern w:val="0"/>
          <w:sz w:val="24"/>
          <w:highlight w:val="none"/>
          <w:lang w:val="en-US" w:eastAsia="zh-CN"/>
        </w:rPr>
      </w:pPr>
      <w:r>
        <w:rPr>
          <w:rFonts w:hint="eastAsia" w:cs="宋体"/>
          <w:color w:val="auto"/>
          <w:kern w:val="0"/>
          <w:sz w:val="24"/>
          <w:highlight w:val="none"/>
          <w:lang w:val="en-US" w:eastAsia="zh-CN"/>
        </w:rPr>
        <w:t>供货安装期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30日历天</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质量标准：合格，符合国家</w:t>
      </w:r>
      <w:r>
        <w:rPr>
          <w:rFonts w:hint="eastAsia" w:ascii="宋体" w:hAnsi="宋体" w:cs="宋体"/>
          <w:color w:val="auto"/>
          <w:kern w:val="0"/>
          <w:sz w:val="24"/>
          <w:highlight w:val="none"/>
          <w:lang w:eastAsia="zh-CN"/>
        </w:rPr>
        <w:t>及</w:t>
      </w:r>
      <w:r>
        <w:rPr>
          <w:rFonts w:hint="eastAsia" w:ascii="宋体" w:hAnsi="宋体" w:cs="宋体"/>
          <w:color w:val="auto"/>
          <w:kern w:val="0"/>
          <w:sz w:val="24"/>
          <w:highlight w:val="none"/>
        </w:rPr>
        <w:t>行业规范标准。</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税收违法</w:t>
      </w:r>
      <w:r>
        <w:rPr>
          <w:rFonts w:hint="eastAsia" w:ascii="宋体" w:hAnsi="宋体" w:cs="宋体"/>
          <w:color w:val="auto"/>
          <w:sz w:val="24"/>
          <w:highlight w:val="none"/>
          <w:shd w:val="clear" w:color="auto" w:fill="FFFFFF"/>
          <w:lang w:val="en-US" w:eastAsia="zh-CN"/>
        </w:rPr>
        <w:t>黑名单</w:t>
      </w:r>
      <w:r>
        <w:rPr>
          <w:rFonts w:hint="eastAsia" w:ascii="宋体" w:hAnsi="宋体" w:cs="宋体"/>
          <w:color w:val="auto"/>
          <w:sz w:val="24"/>
          <w:highlight w:val="none"/>
          <w:shd w:val="clear" w:color="auto" w:fill="FFFFFF"/>
        </w:rPr>
        <w:t>、政府采购严重违法失信行为记录名单的供应商，拒绝参与政府采购活动，同时对信用信息查询记录和证据进行打印存档；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22"/>
        <w:shd w:val="clear" w:color="auto" w:fill="FFFFFF"/>
        <w:autoSpaceDE w:val="0"/>
        <w:spacing w:before="0" w:beforeAutospacing="0" w:after="0" w:afterAutospacing="0" w:line="440" w:lineRule="atLeast"/>
        <w:ind w:firstLine="480" w:firstLineChars="200"/>
        <w:rPr>
          <w:rFonts w:hint="eastAsia" w:eastAsia="宋体"/>
          <w:color w:val="auto"/>
          <w:highlight w:val="none"/>
          <w:u w:val="none"/>
          <w:lang w:eastAsia="zh-CN"/>
        </w:rPr>
      </w:pPr>
      <w:r>
        <w:rPr>
          <w:rFonts w:hint="eastAsia"/>
          <w:color w:val="auto"/>
          <w:highlight w:val="none"/>
        </w:rPr>
        <w:t>1.时间：</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1</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日至202</w:t>
      </w:r>
      <w:r>
        <w:rPr>
          <w:rFonts w:hint="eastAsia"/>
          <w:color w:val="auto"/>
          <w:highlight w:val="none"/>
          <w:u w:val="single"/>
          <w:lang w:val="en-US" w:eastAsia="zh-CN"/>
        </w:rPr>
        <w:t>3年1</w:t>
      </w:r>
      <w:r>
        <w:rPr>
          <w:rFonts w:hint="eastAsia"/>
          <w:color w:val="auto"/>
          <w:highlight w:val="none"/>
          <w:u w:val="single"/>
        </w:rPr>
        <w:t>月</w:t>
      </w:r>
      <w:r>
        <w:rPr>
          <w:rFonts w:hint="eastAsia"/>
          <w:color w:val="auto"/>
          <w:highlight w:val="none"/>
          <w:u w:val="single"/>
          <w:lang w:val="en-US" w:eastAsia="zh-CN"/>
        </w:rPr>
        <w:t>16</w:t>
      </w:r>
      <w:r>
        <w:rPr>
          <w:rFonts w:hint="eastAsia"/>
          <w:color w:val="auto"/>
          <w:highlight w:val="none"/>
          <w:u w:val="single"/>
        </w:rPr>
        <w:t>日（北京时间）</w:t>
      </w:r>
      <w:r>
        <w:rPr>
          <w:rFonts w:hint="eastAsia"/>
          <w:color w:val="auto"/>
          <w:highlight w:val="none"/>
          <w:u w:val="none"/>
        </w:rPr>
        <w:t>；</w:t>
      </w:r>
    </w:p>
    <w:p>
      <w:pPr>
        <w:pStyle w:val="22"/>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2.地点：</w:t>
      </w:r>
      <w:r>
        <w:rPr>
          <w:rFonts w:hint="eastAsia"/>
          <w:color w:val="auto"/>
          <w:highlight w:val="none"/>
          <w:shd w:val="clear" w:color="auto" w:fill="FFFFFF"/>
        </w:rPr>
        <w:t>凡有意参加投标者，请登</w:t>
      </w:r>
      <w:r>
        <w:rPr>
          <w:rFonts w:hint="eastAsia"/>
          <w:color w:val="auto"/>
          <w:highlight w:val="none"/>
          <w:shd w:val="clear" w:color="auto" w:fill="FFFFFF"/>
          <w:lang w:val="en-US" w:eastAsia="zh-CN"/>
        </w:rPr>
        <w:t>录</w:t>
      </w:r>
      <w:r>
        <w:rPr>
          <w:rFonts w:hint="eastAsia"/>
          <w:color w:val="auto"/>
          <w:highlight w:val="none"/>
          <w:shd w:val="clear" w:color="auto" w:fill="FFFFFF"/>
        </w:rPr>
        <w:t>焦作市公共资源交易中心网站会员系统进行网上下载。（联系电话：0391-3568920，QQ：232850725、361532918（群）；</w:t>
      </w:r>
    </w:p>
    <w:p>
      <w:pPr>
        <w:pStyle w:val="22"/>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w:t>
      </w:r>
      <w:r>
        <w:rPr>
          <w:rFonts w:hint="eastAsia"/>
          <w:color w:val="auto"/>
          <w:sz w:val="24"/>
          <w:szCs w:val="24"/>
          <w:highlight w:val="none"/>
        </w:rPr>
        <w:t>网上下载</w:t>
      </w:r>
      <w:r>
        <w:rPr>
          <w:rFonts w:hint="eastAsia"/>
          <w:color w:val="auto"/>
          <w:highlight w:val="none"/>
        </w:rPr>
        <w:t>；</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分（北京时间）</w:t>
      </w:r>
      <w:r>
        <w:rPr>
          <w:rFonts w:hint="eastAsia" w:ascii="宋体" w:hAnsi="宋体" w:cs="宋体"/>
          <w:color w:val="auto"/>
          <w:kern w:val="0"/>
          <w:sz w:val="24"/>
          <w:highlight w:val="none"/>
          <w:u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u w:val="single"/>
        </w:rPr>
        <w:t>日上午</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分（北京时间）</w:t>
      </w:r>
      <w:r>
        <w:rPr>
          <w:rFonts w:hint="eastAsia" w:ascii="宋体" w:hAnsi="宋体" w:cs="宋体"/>
          <w:color w:val="auto"/>
          <w:kern w:val="0"/>
          <w:sz w:val="24"/>
          <w:highlight w:val="none"/>
          <w:u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22"/>
        <w:numPr>
          <w:ilvl w:val="0"/>
          <w:numId w:val="6"/>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22"/>
        <w:shd w:val="clear" w:color="auto" w:fill="FFFFFF"/>
        <w:autoSpaceDE w:val="0"/>
        <w:spacing w:before="0" w:beforeAutospacing="0" w:after="0" w:afterAutospacing="0" w:line="440" w:lineRule="exact"/>
        <w:ind w:firstLine="480" w:firstLineChars="200"/>
        <w:rPr>
          <w:color w:val="auto"/>
          <w:highlight w:val="none"/>
          <w:shd w:val="clear" w:color="auto" w:fill="FFFFFF"/>
        </w:rPr>
      </w:pPr>
      <w:r>
        <w:rPr>
          <w:rFonts w:hint="eastAsia"/>
          <w:color w:val="auto"/>
          <w:highlight w:val="none"/>
          <w:shd w:val="clear" w:color="auto" w:fill="FFFFFF"/>
        </w:rPr>
        <w:t>1.本次本公告在</w:t>
      </w:r>
      <w:r>
        <w:rPr>
          <w:rFonts w:hint="eastAsia" w:ascii="宋体" w:hAnsi="宋体" w:eastAsia="宋体" w:cs="宋体"/>
          <w:bCs/>
          <w:color w:val="auto"/>
          <w:sz w:val="24"/>
          <w:szCs w:val="24"/>
          <w:highlight w:val="none"/>
        </w:rPr>
        <w:t>中国招标投标公共服务平台、</w:t>
      </w:r>
      <w:r>
        <w:rPr>
          <w:rFonts w:hint="eastAsia"/>
          <w:color w:val="auto"/>
          <w:highlight w:val="none"/>
          <w:shd w:val="clear" w:color="auto" w:fill="FFFFFF"/>
        </w:rPr>
        <w:t>河南省政府采购网、焦作市政府采购网、焦作市公共资源交易中心网、博爱县人民政府网、博爱县公共资源交易中心网http://www.baxggzyjyzx.cn/上发布。</w:t>
      </w:r>
    </w:p>
    <w:p>
      <w:pPr>
        <w:pStyle w:val="22"/>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2"/>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博爱县公安局</w:t>
      </w:r>
      <w:r>
        <w:rPr>
          <w:rFonts w:hint="eastAsia" w:ascii="宋体" w:hAnsi="宋体" w:cs="宋体"/>
          <w:color w:val="auto"/>
          <w:kern w:val="0"/>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rPr>
        <w:t>地址：</w:t>
      </w:r>
      <w:r>
        <w:rPr>
          <w:rFonts w:hint="eastAsia" w:ascii="宋体" w:hAnsi="宋体" w:cs="宋体"/>
          <w:color w:val="auto"/>
          <w:kern w:val="0"/>
          <w:sz w:val="24"/>
          <w:szCs w:val="24"/>
          <w:highlight w:val="none"/>
          <w:lang w:eastAsia="zh-CN"/>
        </w:rPr>
        <w:t>博爱县海华路</w:t>
      </w:r>
    </w:p>
    <w:p>
      <w:pPr>
        <w:adjustRightInd w:val="0"/>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sz w:val="24"/>
          <w:szCs w:val="24"/>
          <w:highlight w:val="none"/>
          <w:lang w:val="en-US" w:eastAsia="zh-CN"/>
        </w:rPr>
        <w:t>胡先生</w:t>
      </w:r>
      <w:r>
        <w:rPr>
          <w:rFonts w:hint="eastAsia" w:ascii="宋体" w:hAnsi="宋体" w:cs="宋体"/>
          <w:color w:val="auto"/>
          <w:sz w:val="24"/>
          <w:szCs w:val="24"/>
          <w:highlight w:val="none"/>
          <w:lang w:val="en-US" w:eastAsia="zh-CN"/>
        </w:rPr>
        <w:tab/>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color w:val="auto"/>
          <w:kern w:val="0"/>
          <w:sz w:val="24"/>
          <w:szCs w:val="24"/>
          <w:highlight w:val="none"/>
          <w:lang w:val="en-US" w:eastAsia="zh-CN"/>
        </w:rPr>
        <w:t>18339132667</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trike w:val="0"/>
          <w:dstrike w:val="0"/>
          <w:color w:val="auto"/>
          <w:sz w:val="24"/>
          <w:highlight w:val="none"/>
          <w:shd w:val="clear" w:color="auto" w:fill="FFFFFF"/>
          <w:lang w:val="en-US" w:eastAsia="zh-CN"/>
        </w:rPr>
        <w:t>博爱县发展大道188号机关办公楼东配楼806室</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联系人：</w:t>
      </w:r>
      <w:r>
        <w:rPr>
          <w:rFonts w:hint="eastAsia" w:ascii="宋体" w:hAnsi="宋体" w:cs="宋体"/>
          <w:color w:val="auto"/>
          <w:sz w:val="24"/>
          <w:szCs w:val="24"/>
          <w:highlight w:val="none"/>
          <w:lang w:val="en-US" w:eastAsia="zh-CN"/>
        </w:rPr>
        <w:t>贾先生</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15139166295</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szCs w:val="24"/>
          <w:highlight w:val="none"/>
          <w:lang w:val="en-US" w:eastAsia="zh-CN"/>
        </w:rPr>
        <w:t>胡先生</w:t>
      </w:r>
      <w:r>
        <w:rPr>
          <w:rFonts w:hint="eastAsia" w:ascii="宋体" w:hAnsi="宋体" w:cs="宋体"/>
          <w:color w:val="auto"/>
          <w:sz w:val="24"/>
          <w:highlight w:val="none"/>
          <w:lang w:val="en-US" w:eastAsia="zh-CN"/>
        </w:rPr>
        <w:t xml:space="preserve"> </w:t>
      </w:r>
    </w:p>
    <w:p>
      <w:pPr>
        <w:adjustRightInd w:val="0"/>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kern w:val="0"/>
          <w:sz w:val="24"/>
          <w:szCs w:val="24"/>
          <w:highlight w:val="none"/>
          <w:lang w:val="en-US" w:eastAsia="zh-CN"/>
        </w:rPr>
        <w:t>18339132667</w:t>
      </w: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博爱县公安局</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采购代理机构：博爱县城市建设项目管理有限公司</w:t>
      </w:r>
    </w:p>
    <w:p>
      <w:pPr>
        <w:widowControl/>
        <w:spacing w:line="440" w:lineRule="exact"/>
        <w:ind w:left="2940" w:firstLine="420"/>
        <w:rPr>
          <w:color w:val="auto"/>
          <w:highlight w:val="none"/>
        </w:rPr>
      </w:pPr>
      <w:r>
        <w:rPr>
          <w:rFonts w:hint="eastAsia" w:ascii="宋体" w:hAnsi="宋体" w:cs="宋体"/>
          <w:color w:val="auto"/>
          <w:sz w:val="24"/>
          <w:highlight w:val="none"/>
        </w:rPr>
        <w:t>发布时间：202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w:t>
      </w:r>
    </w:p>
    <w:p>
      <w:pPr>
        <w:rPr>
          <w:color w:val="auto"/>
          <w:highlight w:val="none"/>
        </w:rPr>
      </w:pPr>
    </w:p>
    <w:p>
      <w:pPr>
        <w:widowControl/>
        <w:spacing w:line="440" w:lineRule="exact"/>
        <w:ind w:left="2940" w:firstLine="420"/>
        <w:rPr>
          <w:color w:val="auto"/>
          <w:highlight w:val="none"/>
        </w:rPr>
      </w:pPr>
    </w:p>
    <w:p>
      <w:pPr>
        <w:rPr>
          <w:color w:val="auto"/>
          <w:highlight w:val="none"/>
        </w:rPr>
      </w:pPr>
    </w:p>
    <w:p/>
    <w:p>
      <w:pPr>
        <w:pStyle w:val="2"/>
        <w:rPr>
          <w:rFonts w:hint="eastAsia" w:asciiTheme="minorEastAsia" w:hAnsiTheme="minorEastAsia" w:eastAsiaTheme="minorEastAsia" w:cstheme="minorEastAsia"/>
          <w:b/>
          <w:color w:val="auto"/>
          <w:sz w:val="32"/>
          <w:szCs w:val="32"/>
          <w:highlight w:val="none"/>
        </w:rPr>
      </w:pPr>
    </w:p>
    <w:p>
      <w:pPr>
        <w:pStyle w:val="3"/>
        <w:rPr>
          <w:rFonts w:hint="eastAsia" w:asciiTheme="minorEastAsia" w:hAnsiTheme="minorEastAsia" w:eastAsiaTheme="minorEastAsia" w:cstheme="minorEastAsia"/>
          <w:b/>
          <w:color w:val="auto"/>
          <w:sz w:val="32"/>
          <w:szCs w:val="32"/>
          <w:highlight w:val="none"/>
        </w:rPr>
      </w:pPr>
    </w:p>
    <w:p>
      <w:pPr>
        <w:pStyle w:val="2"/>
        <w:rPr>
          <w:rFonts w:hint="eastAsia" w:asciiTheme="minorEastAsia" w:hAnsiTheme="minorEastAsia" w:eastAsiaTheme="minorEastAsia" w:cstheme="minorEastAsia"/>
          <w:b/>
          <w:color w:val="auto"/>
          <w:sz w:val="32"/>
          <w:szCs w:val="32"/>
          <w:highlight w:val="none"/>
        </w:rPr>
      </w:pPr>
    </w:p>
    <w:p>
      <w:pPr>
        <w:pStyle w:val="3"/>
        <w:rPr>
          <w:rFonts w:hint="eastAsia" w:asciiTheme="minorEastAsia" w:hAnsiTheme="minorEastAsia" w:eastAsiaTheme="minorEastAsia" w:cstheme="minorEastAsia"/>
          <w:b/>
          <w:color w:val="auto"/>
          <w:sz w:val="32"/>
          <w:szCs w:val="32"/>
          <w:highlight w:val="none"/>
        </w:rPr>
      </w:pPr>
    </w:p>
    <w:p>
      <w:pPr>
        <w:pStyle w:val="2"/>
        <w:rPr>
          <w:rFonts w:hint="eastAsia"/>
          <w:color w:val="auto"/>
          <w:highlight w:val="none"/>
        </w:rPr>
      </w:pPr>
    </w:p>
    <w:p>
      <w:pPr>
        <w:pStyle w:val="3"/>
        <w:rPr>
          <w:rFonts w:hint="eastAsia"/>
          <w:color w:val="auto"/>
          <w:highlight w:val="none"/>
        </w:rPr>
      </w:pPr>
    </w:p>
    <w:p>
      <w:pPr>
        <w:pStyle w:val="2"/>
        <w:rPr>
          <w:rFonts w:hint="eastAsia"/>
          <w:color w:val="auto"/>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bookmarkStart w:id="3" w:name="_Toc28480"/>
      <w:r>
        <w:rPr>
          <w:rFonts w:hint="eastAsia" w:asciiTheme="minorEastAsia" w:hAnsiTheme="minorEastAsia" w:eastAsiaTheme="minorEastAsia" w:cstheme="minorEastAsia"/>
          <w:b/>
          <w:color w:val="auto"/>
          <w:sz w:val="32"/>
          <w:szCs w:val="32"/>
          <w:highlight w:val="none"/>
        </w:rPr>
        <w:t>第二章  供应商须知</w:t>
      </w:r>
      <w:bookmarkEnd w:id="3"/>
    </w:p>
    <w:bookmarkEnd w:id="0"/>
    <w:p>
      <w:pPr>
        <w:pStyle w:val="6"/>
        <w:spacing w:before="0" w:after="0" w:line="360" w:lineRule="auto"/>
        <w:ind w:right="-23" w:rightChars="-11"/>
        <w:rPr>
          <w:rFonts w:asciiTheme="minorEastAsia" w:hAnsiTheme="minorEastAsia" w:eastAsiaTheme="minorEastAsia" w:cstheme="minorEastAsia"/>
          <w:color w:val="auto"/>
          <w:sz w:val="30"/>
          <w:szCs w:val="30"/>
          <w:highlight w:val="none"/>
        </w:rPr>
      </w:pPr>
      <w:bookmarkStart w:id="4" w:name="_Toc403122490"/>
      <w:bookmarkStart w:id="5" w:name="_Toc9161"/>
      <w:bookmarkStart w:id="6" w:name="_Toc14655"/>
      <w:bookmarkStart w:id="7" w:name="_Toc31723"/>
      <w:bookmarkStart w:id="8" w:name="_Toc426369478"/>
      <w:bookmarkStart w:id="9" w:name="_Toc32497"/>
      <w:r>
        <w:rPr>
          <w:rFonts w:hint="eastAsia" w:asciiTheme="minorEastAsia" w:hAnsiTheme="minorEastAsia" w:eastAsiaTheme="minorEastAsia" w:cstheme="minorEastAsia"/>
          <w:color w:val="auto"/>
          <w:sz w:val="30"/>
          <w:szCs w:val="30"/>
          <w:highlight w:val="none"/>
        </w:rPr>
        <w:t>供应商须知前附表</w:t>
      </w:r>
      <w:bookmarkEnd w:id="4"/>
      <w:bookmarkEnd w:id="5"/>
      <w:bookmarkEnd w:id="6"/>
      <w:bookmarkEnd w:id="7"/>
      <w:bookmarkEnd w:id="8"/>
      <w:bookmarkEnd w:id="9"/>
    </w:p>
    <w:tbl>
      <w:tblPr>
        <w:tblStyle w:val="2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7"/>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7"/>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7"/>
              <w:spacing w:line="360" w:lineRule="exact"/>
              <w:jc w:val="center"/>
              <w:rPr>
                <w:rFonts w:hint="default" w:asciiTheme="minorEastAsia" w:hAnsiTheme="minorEastAsia" w:eastAsiaTheme="minorEastAsia" w:cstheme="minorEastAsia"/>
                <w:b w:val="0"/>
                <w:bCs w:val="0"/>
                <w:color w:val="auto"/>
                <w:highlight w:val="none"/>
              </w:rPr>
            </w:pPr>
            <w:r>
              <w:rPr>
                <w:rFonts w:asciiTheme="minorEastAsia" w:hAnsiTheme="minorEastAsia" w:eastAsiaTheme="minorEastAsia" w:cstheme="minorEastAsia"/>
                <w:b w:val="0"/>
                <w:bCs w:val="0"/>
                <w:color w:val="auto"/>
                <w:highlight w:val="none"/>
              </w:rPr>
              <w:t>采购人</w:t>
            </w:r>
          </w:p>
        </w:tc>
        <w:tc>
          <w:tcPr>
            <w:tcW w:w="6112" w:type="dxa"/>
            <w:vAlign w:val="center"/>
          </w:tcPr>
          <w:p>
            <w:pPr>
              <w:pStyle w:val="17"/>
              <w:spacing w:line="360" w:lineRule="exact"/>
              <w:rPr>
                <w:rFonts w:hint="eastAsia" w:asciiTheme="minorEastAsia" w:hAnsiTheme="minorEastAsia" w:eastAsiaTheme="minorEastAsia" w:cstheme="minorEastAsia"/>
                <w:b w:val="0"/>
                <w:bCs w:val="0"/>
                <w:color w:val="auto"/>
                <w:highlight w:val="none"/>
                <w:lang w:eastAsia="zh-CN"/>
              </w:rPr>
            </w:pPr>
            <w:r>
              <w:rPr>
                <w:rFonts w:asciiTheme="minorEastAsia" w:hAnsiTheme="minorEastAsia" w:eastAsiaTheme="minorEastAsia" w:cstheme="minorEastAsia"/>
                <w:b w:val="0"/>
                <w:bCs w:val="0"/>
                <w:color w:val="auto"/>
                <w:highlight w:val="none"/>
              </w:rPr>
              <w:t>名称：</w:t>
            </w:r>
            <w:r>
              <w:rPr>
                <w:rFonts w:hint="eastAsia" w:asciiTheme="minorEastAsia" w:hAnsiTheme="minorEastAsia" w:eastAsiaTheme="minorEastAsia" w:cstheme="minorEastAsia"/>
                <w:b w:val="0"/>
                <w:bCs w:val="0"/>
                <w:color w:val="auto"/>
                <w:highlight w:val="none"/>
                <w:lang w:eastAsia="zh-CN"/>
              </w:rPr>
              <w:t>博爱县公安局</w:t>
            </w:r>
          </w:p>
          <w:p>
            <w:pPr>
              <w:pStyle w:val="17"/>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val="en-US" w:eastAsia="zh-CN"/>
              </w:rPr>
              <w:t xml:space="preserve">联系人：胡先生   </w:t>
            </w:r>
          </w:p>
          <w:p>
            <w:pPr>
              <w:pStyle w:val="17"/>
              <w:spacing w:line="360" w:lineRule="exact"/>
              <w:rPr>
                <w:rFonts w:hint="default"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eastAsia="zh-CN"/>
              </w:rPr>
              <w:t>电话：</w:t>
            </w:r>
            <w:r>
              <w:rPr>
                <w:rFonts w:hint="eastAsia" w:asciiTheme="minorEastAsia" w:hAnsiTheme="minorEastAsia" w:eastAsiaTheme="minorEastAsia" w:cstheme="minorEastAsia"/>
                <w:b w:val="0"/>
                <w:bCs w:val="0"/>
                <w:color w:val="auto"/>
                <w:highlight w:val="none"/>
                <w:lang w:val="en-US" w:eastAsia="zh-CN"/>
              </w:rPr>
              <w:t>18339132667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采购代理机构：博爱县城市建设项目管理有限公司  </w:t>
            </w:r>
          </w:p>
          <w:p>
            <w:pPr>
              <w:pStyle w:val="17"/>
              <w:spacing w:line="360" w:lineRule="exac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color w:val="auto"/>
                <w:highlight w:val="none"/>
              </w:rPr>
              <w:t>联</w:t>
            </w:r>
            <w:r>
              <w:rPr>
                <w:rFonts w:asciiTheme="minorEastAsia" w:hAnsiTheme="minorEastAsia" w:eastAsiaTheme="minorEastAsia" w:cstheme="minorEastAsia"/>
                <w:bCs/>
                <w:iCs/>
                <w:color w:val="auto"/>
                <w:highlight w:val="none"/>
              </w:rPr>
              <w:t>系人：</w:t>
            </w:r>
            <w:r>
              <w:rPr>
                <w:rFonts w:hint="eastAsia" w:asciiTheme="minorEastAsia" w:hAnsiTheme="minorEastAsia" w:eastAsiaTheme="minorEastAsia" w:cstheme="minorEastAsia"/>
                <w:bCs/>
                <w:iCs/>
                <w:color w:val="auto"/>
                <w:highlight w:val="none"/>
                <w:lang w:eastAsia="zh-CN"/>
              </w:rPr>
              <w:t>贾先生</w:t>
            </w:r>
            <w:r>
              <w:rPr>
                <w:rFonts w:asciiTheme="minorEastAsia" w:hAnsiTheme="minorEastAsia" w:eastAsiaTheme="minorEastAsia" w:cstheme="minorEastAsia"/>
                <w:bCs/>
                <w:iCs/>
                <w:color w:val="auto"/>
                <w:highlight w:val="none"/>
              </w:rPr>
              <w:t xml:space="preserve">      </w:t>
            </w:r>
          </w:p>
          <w:p>
            <w:pPr>
              <w:pStyle w:val="17"/>
              <w:spacing w:line="360" w:lineRule="exact"/>
              <w:rPr>
                <w:rFonts w:hint="default" w:asciiTheme="minorEastAsia" w:hAnsiTheme="minorEastAsia" w:eastAsiaTheme="minorEastAsia" w:cstheme="minorEastAsia"/>
                <w:color w:val="auto"/>
                <w:highlight w:val="none"/>
                <w:lang w:val="en-US" w:eastAsia="zh-CN"/>
              </w:rPr>
            </w:pPr>
            <w:r>
              <w:rPr>
                <w:rFonts w:asciiTheme="minorEastAsia" w:hAnsiTheme="minorEastAsia" w:eastAsiaTheme="minorEastAsia" w:cstheme="minorEastAsia"/>
                <w:bCs/>
                <w:iCs/>
                <w:color w:val="auto"/>
                <w:highlight w:val="none"/>
              </w:rPr>
              <w:t>电话</w:t>
            </w:r>
            <w:r>
              <w:rPr>
                <w:rFonts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15139166295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szCs w:val="21"/>
                <w:highlight w:val="none"/>
                <w:lang w:eastAsia="zh-CN"/>
              </w:rPr>
              <w:t>博爱县公安局建设完善“防控圈”感知设备采购项目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7"/>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7"/>
              <w:spacing w:line="36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采购内容</w:t>
            </w:r>
          </w:p>
        </w:tc>
        <w:tc>
          <w:tcPr>
            <w:tcW w:w="6112" w:type="dxa"/>
          </w:tcPr>
          <w:p>
            <w:pPr>
              <w:pStyle w:val="17"/>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采购900W环保车辆人脸卡口抓拍单元、红外白光爆闪一体灯、卡口终端服务器、400万像素红外全景球机、800万黑光级双舱全结构化摄像机、云计算服务器、数据分析服务器等</w:t>
            </w:r>
            <w:r>
              <w:rPr>
                <w:rFonts w:hint="eastAsia"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7"/>
              <w:spacing w:line="360" w:lineRule="exact"/>
              <w:jc w:val="center"/>
              <w:rPr>
                <w:rFonts w:hint="eastAsia"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供货安装期</w:t>
            </w:r>
          </w:p>
        </w:tc>
        <w:tc>
          <w:tcPr>
            <w:tcW w:w="6112" w:type="dxa"/>
            <w:vAlign w:val="center"/>
          </w:tcPr>
          <w:p>
            <w:pPr>
              <w:adjustRightInd w:val="0"/>
              <w:snapToGrid w:val="0"/>
              <w:spacing w:line="5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7"/>
              <w:spacing w:line="360" w:lineRule="exact"/>
              <w:jc w:val="center"/>
              <w:rPr>
                <w:rFonts w:hint="default" w:hAnsi="宋体" w:cs="宋体"/>
                <w:color w:val="auto"/>
                <w:kern w:val="0"/>
                <w:sz w:val="21"/>
                <w:szCs w:val="21"/>
                <w:highlight w:val="none"/>
              </w:rPr>
            </w:pPr>
            <w:r>
              <w:rPr>
                <w:rFonts w:hint="default" w:hAnsi="宋体" w:cs="宋体"/>
                <w:color w:val="auto"/>
                <w:kern w:val="0"/>
                <w:sz w:val="21"/>
                <w:szCs w:val="21"/>
                <w:highlight w:val="none"/>
              </w:rPr>
              <w:t>质量标准</w:t>
            </w:r>
          </w:p>
        </w:tc>
        <w:tc>
          <w:tcPr>
            <w:tcW w:w="6112" w:type="dxa"/>
            <w:vAlign w:val="center"/>
          </w:tcPr>
          <w:p>
            <w:pPr>
              <w:spacing w:line="400" w:lineRule="exact"/>
              <w:rPr>
                <w:rFonts w:ascii="宋体" w:hAnsi="宋体" w:cs="宋体"/>
                <w:color w:val="auto"/>
                <w:kern w:val="0"/>
                <w:sz w:val="21"/>
                <w:szCs w:val="21"/>
                <w:highlight w:val="none"/>
              </w:rPr>
            </w:pPr>
            <w:r>
              <w:rPr>
                <w:rFonts w:ascii="宋体" w:hAnsi="宋体" w:cs="宋体"/>
                <w:color w:val="auto"/>
                <w:kern w:val="0"/>
                <w:sz w:val="21"/>
                <w:szCs w:val="21"/>
                <w:highlight w:val="none"/>
              </w:rPr>
              <w:t>合格，符合国家</w:t>
            </w:r>
            <w:r>
              <w:rPr>
                <w:rFonts w:hint="eastAsia" w:ascii="宋体" w:hAnsi="宋体" w:cs="宋体"/>
                <w:color w:val="auto"/>
                <w:kern w:val="0"/>
                <w:sz w:val="21"/>
                <w:szCs w:val="21"/>
                <w:highlight w:val="none"/>
                <w:lang w:eastAsia="zh-CN"/>
              </w:rPr>
              <w:t>及</w:t>
            </w:r>
            <w:r>
              <w:rPr>
                <w:rFonts w:ascii="宋体" w:hAnsi="宋体" w:cs="宋体"/>
                <w:color w:val="auto"/>
                <w:kern w:val="0"/>
                <w:sz w:val="21"/>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7"/>
              <w:spacing w:line="360" w:lineRule="exact"/>
              <w:jc w:val="center"/>
              <w:rPr>
                <w:rFonts w:hint="default" w:hAnsi="宋体" w:cs="宋体"/>
                <w:color w:val="auto"/>
                <w:kern w:val="0"/>
                <w:highlight w:val="red"/>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red"/>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1.3.5</w:t>
            </w:r>
          </w:p>
        </w:tc>
        <w:tc>
          <w:tcPr>
            <w:tcW w:w="2318" w:type="dxa"/>
            <w:vAlign w:val="center"/>
          </w:tcPr>
          <w:p>
            <w:pPr>
              <w:pStyle w:val="17"/>
              <w:spacing w:line="36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服务期</w:t>
            </w:r>
          </w:p>
        </w:tc>
        <w:tc>
          <w:tcPr>
            <w:tcW w:w="6112" w:type="dxa"/>
            <w:vAlign w:val="center"/>
          </w:tcPr>
          <w:p>
            <w:pPr>
              <w:pStyle w:val="17"/>
              <w:spacing w:line="36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1、符合《中华人民共和国政府采购法》第二十二条之规定；</w:t>
            </w:r>
          </w:p>
          <w:p>
            <w:pPr>
              <w:pStyle w:val="17"/>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2、落实政府采购政策需满足的资格要求：促进中小企业和监狱企业发展扶持政策、政府强制采购节能产品、节能产品及环境标志产品优先采购。</w:t>
            </w:r>
          </w:p>
          <w:p>
            <w:pPr>
              <w:pStyle w:val="17"/>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3、本项目的特定资格要求：</w:t>
            </w:r>
          </w:p>
          <w:p>
            <w:pPr>
              <w:pStyle w:val="17"/>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3.1供应商须具有有效的营业执照，并具有实施完成本项目的经营实力和完善的售后服务体系；</w:t>
            </w:r>
          </w:p>
          <w:p>
            <w:pPr>
              <w:pStyle w:val="17"/>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税收违法</w:t>
            </w:r>
            <w:r>
              <w:rPr>
                <w:rFonts w:hint="default" w:asciiTheme="minorEastAsia" w:hAnsiTheme="minorEastAsia" w:eastAsiaTheme="minorEastAsia" w:cstheme="minorEastAsia"/>
                <w:color w:val="auto"/>
                <w:highlight w:val="none"/>
                <w:lang w:val="en-US" w:eastAsia="zh-CN"/>
              </w:rPr>
              <w:t>黑名单</w:t>
            </w:r>
            <w:r>
              <w:rPr>
                <w:rFonts w:hint="default" w:asciiTheme="minorEastAsia" w:hAnsiTheme="minorEastAsia" w:eastAsiaTheme="minorEastAsia" w:cstheme="minorEastAsia"/>
                <w:color w:val="auto"/>
                <w:highlight w:val="none"/>
              </w:rPr>
              <w:t>、政府采购严重违法失信行为记录名单的供应商，拒绝参与政府采购活动，同时对信用信息查询记录和证据进行打印存档； </w:t>
            </w:r>
          </w:p>
          <w:p>
            <w:pPr>
              <w:pStyle w:val="17"/>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3.3本项目不接受联合体投标；</w:t>
            </w:r>
          </w:p>
          <w:p>
            <w:pPr>
              <w:pStyle w:val="17"/>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7"/>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Cs w:val="21"/>
                <w:highlight w:val="none"/>
                <w:u w:val="none"/>
              </w:rPr>
              <w:t>202</w:t>
            </w:r>
            <w:r>
              <w:rPr>
                <w:rFonts w:hint="eastAsia" w:ascii="宋体" w:hAnsi="宋体" w:cs="宋体"/>
                <w:b/>
                <w:bCs/>
                <w:color w:val="auto"/>
                <w:kern w:val="0"/>
                <w:szCs w:val="21"/>
                <w:highlight w:val="none"/>
                <w:u w:val="none"/>
                <w:lang w:val="en-US" w:eastAsia="zh-CN"/>
              </w:rPr>
              <w:t>3</w:t>
            </w:r>
            <w:r>
              <w:rPr>
                <w:rFonts w:hint="eastAsia" w:ascii="宋体" w:hAnsi="宋体" w:cs="宋体"/>
                <w:b/>
                <w:bCs/>
                <w:color w:val="auto"/>
                <w:kern w:val="0"/>
                <w:szCs w:val="21"/>
                <w:highlight w:val="none"/>
                <w:u w:val="none"/>
              </w:rPr>
              <w:t>年</w:t>
            </w:r>
            <w:r>
              <w:rPr>
                <w:rFonts w:hint="eastAsia" w:ascii="宋体" w:hAnsi="宋体" w:cs="宋体"/>
                <w:b/>
                <w:bCs/>
                <w:color w:val="auto"/>
                <w:kern w:val="0"/>
                <w:szCs w:val="21"/>
                <w:highlight w:val="none"/>
                <w:u w:val="none"/>
                <w:lang w:val="en-US" w:eastAsia="zh-CN"/>
              </w:rPr>
              <w:t>2</w:t>
            </w:r>
            <w:r>
              <w:rPr>
                <w:rFonts w:hint="eastAsia" w:ascii="宋体" w:hAnsi="宋体" w:cs="宋体"/>
                <w:b/>
                <w:bCs/>
                <w:color w:val="auto"/>
                <w:kern w:val="0"/>
                <w:szCs w:val="21"/>
                <w:highlight w:val="none"/>
                <w:u w:val="none"/>
              </w:rPr>
              <w:t>月</w:t>
            </w:r>
            <w:r>
              <w:rPr>
                <w:rFonts w:hint="eastAsia" w:ascii="宋体" w:hAnsi="宋体" w:cs="宋体"/>
                <w:b/>
                <w:bCs/>
                <w:color w:val="auto"/>
                <w:kern w:val="0"/>
                <w:szCs w:val="21"/>
                <w:highlight w:val="none"/>
                <w:u w:val="none"/>
                <w:lang w:val="en-US" w:eastAsia="zh-CN"/>
              </w:rPr>
              <w:t>7</w:t>
            </w:r>
            <w:r>
              <w:rPr>
                <w:rFonts w:hint="eastAsia" w:ascii="宋体" w:hAnsi="宋体" w:cs="宋体"/>
                <w:b/>
                <w:bCs/>
                <w:color w:val="auto"/>
                <w:kern w:val="0"/>
                <w:szCs w:val="21"/>
                <w:highlight w:val="none"/>
                <w:u w:val="none"/>
              </w:rPr>
              <w:t>日上午</w:t>
            </w:r>
            <w:r>
              <w:rPr>
                <w:rFonts w:hint="eastAsia" w:ascii="宋体" w:hAnsi="宋体" w:cs="宋体"/>
                <w:b/>
                <w:bCs/>
                <w:color w:val="auto"/>
                <w:kern w:val="0"/>
                <w:szCs w:val="21"/>
                <w:highlight w:val="none"/>
                <w:u w:val="none"/>
                <w:lang w:val="en-US" w:eastAsia="zh-CN"/>
              </w:rPr>
              <w:t>09</w:t>
            </w:r>
            <w:r>
              <w:rPr>
                <w:rFonts w:hint="eastAsia" w:ascii="宋体" w:hAnsi="宋体" w:cs="宋体"/>
                <w:b/>
                <w:bCs/>
                <w:color w:val="auto"/>
                <w:kern w:val="0"/>
                <w:szCs w:val="21"/>
                <w:highlight w:val="none"/>
                <w:u w:val="none"/>
              </w:rPr>
              <w:t>点</w:t>
            </w:r>
            <w:r>
              <w:rPr>
                <w:rFonts w:hint="eastAsia" w:ascii="宋体" w:hAnsi="宋体" w:cs="宋体"/>
                <w:b/>
                <w:bCs/>
                <w:color w:val="auto"/>
                <w:kern w:val="0"/>
                <w:szCs w:val="21"/>
                <w:highlight w:val="none"/>
                <w:u w:val="none"/>
                <w:lang w:val="en-US" w:eastAsia="zh-CN"/>
              </w:rPr>
              <w:t>00</w:t>
            </w:r>
            <w:r>
              <w:rPr>
                <w:rFonts w:hint="eastAsia" w:ascii="宋体" w:hAnsi="宋体" w:cs="宋体"/>
                <w:b/>
                <w:bCs/>
                <w:color w:val="auto"/>
                <w:kern w:val="0"/>
                <w:szCs w:val="21"/>
                <w:highlight w:val="none"/>
                <w:u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（1）所有要求投标人加盖公章的地方都须加盖投标人单位的 CA 印章。</w:t>
            </w:r>
          </w:p>
          <w:p>
            <w:pPr>
              <w:pStyle w:val="17"/>
              <w:spacing w:line="360" w:lineRule="exact"/>
              <w:rPr>
                <w:rFonts w:hint="default" w:asciiTheme="minorEastAsia" w:hAnsiTheme="minorEastAsia" w:eastAsiaTheme="minorEastAsia" w:cstheme="minorEastAsia"/>
                <w:color w:val="auto"/>
                <w:highlight w:val="none"/>
              </w:rPr>
            </w:pPr>
            <w:r>
              <w:rPr>
                <w:rFonts w:hAnsi="宋体" w:cs="宋体"/>
                <w:b/>
                <w:bCs/>
                <w:color w:val="auto"/>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7"/>
              <w:spacing w:line="360" w:lineRule="exact"/>
              <w:rPr>
                <w:rFonts w:hint="default" w:asciiTheme="minorEastAsia" w:hAnsiTheme="minorEastAsia" w:cstheme="minorEastAsia"/>
                <w:color w:val="auto"/>
                <w:highlight w:val="none"/>
              </w:rPr>
            </w:pPr>
            <w:r>
              <w:rPr>
                <w:b/>
                <w:bCs/>
                <w:color w:val="auto"/>
                <w:highlight w:val="none"/>
              </w:rPr>
              <w:t>加密的电子投标文件壹份（.jztf 格式在会员系统指定位置上传）；自备非加密的电子投标文件一份，如有紧急情况，在不见面开标</w:t>
            </w:r>
            <w:r>
              <w:rPr>
                <w:rFonts w:hint="eastAsia"/>
                <w:b/>
                <w:bCs/>
                <w:color w:val="auto"/>
                <w:highlight w:val="none"/>
                <w:lang w:eastAsia="zh-CN"/>
              </w:rPr>
              <w:t>会员系统</w:t>
            </w:r>
            <w:r>
              <w:rPr>
                <w:b/>
                <w:bCs/>
                <w:color w:val="auto"/>
                <w:highlight w:val="none"/>
              </w:rPr>
              <w:t>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7"/>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17"/>
              <w:spacing w:line="400" w:lineRule="exact"/>
              <w:rPr>
                <w:rFonts w:hint="default" w:hAnsi="宋体"/>
                <w:color w:val="auto"/>
                <w:highlight w:val="none"/>
              </w:rPr>
            </w:pPr>
            <w:r>
              <w:rPr>
                <w:rFonts w:hAnsi="宋体"/>
                <w:color w:val="auto"/>
                <w:highlight w:val="none"/>
              </w:rPr>
              <w:t>（1）电子投标文件的递交</w:t>
            </w:r>
          </w:p>
          <w:p>
            <w:pPr>
              <w:pStyle w:val="17"/>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17"/>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17"/>
              <w:spacing w:line="400" w:lineRule="exact"/>
              <w:rPr>
                <w:rFonts w:hint="eastAsia" w:eastAsia="宋体"/>
                <w:color w:val="auto"/>
                <w:highlight w:val="none"/>
                <w:lang w:eastAsia="zh-CN"/>
              </w:rPr>
            </w:pPr>
            <w:r>
              <w:rPr>
                <w:rFonts w:hAnsi="宋体"/>
                <w:color w:val="auto"/>
                <w:highlight w:val="none"/>
              </w:rPr>
              <w:t>b、如系统故故障需上传非加密文件时，投标人应按照</w:t>
            </w:r>
            <w:r>
              <w:rPr>
                <w:rFonts w:hint="eastAsia" w:hAnsi="宋体"/>
                <w:color w:val="auto"/>
                <w:highlight w:val="none"/>
                <w:lang w:eastAsia="zh-CN"/>
              </w:rPr>
              <w:t>采购人</w:t>
            </w:r>
            <w:r>
              <w:rPr>
                <w:rFonts w:hAnsi="宋体"/>
                <w:color w:val="auto"/>
                <w:highlight w:val="none"/>
              </w:rPr>
              <w:t>指示将非加密文件递交给</w:t>
            </w:r>
            <w:r>
              <w:rPr>
                <w:rFonts w:hint="eastAsia" w:hAnsi="宋体"/>
                <w:color w:val="auto"/>
                <w:highlight w:val="none"/>
                <w:lang w:eastAsia="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w:t>
            </w:r>
            <w:r>
              <w:rPr>
                <w:rFonts w:hint="eastAsia" w:ascii="宋体" w:hAnsi="宋体"/>
                <w:color w:val="auto"/>
                <w:szCs w:val="21"/>
                <w:highlight w:val="none"/>
                <w:lang w:val="en-US" w:eastAsia="zh-CN"/>
              </w:rPr>
              <w:t>二</w:t>
            </w:r>
            <w:r>
              <w:rPr>
                <w:rFonts w:hint="eastAsia" w:ascii="宋体" w:hAnsi="宋体"/>
                <w:color w:val="auto"/>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7"/>
              <w:spacing w:line="36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7.3.3</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质量保证金</w:t>
            </w:r>
          </w:p>
        </w:tc>
        <w:tc>
          <w:tcPr>
            <w:tcW w:w="6112" w:type="dxa"/>
            <w:shd w:val="clear" w:color="auto" w:fill="auto"/>
            <w:vAlign w:val="center"/>
          </w:tcPr>
          <w:p>
            <w:pPr>
              <w:spacing w:line="38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无</w:t>
            </w:r>
          </w:p>
          <w:p>
            <w:pPr>
              <w:spacing w:line="38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本项目采购货物在质保期内属于货物质量问题的，成交供应商应免费维修，不能维修的应及时更换新货物，供应商须针对质保期内的质量问题提供承诺函。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1、本项目预算金额为：</w:t>
            </w:r>
            <w:r>
              <w:rPr>
                <w:rFonts w:hint="eastAsia" w:asciiTheme="minorEastAsia" w:hAnsiTheme="minorEastAsia" w:eastAsiaTheme="minorEastAsia" w:cstheme="minorEastAsia"/>
                <w:color w:val="auto"/>
                <w:szCs w:val="21"/>
                <w:highlight w:val="none"/>
                <w:lang w:val="en-US" w:eastAsia="zh-CN"/>
              </w:rPr>
              <w:t>2000000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eastAsia="zh-CN"/>
              </w:rPr>
              <w:t>（贰佰万元整）</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%），即：评标价＝投标报价（最后报价）×(1－C1）；</w:t>
            </w:r>
          </w:p>
          <w:p>
            <w:pPr>
              <w:autoSpaceDE w:val="0"/>
              <w:autoSpaceDN w:val="0"/>
              <w:adjustRightInd w:val="0"/>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小微企业应当列明本项目中所投的“小型和微型企业产品的清单”并提供《中小企业声明函》（见格式）。</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w:t>
            </w:r>
            <w:r>
              <w:rPr>
                <w:rFonts w:hint="eastAsia" w:ascii="宋体" w:hAnsi="宋体" w:cs="宋体"/>
                <w:bCs/>
                <w:color w:val="auto"/>
                <w:highlight w:val="none"/>
                <w:shd w:val="clear"/>
              </w:rPr>
              <w:t>的价格给予</w:t>
            </w:r>
            <w:r>
              <w:rPr>
                <w:rFonts w:hint="eastAsia" w:ascii="宋体" w:hAnsi="宋体" w:cs="宋体"/>
                <w:bCs/>
                <w:color w:val="auto"/>
                <w:highlight w:val="none"/>
                <w:shd w:val="clear"/>
                <w:lang w:val="en-US" w:eastAsia="zh-CN"/>
              </w:rPr>
              <w:t>20</w:t>
            </w:r>
            <w:r>
              <w:rPr>
                <w:rFonts w:hint="eastAsia" w:ascii="宋体" w:hAnsi="宋体" w:cs="宋体"/>
                <w:bCs/>
                <w:color w:val="auto"/>
                <w:highlight w:val="none"/>
                <w:shd w:val="clear"/>
              </w:rPr>
              <w:t>%的扣除。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jc w:val="center"/>
              <w:rPr>
                <w:rFonts w:hint="eastAsia"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rPr>
                <w:rFonts w:hint="eastAsia" w:ascii="宋体" w:hAnsi="宋体" w:cs="宋体"/>
                <w:bCs/>
                <w:color w:val="auto"/>
                <w:highlight w:val="none"/>
                <w:lang w:eastAsia="zh-CN"/>
              </w:rPr>
            </w:pPr>
            <w:r>
              <w:rPr>
                <w:rFonts w:hint="eastAsia" w:ascii="宋体" w:hAnsi="宋体" w:cs="宋体"/>
                <w:bCs/>
                <w:color w:val="auto"/>
                <w:highlight w:val="none"/>
                <w:lang w:val="en-US" w:eastAsia="zh-CN"/>
              </w:rPr>
              <w:t>供货安装完毕、验收合格后支付合同价的100%。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10.4</w:t>
            </w:r>
          </w:p>
        </w:tc>
        <w:tc>
          <w:tcPr>
            <w:tcW w:w="2318" w:type="dxa"/>
            <w:vAlign w:val="center"/>
          </w:tcPr>
          <w:p>
            <w:pPr>
              <w:spacing w:line="440" w:lineRule="exact"/>
              <w:jc w:val="center"/>
              <w:rPr>
                <w:rFonts w:hint="eastAsia" w:ascii="宋体" w:hAnsi="宋体" w:cs="宋体"/>
                <w:bCs/>
                <w:color w:val="auto"/>
                <w:highlight w:val="none"/>
              </w:rPr>
            </w:pPr>
            <w:r>
              <w:rPr>
                <w:rFonts w:hint="eastAsia" w:ascii="宋体" w:hAnsi="宋体" w:cs="宋体"/>
                <w:bCs/>
                <w:color w:val="auto"/>
                <w:highlight w:val="none"/>
              </w:rPr>
              <w:t>供货要求</w:t>
            </w:r>
          </w:p>
        </w:tc>
        <w:tc>
          <w:tcPr>
            <w:tcW w:w="6112" w:type="dxa"/>
            <w:vAlign w:val="center"/>
          </w:tcPr>
          <w:p>
            <w:pPr>
              <w:spacing w:line="440" w:lineRule="exact"/>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color w:val="auto"/>
                <w:highlight w:val="none"/>
              </w:rPr>
            </w:pPr>
            <w:r>
              <w:rPr>
                <w:rFonts w:hint="eastAsia" w:ascii="宋体" w:hAnsi="宋体" w:cs="宋体"/>
                <w:bCs/>
                <w:color w:val="auto"/>
                <w:highlight w:val="none"/>
              </w:rPr>
              <w:t>招标代理服务费依据国家发展改革委发改价格〔2015〕299号文件的规定收取，由中标人支付。招标代理费由招标代理机构通知中标企业结清后，领取中标通知书。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认定为不响应招标文件的其它条件</w:t>
            </w:r>
          </w:p>
        </w:tc>
        <w:tc>
          <w:tcPr>
            <w:tcW w:w="6112" w:type="dxa"/>
            <w:vAlign w:val="center"/>
          </w:tcPr>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1、未按招标文件明示的规定签字盖章的；</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2、投标文件的关键内容（供货安装期、质量标准、品牌、型号等）未填写或填写字迹模糊、达不到采购要求的；</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3、投标报价超出招标控制价的；</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4、供应商递交两份或多份内容不同的投标文件，或在一份投标文件中对同一招标项目有两个或多个报价，且未声明哪一个有效的；</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5、相关资格证明文件不合格的；</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6、未按要求在报价明细表中标明品牌、型号及技术参数的。</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7、附有采购人不能接受的条件的；</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8、评标过程中，如因两个或两个以上投标人在同一台计算或同一个IP上传响应文件，而被不见面开标系统提示为“投标文件制作机器码一致”的，则视其投标无效。</w:t>
            </w:r>
          </w:p>
          <w:p>
            <w:pPr>
              <w:pStyle w:val="24"/>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10.9</w:t>
            </w:r>
          </w:p>
        </w:tc>
        <w:tc>
          <w:tcPr>
            <w:tcW w:w="8430" w:type="dxa"/>
            <w:gridSpan w:val="2"/>
            <w:vAlign w:val="center"/>
          </w:tcPr>
          <w:p>
            <w:pPr>
              <w:pStyle w:val="24"/>
              <w:tabs>
                <w:tab w:val="left" w:pos="1268"/>
              </w:tabs>
              <w:ind w:firstLine="0" w:firstLineChars="0"/>
              <w:rPr>
                <w:rFonts w:hint="eastAsia" w:ascii="宋体" w:hAnsi="宋体" w:eastAsia="宋体" w:cs="宋体"/>
                <w:bCs/>
                <w:color w:val="auto"/>
                <w:kern w:val="2"/>
                <w:sz w:val="21"/>
                <w:szCs w:val="24"/>
                <w:highlight w:val="none"/>
                <w:lang w:val="en-US" w:eastAsia="zh-CN" w:bidi="ar-SA"/>
              </w:rPr>
            </w:pPr>
            <w:r>
              <w:rPr>
                <w:rFonts w:hint="eastAsia" w:asciiTheme="minorEastAsia" w:hAnsiTheme="minorEastAsia" w:eastAsiaTheme="minorEastAsia" w:cstheme="minorEastAsia"/>
                <w:color w:val="auto"/>
                <w:szCs w:val="21"/>
                <w:highlight w:val="none"/>
              </w:rPr>
              <w:t>本招标文件解释权归采购人</w:t>
            </w:r>
          </w:p>
        </w:tc>
      </w:tr>
    </w:tbl>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0" w:name="_Toc23082"/>
      <w:bookmarkStart w:id="11" w:name="_Toc403122491"/>
      <w:bookmarkStart w:id="12" w:name="_Toc11465"/>
      <w:bookmarkStart w:id="13" w:name="_Toc9048"/>
      <w:bookmarkStart w:id="14" w:name="_Toc23576"/>
      <w:bookmarkStart w:id="15" w:name="_Toc426369479"/>
      <w:bookmarkStart w:id="16" w:name="_Toc403122503"/>
      <w:bookmarkStart w:id="17" w:name="_Toc26894"/>
      <w:bookmarkStart w:id="18" w:name="_Toc426369491"/>
      <w:r>
        <w:rPr>
          <w:rFonts w:hint="eastAsia" w:asciiTheme="minorEastAsia" w:hAnsiTheme="minorEastAsia" w:eastAsiaTheme="minorEastAsia" w:cstheme="minorEastAsia"/>
          <w:color w:val="auto"/>
          <w:sz w:val="24"/>
          <w:szCs w:val="24"/>
          <w:highlight w:val="none"/>
        </w:rPr>
        <w:t>1. 总则</w:t>
      </w:r>
      <w:bookmarkEnd w:id="10"/>
      <w:bookmarkEnd w:id="11"/>
      <w:bookmarkEnd w:id="12"/>
      <w:bookmarkEnd w:id="13"/>
      <w:bookmarkEnd w:id="14"/>
      <w:bookmarkEnd w:id="1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 w:name="_Toc426369480"/>
      <w:bookmarkStart w:id="20" w:name="_Toc403122492"/>
      <w:bookmarkStart w:id="21" w:name="_Toc274249575"/>
      <w:bookmarkStart w:id="22" w:name="_Toc279599771"/>
      <w:r>
        <w:rPr>
          <w:rFonts w:hint="eastAsia" w:asciiTheme="minorEastAsia" w:hAnsiTheme="minorEastAsia" w:eastAsiaTheme="minorEastAsia" w:cstheme="minorEastAsia"/>
          <w:b/>
          <w:bCs/>
          <w:color w:val="auto"/>
          <w:sz w:val="24"/>
          <w:highlight w:val="none"/>
        </w:rPr>
        <w:t>1.1 项目概况</w:t>
      </w:r>
      <w:bookmarkEnd w:id="19"/>
      <w:bookmarkEnd w:id="20"/>
      <w:bookmarkEnd w:id="21"/>
      <w:bookmarkEnd w:id="2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3" w:name="_Toc274249576"/>
      <w:bookmarkStart w:id="24" w:name="_Toc426369481"/>
      <w:bookmarkStart w:id="25" w:name="_Toc279599772"/>
      <w:bookmarkStart w:id="26" w:name="_Toc403122493"/>
      <w:r>
        <w:rPr>
          <w:rFonts w:hint="eastAsia" w:asciiTheme="minorEastAsia" w:hAnsiTheme="minorEastAsia" w:eastAsiaTheme="minorEastAsia" w:cstheme="minorEastAsia"/>
          <w:b/>
          <w:bCs/>
          <w:color w:val="auto"/>
          <w:sz w:val="24"/>
          <w:highlight w:val="none"/>
        </w:rPr>
        <w:t>1.2 资金来源和落实情况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hint="eastAsia" w:asciiTheme="minorEastAsia" w:hAnsiTheme="minorEastAsia" w:eastAsiaTheme="minorEastAsia" w:cstheme="minorEastAsia"/>
          <w:b/>
          <w:bCs/>
          <w:color w:val="auto"/>
          <w:sz w:val="24"/>
          <w:highlight w:val="none"/>
          <w:lang w:eastAsia="zh-CN"/>
        </w:rPr>
      </w:pPr>
      <w:bookmarkStart w:id="27" w:name="_Toc274249577"/>
      <w:bookmarkStart w:id="28" w:name="_Toc403122494"/>
      <w:bookmarkStart w:id="29" w:name="_Toc426369482"/>
      <w:bookmarkStart w:id="30" w:name="_Toc279599773"/>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val="en-US" w:eastAsia="zh-CN"/>
        </w:rPr>
        <w:t>供货安装期</w:t>
      </w:r>
      <w:r>
        <w:rPr>
          <w:rFonts w:hint="eastAsia" w:asciiTheme="minorEastAsia" w:hAnsiTheme="minorEastAsia" w:eastAsiaTheme="minorEastAsia" w:cstheme="minorEastAsia"/>
          <w:b/>
          <w:bCs/>
          <w:color w:val="auto"/>
          <w:sz w:val="24"/>
          <w:highlight w:val="none"/>
        </w:rPr>
        <w:t>和质量</w:t>
      </w:r>
      <w:bookmarkEnd w:id="27"/>
      <w:bookmarkEnd w:id="28"/>
      <w:bookmarkEnd w:id="29"/>
      <w:bookmarkEnd w:id="30"/>
      <w:r>
        <w:rPr>
          <w:rFonts w:hint="eastAsia" w:asciiTheme="minorEastAsia" w:hAnsiTheme="minorEastAsia" w:eastAsiaTheme="minorEastAsia" w:cstheme="minorEastAsia"/>
          <w:b/>
          <w:bCs/>
          <w:color w:val="auto"/>
          <w:sz w:val="24"/>
          <w:highlight w:val="none"/>
          <w:lang w:val="en-US" w:eastAsia="zh-CN"/>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1" w:name="_Toc426369483"/>
      <w:bookmarkStart w:id="32" w:name="_Toc403122495"/>
      <w:bookmarkStart w:id="33" w:name="_Toc279599774"/>
      <w:bookmarkStart w:id="34" w:name="_Toc274249578"/>
      <w:r>
        <w:rPr>
          <w:rFonts w:hint="eastAsia" w:asciiTheme="minorEastAsia" w:hAnsiTheme="minorEastAsia" w:eastAsiaTheme="minorEastAsia" w:cstheme="minorEastAsia"/>
          <w:b/>
          <w:bCs/>
          <w:color w:val="auto"/>
          <w:sz w:val="24"/>
          <w:highlight w:val="none"/>
        </w:rPr>
        <w:t>1.4 供应商资格要求</w:t>
      </w:r>
      <w:bookmarkEnd w:id="31"/>
      <w:bookmarkEnd w:id="32"/>
      <w:bookmarkEnd w:id="33"/>
      <w:bookmarkEnd w:id="3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5" w:name="_Toc403122496"/>
      <w:bookmarkStart w:id="36" w:name="_Toc279599775"/>
      <w:bookmarkStart w:id="37" w:name="_Toc274249579"/>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8" w:name="_Toc426369484"/>
      <w:r>
        <w:rPr>
          <w:rFonts w:hint="eastAsia" w:asciiTheme="minorEastAsia" w:hAnsiTheme="minorEastAsia" w:eastAsiaTheme="minorEastAsia" w:cstheme="minorEastAsia"/>
          <w:b/>
          <w:bCs/>
          <w:color w:val="auto"/>
          <w:sz w:val="24"/>
          <w:highlight w:val="none"/>
        </w:rPr>
        <w:t>1.5 费用承担</w:t>
      </w:r>
      <w:bookmarkEnd w:id="35"/>
      <w:bookmarkEnd w:id="36"/>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9" w:name="_Toc403122497"/>
      <w:bookmarkStart w:id="40" w:name="_Toc426369485"/>
      <w:r>
        <w:rPr>
          <w:rFonts w:hint="eastAsia" w:asciiTheme="minorEastAsia" w:hAnsiTheme="minorEastAsia" w:eastAsiaTheme="minorEastAsia" w:cstheme="minorEastAsia"/>
          <w:b/>
          <w:bCs/>
          <w:color w:val="auto"/>
          <w:sz w:val="24"/>
          <w:highlight w:val="none"/>
        </w:rPr>
        <w:t>1.6 保密</w:t>
      </w:r>
      <w:bookmarkEnd w:id="39"/>
      <w:bookmarkEnd w:id="4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hint="eastAsia" w:asciiTheme="minorEastAsia" w:hAnsiTheme="minorEastAsia" w:eastAsiaTheme="minorEastAsia" w:cstheme="minorEastAsia"/>
          <w:b/>
          <w:bCs/>
          <w:color w:val="auto"/>
          <w:sz w:val="24"/>
          <w:highlight w:val="none"/>
          <w:lang w:val="en-US" w:eastAsia="zh-CN"/>
        </w:rPr>
      </w:pPr>
      <w:bookmarkStart w:id="41" w:name="_Toc426369486"/>
      <w:bookmarkStart w:id="42" w:name="_Toc403122498"/>
      <w:bookmarkStart w:id="43" w:name="_Toc274249581"/>
      <w:bookmarkStart w:id="44" w:name="_Toc279599777"/>
      <w:r>
        <w:rPr>
          <w:rFonts w:hint="eastAsia" w:asciiTheme="minorEastAsia" w:hAnsiTheme="minorEastAsia" w:eastAsiaTheme="minorEastAsia" w:cstheme="minorEastAsia"/>
          <w:b/>
          <w:bCs/>
          <w:color w:val="auto"/>
          <w:sz w:val="24"/>
          <w:highlight w:val="none"/>
        </w:rPr>
        <w:t>1.7 语言文字</w:t>
      </w:r>
      <w:bookmarkEnd w:id="41"/>
      <w:bookmarkEnd w:id="42"/>
      <w:bookmarkEnd w:id="43"/>
      <w:bookmarkEnd w:id="44"/>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1.7.1 采购文件以及投标人与采购人、采购代理机构就有关投标事宜的所有来往函电均应使用简体中文书写。</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bookmarkStart w:id="45" w:name="_Toc1475"/>
      <w:r>
        <w:rPr>
          <w:rFonts w:hint="eastAsia" w:asciiTheme="minorEastAsia" w:hAnsiTheme="minorEastAsia" w:eastAsiaTheme="minorEastAsia" w:cstheme="minorEastAsia"/>
          <w:color w:val="auto"/>
          <w:szCs w:val="21"/>
          <w:highlight w:val="none"/>
          <w:lang w:val="en-US" w:eastAsia="zh-CN"/>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End w:id="45"/>
      <w:bookmarkStart w:id="46" w:name="_Toc403122499"/>
      <w:bookmarkStart w:id="47" w:name="_Toc426369487"/>
      <w:r>
        <w:rPr>
          <w:rFonts w:hint="eastAsia" w:asciiTheme="minorEastAsia" w:hAnsiTheme="minorEastAsia" w:eastAsiaTheme="minorEastAsia" w:cstheme="minorEastAsia"/>
          <w:color w:val="auto"/>
          <w:szCs w:val="21"/>
          <w:highlight w:val="none"/>
          <w:lang w:val="en-US" w:eastAsia="zh-CN"/>
        </w:rPr>
        <w:t>。</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48" w:name="_Toc10117"/>
      <w:r>
        <w:rPr>
          <w:rFonts w:hint="eastAsia" w:asciiTheme="minorEastAsia" w:hAnsiTheme="minorEastAsia" w:eastAsiaTheme="minorEastAsia" w:cstheme="minorEastAsia"/>
          <w:b/>
          <w:bCs/>
          <w:color w:val="auto"/>
          <w:sz w:val="24"/>
          <w:highlight w:val="none"/>
        </w:rPr>
        <w:t>1.8 计量单位</w:t>
      </w:r>
      <w:bookmarkEnd w:id="46"/>
      <w:bookmarkEnd w:id="47"/>
      <w:bookmarkEnd w:id="48"/>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9" w:name="_Toc403122500"/>
      <w:bookmarkStart w:id="50" w:name="_Toc274249583"/>
      <w:bookmarkStart w:id="51" w:name="_Toc426369488"/>
      <w:bookmarkStart w:id="52" w:name="_Toc279599779"/>
      <w:r>
        <w:rPr>
          <w:rFonts w:hint="eastAsia" w:asciiTheme="minorEastAsia" w:hAnsiTheme="minorEastAsia" w:eastAsiaTheme="minorEastAsia" w:cstheme="minorEastAsia"/>
          <w:b/>
          <w:bCs/>
          <w:color w:val="auto"/>
          <w:sz w:val="24"/>
          <w:highlight w:val="none"/>
        </w:rPr>
        <w:t>1.9 踏勘现场</w:t>
      </w:r>
      <w:bookmarkEnd w:id="49"/>
      <w:bookmarkEnd w:id="50"/>
      <w:bookmarkEnd w:id="51"/>
      <w:bookmarkEnd w:id="5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3" w:name="_Toc279599780"/>
      <w:bookmarkStart w:id="54" w:name="_Toc426369489"/>
      <w:bookmarkStart w:id="55" w:name="_Toc403122501"/>
      <w:bookmarkStart w:id="56" w:name="_Toc274249584"/>
      <w:r>
        <w:rPr>
          <w:rFonts w:hint="eastAsia" w:asciiTheme="minorEastAsia" w:hAnsiTheme="minorEastAsia" w:eastAsiaTheme="minorEastAsia" w:cstheme="minorEastAsia"/>
          <w:b/>
          <w:bCs/>
          <w:color w:val="auto"/>
          <w:sz w:val="24"/>
          <w:highlight w:val="none"/>
        </w:rPr>
        <w:t>1.10 投标预备会</w:t>
      </w:r>
      <w:bookmarkEnd w:id="53"/>
      <w:bookmarkEnd w:id="54"/>
      <w:bookmarkEnd w:id="55"/>
      <w:bookmarkEnd w:id="5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7" w:name="_Toc274249585"/>
      <w:bookmarkStart w:id="58" w:name="_Toc426369490"/>
      <w:bookmarkStart w:id="59" w:name="_Toc403122502"/>
      <w:bookmarkStart w:id="60" w:name="_Toc279599781"/>
      <w:r>
        <w:rPr>
          <w:rFonts w:hint="eastAsia" w:asciiTheme="minorEastAsia" w:hAnsiTheme="minorEastAsia" w:eastAsiaTheme="minorEastAsia" w:cstheme="minorEastAsia"/>
          <w:b/>
          <w:bCs/>
          <w:color w:val="auto"/>
          <w:sz w:val="24"/>
          <w:highlight w:val="none"/>
        </w:rPr>
        <w:t>1.11 分包</w:t>
      </w:r>
      <w:bookmarkEnd w:id="57"/>
      <w:bookmarkEnd w:id="58"/>
      <w:bookmarkEnd w:id="59"/>
      <w:bookmarkEnd w:id="6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61" w:name="_Toc11741"/>
      <w:bookmarkStart w:id="62" w:name="_Toc28663"/>
      <w:bookmarkStart w:id="63" w:name="_Toc9121"/>
      <w:r>
        <w:rPr>
          <w:rFonts w:hint="eastAsia" w:asciiTheme="minorEastAsia" w:hAnsiTheme="minorEastAsia" w:eastAsiaTheme="minorEastAsia" w:cstheme="minorEastAsia"/>
          <w:color w:val="auto"/>
          <w:sz w:val="24"/>
          <w:szCs w:val="24"/>
          <w:highlight w:val="none"/>
        </w:rPr>
        <w:t>2. 招标文件</w:t>
      </w:r>
      <w:bookmarkEnd w:id="16"/>
      <w:bookmarkEnd w:id="17"/>
      <w:bookmarkEnd w:id="18"/>
      <w:bookmarkEnd w:id="61"/>
      <w:bookmarkEnd w:id="62"/>
      <w:bookmarkEnd w:id="6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4" w:name="_Toc279599783"/>
      <w:bookmarkStart w:id="65" w:name="_Toc426369492"/>
      <w:bookmarkStart w:id="66" w:name="_Toc274249587"/>
      <w:bookmarkStart w:id="67" w:name="_Toc403122504"/>
      <w:r>
        <w:rPr>
          <w:rFonts w:hint="eastAsia" w:asciiTheme="minorEastAsia" w:hAnsiTheme="minorEastAsia" w:eastAsiaTheme="minorEastAsia" w:cstheme="minorEastAsia"/>
          <w:b/>
          <w:bCs/>
          <w:color w:val="auto"/>
          <w:sz w:val="24"/>
          <w:highlight w:val="none"/>
        </w:rPr>
        <w:t>2.1 招标文件的组成</w:t>
      </w:r>
      <w:bookmarkEnd w:id="64"/>
      <w:bookmarkEnd w:id="65"/>
      <w:bookmarkEnd w:id="66"/>
      <w:bookmarkEnd w:id="6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7"/>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7"/>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7"/>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7"/>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7"/>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7"/>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8" w:name="_Toc279599784"/>
      <w:bookmarkStart w:id="69" w:name="_Toc403122505"/>
      <w:bookmarkStart w:id="70" w:name="_Toc426369493"/>
      <w:bookmarkStart w:id="71" w:name="_Toc274249588"/>
      <w:r>
        <w:rPr>
          <w:rFonts w:hint="eastAsia" w:asciiTheme="minorEastAsia" w:hAnsiTheme="minorEastAsia" w:eastAsiaTheme="minorEastAsia" w:cstheme="minorEastAsia"/>
          <w:b/>
          <w:bCs/>
          <w:color w:val="auto"/>
          <w:sz w:val="24"/>
          <w:highlight w:val="none"/>
        </w:rPr>
        <w:t>2.2 招标文件的澄清</w:t>
      </w:r>
      <w:bookmarkEnd w:id="68"/>
      <w:bookmarkEnd w:id="69"/>
      <w:bookmarkEnd w:id="70"/>
      <w:bookmarkEnd w:id="7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2" w:name="_Toc274249589"/>
      <w:bookmarkStart w:id="73" w:name="_Toc279599785"/>
      <w:bookmarkStart w:id="74" w:name="_Toc426369494"/>
      <w:bookmarkStart w:id="75" w:name="_Toc403122506"/>
      <w:r>
        <w:rPr>
          <w:rFonts w:hint="eastAsia" w:asciiTheme="minorEastAsia" w:hAnsiTheme="minorEastAsia" w:eastAsiaTheme="minorEastAsia" w:cstheme="minorEastAsia"/>
          <w:b/>
          <w:bCs/>
          <w:color w:val="auto"/>
          <w:sz w:val="24"/>
          <w:highlight w:val="none"/>
        </w:rPr>
        <w:t>2.3 招标文件的修改</w:t>
      </w:r>
      <w:bookmarkEnd w:id="72"/>
      <w:bookmarkEnd w:id="73"/>
      <w:bookmarkEnd w:id="74"/>
      <w:bookmarkEnd w:id="7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6" w:name="_Toc426369495"/>
      <w:bookmarkStart w:id="77" w:name="_Toc23265"/>
      <w:bookmarkStart w:id="78" w:name="_Toc403122507"/>
    </w:p>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9" w:name="_Toc22914"/>
      <w:bookmarkStart w:id="80" w:name="_Toc13865"/>
      <w:bookmarkStart w:id="81" w:name="_Toc17131"/>
      <w:r>
        <w:rPr>
          <w:rFonts w:hint="eastAsia" w:asciiTheme="minorEastAsia" w:hAnsiTheme="minorEastAsia" w:eastAsiaTheme="minorEastAsia" w:cstheme="minorEastAsia"/>
          <w:color w:val="auto"/>
          <w:sz w:val="24"/>
          <w:szCs w:val="24"/>
          <w:highlight w:val="none"/>
        </w:rPr>
        <w:t>3. 投标文件</w:t>
      </w:r>
      <w:bookmarkEnd w:id="76"/>
      <w:bookmarkEnd w:id="77"/>
      <w:bookmarkEnd w:id="78"/>
      <w:bookmarkEnd w:id="79"/>
      <w:bookmarkEnd w:id="80"/>
      <w:bookmarkEnd w:id="81"/>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2" w:name="_Toc403122508"/>
      <w:bookmarkStart w:id="83" w:name="_Toc426369496"/>
      <w:bookmarkStart w:id="84" w:name="_Toc279599787"/>
      <w:bookmarkStart w:id="85" w:name="_Toc274249591"/>
      <w:r>
        <w:rPr>
          <w:rFonts w:hint="eastAsia" w:asciiTheme="minorEastAsia" w:hAnsiTheme="minorEastAsia" w:eastAsiaTheme="minorEastAsia" w:cstheme="minorEastAsia"/>
          <w:b/>
          <w:bCs/>
          <w:color w:val="auto"/>
          <w:sz w:val="24"/>
          <w:highlight w:val="none"/>
        </w:rPr>
        <w:t>3.1 投标文件的组成</w:t>
      </w:r>
      <w:bookmarkEnd w:id="82"/>
      <w:bookmarkEnd w:id="83"/>
      <w:bookmarkEnd w:id="84"/>
      <w:bookmarkEnd w:id="8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6" w:name="_Toc274249592"/>
      <w:bookmarkStart w:id="87" w:name="_Toc426369497"/>
      <w:bookmarkStart w:id="88" w:name="_Toc403122509"/>
      <w:bookmarkStart w:id="89" w:name="_Toc279599788"/>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、资格证明文件；</w:t>
      </w:r>
    </w:p>
    <w:p>
      <w:pPr>
        <w:pStyle w:val="23"/>
        <w:spacing w:line="440" w:lineRule="exact"/>
        <w:ind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ascii="宋体" w:hAnsi="宋体" w:eastAsia="宋体" w:cs="宋体"/>
          <w:color w:val="auto"/>
          <w:sz w:val="21"/>
          <w:szCs w:val="21"/>
          <w:highlight w:val="none"/>
        </w:rPr>
        <w:t>、供应商服务承诺和优惠承诺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、残疾人福利性单位声明函（如有）；</w:t>
      </w:r>
    </w:p>
    <w:p>
      <w:pPr>
        <w:spacing w:line="440" w:lineRule="exact"/>
        <w:ind w:firstLine="420" w:firstLineChars="200"/>
        <w:rPr>
          <w:rFonts w:ascii="宋体" w:hAnsi="宋体" w:cs="宋体"/>
          <w:color w:val="auto"/>
          <w:szCs w:val="21"/>
          <w:highlight w:val="yellow"/>
        </w:rPr>
      </w:pPr>
      <w:r>
        <w:rPr>
          <w:rFonts w:hint="eastAsia" w:ascii="宋体" w:hAnsi="宋体" w:cs="宋体"/>
          <w:color w:val="auto"/>
          <w:szCs w:val="21"/>
          <w:highlight w:val="none"/>
        </w:rPr>
        <w:t>十、招标文件要求的或投标人认为需要加以说明的其他内容。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6"/>
      <w:bookmarkEnd w:id="87"/>
      <w:bookmarkEnd w:id="88"/>
      <w:bookmarkEnd w:id="89"/>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0" w:name="_Toc426369498"/>
      <w:bookmarkStart w:id="91" w:name="_Toc403122510"/>
      <w:bookmarkStart w:id="92" w:name="_Toc279599789"/>
      <w:bookmarkStart w:id="93" w:name="_Toc274249593"/>
      <w:r>
        <w:rPr>
          <w:rFonts w:hint="eastAsia" w:asciiTheme="minorEastAsia" w:hAnsiTheme="minorEastAsia" w:eastAsiaTheme="minorEastAsia" w:cstheme="minorEastAsia"/>
          <w:b/>
          <w:bCs/>
          <w:color w:val="auto"/>
          <w:sz w:val="24"/>
          <w:highlight w:val="none"/>
        </w:rPr>
        <w:t>3.3 投标有效期</w:t>
      </w:r>
      <w:bookmarkEnd w:id="90"/>
      <w:bookmarkEnd w:id="91"/>
      <w:bookmarkEnd w:id="92"/>
      <w:bookmarkEnd w:id="93"/>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4" w:name="_Toc279599791"/>
      <w:bookmarkStart w:id="95" w:name="_Toc403122512"/>
      <w:bookmarkStart w:id="96" w:name="_Toc426369501"/>
      <w:bookmarkStart w:id="97" w:name="_Toc274249595"/>
      <w:r>
        <w:rPr>
          <w:rFonts w:hint="eastAsia" w:asciiTheme="minorEastAsia" w:hAnsiTheme="minorEastAsia" w:eastAsiaTheme="minorEastAsia" w:cstheme="minorEastAsia"/>
          <w:b/>
          <w:bCs/>
          <w:color w:val="auto"/>
          <w:sz w:val="24"/>
          <w:highlight w:val="none"/>
        </w:rPr>
        <w:t>3.5 资格审查资料</w:t>
      </w:r>
      <w:bookmarkEnd w:id="94"/>
      <w:bookmarkEnd w:id="95"/>
      <w:bookmarkEnd w:id="96"/>
      <w:bookmarkEnd w:id="97"/>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8" w:name="_Toc403122513"/>
      <w:bookmarkStart w:id="99" w:name="_Toc426369502"/>
      <w:bookmarkStart w:id="100" w:name="_Toc279599792"/>
      <w:bookmarkStart w:id="101" w:name="_Toc274249596"/>
      <w:r>
        <w:rPr>
          <w:rFonts w:hint="eastAsia" w:asciiTheme="minorEastAsia" w:hAnsiTheme="minorEastAsia" w:eastAsiaTheme="minorEastAsia" w:cstheme="minorEastAsia"/>
          <w:b/>
          <w:bCs/>
          <w:color w:val="auto"/>
          <w:sz w:val="24"/>
          <w:highlight w:val="none"/>
        </w:rPr>
        <w:t>3.6 备选投标方案</w:t>
      </w:r>
      <w:bookmarkEnd w:id="98"/>
      <w:bookmarkEnd w:id="99"/>
      <w:bookmarkEnd w:id="100"/>
      <w:bookmarkEnd w:id="101"/>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2" w:name="_Toc403122514"/>
      <w:bookmarkStart w:id="103" w:name="_Toc279599793"/>
      <w:bookmarkStart w:id="104" w:name="_Toc426369503"/>
      <w:bookmarkStart w:id="105" w:name="_Toc274249597"/>
      <w:r>
        <w:rPr>
          <w:rFonts w:hint="eastAsia" w:asciiTheme="minorEastAsia" w:hAnsiTheme="minorEastAsia" w:eastAsiaTheme="minorEastAsia" w:cstheme="minorEastAsia"/>
          <w:b/>
          <w:bCs/>
          <w:color w:val="auto"/>
          <w:sz w:val="24"/>
          <w:highlight w:val="none"/>
        </w:rPr>
        <w:t>3.7 投标文件的编制</w:t>
      </w:r>
      <w:bookmarkEnd w:id="102"/>
      <w:bookmarkEnd w:id="103"/>
      <w:bookmarkEnd w:id="104"/>
      <w:bookmarkEnd w:id="10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val="en-US" w:eastAsia="zh-CN"/>
        </w:rPr>
        <w:t>供货安装期</w:t>
      </w:r>
      <w:r>
        <w:rPr>
          <w:rFonts w:hint="eastAsia" w:asciiTheme="minorEastAsia" w:hAnsiTheme="minorEastAsia" w:eastAsiaTheme="minorEastAsia" w:cstheme="minorEastAsia"/>
          <w:color w:val="auto"/>
          <w:szCs w:val="21"/>
          <w:highlight w:val="none"/>
        </w:rPr>
        <w:t>、投标有效期、质量</w:t>
      </w:r>
      <w:r>
        <w:rPr>
          <w:rFonts w:hint="eastAsia" w:asciiTheme="minorEastAsia" w:hAnsiTheme="minorEastAsia" w:eastAsiaTheme="minorEastAsia" w:cstheme="minorEastAsia"/>
          <w:color w:val="auto"/>
          <w:szCs w:val="21"/>
          <w:highlight w:val="none"/>
          <w:lang w:val="en-US" w:eastAsia="zh-CN"/>
        </w:rPr>
        <w:t>标准</w:t>
      </w:r>
      <w:r>
        <w:rPr>
          <w:rFonts w:hint="eastAsia" w:asciiTheme="minorEastAsia" w:hAnsiTheme="minorEastAsia" w:eastAsiaTheme="minorEastAsia" w:cstheme="minorEastAsia"/>
          <w:color w:val="auto"/>
          <w:szCs w:val="21"/>
          <w:highlight w:val="none"/>
        </w:rPr>
        <w:t>、采购要求及服务内容、等实质性内容作出响应。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06" w:name="_Toc31809"/>
      <w:bookmarkStart w:id="107" w:name="_Toc2735"/>
      <w:bookmarkStart w:id="108" w:name="_Toc426369504"/>
      <w:bookmarkStart w:id="109" w:name="_Toc30100"/>
      <w:bookmarkStart w:id="110" w:name="_Toc403122515"/>
      <w:bookmarkStart w:id="111" w:name="_Toc26998"/>
      <w:r>
        <w:rPr>
          <w:rFonts w:hint="eastAsia" w:asciiTheme="minorEastAsia" w:hAnsiTheme="minorEastAsia" w:eastAsiaTheme="minorEastAsia" w:cstheme="minorEastAsia"/>
          <w:color w:val="auto"/>
          <w:sz w:val="24"/>
          <w:szCs w:val="24"/>
          <w:highlight w:val="none"/>
        </w:rPr>
        <w:t>4. 投标</w:t>
      </w:r>
      <w:bookmarkEnd w:id="106"/>
      <w:bookmarkEnd w:id="107"/>
      <w:bookmarkEnd w:id="108"/>
      <w:bookmarkEnd w:id="109"/>
      <w:bookmarkEnd w:id="110"/>
      <w:bookmarkEnd w:id="111"/>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2" w:name="_Toc274249599"/>
      <w:bookmarkStart w:id="113" w:name="_Toc426369505"/>
      <w:bookmarkStart w:id="114" w:name="_Toc279599795"/>
      <w:bookmarkStart w:id="115" w:name="_Toc403122516"/>
      <w:r>
        <w:rPr>
          <w:rFonts w:hint="eastAsia" w:asciiTheme="minorEastAsia" w:hAnsiTheme="minorEastAsia" w:eastAsiaTheme="minorEastAsia" w:cstheme="minorEastAsia"/>
          <w:b/>
          <w:bCs/>
          <w:color w:val="auto"/>
          <w:sz w:val="24"/>
          <w:highlight w:val="none"/>
        </w:rPr>
        <w:t>4.1 投标文件的密封和标记</w:t>
      </w:r>
      <w:bookmarkEnd w:id="112"/>
      <w:bookmarkEnd w:id="113"/>
      <w:bookmarkEnd w:id="114"/>
      <w:bookmarkEnd w:id="115"/>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6" w:name="_Toc274249600"/>
      <w:bookmarkStart w:id="117" w:name="_Toc403122517"/>
      <w:bookmarkStart w:id="118" w:name="_Toc279599796"/>
      <w:bookmarkStart w:id="119" w:name="_Toc426369506"/>
      <w:r>
        <w:rPr>
          <w:rFonts w:hint="eastAsia" w:asciiTheme="minorEastAsia" w:hAnsiTheme="minorEastAsia" w:eastAsiaTheme="minorEastAsia" w:cstheme="minorEastAsia"/>
          <w:b/>
          <w:bCs/>
          <w:color w:val="auto"/>
          <w:sz w:val="24"/>
          <w:highlight w:val="none"/>
        </w:rPr>
        <w:t>4.2 投标文件的递交</w:t>
      </w:r>
      <w:bookmarkEnd w:id="116"/>
      <w:bookmarkEnd w:id="117"/>
      <w:bookmarkEnd w:id="118"/>
      <w:bookmarkEnd w:id="119"/>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20" w:name="_Hlt26954754"/>
      <w:bookmarkEnd w:id="120"/>
      <w:bookmarkStart w:id="121" w:name="_Hlt26954862"/>
      <w:bookmarkEnd w:id="121"/>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2" w:name="_Toc274249601"/>
      <w:bookmarkStart w:id="123" w:name="_Toc279599797"/>
      <w:bookmarkStart w:id="124" w:name="_Toc403122518"/>
      <w:bookmarkStart w:id="125" w:name="_Toc426369507"/>
      <w:r>
        <w:rPr>
          <w:rFonts w:hint="eastAsia" w:asciiTheme="minorEastAsia" w:hAnsiTheme="minorEastAsia" w:eastAsiaTheme="minorEastAsia" w:cstheme="minorEastAsia"/>
          <w:b/>
          <w:bCs/>
          <w:color w:val="auto"/>
          <w:sz w:val="24"/>
          <w:highlight w:val="none"/>
        </w:rPr>
        <w:t>4.3 投标文件的修改与撤回</w:t>
      </w:r>
      <w:bookmarkEnd w:id="122"/>
      <w:bookmarkEnd w:id="123"/>
      <w:bookmarkEnd w:id="124"/>
      <w:bookmarkEnd w:id="12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6"/>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26" w:name="_Toc403122519"/>
      <w:bookmarkStart w:id="127" w:name="_Toc426369508"/>
      <w:bookmarkStart w:id="128" w:name="_Toc24840"/>
      <w:bookmarkStart w:id="129" w:name="_Toc18170"/>
      <w:bookmarkStart w:id="130" w:name="_Toc32449"/>
      <w:bookmarkStart w:id="131" w:name="_Toc5457"/>
      <w:r>
        <w:rPr>
          <w:rFonts w:hint="eastAsia" w:asciiTheme="minorEastAsia" w:hAnsiTheme="minorEastAsia" w:eastAsiaTheme="minorEastAsia" w:cstheme="minorEastAsia"/>
          <w:color w:val="auto"/>
          <w:sz w:val="24"/>
          <w:szCs w:val="24"/>
          <w:highlight w:val="none"/>
        </w:rPr>
        <w:t>5. 开标</w:t>
      </w:r>
      <w:bookmarkEnd w:id="126"/>
      <w:bookmarkEnd w:id="127"/>
      <w:bookmarkEnd w:id="128"/>
      <w:bookmarkEnd w:id="129"/>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2" w:name="_Toc279599799"/>
      <w:bookmarkStart w:id="133" w:name="_Toc403122520"/>
      <w:bookmarkStart w:id="134" w:name="_Toc274249603"/>
      <w:bookmarkStart w:id="135" w:name="_Toc426369509"/>
      <w:r>
        <w:rPr>
          <w:rFonts w:hint="eastAsia" w:asciiTheme="minorEastAsia" w:hAnsiTheme="minorEastAsia" w:eastAsiaTheme="minorEastAsia" w:cstheme="minorEastAsia"/>
          <w:b/>
          <w:bCs/>
          <w:color w:val="auto"/>
          <w:sz w:val="24"/>
          <w:highlight w:val="none"/>
        </w:rPr>
        <w:t>5.2 开标时间和地点</w:t>
      </w:r>
      <w:bookmarkEnd w:id="132"/>
      <w:bookmarkEnd w:id="133"/>
      <w:bookmarkEnd w:id="134"/>
      <w:bookmarkEnd w:id="13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6" w:name="_Toc426369510"/>
      <w:bookmarkStart w:id="137" w:name="_Toc279599800"/>
      <w:bookmarkStart w:id="138" w:name="_Toc274249604"/>
      <w:bookmarkStart w:id="139" w:name="_Toc403122521"/>
      <w:r>
        <w:rPr>
          <w:rFonts w:hint="eastAsia" w:asciiTheme="minorEastAsia" w:hAnsiTheme="minorEastAsia" w:eastAsiaTheme="minorEastAsia" w:cstheme="minorEastAsia"/>
          <w:b/>
          <w:bCs/>
          <w:color w:val="auto"/>
          <w:sz w:val="24"/>
          <w:highlight w:val="none"/>
        </w:rPr>
        <w:t>5.3开标程序</w:t>
      </w:r>
      <w:bookmarkEnd w:id="136"/>
      <w:bookmarkEnd w:id="137"/>
      <w:bookmarkEnd w:id="138"/>
      <w:bookmarkEnd w:id="139"/>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0"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zh-CN"/>
        </w:rPr>
        <w:t>）投标人代表、采购人、监标人等有关人员在开标记录上签字确认；</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rPr>
        <w:t>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40"/>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bookmarkStart w:id="141" w:name="_Toc426369512"/>
      <w:bookmarkStart w:id="142" w:name="_Toc12881"/>
      <w:bookmarkStart w:id="143" w:name="_Toc21662"/>
      <w:bookmarkStart w:id="144" w:name="_Toc403122522"/>
      <w:r>
        <w:rPr>
          <w:rFonts w:hint="eastAsia" w:asciiTheme="minorEastAsia" w:hAnsiTheme="minorEastAsia" w:eastAsiaTheme="minorEastAsia" w:cstheme="minorEastAsia"/>
          <w:color w:val="auto"/>
          <w:szCs w:val="21"/>
          <w:highlight w:val="none"/>
          <w:lang w:val="en-US" w:eastAsia="zh-CN"/>
        </w:rPr>
        <w:t>5.4.1</w:t>
      </w:r>
      <w:r>
        <w:rPr>
          <w:rFonts w:hint="eastAsia" w:asciiTheme="minorEastAsia" w:hAnsiTheme="minorEastAsia" w:eastAsiaTheme="minorEastAsia" w:cstheme="minorEastAsia"/>
          <w:color w:val="auto"/>
          <w:szCs w:val="21"/>
          <w:highlight w:val="none"/>
          <w:lang w:val="zh-CN"/>
        </w:rPr>
        <w:t>投标人对开标有异议的，应当在开标现场提出（</w:t>
      </w:r>
      <w:bookmarkStart w:id="145" w:name="_Toc12998"/>
      <w:r>
        <w:rPr>
          <w:rFonts w:hint="eastAsia" w:asciiTheme="minorEastAsia" w:hAnsiTheme="minorEastAsia" w:eastAsiaTheme="minorEastAsia" w:cstheme="minorEastAsia"/>
          <w:color w:val="auto"/>
          <w:szCs w:val="21"/>
          <w:highlight w:val="none"/>
          <w:lang w:val="zh-CN"/>
        </w:rPr>
        <w:t>语音异议</w:t>
      </w:r>
      <w:bookmarkEnd w:id="145"/>
      <w:r>
        <w:rPr>
          <w:rFonts w:hint="eastAsia" w:asciiTheme="minorEastAsia" w:hAnsiTheme="minorEastAsia" w:eastAsiaTheme="minorEastAsia" w:cstheme="minorEastAsia"/>
          <w:color w:val="auto"/>
          <w:szCs w:val="21"/>
          <w:highlight w:val="none"/>
          <w:lang w:val="zh-CN"/>
        </w:rPr>
        <w:t>、</w:t>
      </w:r>
      <w:bookmarkStart w:id="146" w:name="_Toc20745"/>
      <w:r>
        <w:rPr>
          <w:rFonts w:hint="eastAsia" w:asciiTheme="minorEastAsia" w:hAnsiTheme="minorEastAsia" w:eastAsiaTheme="minorEastAsia" w:cstheme="minorEastAsia"/>
          <w:color w:val="auto"/>
          <w:szCs w:val="21"/>
          <w:highlight w:val="none"/>
          <w:lang w:val="zh-CN"/>
        </w:rPr>
        <w:t>文字异议</w:t>
      </w:r>
      <w:bookmarkEnd w:id="146"/>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r>
        <w:rPr>
          <w:rFonts w:hint="eastAsia" w:asciiTheme="minorEastAsia" w:hAnsiTheme="minorEastAsia" w:eastAsiaTheme="minorEastAsia" w:cstheme="minorEastAsia"/>
          <w:color w:val="auto"/>
          <w:szCs w:val="21"/>
          <w:highlight w:val="none"/>
          <w:lang w:val="zh-CN" w:eastAsia="zh-CN"/>
        </w:rPr>
        <w:t>；</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47" w:name="_Toc13445"/>
      <w:bookmarkStart w:id="148" w:name="_Toc9927"/>
      <w:r>
        <w:rPr>
          <w:rFonts w:hint="eastAsia" w:asciiTheme="minorEastAsia" w:hAnsiTheme="minorEastAsia" w:eastAsiaTheme="minorEastAsia" w:cstheme="minorEastAsia"/>
          <w:b/>
          <w:bCs/>
          <w:color w:val="auto"/>
          <w:szCs w:val="21"/>
          <w:highlight w:val="none"/>
        </w:rPr>
        <w:t>5.资格审查工作</w:t>
      </w:r>
      <w:bookmarkEnd w:id="147"/>
      <w:bookmarkEnd w:id="148"/>
    </w:p>
    <w:p>
      <w:pPr>
        <w:spacing w:line="400" w:lineRule="exact"/>
        <w:ind w:firstLine="420" w:firstLineChars="200"/>
        <w:rPr>
          <w:rFonts w:asciiTheme="minorEastAsia" w:hAnsiTheme="minorEastAsia" w:eastAsiaTheme="minorEastAsia" w:cstheme="minorEastAsia"/>
          <w:color w:val="auto"/>
          <w:szCs w:val="21"/>
          <w:highlight w:val="none"/>
        </w:rPr>
      </w:pPr>
      <w:bookmarkStart w:id="149" w:name="_Toc18803"/>
      <w:bookmarkStart w:id="150" w:name="_Toc25275"/>
      <w:bookmarkStart w:id="151" w:name="_Toc18888"/>
      <w:bookmarkStart w:id="152" w:name="_Toc22488"/>
      <w:bookmarkStart w:id="153" w:name="_Toc15919"/>
      <w:bookmarkStart w:id="154" w:name="_Toc25448"/>
      <w:bookmarkStart w:id="155" w:name="_Toc18806"/>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56" w:name="_Toc19898"/>
      <w:bookmarkStart w:id="157" w:name="_Toc6889"/>
      <w:r>
        <w:rPr>
          <w:rFonts w:hint="eastAsia" w:asciiTheme="minorEastAsia" w:hAnsiTheme="minorEastAsia" w:eastAsiaTheme="minorEastAsia" w:cstheme="minorEastAsia"/>
          <w:color w:val="auto"/>
          <w:sz w:val="24"/>
          <w:szCs w:val="24"/>
          <w:highlight w:val="none"/>
        </w:rPr>
        <w:t>6. 评标</w:t>
      </w:r>
      <w:bookmarkEnd w:id="141"/>
      <w:bookmarkEnd w:id="142"/>
      <w:bookmarkEnd w:id="143"/>
      <w:bookmarkEnd w:id="144"/>
      <w:bookmarkEnd w:id="156"/>
      <w:bookmarkEnd w:id="15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8" w:name="_Toc403122523"/>
      <w:bookmarkStart w:id="159" w:name="_Toc274249606"/>
      <w:bookmarkStart w:id="160" w:name="_Toc279599802"/>
      <w:bookmarkStart w:id="161" w:name="_Toc426369513"/>
      <w:r>
        <w:rPr>
          <w:rFonts w:hint="eastAsia" w:asciiTheme="minorEastAsia" w:hAnsiTheme="minorEastAsia" w:eastAsiaTheme="minorEastAsia" w:cstheme="minorEastAsia"/>
          <w:b/>
          <w:bCs/>
          <w:color w:val="auto"/>
          <w:sz w:val="24"/>
          <w:highlight w:val="none"/>
        </w:rPr>
        <w:t>6.1 评标委员会</w:t>
      </w:r>
      <w:bookmarkEnd w:id="158"/>
      <w:bookmarkEnd w:id="159"/>
      <w:bookmarkEnd w:id="160"/>
      <w:bookmarkEnd w:id="16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2" w:name="_Toc279599803"/>
      <w:bookmarkStart w:id="163" w:name="_Toc426369514"/>
      <w:bookmarkStart w:id="164" w:name="_Toc403122524"/>
      <w:bookmarkStart w:id="165" w:name="_Toc274249607"/>
      <w:r>
        <w:rPr>
          <w:rFonts w:hint="eastAsia" w:asciiTheme="minorEastAsia" w:hAnsiTheme="minorEastAsia" w:eastAsiaTheme="minorEastAsia" w:cstheme="minorEastAsia"/>
          <w:b/>
          <w:bCs/>
          <w:color w:val="auto"/>
          <w:sz w:val="24"/>
          <w:highlight w:val="none"/>
        </w:rPr>
        <w:t>6.2 评标原则</w:t>
      </w:r>
      <w:bookmarkEnd w:id="162"/>
      <w:bookmarkEnd w:id="163"/>
      <w:bookmarkEnd w:id="164"/>
      <w:bookmarkEnd w:id="16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hint="eastAsia" w:asciiTheme="minorEastAsia" w:hAnsiTheme="minorEastAsia" w:eastAsiaTheme="minorEastAsia" w:cstheme="minorEastAsia"/>
          <w:color w:val="auto"/>
          <w:szCs w:val="21"/>
          <w:highlight w:val="none"/>
        </w:rPr>
      </w:pPr>
      <w:bookmarkStart w:id="166" w:name="_Toc274249608"/>
      <w:bookmarkStart w:id="167" w:name="_Toc426369515"/>
      <w:bookmarkStart w:id="168" w:name="_Toc279599804"/>
      <w:bookmarkStart w:id="169" w:name="_Toc403122525"/>
      <w:r>
        <w:rPr>
          <w:rFonts w:hint="eastAsia" w:asciiTheme="minorEastAsia" w:hAnsiTheme="minorEastAsia" w:eastAsiaTheme="minorEastAsia" w:cstheme="minorEastAsia"/>
          <w:b/>
          <w:bCs/>
          <w:color w:val="auto"/>
          <w:sz w:val="24"/>
          <w:highlight w:val="none"/>
        </w:rPr>
        <w:t>6.3 评标</w:t>
      </w:r>
      <w:bookmarkEnd w:id="166"/>
      <w:bookmarkEnd w:id="167"/>
      <w:bookmarkEnd w:id="168"/>
      <w:bookmarkEnd w:id="169"/>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6.3.1</w:t>
      </w:r>
      <w:r>
        <w:rPr>
          <w:rFonts w:hint="eastAsia" w:asciiTheme="minorEastAsia" w:hAnsiTheme="minorEastAsia" w:eastAsiaTheme="minorEastAsia" w:cstheme="minorEastAsia"/>
          <w:color w:val="auto"/>
          <w:szCs w:val="21"/>
          <w:highlight w:val="none"/>
        </w:rPr>
        <w:t>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同投标人的投标文件由同一单位或者个人编制；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）不同投标人的投标文件相互混装；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）有证据证明投标人与</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、采购代理机构或者其他投标人串通的其他情形；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6"/>
        <w:spacing w:before="120" w:after="120" w:line="500" w:lineRule="exact"/>
        <w:ind w:right="-1029" w:rightChars="-490" w:firstLine="482" w:firstLineChars="200"/>
        <w:jc w:val="both"/>
        <w:rPr>
          <w:color w:val="auto"/>
          <w:highlight w:val="none"/>
        </w:rPr>
      </w:pPr>
      <w:bookmarkStart w:id="170" w:name="_Toc17811"/>
      <w:bookmarkStart w:id="171" w:name="_Toc426369516"/>
      <w:bookmarkStart w:id="172" w:name="_Toc26569"/>
      <w:bookmarkStart w:id="173" w:name="_Toc3678"/>
      <w:bookmarkStart w:id="174" w:name="_Toc403122526"/>
      <w:bookmarkStart w:id="175" w:name="_Toc22968"/>
      <w:r>
        <w:rPr>
          <w:rFonts w:hint="eastAsia" w:asciiTheme="minorEastAsia" w:hAnsiTheme="minorEastAsia" w:eastAsiaTheme="minorEastAsia" w:cstheme="minorEastAsia"/>
          <w:color w:val="auto"/>
          <w:sz w:val="24"/>
          <w:szCs w:val="24"/>
          <w:highlight w:val="none"/>
        </w:rPr>
        <w:t>7. 合同授予</w:t>
      </w:r>
      <w:bookmarkEnd w:id="170"/>
      <w:bookmarkEnd w:id="171"/>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6" w:name="_Toc279599806"/>
      <w:bookmarkStart w:id="177" w:name="_Toc274249610"/>
      <w:bookmarkStart w:id="178" w:name="_Toc426369517"/>
      <w:bookmarkStart w:id="179" w:name="_Toc403122527"/>
      <w:r>
        <w:rPr>
          <w:rFonts w:hint="eastAsia" w:asciiTheme="minorEastAsia" w:hAnsiTheme="minorEastAsia" w:eastAsiaTheme="minorEastAsia" w:cstheme="minorEastAsia"/>
          <w:b/>
          <w:bCs/>
          <w:color w:val="auto"/>
          <w:sz w:val="24"/>
          <w:highlight w:val="none"/>
        </w:rPr>
        <w:t>7.1 定标方式</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0" w:name="_Toc279599807"/>
      <w:bookmarkStart w:id="181" w:name="_Toc403122528"/>
      <w:bookmarkStart w:id="182" w:name="_Toc426369518"/>
      <w:bookmarkStart w:id="183" w:name="_Toc274249611"/>
      <w:r>
        <w:rPr>
          <w:rFonts w:hint="eastAsia" w:asciiTheme="minorEastAsia" w:hAnsiTheme="minorEastAsia" w:eastAsiaTheme="minorEastAsia" w:cstheme="minorEastAsia"/>
          <w:b/>
          <w:bCs/>
          <w:color w:val="auto"/>
          <w:sz w:val="24"/>
          <w:highlight w:val="none"/>
        </w:rPr>
        <w:t>7.2 中标通知</w:t>
      </w:r>
      <w:bookmarkEnd w:id="180"/>
      <w:bookmarkEnd w:id="181"/>
      <w:bookmarkEnd w:id="182"/>
      <w:bookmarkEnd w:id="18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4" w:name="_Toc279599808"/>
      <w:bookmarkStart w:id="185" w:name="_Toc274249612"/>
      <w:bookmarkStart w:id="186" w:name="_Toc311550376"/>
      <w:bookmarkStart w:id="187" w:name="_Toc426369519"/>
      <w:bookmarkStart w:id="188" w:name="_Toc403122529"/>
      <w:r>
        <w:rPr>
          <w:rFonts w:hint="eastAsia" w:asciiTheme="minorEastAsia" w:hAnsiTheme="minorEastAsia" w:eastAsiaTheme="minorEastAsia" w:cstheme="minorEastAsia"/>
          <w:b/>
          <w:bCs/>
          <w:color w:val="auto"/>
          <w:sz w:val="24"/>
          <w:highlight w:val="none"/>
        </w:rPr>
        <w:t>7.3履约</w:t>
      </w:r>
      <w:bookmarkEnd w:id="184"/>
      <w:bookmarkEnd w:id="185"/>
      <w:bookmarkEnd w:id="186"/>
      <w:r>
        <w:rPr>
          <w:rFonts w:hint="eastAsia" w:asciiTheme="minorEastAsia" w:hAnsiTheme="minorEastAsia" w:eastAsiaTheme="minorEastAsia" w:cstheme="minorEastAsia"/>
          <w:b/>
          <w:bCs/>
          <w:color w:val="auto"/>
          <w:sz w:val="24"/>
          <w:highlight w:val="none"/>
        </w:rPr>
        <w:t>保证金</w:t>
      </w:r>
      <w:bookmarkEnd w:id="187"/>
      <w:bookmarkEnd w:id="188"/>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9" w:name="_Toc403122530"/>
      <w:bookmarkStart w:id="190" w:name="_Toc279599809"/>
      <w:bookmarkStart w:id="191" w:name="_Toc274249613"/>
      <w:bookmarkStart w:id="192" w:name="_Toc426369520"/>
      <w:r>
        <w:rPr>
          <w:rFonts w:hint="eastAsia" w:asciiTheme="minorEastAsia" w:hAnsiTheme="minorEastAsia" w:eastAsiaTheme="minorEastAsia" w:cstheme="minorEastAsia"/>
          <w:b/>
          <w:bCs/>
          <w:color w:val="auto"/>
          <w:sz w:val="24"/>
          <w:highlight w:val="none"/>
        </w:rPr>
        <w:t>7.4 签订合同</w:t>
      </w:r>
      <w:bookmarkEnd w:id="189"/>
      <w:bookmarkEnd w:id="190"/>
      <w:bookmarkEnd w:id="191"/>
      <w:bookmarkEnd w:id="19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93" w:name="_Toc10541"/>
      <w:bookmarkStart w:id="194" w:name="_Toc30325"/>
      <w:bookmarkStart w:id="195" w:name="_Toc403122531"/>
      <w:bookmarkStart w:id="196" w:name="_Toc426369521"/>
      <w:bookmarkStart w:id="197" w:name="_Toc10417"/>
      <w:bookmarkStart w:id="198" w:name="_Toc30009"/>
      <w:r>
        <w:rPr>
          <w:rFonts w:hint="eastAsia" w:asciiTheme="minorEastAsia" w:hAnsiTheme="minorEastAsia" w:eastAsiaTheme="minorEastAsia" w:cstheme="minorEastAsia"/>
          <w:color w:val="auto"/>
          <w:sz w:val="24"/>
          <w:szCs w:val="24"/>
          <w:highlight w:val="none"/>
        </w:rPr>
        <w:t>8. 重新招标</w:t>
      </w:r>
      <w:bookmarkEnd w:id="193"/>
      <w:bookmarkEnd w:id="194"/>
      <w:bookmarkEnd w:id="195"/>
      <w:bookmarkEnd w:id="196"/>
      <w:bookmarkEnd w:id="197"/>
      <w:bookmarkEnd w:id="19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9" w:name="_Toc274249615"/>
      <w:bookmarkStart w:id="200" w:name="_Toc279599811"/>
      <w:bookmarkStart w:id="201" w:name="_Toc426369522"/>
      <w:bookmarkStart w:id="202" w:name="_Toc403122532"/>
      <w:r>
        <w:rPr>
          <w:rFonts w:hint="eastAsia" w:asciiTheme="minorEastAsia" w:hAnsiTheme="minorEastAsia" w:eastAsiaTheme="minorEastAsia" w:cstheme="minorEastAsia"/>
          <w:b/>
          <w:bCs/>
          <w:color w:val="auto"/>
          <w:sz w:val="24"/>
          <w:highlight w:val="none"/>
        </w:rPr>
        <w:t>8.1 重新招标</w:t>
      </w:r>
      <w:bookmarkEnd w:id="199"/>
      <w:bookmarkEnd w:id="200"/>
      <w:bookmarkEnd w:id="201"/>
      <w:bookmarkEnd w:id="20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03" w:name="_Toc27398"/>
      <w:bookmarkStart w:id="204" w:name="_Toc403122533"/>
      <w:bookmarkStart w:id="205" w:name="_Toc426369523"/>
      <w:bookmarkStart w:id="206" w:name="_Toc3760"/>
      <w:bookmarkStart w:id="207" w:name="_Toc17817"/>
      <w:bookmarkStart w:id="208" w:name="_Toc10372"/>
      <w:r>
        <w:rPr>
          <w:rFonts w:hint="eastAsia" w:asciiTheme="minorEastAsia" w:hAnsiTheme="minorEastAsia" w:eastAsiaTheme="minorEastAsia" w:cstheme="minorEastAsia"/>
          <w:color w:val="auto"/>
          <w:sz w:val="24"/>
          <w:szCs w:val="24"/>
          <w:highlight w:val="none"/>
        </w:rPr>
        <w:t>9. 纪律和监督</w:t>
      </w:r>
      <w:bookmarkEnd w:id="203"/>
      <w:bookmarkEnd w:id="204"/>
      <w:bookmarkEnd w:id="205"/>
      <w:bookmarkEnd w:id="206"/>
      <w:bookmarkEnd w:id="207"/>
      <w:bookmarkEnd w:id="20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9" w:name="_Toc426369524"/>
      <w:bookmarkStart w:id="210" w:name="_Toc274249618"/>
      <w:bookmarkStart w:id="211" w:name="_Toc403122534"/>
      <w:bookmarkStart w:id="212" w:name="_Toc279599814"/>
      <w:r>
        <w:rPr>
          <w:rFonts w:hint="eastAsia" w:asciiTheme="minorEastAsia" w:hAnsiTheme="minorEastAsia" w:eastAsiaTheme="minorEastAsia" w:cstheme="minorEastAsia"/>
          <w:b/>
          <w:bCs/>
          <w:color w:val="auto"/>
          <w:sz w:val="24"/>
          <w:highlight w:val="none"/>
        </w:rPr>
        <w:t>9.1 对采购人的纪律要求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3" w:name="_Toc279599815"/>
      <w:bookmarkStart w:id="214" w:name="_Toc274249619"/>
      <w:bookmarkStart w:id="215" w:name="_Toc426369525"/>
      <w:bookmarkStart w:id="216" w:name="_Toc403122535"/>
      <w:r>
        <w:rPr>
          <w:rFonts w:hint="eastAsia" w:asciiTheme="minorEastAsia" w:hAnsiTheme="minorEastAsia" w:eastAsiaTheme="minorEastAsia" w:cstheme="minorEastAsia"/>
          <w:b/>
          <w:bCs/>
          <w:color w:val="auto"/>
          <w:sz w:val="24"/>
          <w:highlight w:val="none"/>
        </w:rPr>
        <w:t>9.2 对投标人的纪律要求</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7" w:name="_Toc274249620"/>
      <w:bookmarkStart w:id="218" w:name="_Toc279599816"/>
      <w:bookmarkStart w:id="219" w:name="_Toc426369526"/>
      <w:bookmarkStart w:id="220" w:name="_Toc403122536"/>
      <w:r>
        <w:rPr>
          <w:rFonts w:hint="eastAsia" w:asciiTheme="minorEastAsia" w:hAnsiTheme="minorEastAsia" w:eastAsiaTheme="minorEastAsia" w:cstheme="minorEastAsia"/>
          <w:b/>
          <w:bCs/>
          <w:color w:val="auto"/>
          <w:sz w:val="24"/>
          <w:highlight w:val="none"/>
        </w:rPr>
        <w:t>9.3 对评标委员会成员的纪律要求</w:t>
      </w:r>
      <w:bookmarkEnd w:id="217"/>
      <w:bookmarkEnd w:id="218"/>
      <w:bookmarkEnd w:id="219"/>
      <w:bookmarkEnd w:id="22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1" w:name="_Toc274249621"/>
      <w:bookmarkStart w:id="222" w:name="_Toc279599817"/>
      <w:bookmarkStart w:id="223" w:name="_Toc426369527"/>
      <w:bookmarkStart w:id="224" w:name="_Toc403122537"/>
      <w:r>
        <w:rPr>
          <w:rFonts w:hint="eastAsia" w:asciiTheme="minorEastAsia" w:hAnsiTheme="minorEastAsia" w:eastAsiaTheme="minorEastAsia" w:cstheme="minorEastAsia"/>
          <w:b/>
          <w:bCs/>
          <w:color w:val="auto"/>
          <w:sz w:val="24"/>
          <w:highlight w:val="none"/>
        </w:rPr>
        <w:t>9.4 对与评标活动有关的工作人员的纪律要求</w:t>
      </w:r>
      <w:bookmarkEnd w:id="221"/>
      <w:bookmarkEnd w:id="222"/>
      <w:bookmarkEnd w:id="223"/>
      <w:bookmarkEnd w:id="22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5" w:name="_Toc274249622"/>
      <w:bookmarkStart w:id="226" w:name="_Toc279599818"/>
      <w:bookmarkStart w:id="227" w:name="_Toc403122538"/>
      <w:bookmarkStart w:id="228" w:name="_Toc426369528"/>
      <w:r>
        <w:rPr>
          <w:rFonts w:hint="eastAsia" w:asciiTheme="minorEastAsia" w:hAnsiTheme="minorEastAsia" w:eastAsiaTheme="minorEastAsia" w:cstheme="minorEastAsia"/>
          <w:b/>
          <w:bCs/>
          <w:color w:val="auto"/>
          <w:sz w:val="24"/>
          <w:highlight w:val="none"/>
        </w:rPr>
        <w:t>9.5 投诉</w:t>
      </w:r>
      <w:bookmarkEnd w:id="225"/>
      <w:bookmarkEnd w:id="226"/>
      <w:bookmarkEnd w:id="227"/>
      <w:bookmarkEnd w:id="22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29" w:name="_Toc10880"/>
      <w:bookmarkStart w:id="230" w:name="_Toc403122539"/>
      <w:bookmarkStart w:id="231" w:name="_Toc29091"/>
      <w:bookmarkStart w:id="232" w:name="_Toc426369529"/>
      <w:bookmarkStart w:id="233" w:name="_Toc25080"/>
      <w:bookmarkStart w:id="234" w:name="_Toc13281"/>
      <w:r>
        <w:rPr>
          <w:rFonts w:hint="eastAsia" w:asciiTheme="minorEastAsia" w:hAnsiTheme="minorEastAsia" w:eastAsiaTheme="minorEastAsia" w:cstheme="minorEastAsia"/>
          <w:color w:val="auto"/>
          <w:sz w:val="24"/>
          <w:szCs w:val="24"/>
          <w:highlight w:val="none"/>
        </w:rPr>
        <w:t>10. 需要补充的其他内容</w:t>
      </w:r>
      <w:bookmarkEnd w:id="229"/>
      <w:bookmarkEnd w:id="230"/>
      <w:bookmarkEnd w:id="231"/>
      <w:bookmarkEnd w:id="232"/>
      <w:bookmarkEnd w:id="233"/>
      <w:bookmarkEnd w:id="234"/>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7"/>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10.2本招标文件未尽事宜，按《中华人民共和国政府采购法》等法律法规的有关规定执行。</w:t>
      </w:r>
    </w:p>
    <w:p>
      <w:pPr>
        <w:pStyle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6"/>
        <w:numPr>
          <w:ilvl w:val="0"/>
          <w:numId w:val="8"/>
        </w:numPr>
        <w:spacing w:line="600" w:lineRule="exact"/>
        <w:ind w:right="-63" w:rightChars="-30"/>
        <w:rPr>
          <w:rFonts w:asciiTheme="minorEastAsia" w:hAnsiTheme="minorEastAsia" w:eastAsiaTheme="minorEastAsia" w:cstheme="minorEastAsia"/>
          <w:color w:val="auto"/>
          <w:sz w:val="36"/>
          <w:szCs w:val="36"/>
          <w:highlight w:val="none"/>
        </w:rPr>
      </w:pPr>
      <w:bookmarkStart w:id="235" w:name="_Toc403122540"/>
      <w:bookmarkStart w:id="236" w:name="_Toc28433"/>
      <w:bookmarkStart w:id="237" w:name="_Toc426369530"/>
      <w:bookmarkStart w:id="238" w:name="_Toc21008"/>
      <w:r>
        <w:rPr>
          <w:rFonts w:hint="eastAsia" w:asciiTheme="minorEastAsia" w:hAnsiTheme="minorEastAsia" w:eastAsiaTheme="minorEastAsia" w:cstheme="minorEastAsia"/>
          <w:color w:val="auto"/>
          <w:sz w:val="36"/>
          <w:szCs w:val="36"/>
          <w:highlight w:val="none"/>
        </w:rPr>
        <w:t>评标办法</w:t>
      </w:r>
      <w:bookmarkEnd w:id="235"/>
      <w:bookmarkEnd w:id="236"/>
      <w:bookmarkEnd w:id="237"/>
      <w:r>
        <w:rPr>
          <w:rFonts w:hint="eastAsia" w:asciiTheme="minorEastAsia" w:hAnsiTheme="minorEastAsia" w:eastAsiaTheme="minorEastAsia" w:cstheme="minorEastAsia"/>
          <w:color w:val="auto"/>
          <w:sz w:val="36"/>
          <w:szCs w:val="36"/>
          <w:highlight w:val="none"/>
        </w:rPr>
        <w:t>（综合评分法）</w:t>
      </w:r>
      <w:bookmarkEnd w:id="238"/>
    </w:p>
    <w:p>
      <w:pPr>
        <w:pStyle w:val="38"/>
        <w:spacing w:line="540" w:lineRule="exact"/>
        <w:jc w:val="center"/>
        <w:outlineLvl w:val="2"/>
        <w:rPr>
          <w:rFonts w:asciiTheme="minorEastAsia" w:hAnsiTheme="minorEastAsia" w:eastAsiaTheme="minorEastAsia" w:cstheme="minorEastAsia"/>
          <w:b/>
          <w:bCs/>
          <w:color w:val="auto"/>
          <w:sz w:val="28"/>
          <w:szCs w:val="28"/>
          <w:highlight w:val="none"/>
        </w:rPr>
      </w:pPr>
      <w:bookmarkStart w:id="239" w:name="_Toc9561"/>
      <w:bookmarkStart w:id="240" w:name="_Toc12381"/>
      <w:bookmarkStart w:id="241" w:name="_Toc17859"/>
      <w:bookmarkStart w:id="242" w:name="_Toc21885"/>
      <w:bookmarkStart w:id="243" w:name="_Toc30933"/>
      <w:bookmarkStart w:id="244" w:name="_Toc29947"/>
      <w:bookmarkStart w:id="245" w:name="_Toc16529"/>
      <w:bookmarkStart w:id="246" w:name="_Toc2761070"/>
      <w:r>
        <w:rPr>
          <w:rFonts w:hint="eastAsia" w:asciiTheme="minorEastAsia" w:hAnsiTheme="minorEastAsia" w:eastAsiaTheme="minorEastAsia" w:cstheme="minorEastAsia"/>
          <w:b/>
          <w:bCs/>
          <w:color w:val="auto"/>
          <w:sz w:val="28"/>
          <w:szCs w:val="28"/>
          <w:highlight w:val="none"/>
        </w:rPr>
        <w:t>评分办法前附表</w:t>
      </w:r>
      <w:bookmarkEnd w:id="239"/>
      <w:bookmarkEnd w:id="240"/>
      <w:bookmarkEnd w:id="241"/>
      <w:bookmarkEnd w:id="242"/>
      <w:bookmarkEnd w:id="243"/>
      <w:bookmarkEnd w:id="244"/>
    </w:p>
    <w:bookmarkEnd w:id="245"/>
    <w:tbl>
      <w:tblPr>
        <w:tblStyle w:val="25"/>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163"/>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1095" w:type="dxa"/>
            <w:noWrap w:val="0"/>
            <w:vAlign w:val="center"/>
          </w:tcPr>
          <w:p>
            <w:pPr>
              <w:spacing w:line="500" w:lineRule="exact"/>
              <w:jc w:val="center"/>
              <w:rPr>
                <w:rFonts w:ascii="宋体" w:hAnsi="宋体" w:cs="宋体"/>
                <w:b/>
                <w:color w:val="000000"/>
                <w:szCs w:val="21"/>
              </w:rPr>
            </w:pPr>
            <w:bookmarkStart w:id="247" w:name="_Toc403122541"/>
            <w:bookmarkStart w:id="248" w:name="_Toc426369531"/>
            <w:bookmarkStart w:id="249" w:name="_Toc31084"/>
            <w:r>
              <w:rPr>
                <w:rFonts w:hint="eastAsia" w:ascii="宋体" w:hAnsi="宋体" w:cs="宋体"/>
                <w:b/>
                <w:bCs/>
                <w:color w:val="000000"/>
                <w:kern w:val="0"/>
                <w:szCs w:val="21"/>
              </w:rPr>
              <w:t>审查主体</w:t>
            </w:r>
          </w:p>
        </w:tc>
        <w:tc>
          <w:tcPr>
            <w:tcW w:w="3258" w:type="dxa"/>
            <w:gridSpan w:val="2"/>
            <w:noWrap w:val="0"/>
            <w:vAlign w:val="center"/>
          </w:tcPr>
          <w:p>
            <w:pPr>
              <w:spacing w:line="500" w:lineRule="exact"/>
              <w:jc w:val="center"/>
              <w:rPr>
                <w:rFonts w:ascii="宋体" w:hAnsi="宋体" w:cs="宋体"/>
                <w:b/>
                <w:color w:val="000000"/>
                <w:szCs w:val="21"/>
              </w:rPr>
            </w:pPr>
            <w:r>
              <w:rPr>
                <w:rFonts w:hint="eastAsia" w:ascii="宋体" w:hAnsi="宋体" w:cs="宋体"/>
                <w:b/>
                <w:color w:val="000000"/>
                <w:szCs w:val="21"/>
              </w:rPr>
              <w:t>评审因素</w:t>
            </w:r>
          </w:p>
        </w:tc>
        <w:tc>
          <w:tcPr>
            <w:tcW w:w="5523" w:type="dxa"/>
            <w:noWrap w:val="0"/>
            <w:vAlign w:val="center"/>
          </w:tcPr>
          <w:p>
            <w:pPr>
              <w:tabs>
                <w:tab w:val="left" w:pos="417"/>
                <w:tab w:val="center" w:pos="2999"/>
              </w:tabs>
              <w:spacing w:line="500" w:lineRule="exact"/>
              <w:jc w:val="left"/>
              <w:rPr>
                <w:rFonts w:ascii="宋体" w:hAnsi="宋体" w:cs="宋体"/>
                <w:b/>
                <w:color w:val="000000"/>
                <w:szCs w:val="21"/>
              </w:rPr>
            </w:pPr>
            <w:r>
              <w:rPr>
                <w:rFonts w:hint="eastAsia" w:ascii="宋体" w:hAnsi="宋体" w:cs="宋体"/>
                <w:b/>
                <w:color w:val="000000"/>
                <w:szCs w:val="21"/>
              </w:rPr>
              <w:tab/>
            </w:r>
            <w:r>
              <w:rPr>
                <w:rFonts w:hint="eastAsia" w:ascii="宋体" w:hAnsi="宋体" w:cs="宋体"/>
                <w:b/>
                <w:color w:val="000000"/>
                <w:szCs w:val="21"/>
              </w:rPr>
              <w:tab/>
            </w: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1095" w:type="dxa"/>
            <w:vMerge w:val="restart"/>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资格审查小组</w:t>
            </w:r>
          </w:p>
        </w:tc>
        <w:tc>
          <w:tcPr>
            <w:tcW w:w="1095" w:type="dxa"/>
            <w:vMerge w:val="restart"/>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一、资格评审标准</w:t>
            </w:r>
          </w:p>
        </w:tc>
        <w:tc>
          <w:tcPr>
            <w:tcW w:w="2163" w:type="dxa"/>
            <w:noWrap w:val="0"/>
            <w:vAlign w:val="center"/>
          </w:tcPr>
          <w:p>
            <w:pPr>
              <w:spacing w:line="500" w:lineRule="exact"/>
              <w:jc w:val="left"/>
              <w:rPr>
                <w:rFonts w:ascii="宋体" w:hAnsi="宋体" w:cs="宋体"/>
                <w:color w:val="000000"/>
                <w:szCs w:val="21"/>
              </w:rPr>
            </w:pPr>
            <w:r>
              <w:rPr>
                <w:rFonts w:hint="eastAsia" w:ascii="宋体" w:hAnsi="宋体" w:cs="宋体"/>
                <w:color w:val="000000"/>
                <w:szCs w:val="21"/>
              </w:rPr>
              <w:t>营业执照、税务登记证、组织机构代码证</w:t>
            </w:r>
          </w:p>
        </w:tc>
        <w:tc>
          <w:tcPr>
            <w:tcW w:w="5523" w:type="dxa"/>
            <w:noWrap w:val="0"/>
            <w:vAlign w:val="center"/>
          </w:tcPr>
          <w:p>
            <w:pPr>
              <w:spacing w:line="500" w:lineRule="exact"/>
              <w:jc w:val="left"/>
              <w:rPr>
                <w:rFonts w:ascii="宋体" w:hAnsi="宋体" w:cs="宋体"/>
                <w:color w:val="000000"/>
                <w:szCs w:val="21"/>
              </w:rPr>
            </w:pPr>
            <w:r>
              <w:rPr>
                <w:rFonts w:hint="eastAsia" w:ascii="宋体" w:hAnsi="宋体" w:cs="宋体"/>
                <w:color w:val="000000"/>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095" w:type="dxa"/>
            <w:vMerge w:val="continue"/>
            <w:noWrap w:val="0"/>
            <w:vAlign w:val="center"/>
          </w:tcPr>
          <w:p>
            <w:pPr>
              <w:spacing w:line="500" w:lineRule="exact"/>
              <w:jc w:val="center"/>
              <w:rPr>
                <w:rFonts w:ascii="宋体" w:hAnsi="宋体" w:cs="宋体"/>
                <w:color w:val="000000"/>
                <w:szCs w:val="21"/>
              </w:rPr>
            </w:pPr>
          </w:p>
        </w:tc>
        <w:tc>
          <w:tcPr>
            <w:tcW w:w="1095" w:type="dxa"/>
            <w:vMerge w:val="continue"/>
            <w:noWrap w:val="0"/>
            <w:vAlign w:val="center"/>
          </w:tcPr>
          <w:p>
            <w:pPr>
              <w:spacing w:line="500" w:lineRule="exact"/>
              <w:jc w:val="center"/>
              <w:rPr>
                <w:rFonts w:ascii="宋体" w:hAnsi="宋体" w:cs="宋体"/>
                <w:color w:val="000000"/>
                <w:szCs w:val="21"/>
              </w:rPr>
            </w:pPr>
          </w:p>
        </w:tc>
        <w:tc>
          <w:tcPr>
            <w:tcW w:w="2163" w:type="dxa"/>
            <w:noWrap w:val="0"/>
            <w:vAlign w:val="center"/>
          </w:tcPr>
          <w:p>
            <w:pPr>
              <w:spacing w:line="500" w:lineRule="exact"/>
              <w:jc w:val="left"/>
              <w:rPr>
                <w:rFonts w:ascii="宋体" w:hAnsi="宋体" w:cs="宋体"/>
                <w:color w:val="000000"/>
                <w:szCs w:val="21"/>
              </w:rPr>
            </w:pPr>
            <w:r>
              <w:rPr>
                <w:rFonts w:hint="eastAsia" w:ascii="宋体" w:hAnsi="宋体" w:cs="宋体"/>
                <w:color w:val="000000"/>
                <w:szCs w:val="21"/>
              </w:rPr>
              <w:t>法定代表人证明或法人授权委托书</w:t>
            </w:r>
          </w:p>
        </w:tc>
        <w:tc>
          <w:tcPr>
            <w:tcW w:w="5523" w:type="dxa"/>
            <w:noWrap w:val="0"/>
            <w:vAlign w:val="center"/>
          </w:tcPr>
          <w:p>
            <w:pPr>
              <w:spacing w:line="500" w:lineRule="exact"/>
              <w:jc w:val="left"/>
              <w:rPr>
                <w:rFonts w:ascii="宋体" w:hAnsi="宋体" w:cs="宋体"/>
                <w:color w:val="000000"/>
                <w:szCs w:val="21"/>
              </w:rPr>
            </w:pPr>
            <w:r>
              <w:rPr>
                <w:rFonts w:hint="eastAsia" w:ascii="宋体" w:hAnsi="宋体" w:cs="宋体"/>
                <w:color w:val="000000"/>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1095" w:type="dxa"/>
            <w:vMerge w:val="continue"/>
            <w:noWrap w:val="0"/>
            <w:vAlign w:val="center"/>
          </w:tcPr>
          <w:p>
            <w:pPr>
              <w:spacing w:line="500" w:lineRule="exact"/>
              <w:jc w:val="center"/>
              <w:rPr>
                <w:rFonts w:ascii="宋体" w:hAnsi="宋体" w:cs="宋体"/>
                <w:color w:val="000000"/>
                <w:szCs w:val="21"/>
              </w:rPr>
            </w:pPr>
          </w:p>
        </w:tc>
        <w:tc>
          <w:tcPr>
            <w:tcW w:w="1095" w:type="dxa"/>
            <w:vMerge w:val="continue"/>
            <w:noWrap w:val="0"/>
            <w:vAlign w:val="center"/>
          </w:tcPr>
          <w:p>
            <w:pPr>
              <w:spacing w:line="500" w:lineRule="exact"/>
              <w:jc w:val="center"/>
              <w:rPr>
                <w:rFonts w:ascii="宋体" w:hAnsi="宋体" w:cs="宋体"/>
                <w:color w:val="000000"/>
                <w:szCs w:val="21"/>
              </w:rPr>
            </w:pPr>
          </w:p>
        </w:tc>
        <w:tc>
          <w:tcPr>
            <w:tcW w:w="2163" w:type="dxa"/>
            <w:noWrap w:val="0"/>
            <w:vAlign w:val="center"/>
          </w:tcPr>
          <w:p>
            <w:pPr>
              <w:spacing w:line="500" w:lineRule="exact"/>
              <w:jc w:val="left"/>
              <w:rPr>
                <w:rFonts w:ascii="宋体" w:hAnsi="宋体" w:cs="宋体"/>
                <w:color w:val="000000"/>
                <w:szCs w:val="21"/>
              </w:rPr>
            </w:pPr>
            <w:r>
              <w:rPr>
                <w:rFonts w:hint="eastAsia" w:ascii="宋体" w:hAnsi="宋体" w:cs="宋体"/>
                <w:color w:val="000000"/>
                <w:szCs w:val="21"/>
              </w:rPr>
              <w:t>信誉要求</w:t>
            </w:r>
          </w:p>
        </w:tc>
        <w:tc>
          <w:tcPr>
            <w:tcW w:w="5523" w:type="dxa"/>
            <w:noWrap w:val="0"/>
            <w:vAlign w:val="center"/>
          </w:tcPr>
          <w:p>
            <w:pPr>
              <w:spacing w:line="500" w:lineRule="exact"/>
              <w:jc w:val="left"/>
              <w:rPr>
                <w:rFonts w:ascii="宋体" w:hAnsi="宋体" w:cs="宋体"/>
                <w:color w:val="000000"/>
                <w:szCs w:val="21"/>
              </w:rPr>
            </w:pPr>
            <w:r>
              <w:rPr>
                <w:rFonts w:hint="eastAsia" w:ascii="宋体" w:hAnsi="宋体" w:cs="宋体"/>
                <w:color w:val="000000"/>
                <w:sz w:val="21"/>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95" w:type="dxa"/>
            <w:vMerge w:val="continue"/>
            <w:tcBorders>
              <w:bottom w:val="single" w:color="auto" w:sz="4" w:space="0"/>
            </w:tcBorders>
            <w:noWrap w:val="0"/>
            <w:vAlign w:val="center"/>
          </w:tcPr>
          <w:p>
            <w:pPr>
              <w:spacing w:line="500" w:lineRule="exact"/>
              <w:jc w:val="center"/>
              <w:rPr>
                <w:rFonts w:ascii="宋体" w:hAnsi="宋体" w:cs="宋体"/>
                <w:color w:val="000000"/>
                <w:szCs w:val="21"/>
              </w:rPr>
            </w:pPr>
          </w:p>
        </w:tc>
        <w:tc>
          <w:tcPr>
            <w:tcW w:w="1095" w:type="dxa"/>
            <w:vMerge w:val="continue"/>
            <w:tcBorders>
              <w:bottom w:val="single" w:color="auto" w:sz="4" w:space="0"/>
            </w:tcBorders>
            <w:noWrap w:val="0"/>
            <w:vAlign w:val="center"/>
          </w:tcPr>
          <w:p>
            <w:pPr>
              <w:spacing w:line="500" w:lineRule="exact"/>
              <w:jc w:val="center"/>
              <w:rPr>
                <w:rFonts w:ascii="宋体" w:hAnsi="宋体" w:cs="宋体"/>
                <w:color w:val="000000"/>
                <w:szCs w:val="21"/>
              </w:rPr>
            </w:pPr>
          </w:p>
        </w:tc>
        <w:tc>
          <w:tcPr>
            <w:tcW w:w="2163" w:type="dxa"/>
            <w:tcBorders>
              <w:bottom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其他要求</w:t>
            </w:r>
          </w:p>
        </w:tc>
        <w:tc>
          <w:tcPr>
            <w:tcW w:w="5523" w:type="dxa"/>
            <w:tcBorders>
              <w:bottom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二、形式评审标准</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投标人名称</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投标函签字盖章</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投标文件格式</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报价唯一</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restart"/>
            <w:tcBorders>
              <w:top w:val="single" w:color="auto" w:sz="4" w:space="0"/>
              <w:left w:val="single" w:color="auto" w:sz="4" w:space="0"/>
              <w:right w:val="single" w:color="auto" w:sz="4" w:space="0"/>
            </w:tcBorders>
            <w:noWrap w:val="0"/>
            <w:vAlign w:val="top"/>
          </w:tcPr>
          <w:p>
            <w:pPr>
              <w:spacing w:line="500" w:lineRule="exact"/>
              <w:rPr>
                <w:rFonts w:hint="eastAsia" w:ascii="宋体" w:hAnsi="宋体" w:cs="宋体"/>
                <w:color w:val="000000"/>
                <w:szCs w:val="21"/>
              </w:rPr>
            </w:pPr>
          </w:p>
          <w:p>
            <w:pPr>
              <w:spacing w:line="500" w:lineRule="exact"/>
              <w:rPr>
                <w:rFonts w:hint="eastAsia" w:ascii="宋体" w:hAnsi="宋体" w:cs="宋体"/>
                <w:color w:val="000000"/>
                <w:szCs w:val="21"/>
              </w:rPr>
            </w:pPr>
          </w:p>
          <w:p>
            <w:pPr>
              <w:spacing w:line="500" w:lineRule="exact"/>
              <w:rPr>
                <w:rFonts w:ascii="宋体" w:hAnsi="宋体" w:cs="宋体"/>
                <w:color w:val="000000"/>
                <w:szCs w:val="21"/>
              </w:rPr>
            </w:pPr>
            <w:r>
              <w:rPr>
                <w:rFonts w:hint="eastAsia" w:ascii="宋体" w:hAnsi="宋体" w:cs="宋体"/>
                <w:color w:val="000000"/>
                <w:szCs w:val="21"/>
              </w:rPr>
              <w:t>三、响应性评审标准</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highlight w:val="none"/>
              </w:rPr>
            </w:pPr>
            <w:r>
              <w:rPr>
                <w:rFonts w:hint="eastAsia" w:ascii="宋体" w:hAnsi="宋体" w:cs="宋体"/>
                <w:bCs/>
                <w:iCs/>
                <w:color w:val="000000"/>
                <w:szCs w:val="21"/>
                <w:highlight w:val="none"/>
              </w:rPr>
              <w:t>供货安装期</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质  量</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highlight w:val="none"/>
              </w:rPr>
            </w:pPr>
            <w:r>
              <w:rPr>
                <w:rFonts w:hint="eastAsia" w:ascii="宋体" w:hAnsi="宋体" w:cs="宋体"/>
                <w:color w:val="000000"/>
                <w:szCs w:val="21"/>
                <w:highlight w:val="none"/>
              </w:rPr>
              <w:t>质保期</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highlight w:val="none"/>
              </w:rPr>
            </w:pPr>
            <w:r>
              <w:rPr>
                <w:rFonts w:hint="eastAsia" w:ascii="宋体" w:hAnsi="宋体" w:cs="宋体"/>
                <w:color w:val="000000"/>
                <w:szCs w:val="21"/>
                <w:highlight w:val="none"/>
                <w:lang w:eastAsia="zh-CN"/>
              </w:rPr>
              <w:t>三</w:t>
            </w:r>
            <w:r>
              <w:rPr>
                <w:rFonts w:hint="eastAsia" w:ascii="宋体" w:hAnsi="宋体" w:cs="宋体"/>
                <w:color w:val="00000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商务报价</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投标有效期</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权利义务</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continue"/>
            <w:tcBorders>
              <w:left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采购内容及要求</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符合第五章</w:t>
            </w:r>
            <w:r>
              <w:rPr>
                <w:rFonts w:hint="eastAsia" w:ascii="宋体" w:hAnsi="宋体" w:cs="宋体"/>
                <w:color w:val="000000"/>
                <w:szCs w:val="21"/>
                <w:highlight w:val="none"/>
              </w:rPr>
              <w:t>“采购内容及要求”规定，若不符合第五章采购内容及要求规</w:t>
            </w:r>
            <w:r>
              <w:rPr>
                <w:rFonts w:hint="eastAsia" w:ascii="宋体" w:hAnsi="宋体" w:cs="宋体"/>
                <w:color w:val="000000"/>
                <w:szCs w:val="21"/>
              </w:rPr>
              <w:t>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1095" w:type="dxa"/>
            <w:vMerge w:val="continue"/>
            <w:tcBorders>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Cs w:val="21"/>
              </w:rPr>
            </w:pPr>
          </w:p>
        </w:tc>
        <w:tc>
          <w:tcPr>
            <w:tcW w:w="21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color w:val="000000"/>
                <w:szCs w:val="21"/>
              </w:rPr>
            </w:pPr>
            <w:r>
              <w:rPr>
                <w:rFonts w:hint="eastAsia" w:ascii="宋体" w:hAnsi="宋体" w:cs="宋体"/>
                <w:color w:val="000000"/>
                <w:szCs w:val="21"/>
              </w:rPr>
              <w:t>投标文件的其他响应</w:t>
            </w:r>
          </w:p>
        </w:tc>
        <w:tc>
          <w:tcPr>
            <w:tcW w:w="552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宋体"/>
                <w:color w:val="000000"/>
                <w:szCs w:val="21"/>
              </w:rPr>
            </w:pPr>
            <w:r>
              <w:rPr>
                <w:rFonts w:hint="eastAsia" w:ascii="宋体" w:hAnsi="宋体" w:cs="宋体"/>
                <w:color w:val="000000"/>
                <w:szCs w:val="21"/>
              </w:rPr>
              <w:t>符合法律、法规和招标文件中规定的其他实质性要求的</w:t>
            </w:r>
          </w:p>
        </w:tc>
      </w:tr>
    </w:tbl>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98"/>
        <w:gridCol w:w="968"/>
        <w:gridCol w:w="968"/>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序号</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内容</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评标因素</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分值</w:t>
            </w:r>
          </w:p>
        </w:tc>
        <w:tc>
          <w:tcPr>
            <w:tcW w:w="6673"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1</w:t>
            </w:r>
          </w:p>
        </w:tc>
        <w:tc>
          <w:tcPr>
            <w:tcW w:w="9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投标报价（3</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tc>
        <w:tc>
          <w:tcPr>
            <w:tcW w:w="9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投标报价</w:t>
            </w:r>
          </w:p>
        </w:tc>
        <w:tc>
          <w:tcPr>
            <w:tcW w:w="9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auto"/>
                <w:sz w:val="18"/>
                <w:szCs w:val="18"/>
                <w:highlight w:val="none"/>
              </w:rPr>
              <w:t>3</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满足招标文件要求且投标价格最低的投标报价（含小微企业、监狱企业和残疾人福利性单位产品的评标价）为评标基准价，其价格分为满分3</w:t>
            </w:r>
            <w:r>
              <w:rPr>
                <w:rFonts w:hint="eastAsia" w:ascii="宋体" w:hAnsi="宋体" w:cs="宋体"/>
                <w:color w:val="000000"/>
                <w:sz w:val="18"/>
                <w:szCs w:val="18"/>
                <w:lang w:val="en-US" w:eastAsia="zh-CN"/>
              </w:rPr>
              <w:t>5</w:t>
            </w:r>
            <w:r>
              <w:rPr>
                <w:rFonts w:hint="eastAsia" w:ascii="宋体" w:hAnsi="宋体" w:cs="宋体"/>
                <w:color w:val="000000"/>
                <w:sz w:val="18"/>
                <w:szCs w:val="18"/>
              </w:rPr>
              <w:t>分。其他投标人的价格得分，统一按照下列公式计算：投标报价得分=(评标基准价/评标价)×3</w:t>
            </w:r>
            <w:r>
              <w:rPr>
                <w:rFonts w:hint="eastAsia" w:ascii="宋体" w:hAnsi="宋体" w:cs="宋体"/>
                <w:color w:val="000000"/>
                <w:sz w:val="18"/>
                <w:szCs w:val="18"/>
                <w:lang w:val="en-US" w:eastAsia="zh-CN"/>
              </w:rPr>
              <w:t>5</w:t>
            </w:r>
            <w:r>
              <w:rPr>
                <w:rFonts w:hint="eastAsia" w:ascii="宋体" w:hAnsi="宋体" w:cs="宋体"/>
                <w:color w:val="000000"/>
                <w:sz w:val="18"/>
                <w:szCs w:val="18"/>
              </w:rPr>
              <w:t>，计算过程按四舍五入，保留两位小数。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79"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2</w:t>
            </w:r>
          </w:p>
        </w:tc>
        <w:tc>
          <w:tcPr>
            <w:tcW w:w="998"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技术部分（3</w:t>
            </w:r>
            <w:r>
              <w:rPr>
                <w:rFonts w:hint="eastAsia" w:ascii="宋体" w:hAnsi="宋体" w:cs="宋体"/>
                <w:color w:val="000000"/>
                <w:sz w:val="18"/>
                <w:szCs w:val="18"/>
                <w:highlight w:val="none"/>
                <w:lang w:val="en-US" w:eastAsia="zh-CN"/>
              </w:rPr>
              <w:t>7</w:t>
            </w:r>
            <w:r>
              <w:rPr>
                <w:rFonts w:hint="eastAsia" w:ascii="宋体" w:hAnsi="宋体" w:cs="宋体"/>
                <w:color w:val="000000"/>
                <w:sz w:val="18"/>
                <w:szCs w:val="18"/>
                <w:highlight w:val="none"/>
              </w:rPr>
              <w:t>分）</w:t>
            </w:r>
          </w:p>
        </w:tc>
        <w:tc>
          <w:tcPr>
            <w:tcW w:w="968"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技术部分3</w:t>
            </w:r>
            <w:r>
              <w:rPr>
                <w:rFonts w:hint="eastAsia" w:ascii="宋体" w:hAnsi="宋体" w:cs="宋体"/>
                <w:color w:val="000000"/>
                <w:sz w:val="18"/>
                <w:szCs w:val="18"/>
                <w:highlight w:val="none"/>
                <w:lang w:val="en-US" w:eastAsia="zh-CN"/>
              </w:rPr>
              <w:t>7</w:t>
            </w:r>
            <w:r>
              <w:rPr>
                <w:rFonts w:hint="eastAsia" w:ascii="宋体" w:hAnsi="宋体" w:cs="宋体"/>
                <w:color w:val="000000"/>
                <w:sz w:val="18"/>
                <w:szCs w:val="18"/>
                <w:highlight w:val="none"/>
              </w:rPr>
              <w:t>分</w:t>
            </w:r>
          </w:p>
        </w:tc>
        <w:tc>
          <w:tcPr>
            <w:tcW w:w="968" w:type="dxa"/>
            <w:tcBorders>
              <w:top w:val="single" w:color="auto" w:sz="4" w:space="0"/>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lang w:eastAsia="zh-CN"/>
              </w:rPr>
            </w:pPr>
            <w:r>
              <w:rPr>
                <w:rFonts w:hint="eastAsia" w:ascii="宋体" w:hAnsi="宋体" w:cs="宋体"/>
                <w:color w:val="000000"/>
                <w:sz w:val="18"/>
                <w:szCs w:val="18"/>
                <w:highlight w:val="none"/>
                <w:lang w:eastAsia="zh-CN"/>
              </w:rPr>
              <w:t>技术参数（</w:t>
            </w:r>
            <w:r>
              <w:rPr>
                <w:rFonts w:hint="eastAsia" w:ascii="宋体" w:hAnsi="宋体" w:cs="宋体"/>
                <w:color w:val="000000"/>
                <w:sz w:val="18"/>
                <w:szCs w:val="18"/>
                <w:highlight w:val="none"/>
                <w:lang w:val="en-US" w:eastAsia="zh-CN"/>
              </w:rPr>
              <w:t>22分</w:t>
            </w:r>
            <w:r>
              <w:rPr>
                <w:rFonts w:hint="eastAsia" w:ascii="宋体" w:hAnsi="宋体" w:cs="宋体"/>
                <w:color w:val="000000"/>
                <w:sz w:val="18"/>
                <w:szCs w:val="18"/>
                <w:highlight w:val="none"/>
                <w:lang w:eastAsia="zh-CN"/>
              </w:rPr>
              <w:t>）</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投标货物的技术参数完全满足招标文件项目清单设备参数要求的得基本分</w:t>
            </w:r>
            <w:r>
              <w:rPr>
                <w:rFonts w:hint="eastAsia" w:ascii="宋体" w:hAnsi="宋体" w:cs="宋体"/>
                <w:color w:val="000000"/>
                <w:sz w:val="18"/>
                <w:szCs w:val="18"/>
                <w:highlight w:val="none"/>
                <w:lang w:val="en-US" w:eastAsia="zh-CN"/>
              </w:rPr>
              <w:t>22</w:t>
            </w:r>
            <w:r>
              <w:rPr>
                <w:rFonts w:hint="eastAsia" w:ascii="宋体" w:hAnsi="宋体" w:cs="宋体"/>
                <w:color w:val="000000"/>
                <w:sz w:val="18"/>
                <w:szCs w:val="18"/>
                <w:highlight w:val="none"/>
              </w:rPr>
              <w:t>分</w:t>
            </w:r>
            <w:r>
              <w:rPr>
                <w:rFonts w:hint="eastAsia" w:ascii="宋体" w:hAnsi="宋体" w:cs="宋体"/>
                <w:color w:val="000000"/>
                <w:sz w:val="18"/>
                <w:szCs w:val="18"/>
                <w:highlight w:val="none"/>
                <w:lang w:eastAsia="zh-CN"/>
              </w:rPr>
              <w:t>，</w:t>
            </w:r>
          </w:p>
          <w:p>
            <w:pPr>
              <w:spacing w:line="500" w:lineRule="exact"/>
              <w:jc w:val="left"/>
              <w:rPr>
                <w:rFonts w:hint="eastAsia" w:ascii="宋体" w:hAnsi="宋体" w:cs="宋体"/>
                <w:color w:val="000000"/>
                <w:sz w:val="18"/>
                <w:szCs w:val="18"/>
                <w:highlight w:val="none"/>
                <w:lang w:val="zh-CN"/>
              </w:rPr>
            </w:pPr>
            <w:r>
              <w:rPr>
                <w:rFonts w:hint="eastAsia" w:ascii="宋体" w:hAnsi="宋体" w:cs="宋体"/>
                <w:color w:val="000000"/>
                <w:sz w:val="18"/>
                <w:szCs w:val="18"/>
                <w:highlight w:val="none"/>
              </w:rPr>
              <w:t>以下要求的参数，如果能按照要求提供相应文件证明的,在基本分基础上相应加分。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p>
        </w:tc>
        <w:tc>
          <w:tcPr>
            <w:tcW w:w="968" w:type="dxa"/>
            <w:vMerge w:val="restart"/>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zh-CN"/>
              </w:rPr>
              <w:t>一．900W环保车辆人脸卡口抓拍单元</w:t>
            </w:r>
            <w:r>
              <w:rPr>
                <w:rFonts w:hint="eastAsia" w:ascii="宋体" w:hAnsi="宋体" w:cs="宋体"/>
                <w:color w:val="000000"/>
                <w:sz w:val="18"/>
                <w:szCs w:val="18"/>
                <w:highlight w:val="none"/>
              </w:rPr>
              <w:t>（共6分）</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highlight w:val="none"/>
              </w:rPr>
            </w:pPr>
            <w:r>
              <w:rPr>
                <w:rFonts w:hint="eastAsia" w:ascii="宋体" w:hAnsi="宋体" w:cs="宋体"/>
                <w:color w:val="000000"/>
                <w:sz w:val="18"/>
                <w:szCs w:val="18"/>
                <w:highlight w:val="none"/>
              </w:rPr>
              <w:t>1. 支持车辆子品牌识别功能，通过车头可识别</w:t>
            </w:r>
            <w:r>
              <w:rPr>
                <w:rFonts w:hint="eastAsia" w:ascii="宋体" w:hAnsi="宋体" w:cs="宋体"/>
                <w:color w:val="000000"/>
                <w:sz w:val="18"/>
                <w:szCs w:val="18"/>
                <w:highlight w:val="none"/>
                <w:lang w:eastAsia="zh-CN"/>
              </w:rPr>
              <w:t>不低于</w:t>
            </w:r>
            <w:r>
              <w:rPr>
                <w:rFonts w:hint="eastAsia" w:ascii="宋体" w:hAnsi="宋体" w:cs="宋体"/>
                <w:color w:val="000000"/>
                <w:sz w:val="18"/>
                <w:szCs w:val="18"/>
                <w:highlight w:val="none"/>
              </w:rPr>
              <w:t>7100种，通过车尾可识别</w:t>
            </w:r>
            <w:r>
              <w:rPr>
                <w:rFonts w:hint="eastAsia" w:ascii="宋体" w:hAnsi="宋体" w:cs="宋体"/>
                <w:color w:val="000000"/>
                <w:sz w:val="18"/>
                <w:szCs w:val="18"/>
                <w:highlight w:val="none"/>
                <w:lang w:eastAsia="zh-CN"/>
              </w:rPr>
              <w:t>不低于</w:t>
            </w:r>
            <w:r>
              <w:rPr>
                <w:rFonts w:hint="eastAsia" w:ascii="宋体" w:hAnsi="宋体" w:cs="宋体"/>
                <w:color w:val="000000"/>
                <w:sz w:val="18"/>
                <w:szCs w:val="18"/>
                <w:highlight w:val="none"/>
              </w:rPr>
              <w:t>3800种，全天识别准确率不低于99%，得1分。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2. 支持人脸目标抓拍头肩照或全景照，模式可选，得1分。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highlight w:val="none"/>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highlight w:val="none"/>
              </w:rPr>
            </w:pPr>
            <w:r>
              <w:rPr>
                <w:rFonts w:hint="eastAsia" w:ascii="宋体" w:hAnsi="宋体" w:cs="宋体"/>
                <w:color w:val="000000"/>
                <w:sz w:val="18"/>
                <w:szCs w:val="18"/>
                <w:highlight w:val="none"/>
              </w:rPr>
              <w:t>3. 支持识别车标类型≥450种；在天气晴朗无雾，车辆无遮挡，白天环境光照度不低于</w:t>
            </w:r>
            <w:r>
              <w:rPr>
                <w:rFonts w:hint="eastAsia" w:ascii="宋体" w:hAnsi="宋体" w:cs="宋体"/>
                <w:color w:val="000000"/>
                <w:sz w:val="18"/>
                <w:szCs w:val="18"/>
                <w:highlight w:val="none"/>
                <w:lang w:val="en-US" w:eastAsia="zh-CN"/>
              </w:rPr>
              <w:t xml:space="preserve">  </w:t>
            </w:r>
            <w:r>
              <w:rPr>
                <w:rFonts w:hint="eastAsia" w:ascii="宋体" w:hAnsi="宋体" w:cs="宋体"/>
                <w:color w:val="000000"/>
                <w:sz w:val="18"/>
                <w:szCs w:val="18"/>
                <w:highlight w:val="none"/>
              </w:rPr>
              <w:t>200</w:t>
            </w:r>
            <w:r>
              <w:rPr>
                <w:rFonts w:hint="eastAsia" w:ascii="宋体" w:hAnsi="宋体" w:cs="宋体"/>
                <w:color w:val="000000"/>
                <w:sz w:val="18"/>
                <w:szCs w:val="18"/>
                <w:highlight w:val="none"/>
                <w:lang w:val="en-US" w:eastAsia="zh-CN"/>
              </w:rPr>
              <w:t xml:space="preserve"> </w:t>
            </w:r>
            <w:r>
              <w:rPr>
                <w:rFonts w:hint="eastAsia" w:ascii="宋体" w:hAnsi="宋体" w:cs="宋体"/>
                <w:color w:val="000000"/>
                <w:sz w:val="18"/>
                <w:szCs w:val="18"/>
                <w:highlight w:val="none"/>
              </w:rPr>
              <w:t>lx，夜晚辅助光照度不高于30</w:t>
            </w:r>
            <w:r>
              <w:rPr>
                <w:rFonts w:hint="eastAsia" w:ascii="宋体" w:hAnsi="宋体" w:cs="宋体"/>
                <w:color w:val="000000"/>
                <w:sz w:val="18"/>
                <w:szCs w:val="18"/>
                <w:highlight w:val="none"/>
                <w:lang w:val="en-US" w:eastAsia="zh-CN"/>
              </w:rPr>
              <w:t xml:space="preserve"> </w:t>
            </w:r>
            <w:r>
              <w:rPr>
                <w:rFonts w:hint="eastAsia" w:ascii="宋体" w:hAnsi="宋体" w:cs="宋体"/>
                <w:color w:val="000000"/>
                <w:sz w:val="18"/>
                <w:szCs w:val="18"/>
                <w:highlight w:val="none"/>
              </w:rPr>
              <w:t>lx的情况下进行测试；白天车标识别准确率≥99%；晚上车标识别准确率≥99%，得1分。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4. 支持驾驶人脸部特征信息大于50×50个像素点、夜间环境照度在10lx~30lx范围的情况下，配合LED补光与红外爆闪补光，输出高清人脸抠图，得1分。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5. 配合爆闪灯，样机可穿透车窗遮光条显示驾驶员头部画面 ，得1分。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6.支持侧脸过滤功能，过滤的人脸上下、左右角度阈值可设置，得1分。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注：以上1-6项开标时须提供公安部检测评测机构出具的检测证明复印件并加盖产品制造商公章，否则不得分；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restart"/>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lang w:val="zh-CN"/>
              </w:rPr>
              <w:t>二.</w:t>
            </w:r>
            <w:r>
              <w:rPr>
                <w:rFonts w:hint="eastAsia" w:ascii="宋体" w:hAnsi="宋体" w:cs="宋体"/>
                <w:color w:val="000000"/>
                <w:sz w:val="18"/>
                <w:szCs w:val="18"/>
              </w:rPr>
              <w:t xml:space="preserve"> </w:t>
            </w:r>
            <w:r>
              <w:rPr>
                <w:rFonts w:hint="eastAsia" w:ascii="宋体" w:hAnsi="宋体" w:cs="宋体"/>
                <w:color w:val="000000"/>
                <w:sz w:val="18"/>
                <w:szCs w:val="18"/>
                <w:lang w:val="zh-CN"/>
              </w:rPr>
              <w:t>800万黑光级双舱全结构化摄像机（</w:t>
            </w:r>
            <w:r>
              <w:rPr>
                <w:rFonts w:hint="eastAsia" w:ascii="宋体" w:hAnsi="宋体" w:cs="宋体"/>
                <w:color w:val="000000"/>
                <w:sz w:val="18"/>
                <w:szCs w:val="18"/>
              </w:rPr>
              <w:t>共6分</w:t>
            </w:r>
            <w:r>
              <w:rPr>
                <w:rFonts w:hint="eastAsia" w:ascii="宋体" w:hAnsi="宋体" w:cs="宋体"/>
                <w:color w:val="000000"/>
                <w:sz w:val="18"/>
                <w:szCs w:val="18"/>
                <w:lang w:val="zh-CN"/>
              </w:rPr>
              <w:t>）</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1. 具有4个图像传感器和3个镜头，得1分。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2. 当监控场景无目标时，补光灯处于低亮模式；当设备全景采集通道检测到目标后，可自动将补光灯调节至高亮模式，并支持目标跟踪、检测、筛选、抓拍、分析属性信息和上报功能，得1分。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3. 具有耀光抑制功能，耀光区域≤1%。，得1分。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4. 采用金属外壳，下置藏线盒，得1分。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5. 支持混合抓拍模式，可同时对行人、非机动车、机动车进行检测、跟踪及抓拍，得1分。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6. 在混合抓拍模式下，行人、非机动车和机动车目标捕获率不低于99%，得1分。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注：以上1-6项开标时须提供公安部检测评测机构出具的检测证明复印件并加盖产品制造商公章，否则不得分；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restart"/>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lang w:val="zh-CN"/>
              </w:rPr>
              <w:t>三.</w:t>
            </w:r>
            <w:r>
              <w:rPr>
                <w:rFonts w:hint="eastAsia" w:ascii="宋体" w:hAnsi="宋体" w:cs="宋体"/>
                <w:color w:val="000000"/>
                <w:sz w:val="18"/>
                <w:szCs w:val="18"/>
              </w:rPr>
              <w:t xml:space="preserve"> </w:t>
            </w:r>
            <w:r>
              <w:rPr>
                <w:rFonts w:hint="eastAsia" w:ascii="宋体" w:hAnsi="宋体" w:cs="宋体"/>
                <w:color w:val="000000"/>
                <w:sz w:val="18"/>
                <w:szCs w:val="18"/>
                <w:lang w:val="zh-CN"/>
              </w:rPr>
              <w:t>数据分析服务器（</w:t>
            </w:r>
            <w:r>
              <w:rPr>
                <w:rFonts w:hint="eastAsia" w:ascii="宋体" w:hAnsi="宋体" w:cs="宋体"/>
                <w:color w:val="000000"/>
                <w:sz w:val="18"/>
                <w:szCs w:val="18"/>
              </w:rPr>
              <w:t>共3分</w:t>
            </w:r>
            <w:r>
              <w:rPr>
                <w:rFonts w:hint="eastAsia" w:ascii="宋体" w:hAnsi="宋体" w:cs="宋体"/>
                <w:color w:val="000000"/>
                <w:sz w:val="18"/>
                <w:szCs w:val="18"/>
                <w:lang w:val="zh-CN"/>
              </w:rPr>
              <w:t>）</w:t>
            </w:r>
          </w:p>
        </w:tc>
        <w:tc>
          <w:tcPr>
            <w:tcW w:w="667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1.支持通过深度学习算法模型，自动识别画面中的人、机动车和非机动车，按照人、机动车、非机动车的目标进行识别和分类，得1分。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2.支持对人脸图片识别人脸性别；人脸性别检出率不低于99%；人脸性别识别准确率不低于99% 准确率=正检/ (正检+误检），得1分。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3.支持对已存储的人脸抓拍库进行历史过人记录查询，用于对历史的人脸抓拍记录进行回溯，得1分。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注：以上1-3项开标时须提供公安部检测评测机构出具的检测证明复印件并加盖产品制造商公章，否则不得分；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79" w:type="dxa"/>
            <w:vMerge w:val="restart"/>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3</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商务部分（1</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综合实力（1</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lang w:val="zh-CN"/>
              </w:rPr>
            </w:pPr>
            <w:r>
              <w:rPr>
                <w:rFonts w:hint="eastAsia" w:ascii="宋体" w:hAnsi="宋体" w:cs="宋体"/>
                <w:color w:val="000000"/>
                <w:sz w:val="18"/>
                <w:szCs w:val="18"/>
                <w:lang w:val="zh-CN"/>
              </w:rPr>
              <w:t>1、所投产品（900W环保车辆人脸卡口抓拍单元、400万像素红外全景球机、800万黑光级双舱全结构化摄像机、数据分析服务器、云存储视频存储单元）制造商具有公安部重点实验室的</w:t>
            </w:r>
            <w:r>
              <w:rPr>
                <w:rFonts w:hint="eastAsia" w:ascii="宋体" w:hAnsi="宋体" w:cs="宋体"/>
                <w:color w:val="000000"/>
                <w:sz w:val="18"/>
                <w:szCs w:val="18"/>
                <w:highlight w:val="none"/>
                <w:lang w:val="zh-CN"/>
              </w:rPr>
              <w:t>，得3分，</w:t>
            </w:r>
            <w:r>
              <w:rPr>
                <w:rFonts w:hint="eastAsia" w:ascii="宋体" w:hAnsi="宋体" w:cs="宋体"/>
                <w:color w:val="000000"/>
                <w:sz w:val="18"/>
                <w:szCs w:val="18"/>
                <w:lang w:val="zh-CN"/>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zh-CN"/>
              </w:rPr>
              <w:t>2、所投产品（900W环保车辆人脸卡口抓拍单元、400万像素红外全景球机、800万黑光级双舱全结构化摄像机、数据分析服务器、云存储视频存储单元）制造商具有国家级政府部门颁发的科学技术进步奖的，得3分，具有省级政府部门颁发的科学技术进步奖的，得1分，没有的不得分，本项最多得</w:t>
            </w:r>
            <w:r>
              <w:rPr>
                <w:rFonts w:hint="eastAsia" w:ascii="宋体" w:hAnsi="宋体" w:cs="宋体"/>
                <w:color w:val="000000"/>
                <w:sz w:val="18"/>
                <w:szCs w:val="1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lang w:val="zh-CN"/>
              </w:rPr>
            </w:pPr>
            <w:r>
              <w:rPr>
                <w:rFonts w:hint="eastAsia" w:ascii="宋体" w:hAnsi="宋体" w:cs="宋体"/>
                <w:color w:val="000000"/>
                <w:sz w:val="18"/>
                <w:szCs w:val="18"/>
                <w:lang w:val="zh-CN"/>
              </w:rPr>
              <w:t>3、所投产品（900W环保车辆人脸卡口抓拍单元、400万像素红外全景球机、800万黑光级双舱全结构化摄像机、数据分析服务器、云存储视频存储单元）制造商具备CCC现场检测实验室资质的，得3分，没有不得分。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lang w:val="zh-CN"/>
              </w:rPr>
            </w:pPr>
            <w:r>
              <w:rPr>
                <w:rFonts w:hint="eastAsia" w:ascii="宋体" w:hAnsi="宋体" w:cs="宋体"/>
                <w:color w:val="000000"/>
                <w:sz w:val="18"/>
                <w:szCs w:val="18"/>
                <w:lang w:val="zh-CN"/>
              </w:rPr>
              <w:t>4、所投产品（900W环保车辆人脸卡口抓拍单元、400万像素红外全景球机、800万黑光级双舱全结构化摄像机、数据分析服务器、云存储视频存储单元）制造商获得过国家级政府部门颁发的守合同重信用企业的，得3分，获得过省级政府部门颁发的守合同重信用企业的，得1分，没有的不得分</w:t>
            </w:r>
            <w:r>
              <w:rPr>
                <w:rFonts w:hint="eastAsia" w:ascii="宋体" w:hAnsi="宋体" w:cs="宋体"/>
                <w:color w:val="000000"/>
                <w:sz w:val="18"/>
                <w:szCs w:val="18"/>
                <w:highlight w:val="none"/>
                <w:lang w:val="zh-CN"/>
              </w:rPr>
              <w:t>，本项最多得</w:t>
            </w:r>
            <w:r>
              <w:rPr>
                <w:rFonts w:hint="eastAsia" w:ascii="宋体" w:hAnsi="宋体" w:cs="宋体"/>
                <w:color w:val="000000"/>
                <w:sz w:val="18"/>
                <w:szCs w:val="18"/>
                <w:highlight w:val="none"/>
                <w:lang w:val="en-US" w:eastAsia="zh-CN"/>
              </w:rPr>
              <w:t>3分。</w:t>
            </w:r>
            <w:bookmarkStart w:id="341" w:name="_GoBack"/>
            <w:bookmarkEnd w:id="3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lang w:val="zh-CN"/>
              </w:rPr>
            </w:pPr>
            <w:r>
              <w:rPr>
                <w:rFonts w:hint="eastAsia" w:ascii="宋体" w:hAnsi="宋体" w:cs="宋体"/>
                <w:color w:val="000000"/>
                <w:sz w:val="18"/>
                <w:szCs w:val="18"/>
                <w:lang w:val="zh-CN"/>
              </w:rPr>
              <w:t>5、为保证本项目产品、服务及信息系统的稳定性与可靠性，所投产品（900W环保车辆人脸卡口抓拍单元、400万像素红外全景球机、800万黑光级双舱全结构化摄像机、数据分析服务器、云存储视频存储单元）制造商可提供中国信息安全评测中心颁发的信息安全服务资质（风险评估）证书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trPr>
        <w:tc>
          <w:tcPr>
            <w:tcW w:w="479" w:type="dxa"/>
            <w:vMerge w:val="continue"/>
            <w:tcBorders>
              <w:left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备注：以上1-</w:t>
            </w:r>
            <w:r>
              <w:rPr>
                <w:rFonts w:hint="eastAsia" w:ascii="宋体" w:hAnsi="宋体" w:cs="宋体"/>
                <w:color w:val="000000"/>
                <w:sz w:val="18"/>
                <w:szCs w:val="18"/>
                <w:lang w:val="en-US" w:eastAsia="zh-CN"/>
              </w:rPr>
              <w:t>5</w:t>
            </w:r>
            <w:r>
              <w:rPr>
                <w:rFonts w:hint="eastAsia" w:ascii="宋体" w:hAnsi="宋体" w:cs="宋体"/>
                <w:color w:val="000000"/>
                <w:sz w:val="18"/>
                <w:szCs w:val="18"/>
              </w:rPr>
              <w:t>项须提供所有证明文件并加盖产品制造商公章，否则不得分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79"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4</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综合部分（1</w:t>
            </w:r>
            <w:r>
              <w:rPr>
                <w:rFonts w:hint="eastAsia" w:ascii="宋体" w:hAnsi="宋体" w:cs="宋体"/>
                <w:color w:val="000000"/>
                <w:sz w:val="18"/>
                <w:szCs w:val="18"/>
                <w:lang w:val="en-US" w:eastAsia="zh-CN"/>
              </w:rPr>
              <w:t>3</w:t>
            </w:r>
            <w:r>
              <w:rPr>
                <w:rFonts w:hint="eastAsia" w:ascii="宋体" w:hAnsi="宋体" w:cs="宋体"/>
                <w:color w:val="000000"/>
                <w:sz w:val="18"/>
                <w:szCs w:val="18"/>
              </w:rPr>
              <w:t>分）</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售后服务</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6</w:t>
            </w:r>
            <w:r>
              <w:rPr>
                <w:rFonts w:hint="eastAsia" w:ascii="宋体" w:hAnsi="宋体" w:cs="宋体"/>
                <w:color w:val="000000"/>
                <w:sz w:val="18"/>
                <w:szCs w:val="18"/>
              </w:rPr>
              <w:t>分</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highlight w:val="none"/>
              </w:rPr>
            </w:pPr>
            <w:r>
              <w:rPr>
                <w:rFonts w:hint="eastAsia" w:ascii="宋体" w:hAnsi="宋体" w:cs="宋体"/>
                <w:color w:val="000000"/>
                <w:sz w:val="18"/>
                <w:szCs w:val="18"/>
                <w:highlight w:val="none"/>
              </w:rPr>
              <w:t>1.提出完整的服务内容、服务形式、质保期内及质保期外服务承诺、维修单位及地点、技术人员情况、应急维修时间安排，优秀的得</w:t>
            </w:r>
            <w:r>
              <w:rPr>
                <w:rFonts w:hint="eastAsia" w:ascii="宋体" w:hAnsi="宋体" w:cs="宋体"/>
                <w:color w:val="000000"/>
                <w:sz w:val="18"/>
                <w:szCs w:val="18"/>
                <w:highlight w:val="none"/>
                <w:lang w:val="en-US" w:eastAsia="zh-CN"/>
              </w:rPr>
              <w:t>4-5</w:t>
            </w:r>
            <w:r>
              <w:rPr>
                <w:rFonts w:hint="eastAsia" w:ascii="宋体" w:hAnsi="宋体" w:cs="宋体"/>
                <w:color w:val="000000"/>
                <w:sz w:val="18"/>
                <w:szCs w:val="18"/>
                <w:highlight w:val="none"/>
              </w:rPr>
              <w:t>分，良好的得</w:t>
            </w:r>
            <w:r>
              <w:rPr>
                <w:rFonts w:hint="eastAsia" w:ascii="宋体" w:hAnsi="宋体" w:cs="宋体"/>
                <w:color w:val="000000"/>
                <w:sz w:val="18"/>
                <w:szCs w:val="18"/>
                <w:highlight w:val="none"/>
                <w:lang w:val="en-US" w:eastAsia="zh-CN"/>
              </w:rPr>
              <w:t>2-3</w:t>
            </w:r>
            <w:r>
              <w:rPr>
                <w:rFonts w:hint="eastAsia" w:ascii="宋体" w:hAnsi="宋体" w:cs="宋体"/>
                <w:color w:val="000000"/>
                <w:sz w:val="18"/>
                <w:szCs w:val="18"/>
                <w:highlight w:val="none"/>
              </w:rPr>
              <w:t>分，一般的得0-</w:t>
            </w:r>
            <w:r>
              <w:rPr>
                <w:rFonts w:hint="eastAsia" w:ascii="宋体" w:hAnsi="宋体" w:cs="宋体"/>
                <w:color w:val="000000"/>
                <w:sz w:val="18"/>
                <w:szCs w:val="18"/>
                <w:highlight w:val="none"/>
                <w:lang w:val="en-US" w:eastAsia="zh-CN"/>
              </w:rPr>
              <w:t>1</w:t>
            </w:r>
            <w:r>
              <w:rPr>
                <w:rFonts w:hint="eastAsia" w:ascii="宋体" w:hAnsi="宋体" w:cs="宋体"/>
                <w:color w:val="00000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7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rPr>
            </w:pPr>
            <w:r>
              <w:rPr>
                <w:rFonts w:hint="eastAsia" w:ascii="宋体" w:hAnsi="宋体" w:cs="宋体"/>
                <w:color w:val="000000"/>
                <w:sz w:val="18"/>
                <w:szCs w:val="18"/>
              </w:rPr>
              <w:t>2.</w:t>
            </w:r>
            <w:r>
              <w:rPr>
                <w:rFonts w:hint="eastAsia" w:ascii="宋体" w:hAnsi="宋体" w:cs="宋体"/>
                <w:color w:val="000000"/>
                <w:sz w:val="18"/>
                <w:szCs w:val="18"/>
                <w:lang w:val="zh-CN"/>
              </w:rPr>
              <w:t>所投产品（900W环保车辆人脸卡口抓拍单元、400万像素红外全景球机、800万黑光级双舱全结构化摄像机、数据分析服务器、云存储视频存储单元）制造</w:t>
            </w:r>
            <w:r>
              <w:rPr>
                <w:rFonts w:hint="eastAsia" w:ascii="宋体" w:hAnsi="宋体" w:cs="宋体"/>
                <w:color w:val="000000"/>
                <w:sz w:val="18"/>
                <w:szCs w:val="18"/>
              </w:rPr>
              <w:t xml:space="preserve">商提供针对本项目的售后服务承诺书，得1分，否则不得分；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7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施工组织方案</w:t>
            </w:r>
          </w:p>
        </w:tc>
        <w:tc>
          <w:tcPr>
            <w:tcW w:w="9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提出完整的运行方案、资源配置、安全、质量保证、维护方案、维护标准，优秀的得</w:t>
            </w:r>
            <w:r>
              <w:rPr>
                <w:rFonts w:hint="eastAsia" w:ascii="宋体" w:hAnsi="宋体" w:cs="宋体"/>
                <w:color w:val="000000"/>
                <w:sz w:val="18"/>
                <w:szCs w:val="18"/>
                <w:highlight w:val="none"/>
                <w:lang w:val="en-US" w:eastAsia="zh-CN"/>
              </w:rPr>
              <w:t>4-5</w:t>
            </w:r>
            <w:r>
              <w:rPr>
                <w:rFonts w:hint="eastAsia" w:ascii="宋体" w:hAnsi="宋体" w:cs="宋体"/>
                <w:color w:val="000000"/>
                <w:sz w:val="18"/>
                <w:szCs w:val="18"/>
                <w:highlight w:val="none"/>
              </w:rPr>
              <w:t>分，良好的得</w:t>
            </w:r>
            <w:r>
              <w:rPr>
                <w:rFonts w:hint="eastAsia" w:ascii="宋体" w:hAnsi="宋体" w:cs="宋体"/>
                <w:color w:val="000000"/>
                <w:sz w:val="18"/>
                <w:szCs w:val="18"/>
                <w:highlight w:val="none"/>
                <w:lang w:val="en-US" w:eastAsia="zh-CN"/>
              </w:rPr>
              <w:t>2-3</w:t>
            </w:r>
            <w:r>
              <w:rPr>
                <w:rFonts w:hint="eastAsia" w:ascii="宋体" w:hAnsi="宋体" w:cs="宋体"/>
                <w:color w:val="000000"/>
                <w:sz w:val="18"/>
                <w:szCs w:val="18"/>
                <w:highlight w:val="none"/>
              </w:rPr>
              <w:t>分，一般的得0-</w:t>
            </w:r>
            <w:r>
              <w:rPr>
                <w:rFonts w:hint="eastAsia" w:ascii="宋体" w:hAnsi="宋体" w:cs="宋体"/>
                <w:color w:val="000000"/>
                <w:sz w:val="18"/>
                <w:szCs w:val="18"/>
                <w:highlight w:val="none"/>
                <w:lang w:val="en-US" w:eastAsia="zh-CN"/>
              </w:rPr>
              <w:t>1</w:t>
            </w:r>
            <w:r>
              <w:rPr>
                <w:rFonts w:hint="eastAsia" w:ascii="宋体" w:hAnsi="宋体" w:cs="宋体"/>
                <w:color w:val="000000"/>
                <w:sz w:val="18"/>
                <w:szCs w:val="18"/>
                <w:highlight w:val="none"/>
              </w:rPr>
              <w:t>分</w:t>
            </w:r>
            <w:r>
              <w:rPr>
                <w:rFonts w:hint="eastAsia" w:ascii="宋体" w:hAnsi="宋体" w:cs="宋体"/>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rPr>
              <w:t>培训计划</w:t>
            </w:r>
          </w:p>
        </w:tc>
        <w:tc>
          <w:tcPr>
            <w:tcW w:w="9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分</w:t>
            </w:r>
          </w:p>
        </w:tc>
        <w:tc>
          <w:tcPr>
            <w:tcW w:w="667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cs="宋体"/>
                <w:color w:val="000000"/>
                <w:sz w:val="18"/>
                <w:szCs w:val="18"/>
                <w:highlight w:val="none"/>
              </w:rPr>
            </w:pPr>
            <w:r>
              <w:rPr>
                <w:rFonts w:hint="eastAsia" w:ascii="宋体" w:hAnsi="宋体" w:cs="宋体"/>
                <w:color w:val="000000"/>
                <w:sz w:val="18"/>
                <w:szCs w:val="18"/>
                <w:highlight w:val="none"/>
              </w:rPr>
              <w:t>投标人培训计划提供培训内容、培训教材、培训方式，优秀的得</w:t>
            </w:r>
            <w:r>
              <w:rPr>
                <w:rFonts w:hint="eastAsia" w:ascii="宋体" w:hAnsi="宋体" w:cs="宋体"/>
                <w:color w:val="000000"/>
                <w:sz w:val="18"/>
                <w:szCs w:val="18"/>
                <w:highlight w:val="none"/>
                <w:lang w:val="en-US" w:eastAsia="zh-CN"/>
              </w:rPr>
              <w:t>2</w:t>
            </w:r>
            <w:r>
              <w:rPr>
                <w:rFonts w:hint="eastAsia" w:ascii="宋体" w:hAnsi="宋体" w:cs="宋体"/>
                <w:color w:val="000000"/>
                <w:sz w:val="18"/>
                <w:szCs w:val="18"/>
                <w:highlight w:val="none"/>
              </w:rPr>
              <w:t>分，良好的得</w:t>
            </w:r>
            <w:r>
              <w:rPr>
                <w:rFonts w:hint="eastAsia" w:ascii="宋体" w:hAnsi="宋体" w:cs="宋体"/>
                <w:color w:val="000000"/>
                <w:sz w:val="18"/>
                <w:szCs w:val="18"/>
                <w:highlight w:val="none"/>
                <w:lang w:val="en-US" w:eastAsia="zh-CN"/>
              </w:rPr>
              <w:t>1</w:t>
            </w:r>
            <w:r>
              <w:rPr>
                <w:rFonts w:hint="eastAsia" w:ascii="宋体" w:hAnsi="宋体" w:cs="宋体"/>
                <w:color w:val="000000"/>
                <w:sz w:val="18"/>
                <w:szCs w:val="18"/>
                <w:highlight w:val="none"/>
              </w:rPr>
              <w:t>分，一般的得</w:t>
            </w:r>
            <w:r>
              <w:rPr>
                <w:rFonts w:hint="eastAsia" w:ascii="宋体" w:hAnsi="宋体" w:cs="宋体"/>
                <w:color w:val="000000"/>
                <w:sz w:val="18"/>
                <w:szCs w:val="18"/>
                <w:highlight w:val="none"/>
                <w:lang w:val="en-US" w:eastAsia="zh-CN"/>
              </w:rPr>
              <w:t>0.5</w:t>
            </w:r>
            <w:r>
              <w:rPr>
                <w:rFonts w:hint="eastAsia" w:ascii="宋体" w:hAnsi="宋体" w:cs="宋体"/>
                <w:color w:val="000000"/>
                <w:sz w:val="18"/>
                <w:szCs w:val="18"/>
                <w:highlight w:val="none"/>
              </w:rPr>
              <w:t>分。</w:t>
            </w:r>
          </w:p>
        </w:tc>
      </w:tr>
    </w:tbl>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50" w:name="_Toc466017207"/>
      <w:bookmarkStart w:id="251" w:name="_Toc465502579"/>
      <w:bookmarkStart w:id="252" w:name="_Toc454147538"/>
      <w:bookmarkStart w:id="253" w:name="_Toc19403"/>
      <w:bookmarkStart w:id="254" w:name="_Toc21064"/>
      <w:r>
        <w:rPr>
          <w:rFonts w:hint="eastAsia" w:ascii="宋体" w:hAnsi="宋体" w:cs="仿宋_GB2312"/>
          <w:b/>
          <w:color w:val="auto"/>
          <w:sz w:val="28"/>
          <w:szCs w:val="28"/>
          <w:highlight w:val="none"/>
        </w:rPr>
        <w:t xml:space="preserve"> </w:t>
      </w:r>
      <w:bookmarkStart w:id="255" w:name="_Toc20267"/>
      <w:bookmarkStart w:id="256" w:name="_Toc6843"/>
      <w:r>
        <w:rPr>
          <w:rFonts w:hint="eastAsia" w:ascii="宋体" w:hAnsi="宋体" w:cs="仿宋_GB2312"/>
          <w:b/>
          <w:color w:val="auto"/>
          <w:sz w:val="28"/>
          <w:szCs w:val="28"/>
          <w:highlight w:val="none"/>
        </w:rPr>
        <w:t>评标准则和评标方法</w:t>
      </w:r>
      <w:bookmarkEnd w:id="250"/>
      <w:bookmarkEnd w:id="251"/>
      <w:bookmarkEnd w:id="252"/>
      <w:bookmarkEnd w:id="253"/>
      <w:bookmarkEnd w:id="254"/>
      <w:bookmarkEnd w:id="255"/>
      <w:bookmarkEnd w:id="256"/>
    </w:p>
    <w:p>
      <w:pPr>
        <w:adjustRightInd w:val="0"/>
        <w:snapToGrid w:val="0"/>
        <w:spacing w:line="560" w:lineRule="exact"/>
        <w:rPr>
          <w:color w:val="auto"/>
          <w:szCs w:val="21"/>
          <w:highlight w:val="none"/>
        </w:rPr>
      </w:pPr>
      <w:r>
        <w:rPr>
          <w:rFonts w:hint="eastAsia"/>
          <w:color w:val="auto"/>
          <w:szCs w:val="21"/>
          <w:highlight w:val="none"/>
        </w:rPr>
        <w:t>1.1 评标过程将遵循“公平、公正、科学、择优”的原则进行。</w:t>
      </w:r>
    </w:p>
    <w:p>
      <w:pPr>
        <w:adjustRightInd w:val="0"/>
        <w:snapToGrid w:val="0"/>
        <w:spacing w:line="560" w:lineRule="exact"/>
        <w:rPr>
          <w:color w:val="auto"/>
          <w:szCs w:val="21"/>
          <w:highlight w:val="none"/>
        </w:rPr>
      </w:pPr>
      <w:r>
        <w:rPr>
          <w:rFonts w:hint="eastAsia"/>
          <w:color w:val="auto"/>
          <w:szCs w:val="21"/>
          <w:highlight w:val="none"/>
        </w:rPr>
        <w:t>1.2 评标将严格按照招标文件的要求和条件进行。</w:t>
      </w:r>
    </w:p>
    <w:p>
      <w:pPr>
        <w:adjustRightInd w:val="0"/>
        <w:snapToGrid w:val="0"/>
        <w:spacing w:line="560" w:lineRule="exact"/>
        <w:rPr>
          <w:color w:val="auto"/>
          <w:szCs w:val="21"/>
          <w:highlight w:val="none"/>
        </w:rPr>
      </w:pPr>
      <w:r>
        <w:rPr>
          <w:rFonts w:hint="eastAsia"/>
          <w:color w:val="auto"/>
          <w:szCs w:val="21"/>
          <w:highlight w:val="none"/>
        </w:rPr>
        <w:t>1.3 本次评标采用综合评分法。</w:t>
      </w:r>
    </w:p>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57" w:name="_Toc23631"/>
      <w:bookmarkStart w:id="258" w:name="_Toc13195"/>
      <w:bookmarkStart w:id="259" w:name="_Toc454147539"/>
      <w:bookmarkStart w:id="260" w:name="_Toc465502580"/>
      <w:bookmarkStart w:id="261" w:name="_Toc15449"/>
      <w:bookmarkStart w:id="262" w:name="_Toc466017208"/>
      <w:bookmarkStart w:id="263" w:name="_Toc7951"/>
      <w:r>
        <w:rPr>
          <w:rFonts w:hint="eastAsia" w:ascii="宋体" w:hAnsi="宋体" w:cs="仿宋_GB2312"/>
          <w:b/>
          <w:color w:val="auto"/>
          <w:sz w:val="28"/>
          <w:szCs w:val="28"/>
          <w:highlight w:val="none"/>
        </w:rPr>
        <w:t>评审标准</w:t>
      </w:r>
      <w:bookmarkEnd w:id="257"/>
      <w:bookmarkEnd w:id="258"/>
      <w:bookmarkEnd w:id="259"/>
      <w:bookmarkEnd w:id="260"/>
      <w:bookmarkEnd w:id="261"/>
      <w:bookmarkEnd w:id="262"/>
      <w:bookmarkEnd w:id="263"/>
    </w:p>
    <w:p>
      <w:pPr>
        <w:adjustRightInd w:val="0"/>
        <w:snapToGrid w:val="0"/>
        <w:spacing w:line="560" w:lineRule="exact"/>
        <w:rPr>
          <w:color w:val="auto"/>
          <w:szCs w:val="21"/>
          <w:highlight w:val="none"/>
        </w:rPr>
      </w:pPr>
      <w:r>
        <w:rPr>
          <w:rFonts w:hint="eastAsia"/>
          <w:color w:val="auto"/>
          <w:szCs w:val="21"/>
          <w:highlight w:val="none"/>
        </w:rPr>
        <w:t>2.1 资格评审标准：详见《评分办法前附表》中资格评审标准。</w:t>
      </w:r>
    </w:p>
    <w:p>
      <w:pPr>
        <w:adjustRightInd w:val="0"/>
        <w:snapToGrid w:val="0"/>
        <w:spacing w:line="560" w:lineRule="exact"/>
        <w:rPr>
          <w:color w:val="auto"/>
          <w:szCs w:val="21"/>
          <w:highlight w:val="none"/>
        </w:rPr>
      </w:pPr>
      <w:r>
        <w:rPr>
          <w:rFonts w:hint="eastAsia"/>
          <w:color w:val="auto"/>
          <w:szCs w:val="21"/>
          <w:highlight w:val="none"/>
        </w:rPr>
        <w:t>2.2 评分标准：详见《评分办法前附表》报价部分、技术部分、商务部分评审因素。</w:t>
      </w:r>
    </w:p>
    <w:p>
      <w:pPr>
        <w:numPr>
          <w:ilvl w:val="0"/>
          <w:numId w:val="9"/>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64" w:name="_Toc29737"/>
      <w:bookmarkStart w:id="265" w:name="_Toc19609"/>
      <w:bookmarkStart w:id="266" w:name="_Toc11065"/>
      <w:r>
        <w:rPr>
          <w:rFonts w:hint="eastAsia" w:ascii="宋体" w:hAnsi="宋体" w:cs="仿宋_GB2312"/>
          <w:b/>
          <w:color w:val="auto"/>
          <w:sz w:val="28"/>
          <w:szCs w:val="28"/>
          <w:highlight w:val="none"/>
        </w:rPr>
        <w:t>评标程序</w:t>
      </w:r>
      <w:bookmarkEnd w:id="264"/>
      <w:bookmarkEnd w:id="265"/>
      <w:bookmarkEnd w:id="266"/>
    </w:p>
    <w:p>
      <w:pPr>
        <w:adjustRightInd w:val="0"/>
        <w:snapToGrid w:val="0"/>
        <w:spacing w:line="560" w:lineRule="exact"/>
        <w:rPr>
          <w:b/>
          <w:bCs/>
          <w:color w:val="auto"/>
          <w:sz w:val="24"/>
          <w:highlight w:val="none"/>
        </w:rPr>
      </w:pPr>
      <w:r>
        <w:rPr>
          <w:rFonts w:hint="eastAsia"/>
          <w:b/>
          <w:bCs/>
          <w:color w:val="auto"/>
          <w:sz w:val="24"/>
          <w:highlight w:val="none"/>
        </w:rPr>
        <w:t>3.1初步评审</w:t>
      </w:r>
    </w:p>
    <w:p>
      <w:pPr>
        <w:adjustRightInd w:val="0"/>
        <w:snapToGrid w:val="0"/>
        <w:spacing w:line="560" w:lineRule="exact"/>
        <w:rPr>
          <w:color w:val="auto"/>
          <w:highlight w:val="none"/>
          <w:lang w:val="zh-CN"/>
        </w:rPr>
      </w:pPr>
      <w:r>
        <w:rPr>
          <w:rFonts w:hint="eastAsia" w:ascii="Times New Roman" w:hAnsi="Times New Roman"/>
          <w:color w:val="auto"/>
          <w:szCs w:val="21"/>
          <w:highlight w:val="none"/>
        </w:rPr>
        <w:t xml:space="preserve">3.11 </w:t>
      </w:r>
      <w:r>
        <w:rPr>
          <w:rFonts w:hint="eastAsia" w:ascii="Times New Roman" w:hAnsi="Times New Roman"/>
          <w:color w:val="auto"/>
          <w:szCs w:val="21"/>
          <w:highlight w:val="none"/>
          <w:lang w:val="zh-CN"/>
        </w:rPr>
        <w:t>采购人或代理机构可以要求投标人提交第二章“投标人须知”规定的有关证明。采购人或代理机构依据本章第2.1款规定的标准对投标文件进行资格评审。有一项</w:t>
      </w:r>
      <w:r>
        <w:rPr>
          <w:rFonts w:hint="eastAsia"/>
          <w:color w:val="auto"/>
          <w:highlight w:val="none"/>
          <w:lang w:val="zh-CN"/>
        </w:rPr>
        <w:t>不符合资格评审标准的，作无效投标处理。</w:t>
      </w:r>
    </w:p>
    <w:p>
      <w:pPr>
        <w:adjustRightInd w:val="0"/>
        <w:snapToGrid w:val="0"/>
        <w:spacing w:line="560" w:lineRule="exact"/>
        <w:rPr>
          <w:color w:val="auto"/>
          <w:highlight w:val="none"/>
          <w:lang w:val="zh-CN"/>
        </w:rPr>
      </w:pPr>
      <w:r>
        <w:rPr>
          <w:rFonts w:hint="eastAsia"/>
          <w:color w:val="auto"/>
          <w:highlight w:val="none"/>
        </w:rPr>
        <w:t xml:space="preserve">3.12 </w:t>
      </w:r>
      <w:r>
        <w:rPr>
          <w:rFonts w:hint="eastAsia"/>
          <w:color w:val="auto"/>
          <w:highlight w:val="none"/>
          <w:lang w:val="zh-CN"/>
        </w:rPr>
        <w:t>投标文件属下列情况之一的，应当在资格性、符合性检查时按照无效投标处理：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未按照招标文件规定要求签署、盖章的；</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不具备招标文件中规定资格要求的；</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不符合法律、法规和招标文件中规定的其他实质性要求的。</w:t>
      </w:r>
    </w:p>
    <w:p>
      <w:pPr>
        <w:adjustRightInd w:val="0"/>
        <w:snapToGrid w:val="0"/>
        <w:spacing w:line="560" w:lineRule="exact"/>
        <w:rPr>
          <w:color w:val="auto"/>
          <w:highlight w:val="none"/>
          <w:lang w:val="zh-CN"/>
        </w:rPr>
      </w:pPr>
      <w:r>
        <w:rPr>
          <w:rFonts w:hint="eastAsia"/>
          <w:color w:val="auto"/>
          <w:highlight w:val="none"/>
        </w:rPr>
        <w:t xml:space="preserve">3.13 </w:t>
      </w:r>
      <w:r>
        <w:rPr>
          <w:rFonts w:hint="eastAsia"/>
          <w:color w:val="auto"/>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11"/>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投标文件中的大写金额与小写金额不一致的，以大写金额为准；</w:t>
      </w:r>
    </w:p>
    <w:p>
      <w:pPr>
        <w:numPr>
          <w:ilvl w:val="0"/>
          <w:numId w:val="11"/>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投标文件中开标一览表内容与投标文件中明细表内容不一致的，以开标一览表为准。</w:t>
      </w:r>
    </w:p>
    <w:p>
      <w:pPr>
        <w:adjustRightInd w:val="0"/>
        <w:snapToGrid w:val="0"/>
        <w:spacing w:line="560" w:lineRule="exact"/>
        <w:rPr>
          <w:b/>
          <w:bCs/>
          <w:color w:val="auto"/>
          <w:sz w:val="24"/>
          <w:highlight w:val="none"/>
        </w:rPr>
      </w:pPr>
      <w:r>
        <w:rPr>
          <w:rFonts w:hint="eastAsia"/>
          <w:b/>
          <w:bCs/>
          <w:color w:val="auto"/>
          <w:sz w:val="24"/>
          <w:highlight w:val="none"/>
        </w:rPr>
        <w:t>3.2 详细评审</w:t>
      </w:r>
    </w:p>
    <w:p>
      <w:pPr>
        <w:adjustRightInd w:val="0"/>
        <w:snapToGrid w:val="0"/>
        <w:spacing w:line="560" w:lineRule="exact"/>
        <w:rPr>
          <w:color w:val="auto"/>
          <w:highlight w:val="none"/>
          <w:lang w:val="zh-CN"/>
        </w:rPr>
      </w:pPr>
      <w:r>
        <w:rPr>
          <w:rFonts w:hint="eastAsia"/>
          <w:color w:val="auto"/>
          <w:highlight w:val="none"/>
        </w:rPr>
        <w:t xml:space="preserve">3.2.1 </w:t>
      </w:r>
      <w:r>
        <w:rPr>
          <w:rFonts w:hint="eastAsia"/>
          <w:color w:val="auto"/>
          <w:highlight w:val="none"/>
          <w:lang w:val="zh-CN"/>
        </w:rPr>
        <w:t>评标委员会按本章</w:t>
      </w:r>
      <w:r>
        <w:rPr>
          <w:rFonts w:hint="eastAsia"/>
          <w:color w:val="auto"/>
          <w:highlight w:val="none"/>
          <w:lang w:val="en-US" w:eastAsia="zh-CN"/>
        </w:rPr>
        <w:t>的</w:t>
      </w:r>
      <w:r>
        <w:rPr>
          <w:rFonts w:hint="eastAsia"/>
          <w:color w:val="auto"/>
          <w:highlight w:val="none"/>
          <w:lang w:val="zh-CN"/>
        </w:rPr>
        <w:t>评分标准进行打分，并计算出综合评审得分。</w:t>
      </w:r>
    </w:p>
    <w:p>
      <w:pPr>
        <w:adjustRightInd w:val="0"/>
        <w:snapToGrid w:val="0"/>
        <w:spacing w:line="560" w:lineRule="exact"/>
        <w:rPr>
          <w:color w:val="auto"/>
          <w:highlight w:val="none"/>
          <w:lang w:val="zh-CN"/>
        </w:rPr>
      </w:pPr>
      <w:r>
        <w:rPr>
          <w:rFonts w:hint="eastAsia"/>
          <w:color w:val="auto"/>
          <w:highlight w:val="none"/>
        </w:rPr>
        <w:t xml:space="preserve">3.2.2 </w:t>
      </w:r>
      <w:r>
        <w:rPr>
          <w:rFonts w:hint="eastAsia"/>
          <w:color w:val="auto"/>
          <w:highlight w:val="none"/>
          <w:lang w:val="zh-CN"/>
        </w:rPr>
        <w:t>评标委员会发现投标人的投标总报价</w:t>
      </w:r>
      <w:r>
        <w:rPr>
          <w:rFonts w:hint="eastAsia"/>
          <w:color w:val="auto"/>
          <w:highlight w:val="none"/>
        </w:rPr>
        <w:t>高</w:t>
      </w:r>
      <w:r>
        <w:rPr>
          <w:rFonts w:hint="eastAsia"/>
          <w:color w:val="auto"/>
          <w:highlight w:val="none"/>
          <w:lang w:val="zh-CN"/>
        </w:rPr>
        <w:t>于</w:t>
      </w:r>
      <w:r>
        <w:rPr>
          <w:rFonts w:hint="eastAsia"/>
          <w:color w:val="auto"/>
          <w:highlight w:val="none"/>
        </w:rPr>
        <w:t>招标文件规定的控制价</w:t>
      </w:r>
      <w:r>
        <w:rPr>
          <w:rFonts w:hint="eastAsia"/>
          <w:color w:val="auto"/>
          <w:highlight w:val="none"/>
          <w:lang w:val="zh-CN"/>
        </w:rPr>
        <w:t>，评标委员会应按无效投标处理。</w:t>
      </w:r>
    </w:p>
    <w:p>
      <w:pPr>
        <w:adjustRightInd w:val="0"/>
        <w:snapToGrid w:val="0"/>
        <w:spacing w:line="560" w:lineRule="exact"/>
        <w:rPr>
          <w:b/>
          <w:bCs/>
          <w:color w:val="auto"/>
          <w:sz w:val="24"/>
          <w:highlight w:val="none"/>
        </w:rPr>
      </w:pPr>
      <w:r>
        <w:rPr>
          <w:rFonts w:hint="eastAsia"/>
          <w:b/>
          <w:bCs/>
          <w:color w:val="auto"/>
          <w:sz w:val="24"/>
          <w:highlight w:val="none"/>
        </w:rPr>
        <w:t>3.3 投标文件的澄清和补正</w:t>
      </w:r>
    </w:p>
    <w:p>
      <w:pPr>
        <w:adjustRightInd w:val="0"/>
        <w:snapToGrid w:val="0"/>
        <w:spacing w:line="560" w:lineRule="exact"/>
        <w:rPr>
          <w:color w:val="auto"/>
          <w:highlight w:val="none"/>
          <w:lang w:val="zh-CN"/>
        </w:rPr>
      </w:pPr>
      <w:r>
        <w:rPr>
          <w:rFonts w:hint="eastAsia"/>
          <w:color w:val="auto"/>
          <w:highlight w:val="none"/>
        </w:rPr>
        <w:t xml:space="preserve">3.3.1 </w:t>
      </w:r>
      <w:r>
        <w:rPr>
          <w:rFonts w:hint="eastAsia"/>
          <w:color w:val="auto"/>
          <w:highlight w:val="none"/>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color w:val="auto"/>
          <w:highlight w:val="none"/>
          <w:lang w:val="zh-CN"/>
        </w:rPr>
      </w:pPr>
      <w:r>
        <w:rPr>
          <w:rFonts w:hint="eastAsia"/>
          <w:color w:val="auto"/>
          <w:highlight w:val="none"/>
        </w:rPr>
        <w:t xml:space="preserve">3.3.2 </w:t>
      </w:r>
      <w:r>
        <w:rPr>
          <w:rFonts w:hint="eastAsia"/>
          <w:color w:val="auto"/>
          <w:highlight w:val="none"/>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color w:val="auto"/>
          <w:sz w:val="24"/>
          <w:highlight w:val="none"/>
        </w:rPr>
      </w:pPr>
      <w:r>
        <w:rPr>
          <w:rFonts w:hint="eastAsia"/>
          <w:b/>
          <w:bCs/>
          <w:color w:val="auto"/>
          <w:sz w:val="24"/>
          <w:highlight w:val="none"/>
        </w:rPr>
        <w:t>3.4 评标结果</w:t>
      </w:r>
    </w:p>
    <w:p>
      <w:pPr>
        <w:adjustRightInd w:val="0"/>
        <w:snapToGrid w:val="0"/>
        <w:spacing w:line="560" w:lineRule="exact"/>
        <w:rPr>
          <w:rFonts w:hint="eastAsia" w:eastAsia="宋体"/>
          <w:color w:val="auto"/>
          <w:highlight w:val="red"/>
          <w:lang w:val="en-US" w:eastAsia="zh-CN"/>
        </w:rPr>
      </w:pPr>
      <w:r>
        <w:rPr>
          <w:rFonts w:hint="eastAsia"/>
          <w:color w:val="auto"/>
          <w:highlight w:val="none"/>
        </w:rPr>
        <w:t xml:space="preserve">3.4.1 </w:t>
      </w:r>
      <w:r>
        <w:rPr>
          <w:rFonts w:hint="eastAsia"/>
          <w:color w:val="auto"/>
          <w:highlight w:val="none"/>
          <w:lang w:val="zh-CN"/>
        </w:rPr>
        <w:t>投标人得分=投标报价得分+</w:t>
      </w:r>
      <w:r>
        <w:rPr>
          <w:rFonts w:hint="eastAsia"/>
          <w:color w:val="auto"/>
          <w:highlight w:val="none"/>
        </w:rPr>
        <w:t>技术部分得分</w:t>
      </w:r>
      <w:r>
        <w:rPr>
          <w:rFonts w:hint="eastAsia"/>
          <w:color w:val="auto"/>
          <w:highlight w:val="none"/>
          <w:lang w:val="zh-CN"/>
        </w:rPr>
        <w:t>+</w:t>
      </w:r>
      <w:r>
        <w:rPr>
          <w:rFonts w:hint="eastAsia"/>
          <w:color w:val="auto"/>
          <w:highlight w:val="none"/>
          <w:lang w:eastAsia="zh-CN"/>
        </w:rPr>
        <w:t>综合</w:t>
      </w:r>
      <w:r>
        <w:rPr>
          <w:rFonts w:hint="eastAsia"/>
          <w:color w:val="auto"/>
          <w:highlight w:val="none"/>
        </w:rPr>
        <w:t>部分得分</w:t>
      </w:r>
    </w:p>
    <w:p>
      <w:pPr>
        <w:adjustRightInd w:val="0"/>
        <w:snapToGrid w:val="0"/>
        <w:spacing w:line="560" w:lineRule="exact"/>
        <w:rPr>
          <w:color w:val="auto"/>
          <w:highlight w:val="none"/>
          <w:lang w:val="zh-CN"/>
        </w:rPr>
      </w:pPr>
      <w:r>
        <w:rPr>
          <w:rFonts w:hint="eastAsia"/>
          <w:color w:val="auto"/>
          <w:highlight w:val="none"/>
        </w:rPr>
        <w:t>3.4.2</w:t>
      </w:r>
      <w:r>
        <w:rPr>
          <w:rFonts w:hint="eastAsia"/>
          <w:color w:val="auto"/>
          <w:highlight w:val="none"/>
          <w:lang w:val="zh-CN"/>
        </w:rPr>
        <w:t>投标人最终得分为评标委员会完成评审后所有评分的算术平均值，作为该投标人最终得分。</w:t>
      </w:r>
    </w:p>
    <w:p>
      <w:pPr>
        <w:adjustRightInd w:val="0"/>
        <w:snapToGrid w:val="0"/>
        <w:spacing w:line="560" w:lineRule="exact"/>
        <w:rPr>
          <w:color w:val="auto"/>
          <w:highlight w:val="none"/>
          <w:lang w:val="zh-CN"/>
        </w:rPr>
      </w:pPr>
      <w:r>
        <w:rPr>
          <w:rFonts w:hint="eastAsia"/>
          <w:color w:val="auto"/>
          <w:highlight w:val="none"/>
        </w:rPr>
        <w:t xml:space="preserve">3.4.3 </w:t>
      </w:r>
      <w:r>
        <w:rPr>
          <w:rFonts w:hint="eastAsia"/>
          <w:color w:val="auto"/>
          <w:highlight w:val="none"/>
          <w:lang w:val="zh-CN"/>
        </w:rPr>
        <w:t>投标人最终得分相同的，投标报价</w:t>
      </w:r>
      <w:r>
        <w:rPr>
          <w:rFonts w:hint="eastAsia"/>
          <w:color w:val="auto"/>
          <w:highlight w:val="none"/>
        </w:rPr>
        <w:t>低</w:t>
      </w:r>
      <w:r>
        <w:rPr>
          <w:rFonts w:hint="eastAsia"/>
          <w:color w:val="auto"/>
          <w:highlight w:val="none"/>
          <w:lang w:val="zh-CN"/>
        </w:rPr>
        <w:t>的优先，</w:t>
      </w:r>
      <w:r>
        <w:rPr>
          <w:rFonts w:hint="eastAsia"/>
          <w:color w:val="auto"/>
          <w:highlight w:val="none"/>
        </w:rPr>
        <w:t>投标报价也相同的以技术得分高的优先，技术得分也相同的由采购人自行确定</w:t>
      </w:r>
      <w:r>
        <w:rPr>
          <w:rFonts w:hint="eastAsia"/>
          <w:color w:val="auto"/>
          <w:highlight w:val="none"/>
          <w:lang w:val="zh-CN"/>
        </w:rPr>
        <w:t>。</w:t>
      </w:r>
    </w:p>
    <w:p>
      <w:pPr>
        <w:adjustRightInd w:val="0"/>
        <w:snapToGrid w:val="0"/>
        <w:spacing w:line="560" w:lineRule="exact"/>
        <w:rPr>
          <w:color w:val="auto"/>
          <w:highlight w:val="none"/>
          <w:lang w:val="zh-CN"/>
        </w:rPr>
      </w:pPr>
      <w:r>
        <w:rPr>
          <w:rFonts w:hint="eastAsia"/>
          <w:color w:val="auto"/>
          <w:highlight w:val="none"/>
        </w:rPr>
        <w:t xml:space="preserve">3.4.4 </w:t>
      </w:r>
      <w:r>
        <w:rPr>
          <w:rFonts w:hint="eastAsia"/>
          <w:color w:val="auto"/>
          <w:highlight w:val="none"/>
          <w:lang w:val="zh-CN"/>
        </w:rPr>
        <w:t>计分过程中按四舍五入的法则，最终结果取至小数点后两位。</w:t>
      </w:r>
    </w:p>
    <w:p>
      <w:pPr>
        <w:adjustRightInd w:val="0"/>
        <w:snapToGrid w:val="0"/>
        <w:spacing w:line="560" w:lineRule="exact"/>
        <w:rPr>
          <w:color w:val="auto"/>
          <w:highlight w:val="none"/>
          <w:lang w:val="zh-CN"/>
        </w:rPr>
      </w:pPr>
      <w:r>
        <w:rPr>
          <w:rFonts w:hint="eastAsia"/>
          <w:color w:val="auto"/>
          <w:highlight w:val="none"/>
        </w:rPr>
        <w:t xml:space="preserve">3.4.5 </w:t>
      </w:r>
      <w:r>
        <w:rPr>
          <w:rFonts w:hint="eastAsia"/>
          <w:color w:val="auto"/>
          <w:highlight w:val="none"/>
          <w:lang w:val="zh-CN"/>
        </w:rPr>
        <w:t>评标委员会按照得分由高到低的顺序推荐</w:t>
      </w:r>
      <w:r>
        <w:rPr>
          <w:rFonts w:hint="eastAsia"/>
          <w:color w:val="auto"/>
          <w:highlight w:val="none"/>
        </w:rPr>
        <w:t>1-3名</w:t>
      </w:r>
      <w:r>
        <w:rPr>
          <w:rFonts w:hint="eastAsia"/>
          <w:color w:val="auto"/>
          <w:highlight w:val="none"/>
          <w:lang w:val="zh-CN"/>
        </w:rPr>
        <w:t>中标候选人。</w:t>
      </w:r>
    </w:p>
    <w:p>
      <w:pPr>
        <w:adjustRightInd w:val="0"/>
        <w:snapToGrid w:val="0"/>
        <w:spacing w:line="560" w:lineRule="exact"/>
        <w:rPr>
          <w:color w:val="auto"/>
          <w:highlight w:val="none"/>
          <w:lang w:val="zh-CN"/>
        </w:rPr>
      </w:pPr>
      <w:r>
        <w:rPr>
          <w:rFonts w:hint="eastAsia"/>
          <w:color w:val="auto"/>
          <w:highlight w:val="none"/>
        </w:rPr>
        <w:t xml:space="preserve">3.4.6 </w:t>
      </w:r>
      <w:r>
        <w:rPr>
          <w:rFonts w:hint="eastAsia"/>
          <w:color w:val="auto"/>
          <w:highlight w:val="none"/>
          <w:lang w:val="zh-CN"/>
        </w:rPr>
        <w:t>评标委员会完成评标后，应当向采购人提交书面评标报告。</w:t>
      </w:r>
    </w:p>
    <w:p>
      <w:pPr>
        <w:adjustRightInd w:val="0"/>
        <w:snapToGrid w:val="0"/>
        <w:spacing w:line="560" w:lineRule="exact"/>
        <w:rPr>
          <w:b/>
          <w:bCs/>
          <w:color w:val="auto"/>
          <w:sz w:val="24"/>
          <w:highlight w:val="none"/>
          <w:lang w:val="zh-CN"/>
        </w:rPr>
      </w:pPr>
      <w:r>
        <w:rPr>
          <w:rFonts w:hint="eastAsia"/>
          <w:b/>
          <w:bCs/>
          <w:color w:val="auto"/>
          <w:sz w:val="24"/>
          <w:highlight w:val="none"/>
        </w:rPr>
        <w:t xml:space="preserve">3.5 </w:t>
      </w:r>
      <w:r>
        <w:rPr>
          <w:rFonts w:hint="eastAsia"/>
          <w:b/>
          <w:bCs/>
          <w:color w:val="auto"/>
          <w:sz w:val="24"/>
          <w:highlight w:val="none"/>
          <w:lang w:val="zh-CN"/>
        </w:rPr>
        <w:t>顺延中标人或重新招标</w:t>
      </w:r>
    </w:p>
    <w:p>
      <w:pPr>
        <w:adjustRightInd w:val="0"/>
        <w:snapToGrid w:val="0"/>
        <w:spacing w:line="560" w:lineRule="exact"/>
        <w:rPr>
          <w:color w:val="auto"/>
          <w:highlight w:val="none"/>
          <w:lang w:val="zh-CN"/>
        </w:rPr>
      </w:pPr>
      <w:r>
        <w:rPr>
          <w:rFonts w:hint="eastAsia"/>
          <w:color w:val="auto"/>
          <w:highlight w:val="none"/>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color w:val="auto"/>
          <w:sz w:val="24"/>
          <w:highlight w:val="none"/>
        </w:rPr>
      </w:pPr>
      <w:bookmarkStart w:id="267" w:name="_Toc19590"/>
      <w:bookmarkStart w:id="268" w:name="_Toc17922"/>
      <w:bookmarkStart w:id="269" w:name="_Toc16293"/>
      <w:bookmarkStart w:id="270" w:name="_Toc28863"/>
      <w:bookmarkStart w:id="271" w:name="_Toc7468"/>
      <w:bookmarkStart w:id="272" w:name="_Toc11630"/>
      <w:bookmarkStart w:id="273" w:name="_Toc54"/>
      <w:r>
        <w:rPr>
          <w:rFonts w:hint="eastAsia"/>
          <w:b/>
          <w:bCs/>
          <w:color w:val="auto"/>
          <w:sz w:val="24"/>
          <w:highlight w:val="none"/>
        </w:rPr>
        <w:t>3.6 保密及其他注意事项</w:t>
      </w:r>
      <w:bookmarkEnd w:id="267"/>
      <w:bookmarkEnd w:id="268"/>
      <w:bookmarkEnd w:id="269"/>
      <w:bookmarkEnd w:id="270"/>
      <w:bookmarkEnd w:id="271"/>
      <w:bookmarkEnd w:id="272"/>
      <w:bookmarkEnd w:id="273"/>
    </w:p>
    <w:p>
      <w:pPr>
        <w:adjustRightInd w:val="0"/>
        <w:snapToGrid w:val="0"/>
        <w:spacing w:line="560" w:lineRule="exact"/>
        <w:rPr>
          <w:color w:val="auto"/>
          <w:highlight w:val="none"/>
          <w:lang w:val="zh-CN"/>
        </w:rPr>
      </w:pPr>
      <w:r>
        <w:rPr>
          <w:rFonts w:hint="eastAsia"/>
          <w:color w:val="auto"/>
          <w:highlight w:val="none"/>
        </w:rPr>
        <w:t xml:space="preserve">3.6.1 </w:t>
      </w:r>
      <w:r>
        <w:rPr>
          <w:rFonts w:hint="eastAsia"/>
          <w:color w:val="auto"/>
          <w:highlight w:val="none"/>
          <w:lang w:val="zh-CN"/>
        </w:rPr>
        <w:t>在评标期间，投标企业不得向评标委员会成员询问评标情况，不得进行旨在影响中标结果的活动。</w:t>
      </w:r>
    </w:p>
    <w:p>
      <w:pPr>
        <w:adjustRightInd w:val="0"/>
        <w:snapToGrid w:val="0"/>
        <w:spacing w:line="560" w:lineRule="exact"/>
        <w:rPr>
          <w:color w:val="auto"/>
          <w:highlight w:val="none"/>
          <w:lang w:val="zh-CN"/>
        </w:rPr>
      </w:pPr>
      <w:r>
        <w:rPr>
          <w:rFonts w:hint="eastAsia"/>
          <w:color w:val="auto"/>
          <w:highlight w:val="none"/>
        </w:rPr>
        <w:t xml:space="preserve">3.6.2 </w:t>
      </w:r>
      <w:r>
        <w:rPr>
          <w:rFonts w:hint="eastAsia"/>
          <w:color w:val="auto"/>
          <w:highlight w:val="none"/>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color w:val="auto"/>
          <w:sz w:val="44"/>
          <w:szCs w:val="44"/>
          <w:highlight w:val="none"/>
        </w:rPr>
      </w:pPr>
      <w:r>
        <w:rPr>
          <w:rFonts w:hint="eastAsia"/>
          <w:color w:val="auto"/>
          <w:highlight w:val="none"/>
        </w:rPr>
        <w:t>3.6.3</w:t>
      </w:r>
      <w:r>
        <w:rPr>
          <w:rFonts w:hint="eastAsia"/>
          <w:color w:val="auto"/>
          <w:highlight w:val="none"/>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6"/>
        <w:numPr>
          <w:ilvl w:val="0"/>
          <w:numId w:val="8"/>
        </w:numPr>
        <w:spacing w:line="600" w:lineRule="exact"/>
        <w:ind w:left="0" w:leftChars="0" w:right="-63" w:rightChars="-30" w:firstLine="0" w:firstLineChars="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74" w:name="_Toc15098"/>
      <w:r>
        <w:rPr>
          <w:rFonts w:hint="eastAsia" w:asciiTheme="minorEastAsia" w:hAnsiTheme="minorEastAsia" w:eastAsiaTheme="minorEastAsia" w:cstheme="minorEastAsia"/>
          <w:color w:val="auto"/>
          <w:sz w:val="36"/>
          <w:szCs w:val="36"/>
          <w:highlight w:val="none"/>
        </w:rPr>
        <w:t>合同条款及格式</w:t>
      </w:r>
      <w:bookmarkEnd w:id="247"/>
      <w:bookmarkEnd w:id="248"/>
      <w:bookmarkEnd w:id="249"/>
      <w:bookmarkEnd w:id="274"/>
    </w:p>
    <w:p>
      <w:pPr>
        <w:numPr>
          <w:ilvl w:val="0"/>
          <w:numId w:val="0"/>
        </w:numPr>
        <w:ind w:leftChars="0"/>
        <w:rPr>
          <w:rFonts w:hint="default" w:eastAsia="宋体"/>
          <w:color w:val="auto"/>
          <w:highlight w:val="none"/>
          <w:lang w:val="en-US" w:eastAsia="zh-CN"/>
        </w:rPr>
      </w:pPr>
      <w:r>
        <w:rPr>
          <w:rFonts w:hint="eastAsia"/>
          <w:color w:val="auto"/>
          <w:highlight w:val="none"/>
          <w:lang w:val="en-US" w:eastAsia="zh-CN"/>
        </w:rPr>
        <w:t xml:space="preserve">                             </w:t>
      </w:r>
      <w:r>
        <w:rPr>
          <w:rFonts w:hint="eastAsia"/>
          <w:color w:val="auto"/>
          <w:sz w:val="28"/>
          <w:szCs w:val="28"/>
          <w:highlight w:val="none"/>
          <w:lang w:val="en-US" w:eastAsia="zh-CN"/>
        </w:rPr>
        <w:t xml:space="preserve">    </w:t>
      </w:r>
      <w:r>
        <w:rPr>
          <w:rFonts w:hint="eastAsia"/>
          <w:b/>
          <w:bCs/>
          <w:color w:val="auto"/>
          <w:sz w:val="28"/>
          <w:szCs w:val="28"/>
          <w:highlight w:val="none"/>
          <w:lang w:val="en-US" w:eastAsia="zh-CN"/>
        </w:rPr>
        <w:t xml:space="preserve">  （仅供参考）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bookmarkStart w:id="275" w:name="_Toc12807"/>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甲方：（采购单位）</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乙方：（供应商 ）</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甲、乙双方持采购人、采购代理公司签发的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采购项目成交通知书，根据</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乙方提供的货物达到乙方响应文件及澄清中的技术标准。（售后服务要求按</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三、交货时间、地点、方式、验收：</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乙方应于</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 月 日前按甲方要求在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（甲方指定地点）将货物运送达到验收条件。货物运送产生的费用由乙方负责。由甲方组织相关人员进行验收。</w:t>
      </w:r>
    </w:p>
    <w:p>
      <w:pPr>
        <w:pageBreakBefore w:val="0"/>
        <w:numPr>
          <w:ilvl w:val="0"/>
          <w:numId w:val="12"/>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cs="宋体"/>
          <w:bCs/>
          <w:color w:val="auto"/>
          <w:highlight w:val="none"/>
          <w:lang w:val="en-US" w:eastAsia="zh-CN"/>
        </w:rPr>
        <w:t>供货安装完毕、验收合格后支付合同价的100%。</w:t>
      </w:r>
    </w:p>
    <w:p>
      <w:pPr>
        <w:pageBreakBefore w:val="0"/>
        <w:numPr>
          <w:ilvl w:val="0"/>
          <w:numId w:val="12"/>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若因中标人原因不能按期按质供货的，将扣除中标人2万元的违约金，同时每超过一天另扣除合同金额的千分之一。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十、合同生效及其它：</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本合同经甲、乙双方代表签字、加盖公章和骑缝章后生效。本合同一式五份，甲乙双方各持两份。</w:t>
      </w:r>
      <w:r>
        <w:rPr>
          <w:rFonts w:hint="eastAsia" w:asciiTheme="minorEastAsia" w:hAnsiTheme="minorEastAsia" w:eastAsiaTheme="minorEastAsia" w:cstheme="minorEastAsia"/>
          <w:color w:val="auto"/>
          <w:sz w:val="21"/>
          <w:szCs w:val="21"/>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甲方：</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地址：</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电话：</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开户银行：</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银行账号：</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签约时间：                     签约地点：</w:t>
      </w:r>
    </w:p>
    <w:p>
      <w:pPr>
        <w:pageBreakBefore w:val="0"/>
        <w:kinsoku/>
        <w:wordWrap/>
        <w:overflowPunct/>
        <w:topLinePunct w:val="0"/>
        <w:bidi w:val="0"/>
        <w:adjustRightInd w:val="0"/>
        <w:spacing w:beforeAutospacing="0" w:afterAutospacing="0" w:line="360" w:lineRule="auto"/>
        <w:ind w:firstLine="422" w:firstLineChars="200"/>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重要提示</w:t>
      </w:r>
      <w:r>
        <w:rPr>
          <w:rFonts w:hint="eastAsia" w:asciiTheme="minorEastAsia" w:hAnsiTheme="minorEastAsia" w:eastAsiaTheme="minorEastAsia" w:cstheme="minorEastAsia"/>
          <w:b/>
          <w:bCs/>
          <w:color w:val="auto"/>
          <w:sz w:val="21"/>
          <w:szCs w:val="21"/>
          <w:highlight w:val="none"/>
        </w:rPr>
        <w:t>：以上合同文本</w:t>
      </w:r>
      <w:r>
        <w:rPr>
          <w:rFonts w:hint="eastAsia" w:asciiTheme="minorEastAsia" w:hAnsiTheme="minorEastAsia" w:eastAsiaTheme="minorEastAsia" w:cstheme="minorEastAsia"/>
          <w:b/>
          <w:bCs/>
          <w:color w:val="auto"/>
          <w:sz w:val="21"/>
          <w:szCs w:val="21"/>
          <w:highlight w:val="none"/>
          <w:lang w:val="en-US" w:eastAsia="zh-CN"/>
        </w:rPr>
        <w:t>作为签订合同的重要依据，涉及付款方式、供应商名称等实质性内容不得变更。</w:t>
      </w: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asciiTheme="minorEastAsia" w:hAnsiTheme="minorEastAsia" w:eastAsiaTheme="minorEastAsia" w:cstheme="minorEastAsia"/>
          <w:b/>
          <w:bCs/>
          <w:color w:val="auto"/>
          <w:sz w:val="21"/>
          <w:szCs w:val="21"/>
          <w:highlight w:val="none"/>
        </w:rPr>
      </w:pPr>
    </w:p>
    <w:p>
      <w:pPr>
        <w:pStyle w:val="13"/>
        <w:jc w:val="center"/>
        <w:outlineLvl w:val="0"/>
        <w:rPr>
          <w:rFonts w:hint="eastAsia"/>
          <w:b/>
          <w:bCs/>
          <w:color w:val="auto"/>
          <w:sz w:val="32"/>
          <w:szCs w:val="32"/>
          <w:highlight w:val="none"/>
        </w:rPr>
      </w:pPr>
    </w:p>
    <w:p>
      <w:pPr>
        <w:pStyle w:val="13"/>
        <w:numPr>
          <w:ilvl w:val="0"/>
          <w:numId w:val="8"/>
        </w:numPr>
        <w:ind w:left="0" w:leftChars="0" w:firstLine="0" w:firstLineChars="0"/>
        <w:jc w:val="center"/>
        <w:outlineLvl w:val="0"/>
        <w:rPr>
          <w:rFonts w:hint="eastAsia"/>
          <w:b/>
          <w:bCs/>
          <w:color w:val="auto"/>
          <w:sz w:val="32"/>
          <w:szCs w:val="32"/>
          <w:highlight w:val="none"/>
          <w:lang w:val="en-US" w:eastAsia="zh-CN"/>
        </w:rPr>
      </w:pPr>
      <w:r>
        <w:rPr>
          <w:rFonts w:hint="eastAsia"/>
          <w:b/>
          <w:bCs/>
          <w:color w:val="auto"/>
          <w:sz w:val="32"/>
          <w:szCs w:val="32"/>
          <w:highlight w:val="none"/>
          <w:lang w:val="en-US" w:eastAsia="zh-CN"/>
        </w:rPr>
        <w:t xml:space="preserve">  </w:t>
      </w:r>
      <w:r>
        <w:rPr>
          <w:rFonts w:hint="eastAsia"/>
          <w:b/>
          <w:bCs/>
          <w:color w:val="auto"/>
          <w:sz w:val="32"/>
          <w:szCs w:val="32"/>
          <w:highlight w:val="none"/>
          <w:lang w:eastAsia="zh-CN"/>
        </w:rPr>
        <w:t>采购内容及技术要求</w:t>
      </w:r>
    </w:p>
    <w:p>
      <w:pPr>
        <w:pStyle w:val="35"/>
        <w:spacing w:line="440" w:lineRule="exact"/>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1、项目名称：博爱县公安局建设完善“防控圈”感知设备采购项目</w:t>
      </w:r>
    </w:p>
    <w:p>
      <w:pPr>
        <w:pStyle w:val="35"/>
        <w:spacing w:line="440" w:lineRule="exact"/>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2、采购内容：采购900W环保车辆人脸卡口抓拍单元、红外白光爆闪一体灯、卡口终端服务器、400万像素红外全景球机、800万黑光级双舱全结构化摄像机、云计算服务器、数据分析服务器等（详见下表）。</w:t>
      </w:r>
    </w:p>
    <w:bookmarkEnd w:id="275"/>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59"/>
        <w:gridCol w:w="7426"/>
        <w:gridCol w:w="428"/>
        <w:gridCol w:w="428"/>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7" w:type="dxa"/>
            <w:shd w:val="clear" w:color="auto" w:fill="auto"/>
            <w:vAlign w:val="center"/>
          </w:tcPr>
          <w:p>
            <w:pPr>
              <w:widowControl/>
              <w:jc w:val="center"/>
              <w:rPr>
                <w:rFonts w:hint="eastAsia" w:ascii="宋体" w:hAnsi="宋体" w:cs="宋体"/>
                <w:b/>
                <w:bCs/>
                <w:color w:val="000000"/>
                <w:kern w:val="0"/>
                <w:sz w:val="18"/>
                <w:szCs w:val="18"/>
              </w:rPr>
            </w:pPr>
            <w:bookmarkStart w:id="276" w:name="_Toc7906"/>
            <w:bookmarkStart w:id="277" w:name="_Toc426369533"/>
            <w:bookmarkStart w:id="278" w:name="_Toc403122572"/>
            <w:r>
              <w:rPr>
                <w:rFonts w:hint="eastAsia" w:ascii="宋体" w:hAnsi="宋体" w:cs="宋体"/>
                <w:b/>
                <w:bCs/>
                <w:color w:val="000000"/>
                <w:kern w:val="0"/>
                <w:sz w:val="18"/>
                <w:szCs w:val="18"/>
              </w:rPr>
              <w:t>序号</w:t>
            </w:r>
          </w:p>
        </w:tc>
        <w:tc>
          <w:tcPr>
            <w:tcW w:w="960" w:type="dxa"/>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0" w:type="auto"/>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技术参数要求</w:t>
            </w:r>
          </w:p>
        </w:tc>
        <w:tc>
          <w:tcPr>
            <w:tcW w:w="0" w:type="auto"/>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0" w:type="auto"/>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0" w:type="auto"/>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900W环保车辆人脸卡口抓拍单元</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内置LED补光灯，在晚间使用内置LED灯结合红外爆闪灯的情况下，仍得到全彩的图片； </w:t>
            </w:r>
            <w:r>
              <w:rPr>
                <w:rFonts w:hint="eastAsia" w:ascii="宋体" w:hAnsi="宋体" w:cs="宋体"/>
                <w:kern w:val="0"/>
                <w:sz w:val="18"/>
                <w:szCs w:val="18"/>
              </w:rPr>
              <w:br w:type="textWrapping"/>
            </w:r>
            <w:r>
              <w:rPr>
                <w:rFonts w:hint="eastAsia" w:ascii="宋体" w:hAnsi="宋体" w:cs="宋体"/>
                <w:kern w:val="0"/>
                <w:sz w:val="18"/>
                <w:szCs w:val="18"/>
                <w:highlight w:val="none"/>
              </w:rPr>
              <w:t>采用</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两个1英寸900万像素全局曝光CMOS智能高清摄像机，最大分辨率可达4096*2160，帧率</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25帧； </w:t>
            </w:r>
            <w:r>
              <w:rPr>
                <w:rFonts w:hint="eastAsia" w:ascii="宋体" w:hAnsi="宋体" w:cs="宋体"/>
                <w:kern w:val="0"/>
                <w:sz w:val="18"/>
                <w:szCs w:val="18"/>
                <w:highlight w:val="none"/>
              </w:rPr>
              <w:br w:type="textWrapping"/>
            </w:r>
            <w:r>
              <w:rPr>
                <w:rFonts w:hint="eastAsia" w:ascii="宋体" w:hAnsi="宋体" w:cs="宋体"/>
                <w:kern w:val="0"/>
                <w:sz w:val="18"/>
                <w:szCs w:val="18"/>
              </w:rPr>
              <w:t>支持白天用白光爆闪，晚上用内置灯加红外爆闪同步补光； </w:t>
            </w:r>
            <w:r>
              <w:rPr>
                <w:rFonts w:hint="eastAsia" w:ascii="宋体" w:hAnsi="宋体" w:cs="宋体"/>
                <w:kern w:val="0"/>
                <w:sz w:val="18"/>
                <w:szCs w:val="18"/>
              </w:rPr>
              <w:br w:type="textWrapping"/>
            </w:r>
            <w:r>
              <w:rPr>
                <w:rFonts w:hint="eastAsia" w:ascii="宋体" w:hAnsi="宋体" w:cs="宋体"/>
                <w:kern w:val="0"/>
                <w:sz w:val="18"/>
                <w:szCs w:val="18"/>
              </w:rPr>
              <w:t>抓拍图片可看清前排司乘人员人脸，并可用于后端人脸比对； </w:t>
            </w:r>
            <w:r>
              <w:rPr>
                <w:rFonts w:hint="eastAsia" w:ascii="宋体" w:hAnsi="宋体" w:cs="宋体"/>
                <w:kern w:val="0"/>
                <w:sz w:val="18"/>
                <w:szCs w:val="18"/>
              </w:rPr>
              <w:br w:type="textWrapping"/>
            </w:r>
            <w:r>
              <w:rPr>
                <w:rFonts w:hint="eastAsia" w:ascii="宋体" w:hAnsi="宋体" w:cs="宋体"/>
                <w:kern w:val="0"/>
                <w:sz w:val="18"/>
                <w:szCs w:val="18"/>
              </w:rPr>
              <w:t>支持视频触发模式； </w:t>
            </w:r>
            <w:r>
              <w:rPr>
                <w:rFonts w:hint="eastAsia" w:ascii="宋体" w:hAnsi="宋体" w:cs="宋体"/>
                <w:kern w:val="0"/>
                <w:sz w:val="18"/>
                <w:szCs w:val="18"/>
              </w:rPr>
              <w:br w:type="textWrapping"/>
            </w:r>
            <w:r>
              <w:rPr>
                <w:rFonts w:hint="eastAsia" w:ascii="宋体" w:hAnsi="宋体" w:cs="宋体"/>
                <w:kern w:val="0"/>
                <w:sz w:val="18"/>
                <w:szCs w:val="18"/>
              </w:rPr>
              <w:t>支持车牌、车型、车身颜色、车辆主品牌及子品牌、挂坠、安全带、遮阳板等信息识别； </w:t>
            </w:r>
            <w:r>
              <w:rPr>
                <w:rFonts w:hint="eastAsia" w:ascii="宋体" w:hAnsi="宋体" w:cs="宋体"/>
                <w:kern w:val="0"/>
                <w:sz w:val="18"/>
                <w:szCs w:val="18"/>
              </w:rPr>
              <w:br w:type="textWrapping"/>
            </w:r>
            <w:r>
              <w:rPr>
                <w:rFonts w:hint="eastAsia" w:ascii="宋体" w:hAnsi="宋体" w:cs="宋体"/>
                <w:kern w:val="0"/>
                <w:sz w:val="18"/>
                <w:szCs w:val="18"/>
              </w:rPr>
              <w:t>支持多种车牌种类识别：民用车牌，警用车牌，2012式新军用车牌，2012式武警车牌，新能源车牌； </w:t>
            </w:r>
            <w:r>
              <w:rPr>
                <w:rFonts w:hint="eastAsia" w:ascii="宋体" w:hAnsi="宋体" w:cs="宋体"/>
                <w:kern w:val="0"/>
                <w:sz w:val="18"/>
                <w:szCs w:val="18"/>
              </w:rPr>
              <w:br w:type="textWrapping"/>
            </w:r>
            <w:r>
              <w:rPr>
                <w:rFonts w:hint="eastAsia" w:ascii="宋体" w:hAnsi="宋体" w:cs="宋体"/>
                <w:kern w:val="0"/>
                <w:sz w:val="18"/>
                <w:szCs w:val="18"/>
              </w:rPr>
              <w:t>支持多种常见颜色（白、灰、黄、红、紫、绿、蓝、棕、黑）识别； </w:t>
            </w:r>
            <w:r>
              <w:rPr>
                <w:rFonts w:hint="eastAsia" w:ascii="宋体" w:hAnsi="宋体" w:cs="宋体"/>
                <w:kern w:val="0"/>
                <w:sz w:val="18"/>
                <w:szCs w:val="18"/>
              </w:rPr>
              <w:br w:type="textWrapping"/>
            </w:r>
            <w:r>
              <w:rPr>
                <w:rFonts w:hint="eastAsia" w:ascii="宋体" w:hAnsi="宋体" w:cs="宋体"/>
                <w:kern w:val="0"/>
                <w:sz w:val="18"/>
                <w:szCs w:val="18"/>
              </w:rPr>
              <w:t>支持多种车型识别：大客车、中型客车、大货车、小货车、面包车、小轿车及SUV； </w:t>
            </w:r>
            <w:r>
              <w:rPr>
                <w:rFonts w:hint="eastAsia" w:ascii="宋体" w:hAnsi="宋体" w:cs="宋体"/>
                <w:kern w:val="0"/>
                <w:sz w:val="18"/>
                <w:szCs w:val="18"/>
              </w:rPr>
              <w:br w:type="textWrapping"/>
            </w:r>
            <w:r>
              <w:rPr>
                <w:rFonts w:hint="eastAsia" w:ascii="宋体" w:hAnsi="宋体" w:cs="宋体"/>
                <w:kern w:val="0"/>
                <w:sz w:val="18"/>
                <w:szCs w:val="18"/>
              </w:rPr>
              <w:t>传感器类型：1英寸全局曝光CMOS（*2） </w:t>
            </w:r>
            <w:r>
              <w:rPr>
                <w:rFonts w:hint="eastAsia" w:ascii="宋体" w:hAnsi="宋体" w:cs="宋体"/>
                <w:kern w:val="0"/>
                <w:sz w:val="18"/>
                <w:szCs w:val="18"/>
              </w:rPr>
              <w:br w:type="textWrapping"/>
            </w:r>
            <w:r>
              <w:rPr>
                <w:rFonts w:hint="eastAsia" w:ascii="宋体" w:hAnsi="宋体" w:cs="宋体"/>
                <w:kern w:val="0"/>
                <w:sz w:val="18"/>
                <w:szCs w:val="18"/>
              </w:rPr>
              <w:t>智能识别：目标检测：机动车抓拍，非机动抓拍，行人抓拍；</w:t>
            </w:r>
            <w:r>
              <w:rPr>
                <w:rFonts w:hint="eastAsia" w:ascii="宋体" w:hAnsi="宋体" w:cs="宋体"/>
                <w:kern w:val="0"/>
                <w:sz w:val="18"/>
                <w:szCs w:val="18"/>
              </w:rPr>
              <w:br w:type="textWrapping"/>
            </w:r>
            <w:r>
              <w:rPr>
                <w:rFonts w:hint="eastAsia" w:ascii="宋体" w:hAnsi="宋体" w:cs="宋体"/>
                <w:kern w:val="0"/>
                <w:sz w:val="18"/>
                <w:szCs w:val="18"/>
              </w:rPr>
              <w:t>视频分辨率：4096(H)×2160(V)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14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红外白光爆闪一体灯</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highlight w:val="none"/>
              </w:rPr>
              <w:t>采用</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24颗原装高亮度LED芯片 </w:t>
            </w:r>
            <w:r>
              <w:rPr>
                <w:rFonts w:hint="eastAsia" w:ascii="宋体" w:hAnsi="宋体" w:cs="宋体"/>
                <w:kern w:val="0"/>
                <w:sz w:val="18"/>
                <w:szCs w:val="18"/>
              </w:rPr>
              <w:br w:type="textWrapping"/>
            </w:r>
            <w:r>
              <w:rPr>
                <w:rFonts w:hint="eastAsia" w:ascii="宋体" w:hAnsi="宋体" w:cs="宋体"/>
                <w:kern w:val="0"/>
                <w:sz w:val="18"/>
                <w:szCs w:val="18"/>
              </w:rPr>
              <w:t>LED频闪支持PWM跟随触发，具有频率及占空比保护功能，发光角度10°；气体爆闪具有防误触发功能，提高产品寿命。可覆盖1个车道 </w:t>
            </w:r>
            <w:r>
              <w:rPr>
                <w:rFonts w:hint="eastAsia" w:ascii="宋体" w:hAnsi="宋体" w:cs="宋体"/>
                <w:kern w:val="0"/>
                <w:sz w:val="18"/>
                <w:szCs w:val="18"/>
              </w:rPr>
              <w:br w:type="textWrapping"/>
            </w:r>
            <w:r>
              <w:rPr>
                <w:rFonts w:hint="eastAsia" w:ascii="宋体" w:hAnsi="宋体" w:cs="宋体"/>
                <w:kern w:val="0"/>
                <w:sz w:val="18"/>
                <w:szCs w:val="18"/>
              </w:rPr>
              <w:t>气体光源回电时间小于67ms，支持超速连拍， </w:t>
            </w:r>
            <w:r>
              <w:rPr>
                <w:rFonts w:hint="eastAsia" w:ascii="宋体" w:hAnsi="宋体" w:cs="宋体"/>
                <w:kern w:val="0"/>
                <w:sz w:val="18"/>
                <w:szCs w:val="18"/>
              </w:rPr>
              <w:br w:type="textWrapping"/>
            </w:r>
            <w:r>
              <w:rPr>
                <w:rFonts w:hint="eastAsia" w:ascii="宋体" w:hAnsi="宋体" w:cs="宋体"/>
                <w:kern w:val="0"/>
                <w:sz w:val="18"/>
                <w:szCs w:val="18"/>
              </w:rPr>
              <w:t>支持LED灯频闪、白光气体爆闪，红外气体爆闪 </w:t>
            </w:r>
            <w:r>
              <w:rPr>
                <w:rFonts w:hint="eastAsia" w:ascii="宋体" w:hAnsi="宋体" w:cs="宋体"/>
                <w:kern w:val="0"/>
                <w:sz w:val="18"/>
                <w:szCs w:val="18"/>
              </w:rPr>
              <w:br w:type="textWrapping"/>
            </w:r>
            <w:r>
              <w:rPr>
                <w:rFonts w:hint="eastAsia" w:ascii="宋体" w:hAnsi="宋体" w:cs="宋体"/>
                <w:kern w:val="0"/>
                <w:sz w:val="18"/>
                <w:szCs w:val="18"/>
              </w:rPr>
              <w:t>支持相机误触发保护功能，触发信号输入异常时自动保护、且自动恢复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28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3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卡口终端服务器</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内置1块3.5寸4T硬盘；支持12路IPC接入； </w:t>
            </w:r>
            <w:r>
              <w:rPr>
                <w:rFonts w:hint="eastAsia" w:ascii="宋体" w:hAnsi="宋体" w:cs="宋体"/>
                <w:kern w:val="0"/>
                <w:sz w:val="18"/>
                <w:szCs w:val="18"/>
              </w:rPr>
              <w:br w:type="textWrapping"/>
            </w:r>
            <w:r>
              <w:rPr>
                <w:rFonts w:hint="eastAsia" w:ascii="宋体" w:hAnsi="宋体" w:cs="宋体"/>
                <w:kern w:val="0"/>
                <w:sz w:val="18"/>
                <w:szCs w:val="18"/>
              </w:rPr>
              <w:t>支持对通行车辆的信息（记录和图片）存储； </w:t>
            </w:r>
            <w:r>
              <w:rPr>
                <w:rFonts w:hint="eastAsia" w:ascii="宋体" w:hAnsi="宋体" w:cs="宋体"/>
                <w:kern w:val="0"/>
                <w:sz w:val="18"/>
                <w:szCs w:val="18"/>
              </w:rPr>
              <w:br w:type="textWrapping"/>
            </w:r>
            <w:r>
              <w:rPr>
                <w:rFonts w:hint="eastAsia" w:ascii="宋体" w:hAnsi="宋体" w:cs="宋体"/>
                <w:kern w:val="0"/>
                <w:sz w:val="18"/>
                <w:szCs w:val="18"/>
              </w:rPr>
              <w:t>支持录像存储功能； </w:t>
            </w:r>
            <w:r>
              <w:rPr>
                <w:rFonts w:hint="eastAsia" w:ascii="宋体" w:hAnsi="宋体" w:cs="宋体"/>
                <w:kern w:val="0"/>
                <w:sz w:val="18"/>
                <w:szCs w:val="18"/>
              </w:rPr>
              <w:br w:type="textWrapping"/>
            </w:r>
            <w:r>
              <w:rPr>
                <w:rFonts w:hint="eastAsia" w:ascii="宋体" w:hAnsi="宋体" w:cs="宋体"/>
                <w:kern w:val="0"/>
                <w:sz w:val="18"/>
                <w:szCs w:val="18"/>
              </w:rPr>
              <w:t>可配置多种字符叠加、图片合成模式；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4 </w:t>
            </w:r>
          </w:p>
        </w:tc>
        <w:tc>
          <w:tcPr>
            <w:tcW w:w="96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400万像素红外全景球机</w:t>
            </w:r>
          </w:p>
        </w:tc>
        <w:tc>
          <w:tcPr>
            <w:tcW w:w="0" w:type="auto"/>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配套电源、支架。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具备人脸、人体抓拍并关联输出功能，支持多场景轮巡抓拍、远距离卡口抓拍模式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支持人脸人体车辆同时抓拍，人脸人体关联输出，并实现对人脸、人体、车辆结构化属性特征信息提取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传感器类型: 1/1.8＂ progressive scan CMOS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内置GPU芯片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支持最低照</w:t>
            </w:r>
            <w:r>
              <w:rPr>
                <w:rFonts w:hint="eastAsia" w:ascii="宋体" w:hAnsi="宋体" w:cs="宋体"/>
                <w:color w:val="000000"/>
                <w:kern w:val="0"/>
                <w:sz w:val="18"/>
                <w:szCs w:val="18"/>
                <w:highlight w:val="none"/>
              </w:rPr>
              <w:t>度</w:t>
            </w:r>
            <w:r>
              <w:rPr>
                <w:rFonts w:hint="eastAsia" w:ascii="宋体" w:hAnsi="宋体" w:cs="宋体"/>
                <w:color w:val="000000"/>
                <w:kern w:val="0"/>
                <w:sz w:val="18"/>
                <w:szCs w:val="18"/>
                <w:highlight w:val="none"/>
                <w:lang w:eastAsia="zh-CN"/>
              </w:rPr>
              <w:t>不高于</w:t>
            </w:r>
            <w:r>
              <w:rPr>
                <w:rFonts w:hint="eastAsia" w:ascii="宋体" w:hAnsi="宋体" w:cs="宋体"/>
                <w:color w:val="000000"/>
                <w:kern w:val="0"/>
                <w:sz w:val="18"/>
                <w:szCs w:val="18"/>
                <w:highlight w:val="none"/>
              </w:rPr>
              <w:t>彩色0.0002 lx，黑白0.0001 lx</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焦距: 25倍光学变倍</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 xml:space="preserve">红外照射距离: </w:t>
            </w:r>
            <w:r>
              <w:rPr>
                <w:rFonts w:hint="eastAsia" w:ascii="宋体" w:hAnsi="宋体" w:cs="宋体"/>
                <w:color w:val="000000"/>
                <w:kern w:val="0"/>
                <w:sz w:val="18"/>
                <w:szCs w:val="18"/>
                <w:highlight w:val="none"/>
                <w:lang w:eastAsia="zh-CN"/>
              </w:rPr>
              <w:t>不低于</w:t>
            </w:r>
            <w:r>
              <w:rPr>
                <w:rFonts w:hint="eastAsia" w:ascii="宋体" w:hAnsi="宋体" w:cs="宋体"/>
                <w:color w:val="000000"/>
                <w:kern w:val="0"/>
                <w:sz w:val="18"/>
                <w:szCs w:val="18"/>
                <w:highlight w:val="none"/>
              </w:rPr>
              <w:t>200m</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卡口室外机柜</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包含强电模块，基础等</w:t>
            </w:r>
            <w:r>
              <w:rPr>
                <w:rFonts w:hint="eastAsia" w:ascii="宋体" w:hAnsi="宋体" w:cs="宋体"/>
                <w:kern w:val="0"/>
                <w:sz w:val="18"/>
                <w:szCs w:val="18"/>
              </w:rPr>
              <w:br w:type="textWrapping"/>
            </w:r>
            <w:r>
              <w:rPr>
                <w:rFonts w:hint="eastAsia" w:ascii="宋体" w:hAnsi="宋体" w:cs="宋体"/>
                <w:kern w:val="0"/>
                <w:sz w:val="18"/>
                <w:szCs w:val="18"/>
              </w:rPr>
              <w:t>尺寸：600mm（宽）×800mm（高）×450mm（深）</w:t>
            </w:r>
            <w:r>
              <w:rPr>
                <w:rFonts w:hint="eastAsia" w:ascii="宋体" w:hAnsi="宋体" w:cs="宋体"/>
                <w:kern w:val="0"/>
                <w:sz w:val="18"/>
                <w:szCs w:val="18"/>
              </w:rPr>
              <w:br w:type="textWrapping"/>
            </w:r>
            <w:r>
              <w:rPr>
                <w:rFonts w:hint="eastAsia" w:ascii="宋体" w:hAnsi="宋体" w:cs="宋体"/>
                <w:kern w:val="0"/>
                <w:sz w:val="18"/>
                <w:szCs w:val="18"/>
              </w:rPr>
              <w:t>防护等级IP55</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6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卡口设备箱</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不锈钢材质，外部喷塑；尺寸不小于450mm*350mm*200mm，具体根据现场情况选择</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7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卡口立杆</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定制。八棱、镀锌、喷塑，底径280mm，稍径240mm,壁厚7mm,材料，钢材；悬臂：底径240mm，稍径120mm,长度不低于6000mm,具体大小根据现场情况确定，壁厚7mm,材料Q235钢材，法兰：底径550mm，稍径440mm,壁厚18mm,材料Q235钢材，基坑 长×宽×深mm 1200×1200×1500，承载力N≥12T/ M3.臂长根据实际路宽定（含混凝土基础）</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4 </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8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监控立杆</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定制6米 镀锌,材料：钢材（含混凝土基础）</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0" w:type="auto"/>
            <w:shd w:val="clear" w:color="auto" w:fill="auto"/>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9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800万黑光级双舱全结构化摄像机</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含支架</w:t>
            </w:r>
            <w:r>
              <w:rPr>
                <w:rFonts w:hint="eastAsia" w:ascii="宋体" w:hAnsi="宋体" w:cs="宋体"/>
                <w:kern w:val="0"/>
                <w:sz w:val="18"/>
                <w:szCs w:val="18"/>
              </w:rPr>
              <w:br w:type="textWrapping"/>
            </w:r>
            <w:r>
              <w:rPr>
                <w:rFonts w:hint="eastAsia" w:ascii="宋体" w:hAnsi="宋体" w:cs="宋体"/>
                <w:kern w:val="0"/>
                <w:sz w:val="18"/>
                <w:szCs w:val="18"/>
              </w:rPr>
              <w:t>全结构化模式：支持对人脸、人体、非机动车、机动车目标抓拍及相关属性识别</w:t>
            </w:r>
            <w:r>
              <w:rPr>
                <w:rFonts w:hint="eastAsia" w:ascii="宋体" w:hAnsi="宋体" w:cs="宋体"/>
                <w:kern w:val="0"/>
                <w:sz w:val="18"/>
                <w:szCs w:val="18"/>
              </w:rPr>
              <w:br w:type="textWrapping"/>
            </w:r>
            <w:r>
              <w:rPr>
                <w:rFonts w:hint="eastAsia" w:ascii="宋体" w:hAnsi="宋体" w:cs="宋体"/>
                <w:kern w:val="0"/>
                <w:sz w:val="18"/>
                <w:szCs w:val="18"/>
              </w:rPr>
              <w:t>比对模式：支持前端人脸比对、布防、报警输出等</w:t>
            </w:r>
            <w:r>
              <w:rPr>
                <w:rFonts w:hint="eastAsia" w:ascii="宋体" w:hAnsi="宋体" w:cs="宋体"/>
                <w:kern w:val="0"/>
                <w:sz w:val="18"/>
                <w:szCs w:val="18"/>
              </w:rPr>
              <w:br w:type="textWrapping"/>
            </w:r>
            <w:r>
              <w:rPr>
                <w:rFonts w:hint="eastAsia" w:ascii="宋体" w:hAnsi="宋体" w:cs="宋体"/>
                <w:kern w:val="0"/>
                <w:sz w:val="18"/>
                <w:szCs w:val="18"/>
              </w:rPr>
              <w:t>安全服务：支持三级用户权限管理，支持授权的用户和密码，支持IP地址过滤 ，支持GB35114安全加密</w:t>
            </w:r>
            <w:r>
              <w:rPr>
                <w:rFonts w:hint="eastAsia" w:ascii="宋体" w:hAnsi="宋体" w:cs="宋体"/>
                <w:kern w:val="0"/>
                <w:sz w:val="18"/>
                <w:szCs w:val="18"/>
              </w:rPr>
              <w:br w:type="textWrapping"/>
            </w:r>
            <w:r>
              <w:rPr>
                <w:rFonts w:hint="eastAsia" w:ascii="宋体" w:hAnsi="宋体" w:cs="宋体"/>
                <w:kern w:val="0"/>
                <w:sz w:val="18"/>
                <w:szCs w:val="18"/>
              </w:rPr>
              <w:t>传感器类型：通道1：1/1.2" Progressive Scan CMOS</w:t>
            </w:r>
            <w:r>
              <w:rPr>
                <w:rFonts w:hint="eastAsia" w:ascii="宋体" w:hAnsi="宋体" w:cs="宋体"/>
                <w:kern w:val="0"/>
                <w:sz w:val="18"/>
                <w:szCs w:val="18"/>
              </w:rPr>
              <w:br w:type="textWrapping"/>
            </w:r>
            <w:r>
              <w:rPr>
                <w:rFonts w:hint="eastAsia" w:ascii="宋体" w:hAnsi="宋体" w:cs="宋体"/>
                <w:kern w:val="0"/>
                <w:sz w:val="18"/>
                <w:szCs w:val="18"/>
              </w:rPr>
              <w:t>通道2：1/1.8" Progressive Scan CMOS</w:t>
            </w:r>
            <w:r>
              <w:rPr>
                <w:rFonts w:hint="eastAsia" w:ascii="宋体" w:hAnsi="宋体" w:cs="宋体"/>
                <w:kern w:val="0"/>
                <w:sz w:val="18"/>
                <w:szCs w:val="18"/>
              </w:rPr>
              <w:br w:type="textWrapping"/>
            </w:r>
            <w:r>
              <w:rPr>
                <w:rFonts w:hint="eastAsia" w:ascii="宋体" w:hAnsi="宋体" w:cs="宋体"/>
                <w:kern w:val="0"/>
                <w:sz w:val="18"/>
                <w:szCs w:val="18"/>
              </w:rPr>
              <w:t>最低照度：通道1：</w:t>
            </w:r>
            <w:r>
              <w:rPr>
                <w:rFonts w:hint="eastAsia" w:ascii="宋体" w:hAnsi="宋体" w:cs="宋体"/>
                <w:kern w:val="0"/>
                <w:sz w:val="18"/>
                <w:szCs w:val="18"/>
              </w:rPr>
              <w:br w:type="textWrapping"/>
            </w:r>
            <w:r>
              <w:rPr>
                <w:rFonts w:hint="eastAsia" w:ascii="宋体" w:hAnsi="宋体" w:cs="宋体"/>
                <w:kern w:val="0"/>
                <w:sz w:val="18"/>
                <w:szCs w:val="18"/>
                <w:highlight w:val="none"/>
              </w:rPr>
              <w:t>彩色：</w:t>
            </w:r>
            <w:r>
              <w:rPr>
                <w:rFonts w:hint="eastAsia" w:ascii="宋体" w:hAnsi="宋体" w:cs="宋体"/>
                <w:kern w:val="0"/>
                <w:sz w:val="18"/>
                <w:szCs w:val="18"/>
                <w:highlight w:val="none"/>
                <w:lang w:eastAsia="zh-CN"/>
              </w:rPr>
              <w:t>不高于</w:t>
            </w:r>
            <w:r>
              <w:rPr>
                <w:rFonts w:hint="eastAsia" w:ascii="宋体" w:hAnsi="宋体" w:cs="宋体"/>
                <w:kern w:val="0"/>
                <w:sz w:val="18"/>
                <w:szCs w:val="18"/>
                <w:highlight w:val="none"/>
              </w:rPr>
              <w:t>0.0003 Lux @（F1.0，AGC ON）</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黑白：</w:t>
            </w:r>
            <w:r>
              <w:rPr>
                <w:rFonts w:hint="eastAsia" w:ascii="宋体" w:hAnsi="宋体" w:cs="宋体"/>
                <w:kern w:val="0"/>
                <w:sz w:val="18"/>
                <w:szCs w:val="18"/>
                <w:highlight w:val="none"/>
                <w:lang w:eastAsia="zh-CN"/>
              </w:rPr>
              <w:t>不高于</w:t>
            </w:r>
            <w:r>
              <w:rPr>
                <w:rFonts w:hint="eastAsia" w:ascii="宋体" w:hAnsi="宋体" w:cs="宋体"/>
                <w:kern w:val="0"/>
                <w:sz w:val="18"/>
                <w:szCs w:val="18"/>
                <w:highlight w:val="none"/>
              </w:rPr>
              <w:t>0.0001 Lux @（F1.0，AGC ON），0 Lux with IR</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通道2：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彩色：</w:t>
            </w:r>
            <w:r>
              <w:rPr>
                <w:rFonts w:hint="eastAsia" w:ascii="宋体" w:hAnsi="宋体" w:cs="宋体"/>
                <w:kern w:val="0"/>
                <w:sz w:val="18"/>
                <w:szCs w:val="18"/>
                <w:highlight w:val="none"/>
                <w:lang w:eastAsia="zh-CN"/>
              </w:rPr>
              <w:t>不高于</w:t>
            </w:r>
            <w:r>
              <w:rPr>
                <w:rFonts w:hint="eastAsia" w:ascii="宋体" w:hAnsi="宋体" w:cs="宋体"/>
                <w:kern w:val="0"/>
                <w:sz w:val="18"/>
                <w:szCs w:val="18"/>
                <w:highlight w:val="none"/>
              </w:rPr>
              <w:t>0.0003 Lux @（F1.0，AGC ON），0 Lux with Light</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黑白：</w:t>
            </w:r>
            <w:r>
              <w:rPr>
                <w:rFonts w:hint="eastAsia" w:ascii="宋体" w:hAnsi="宋体" w:cs="宋体"/>
                <w:kern w:val="0"/>
                <w:sz w:val="18"/>
                <w:szCs w:val="18"/>
                <w:highlight w:val="none"/>
                <w:lang w:eastAsia="zh-CN"/>
              </w:rPr>
              <w:t>不高于</w:t>
            </w:r>
            <w:r>
              <w:rPr>
                <w:rFonts w:hint="eastAsia" w:ascii="宋体" w:hAnsi="宋体" w:cs="宋体"/>
                <w:kern w:val="0"/>
                <w:sz w:val="18"/>
                <w:szCs w:val="18"/>
                <w:highlight w:val="none"/>
              </w:rPr>
              <w:t>0.0001 Lux @（F1.0，AGC ON），0 Lux with IR</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图像尺寸：通道1：</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3840 × 2160</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通道2：</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5120 × 1440</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0" w:type="auto"/>
            <w:shd w:val="clear" w:color="auto" w:fill="auto"/>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万兆光口交换机</w:t>
            </w:r>
          </w:p>
        </w:tc>
        <w:tc>
          <w:tcPr>
            <w:tcW w:w="0" w:type="auto"/>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含40个万兆光模块，20根多模光纤跳线。全网管三层交换机，机架式，48个1G/10G SFP+光接口，2个40G QSFP+光接口，1个console口，1个usb接口，1个带外管理网口；2个业务扩展槽，2个电源模块槽位，2个风扇模块槽位，交换容量：2.56Tbps/25.6Tbps，包转发率：1080Mpps/1620Mpps，1U高度，19英寸宽，工作温度：0℃～45℃，支持交直流供电，满负荷功耗234W；支持RIP/OSPF/BGP/IS-IS/VRRP，IPv6，VLAN，流量控制，ACL，QoS，端口镜像，环网RRPP/ERPS、支持SNMP V1/V2c/V3网管</w:t>
            </w:r>
          </w:p>
        </w:tc>
        <w:tc>
          <w:tcPr>
            <w:tcW w:w="0" w:type="auto"/>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11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云计算服务器</w:t>
            </w:r>
          </w:p>
        </w:tc>
        <w:tc>
          <w:tcPr>
            <w:tcW w:w="0" w:type="auto"/>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highlight w:val="none"/>
              </w:rPr>
              <w:t>CPU：</w:t>
            </w:r>
            <w:r>
              <w:rPr>
                <w:rFonts w:hint="eastAsia" w:ascii="宋体" w:hAnsi="宋体" w:cs="宋体"/>
                <w:color w:val="000000"/>
                <w:kern w:val="0"/>
                <w:sz w:val="18"/>
                <w:szCs w:val="18"/>
                <w:highlight w:val="none"/>
                <w:lang w:eastAsia="zh-CN"/>
              </w:rPr>
              <w:t>不少于</w:t>
            </w:r>
            <w:r>
              <w:rPr>
                <w:rFonts w:hint="eastAsia" w:ascii="宋体" w:hAnsi="宋体" w:cs="宋体"/>
                <w:color w:val="000000"/>
                <w:kern w:val="0"/>
                <w:sz w:val="18"/>
                <w:szCs w:val="18"/>
                <w:highlight w:val="none"/>
              </w:rPr>
              <w:t>2颗Xeon® Gold 6230</w:t>
            </w:r>
            <w:r>
              <w:rPr>
                <w:rFonts w:hint="eastAsia" w:ascii="宋体" w:hAnsi="宋体" w:cs="宋体"/>
                <w:color w:val="000000"/>
                <w:kern w:val="0"/>
                <w:sz w:val="18"/>
                <w:szCs w:val="18"/>
                <w:highlight w:val="none"/>
                <w:lang w:eastAsia="zh-CN"/>
              </w:rPr>
              <w:t>系列及以上</w:t>
            </w:r>
            <w:r>
              <w:rPr>
                <w:rFonts w:hint="eastAsia" w:ascii="宋体" w:hAnsi="宋体" w:cs="宋体"/>
                <w:color w:val="000000"/>
                <w:kern w:val="0"/>
                <w:sz w:val="18"/>
                <w:szCs w:val="18"/>
                <w:highlight w:val="none"/>
              </w:rPr>
              <w:t>（20核，2.1GHz）</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内存：512G DDR4，24根内存插槽，最大支持扩展至3TB内存</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硬盘：2块600G 10K 2.5寸 SAS硬盘,2块 960G SSD硬盘，6块4T 7.2K 3.5寸SATA硬盘</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阵列卡：SAS_HBA卡，支持RAID 0/1/10</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PCIE扩展：最大可支持10个PCIE扩展插槽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网口：2个千兆电口，4个万兆光口</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12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数据分析服务器</w:t>
            </w:r>
          </w:p>
        </w:tc>
        <w:tc>
          <w:tcPr>
            <w:tcW w:w="0" w:type="auto"/>
            <w:shd w:val="clear" w:color="auto" w:fill="auto"/>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rPr>
              <w:t>硬件规格：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w:t>
            </w:r>
            <w:r>
              <w:rPr>
                <w:rFonts w:hint="eastAsia" w:ascii="宋体" w:hAnsi="宋体" w:cs="宋体"/>
                <w:color w:val="000000"/>
                <w:kern w:val="0"/>
                <w:sz w:val="18"/>
                <w:szCs w:val="18"/>
                <w:highlight w:val="none"/>
              </w:rPr>
              <w:t>理器：高性能64位CPU；集成专业级GPU芯片；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内存：4GB DDR3 * 2+32G DDR4 * 8+16GB DDR4 *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硬盘：240G SSD * 1（系统盘），240GB SSD * 1(系统盘) + 240GB SSD * 1+960GB SSD * 3 + 4TB SATA * 2，64GB SSD * 1(系统盘) + 480GB SSD * 1+8TB SATA * 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支持Raid 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w:t>
            </w:r>
            <w:r>
              <w:rPr>
                <w:rFonts w:hint="eastAsia" w:ascii="宋体" w:hAnsi="宋体" w:cs="宋体"/>
                <w:color w:val="000000"/>
                <w:kern w:val="0"/>
                <w:sz w:val="18"/>
                <w:szCs w:val="18"/>
                <w:highlight w:val="none"/>
              </w:rPr>
              <w:t>脸分析：支持</w:t>
            </w:r>
            <w:r>
              <w:rPr>
                <w:rFonts w:hint="eastAsia" w:ascii="宋体" w:hAnsi="宋体" w:cs="宋体"/>
                <w:color w:val="000000"/>
                <w:kern w:val="0"/>
                <w:sz w:val="18"/>
                <w:szCs w:val="18"/>
                <w:highlight w:val="none"/>
                <w:lang w:eastAsia="zh-CN"/>
              </w:rPr>
              <w:t>不低于</w:t>
            </w:r>
            <w:r>
              <w:rPr>
                <w:rFonts w:hint="eastAsia" w:ascii="宋体" w:hAnsi="宋体" w:cs="宋体"/>
                <w:color w:val="000000"/>
                <w:kern w:val="0"/>
                <w:sz w:val="18"/>
                <w:szCs w:val="18"/>
                <w:highlight w:val="none"/>
              </w:rPr>
              <w:t>图片200张/秒 或 视频40路（支持</w:t>
            </w:r>
            <w:r>
              <w:rPr>
                <w:rFonts w:hint="eastAsia" w:ascii="宋体" w:hAnsi="宋体" w:cs="宋体"/>
                <w:color w:val="000000"/>
                <w:kern w:val="0"/>
                <w:sz w:val="18"/>
                <w:szCs w:val="18"/>
                <w:highlight w:val="none"/>
                <w:lang w:eastAsia="zh-CN"/>
              </w:rPr>
              <w:t>不低于</w:t>
            </w:r>
            <w:r>
              <w:rPr>
                <w:rFonts w:hint="eastAsia" w:ascii="宋体" w:hAnsi="宋体" w:cs="宋体"/>
                <w:color w:val="000000"/>
                <w:kern w:val="0"/>
                <w:sz w:val="18"/>
                <w:szCs w:val="18"/>
                <w:highlight w:val="none"/>
              </w:rPr>
              <w:t>100W黑名单，支持</w:t>
            </w:r>
            <w:r>
              <w:rPr>
                <w:rFonts w:hint="eastAsia" w:ascii="宋体" w:hAnsi="宋体" w:cs="宋体"/>
                <w:color w:val="000000"/>
                <w:kern w:val="0"/>
                <w:sz w:val="18"/>
                <w:szCs w:val="18"/>
                <w:highlight w:val="none"/>
                <w:lang w:eastAsia="zh-CN"/>
              </w:rPr>
              <w:t>不低于</w:t>
            </w:r>
            <w:r>
              <w:rPr>
                <w:rFonts w:hint="eastAsia" w:ascii="宋体" w:hAnsi="宋体" w:cs="宋体"/>
                <w:color w:val="000000"/>
                <w:kern w:val="0"/>
                <w:sz w:val="18"/>
                <w:szCs w:val="18"/>
                <w:highlight w:val="none"/>
              </w:rPr>
              <w:t>16个库）；</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车辆分析：支持</w:t>
            </w:r>
            <w:r>
              <w:rPr>
                <w:rFonts w:hint="eastAsia" w:ascii="宋体" w:hAnsi="宋体" w:cs="宋体"/>
                <w:kern w:val="0"/>
                <w:sz w:val="18"/>
                <w:szCs w:val="18"/>
                <w:highlight w:val="none"/>
                <w:lang w:eastAsia="zh-CN"/>
              </w:rPr>
              <w:t>不低于</w:t>
            </w:r>
            <w:r>
              <w:rPr>
                <w:rFonts w:hint="eastAsia" w:ascii="宋体" w:hAnsi="宋体" w:cs="宋体"/>
                <w:color w:val="000000"/>
                <w:kern w:val="0"/>
                <w:sz w:val="18"/>
                <w:szCs w:val="18"/>
                <w:highlight w:val="none"/>
              </w:rPr>
              <w:t>750万张/天；</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视频结构化：支持</w:t>
            </w:r>
            <w:r>
              <w:rPr>
                <w:rFonts w:hint="eastAsia" w:ascii="宋体" w:hAnsi="宋体" w:cs="宋体"/>
                <w:kern w:val="0"/>
                <w:sz w:val="18"/>
                <w:szCs w:val="18"/>
                <w:highlight w:val="none"/>
                <w:lang w:eastAsia="zh-CN"/>
              </w:rPr>
              <w:t>不低于</w:t>
            </w:r>
            <w:r>
              <w:rPr>
                <w:rFonts w:hint="eastAsia" w:ascii="宋体" w:hAnsi="宋体" w:cs="宋体"/>
                <w:color w:val="000000"/>
                <w:kern w:val="0"/>
                <w:sz w:val="18"/>
                <w:szCs w:val="18"/>
                <w:highlight w:val="none"/>
              </w:rPr>
              <w:t>40路；</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治安场景图片分析性能（车辆、人体）：支持</w:t>
            </w:r>
            <w:r>
              <w:rPr>
                <w:rFonts w:hint="eastAsia" w:ascii="宋体" w:hAnsi="宋体" w:cs="宋体"/>
                <w:kern w:val="0"/>
                <w:sz w:val="18"/>
                <w:szCs w:val="18"/>
                <w:highlight w:val="none"/>
                <w:lang w:eastAsia="zh-CN"/>
              </w:rPr>
              <w:t>不低于</w:t>
            </w:r>
            <w:r>
              <w:rPr>
                <w:rFonts w:hint="eastAsia" w:ascii="宋体" w:hAnsi="宋体" w:cs="宋体"/>
                <w:color w:val="000000"/>
                <w:kern w:val="0"/>
                <w:sz w:val="18"/>
                <w:szCs w:val="18"/>
                <w:highlight w:val="none"/>
              </w:rPr>
              <w:t>140张/秒（200W）或56张/秒（500W）或42张/秒（800W）</w:t>
            </w:r>
          </w:p>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highlight w:val="none"/>
                <w:lang w:eastAsia="zh-CN"/>
              </w:rPr>
              <w:t>包含</w:t>
            </w:r>
            <w:r>
              <w:rPr>
                <w:rFonts w:hint="eastAsia" w:ascii="宋体" w:hAnsi="宋体" w:cs="宋体"/>
                <w:color w:val="000000"/>
                <w:kern w:val="0"/>
                <w:sz w:val="18"/>
                <w:szCs w:val="18"/>
                <w:highlight w:val="none"/>
                <w:lang w:val="en-US" w:eastAsia="zh-CN"/>
              </w:rPr>
              <w:t>4台笔记本控制终端。CPU为I7 8代系列及以上，内存不低于32GB，硬盘不低于512GB SSD +1TB HDD，独立显卡，显存不低于2GB。</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13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视频安全网关</w:t>
            </w:r>
          </w:p>
        </w:tc>
        <w:tc>
          <w:tcPr>
            <w:tcW w:w="0" w:type="auto"/>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支持全量网络流量监测、主动探测扫描等多种方式，准确发现网内前端设备；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支持多种检测协议，支持IPC、NVR、监控系统、PC、网络设备等多种设备的检测；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支持厂商类型特征库，可识别主流厂商，支持厂商自定义扩展；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支持在线前端设备信息检测功能，能实时监测前端设备的IP地址、MAC地址、上线时间、厂商信息等；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支持基于IP地址、MAC地址、应用协议、生产厂商、设备指纹等准入控制方式；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支持跨三层网络前端设备MAC地址识别与准入控制；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支持手工添加和批量导入准入规则，可根据用户需求灵活配置准入方案；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支持自动识别非法私接入侵、摄像机仿冒/替换攻击行为的检测与防护；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支持黑名单和白名单流量过滤控制，支持IP地址、端口等多种防护方式；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支持策略联动，实现与视频核心安全网关联动完成攻击源阻断；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支持前端设备弱口令检测功能，快速发现前端设备弱口令漏洞，密码字典支持在线编辑、加载更新；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支持主路部署、旁路引流部署、端口镜像等部署方式；</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14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云存储视频存储单元</w:t>
            </w:r>
          </w:p>
        </w:tc>
        <w:tc>
          <w:tcPr>
            <w:tcW w:w="0" w:type="auto"/>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48盘位；双64位多核处理器；32GB缓存；冗余电源；支持SATA硬盘；6个千兆网口；1个系统SSD盘；支持网络RAID 满配8TB SATA企业级硬盘</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0" w:type="auto"/>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0" w:type="auto"/>
            <w:shd w:val="clear" w:color="auto" w:fill="auto"/>
            <w:vAlign w:val="center"/>
          </w:tcPr>
          <w:p>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15 </w:t>
            </w:r>
          </w:p>
        </w:tc>
        <w:tc>
          <w:tcPr>
            <w:tcW w:w="96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48口千兆交换机</w:t>
            </w:r>
          </w:p>
        </w:tc>
        <w:tc>
          <w:tcPr>
            <w:tcW w:w="0" w:type="auto"/>
            <w:shd w:val="clear" w:color="auto" w:fill="auto"/>
            <w:vAlign w:val="center"/>
          </w:tcPr>
          <w:p>
            <w:pPr>
              <w:widowControl/>
              <w:rPr>
                <w:rFonts w:hint="eastAsia" w:ascii="宋体" w:hAnsi="宋体" w:cs="宋体"/>
                <w:kern w:val="0"/>
                <w:sz w:val="18"/>
                <w:szCs w:val="18"/>
                <w:highlight w:val="none"/>
              </w:rPr>
            </w:pPr>
            <w:r>
              <w:rPr>
                <w:rFonts w:hint="eastAsia" w:ascii="宋体" w:hAnsi="宋体" w:cs="宋体"/>
                <w:kern w:val="0"/>
                <w:sz w:val="18"/>
                <w:szCs w:val="18"/>
                <w:highlight w:val="none"/>
              </w:rPr>
              <w:t>上联为万兆模块，代替机房千兆汇聚交换机，包含万兆光模块</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全网管三层交换机，机架式，48个千兆电口，4个万兆SFP+光口；1个业务扩展槽，2个电源模块槽位，2个风扇模块槽位，交换容量</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598Gbps，包转发率</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252Mpps，1U高度，19英寸宽，工作温度：0℃～45℃，支持交直流供电，满负荷功耗88W（单交流电源情况下）；支持RIP/OSPF/BGP/IS-IS/VRRP，IPv6，VLAN，流量控制，ACL，QoS，端口镜像，环网RRPP/ERPS、支持SNMP V1/V2c/V3网管</w:t>
            </w:r>
          </w:p>
        </w:tc>
        <w:tc>
          <w:tcPr>
            <w:tcW w:w="0" w:type="auto"/>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台</w:t>
            </w:r>
          </w:p>
        </w:tc>
        <w:tc>
          <w:tcPr>
            <w:tcW w:w="0" w:type="auto"/>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5</w:t>
            </w:r>
          </w:p>
        </w:tc>
        <w:tc>
          <w:tcPr>
            <w:tcW w:w="0" w:type="auto"/>
            <w:shd w:val="clear" w:color="auto" w:fill="auto"/>
            <w:vAlign w:val="center"/>
          </w:tcPr>
          <w:p>
            <w:pPr>
              <w:widowControl/>
              <w:jc w:val="left"/>
              <w:rPr>
                <w:rFonts w:hint="eastAsia" w:ascii="宋体" w:hAnsi="宋体" w:cs="宋体"/>
                <w:b/>
                <w:bCs/>
                <w:kern w:val="0"/>
                <w:sz w:val="18"/>
                <w:szCs w:val="18"/>
                <w:highlight w:val="none"/>
              </w:rPr>
            </w:pPr>
            <w:r>
              <w:rPr>
                <w:rFonts w:hint="eastAsia" w:ascii="宋体" w:hAnsi="宋体" w:cs="宋体"/>
                <w:b/>
                <w:bCs/>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16 </w:t>
            </w:r>
          </w:p>
        </w:tc>
        <w:tc>
          <w:tcPr>
            <w:tcW w:w="9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安装辅材</w:t>
            </w:r>
          </w:p>
        </w:tc>
        <w:tc>
          <w:tcPr>
            <w:tcW w:w="0" w:type="auto"/>
            <w:shd w:val="clear" w:color="auto" w:fill="auto"/>
            <w:vAlign w:val="center"/>
          </w:tcPr>
          <w:p>
            <w:pPr>
              <w:widowControl/>
              <w:rPr>
                <w:rFonts w:hint="eastAsia" w:ascii="宋体" w:hAnsi="宋体" w:cs="宋体"/>
                <w:kern w:val="0"/>
                <w:sz w:val="18"/>
                <w:szCs w:val="18"/>
                <w:highlight w:val="none"/>
              </w:rPr>
            </w:pPr>
            <w:r>
              <w:rPr>
                <w:rFonts w:hint="eastAsia" w:ascii="宋体" w:hAnsi="宋体" w:cs="宋体"/>
                <w:kern w:val="0"/>
                <w:sz w:val="18"/>
                <w:szCs w:val="18"/>
                <w:highlight w:val="none"/>
              </w:rPr>
              <w:t>根据采购人要求及实际情况，顶管、安装架设光纤、网线、电源线、钢绞线、光纤收发器、交换机、电表、电表箱、断路器、设备箱、熔纤、尾纤、跳线、终端接线盒、穿线管、绑扎固定等，满足设备正常运行上传系统平台图像所需的一切辅材，以及在安装架设设备及线路过程中，若对其他单位及个人的设施有损毁，需要赔偿的费用。其中光纤需符合国标，8芯以上；网线采用国标室外超五类防水网线，0.5mm无氧铜，PE护套；电源线需符合国标，规格为RVV2*1.5；光纤收发器1个百兆光口、1个百兆网口，工业导轨式，传输距离</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20公里，FC口，单模单纤；交换机为8口百兆工业级交换机。背板带宽100M，交换容量</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1.6Gbps，包转发率</w:t>
            </w:r>
            <w:r>
              <w:rPr>
                <w:rFonts w:hint="eastAsia" w:ascii="宋体" w:hAnsi="宋体" w:cs="宋体"/>
                <w:kern w:val="0"/>
                <w:sz w:val="18"/>
                <w:szCs w:val="18"/>
                <w:highlight w:val="none"/>
                <w:lang w:eastAsia="zh-CN"/>
              </w:rPr>
              <w:t>不低于</w:t>
            </w:r>
            <w:r>
              <w:rPr>
                <w:rFonts w:hint="eastAsia" w:ascii="宋体" w:hAnsi="宋体" w:cs="宋体"/>
                <w:kern w:val="0"/>
                <w:sz w:val="18"/>
                <w:szCs w:val="18"/>
                <w:highlight w:val="none"/>
              </w:rPr>
              <w:t>1.2Mpps，220v交流，满负荷功耗4瓦，1-2号端口支持视频红口保障技术。</w:t>
            </w:r>
          </w:p>
        </w:tc>
        <w:tc>
          <w:tcPr>
            <w:tcW w:w="0" w:type="auto"/>
            <w:shd w:val="clear" w:color="auto" w:fill="auto"/>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批</w:t>
            </w:r>
          </w:p>
        </w:tc>
        <w:tc>
          <w:tcPr>
            <w:tcW w:w="0" w:type="auto"/>
            <w:shd w:val="clear" w:color="auto" w:fill="auto"/>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0" w:type="auto"/>
            <w:shd w:val="clear" w:color="auto" w:fill="auto"/>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387" w:type="dxa"/>
            <w:gridSpan w:val="2"/>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lang w:eastAsia="zh-CN"/>
              </w:rPr>
              <w:t>备注：</w:t>
            </w:r>
          </w:p>
        </w:tc>
        <w:tc>
          <w:tcPr>
            <w:tcW w:w="8709" w:type="dxa"/>
            <w:gridSpan w:val="4"/>
            <w:shd w:val="clear" w:color="auto" w:fill="auto"/>
            <w:vAlign w:val="center"/>
          </w:tcPr>
          <w:p>
            <w:pPr>
              <w:widowControl/>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本次项目主要为平台扩容项目，为保证兼容性、统一性、避免重复投资，要求投标人所投产品设备须在采购人原有监控平台的基础上进行扩容升级改造，保证与原有平台无缝对接，提供所投产品制造商出具的可无缝对接证明（加盖产品制造商公章），以保障整个系统的兼容性、稳定性和安全性，顺利实现平台改造扩容。</w:t>
            </w:r>
          </w:p>
          <w:p>
            <w:pPr>
              <w:widowControl/>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2、各投标人报价应包括服务期内本次项目中需租用运营商的线路费用和所有前端设备等正常运行的电费。</w:t>
            </w:r>
          </w:p>
          <w:p>
            <w:pPr>
              <w:widowControl/>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3、请各投标人报价时须考虑此项目所需的检测等相关费用。</w:t>
            </w:r>
          </w:p>
          <w:p>
            <w:pPr>
              <w:widowControl/>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4、该项目所有投标产品必须满足或优于招标文件规定的技术参数。不满足者视为自动放弃投标资格。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387" w:type="dxa"/>
            <w:gridSpan w:val="2"/>
            <w:shd w:val="clear" w:color="auto" w:fill="auto"/>
            <w:vAlign w:val="center"/>
          </w:tcPr>
          <w:p>
            <w:pPr>
              <w:widowControl/>
              <w:rPr>
                <w:rFonts w:hint="eastAsia" w:ascii="宋体" w:hAnsi="宋体" w:cs="宋体"/>
                <w:kern w:val="0"/>
                <w:sz w:val="18"/>
                <w:szCs w:val="18"/>
                <w:lang w:val="en-US" w:eastAsia="zh-CN"/>
              </w:rPr>
            </w:pPr>
            <w:r>
              <w:rPr>
                <w:rFonts w:hint="eastAsia" w:ascii="宋体" w:hAnsi="宋体" w:cs="宋体"/>
                <w:kern w:val="0"/>
                <w:sz w:val="18"/>
                <w:szCs w:val="18"/>
                <w:lang w:val="en-US" w:eastAsia="zh-CN"/>
              </w:rPr>
              <w:t>服务期要求：</w:t>
            </w:r>
          </w:p>
          <w:p>
            <w:pPr>
              <w:widowControl/>
              <w:rPr>
                <w:rFonts w:hint="eastAsia" w:ascii="宋体" w:hAnsi="宋体" w:cs="宋体"/>
                <w:kern w:val="0"/>
                <w:sz w:val="18"/>
                <w:szCs w:val="18"/>
              </w:rPr>
            </w:pPr>
          </w:p>
        </w:tc>
        <w:tc>
          <w:tcPr>
            <w:tcW w:w="8709" w:type="dxa"/>
            <w:gridSpan w:val="4"/>
            <w:shd w:val="clear" w:color="auto" w:fill="auto"/>
            <w:vAlign w:val="center"/>
          </w:tcPr>
          <w:p>
            <w:pPr>
              <w:widowControl/>
              <w:rPr>
                <w:rFonts w:hint="default" w:ascii="宋体" w:hAnsi="宋体" w:cs="宋体"/>
                <w:kern w:val="0"/>
                <w:sz w:val="18"/>
                <w:szCs w:val="18"/>
                <w:lang w:val="en-US" w:eastAsia="zh-CN"/>
              </w:rPr>
            </w:pPr>
            <w:r>
              <w:rPr>
                <w:rFonts w:hint="default" w:ascii="宋体" w:hAnsi="宋体" w:cs="宋体"/>
                <w:kern w:val="0"/>
                <w:sz w:val="18"/>
                <w:szCs w:val="18"/>
                <w:lang w:val="en-US" w:eastAsia="zh-CN"/>
              </w:rPr>
              <w:t>1、</w:t>
            </w:r>
            <w:r>
              <w:rPr>
                <w:rFonts w:hint="default" w:ascii="宋体" w:hAnsi="宋体" w:cs="宋体"/>
                <w:kern w:val="0"/>
                <w:sz w:val="18"/>
                <w:szCs w:val="18"/>
                <w:highlight w:val="none"/>
                <w:lang w:val="en-US" w:eastAsia="zh-CN"/>
              </w:rPr>
              <w:t>服务期：自</w:t>
            </w:r>
            <w:r>
              <w:rPr>
                <w:rFonts w:hint="default" w:ascii="宋体" w:hAnsi="宋体" w:cs="宋体"/>
                <w:kern w:val="0"/>
                <w:sz w:val="18"/>
                <w:szCs w:val="18"/>
                <w:lang w:val="en-US" w:eastAsia="zh-CN"/>
              </w:rPr>
              <w:t>验收合格之日起共3年。</w:t>
            </w:r>
          </w:p>
          <w:p>
            <w:pPr>
              <w:widowControl/>
              <w:rPr>
                <w:rFonts w:hint="default" w:ascii="宋体" w:hAnsi="宋体" w:cs="宋体"/>
                <w:kern w:val="0"/>
                <w:sz w:val="18"/>
                <w:szCs w:val="18"/>
                <w:lang w:val="en-US" w:eastAsia="zh-CN"/>
              </w:rPr>
            </w:pPr>
            <w:r>
              <w:rPr>
                <w:rFonts w:hint="default" w:ascii="宋体" w:hAnsi="宋体" w:cs="宋体"/>
                <w:kern w:val="0"/>
                <w:sz w:val="18"/>
                <w:szCs w:val="18"/>
                <w:lang w:val="en-US" w:eastAsia="zh-CN"/>
              </w:rPr>
              <w:t>2、服务期满后，若原有配件已不销售，成交人应承诺为采购人提供升级配件（价格不得高于原设备价格），使系统正常稳定工作。</w:t>
            </w:r>
          </w:p>
          <w:p>
            <w:pPr>
              <w:widowControl/>
              <w:rPr>
                <w:rFonts w:hint="default" w:ascii="宋体" w:hAnsi="宋体" w:cs="宋体"/>
                <w:kern w:val="0"/>
                <w:sz w:val="18"/>
                <w:szCs w:val="18"/>
                <w:lang w:val="en-US" w:eastAsia="zh-CN"/>
              </w:rPr>
            </w:pPr>
            <w:r>
              <w:rPr>
                <w:rFonts w:hint="default" w:ascii="宋体" w:hAnsi="宋体" w:cs="宋体"/>
                <w:kern w:val="0"/>
                <w:sz w:val="18"/>
                <w:szCs w:val="18"/>
                <w:lang w:val="en-US" w:eastAsia="zh-CN"/>
              </w:rPr>
              <w:t>3、成交人在服务期内按照采购人要求，免费拆移本次项目的所有设备，安装到指定位置，并保证设备正常运行。</w:t>
            </w:r>
          </w:p>
          <w:p>
            <w:pPr>
              <w:widowControl/>
              <w:rPr>
                <w:rFonts w:hint="default" w:ascii="宋体" w:hAnsi="宋体" w:cs="宋体"/>
                <w:kern w:val="0"/>
                <w:sz w:val="18"/>
                <w:szCs w:val="18"/>
                <w:lang w:val="en-US" w:eastAsia="zh-CN"/>
              </w:rPr>
            </w:pPr>
            <w:r>
              <w:rPr>
                <w:rFonts w:hint="default" w:ascii="宋体" w:hAnsi="宋体" w:cs="宋体"/>
                <w:kern w:val="0"/>
                <w:sz w:val="18"/>
                <w:szCs w:val="18"/>
                <w:lang w:val="en-US" w:eastAsia="zh-CN"/>
              </w:rPr>
              <w:t>4、成交人应保证采购人视频监控平台（含本次项目所有子系统及原有项目所有硬件、软件）与上级部门联网对接科学、安全，整体运行流畅，符合国家、地方有关标准及采购人需求。若上级部门对采购人视频监控平台进行升级、改造、联网等工作时，如需增加费用，由成交人承担，采购人不再追加。</w:t>
            </w:r>
          </w:p>
          <w:p>
            <w:pPr>
              <w:widowControl/>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r>
              <w:rPr>
                <w:rFonts w:hint="default" w:ascii="宋体" w:hAnsi="宋体" w:cs="宋体"/>
                <w:kern w:val="0"/>
                <w:sz w:val="18"/>
                <w:szCs w:val="18"/>
                <w:lang w:val="en-US" w:eastAsia="zh-CN"/>
              </w:rPr>
              <w:t>、成交人必须提供24小时售后服务电话，售后服务电话有变更的应提前7日书面通知采购人。</w:t>
            </w:r>
          </w:p>
          <w:p>
            <w:pPr>
              <w:widowControl/>
              <w:rPr>
                <w:rFonts w:hint="default" w:ascii="宋体" w:hAnsi="宋体" w:cs="宋体"/>
                <w:kern w:val="0"/>
                <w:sz w:val="18"/>
                <w:szCs w:val="18"/>
                <w:lang w:val="en-US" w:eastAsia="zh-CN"/>
              </w:rPr>
            </w:pPr>
            <w:r>
              <w:rPr>
                <w:rFonts w:hint="eastAsia" w:ascii="宋体" w:hAnsi="宋体" w:cs="宋体"/>
                <w:kern w:val="0"/>
                <w:sz w:val="18"/>
                <w:szCs w:val="18"/>
                <w:lang w:val="en-US" w:eastAsia="zh-CN"/>
              </w:rPr>
              <w:t>6</w:t>
            </w:r>
            <w:r>
              <w:rPr>
                <w:rFonts w:hint="default" w:ascii="宋体" w:hAnsi="宋体" w:cs="宋体"/>
                <w:kern w:val="0"/>
                <w:sz w:val="18"/>
                <w:szCs w:val="18"/>
                <w:lang w:val="en-US" w:eastAsia="zh-CN"/>
              </w:rPr>
              <w:t>、服务期内要求：</w:t>
            </w:r>
          </w:p>
          <w:p>
            <w:pPr>
              <w:widowControl/>
              <w:rPr>
                <w:rFonts w:hint="default" w:ascii="宋体" w:hAnsi="宋体" w:cs="宋体"/>
                <w:color w:val="auto"/>
                <w:kern w:val="0"/>
                <w:sz w:val="18"/>
                <w:szCs w:val="18"/>
                <w:highlight w:val="none"/>
                <w:lang w:val="en-US" w:eastAsia="zh-CN"/>
              </w:rPr>
            </w:pPr>
            <w:r>
              <w:rPr>
                <w:rFonts w:hint="default" w:ascii="宋体" w:hAnsi="宋体" w:cs="宋体"/>
                <w:kern w:val="0"/>
                <w:sz w:val="18"/>
                <w:szCs w:val="18"/>
                <w:lang w:val="en-US" w:eastAsia="zh-CN"/>
              </w:rPr>
              <w:t>为保证维护保养效率效果，成交人必须提供两名常驻维护人员及一辆维护专用车辆。除因电力部门干线故障、恶劣天气、自然灾害等原因外，本次项目所有设备每天在线率均不得低于9</w:t>
            </w:r>
            <w:r>
              <w:rPr>
                <w:rFonts w:hint="eastAsia" w:ascii="宋体" w:hAnsi="宋体" w:cs="宋体"/>
                <w:kern w:val="0"/>
                <w:sz w:val="18"/>
                <w:szCs w:val="18"/>
                <w:lang w:val="en-US" w:eastAsia="zh-CN"/>
              </w:rPr>
              <w:t>8</w:t>
            </w:r>
            <w:r>
              <w:rPr>
                <w:rFonts w:hint="default" w:ascii="宋体" w:hAnsi="宋体" w:cs="宋体"/>
                <w:kern w:val="0"/>
                <w:sz w:val="18"/>
                <w:szCs w:val="18"/>
                <w:lang w:val="en-US" w:eastAsia="zh-CN"/>
              </w:rPr>
              <w:t>%</w:t>
            </w:r>
            <w:r>
              <w:rPr>
                <w:rFonts w:hint="default" w:ascii="宋体" w:hAnsi="宋体" w:cs="宋体"/>
                <w:color w:val="auto"/>
                <w:kern w:val="0"/>
                <w:sz w:val="18"/>
                <w:szCs w:val="18"/>
                <w:highlight w:val="none"/>
                <w:lang w:val="en-US" w:eastAsia="zh-CN"/>
              </w:rPr>
              <w:t>。每天的设备在线率小于9</w:t>
            </w:r>
            <w:r>
              <w:rPr>
                <w:rFonts w:hint="eastAsia" w:ascii="宋体" w:hAnsi="宋体" w:cs="宋体"/>
                <w:color w:val="auto"/>
                <w:kern w:val="0"/>
                <w:sz w:val="18"/>
                <w:szCs w:val="18"/>
                <w:highlight w:val="none"/>
                <w:lang w:val="en-US" w:eastAsia="zh-CN"/>
              </w:rPr>
              <w:t>8</w:t>
            </w:r>
            <w:r>
              <w:rPr>
                <w:rFonts w:hint="default" w:ascii="宋体" w:hAnsi="宋体" w:cs="宋体"/>
                <w:color w:val="auto"/>
                <w:kern w:val="0"/>
                <w:sz w:val="18"/>
                <w:szCs w:val="18"/>
                <w:highlight w:val="none"/>
                <w:lang w:val="en-US" w:eastAsia="zh-CN"/>
              </w:rPr>
              <w:t>%、大于等于9</w:t>
            </w:r>
            <w:r>
              <w:rPr>
                <w:rFonts w:hint="eastAsia" w:ascii="宋体" w:hAnsi="宋体" w:cs="宋体"/>
                <w:color w:val="auto"/>
                <w:kern w:val="0"/>
                <w:sz w:val="18"/>
                <w:szCs w:val="18"/>
                <w:highlight w:val="none"/>
                <w:lang w:val="en-US" w:eastAsia="zh-CN"/>
              </w:rPr>
              <w:t>7</w:t>
            </w:r>
            <w:r>
              <w:rPr>
                <w:rFonts w:hint="default" w:ascii="宋体" w:hAnsi="宋体" w:cs="宋体"/>
                <w:color w:val="auto"/>
                <w:kern w:val="0"/>
                <w:sz w:val="18"/>
                <w:szCs w:val="18"/>
                <w:highlight w:val="none"/>
                <w:lang w:val="en-US" w:eastAsia="zh-CN"/>
              </w:rPr>
              <w:t>%时，扣除费用1000元。设备在线率小于9</w:t>
            </w:r>
            <w:r>
              <w:rPr>
                <w:rFonts w:hint="eastAsia" w:ascii="宋体" w:hAnsi="宋体" w:cs="宋体"/>
                <w:color w:val="auto"/>
                <w:kern w:val="0"/>
                <w:sz w:val="18"/>
                <w:szCs w:val="18"/>
                <w:highlight w:val="none"/>
                <w:lang w:val="en-US" w:eastAsia="zh-CN"/>
              </w:rPr>
              <w:t>7</w:t>
            </w:r>
            <w:r>
              <w:rPr>
                <w:rFonts w:hint="default" w:ascii="宋体" w:hAnsi="宋体" w:cs="宋体"/>
                <w:color w:val="auto"/>
                <w:kern w:val="0"/>
                <w:sz w:val="18"/>
                <w:szCs w:val="18"/>
                <w:highlight w:val="none"/>
                <w:lang w:val="en-US" w:eastAsia="zh-CN"/>
              </w:rPr>
              <w:t>%、大于等于9</w:t>
            </w:r>
            <w:r>
              <w:rPr>
                <w:rFonts w:hint="eastAsia" w:ascii="宋体" w:hAnsi="宋体" w:cs="宋体"/>
                <w:color w:val="auto"/>
                <w:kern w:val="0"/>
                <w:sz w:val="18"/>
                <w:szCs w:val="18"/>
                <w:highlight w:val="none"/>
                <w:lang w:val="en-US" w:eastAsia="zh-CN"/>
              </w:rPr>
              <w:t>6</w:t>
            </w:r>
            <w:r>
              <w:rPr>
                <w:rFonts w:hint="default" w:ascii="宋体" w:hAnsi="宋体" w:cs="宋体"/>
                <w:color w:val="auto"/>
                <w:kern w:val="0"/>
                <w:sz w:val="18"/>
                <w:szCs w:val="18"/>
                <w:highlight w:val="none"/>
                <w:lang w:val="en-US" w:eastAsia="zh-CN"/>
              </w:rPr>
              <w:t>%时，扣除费用2000元。以此类推。每天的设备在线率低于9</w:t>
            </w:r>
            <w:r>
              <w:rPr>
                <w:rFonts w:hint="eastAsia" w:ascii="宋体" w:hAnsi="宋体" w:cs="宋体"/>
                <w:color w:val="auto"/>
                <w:kern w:val="0"/>
                <w:sz w:val="18"/>
                <w:szCs w:val="18"/>
                <w:highlight w:val="none"/>
                <w:lang w:val="en-US" w:eastAsia="zh-CN"/>
              </w:rPr>
              <w:t>5</w:t>
            </w:r>
            <w:r>
              <w:rPr>
                <w:rFonts w:hint="default" w:ascii="宋体" w:hAnsi="宋体" w:cs="宋体"/>
                <w:color w:val="auto"/>
                <w:kern w:val="0"/>
                <w:sz w:val="18"/>
                <w:szCs w:val="18"/>
                <w:highlight w:val="none"/>
                <w:lang w:val="en-US" w:eastAsia="zh-CN"/>
              </w:rPr>
              <w:t>%时，扣除费用10000元；对于采购人确定的安装在重要部位的设备，成交人需保证此类设备每天在线率为100%。每天的设备在线率小于100%、大于等于99%时，扣除费用1000元。设备在线率小于99%、大于等于98%时，扣除费用2000元。以此类推。每天的设备在线率低于95%时，扣除费用10000元。所扣费用由采购人出具相关文书，并由成交人确认。</w:t>
            </w:r>
          </w:p>
          <w:p>
            <w:pPr>
              <w:widowControl/>
              <w:rPr>
                <w:rFonts w:hint="default" w:ascii="宋体" w:hAnsi="宋体" w:cs="宋体"/>
                <w:kern w:val="0"/>
                <w:sz w:val="18"/>
                <w:szCs w:val="18"/>
                <w:lang w:val="en-US" w:eastAsia="zh-CN"/>
              </w:rPr>
            </w:pPr>
            <w:r>
              <w:rPr>
                <w:rFonts w:hint="eastAsia" w:ascii="宋体" w:hAnsi="宋体" w:cs="宋体"/>
                <w:kern w:val="0"/>
                <w:sz w:val="18"/>
                <w:szCs w:val="18"/>
                <w:lang w:val="en-US" w:eastAsia="zh-CN"/>
              </w:rPr>
              <w:t>7</w:t>
            </w:r>
            <w:r>
              <w:rPr>
                <w:rFonts w:hint="default" w:ascii="宋体" w:hAnsi="宋体" w:cs="宋体"/>
                <w:kern w:val="0"/>
                <w:sz w:val="18"/>
                <w:szCs w:val="18"/>
                <w:lang w:val="en-US" w:eastAsia="zh-CN"/>
              </w:rPr>
              <w:t>、成交人每周应对系统和关键设备进行巡检。至少每月检查一次设备的技术指标，并记录相关详细报告（一式两份），由采购人书面确认，未履行的每次扣费用3000元。每月应对所有设备进行安检、除尘保洁等维护，对系统进行优化等，记录维护报告，由采购人书面确认，未履行的每次扣费用5000元。</w:t>
            </w:r>
          </w:p>
          <w:p>
            <w:pPr>
              <w:widowControl/>
              <w:rPr>
                <w:rFonts w:hint="default" w:ascii="宋体" w:hAnsi="宋体" w:cs="宋体"/>
                <w:kern w:val="0"/>
                <w:sz w:val="18"/>
                <w:szCs w:val="18"/>
                <w:lang w:val="en-US" w:eastAsia="zh-CN"/>
              </w:rPr>
            </w:pPr>
            <w:r>
              <w:rPr>
                <w:rFonts w:hint="eastAsia" w:ascii="宋体" w:hAnsi="宋体" w:cs="宋体"/>
                <w:kern w:val="0"/>
                <w:sz w:val="18"/>
                <w:szCs w:val="18"/>
                <w:lang w:val="en-US" w:eastAsia="zh-CN"/>
              </w:rPr>
              <w:t>8</w:t>
            </w:r>
            <w:r>
              <w:rPr>
                <w:rFonts w:hint="default" w:ascii="宋体" w:hAnsi="宋体" w:cs="宋体"/>
                <w:kern w:val="0"/>
                <w:sz w:val="18"/>
                <w:szCs w:val="18"/>
                <w:lang w:val="en-US" w:eastAsia="zh-CN"/>
              </w:rPr>
              <w:t>、立杆机柜，每年应进行一次油漆。平时在日常巡检过程中，如出现有生锈的情况，则及时油漆。由采购人书面确认。未履行的每次扣除费用5000元。（注：若发现生锈，一周内处理完毕）</w:t>
            </w:r>
          </w:p>
          <w:p>
            <w:pPr>
              <w:widowControl/>
              <w:rPr>
                <w:rFonts w:hint="default" w:ascii="宋体" w:hAnsi="宋体" w:cs="宋体"/>
                <w:kern w:val="0"/>
                <w:sz w:val="18"/>
                <w:szCs w:val="18"/>
                <w:lang w:val="en-US" w:eastAsia="zh-CN"/>
              </w:rPr>
            </w:pPr>
            <w:r>
              <w:rPr>
                <w:rFonts w:hint="eastAsia" w:ascii="宋体" w:hAnsi="宋体" w:cs="宋体"/>
                <w:kern w:val="0"/>
                <w:sz w:val="18"/>
                <w:szCs w:val="18"/>
                <w:lang w:val="en-US" w:eastAsia="zh-CN"/>
              </w:rPr>
              <w:t>9</w:t>
            </w:r>
            <w:r>
              <w:rPr>
                <w:rFonts w:hint="default" w:ascii="宋体" w:hAnsi="宋体" w:cs="宋体"/>
                <w:kern w:val="0"/>
                <w:sz w:val="18"/>
                <w:szCs w:val="18"/>
                <w:lang w:val="en-US" w:eastAsia="zh-CN"/>
              </w:rPr>
              <w:t>、为保证采购人系统平台的正常使用，管道、基础、窨井、线缆、摄像机等设备损坏后，无论何种原因成交人都应2小时内响应，并在48小时内修复，未履行的每次扣除费用500元。待查明损坏原因后，由成交人向相关责任人、单位追偿损失。</w:t>
            </w:r>
          </w:p>
          <w:p>
            <w:pPr>
              <w:widowControl/>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r>
              <w:rPr>
                <w:rFonts w:hint="default" w:ascii="宋体" w:hAnsi="宋体" w:cs="宋体"/>
                <w:kern w:val="0"/>
                <w:sz w:val="18"/>
                <w:szCs w:val="18"/>
                <w:lang w:val="en-US" w:eastAsia="zh-CN"/>
              </w:rPr>
              <w:t>、成交人必须给后续项目提供免费的技术支持。</w:t>
            </w:r>
          </w:p>
          <w:p>
            <w:pPr>
              <w:widowControl/>
              <w:rPr>
                <w:rFonts w:hint="eastAsia" w:ascii="宋体" w:hAnsi="宋体" w:cs="宋体"/>
                <w:kern w:val="0"/>
                <w:sz w:val="18"/>
                <w:szCs w:val="18"/>
              </w:rPr>
            </w:pPr>
            <w:r>
              <w:rPr>
                <w:rFonts w:hint="eastAsia" w:ascii="宋体" w:hAnsi="宋体" w:cs="宋体"/>
                <w:kern w:val="0"/>
                <w:sz w:val="18"/>
                <w:szCs w:val="18"/>
                <w:lang w:val="en-US" w:eastAsia="zh-CN"/>
              </w:rPr>
              <w:t>11</w:t>
            </w:r>
            <w:r>
              <w:rPr>
                <w:rFonts w:hint="default" w:ascii="宋体" w:hAnsi="宋体" w:cs="宋体"/>
                <w:kern w:val="0"/>
                <w:sz w:val="18"/>
                <w:szCs w:val="18"/>
                <w:lang w:val="en-US" w:eastAsia="zh-CN"/>
              </w:rPr>
              <w:t>、线路图、管道图、维护保养涉及的相关材料应在验收前提供。</w:t>
            </w:r>
          </w:p>
        </w:tc>
      </w:tr>
    </w:tbl>
    <w:p>
      <w:pPr>
        <w:widowControl/>
        <w:rPr>
          <w:rFonts w:hint="eastAsia" w:ascii="宋体" w:hAnsi="宋体" w:cs="宋体"/>
          <w:kern w:val="0"/>
          <w:sz w:val="18"/>
          <w:szCs w:val="18"/>
        </w:rPr>
      </w:pPr>
    </w:p>
    <w:p>
      <w:pPr>
        <w:widowControl/>
        <w:spacing w:line="560" w:lineRule="exact"/>
        <w:ind w:firstLine="482"/>
        <w:rPr>
          <w:rFonts w:hint="eastAsia" w:asciiTheme="minorEastAsia" w:hAnsiTheme="minorEastAsia" w:eastAsiaTheme="minorEastAsia"/>
          <w:b/>
          <w:bCs/>
          <w:color w:val="auto"/>
          <w:sz w:val="24"/>
          <w:highlight w:val="none"/>
          <w:lang w:eastAsia="zh-CN"/>
        </w:rPr>
      </w:pPr>
      <w:r>
        <w:rPr>
          <w:b/>
          <w:bCs/>
          <w:color w:val="auto"/>
          <w:sz w:val="24"/>
        </w:rPr>
        <w:t>注：本招标项目必须要实质性满足技术要求和商务要求：</w:t>
      </w:r>
    </w:p>
    <w:p>
      <w:pPr>
        <w:pStyle w:val="2"/>
        <w:spacing w:line="560" w:lineRule="exact"/>
        <w:ind w:firstLine="48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1</w:t>
      </w:r>
      <w:r>
        <w:rPr>
          <w:rFonts w:asciiTheme="minorEastAsia" w:hAnsiTheme="minorEastAsia" w:eastAsiaTheme="minorEastAsia"/>
          <w:b/>
          <w:bCs/>
          <w:color w:val="auto"/>
          <w:sz w:val="24"/>
        </w:rPr>
        <w:t>、投标人提供的货物必须是原装全新、高于或等于招标文件规定技术参数的产品。</w:t>
      </w:r>
    </w:p>
    <w:p>
      <w:pPr>
        <w:widowControl/>
        <w:spacing w:line="560" w:lineRule="exact"/>
        <w:ind w:firstLine="48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2</w:t>
      </w:r>
      <w:r>
        <w:rPr>
          <w:rFonts w:asciiTheme="minorEastAsia" w:hAnsiTheme="minorEastAsia" w:eastAsiaTheme="minorEastAsia"/>
          <w:b/>
          <w:bCs/>
          <w:color w:val="auto"/>
          <w:sz w:val="24"/>
        </w:rPr>
        <w:t>、属于</w:t>
      </w:r>
      <w:r>
        <w:rPr>
          <w:rFonts w:hint="eastAsia" w:asciiTheme="minorEastAsia" w:hAnsiTheme="minorEastAsia" w:eastAsiaTheme="minorEastAsia"/>
          <w:b/>
          <w:bCs/>
          <w:color w:val="auto"/>
          <w:sz w:val="24"/>
          <w:lang w:val="en-US" w:eastAsia="zh-CN"/>
        </w:rPr>
        <w:t>节能</w:t>
      </w:r>
      <w:r>
        <w:rPr>
          <w:rFonts w:asciiTheme="minorEastAsia" w:hAnsiTheme="minorEastAsia" w:eastAsiaTheme="minorEastAsia"/>
          <w:b/>
          <w:bCs/>
          <w:color w:val="auto"/>
          <w:sz w:val="24"/>
        </w:rPr>
        <w:t>产品政府采购清单规定必须强制采购的, 必须采购当期</w:t>
      </w:r>
      <w:r>
        <w:rPr>
          <w:rFonts w:hint="eastAsia" w:asciiTheme="minorEastAsia" w:hAnsiTheme="minorEastAsia" w:eastAsiaTheme="minorEastAsia"/>
          <w:b/>
          <w:bCs/>
          <w:color w:val="auto"/>
          <w:sz w:val="24"/>
          <w:lang w:val="en-US" w:eastAsia="zh-CN"/>
        </w:rPr>
        <w:t>节能</w:t>
      </w:r>
      <w:r>
        <w:rPr>
          <w:rFonts w:asciiTheme="minorEastAsia" w:hAnsiTheme="minorEastAsia" w:eastAsiaTheme="minorEastAsia"/>
          <w:b/>
          <w:bCs/>
          <w:color w:val="auto"/>
          <w:sz w:val="24"/>
        </w:rPr>
        <w:t>产品政府采购清单内设备或产品；在价格、技术、服务等指标同等条件下，优先采购</w:t>
      </w:r>
      <w:r>
        <w:rPr>
          <w:rFonts w:hint="eastAsia" w:asciiTheme="minorEastAsia" w:hAnsiTheme="minorEastAsia" w:eastAsiaTheme="minorEastAsia"/>
          <w:b/>
          <w:bCs/>
          <w:color w:val="auto"/>
          <w:sz w:val="24"/>
          <w:lang w:val="en-US" w:eastAsia="zh-CN"/>
        </w:rPr>
        <w:t>节能</w:t>
      </w:r>
      <w:r>
        <w:rPr>
          <w:rFonts w:asciiTheme="minorEastAsia" w:hAnsiTheme="minorEastAsia" w:eastAsiaTheme="minorEastAsia"/>
          <w:b/>
          <w:bCs/>
          <w:color w:val="auto"/>
          <w:sz w:val="24"/>
        </w:rPr>
        <w:t>产品（开标时需提供投标人所投产品属于政府采购清单规定的</w:t>
      </w:r>
      <w:r>
        <w:rPr>
          <w:rFonts w:hint="eastAsia" w:asciiTheme="minorEastAsia" w:hAnsiTheme="minorEastAsia" w:eastAsiaTheme="minorEastAsia"/>
          <w:b/>
          <w:bCs/>
          <w:color w:val="auto"/>
          <w:sz w:val="24"/>
          <w:lang w:val="en-US" w:eastAsia="zh-CN"/>
        </w:rPr>
        <w:t>节能</w:t>
      </w:r>
      <w:r>
        <w:rPr>
          <w:rFonts w:asciiTheme="minorEastAsia" w:hAnsiTheme="minorEastAsia" w:eastAsiaTheme="minorEastAsia"/>
          <w:b/>
          <w:bCs/>
          <w:color w:val="auto"/>
          <w:sz w:val="24"/>
        </w:rPr>
        <w:t>产品的证明材料）。</w:t>
      </w:r>
    </w:p>
    <w:p>
      <w:pPr>
        <w:widowControl/>
        <w:spacing w:line="560" w:lineRule="exact"/>
        <w:ind w:firstLine="482"/>
        <w:rPr>
          <w:rFonts w:asciiTheme="minorEastAsia" w:hAnsiTheme="minorEastAsia" w:eastAsiaTheme="minorEastAsia"/>
          <w:b/>
          <w:bCs/>
          <w:color w:val="auto"/>
          <w:sz w:val="24"/>
        </w:rPr>
      </w:pPr>
    </w:p>
    <w:p>
      <w:pPr>
        <w:pStyle w:val="4"/>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eastAsia="zh-CN"/>
        </w:rPr>
      </w:pPr>
      <w:bookmarkStart w:id="279" w:name="_Toc3770"/>
    </w:p>
    <w:p>
      <w:pPr>
        <w:rPr>
          <w:rFonts w:hint="eastAsia"/>
          <w:color w:val="auto"/>
          <w:sz w:val="32"/>
          <w:szCs w:val="32"/>
          <w:highlight w:val="none"/>
          <w:lang w:eastAsia="zh-CN"/>
        </w:rPr>
      </w:pPr>
    </w:p>
    <w:p>
      <w:pPr>
        <w:pStyle w:val="23"/>
        <w:rPr>
          <w:rFonts w:hint="eastAsia"/>
          <w:lang w:eastAsia="zh-CN"/>
        </w:rPr>
      </w:pPr>
    </w:p>
    <w:p>
      <w:pPr>
        <w:pStyle w:val="24"/>
        <w:rPr>
          <w:rFonts w:hint="eastAsia"/>
          <w:lang w:eastAsia="zh-CN"/>
        </w:rPr>
      </w:pPr>
    </w:p>
    <w:p>
      <w:pPr>
        <w:pStyle w:val="10"/>
        <w:rPr>
          <w:rFonts w:hint="eastAsia"/>
          <w:lang w:eastAsia="zh-CN"/>
        </w:rPr>
      </w:pPr>
    </w:p>
    <w:p>
      <w:pPr>
        <w:pStyle w:val="10"/>
        <w:rPr>
          <w:rFonts w:hint="eastAsia"/>
          <w:lang w:eastAsia="zh-CN"/>
        </w:rPr>
      </w:pPr>
    </w:p>
    <w:p>
      <w:pPr>
        <w:pStyle w:val="10"/>
        <w:rPr>
          <w:rFonts w:hint="eastAsia"/>
          <w:lang w:eastAsia="zh-CN"/>
        </w:rPr>
      </w:pPr>
    </w:p>
    <w:p>
      <w:pPr>
        <w:pStyle w:val="10"/>
        <w:rPr>
          <w:rFonts w:hint="eastAsia"/>
          <w:lang w:eastAsia="zh-CN"/>
        </w:rPr>
      </w:pPr>
    </w:p>
    <w:p>
      <w:pPr>
        <w:pStyle w:val="4"/>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eastAsia="zh-CN"/>
        </w:rPr>
      </w:pPr>
    </w:p>
    <w:p>
      <w:pPr>
        <w:pStyle w:val="4"/>
        <w:pageBreakBefore w:val="0"/>
        <w:numPr>
          <w:ilvl w:val="0"/>
          <w:numId w:val="0"/>
        </w:numPr>
        <w:kinsoku/>
        <w:wordWrap/>
        <w:overflowPunct/>
        <w:topLinePunct w:val="0"/>
        <w:bidi w:val="0"/>
        <w:spacing w:before="0" w:beforeAutospacing="0" w:after="0" w:afterAutospacing="0" w:line="360" w:lineRule="auto"/>
        <w:jc w:val="both"/>
        <w:rPr>
          <w:rFonts w:hint="eastAsia"/>
          <w:color w:val="auto"/>
          <w:sz w:val="32"/>
          <w:szCs w:val="32"/>
          <w:highlight w:val="none"/>
          <w:lang w:eastAsia="zh-CN"/>
        </w:rPr>
      </w:pPr>
    </w:p>
    <w:p>
      <w:pPr>
        <w:pStyle w:val="4"/>
        <w:pageBreakBefore w:val="0"/>
        <w:numPr>
          <w:ilvl w:val="0"/>
          <w:numId w:val="0"/>
        </w:numPr>
        <w:kinsoku/>
        <w:wordWrap/>
        <w:overflowPunct/>
        <w:topLinePunct w:val="0"/>
        <w:bidi w:val="0"/>
        <w:spacing w:before="0" w:beforeAutospacing="0" w:after="0" w:afterAutospacing="0" w:line="360" w:lineRule="auto"/>
        <w:ind w:firstLine="3213" w:firstLineChars="1000"/>
        <w:jc w:val="both"/>
        <w:rPr>
          <w:rFonts w:hint="eastAsia"/>
          <w:color w:val="auto"/>
          <w:sz w:val="32"/>
          <w:szCs w:val="32"/>
          <w:highlight w:val="none"/>
          <w:lang w:val="en-US" w:eastAsia="zh-CN"/>
        </w:rPr>
      </w:pPr>
      <w:r>
        <w:rPr>
          <w:rFonts w:hint="eastAsia"/>
          <w:color w:val="auto"/>
          <w:sz w:val="32"/>
          <w:szCs w:val="32"/>
          <w:highlight w:val="none"/>
          <w:lang w:eastAsia="zh-CN"/>
        </w:rPr>
        <w:t>第</w:t>
      </w:r>
      <w:r>
        <w:rPr>
          <w:rFonts w:hint="eastAsia"/>
          <w:color w:val="auto"/>
          <w:sz w:val="32"/>
          <w:szCs w:val="32"/>
          <w:highlight w:val="none"/>
          <w:lang w:val="en-US" w:eastAsia="zh-CN"/>
        </w:rPr>
        <w:t>六章 质疑与投诉</w:t>
      </w:r>
      <w:bookmarkEnd w:id="279"/>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一、质疑与答复</w:t>
      </w:r>
    </w:p>
    <w:p>
      <w:pPr>
        <w:pStyle w:val="23"/>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 参与政府采购活动的</w:t>
      </w:r>
      <w:r>
        <w:rPr>
          <w:rFonts w:hint="eastAsia" w:ascii="宋体" w:hAnsi="宋体" w:eastAsia="宋体" w:cs="宋体"/>
          <w:color w:val="auto"/>
          <w:sz w:val="21"/>
          <w:szCs w:val="21"/>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4"/>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eastAsia="zh-CN"/>
        </w:rPr>
        <w:t>供</w:t>
      </w:r>
      <w:r>
        <w:rPr>
          <w:rFonts w:hint="eastAsia" w:ascii="宋体" w:hAnsi="宋体" w:eastAsia="宋体" w:cs="宋体"/>
          <w:color w:val="auto"/>
          <w:sz w:val="21"/>
          <w:szCs w:val="21"/>
          <w:highlight w:val="none"/>
        </w:rPr>
        <w:t>应商提出质疑应当提交质疑函和必要的证明材料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政府采购供应商质疑函范本下载地址：</w:t>
      </w:r>
    </w:p>
    <w:p>
      <w:pPr>
        <w:pStyle w:val="24"/>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"http://download.ccgp.gov.cn/2018/zhiyihanfanben.zip；" </w:instrText>
      </w:r>
      <w:r>
        <w:rPr>
          <w:rFonts w:hint="eastAsia" w:ascii="宋体" w:hAnsi="宋体" w:eastAsia="宋体" w:cs="宋体"/>
          <w:color w:val="auto"/>
          <w:sz w:val="21"/>
          <w:szCs w:val="21"/>
          <w:highlight w:val="none"/>
          <w:lang w:val="en-US" w:eastAsia="zh-CN"/>
        </w:rPr>
        <w:fldChar w:fldCharType="separate"/>
      </w:r>
      <w:r>
        <w:rPr>
          <w:rStyle w:val="28"/>
          <w:rFonts w:hint="eastAsia" w:ascii="宋体" w:hAnsi="宋体" w:eastAsia="宋体" w:cs="宋体"/>
          <w:color w:val="auto"/>
          <w:sz w:val="21"/>
          <w:szCs w:val="21"/>
          <w:highlight w:val="none"/>
          <w:lang w:val="en-US" w:eastAsia="zh-CN"/>
        </w:rPr>
        <w:t>http://download.ccgp.gov.cn/2018/zhiyihanfanben.zip；</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numPr>
          <w:ilvl w:val="0"/>
          <w:numId w:val="13"/>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13"/>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供应商提出质疑应当提交质疑函和必要的证明材料。质疑函应当包括下列内容：</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供应商的姓名或者名称、地址、邮编、联系人及联系电话；</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质疑项目的名称、编号；</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具体、明确的质疑事项和与质疑事项相关的请求；</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必要的法律依据；</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提出质疑的日期；</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获取招标文件的凭证；</w:t>
      </w:r>
    </w:p>
    <w:p>
      <w:pPr>
        <w:keepNext w:val="0"/>
        <w:keepLines w:val="0"/>
        <w:pageBreakBefore w:val="0"/>
        <w:widowControl w:val="0"/>
        <w:numPr>
          <w:ilvl w:val="1"/>
          <w:numId w:val="13"/>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以上资料一式二份（</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、采购代理机构各执一份）。</w:t>
      </w:r>
    </w:p>
    <w:p>
      <w:pPr>
        <w:keepNext w:val="0"/>
        <w:keepLines w:val="0"/>
        <w:pageBreakBefore w:val="0"/>
        <w:widowControl w:val="0"/>
        <w:numPr>
          <w:ilvl w:val="0"/>
          <w:numId w:val="13"/>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二、投诉与处理</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质疑供应商对采购人、采购代理机构的答复不满意，或者采购人、采购代理机构未在规定时间内作出答复的，可以在答复期满后15个工作日内向财政部门提起投诉。</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1"/>
          <w:szCs w:val="21"/>
          <w:highlight w:val="none"/>
          <w:lang w:val="en-US" w:eastAsia="zh-CN"/>
        </w:rPr>
        <w:t>政府采购供应商投诉书范本下载地址：</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"http://download.ccgp.gov.cn/2018/tousushufanben.zip" </w:instrText>
      </w:r>
      <w:r>
        <w:rPr>
          <w:rFonts w:hint="eastAsia" w:ascii="宋体" w:hAnsi="宋体" w:eastAsia="宋体" w:cs="宋体"/>
          <w:color w:val="auto"/>
          <w:sz w:val="21"/>
          <w:szCs w:val="21"/>
          <w:highlight w:val="none"/>
          <w:lang w:val="en-US" w:eastAsia="zh-CN"/>
        </w:rPr>
        <w:fldChar w:fldCharType="separate"/>
      </w:r>
      <w:r>
        <w:rPr>
          <w:rStyle w:val="28"/>
          <w:rFonts w:hint="eastAsia" w:ascii="宋体" w:hAnsi="宋体" w:eastAsia="宋体" w:cs="宋体"/>
          <w:color w:val="auto"/>
          <w:sz w:val="21"/>
          <w:szCs w:val="21"/>
          <w:highlight w:val="none"/>
          <w:lang w:val="en-US" w:eastAsia="zh-CN"/>
        </w:rPr>
        <w:t>http://download.ccgp.gov.cn/2018/tousushufanben.zip</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numPr>
          <w:ilvl w:val="0"/>
          <w:numId w:val="3"/>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财政部门自收到投诉之日起30个工作日内，对投诉事项作出处理决定</w:t>
      </w:r>
      <w:r>
        <w:rPr>
          <w:rFonts w:hint="eastAsia" w:ascii="宋体" w:hAnsi="宋体" w:eastAsia="宋体" w:cs="宋体"/>
          <w:color w:val="auto"/>
          <w:sz w:val="21"/>
          <w:szCs w:val="21"/>
          <w:highlight w:val="none"/>
          <w:lang w:val="en-US" w:eastAsia="zh-CN"/>
        </w:rPr>
        <w:t>并公示</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投诉人有财政部94号令第三十七条情形的，属于虚假、恶意投诉，由财政部门列入不良行为记录名单，禁止其1至3年内参加政府采购活动。</w:t>
      </w:r>
    </w:p>
    <w:p>
      <w:pPr>
        <w:pStyle w:val="24"/>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center"/>
        <w:textAlignment w:val="auto"/>
        <w:rPr>
          <w:rFonts w:hint="eastAsia" w:ascii="宋体" w:hAnsi="宋体" w:eastAsia="宋体" w:cs="宋体"/>
          <w:b w:val="0"/>
          <w:bCs w:val="0"/>
          <w:color w:val="auto"/>
          <w:sz w:val="21"/>
          <w:szCs w:val="21"/>
          <w:highlight w:val="none"/>
          <w:lang w:val="en-US" w:eastAsia="zh-CN"/>
        </w:rPr>
      </w:pPr>
      <w:bookmarkStart w:id="280" w:name="_Toc5413"/>
      <w:r>
        <w:rPr>
          <w:rFonts w:hint="eastAsia" w:ascii="宋体" w:hAnsi="宋体" w:eastAsia="宋体" w:cs="宋体"/>
          <w:b w:val="0"/>
          <w:bCs w:val="0"/>
          <w:color w:val="auto"/>
          <w:sz w:val="21"/>
          <w:szCs w:val="21"/>
          <w:highlight w:val="none"/>
          <w:lang w:val="en-US" w:eastAsia="zh-CN"/>
        </w:rPr>
        <w:t>投诉联系电话：0391-8683273  地址：博爱县机关综合办公楼主楼1213室</w:t>
      </w:r>
      <w:bookmarkEnd w:id="280"/>
      <w:r>
        <w:rPr>
          <w:rFonts w:hint="eastAsia" w:ascii="宋体" w:hAnsi="宋体" w:eastAsia="宋体" w:cs="宋体"/>
          <w:b w:val="0"/>
          <w:bCs w:val="0"/>
          <w:color w:val="auto"/>
          <w:sz w:val="21"/>
          <w:szCs w:val="21"/>
          <w:highlight w:val="none"/>
          <w:lang w:val="en-US" w:eastAsia="zh-CN"/>
        </w:rPr>
        <w:t xml:space="preserve"> </w:t>
      </w:r>
    </w:p>
    <w:p>
      <w:pPr>
        <w:rPr>
          <w:rFonts w:hint="eastAsia" w:ascii="宋体" w:hAnsi="宋体" w:eastAsia="宋体" w:cs="宋体"/>
          <w:b w:val="0"/>
          <w:bCs w:val="0"/>
          <w:color w:val="auto"/>
          <w:sz w:val="21"/>
          <w:szCs w:val="21"/>
          <w:highlight w:val="none"/>
          <w:lang w:val="en-US" w:eastAsia="zh-CN"/>
        </w:rPr>
      </w:pPr>
    </w:p>
    <w:p>
      <w:pPr>
        <w:pStyle w:val="5"/>
        <w:rPr>
          <w:rFonts w:hint="eastAsia"/>
          <w:color w:val="auto"/>
          <w:sz w:val="21"/>
          <w:szCs w:val="21"/>
          <w:highlight w:val="none"/>
        </w:rPr>
      </w:pPr>
    </w:p>
    <w:p>
      <w:pPr>
        <w:rPr>
          <w:rFonts w:hint="eastAsia"/>
          <w:color w:val="auto"/>
          <w:sz w:val="21"/>
          <w:szCs w:val="21"/>
          <w:highlight w:val="none"/>
        </w:rPr>
      </w:pPr>
    </w:p>
    <w:p>
      <w:pPr>
        <w:pStyle w:val="5"/>
        <w:rPr>
          <w:rFonts w:hint="eastAsia"/>
          <w:color w:val="auto"/>
          <w:sz w:val="21"/>
          <w:szCs w:val="21"/>
          <w:highlight w:val="none"/>
        </w:rPr>
      </w:pPr>
    </w:p>
    <w:p>
      <w:pPr>
        <w:rPr>
          <w:rFonts w:hint="eastAsia"/>
          <w:color w:val="auto"/>
          <w:sz w:val="21"/>
          <w:szCs w:val="21"/>
          <w:highlight w:val="none"/>
        </w:rPr>
      </w:pPr>
    </w:p>
    <w:p>
      <w:pPr>
        <w:pStyle w:val="5"/>
        <w:rPr>
          <w:rFonts w:hint="eastAsia"/>
          <w:color w:val="auto"/>
          <w:sz w:val="21"/>
          <w:szCs w:val="21"/>
          <w:highlight w:val="none"/>
        </w:rPr>
      </w:pPr>
    </w:p>
    <w:p>
      <w:pPr>
        <w:rPr>
          <w:rFonts w:hint="eastAsia"/>
          <w:color w:val="auto"/>
          <w:highlight w:val="none"/>
        </w:rPr>
      </w:pPr>
    </w:p>
    <w:p>
      <w:pPr>
        <w:pStyle w:val="3"/>
        <w:rPr>
          <w:color w:val="auto"/>
          <w:highlight w:val="none"/>
        </w:rPr>
      </w:pPr>
    </w:p>
    <w:p>
      <w:pPr>
        <w:pStyle w:val="2"/>
        <w:rPr>
          <w:color w:val="auto"/>
          <w:highlight w:val="none"/>
        </w:rPr>
      </w:pPr>
    </w:p>
    <w:p>
      <w:pPr>
        <w:pStyle w:val="3"/>
        <w:rPr>
          <w:color w:val="auto"/>
          <w:highlight w:val="none"/>
        </w:rPr>
      </w:pPr>
    </w:p>
    <w:p>
      <w:pPr>
        <w:pStyle w:val="23"/>
        <w:pageBreakBefore w:val="0"/>
        <w:kinsoku/>
        <w:wordWrap/>
        <w:overflowPunct/>
        <w:topLinePunct w:val="0"/>
        <w:bidi w:val="0"/>
        <w:spacing w:beforeAutospacing="0" w:after="0" w:afterAutospacing="0" w:line="360" w:lineRule="auto"/>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p>
    <w:p>
      <w:pPr>
        <w:pStyle w:val="23"/>
        <w:pageBreakBefore w:val="0"/>
        <w:kinsoku/>
        <w:wordWrap/>
        <w:overflowPunct/>
        <w:topLinePunct w:val="0"/>
        <w:bidi w:val="0"/>
        <w:spacing w:beforeAutospacing="0" w:after="0" w:afterAutospacing="0" w:line="360" w:lineRule="auto"/>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第七章 履约验收</w:t>
      </w:r>
    </w:p>
    <w:p>
      <w:pPr>
        <w:pStyle w:val="24"/>
        <w:rPr>
          <w:rFonts w:hint="eastAsia"/>
          <w:color w:val="auto"/>
          <w:highlight w:val="none"/>
          <w:lang w:val="en-US" w:eastAsia="zh-CN"/>
        </w:rPr>
      </w:pPr>
    </w:p>
    <w:p>
      <w:pPr>
        <w:pStyle w:val="23"/>
        <w:pageBreakBefore w:val="0"/>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供应商履约完成后，向采购人提出验收建议，采购人自收到验收建议之日起五个工作日内，采购人组织供应商参与，共同完成验收。技术复杂、专业性强等项目可适当延长验收时间。验收流程如下：</w:t>
      </w:r>
    </w:p>
    <w:p>
      <w:pPr>
        <w:pStyle w:val="23"/>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3"/>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3"/>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3"/>
        <w:pageBreakBefore w:val="0"/>
        <w:numPr>
          <w:ilvl w:val="0"/>
          <w:numId w:val="14"/>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2"/>
        <w:rPr>
          <w:rFonts w:hint="eastAsia" w:asciiTheme="minorEastAsia" w:hAnsiTheme="minorEastAsia" w:eastAsiaTheme="minorEastAsia" w:cstheme="minorEastAsia"/>
          <w:color w:val="auto"/>
          <w:sz w:val="21"/>
          <w:szCs w:val="21"/>
          <w:highlight w:val="none"/>
        </w:rPr>
      </w:pPr>
    </w:p>
    <w:p>
      <w:pPr>
        <w:pStyle w:val="3"/>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3"/>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3"/>
        <w:rPr>
          <w:rFonts w:hint="eastAsia" w:asciiTheme="minorEastAsia" w:hAnsiTheme="minorEastAsia" w:eastAsiaTheme="minorEastAsia" w:cstheme="minorEastAsia"/>
          <w:color w:val="auto"/>
          <w:sz w:val="21"/>
          <w:szCs w:val="21"/>
          <w:highlight w:val="none"/>
        </w:rPr>
      </w:pPr>
    </w:p>
    <w:p>
      <w:pPr>
        <w:pStyle w:val="2"/>
        <w:rPr>
          <w:rFonts w:hint="eastAsia"/>
          <w:color w:val="auto"/>
        </w:rPr>
      </w:pPr>
    </w:p>
    <w:p>
      <w:pPr>
        <w:pStyle w:val="2"/>
        <w:rPr>
          <w:color w:val="auto"/>
          <w:highlight w:val="none"/>
        </w:rPr>
      </w:pPr>
    </w:p>
    <w:p>
      <w:pPr>
        <w:pStyle w:val="6"/>
        <w:spacing w:line="600" w:lineRule="exact"/>
        <w:ind w:right="-63" w:rightChars="-30"/>
        <w:rPr>
          <w:rFonts w:asciiTheme="minorEastAsia" w:hAnsiTheme="minorEastAsia" w:eastAsiaTheme="minorEastAsia" w:cstheme="minorEastAsia"/>
          <w:color w:val="auto"/>
          <w:sz w:val="36"/>
          <w:szCs w:val="36"/>
          <w:highlight w:val="none"/>
        </w:rPr>
      </w:pPr>
      <w:bookmarkStart w:id="281" w:name="_Toc28084"/>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八</w:t>
      </w:r>
      <w:r>
        <w:rPr>
          <w:rFonts w:hint="eastAsia" w:asciiTheme="minorEastAsia" w:hAnsiTheme="minorEastAsia" w:eastAsiaTheme="minorEastAsia" w:cstheme="minorEastAsia"/>
          <w:color w:val="auto"/>
          <w:sz w:val="36"/>
          <w:szCs w:val="36"/>
          <w:highlight w:val="none"/>
        </w:rPr>
        <w:t>章  投标文件格式</w:t>
      </w:r>
      <w:bookmarkEnd w:id="276"/>
      <w:bookmarkEnd w:id="277"/>
      <w:bookmarkEnd w:id="278"/>
      <w:bookmarkEnd w:id="281"/>
    </w:p>
    <w:p>
      <w:pPr>
        <w:rPr>
          <w:rFonts w:asciiTheme="minorEastAsia" w:hAnsiTheme="minorEastAsia" w:eastAsiaTheme="minorEastAsia" w:cstheme="minorEastAsia"/>
          <w:color w:val="auto"/>
          <w:highlight w:val="none"/>
        </w:rPr>
      </w:pPr>
      <w:bookmarkStart w:id="282" w:name="_Toc18905"/>
      <w:bookmarkStart w:id="283" w:name="_Toc27452"/>
      <w:bookmarkStart w:id="284" w:name="_Toc402961301"/>
      <w:bookmarkStart w:id="285" w:name="_Toc403122573"/>
    </w:p>
    <w:bookmarkEnd w:id="282"/>
    <w:bookmarkEnd w:id="283"/>
    <w:bookmarkEnd w:id="284"/>
    <w:bookmarkEnd w:id="285"/>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4"/>
        <w:rPr>
          <w:color w:val="auto"/>
          <w:highlight w:val="none"/>
        </w:rPr>
      </w:pPr>
    </w:p>
    <w:p>
      <w:pPr>
        <w:pStyle w:val="24"/>
        <w:rPr>
          <w:color w:val="auto"/>
          <w:highlight w:val="none"/>
        </w:rPr>
      </w:pPr>
    </w:p>
    <w:p>
      <w:pPr>
        <w:pStyle w:val="24"/>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12"/>
        <w:rPr>
          <w:rFonts w:hint="eastAsia"/>
          <w:color w:val="auto"/>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7"/>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7"/>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7"/>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24"/>
        <w:rPr>
          <w:rFonts w:asciiTheme="minorEastAsia" w:hAnsiTheme="minorEastAsia" w:eastAsiaTheme="minorEastAsia" w:cstheme="minorEastAsia"/>
          <w:b/>
          <w:bCs/>
          <w:color w:val="auto"/>
          <w:sz w:val="44"/>
          <w:szCs w:val="44"/>
          <w:highlight w:val="none"/>
        </w:rPr>
      </w:pPr>
    </w:p>
    <w:p>
      <w:pPr>
        <w:rPr>
          <w:rFonts w:asciiTheme="minorEastAsia" w:hAnsiTheme="minorEastAsia" w:eastAsiaTheme="minorEastAsia" w:cstheme="minorEastAsia"/>
          <w:b/>
          <w:bCs/>
          <w:color w:val="auto"/>
          <w:sz w:val="44"/>
          <w:szCs w:val="44"/>
          <w:highlight w:val="none"/>
        </w:rPr>
      </w:pPr>
    </w:p>
    <w:p>
      <w:pPr>
        <w:pStyle w:val="24"/>
        <w:rPr>
          <w:color w:val="auto"/>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asciiTheme="minorEastAsia" w:hAnsiTheme="minorEastAsia" w:eastAsiaTheme="minorEastAsia" w:cstheme="minorEastAsia"/>
          <w:b/>
          <w:bCs/>
          <w:color w:val="auto"/>
          <w:sz w:val="28"/>
          <w:szCs w:val="28"/>
          <w:highlight w:val="none"/>
        </w:rPr>
      </w:pPr>
      <w:bookmarkStart w:id="286" w:name="_Toc31547"/>
      <w:bookmarkStart w:id="287" w:name="_Toc2130"/>
      <w:bookmarkStart w:id="288" w:name="_Toc647"/>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89" w:name="_Toc1921"/>
      <w:r>
        <w:rPr>
          <w:rFonts w:hint="eastAsia" w:asciiTheme="minorEastAsia" w:hAnsiTheme="minorEastAsia" w:eastAsiaTheme="minorEastAsia" w:cstheme="minorEastAsia"/>
          <w:b/>
          <w:bCs/>
          <w:color w:val="auto"/>
          <w:sz w:val="30"/>
          <w:szCs w:val="30"/>
          <w:highlight w:val="none"/>
        </w:rPr>
        <w:t>一、投标函</w:t>
      </w:r>
      <w:bookmarkEnd w:id="286"/>
      <w:r>
        <w:rPr>
          <w:rFonts w:hint="eastAsia" w:asciiTheme="minorEastAsia" w:hAnsiTheme="minorEastAsia" w:eastAsiaTheme="minorEastAsia" w:cstheme="minorEastAsia"/>
          <w:b/>
          <w:bCs/>
          <w:color w:val="auto"/>
          <w:sz w:val="30"/>
          <w:szCs w:val="30"/>
          <w:highlight w:val="none"/>
        </w:rPr>
        <w:t>及开标一览表</w:t>
      </w:r>
      <w:bookmarkEnd w:id="287"/>
      <w:bookmarkEnd w:id="288"/>
      <w:bookmarkEnd w:id="289"/>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jc w:val="center"/>
        <w:textAlignment w:val="auto"/>
        <w:outlineLvl w:val="2"/>
        <w:rPr>
          <w:rFonts w:hint="eastAsia" w:asciiTheme="minorEastAsia" w:hAnsiTheme="minorEastAsia" w:eastAsiaTheme="minorEastAsia" w:cstheme="minorEastAsia"/>
          <w:b/>
          <w:color w:val="auto"/>
          <w:sz w:val="28"/>
          <w:szCs w:val="28"/>
          <w:highlight w:val="none"/>
        </w:rPr>
      </w:pPr>
      <w:bookmarkStart w:id="290" w:name="_Toc28684"/>
      <w:bookmarkStart w:id="291" w:name="_Toc600"/>
      <w:bookmarkStart w:id="292" w:name="_Toc12044"/>
      <w:bookmarkStart w:id="293" w:name="_Toc699"/>
      <w:bookmarkStart w:id="294" w:name="_Toc27218"/>
      <w:r>
        <w:rPr>
          <w:rFonts w:hint="eastAsia" w:asciiTheme="minorEastAsia" w:hAnsiTheme="minorEastAsia" w:eastAsiaTheme="minorEastAsia" w:cstheme="minorEastAsia"/>
          <w:b/>
          <w:color w:val="auto"/>
          <w:sz w:val="28"/>
          <w:szCs w:val="28"/>
          <w:highlight w:val="none"/>
        </w:rPr>
        <w:t>投标函</w:t>
      </w:r>
      <w:bookmarkEnd w:id="290"/>
      <w:bookmarkEnd w:id="291"/>
      <w:bookmarkEnd w:id="292"/>
      <w:bookmarkEnd w:id="293"/>
      <w:bookmarkEnd w:id="294"/>
    </w:p>
    <w:p>
      <w:pPr>
        <w:pStyle w:val="24"/>
        <w:numPr>
          <w:ilvl w:val="0"/>
          <w:numId w:val="0"/>
        </w:numPr>
        <w:rPr>
          <w:color w:val="auto"/>
        </w:rPr>
      </w:pPr>
    </w:p>
    <w:p>
      <w:pPr>
        <w:pageBreakBefore w:val="0"/>
        <w:widowControl/>
        <w:kinsoku/>
        <w:wordWrap/>
        <w:overflowPunct/>
        <w:topLinePunct w:val="0"/>
        <w:bidi w:val="0"/>
        <w:spacing w:beforeAutospacing="0" w:afterAutospacing="0" w:line="360" w:lineRule="auto"/>
        <w:ind w:firstLine="562"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3"/>
        <w:pageBreakBefore w:val="0"/>
        <w:kinsoku/>
        <w:wordWrap/>
        <w:overflowPunct/>
        <w:topLinePunct w:val="0"/>
        <w:bidi w:val="0"/>
        <w:spacing w:beforeAutospacing="0" w:after="0" w:afterAutospacing="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我单位已收到的</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项目（采购编号：</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）采购文件及有关纪要通知，现对参与投标及中标后工作，做出如下郑重承诺：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1、我方愿以总价为人民币（大写）</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（小写）￥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元，供货安装期：</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4、我方参与本项目投标的所有资料</w:t>
      </w:r>
      <w:r>
        <w:rPr>
          <w:rFonts w:hint="eastAsia" w:ascii="宋体" w:hAnsi="宋体" w:cs="宋体"/>
          <w:color w:val="auto"/>
          <w:kern w:val="2"/>
          <w:sz w:val="24"/>
          <w:szCs w:val="24"/>
          <w:highlight w:val="none"/>
          <w:lang w:val="en-US" w:eastAsia="zh-CN" w:bidi="ar-SA"/>
        </w:rPr>
        <w:t>真实</w:t>
      </w:r>
      <w:r>
        <w:rPr>
          <w:rFonts w:hint="eastAsia" w:ascii="宋体" w:hAnsi="宋体" w:eastAsia="宋体" w:cs="宋体"/>
          <w:color w:val="auto"/>
          <w:kern w:val="2"/>
          <w:sz w:val="24"/>
          <w:szCs w:val="24"/>
          <w:highlight w:val="none"/>
          <w:lang w:val="en-US" w:eastAsia="zh-CN" w:bidi="ar-SA"/>
        </w:rPr>
        <w:t>有效，未在响应文件中提供虚假材料，无陪标、串标等违法行为。若相关部门查实或被不见面开标系统提示为“投标文件制作机器码一致”的，同意被视为投标无效，接受报监管部门依法作出的处理。</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95" w:name="_Toc14214"/>
      <w:bookmarkStart w:id="296" w:name="_Toc14778"/>
      <w:bookmarkStart w:id="297" w:name="_Toc208"/>
      <w:bookmarkStart w:id="298" w:name="_Toc9543"/>
      <w:bookmarkStart w:id="299" w:name="_Toc31291"/>
      <w:r>
        <w:rPr>
          <w:rFonts w:hint="eastAsia" w:asciiTheme="minorEastAsia" w:hAnsiTheme="minorEastAsia" w:eastAsiaTheme="minorEastAsia" w:cstheme="minorEastAsia"/>
          <w:b/>
          <w:bCs/>
          <w:color w:val="auto"/>
          <w:sz w:val="28"/>
          <w:szCs w:val="28"/>
          <w:highlight w:val="none"/>
        </w:rPr>
        <w:t>（二） 开标一览表</w:t>
      </w:r>
      <w:bookmarkEnd w:id="295"/>
      <w:bookmarkEnd w:id="296"/>
      <w:bookmarkEnd w:id="297"/>
      <w:bookmarkEnd w:id="298"/>
      <w:bookmarkEnd w:id="299"/>
    </w:p>
    <w:p>
      <w:pPr>
        <w:jc w:val="center"/>
        <w:rPr>
          <w:rFonts w:asciiTheme="minorEastAsia" w:hAnsiTheme="minorEastAsia" w:eastAsiaTheme="minorEastAsia" w:cstheme="minorEastAsia"/>
          <w:b/>
          <w:bCs/>
          <w:color w:val="auto"/>
          <w:sz w:val="28"/>
          <w:highlight w:val="none"/>
        </w:rPr>
      </w:pPr>
    </w:p>
    <w:tbl>
      <w:tblPr>
        <w:tblStyle w:val="25"/>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14"/>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yellow"/>
              </w:rPr>
            </w:pPr>
            <w:r>
              <w:rPr>
                <w:rFonts w:hint="eastAsia" w:asciiTheme="minorEastAsia" w:hAnsiTheme="minorEastAsia" w:eastAsiaTheme="minorEastAsia" w:cstheme="minorEastAsia"/>
                <w:color w:val="auto"/>
                <w:sz w:val="24"/>
                <w:highlight w:val="none"/>
                <w:lang w:val="en-US" w:eastAsia="zh-CN"/>
              </w:rPr>
              <w:t>供货安装期</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bCs/>
                <w:iCs/>
                <w:color w:val="auto"/>
                <w:sz w:val="24"/>
                <w:highlight w:val="yellow"/>
                <w:lang w:val="en-US" w:eastAsia="zh-CN"/>
              </w:rPr>
            </w:pPr>
            <w:r>
              <w:rPr>
                <w:rFonts w:hint="eastAsia" w:asciiTheme="minorEastAsia" w:hAnsiTheme="minorEastAsia" w:eastAsiaTheme="minorEastAsia" w:cstheme="minorEastAsia"/>
                <w:bCs/>
                <w:iCs/>
                <w:color w:val="auto"/>
                <w:sz w:val="24"/>
                <w:highlight w:val="none"/>
                <w:lang w:val="en-US" w:eastAsia="zh-CN"/>
              </w:rPr>
              <w:t>质保期</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yellow"/>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4"/>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4"/>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sz w:val="24"/>
          <w:highlight w:val="none"/>
        </w:rPr>
      </w:pPr>
    </w:p>
    <w:p>
      <w:pPr>
        <w:pStyle w:val="6"/>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6"/>
        <w:spacing w:before="120" w:after="120" w:line="500" w:lineRule="exact"/>
        <w:ind w:right="29" w:rightChars="14"/>
        <w:outlineLvl w:val="1"/>
        <w:rPr>
          <w:rFonts w:asciiTheme="minorEastAsia" w:hAnsiTheme="minorEastAsia" w:eastAsiaTheme="minorEastAsia" w:cstheme="minorEastAsia"/>
          <w:color w:val="auto"/>
          <w:sz w:val="24"/>
          <w:highlight w:val="none"/>
        </w:rPr>
        <w:sectPr>
          <w:headerReference r:id="rId9" w:type="default"/>
          <w:footerReference r:id="rId10"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hint="eastAsia" w:asciiTheme="minorEastAsia" w:hAnsiTheme="minorEastAsia" w:eastAsiaTheme="minorEastAsia" w:cstheme="minorEastAsia"/>
          <w:b/>
          <w:bCs/>
          <w:color w:val="auto"/>
          <w:sz w:val="28"/>
          <w:szCs w:val="28"/>
          <w:highlight w:val="none"/>
        </w:rPr>
      </w:pPr>
      <w:bookmarkStart w:id="300" w:name="_Toc25759"/>
      <w:r>
        <w:rPr>
          <w:rFonts w:hint="eastAsia" w:asciiTheme="minorEastAsia" w:hAnsiTheme="minorEastAsia" w:eastAsiaTheme="minorEastAsia" w:cstheme="minorEastAsia"/>
          <w:b/>
          <w:bCs/>
          <w:color w:val="auto"/>
          <w:sz w:val="28"/>
          <w:szCs w:val="28"/>
          <w:highlight w:val="none"/>
        </w:rPr>
        <w:t>（三）报价明细表</w:t>
      </w:r>
      <w:bookmarkEnd w:id="300"/>
    </w:p>
    <w:p>
      <w:pPr>
        <w:spacing w:line="440" w:lineRule="exact"/>
        <w:ind w:firstLine="308" w:firstLineChars="147"/>
        <w:rPr>
          <w:rFonts w:ascii="宋体" w:hAnsi="宋体" w:cs="宋体"/>
          <w:bCs/>
          <w:color w:val="auto"/>
          <w:szCs w:val="21"/>
          <w:highlight w:val="none"/>
        </w:rPr>
      </w:pPr>
    </w:p>
    <w:tbl>
      <w:tblPr>
        <w:tblStyle w:val="25"/>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ind w:firstLine="235" w:firstLineChars="98"/>
              <w:jc w:val="center"/>
              <w:rPr>
                <w:bCs/>
                <w:color w:val="auto"/>
                <w:highlight w:val="none"/>
              </w:rPr>
            </w:pPr>
          </w:p>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22"/>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22"/>
              <w:widowControl w:val="0"/>
              <w:adjustRightInd w:val="0"/>
              <w:spacing w:before="0" w:beforeAutospacing="0" w:after="0" w:afterAutospacing="0" w:line="480" w:lineRule="exact"/>
              <w:jc w:val="both"/>
              <w:rPr>
                <w:rFonts w:hint="eastAsia" w:eastAsia="宋体"/>
                <w:bCs/>
                <w:color w:val="auto"/>
                <w:highlight w:val="none"/>
                <w:lang w:val="en-US" w:eastAsia="zh-CN"/>
              </w:rPr>
            </w:pPr>
            <w:r>
              <w:rPr>
                <w:rFonts w:hint="eastAsia"/>
                <w:bCs/>
                <w:color w:val="auto"/>
                <w:highlight w:val="none"/>
                <w:lang w:val="en-US" w:eastAsia="zh-CN"/>
              </w:rPr>
              <w:t xml:space="preserve"> </w:t>
            </w:r>
          </w:p>
          <w:p>
            <w:pPr>
              <w:pStyle w:val="22"/>
              <w:widowControl w:val="0"/>
              <w:adjustRightInd w:val="0"/>
              <w:spacing w:before="0" w:beforeAutospacing="0" w:after="0" w:afterAutospacing="0" w:line="480" w:lineRule="exact"/>
              <w:jc w:val="both"/>
              <w:rPr>
                <w:bCs/>
                <w:color w:val="auto"/>
                <w:highlight w:val="none"/>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ind w:firstLine="235" w:firstLineChars="98"/>
              <w:jc w:val="center"/>
              <w:rPr>
                <w:bCs/>
                <w:color w:val="auto"/>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22"/>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22"/>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5"/>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2"/>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注：投标人须对照招标文件技术规格，将自己所投的所有货物的功能、技术性能、配置等内容按照上表格式与招标文件要求逐条填写，</w:t>
      </w:r>
      <w:r>
        <w:rPr>
          <w:rFonts w:hint="eastAsia" w:ascii="宋体" w:hAnsi="宋体"/>
          <w:b/>
          <w:bCs/>
          <w:color w:val="auto"/>
          <w:sz w:val="24"/>
          <w:szCs w:val="24"/>
          <w:highlight w:val="none"/>
        </w:rPr>
        <w:t>供应商必须提供所投设备的具体参数值，并在偏离说明栏中标明技术及配置的实际响应情况</w:t>
      </w:r>
      <w:r>
        <w:rPr>
          <w:rFonts w:hint="eastAsia" w:ascii="宋体" w:hAnsi="宋体"/>
          <w:color w:val="auto"/>
          <w:sz w:val="24"/>
          <w:szCs w:val="24"/>
          <w:highlight w:val="none"/>
        </w:rPr>
        <w:t>：</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1、偏离说明栏中必须标明技术及配置的响应情况，整项货物及该项货物各部分相应情况须按下列要求填写，任何不真实响应都将按无效投标处理：</w:t>
      </w:r>
    </w:p>
    <w:p>
      <w:pPr>
        <w:numPr>
          <w:ilvl w:val="0"/>
          <w:numId w:val="16"/>
        </w:numPr>
        <w:ind w:firstLine="480" w:firstLineChars="200"/>
        <w:rPr>
          <w:rFonts w:ascii="宋体" w:hAnsi="宋体"/>
          <w:color w:val="auto"/>
          <w:sz w:val="24"/>
          <w:szCs w:val="24"/>
          <w:highlight w:val="none"/>
        </w:rPr>
      </w:pPr>
      <w:r>
        <w:rPr>
          <w:rFonts w:hint="eastAsia" w:ascii="宋体" w:hAnsi="宋体"/>
          <w:color w:val="auto"/>
          <w:sz w:val="24"/>
          <w:szCs w:val="24"/>
          <w:highlight w:val="none"/>
        </w:rPr>
        <w:t>对应项中的所有技术参数、性能和配置全部符合招标文件要求的才能填写“符合”；</w:t>
      </w:r>
    </w:p>
    <w:p>
      <w:pPr>
        <w:numPr>
          <w:ilvl w:val="0"/>
          <w:numId w:val="16"/>
        </w:numPr>
        <w:ind w:firstLine="480" w:firstLineChars="200"/>
        <w:rPr>
          <w:rFonts w:ascii="宋体" w:hAnsi="宋体"/>
          <w:color w:val="auto"/>
          <w:sz w:val="24"/>
          <w:szCs w:val="24"/>
          <w:highlight w:val="none"/>
        </w:rPr>
      </w:pPr>
      <w:r>
        <w:rPr>
          <w:rFonts w:hint="eastAsia" w:ascii="宋体" w:hAnsi="宋体"/>
          <w:color w:val="auto"/>
          <w:sz w:val="24"/>
          <w:szCs w:val="24"/>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宋体" w:hAnsi="宋体" w:cs="宋体"/>
          <w:color w:val="auto"/>
          <w:sz w:val="24"/>
          <w:highlight w:val="none"/>
        </w:rPr>
        <w:t>（盖章）：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4"/>
        <w:ind w:firstLine="480"/>
        <w:rPr>
          <w:rFonts w:asciiTheme="minorEastAsia" w:hAnsiTheme="minorEastAsia" w:eastAsiaTheme="minorEastAsia" w:cstheme="minorEastAsia"/>
          <w:color w:val="auto"/>
          <w:sz w:val="24"/>
          <w:highlight w:val="none"/>
        </w:rPr>
      </w:pPr>
    </w:p>
    <w:p>
      <w:pPr>
        <w:pStyle w:val="6"/>
        <w:numPr>
          <w:ilvl w:val="0"/>
          <w:numId w:val="17"/>
        </w:numPr>
        <w:spacing w:before="120" w:after="120" w:line="500" w:lineRule="exact"/>
        <w:ind w:right="29" w:rightChars="14"/>
        <w:outlineLvl w:val="1"/>
        <w:rPr>
          <w:rFonts w:hint="eastAsia" w:asciiTheme="minorEastAsia" w:hAnsiTheme="minorEastAsia" w:eastAsiaTheme="minorEastAsia" w:cstheme="minorEastAsia"/>
          <w:color w:val="auto"/>
          <w:sz w:val="30"/>
          <w:szCs w:val="30"/>
          <w:highlight w:val="none"/>
        </w:rPr>
      </w:pPr>
      <w:bookmarkStart w:id="301" w:name="_Toc26698"/>
      <w:bookmarkStart w:id="302" w:name="_Toc2213"/>
      <w:bookmarkStart w:id="303" w:name="_Toc5614"/>
      <w:bookmarkStart w:id="304" w:name="_Toc30677"/>
      <w:r>
        <w:rPr>
          <w:rFonts w:hint="eastAsia" w:asciiTheme="minorEastAsia" w:hAnsiTheme="minorEastAsia" w:eastAsiaTheme="minorEastAsia" w:cstheme="minorEastAsia"/>
          <w:color w:val="auto"/>
          <w:sz w:val="30"/>
          <w:szCs w:val="30"/>
          <w:highlight w:val="none"/>
        </w:rPr>
        <w:t>法定代表人身份证明书</w:t>
      </w:r>
      <w:bookmarkEnd w:id="301"/>
      <w:bookmarkEnd w:id="302"/>
      <w:bookmarkEnd w:id="303"/>
      <w:bookmarkEnd w:id="304"/>
    </w:p>
    <w:p>
      <w:pPr>
        <w:numPr>
          <w:ilvl w:val="0"/>
          <w:numId w:val="0"/>
        </w:numPr>
        <w:rPr>
          <w:color w:val="auto"/>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5"/>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1pmXZAAAACgEA&#10;AA8AAAAAAAAAAQAgAAAAIgAAAGRycy9kb3ducmV2LnhtbFBLAQIUABQAAAAIAIdO4kBSq43dGQIA&#10;AEUEAAAOAAAAAAAAAAEAIAAAACgBAABkcnMvZTJvRG9jLnhtbFBLBQYAAAAABgAGAFkBAACzBQAA&#10;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5"/>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it9kAAAAK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p>
    <w:p>
      <w:pPr>
        <w:rPr>
          <w:rFonts w:hint="eastAsia" w:ascii="宋体" w:hAnsi="宋体"/>
          <w:color w:val="auto"/>
          <w:sz w:val="24"/>
          <w:highlight w:val="none"/>
        </w:rPr>
      </w:pPr>
    </w:p>
    <w:p>
      <w:pPr>
        <w:pStyle w:val="5"/>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pStyle w:val="6"/>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305" w:name="_Toc6009"/>
      <w:bookmarkStart w:id="306" w:name="_Toc15395"/>
    </w:p>
    <w:p>
      <w:pPr>
        <w:pStyle w:val="6"/>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307" w:name="_Toc30169"/>
      <w:bookmarkStart w:id="308" w:name="_Toc17980"/>
      <w:r>
        <w:rPr>
          <w:rFonts w:hint="eastAsia" w:asciiTheme="minorEastAsia" w:hAnsiTheme="minorEastAsia" w:eastAsiaTheme="minorEastAsia" w:cstheme="minorEastAsia"/>
          <w:color w:val="auto"/>
          <w:sz w:val="30"/>
          <w:szCs w:val="30"/>
          <w:highlight w:val="none"/>
        </w:rPr>
        <w:t>三、授权委托书</w:t>
      </w:r>
      <w:bookmarkEnd w:id="305"/>
      <w:bookmarkEnd w:id="306"/>
      <w:bookmarkEnd w:id="307"/>
      <w:bookmarkEnd w:id="308"/>
    </w:p>
    <w:p>
      <w:pPr>
        <w:pStyle w:val="5"/>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asciiTheme="minorEastAsia" w:hAnsiTheme="minorEastAsia" w:eastAsiaTheme="minorEastAsia" w:cstheme="minorEastAsia"/>
          <w:color w:val="auto"/>
          <w:kern w:val="2"/>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46"/>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bookmarkStart w:id="309" w:name="_Toc8304"/>
      <w:bookmarkStart w:id="310" w:name="_Toc25161"/>
      <w:bookmarkStart w:id="311" w:name="_Toc25641"/>
      <w:r>
        <w:rPr>
          <w:rFonts w:hint="eastAsia" w:asciiTheme="minorEastAsia" w:hAnsiTheme="minorEastAsia" w:eastAsiaTheme="minorEastAsia" w:cstheme="minorEastAsia"/>
          <w:b/>
          <w:color w:val="auto"/>
          <w:kern w:val="2"/>
          <w:sz w:val="30"/>
          <w:szCs w:val="30"/>
          <w:highlight w:val="none"/>
          <w:lang w:val="en-US" w:eastAsia="zh-CN"/>
        </w:rPr>
        <w:t>四</w:t>
      </w:r>
      <w:r>
        <w:rPr>
          <w:rFonts w:hint="eastAsia" w:asciiTheme="minorEastAsia" w:hAnsiTheme="minorEastAsia" w:eastAsiaTheme="minorEastAsia" w:cstheme="minorEastAsia"/>
          <w:b/>
          <w:color w:val="auto"/>
          <w:kern w:val="2"/>
          <w:sz w:val="30"/>
          <w:szCs w:val="30"/>
          <w:highlight w:val="none"/>
        </w:rPr>
        <w:t>、项目</w:t>
      </w:r>
      <w:r>
        <w:rPr>
          <w:rFonts w:hint="eastAsia" w:asciiTheme="minorEastAsia" w:hAnsiTheme="minorEastAsia" w:eastAsiaTheme="minorEastAsia" w:cstheme="minorEastAsia"/>
          <w:b/>
          <w:color w:val="auto"/>
          <w:kern w:val="2"/>
          <w:sz w:val="30"/>
          <w:szCs w:val="30"/>
          <w:highlight w:val="none"/>
          <w:lang w:val="en-US" w:eastAsia="zh-CN"/>
        </w:rPr>
        <w:t>实施</w:t>
      </w:r>
      <w:r>
        <w:rPr>
          <w:rFonts w:hint="eastAsia" w:asciiTheme="minorEastAsia" w:hAnsiTheme="minorEastAsia" w:eastAsiaTheme="minorEastAsia" w:cstheme="minorEastAsia"/>
          <w:b/>
          <w:color w:val="auto"/>
          <w:kern w:val="2"/>
          <w:sz w:val="30"/>
          <w:szCs w:val="30"/>
          <w:highlight w:val="none"/>
        </w:rPr>
        <w:t>方案</w:t>
      </w:r>
      <w:bookmarkEnd w:id="309"/>
      <w:r>
        <w:rPr>
          <w:rFonts w:hint="eastAsia" w:asciiTheme="minorEastAsia" w:hAnsiTheme="minorEastAsia" w:eastAsiaTheme="minorEastAsia" w:cstheme="minorEastAsia"/>
          <w:b/>
          <w:color w:val="auto"/>
          <w:kern w:val="2"/>
          <w:sz w:val="30"/>
          <w:szCs w:val="30"/>
          <w:highlight w:val="none"/>
        </w:rPr>
        <w:t>等</w:t>
      </w:r>
      <w:bookmarkEnd w:id="310"/>
      <w:bookmarkEnd w:id="311"/>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bookmarkStart w:id="312" w:name="_Toc10043"/>
    </w:p>
    <w:p>
      <w:pPr>
        <w:pStyle w:val="2"/>
        <w:rPr>
          <w:rFonts w:ascii="宋体" w:hAnsi="宋体" w:cs="宋体"/>
          <w:b/>
          <w:color w:val="auto"/>
          <w:sz w:val="30"/>
          <w:szCs w:val="30"/>
          <w:highlight w:val="none"/>
        </w:rPr>
      </w:pPr>
    </w:p>
    <w:p>
      <w:pPr>
        <w:pStyle w:val="3"/>
        <w:rPr>
          <w:rFonts w:ascii="宋体" w:hAnsi="宋体" w:cs="宋体"/>
          <w:b/>
          <w:color w:val="auto"/>
          <w:sz w:val="30"/>
          <w:szCs w:val="30"/>
          <w:highlight w:val="none"/>
        </w:rPr>
      </w:pPr>
    </w:p>
    <w:p>
      <w:pPr>
        <w:pStyle w:val="2"/>
        <w:rPr>
          <w:rFonts w:ascii="宋体" w:hAnsi="宋体" w:cs="宋体"/>
          <w:b/>
          <w:color w:val="auto"/>
          <w:sz w:val="30"/>
          <w:szCs w:val="30"/>
          <w:highlight w:val="none"/>
        </w:rPr>
      </w:pPr>
    </w:p>
    <w:p>
      <w:pPr>
        <w:pStyle w:val="3"/>
        <w:rPr>
          <w:rFonts w:ascii="宋体" w:hAnsi="宋体" w:cs="宋体"/>
          <w:b/>
          <w:color w:val="auto"/>
          <w:sz w:val="30"/>
          <w:szCs w:val="30"/>
          <w:highlight w:val="none"/>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13" w:name="_Toc20650"/>
      <w:bookmarkStart w:id="314" w:name="_Toc30146"/>
      <w:bookmarkStart w:id="315" w:name="_Toc14885"/>
      <w:bookmarkStart w:id="316" w:name="_Toc29492"/>
      <w:r>
        <w:rPr>
          <w:rFonts w:hint="eastAsia" w:asciiTheme="minorEastAsia" w:hAnsiTheme="minorEastAsia" w:eastAsiaTheme="minorEastAsia" w:cstheme="minorEastAsia"/>
          <w:b/>
          <w:color w:val="auto"/>
          <w:kern w:val="2"/>
          <w:sz w:val="30"/>
          <w:szCs w:val="30"/>
          <w:highlight w:val="none"/>
          <w:lang w:val="en-US" w:eastAsia="zh-CN"/>
        </w:rPr>
        <w:t>五</w:t>
      </w:r>
      <w:r>
        <w:rPr>
          <w:rFonts w:hint="eastAsia" w:asciiTheme="minorEastAsia" w:hAnsiTheme="minorEastAsia" w:eastAsiaTheme="minorEastAsia" w:cstheme="minorEastAsia"/>
          <w:b/>
          <w:color w:val="auto"/>
          <w:kern w:val="2"/>
          <w:sz w:val="30"/>
          <w:szCs w:val="30"/>
          <w:highlight w:val="none"/>
        </w:rPr>
        <w:t>、资格证明文件</w:t>
      </w:r>
      <w:bookmarkEnd w:id="312"/>
      <w:bookmarkEnd w:id="313"/>
      <w:bookmarkEnd w:id="314"/>
      <w:bookmarkEnd w:id="315"/>
      <w:bookmarkEnd w:id="316"/>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24"/>
        <w:ind w:firstLine="482"/>
        <w:rPr>
          <w:b/>
          <w:bCs/>
          <w:color w:val="auto"/>
          <w:highlight w:val="none"/>
        </w:rPr>
      </w:pPr>
      <w:r>
        <w:rPr>
          <w:rFonts w:hint="eastAsia"/>
          <w:b/>
          <w:bCs/>
          <w:color w:val="auto"/>
          <w:sz w:val="24"/>
          <w:highlight w:val="none"/>
        </w:rPr>
        <w:t>备注：以上资格证明文件须提供原件的扫描件。</w:t>
      </w:r>
    </w:p>
    <w:p>
      <w:pPr>
        <w:pStyle w:val="24"/>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3"/>
        <w:ind w:firstLine="281"/>
        <w:rPr>
          <w:rFonts w:hint="default" w:asciiTheme="minorEastAsia" w:hAnsiTheme="minorEastAsia" w:eastAsiaTheme="minorEastAsia" w:cstheme="minorEastAsia"/>
          <w:b/>
          <w:color w:val="auto"/>
          <w:sz w:val="28"/>
          <w:highlight w:val="none"/>
        </w:rPr>
      </w:pPr>
    </w:p>
    <w:p>
      <w:pPr>
        <w:pStyle w:val="24"/>
        <w:ind w:firstLine="562"/>
        <w:rPr>
          <w:rFonts w:asciiTheme="minorEastAsia" w:hAnsiTheme="minorEastAsia" w:eastAsiaTheme="minorEastAsia" w:cstheme="minorEastAsia"/>
          <w:b/>
          <w:color w:val="auto"/>
          <w:sz w:val="28"/>
          <w:highlight w:val="none"/>
        </w:rPr>
      </w:pPr>
    </w:p>
    <w:p>
      <w:pPr>
        <w:pStyle w:val="24"/>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317" w:name="_Toc8330"/>
      <w:bookmarkStart w:id="318" w:name="_Toc6465"/>
      <w:bookmarkStart w:id="319" w:name="_Toc31553"/>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22"/>
        <w:widowControl w:val="0"/>
        <w:numPr>
          <w:ilvl w:val="0"/>
          <w:numId w:val="0"/>
        </w:numPr>
        <w:tabs>
          <w:tab w:val="left" w:pos="0"/>
        </w:tabs>
        <w:spacing w:before="120" w:beforeAutospacing="0" w:after="120" w:afterAutospacing="0" w:line="500" w:lineRule="exact"/>
        <w:ind w:right="29" w:rightChars="14" w:firstLine="3313" w:firstLineChars="1100"/>
        <w:jc w:val="left"/>
        <w:outlineLvl w:val="1"/>
        <w:rPr>
          <w:rFonts w:asciiTheme="minorEastAsia" w:hAnsiTheme="minorEastAsia" w:eastAsiaTheme="minorEastAsia" w:cstheme="minorEastAsia"/>
          <w:b/>
          <w:color w:val="auto"/>
          <w:kern w:val="2"/>
          <w:sz w:val="30"/>
          <w:szCs w:val="30"/>
          <w:highlight w:val="none"/>
        </w:rPr>
      </w:pPr>
      <w:bookmarkStart w:id="320" w:name="_Toc4390"/>
      <w:bookmarkStart w:id="321" w:name="_Toc7391"/>
      <w:r>
        <w:rPr>
          <w:rFonts w:hint="eastAsia" w:asciiTheme="minorEastAsia" w:hAnsiTheme="minorEastAsia" w:eastAsiaTheme="minorEastAsia" w:cstheme="minorEastAsia"/>
          <w:b/>
          <w:color w:val="auto"/>
          <w:kern w:val="2"/>
          <w:sz w:val="30"/>
          <w:szCs w:val="30"/>
          <w:highlight w:val="none"/>
          <w:lang w:val="en-US" w:eastAsia="zh-CN"/>
        </w:rPr>
        <w:t>六、</w:t>
      </w:r>
      <w:r>
        <w:rPr>
          <w:rFonts w:hint="eastAsia" w:asciiTheme="minorEastAsia" w:hAnsiTheme="minorEastAsia" w:eastAsiaTheme="minorEastAsia" w:cstheme="minorEastAsia"/>
          <w:b/>
          <w:color w:val="auto"/>
          <w:kern w:val="2"/>
          <w:sz w:val="30"/>
          <w:szCs w:val="30"/>
          <w:highlight w:val="none"/>
        </w:rPr>
        <w:t>供应商服务承诺和优惠承诺</w:t>
      </w:r>
      <w:bookmarkEnd w:id="320"/>
      <w:bookmarkEnd w:id="321"/>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color w:val="auto"/>
          <w:sz w:val="30"/>
          <w:szCs w:val="30"/>
          <w:highlight w:val="none"/>
        </w:rPr>
      </w:pPr>
      <w:bookmarkStart w:id="322" w:name="_Toc700"/>
      <w:bookmarkStart w:id="323" w:name="_Toc12372"/>
      <w:r>
        <w:rPr>
          <w:rFonts w:hint="eastAsia" w:asciiTheme="minorEastAsia" w:hAnsiTheme="minorEastAsia" w:eastAsiaTheme="minorEastAsia" w:cstheme="minorEastAsia"/>
          <w:b/>
          <w:color w:val="auto"/>
          <w:kern w:val="2"/>
          <w:sz w:val="30"/>
          <w:szCs w:val="30"/>
          <w:highlight w:val="none"/>
          <w:lang w:val="en-US" w:eastAsia="zh-CN"/>
        </w:rPr>
        <w:t>七</w:t>
      </w:r>
      <w:r>
        <w:rPr>
          <w:rFonts w:hint="eastAsia" w:asciiTheme="minorEastAsia" w:hAnsiTheme="minorEastAsia" w:eastAsiaTheme="minorEastAsia" w:cstheme="minorEastAsia"/>
          <w:b/>
          <w:color w:val="auto"/>
          <w:kern w:val="2"/>
          <w:sz w:val="30"/>
          <w:szCs w:val="30"/>
          <w:highlight w:val="none"/>
        </w:rPr>
        <w:t>、供应商所投产品属于当期政府采购清单规定的节能环保产品的</w:t>
      </w:r>
      <w:bookmarkEnd w:id="317"/>
      <w:bookmarkEnd w:id="322"/>
      <w:bookmarkEnd w:id="323"/>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24" w:name="_Toc24210"/>
      <w:bookmarkStart w:id="325" w:name="_Toc18925"/>
      <w:bookmarkStart w:id="326" w:name="_Toc28422"/>
      <w:bookmarkStart w:id="327" w:name="_Toc21287"/>
      <w:bookmarkStart w:id="328" w:name="_Toc17912"/>
      <w:r>
        <w:rPr>
          <w:rFonts w:hint="eastAsia" w:asciiTheme="minorEastAsia" w:hAnsiTheme="minorEastAsia" w:eastAsiaTheme="minorEastAsia" w:cstheme="minorEastAsia"/>
          <w:b/>
          <w:color w:val="auto"/>
          <w:kern w:val="2"/>
          <w:sz w:val="30"/>
          <w:szCs w:val="30"/>
          <w:highlight w:val="none"/>
        </w:rPr>
        <w:t>证明材料</w:t>
      </w:r>
      <w:bookmarkEnd w:id="318"/>
      <w:bookmarkEnd w:id="324"/>
      <w:bookmarkEnd w:id="325"/>
      <w:bookmarkEnd w:id="326"/>
      <w:r>
        <w:rPr>
          <w:rFonts w:hint="eastAsia" w:asciiTheme="minorEastAsia" w:hAnsiTheme="minorEastAsia" w:eastAsiaTheme="minorEastAsia" w:cstheme="minorEastAsia"/>
          <w:b/>
          <w:color w:val="auto"/>
          <w:kern w:val="2"/>
          <w:sz w:val="30"/>
          <w:szCs w:val="30"/>
          <w:highlight w:val="none"/>
        </w:rPr>
        <w:t>（如有）</w:t>
      </w:r>
      <w:bookmarkEnd w:id="327"/>
      <w:bookmarkEnd w:id="328"/>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29" w:name="_Toc24850"/>
      <w:bookmarkStart w:id="330" w:name="_Toc10717"/>
      <w:bookmarkStart w:id="331" w:name="_Toc19503"/>
      <w:bookmarkStart w:id="332" w:name="_Toc23227"/>
      <w:r>
        <w:rPr>
          <w:rFonts w:hint="eastAsia" w:asciiTheme="minorEastAsia" w:hAnsiTheme="minorEastAsia" w:eastAsiaTheme="minorEastAsia" w:cstheme="minorEastAsia"/>
          <w:b/>
          <w:color w:val="auto"/>
          <w:kern w:val="2"/>
          <w:sz w:val="30"/>
          <w:szCs w:val="30"/>
          <w:highlight w:val="none"/>
          <w:lang w:val="en-US" w:eastAsia="zh-CN"/>
        </w:rPr>
        <w:t>八</w:t>
      </w:r>
      <w:r>
        <w:rPr>
          <w:rFonts w:hint="eastAsia" w:asciiTheme="minorEastAsia" w:hAnsiTheme="minorEastAsia" w:eastAsiaTheme="minorEastAsia" w:cstheme="minorEastAsia"/>
          <w:b/>
          <w:color w:val="auto"/>
          <w:kern w:val="2"/>
          <w:sz w:val="30"/>
          <w:szCs w:val="30"/>
          <w:highlight w:val="none"/>
        </w:rPr>
        <w:t>、中小企业声明函（如有）</w:t>
      </w:r>
      <w:bookmarkEnd w:id="329"/>
      <w:bookmarkEnd w:id="330"/>
      <w:bookmarkEnd w:id="331"/>
      <w:bookmarkEnd w:id="332"/>
    </w:p>
    <w:p>
      <w:pPr>
        <w:pStyle w:val="22"/>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33" w:name="_Toc20881"/>
      <w:bookmarkStart w:id="334" w:name="_Toc11708"/>
      <w:bookmarkStart w:id="335" w:name="_Toc32399"/>
      <w:bookmarkStart w:id="336" w:name="_Toc30170"/>
      <w:bookmarkStart w:id="337" w:name="_Toc14292"/>
      <w:r>
        <w:rPr>
          <w:rFonts w:hint="eastAsia" w:asciiTheme="minorEastAsia" w:hAnsiTheme="minorEastAsia" w:eastAsiaTheme="minorEastAsia" w:cstheme="minorEastAsia"/>
          <w:b/>
          <w:color w:val="auto"/>
          <w:kern w:val="2"/>
          <w:sz w:val="30"/>
          <w:szCs w:val="30"/>
          <w:highlight w:val="none"/>
          <w:lang w:val="en-US" w:eastAsia="zh-CN"/>
        </w:rPr>
        <w:t>九</w:t>
      </w:r>
      <w:r>
        <w:rPr>
          <w:rFonts w:hint="eastAsia" w:asciiTheme="minorEastAsia" w:hAnsiTheme="minorEastAsia" w:eastAsiaTheme="minorEastAsia" w:cstheme="minorEastAsia"/>
          <w:b/>
          <w:color w:val="auto"/>
          <w:kern w:val="2"/>
          <w:sz w:val="30"/>
          <w:szCs w:val="30"/>
          <w:highlight w:val="none"/>
        </w:rPr>
        <w:t>、残疾人福利性单位声明函（如有）</w:t>
      </w:r>
      <w:bookmarkEnd w:id="333"/>
      <w:bookmarkEnd w:id="334"/>
      <w:bookmarkEnd w:id="335"/>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319"/>
    <w:bookmarkEnd w:id="336"/>
    <w:bookmarkEnd w:id="337"/>
    <w:p>
      <w:pPr>
        <w:rPr>
          <w:rFonts w:ascii="Times New Roman" w:hAnsi="Times New Roman" w:eastAsia="仿宋"/>
          <w:color w:val="auto"/>
          <w:sz w:val="32"/>
          <w:szCs w:val="32"/>
          <w:highlight w:val="none"/>
          <w:shd w:val="clear" w:color="FFFFFF" w:fill="D9D9D9"/>
        </w:rPr>
      </w:pPr>
    </w:p>
    <w:p>
      <w:pPr>
        <w:pStyle w:val="8"/>
        <w:rPr>
          <w:color w:val="auto"/>
          <w:highlight w:val="none"/>
          <w:shd w:val="clear" w:color="FFFFFF" w:fill="D9D9D9"/>
        </w:rPr>
      </w:pPr>
    </w:p>
    <w:p>
      <w:pPr>
        <w:pStyle w:val="22"/>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22"/>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38" w:name="_Toc2322"/>
      <w:bookmarkStart w:id="339" w:name="_Toc16608"/>
      <w:bookmarkStart w:id="340" w:name="_Toc18605"/>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38"/>
      <w:bookmarkEnd w:id="339"/>
      <w:bookmarkEnd w:id="340"/>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pStyle w:val="47"/>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7"/>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7"/>
        <w:rPr>
          <w:rFonts w:asciiTheme="minorEastAsia" w:hAnsiTheme="minorEastAsia" w:eastAsiaTheme="minorEastAsia" w:cstheme="minorEastAsia"/>
          <w:b/>
          <w:bCs/>
          <w:color w:val="auto"/>
          <w:kern w:val="0"/>
          <w:sz w:val="32"/>
          <w:szCs w:val="32"/>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r>
        <w:rPr>
          <w:rFonts w:ascii="宋体" w:hAnsi="宋体" w:cs="宋体"/>
          <w:color w:val="auto"/>
          <w:kern w:val="0"/>
          <w:sz w:val="24"/>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Theme="majorEastAsia" w:hAnsiTheme="majorEastAsia" w:eastAsiaTheme="majorEastAsia" w:cstheme="majorEastAsia"/>
          <w:b/>
          <w:bCs w:val="0"/>
          <w:color w:val="auto"/>
          <w:sz w:val="36"/>
          <w:szCs w:val="36"/>
          <w:highlight w:val="none"/>
        </w:rPr>
      </w:pPr>
      <w:r>
        <w:rPr>
          <w:rFonts w:hint="eastAsia" w:asciiTheme="majorEastAsia" w:hAnsiTheme="majorEastAsia" w:eastAsiaTheme="majorEastAsia" w:cstheme="majorEastAsia"/>
          <w:b/>
          <w:bCs w:val="0"/>
          <w:color w:val="auto"/>
          <w:sz w:val="36"/>
          <w:szCs w:val="36"/>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三、评标结果确认时限。自评标（评审）结束后应2个工作日内确定中标供应商，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个工作日内公告结果，同时发送中标通知书。</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四、合同签订时限。自中标通知书发出之日起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 xml:space="preserve">日内，按照采购文件和投标文件确定的事项签订政府采购合同。 </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七、资金支付。按照合同约定的条件及时支付资金，不得因机构变更、人员更替、政策调整等原因拒绝或延迟资金支付。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监督单位：</w:t>
      </w:r>
      <w:r>
        <w:rPr>
          <w:rFonts w:hint="eastAsia" w:asciiTheme="minorEastAsia" w:hAnsiTheme="minorEastAsia" w:eastAsiaTheme="minorEastAsia" w:cstheme="minorEastAsia"/>
          <w:color w:val="auto"/>
          <w:sz w:val="24"/>
          <w:szCs w:val="24"/>
          <w:highlight w:val="none"/>
          <w:shd w:val="clear" w:color="auto" w:fill="FFFFFF"/>
          <w:lang w:eastAsia="zh-CN"/>
        </w:rPr>
        <w:t>博爱县</w:t>
      </w:r>
      <w:r>
        <w:rPr>
          <w:rFonts w:hint="eastAsia" w:asciiTheme="minorEastAsia" w:hAnsiTheme="minorEastAsia" w:eastAsiaTheme="minorEastAsia" w:cstheme="minorEastAsia"/>
          <w:color w:val="auto"/>
          <w:sz w:val="24"/>
          <w:szCs w:val="24"/>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地址：博爱县发展大道188号机关综合办公楼主楼1213室</w:t>
      </w: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pStyle w:val="5"/>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各供应商：</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欢迎贵公司参与河南省政府采购活动！</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35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2064"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558"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2064"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2064"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color w:val="auto"/>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lpgY4AgAAc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6GBdva+6&#10;CxhDy8JWP1ge00SpvF0dAqRNikeBOlXQqbjBIKae9Y8mTvqf+xT19KN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2WmBjgCAABw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LMi84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dLSuPlTd&#10;A4yhZWGnHyyPaaJU3q6PAdImxaNAnSroVDxgEFPP+qWJk/7nOUU9/l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8AsyLzgCAABw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E25B3C03"/>
    <w:multiLevelType w:val="singleLevel"/>
    <w:tmpl w:val="E25B3C03"/>
    <w:lvl w:ilvl="0" w:tentative="0">
      <w:start w:val="1"/>
      <w:numFmt w:val="decimal"/>
      <w:suff w:val="nothing"/>
      <w:lvlText w:val="（%1）"/>
      <w:lvlJc w:val="left"/>
    </w:lvl>
  </w:abstractNum>
  <w:abstractNum w:abstractNumId="7">
    <w:nsid w:val="00000000"/>
    <w:multiLevelType w:val="multilevel"/>
    <w:tmpl w:val="0000000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4054F6"/>
    <w:multiLevelType w:val="multilevel"/>
    <w:tmpl w:val="074054F6"/>
    <w:lvl w:ilvl="0" w:tentative="0">
      <w:start w:val="1"/>
      <w:numFmt w:val="decimal"/>
      <w:pStyle w:val="3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2E675402"/>
    <w:multiLevelType w:val="singleLevel"/>
    <w:tmpl w:val="2E675402"/>
    <w:lvl w:ilvl="0" w:tentative="0">
      <w:start w:val="1"/>
      <w:numFmt w:val="chineseCounting"/>
      <w:suff w:val="nothing"/>
      <w:lvlText w:val="（%1）"/>
      <w:lvlJc w:val="left"/>
      <w:rPr>
        <w:rFonts w:hint="eastAsia"/>
      </w:rPr>
    </w:lvl>
  </w:abstractNum>
  <w:abstractNum w:abstractNumId="13">
    <w:nsid w:val="59CCA2E1"/>
    <w:multiLevelType w:val="singleLevel"/>
    <w:tmpl w:val="59CCA2E1"/>
    <w:lvl w:ilvl="0" w:tentative="0">
      <w:start w:val="1"/>
      <w:numFmt w:val="decimal"/>
      <w:suff w:val="nothing"/>
      <w:lvlText w:val="（%1）"/>
      <w:lvlJc w:val="left"/>
    </w:lvl>
  </w:abstractNum>
  <w:abstractNum w:abstractNumId="14">
    <w:nsid w:val="5A693C2F"/>
    <w:multiLevelType w:val="singleLevel"/>
    <w:tmpl w:val="5A693C2F"/>
    <w:lvl w:ilvl="0" w:tentative="0">
      <w:start w:val="3"/>
      <w:numFmt w:val="chineseCounting"/>
      <w:suff w:val="space"/>
      <w:lvlText w:val="第%1章"/>
      <w:lvlJc w:val="left"/>
    </w:lvl>
  </w:abstractNum>
  <w:abstractNum w:abstractNumId="15">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6">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7"/>
  </w:num>
  <w:num w:numId="2">
    <w:abstractNumId w:val="9"/>
  </w:num>
  <w:num w:numId="3">
    <w:abstractNumId w:val="5"/>
  </w:num>
  <w:num w:numId="4">
    <w:abstractNumId w:val="3"/>
  </w:num>
  <w:num w:numId="5">
    <w:abstractNumId w:val="15"/>
  </w:num>
  <w:num w:numId="6">
    <w:abstractNumId w:val="0"/>
  </w:num>
  <w:num w:numId="7">
    <w:abstractNumId w:val="8"/>
  </w:num>
  <w:num w:numId="8">
    <w:abstractNumId w:val="14"/>
  </w:num>
  <w:num w:numId="9">
    <w:abstractNumId w:val="1"/>
  </w:num>
  <w:num w:numId="10">
    <w:abstractNumId w:val="10"/>
  </w:num>
  <w:num w:numId="11">
    <w:abstractNumId w:val="6"/>
  </w:num>
  <w:num w:numId="12">
    <w:abstractNumId w:val="16"/>
  </w:num>
  <w:num w:numId="13">
    <w:abstractNumId w:val="11"/>
  </w:num>
  <w:num w:numId="14">
    <w:abstractNumId w:val="4"/>
  </w:num>
  <w:num w:numId="15">
    <w:abstractNumId w:val="12"/>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WQxYWE2YTBmY2FhZThlNGM5OWRiMGU4ZWQwNmMifQ=="/>
  </w:docVars>
  <w:rsids>
    <w:rsidRoot w:val="00CF3BAF"/>
    <w:rsid w:val="00281BCC"/>
    <w:rsid w:val="0034193D"/>
    <w:rsid w:val="00382698"/>
    <w:rsid w:val="00666E50"/>
    <w:rsid w:val="006B2CA3"/>
    <w:rsid w:val="00C94A06"/>
    <w:rsid w:val="00C94AF7"/>
    <w:rsid w:val="00CF3BAF"/>
    <w:rsid w:val="00E61A34"/>
    <w:rsid w:val="00FB3E02"/>
    <w:rsid w:val="015A0ED7"/>
    <w:rsid w:val="01627EAF"/>
    <w:rsid w:val="019C74BD"/>
    <w:rsid w:val="01A249C3"/>
    <w:rsid w:val="01CD0413"/>
    <w:rsid w:val="0224187C"/>
    <w:rsid w:val="02534437"/>
    <w:rsid w:val="02A079AD"/>
    <w:rsid w:val="02AD7AC3"/>
    <w:rsid w:val="02B2279A"/>
    <w:rsid w:val="02C572FD"/>
    <w:rsid w:val="02D346FD"/>
    <w:rsid w:val="03EF01A2"/>
    <w:rsid w:val="04351B1E"/>
    <w:rsid w:val="04730C9A"/>
    <w:rsid w:val="049A5F70"/>
    <w:rsid w:val="04F44273"/>
    <w:rsid w:val="0509577A"/>
    <w:rsid w:val="053A4525"/>
    <w:rsid w:val="05476DA0"/>
    <w:rsid w:val="0553766A"/>
    <w:rsid w:val="0587053C"/>
    <w:rsid w:val="05CF063D"/>
    <w:rsid w:val="061F1094"/>
    <w:rsid w:val="064662A5"/>
    <w:rsid w:val="064B3EA8"/>
    <w:rsid w:val="06F1337E"/>
    <w:rsid w:val="070448F9"/>
    <w:rsid w:val="074D4119"/>
    <w:rsid w:val="079238AB"/>
    <w:rsid w:val="07997BA5"/>
    <w:rsid w:val="08355432"/>
    <w:rsid w:val="083A174E"/>
    <w:rsid w:val="083B347B"/>
    <w:rsid w:val="083D3697"/>
    <w:rsid w:val="08727472"/>
    <w:rsid w:val="0885658D"/>
    <w:rsid w:val="08B6562F"/>
    <w:rsid w:val="08E900BC"/>
    <w:rsid w:val="099D04DC"/>
    <w:rsid w:val="09B17DE9"/>
    <w:rsid w:val="0A645EB1"/>
    <w:rsid w:val="0AFE4F5A"/>
    <w:rsid w:val="0B057D70"/>
    <w:rsid w:val="0B2D5070"/>
    <w:rsid w:val="0B664CB3"/>
    <w:rsid w:val="0BDF2EDE"/>
    <w:rsid w:val="0C051155"/>
    <w:rsid w:val="0C076843"/>
    <w:rsid w:val="0C2D57D1"/>
    <w:rsid w:val="0CD05128"/>
    <w:rsid w:val="0D270828"/>
    <w:rsid w:val="0D792EC2"/>
    <w:rsid w:val="0D81592D"/>
    <w:rsid w:val="0D8716C8"/>
    <w:rsid w:val="0DC61A39"/>
    <w:rsid w:val="0DF02F5A"/>
    <w:rsid w:val="0E2E20A9"/>
    <w:rsid w:val="0E651252"/>
    <w:rsid w:val="0E8C0D4D"/>
    <w:rsid w:val="0EA33B28"/>
    <w:rsid w:val="0EDC105C"/>
    <w:rsid w:val="0EDE6CBA"/>
    <w:rsid w:val="0EF32EFA"/>
    <w:rsid w:val="0F0410E0"/>
    <w:rsid w:val="0F762BDF"/>
    <w:rsid w:val="0FDE2EA6"/>
    <w:rsid w:val="0FE73EE9"/>
    <w:rsid w:val="1012372A"/>
    <w:rsid w:val="10544429"/>
    <w:rsid w:val="119A56B6"/>
    <w:rsid w:val="11A25357"/>
    <w:rsid w:val="11B34CF4"/>
    <w:rsid w:val="11F2782C"/>
    <w:rsid w:val="12253216"/>
    <w:rsid w:val="13732E71"/>
    <w:rsid w:val="143C687A"/>
    <w:rsid w:val="144162BD"/>
    <w:rsid w:val="144353ED"/>
    <w:rsid w:val="14860849"/>
    <w:rsid w:val="14E629C1"/>
    <w:rsid w:val="152963EE"/>
    <w:rsid w:val="152E231F"/>
    <w:rsid w:val="165F3BC6"/>
    <w:rsid w:val="16997753"/>
    <w:rsid w:val="169D288C"/>
    <w:rsid w:val="179C380B"/>
    <w:rsid w:val="17AC6DF4"/>
    <w:rsid w:val="183D74A2"/>
    <w:rsid w:val="196A7BE4"/>
    <w:rsid w:val="19EF2318"/>
    <w:rsid w:val="1A2B26E2"/>
    <w:rsid w:val="1A913822"/>
    <w:rsid w:val="1B33310F"/>
    <w:rsid w:val="1BD529D4"/>
    <w:rsid w:val="1BE9127A"/>
    <w:rsid w:val="1C211654"/>
    <w:rsid w:val="1C2D32A0"/>
    <w:rsid w:val="1C753023"/>
    <w:rsid w:val="1C9363D1"/>
    <w:rsid w:val="1CD0598A"/>
    <w:rsid w:val="1CD57C9C"/>
    <w:rsid w:val="1D1E6C5C"/>
    <w:rsid w:val="1D5A65E9"/>
    <w:rsid w:val="1DC13FCB"/>
    <w:rsid w:val="1DDA0B91"/>
    <w:rsid w:val="1E212A6F"/>
    <w:rsid w:val="1E360353"/>
    <w:rsid w:val="1E4779B9"/>
    <w:rsid w:val="1EB33136"/>
    <w:rsid w:val="1EE937D9"/>
    <w:rsid w:val="1F111512"/>
    <w:rsid w:val="1F2B1558"/>
    <w:rsid w:val="1FCF0C21"/>
    <w:rsid w:val="206550E2"/>
    <w:rsid w:val="20E259AF"/>
    <w:rsid w:val="216A34B2"/>
    <w:rsid w:val="219C4D8C"/>
    <w:rsid w:val="21E77CB7"/>
    <w:rsid w:val="22851F14"/>
    <w:rsid w:val="22937A29"/>
    <w:rsid w:val="23A75A11"/>
    <w:rsid w:val="23C21A0E"/>
    <w:rsid w:val="24581EC9"/>
    <w:rsid w:val="245D7AC3"/>
    <w:rsid w:val="26211AAB"/>
    <w:rsid w:val="266E7F36"/>
    <w:rsid w:val="2671382C"/>
    <w:rsid w:val="26AF355A"/>
    <w:rsid w:val="27070CA1"/>
    <w:rsid w:val="277B46AD"/>
    <w:rsid w:val="287019A1"/>
    <w:rsid w:val="28BD1C36"/>
    <w:rsid w:val="29AD1F3E"/>
    <w:rsid w:val="29CE675B"/>
    <w:rsid w:val="2A1118F0"/>
    <w:rsid w:val="2A334727"/>
    <w:rsid w:val="2B9A5BB7"/>
    <w:rsid w:val="2C5243EF"/>
    <w:rsid w:val="2D4759F0"/>
    <w:rsid w:val="2D4B17C9"/>
    <w:rsid w:val="2DA531BD"/>
    <w:rsid w:val="2E7164C1"/>
    <w:rsid w:val="2ED6364B"/>
    <w:rsid w:val="2ED80964"/>
    <w:rsid w:val="2FA713A3"/>
    <w:rsid w:val="30204B81"/>
    <w:rsid w:val="3054090C"/>
    <w:rsid w:val="30766F52"/>
    <w:rsid w:val="315E08FB"/>
    <w:rsid w:val="31C82767"/>
    <w:rsid w:val="32A847C8"/>
    <w:rsid w:val="32AC094E"/>
    <w:rsid w:val="32DD09B1"/>
    <w:rsid w:val="3398566D"/>
    <w:rsid w:val="34375174"/>
    <w:rsid w:val="34BF0E0C"/>
    <w:rsid w:val="356103C1"/>
    <w:rsid w:val="35624307"/>
    <w:rsid w:val="358007CE"/>
    <w:rsid w:val="359F479A"/>
    <w:rsid w:val="35EF40B4"/>
    <w:rsid w:val="35FF2E4B"/>
    <w:rsid w:val="36F2243E"/>
    <w:rsid w:val="37316346"/>
    <w:rsid w:val="37BB5BE3"/>
    <w:rsid w:val="385E298D"/>
    <w:rsid w:val="38C56745"/>
    <w:rsid w:val="38ED5B17"/>
    <w:rsid w:val="391F5908"/>
    <w:rsid w:val="392636F6"/>
    <w:rsid w:val="3AC405E4"/>
    <w:rsid w:val="3AD9290D"/>
    <w:rsid w:val="3B680882"/>
    <w:rsid w:val="3B844B5E"/>
    <w:rsid w:val="3BAA7874"/>
    <w:rsid w:val="3C3E4D0D"/>
    <w:rsid w:val="3C5740DD"/>
    <w:rsid w:val="3C806CA2"/>
    <w:rsid w:val="3C875BD5"/>
    <w:rsid w:val="3CEA4BE6"/>
    <w:rsid w:val="3D3F6549"/>
    <w:rsid w:val="3D6E3B32"/>
    <w:rsid w:val="3DA476DF"/>
    <w:rsid w:val="3E8E1D06"/>
    <w:rsid w:val="3E990920"/>
    <w:rsid w:val="3ED93269"/>
    <w:rsid w:val="3F51170A"/>
    <w:rsid w:val="3FD66319"/>
    <w:rsid w:val="3FEF631E"/>
    <w:rsid w:val="407C1AED"/>
    <w:rsid w:val="40AE6405"/>
    <w:rsid w:val="40E2372C"/>
    <w:rsid w:val="417B430D"/>
    <w:rsid w:val="41A82C28"/>
    <w:rsid w:val="41E5794A"/>
    <w:rsid w:val="420C4EF5"/>
    <w:rsid w:val="42181E5B"/>
    <w:rsid w:val="42E02E33"/>
    <w:rsid w:val="42E56B30"/>
    <w:rsid w:val="42F65BA4"/>
    <w:rsid w:val="4453447A"/>
    <w:rsid w:val="44E855CD"/>
    <w:rsid w:val="459B770E"/>
    <w:rsid w:val="45D313A6"/>
    <w:rsid w:val="45D94A67"/>
    <w:rsid w:val="45E375FE"/>
    <w:rsid w:val="471C20EE"/>
    <w:rsid w:val="472509CB"/>
    <w:rsid w:val="47280A77"/>
    <w:rsid w:val="478A2A55"/>
    <w:rsid w:val="47C10E5E"/>
    <w:rsid w:val="47EB734B"/>
    <w:rsid w:val="486E372E"/>
    <w:rsid w:val="48934AEB"/>
    <w:rsid w:val="492E33C0"/>
    <w:rsid w:val="495261A3"/>
    <w:rsid w:val="499A379E"/>
    <w:rsid w:val="4A0550BC"/>
    <w:rsid w:val="4AF33166"/>
    <w:rsid w:val="4C4814B5"/>
    <w:rsid w:val="4C94282E"/>
    <w:rsid w:val="4CD16F98"/>
    <w:rsid w:val="4D8C494F"/>
    <w:rsid w:val="4E4C44BA"/>
    <w:rsid w:val="4E7C3AE4"/>
    <w:rsid w:val="4F2A2BCF"/>
    <w:rsid w:val="4FA766A8"/>
    <w:rsid w:val="4FDA48F5"/>
    <w:rsid w:val="504D18A0"/>
    <w:rsid w:val="50DD469C"/>
    <w:rsid w:val="51171D45"/>
    <w:rsid w:val="51404F43"/>
    <w:rsid w:val="51625545"/>
    <w:rsid w:val="519805C3"/>
    <w:rsid w:val="51B11685"/>
    <w:rsid w:val="51F82BBB"/>
    <w:rsid w:val="522B7DE8"/>
    <w:rsid w:val="522D3402"/>
    <w:rsid w:val="52DC6BD6"/>
    <w:rsid w:val="52EB6588"/>
    <w:rsid w:val="53157C48"/>
    <w:rsid w:val="542D2B1D"/>
    <w:rsid w:val="54D77655"/>
    <w:rsid w:val="551C7980"/>
    <w:rsid w:val="5549056E"/>
    <w:rsid w:val="55C81AB9"/>
    <w:rsid w:val="5664557C"/>
    <w:rsid w:val="56BB3C75"/>
    <w:rsid w:val="56DE7067"/>
    <w:rsid w:val="570955B4"/>
    <w:rsid w:val="570C7AE2"/>
    <w:rsid w:val="5725657E"/>
    <w:rsid w:val="57527C3E"/>
    <w:rsid w:val="5783793E"/>
    <w:rsid w:val="57CC2BA0"/>
    <w:rsid w:val="58DC7930"/>
    <w:rsid w:val="58DF3A45"/>
    <w:rsid w:val="598D26AC"/>
    <w:rsid w:val="599F77C9"/>
    <w:rsid w:val="59C95F43"/>
    <w:rsid w:val="5A93268F"/>
    <w:rsid w:val="5AB2046A"/>
    <w:rsid w:val="5AC82B93"/>
    <w:rsid w:val="5AE14D89"/>
    <w:rsid w:val="5AE6318E"/>
    <w:rsid w:val="5BDE6AE8"/>
    <w:rsid w:val="5C8E651C"/>
    <w:rsid w:val="5D120EE1"/>
    <w:rsid w:val="5D7C6FEB"/>
    <w:rsid w:val="5DB443B5"/>
    <w:rsid w:val="5DC012A8"/>
    <w:rsid w:val="5DCA7D57"/>
    <w:rsid w:val="5E313880"/>
    <w:rsid w:val="5E803BCC"/>
    <w:rsid w:val="5E8A187A"/>
    <w:rsid w:val="5EAE4FD3"/>
    <w:rsid w:val="5F09244A"/>
    <w:rsid w:val="5F9177D9"/>
    <w:rsid w:val="601B663B"/>
    <w:rsid w:val="602A334A"/>
    <w:rsid w:val="60A24FBB"/>
    <w:rsid w:val="60B25AEA"/>
    <w:rsid w:val="613E293D"/>
    <w:rsid w:val="615C6151"/>
    <w:rsid w:val="61896E9F"/>
    <w:rsid w:val="61BD2A1D"/>
    <w:rsid w:val="62047871"/>
    <w:rsid w:val="622B3906"/>
    <w:rsid w:val="62494283"/>
    <w:rsid w:val="62DC2550"/>
    <w:rsid w:val="62EF46F3"/>
    <w:rsid w:val="649479AB"/>
    <w:rsid w:val="64CA3CB4"/>
    <w:rsid w:val="64EC0669"/>
    <w:rsid w:val="65044496"/>
    <w:rsid w:val="65693C54"/>
    <w:rsid w:val="6569442B"/>
    <w:rsid w:val="65A64D36"/>
    <w:rsid w:val="65EF7DA6"/>
    <w:rsid w:val="665705BF"/>
    <w:rsid w:val="669A7902"/>
    <w:rsid w:val="66BA6E26"/>
    <w:rsid w:val="66F10A4A"/>
    <w:rsid w:val="67477DD7"/>
    <w:rsid w:val="6787315C"/>
    <w:rsid w:val="67923FAF"/>
    <w:rsid w:val="67A856DC"/>
    <w:rsid w:val="67AB689B"/>
    <w:rsid w:val="682E6AFE"/>
    <w:rsid w:val="68AF4719"/>
    <w:rsid w:val="68B476C6"/>
    <w:rsid w:val="69676C0C"/>
    <w:rsid w:val="698D10CC"/>
    <w:rsid w:val="69AE1092"/>
    <w:rsid w:val="69C959DF"/>
    <w:rsid w:val="6A753B41"/>
    <w:rsid w:val="6A7616E2"/>
    <w:rsid w:val="6AC00E8A"/>
    <w:rsid w:val="6B841E8D"/>
    <w:rsid w:val="6BC664F4"/>
    <w:rsid w:val="6BD36CF4"/>
    <w:rsid w:val="6CDE2D6D"/>
    <w:rsid w:val="6CFA6A64"/>
    <w:rsid w:val="6D0A63C2"/>
    <w:rsid w:val="6D2917A9"/>
    <w:rsid w:val="6D2C01D4"/>
    <w:rsid w:val="6D404BA8"/>
    <w:rsid w:val="6D4E6E2B"/>
    <w:rsid w:val="6D514B1A"/>
    <w:rsid w:val="6DDE05B9"/>
    <w:rsid w:val="6E182D60"/>
    <w:rsid w:val="6E6C0E13"/>
    <w:rsid w:val="6E8615C7"/>
    <w:rsid w:val="6EA4707E"/>
    <w:rsid w:val="6EDB7ED1"/>
    <w:rsid w:val="6EDD1581"/>
    <w:rsid w:val="6EE37D9F"/>
    <w:rsid w:val="6F33431F"/>
    <w:rsid w:val="6F3400DC"/>
    <w:rsid w:val="6FE0340A"/>
    <w:rsid w:val="70227EC6"/>
    <w:rsid w:val="703F60A8"/>
    <w:rsid w:val="70822713"/>
    <w:rsid w:val="70B46F74"/>
    <w:rsid w:val="71023A88"/>
    <w:rsid w:val="713C220E"/>
    <w:rsid w:val="72047417"/>
    <w:rsid w:val="72875C50"/>
    <w:rsid w:val="72D134DE"/>
    <w:rsid w:val="72FD1EE3"/>
    <w:rsid w:val="73900C02"/>
    <w:rsid w:val="73BE334D"/>
    <w:rsid w:val="746A5998"/>
    <w:rsid w:val="746C5BB4"/>
    <w:rsid w:val="74851775"/>
    <w:rsid w:val="74E538AA"/>
    <w:rsid w:val="75360D61"/>
    <w:rsid w:val="753719D4"/>
    <w:rsid w:val="75AB44BA"/>
    <w:rsid w:val="75CC203F"/>
    <w:rsid w:val="75F6021B"/>
    <w:rsid w:val="76991EAA"/>
    <w:rsid w:val="76A52F33"/>
    <w:rsid w:val="76AD3EE0"/>
    <w:rsid w:val="77463913"/>
    <w:rsid w:val="77B3710F"/>
    <w:rsid w:val="78297D56"/>
    <w:rsid w:val="7922448B"/>
    <w:rsid w:val="79992F3A"/>
    <w:rsid w:val="79EC68CF"/>
    <w:rsid w:val="7A921700"/>
    <w:rsid w:val="7A9D7487"/>
    <w:rsid w:val="7BBF4CC5"/>
    <w:rsid w:val="7C1A207B"/>
    <w:rsid w:val="7C30076C"/>
    <w:rsid w:val="7C537629"/>
    <w:rsid w:val="7C5415B1"/>
    <w:rsid w:val="7CC04CEF"/>
    <w:rsid w:val="7CC83F86"/>
    <w:rsid w:val="7CCA3711"/>
    <w:rsid w:val="7CD80BDF"/>
    <w:rsid w:val="7D1F193A"/>
    <w:rsid w:val="7D2E5A63"/>
    <w:rsid w:val="7D86745E"/>
    <w:rsid w:val="7EF95A5A"/>
    <w:rsid w:val="7F2E09F5"/>
    <w:rsid w:val="7FCF471A"/>
    <w:rsid w:val="7FDB6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5">
    <w:name w:val="heading 2"/>
    <w:basedOn w:val="6"/>
    <w:next w:val="1"/>
    <w:qFormat/>
    <w:uiPriority w:val="99"/>
    <w:pPr>
      <w:keepNext/>
      <w:keepLines/>
      <w:spacing w:before="260" w:after="260" w:line="416" w:lineRule="auto"/>
      <w:outlineLvl w:val="1"/>
    </w:pPr>
    <w:rPr>
      <w:rFonts w:ascii="Calibri Light" w:hAnsi="Calibri Light"/>
      <w:bCs/>
      <w:sz w:val="32"/>
      <w:szCs w:val="32"/>
    </w:rPr>
  </w:style>
  <w:style w:type="paragraph" w:styleId="7">
    <w:name w:val="heading 3"/>
    <w:basedOn w:val="1"/>
    <w:next w:val="1"/>
    <w:qFormat/>
    <w:uiPriority w:val="0"/>
    <w:pPr>
      <w:numPr>
        <w:ilvl w:val="2"/>
        <w:numId w:val="1"/>
      </w:numPr>
      <w:tabs>
        <w:tab w:val="left" w:pos="0"/>
      </w:tabs>
      <w:spacing w:line="360" w:lineRule="auto"/>
      <w:outlineLvl w:val="2"/>
    </w:pPr>
    <w:rPr>
      <w:rFonts w:ascii="Calibri" w:hAnsi="Calibri"/>
      <w:b/>
      <w:sz w:val="28"/>
    </w:rPr>
  </w:style>
  <w:style w:type="paragraph" w:styleId="8">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rPr>
  </w:style>
  <w:style w:type="paragraph" w:styleId="3">
    <w:name w:val="Body Text 2"/>
    <w:basedOn w:val="1"/>
    <w:next w:val="2"/>
    <w:unhideWhenUsed/>
    <w:qFormat/>
    <w:uiPriority w:val="0"/>
    <w:pPr>
      <w:spacing w:after="120" w:line="480" w:lineRule="auto"/>
    </w:pPr>
    <w:rPr>
      <w:rFonts w:ascii="Times New Roman" w:hAnsi="Times New Roman"/>
    </w:rPr>
  </w:style>
  <w:style w:type="paragraph" w:styleId="6">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10">
    <w:name w:val="Normal Indent"/>
    <w:basedOn w:val="1"/>
    <w:unhideWhenUsed/>
    <w:qFormat/>
    <w:uiPriority w:val="99"/>
    <w:pPr>
      <w:ind w:firstLine="420"/>
    </w:pPr>
    <w:rPr>
      <w:rFonts w:ascii="Calibri" w:hAnsi="Calibri"/>
      <w:szCs w:val="20"/>
    </w:rPr>
  </w:style>
  <w:style w:type="paragraph" w:styleId="11">
    <w:name w:val="caption"/>
    <w:basedOn w:val="1"/>
    <w:next w:val="1"/>
    <w:qFormat/>
    <w:uiPriority w:val="0"/>
    <w:rPr>
      <w:rFonts w:ascii="Arial" w:hAnsi="Arial" w:eastAsia="黑体" w:cstheme="minorBidi"/>
      <w:sz w:val="20"/>
    </w:rPr>
  </w:style>
  <w:style w:type="paragraph" w:styleId="12">
    <w:name w:val="toa heading"/>
    <w:basedOn w:val="1"/>
    <w:next w:val="1"/>
    <w:unhideWhenUsed/>
    <w:qFormat/>
    <w:uiPriority w:val="99"/>
    <w:pPr>
      <w:spacing w:before="120"/>
    </w:pPr>
    <w:rPr>
      <w:rFonts w:ascii="Arial" w:hAnsi="Arial" w:cs="Arial"/>
      <w:sz w:val="24"/>
    </w:rPr>
  </w:style>
  <w:style w:type="paragraph" w:styleId="13">
    <w:name w:val="Body Text 3"/>
    <w:basedOn w:val="1"/>
    <w:unhideWhenUsed/>
    <w:qFormat/>
    <w:uiPriority w:val="0"/>
    <w:pPr>
      <w:spacing w:after="120"/>
    </w:pPr>
    <w:rPr>
      <w:rFonts w:ascii="Times New Roman" w:hAnsi="Times New Roman"/>
      <w:sz w:val="16"/>
      <w:szCs w:val="16"/>
    </w:rPr>
  </w:style>
  <w:style w:type="paragraph" w:styleId="14">
    <w:name w:val="Body Text Indent"/>
    <w:basedOn w:val="1"/>
    <w:next w:val="15"/>
    <w:qFormat/>
    <w:uiPriority w:val="0"/>
    <w:pPr>
      <w:ind w:firstLine="560" w:firstLineChars="200"/>
    </w:pPr>
    <w:rPr>
      <w:rFonts w:ascii="Times New Roman" w:hAnsi="Times New Roman"/>
    </w:rPr>
  </w:style>
  <w:style w:type="paragraph" w:styleId="15">
    <w:name w:val="envelope return"/>
    <w:basedOn w:val="1"/>
    <w:qFormat/>
    <w:uiPriority w:val="99"/>
    <w:pPr>
      <w:snapToGrid w:val="0"/>
    </w:pPr>
    <w:rPr>
      <w:rFonts w:ascii="Arial" w:hAnsi="Arial" w:cs="Arial"/>
    </w:rPr>
  </w:style>
  <w:style w:type="paragraph" w:styleId="16">
    <w:name w:val="toc 3"/>
    <w:basedOn w:val="1"/>
    <w:next w:val="1"/>
    <w:qFormat/>
    <w:uiPriority w:val="0"/>
    <w:pPr>
      <w:ind w:left="840" w:leftChars="400"/>
    </w:pPr>
  </w:style>
  <w:style w:type="paragraph" w:styleId="17">
    <w:name w:val="Plain Text"/>
    <w:basedOn w:val="1"/>
    <w:qFormat/>
    <w:uiPriority w:val="0"/>
    <w:rPr>
      <w:rFonts w:hint="eastAsia" w:ascii="宋体" w:hAnsi="Courier New"/>
      <w:szCs w:val="21"/>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qFormat/>
    <w:uiPriority w:val="0"/>
    <w:rPr>
      <w:rFonts w:ascii="Times New Roman" w:hAnsi="Times New Roman"/>
    </w:r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2"/>
    <w:next w:val="24"/>
    <w:unhideWhenUsed/>
    <w:qFormat/>
    <w:uiPriority w:val="0"/>
    <w:pPr>
      <w:ind w:firstLine="420" w:firstLineChars="100"/>
    </w:pPr>
    <w:rPr>
      <w:rFonts w:hint="eastAsia" w:ascii="楷体_GB2312" w:eastAsia="楷体_GB2312"/>
      <w:sz w:val="32"/>
    </w:rPr>
  </w:style>
  <w:style w:type="paragraph" w:styleId="24">
    <w:name w:val="Body Text First Indent 2"/>
    <w:basedOn w:val="14"/>
    <w:next w:val="10"/>
    <w:qFormat/>
    <w:uiPriority w:val="0"/>
    <w:pPr>
      <w:ind w:firstLine="42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99"/>
    <w:rPr>
      <w:rFonts w:cs="Times New Roman"/>
      <w:color w:val="0000FF"/>
      <w:u w:val="single"/>
    </w:rPr>
  </w:style>
  <w:style w:type="paragraph" w:customStyle="1" w:styleId="29">
    <w:name w:val="style4"/>
    <w:basedOn w:val="30"/>
    <w:next w:val="31"/>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30">
    <w:name w:val="正文_0"/>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Style1"/>
    <w:next w:val="33"/>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3">
    <w:name w:val="*正文"/>
    <w:basedOn w:val="1"/>
    <w:qFormat/>
    <w:uiPriority w:val="0"/>
    <w:pPr>
      <w:ind w:firstLine="200" w:firstLineChars="200"/>
    </w:pPr>
    <w:rPr>
      <w:rFonts w:ascii="宋体" w:hAnsi="宋体"/>
      <w:szCs w:val="22"/>
    </w:rPr>
  </w:style>
  <w:style w:type="paragraph" w:customStyle="1" w:styleId="34">
    <w:name w:val="Body Text First Indent1"/>
    <w:basedOn w:val="2"/>
    <w:qFormat/>
    <w:uiPriority w:val="0"/>
    <w:pPr>
      <w:ind w:firstLine="420" w:firstLineChars="100"/>
    </w:pPr>
  </w:style>
  <w:style w:type="paragraph" w:customStyle="1" w:styleId="35">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6">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7">
    <w:name w:val="表格文字"/>
    <w:basedOn w:val="1"/>
    <w:next w:val="2"/>
    <w:qFormat/>
    <w:uiPriority w:val="0"/>
    <w:pPr>
      <w:adjustRightInd w:val="0"/>
      <w:spacing w:line="420" w:lineRule="atLeast"/>
      <w:jc w:val="left"/>
      <w:textAlignment w:val="baseline"/>
    </w:pPr>
    <w:rPr>
      <w:kern w:val="0"/>
    </w:rPr>
  </w:style>
  <w:style w:type="paragraph" w:customStyle="1" w:styleId="38">
    <w:name w:val="p0"/>
    <w:basedOn w:val="39"/>
    <w:qFormat/>
    <w:uiPriority w:val="0"/>
    <w:pPr>
      <w:widowControl/>
    </w:pPr>
    <w:rPr>
      <w:rFonts w:ascii="Times New Roman" w:hAnsi="Times New Roman"/>
      <w:kern w:val="0"/>
      <w:szCs w:val="21"/>
    </w:rPr>
  </w:style>
  <w:style w:type="paragraph" w:customStyle="1" w:styleId="39">
    <w:name w:val="正文1"/>
    <w:next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文本1"/>
    <w:basedOn w:val="39"/>
    <w:qFormat/>
    <w:uiPriority w:val="99"/>
    <w:rPr>
      <w:rFonts w:eastAsia="楷体_GB2312"/>
      <w:sz w:val="28"/>
    </w:rPr>
  </w:style>
  <w:style w:type="character" w:customStyle="1" w:styleId="41">
    <w:name w:val="NormalCharacter"/>
    <w:qFormat/>
    <w:uiPriority w:val="0"/>
    <w:rPr>
      <w:rFonts w:ascii="Book Antiqua" w:hAnsi="Book Antiqua" w:eastAsia="宋体" w:cs="Times New Roman"/>
      <w:kern w:val="2"/>
      <w:sz w:val="21"/>
      <w:szCs w:val="24"/>
      <w:lang w:val="en-US" w:eastAsia="zh-CN" w:bidi="ar-SA"/>
    </w:rPr>
  </w:style>
  <w:style w:type="paragraph" w:customStyle="1" w:styleId="42">
    <w:name w:val="BodyText1I"/>
    <w:basedOn w:val="43"/>
    <w:next w:val="45"/>
    <w:qFormat/>
    <w:uiPriority w:val="0"/>
    <w:pPr>
      <w:ind w:firstLine="420" w:firstLineChars="100"/>
    </w:pPr>
    <w:rPr>
      <w:rFonts w:ascii="楷体_GB2312"/>
      <w:sz w:val="32"/>
    </w:rPr>
  </w:style>
  <w:style w:type="paragraph" w:customStyle="1" w:styleId="43">
    <w:name w:val="BodyText"/>
    <w:basedOn w:val="1"/>
    <w:next w:val="44"/>
    <w:qFormat/>
    <w:uiPriority w:val="0"/>
    <w:pPr>
      <w:textAlignment w:val="baseline"/>
    </w:pPr>
    <w:rPr>
      <w:rFonts w:ascii="Calibri" w:hAnsi="Calibri" w:eastAsia="楷体_GB2312"/>
      <w:kern w:val="0"/>
      <w:sz w:val="28"/>
    </w:rPr>
  </w:style>
  <w:style w:type="paragraph" w:customStyle="1" w:styleId="44">
    <w:name w:val="BodyText2"/>
    <w:basedOn w:val="1"/>
    <w:next w:val="43"/>
    <w:qFormat/>
    <w:uiPriority w:val="0"/>
    <w:pPr>
      <w:spacing w:after="120" w:line="480" w:lineRule="auto"/>
      <w:textAlignment w:val="baseline"/>
    </w:pPr>
  </w:style>
  <w:style w:type="paragraph" w:customStyle="1" w:styleId="45">
    <w:name w:val="BodyText1I2"/>
    <w:basedOn w:val="46"/>
    <w:qFormat/>
    <w:uiPriority w:val="0"/>
    <w:pPr>
      <w:ind w:firstLine="420" w:firstLineChars="200"/>
    </w:pPr>
  </w:style>
  <w:style w:type="paragraph" w:customStyle="1" w:styleId="46">
    <w:name w:val="BodyTextIndent"/>
    <w:basedOn w:val="1"/>
    <w:qFormat/>
    <w:uiPriority w:val="0"/>
    <w:pPr>
      <w:spacing w:after="120"/>
      <w:ind w:left="420" w:leftChars="200"/>
      <w:textAlignment w:val="baseline"/>
    </w:pPr>
  </w:style>
  <w:style w:type="paragraph" w:customStyle="1" w:styleId="47">
    <w:name w:val="TOAHeading"/>
    <w:basedOn w:val="1"/>
    <w:next w:val="1"/>
    <w:qFormat/>
    <w:uiPriority w:val="0"/>
    <w:pPr>
      <w:spacing w:before="120"/>
      <w:textAlignment w:val="baseline"/>
    </w:pPr>
    <w:rPr>
      <w:rFonts w:ascii="Arial" w:hAnsi="Arial"/>
      <w:sz w:val="24"/>
      <w:szCs w:val="22"/>
    </w:rPr>
  </w:style>
  <w:style w:type="paragraph" w:customStyle="1" w:styleId="48">
    <w:name w:val="Table Paragraph"/>
    <w:basedOn w:val="1"/>
    <w:qFormat/>
    <w:uiPriority w:val="1"/>
    <w:rPr>
      <w:rFonts w:ascii="宋体" w:hAnsi="宋体" w:cs="宋体"/>
      <w:lang w:val="zh-CN" w:bidi="zh-CN"/>
    </w:rPr>
  </w:style>
  <w:style w:type="paragraph" w:styleId="49">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0">
    <w:name w:val="_Style 41"/>
    <w:basedOn w:val="1"/>
    <w:next w:val="49"/>
    <w:qFormat/>
    <w:uiPriority w:val="34"/>
    <w:pPr>
      <w:ind w:firstLine="420" w:firstLineChars="200"/>
    </w:pPr>
    <w:rPr>
      <w:rFonts w:ascii="等线" w:hAnsi="等线" w:eastAsia="等线"/>
      <w:szCs w:val="22"/>
    </w:rPr>
  </w:style>
  <w:style w:type="paragraph" w:customStyle="1" w:styleId="51">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正文首行缩进 21"/>
    <w:basedOn w:val="1"/>
    <w:qFormat/>
    <w:uiPriority w:val="0"/>
    <w:pPr>
      <w:tabs>
        <w:tab w:val="left" w:pos="945"/>
        <w:tab w:val="left" w:pos="1155"/>
      </w:tabs>
      <w:ind w:firstLine="420" w:firstLineChars="200"/>
    </w:pPr>
    <w:rPr>
      <w:rFonts w:ascii="宋体" w:hAnsi="Book Antiqu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25146</Words>
  <Characters>27807</Characters>
  <Lines>199</Lines>
  <Paragraphs>56</Paragraphs>
  <TotalTime>0</TotalTime>
  <ScaleCrop>false</ScaleCrop>
  <LinksUpToDate>false</LinksUpToDate>
  <CharactersWithSpaces>29455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2022-03-04T08:07:00Z</dcterms:created>
  <dc:creator>DELL</dc:creator>
  <cp:lastModifiedBy>Trumen</cp:lastModifiedBy>
  <cp:lastPrinted>2023-01-09T01:18:00Z</cp:lastPrinted>
  <dcterms:modified xsi:type="dcterms:W3CDTF">2023-01-09T08:08:47Z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53D021010206408FACBD967681DA39B8</vt:lpwstr>
  </property>
</Properties>
</file>