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360" w:lineRule="auto"/>
        <w:jc w:val="center"/>
        <w:outlineLvl w:val="0"/>
        <w:rPr>
          <w:rFonts w:asciiTheme="majorEastAsia" w:hAnsiTheme="majorEastAsia" w:eastAsiaTheme="majorEastAsia" w:cstheme="majorEastAsia"/>
          <w:b/>
          <w:bCs/>
          <w:sz w:val="56"/>
          <w:szCs w:val="56"/>
        </w:rPr>
      </w:pPr>
      <w:bookmarkStart w:id="1" w:name="_Toc15540"/>
      <w:r>
        <w:rPr>
          <w:rFonts w:hint="eastAsia" w:asciiTheme="majorEastAsia" w:hAnsiTheme="majorEastAsia" w:eastAsiaTheme="majorEastAsia" w:cstheme="majorEastAsia"/>
          <w:b/>
          <w:bCs/>
          <w:sz w:val="56"/>
          <w:szCs w:val="56"/>
        </w:rPr>
        <w:t>2022年博爱县体育健身工程采购项目</w:t>
      </w:r>
      <w:bookmarkEnd w:id="1"/>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2"/>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outlineLvl w:val="0"/>
        <w:rPr>
          <w:rFonts w:asciiTheme="minorEastAsia" w:hAnsiTheme="minorEastAsia" w:eastAsiaTheme="minorEastAsia" w:cstheme="minorEastAsia"/>
          <w:b/>
          <w:bCs/>
          <w:sz w:val="36"/>
          <w:szCs w:val="36"/>
        </w:rPr>
      </w:pPr>
      <w:bookmarkStart w:id="2" w:name="_Toc11765"/>
      <w:r>
        <w:rPr>
          <w:rFonts w:hint="eastAsia" w:asciiTheme="minorEastAsia" w:hAnsiTheme="minorEastAsia" w:eastAsiaTheme="minorEastAsia" w:cstheme="minorEastAsia"/>
          <w:b/>
          <w:bCs/>
          <w:sz w:val="36"/>
          <w:szCs w:val="36"/>
        </w:rPr>
        <w:t>采购编号：博政采购〔2023〕22号</w:t>
      </w:r>
      <w:bookmarkEnd w:id="2"/>
    </w:p>
    <w:p>
      <w:pPr>
        <w:snapToGrid w:val="0"/>
        <w:spacing w:line="360" w:lineRule="auto"/>
        <w:jc w:val="center"/>
        <w:rPr>
          <w:rFonts w:ascii="宋体"/>
          <w:b/>
          <w:kern w:val="0"/>
          <w:sz w:val="32"/>
          <w:szCs w:val="32"/>
          <w:u w:val="double"/>
        </w:rPr>
      </w:pPr>
      <w:r>
        <w:rPr>
          <w:rFonts w:hint="eastAsia" w:ascii="宋体"/>
          <w:b/>
          <w:kern w:val="0"/>
          <w:sz w:val="36"/>
          <w:szCs w:val="36"/>
          <w:u w:val="double"/>
        </w:rPr>
        <w:t>该项目全额面向中小企业采购</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2"/>
      </w:pPr>
    </w:p>
    <w:p>
      <w:pPr>
        <w:ind w:firstLine="1928" w:firstLineChars="600"/>
        <w:outlineLvl w:val="0"/>
        <w:rPr>
          <w:rFonts w:asciiTheme="minorEastAsia" w:hAnsiTheme="minorEastAsia" w:eastAsiaTheme="minorEastAsia" w:cstheme="minorEastAsia"/>
          <w:b/>
          <w:bCs/>
          <w:sz w:val="32"/>
          <w:szCs w:val="32"/>
        </w:rPr>
      </w:pPr>
      <w:bookmarkStart w:id="3" w:name="_Toc23769"/>
      <w:r>
        <w:rPr>
          <w:rFonts w:hint="eastAsia" w:asciiTheme="minorEastAsia" w:hAnsiTheme="minorEastAsia" w:eastAsiaTheme="minorEastAsia" w:cstheme="minorEastAsia"/>
          <w:b/>
          <w:bCs/>
          <w:sz w:val="32"/>
          <w:szCs w:val="32"/>
        </w:rPr>
        <w:t>采 购 人：博爱县体育运动发展中心</w:t>
      </w:r>
      <w:bookmarkEnd w:id="3"/>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代理机构：河南润豫工程管理有限公司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期：2023年5月</w:t>
      </w:r>
    </w:p>
    <w:p>
      <w:pPr>
        <w:jc w:val="center"/>
        <w:rPr>
          <w:rFonts w:asciiTheme="minorEastAsia" w:hAnsiTheme="minorEastAsia" w:eastAsiaTheme="minorEastAsia" w:cstheme="minorEastAsia"/>
          <w:b/>
          <w:bCs/>
          <w:sz w:val="32"/>
          <w:szCs w:val="32"/>
        </w:rPr>
      </w:pPr>
    </w:p>
    <w:p>
      <w:pPr>
        <w:jc w:val="center"/>
        <w:outlineLvl w:val="0"/>
        <w:rPr>
          <w:rFonts w:asciiTheme="minorEastAsia" w:hAnsiTheme="minorEastAsia" w:eastAsiaTheme="minorEastAsia" w:cstheme="minorEastAsia"/>
          <w:b/>
          <w:bCs/>
          <w:sz w:val="44"/>
          <w:szCs w:val="44"/>
        </w:rPr>
      </w:pPr>
      <w:bookmarkStart w:id="4" w:name="_Toc25319"/>
      <w:r>
        <w:rPr>
          <w:rFonts w:hint="eastAsia" w:asciiTheme="minorEastAsia" w:hAnsiTheme="minorEastAsia" w:eastAsiaTheme="minorEastAsia" w:cstheme="minorEastAsia"/>
          <w:b/>
          <w:bCs/>
          <w:sz w:val="44"/>
          <w:szCs w:val="44"/>
        </w:rPr>
        <w:t>目     录</w:t>
      </w:r>
      <w:bookmarkEnd w:id="4"/>
    </w:p>
    <w:sdt>
      <w:sdtPr>
        <w:rPr>
          <w:rFonts w:ascii="宋体" w:hAnsi="宋体"/>
          <w:b/>
        </w:rPr>
        <w:id w:val="147475469"/>
        <w15:color w:val="DBDBDB"/>
        <w:docPartObj>
          <w:docPartGallery w:val="Table of Contents"/>
          <w:docPartUnique/>
        </w:docPartObj>
      </w:sdtPr>
      <w:sdtEndPr>
        <w:rPr>
          <w:rFonts w:asciiTheme="minorEastAsia" w:hAnsiTheme="minorEastAsia" w:eastAsiaTheme="minorEastAsia" w:cstheme="minorEastAsia"/>
          <w:b/>
          <w:bCs/>
          <w:sz w:val="32"/>
          <w:szCs w:val="32"/>
        </w:rPr>
      </w:sdtEndPr>
      <w:sdtContent>
        <w:p>
          <w:pPr>
            <w:jc w:val="center"/>
          </w:pPr>
          <w:r>
            <w:rPr>
              <w:rFonts w:ascii="宋体" w:hAnsi="宋体"/>
            </w:rPr>
            <w:t>目录</w:t>
          </w:r>
        </w:p>
        <w:p>
          <w:pPr>
            <w:pStyle w:val="60"/>
            <w:tabs>
              <w:tab w:val="right" w:leader="dot" w:pos="9880"/>
            </w:tabs>
          </w:pPr>
          <w:r>
            <w:rPr>
              <w:rFonts w:asciiTheme="minorEastAsia" w:hAnsiTheme="minorEastAsia" w:eastAsiaTheme="minorEastAsia" w:cstheme="minorEastAsia"/>
              <w:bCs/>
            </w:rPr>
            <w:fldChar w:fldCharType="begin"/>
          </w:r>
          <w:r>
            <w:rPr>
              <w:rFonts w:asciiTheme="minorEastAsia" w:hAnsiTheme="minorEastAsia" w:eastAsiaTheme="minorEastAsia" w:cstheme="minorEastAsia"/>
              <w:bCs/>
            </w:rPr>
            <w:instrText xml:space="preserve">TOC \o "1-1" \h \u </w:instrText>
          </w:r>
          <w:r>
            <w:rPr>
              <w:rFonts w:asciiTheme="minorEastAsia" w:hAnsiTheme="minorEastAsia" w:eastAsiaTheme="minorEastAsia" w:cstheme="minorEastAsia"/>
              <w:bCs/>
            </w:rPr>
            <w:fldChar w:fldCharType="separate"/>
          </w:r>
          <w:r>
            <w:fldChar w:fldCharType="begin"/>
          </w:r>
          <w:r>
            <w:instrText xml:space="preserve"> HYPERLINK \l "_Toc25319" </w:instrText>
          </w:r>
          <w:r>
            <w:fldChar w:fldCharType="separate"/>
          </w:r>
          <w:r>
            <w:rPr>
              <w:rFonts w:hint="eastAsia" w:asciiTheme="minorEastAsia" w:hAnsiTheme="minorEastAsia" w:eastAsiaTheme="minorEastAsia" w:cstheme="minorEastAsia"/>
              <w:bCs/>
              <w:szCs w:val="44"/>
            </w:rPr>
            <w:t>目     录</w:t>
          </w:r>
          <w:r>
            <w:tab/>
          </w:r>
          <w:r>
            <w:fldChar w:fldCharType="begin"/>
          </w:r>
          <w:r>
            <w:instrText xml:space="preserve"> PAGEREF _Toc25319 \h </w:instrText>
          </w:r>
          <w:r>
            <w:fldChar w:fldCharType="separate"/>
          </w:r>
          <w:r>
            <w:t>- 2 -</w:t>
          </w:r>
          <w:r>
            <w:fldChar w:fldCharType="end"/>
          </w:r>
          <w:r>
            <w:fldChar w:fldCharType="end"/>
          </w:r>
        </w:p>
        <w:p>
          <w:pPr>
            <w:pStyle w:val="60"/>
            <w:tabs>
              <w:tab w:val="right" w:leader="dot" w:pos="9880"/>
            </w:tabs>
          </w:pPr>
          <w:r>
            <w:fldChar w:fldCharType="begin"/>
          </w:r>
          <w:r>
            <w:instrText xml:space="preserve"> HYPERLINK \l "_Toc2173" </w:instrText>
          </w:r>
          <w:r>
            <w:fldChar w:fldCharType="separate"/>
          </w:r>
          <w:r>
            <w:rPr>
              <w:rFonts w:hint="eastAsia"/>
            </w:rPr>
            <w:t>重要事项提示</w:t>
          </w:r>
          <w:r>
            <w:tab/>
          </w:r>
          <w:r>
            <w:fldChar w:fldCharType="begin"/>
          </w:r>
          <w:r>
            <w:instrText xml:space="preserve"> PAGEREF _Toc2173 \h </w:instrText>
          </w:r>
          <w:r>
            <w:fldChar w:fldCharType="separate"/>
          </w:r>
          <w:r>
            <w:t>- 3 -</w:t>
          </w:r>
          <w:r>
            <w:fldChar w:fldCharType="end"/>
          </w:r>
          <w:r>
            <w:fldChar w:fldCharType="end"/>
          </w:r>
        </w:p>
        <w:p>
          <w:pPr>
            <w:pStyle w:val="60"/>
            <w:tabs>
              <w:tab w:val="right" w:leader="dot" w:pos="9880"/>
            </w:tabs>
          </w:pPr>
          <w:r>
            <w:fldChar w:fldCharType="begin"/>
          </w:r>
          <w:r>
            <w:instrText xml:space="preserve"> HYPERLINK \l "_Toc24751"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_Toc24751 \h </w:instrText>
          </w:r>
          <w:r>
            <w:fldChar w:fldCharType="separate"/>
          </w:r>
          <w:r>
            <w:t>- 5 -</w:t>
          </w:r>
          <w:r>
            <w:fldChar w:fldCharType="end"/>
          </w:r>
          <w:r>
            <w:fldChar w:fldCharType="end"/>
          </w:r>
        </w:p>
        <w:p>
          <w:pPr>
            <w:pStyle w:val="60"/>
            <w:tabs>
              <w:tab w:val="right" w:leader="dot" w:pos="9880"/>
            </w:tabs>
          </w:pPr>
          <w:r>
            <w:fldChar w:fldCharType="begin"/>
          </w:r>
          <w:r>
            <w:instrText xml:space="preserve"> HYPERLINK \l "_Toc27816" </w:instrText>
          </w:r>
          <w:r>
            <w:fldChar w:fldCharType="separate"/>
          </w:r>
          <w:r>
            <w:rPr>
              <w:rFonts w:hint="eastAsia" w:asciiTheme="minorEastAsia" w:hAnsiTheme="minorEastAsia" w:eastAsiaTheme="minorEastAsia" w:cstheme="minorEastAsia"/>
              <w:szCs w:val="32"/>
            </w:rPr>
            <w:t>第二章  供应商须知</w:t>
          </w:r>
          <w:r>
            <w:tab/>
          </w:r>
          <w:r>
            <w:fldChar w:fldCharType="begin"/>
          </w:r>
          <w:r>
            <w:instrText xml:space="preserve"> PAGEREF _Toc27816 \h </w:instrText>
          </w:r>
          <w:r>
            <w:fldChar w:fldCharType="separate"/>
          </w:r>
          <w:r>
            <w:t>- 8 -</w:t>
          </w:r>
          <w:r>
            <w:fldChar w:fldCharType="end"/>
          </w:r>
          <w:r>
            <w:fldChar w:fldCharType="end"/>
          </w:r>
        </w:p>
        <w:p>
          <w:pPr>
            <w:pStyle w:val="60"/>
            <w:tabs>
              <w:tab w:val="right" w:leader="dot" w:pos="9880"/>
            </w:tabs>
          </w:pPr>
          <w:r>
            <w:fldChar w:fldCharType="begin"/>
          </w:r>
          <w:r>
            <w:instrText xml:space="preserve"> HYPERLINK \l "_Toc31932" </w:instrText>
          </w:r>
          <w:r>
            <w:fldChar w:fldCharType="separate"/>
          </w:r>
          <w:r>
            <w:rPr>
              <w:rFonts w:hint="eastAsia" w:asciiTheme="minorEastAsia" w:hAnsiTheme="minorEastAsia" w:eastAsiaTheme="minorEastAsia" w:cstheme="minorEastAsia"/>
              <w:szCs w:val="30"/>
            </w:rPr>
            <w:t>供应商须知前附表</w:t>
          </w:r>
          <w:r>
            <w:tab/>
          </w:r>
          <w:r>
            <w:fldChar w:fldCharType="begin"/>
          </w:r>
          <w:r>
            <w:instrText xml:space="preserve"> PAGEREF _Toc31932 \h </w:instrText>
          </w:r>
          <w:r>
            <w:fldChar w:fldCharType="separate"/>
          </w:r>
          <w:r>
            <w:t>- 8 -</w:t>
          </w:r>
          <w:r>
            <w:fldChar w:fldCharType="end"/>
          </w:r>
          <w:r>
            <w:fldChar w:fldCharType="end"/>
          </w:r>
        </w:p>
        <w:p>
          <w:pPr>
            <w:pStyle w:val="60"/>
            <w:tabs>
              <w:tab w:val="right" w:leader="dot" w:pos="9880"/>
            </w:tabs>
          </w:pPr>
          <w:r>
            <w:fldChar w:fldCharType="begin"/>
          </w:r>
          <w:r>
            <w:instrText xml:space="preserve"> HYPERLINK \l "_Toc7029" </w:instrText>
          </w:r>
          <w:r>
            <w:fldChar w:fldCharType="separate"/>
          </w:r>
          <w:r>
            <w:rPr>
              <w:rFonts w:hint="eastAsia" w:asciiTheme="minorEastAsia" w:hAnsiTheme="minorEastAsia" w:eastAsiaTheme="minorEastAsia" w:cstheme="minorEastAsia"/>
              <w:szCs w:val="24"/>
            </w:rPr>
            <w:t>1. 总则</w:t>
          </w:r>
          <w:r>
            <w:tab/>
          </w:r>
          <w:r>
            <w:fldChar w:fldCharType="begin"/>
          </w:r>
          <w:r>
            <w:instrText xml:space="preserve"> PAGEREF _Toc7029 \h </w:instrText>
          </w:r>
          <w:r>
            <w:fldChar w:fldCharType="separate"/>
          </w:r>
          <w:r>
            <w:t>- 12 -</w:t>
          </w:r>
          <w:r>
            <w:fldChar w:fldCharType="end"/>
          </w:r>
          <w:r>
            <w:fldChar w:fldCharType="end"/>
          </w:r>
        </w:p>
        <w:p>
          <w:pPr>
            <w:pStyle w:val="60"/>
            <w:tabs>
              <w:tab w:val="right" w:leader="dot" w:pos="9880"/>
            </w:tabs>
          </w:pPr>
          <w:r>
            <w:fldChar w:fldCharType="begin"/>
          </w:r>
          <w:r>
            <w:instrText xml:space="preserve"> HYPERLINK \l "_Toc20888" </w:instrText>
          </w:r>
          <w:r>
            <w:fldChar w:fldCharType="separate"/>
          </w:r>
          <w:r>
            <w:rPr>
              <w:rFonts w:hint="eastAsia" w:asciiTheme="minorEastAsia" w:hAnsiTheme="minorEastAsia" w:eastAsiaTheme="minorEastAsia" w:cstheme="minorEastAsia"/>
              <w:szCs w:val="24"/>
            </w:rPr>
            <w:t>2. 招标文件</w:t>
          </w:r>
          <w:r>
            <w:tab/>
          </w:r>
          <w:r>
            <w:fldChar w:fldCharType="begin"/>
          </w:r>
          <w:r>
            <w:instrText xml:space="preserve"> PAGEREF _Toc20888 \h </w:instrText>
          </w:r>
          <w:r>
            <w:fldChar w:fldCharType="separate"/>
          </w:r>
          <w:r>
            <w:t>- 13 -</w:t>
          </w:r>
          <w:r>
            <w:fldChar w:fldCharType="end"/>
          </w:r>
          <w:r>
            <w:fldChar w:fldCharType="end"/>
          </w:r>
        </w:p>
        <w:p>
          <w:pPr>
            <w:pStyle w:val="60"/>
            <w:tabs>
              <w:tab w:val="right" w:leader="dot" w:pos="9880"/>
            </w:tabs>
          </w:pPr>
          <w:r>
            <w:fldChar w:fldCharType="begin"/>
          </w:r>
          <w:r>
            <w:instrText xml:space="preserve"> HYPERLINK \l "_Toc15031" </w:instrText>
          </w:r>
          <w:r>
            <w:fldChar w:fldCharType="separate"/>
          </w:r>
          <w:r>
            <w:rPr>
              <w:rFonts w:hint="eastAsia" w:asciiTheme="minorEastAsia" w:hAnsiTheme="minorEastAsia" w:eastAsiaTheme="minorEastAsia" w:cstheme="minorEastAsia"/>
              <w:szCs w:val="24"/>
            </w:rPr>
            <w:t>3. 投标文件</w:t>
          </w:r>
          <w:r>
            <w:tab/>
          </w:r>
          <w:r>
            <w:fldChar w:fldCharType="begin"/>
          </w:r>
          <w:r>
            <w:instrText xml:space="preserve"> PAGEREF _Toc15031 \h </w:instrText>
          </w:r>
          <w:r>
            <w:fldChar w:fldCharType="separate"/>
          </w:r>
          <w:r>
            <w:t>- 14 -</w:t>
          </w:r>
          <w:r>
            <w:fldChar w:fldCharType="end"/>
          </w:r>
          <w:r>
            <w:fldChar w:fldCharType="end"/>
          </w:r>
        </w:p>
        <w:p>
          <w:pPr>
            <w:pStyle w:val="60"/>
            <w:tabs>
              <w:tab w:val="right" w:leader="dot" w:pos="9880"/>
            </w:tabs>
          </w:pPr>
          <w:r>
            <w:fldChar w:fldCharType="begin"/>
          </w:r>
          <w:r>
            <w:instrText xml:space="preserve"> HYPERLINK \l "_Toc21879" </w:instrText>
          </w:r>
          <w:r>
            <w:fldChar w:fldCharType="separate"/>
          </w:r>
          <w:r>
            <w:rPr>
              <w:rFonts w:hint="eastAsia" w:asciiTheme="minorEastAsia" w:hAnsiTheme="minorEastAsia" w:eastAsiaTheme="minorEastAsia" w:cstheme="minorEastAsia"/>
              <w:szCs w:val="24"/>
            </w:rPr>
            <w:t>4. 投标</w:t>
          </w:r>
          <w:r>
            <w:tab/>
          </w:r>
          <w:r>
            <w:fldChar w:fldCharType="begin"/>
          </w:r>
          <w:r>
            <w:instrText xml:space="preserve"> PAGEREF _Toc21879 \h </w:instrText>
          </w:r>
          <w:r>
            <w:fldChar w:fldCharType="separate"/>
          </w:r>
          <w:r>
            <w:t>- 15 -</w:t>
          </w:r>
          <w:r>
            <w:fldChar w:fldCharType="end"/>
          </w:r>
          <w:r>
            <w:fldChar w:fldCharType="end"/>
          </w:r>
        </w:p>
        <w:p>
          <w:pPr>
            <w:pStyle w:val="60"/>
            <w:tabs>
              <w:tab w:val="right" w:leader="dot" w:pos="9880"/>
            </w:tabs>
          </w:pPr>
          <w:r>
            <w:fldChar w:fldCharType="begin"/>
          </w:r>
          <w:r>
            <w:instrText xml:space="preserve"> HYPERLINK \l "_Toc22737" </w:instrText>
          </w:r>
          <w:r>
            <w:fldChar w:fldCharType="separate"/>
          </w:r>
          <w:r>
            <w:rPr>
              <w:rFonts w:hint="eastAsia" w:asciiTheme="minorEastAsia" w:hAnsiTheme="minorEastAsia" w:eastAsiaTheme="minorEastAsia" w:cstheme="minorEastAsia"/>
              <w:szCs w:val="24"/>
            </w:rPr>
            <w:t>5. 开标</w:t>
          </w:r>
          <w:r>
            <w:tab/>
          </w:r>
          <w:r>
            <w:fldChar w:fldCharType="begin"/>
          </w:r>
          <w:r>
            <w:instrText xml:space="preserve"> PAGEREF _Toc22737 \h </w:instrText>
          </w:r>
          <w:r>
            <w:fldChar w:fldCharType="separate"/>
          </w:r>
          <w:r>
            <w:t>- 16 -</w:t>
          </w:r>
          <w:r>
            <w:fldChar w:fldCharType="end"/>
          </w:r>
          <w:r>
            <w:fldChar w:fldCharType="end"/>
          </w:r>
        </w:p>
        <w:p>
          <w:pPr>
            <w:pStyle w:val="60"/>
            <w:tabs>
              <w:tab w:val="right" w:leader="dot" w:pos="9880"/>
            </w:tabs>
          </w:pPr>
          <w:r>
            <w:fldChar w:fldCharType="begin"/>
          </w:r>
          <w:r>
            <w:instrText xml:space="preserve"> HYPERLINK \l "_Toc4643" </w:instrText>
          </w:r>
          <w:r>
            <w:fldChar w:fldCharType="separate"/>
          </w:r>
          <w:r>
            <w:rPr>
              <w:rFonts w:hint="eastAsia" w:asciiTheme="minorEastAsia" w:hAnsiTheme="minorEastAsia" w:eastAsiaTheme="minorEastAsia" w:cstheme="minorEastAsia"/>
              <w:szCs w:val="24"/>
            </w:rPr>
            <w:t>6. 评标</w:t>
          </w:r>
          <w:r>
            <w:tab/>
          </w:r>
          <w:r>
            <w:fldChar w:fldCharType="begin"/>
          </w:r>
          <w:r>
            <w:instrText xml:space="preserve"> PAGEREF _Toc4643 \h </w:instrText>
          </w:r>
          <w:r>
            <w:fldChar w:fldCharType="separate"/>
          </w:r>
          <w:r>
            <w:t>- 17 -</w:t>
          </w:r>
          <w:r>
            <w:fldChar w:fldCharType="end"/>
          </w:r>
          <w:r>
            <w:fldChar w:fldCharType="end"/>
          </w:r>
        </w:p>
        <w:p>
          <w:pPr>
            <w:pStyle w:val="60"/>
            <w:tabs>
              <w:tab w:val="right" w:leader="dot" w:pos="9880"/>
            </w:tabs>
          </w:pPr>
          <w:r>
            <w:fldChar w:fldCharType="begin"/>
          </w:r>
          <w:r>
            <w:instrText xml:space="preserve"> HYPERLINK \l "_Toc8566" </w:instrText>
          </w:r>
          <w:r>
            <w:fldChar w:fldCharType="separate"/>
          </w:r>
          <w:r>
            <w:rPr>
              <w:rFonts w:hint="eastAsia" w:asciiTheme="minorEastAsia" w:hAnsiTheme="minorEastAsia" w:eastAsiaTheme="minorEastAsia" w:cstheme="minorEastAsia"/>
              <w:szCs w:val="24"/>
            </w:rPr>
            <w:t>7. 合同授予</w:t>
          </w:r>
          <w:r>
            <w:tab/>
          </w:r>
          <w:r>
            <w:fldChar w:fldCharType="begin"/>
          </w:r>
          <w:r>
            <w:instrText xml:space="preserve"> PAGEREF _Toc8566 \h </w:instrText>
          </w:r>
          <w:r>
            <w:fldChar w:fldCharType="separate"/>
          </w:r>
          <w:r>
            <w:t>- 18 -</w:t>
          </w:r>
          <w:r>
            <w:fldChar w:fldCharType="end"/>
          </w:r>
          <w:r>
            <w:fldChar w:fldCharType="end"/>
          </w:r>
        </w:p>
        <w:p>
          <w:pPr>
            <w:pStyle w:val="60"/>
            <w:tabs>
              <w:tab w:val="right" w:leader="dot" w:pos="9880"/>
            </w:tabs>
          </w:pPr>
          <w:r>
            <w:fldChar w:fldCharType="begin"/>
          </w:r>
          <w:r>
            <w:instrText xml:space="preserve"> HYPERLINK \l "_Toc29014" </w:instrText>
          </w:r>
          <w:r>
            <w:fldChar w:fldCharType="separate"/>
          </w:r>
          <w:r>
            <w:rPr>
              <w:rFonts w:hint="eastAsia" w:asciiTheme="minorEastAsia" w:hAnsiTheme="minorEastAsia" w:eastAsiaTheme="minorEastAsia" w:cstheme="minorEastAsia"/>
              <w:szCs w:val="24"/>
            </w:rPr>
            <w:t>8. 重新招标</w:t>
          </w:r>
          <w:r>
            <w:tab/>
          </w:r>
          <w:r>
            <w:fldChar w:fldCharType="begin"/>
          </w:r>
          <w:r>
            <w:instrText xml:space="preserve"> PAGEREF _Toc29014 \h </w:instrText>
          </w:r>
          <w:r>
            <w:fldChar w:fldCharType="separate"/>
          </w:r>
          <w:r>
            <w:t>- 19 -</w:t>
          </w:r>
          <w:r>
            <w:fldChar w:fldCharType="end"/>
          </w:r>
          <w:r>
            <w:fldChar w:fldCharType="end"/>
          </w:r>
        </w:p>
        <w:p>
          <w:pPr>
            <w:pStyle w:val="60"/>
            <w:tabs>
              <w:tab w:val="right" w:leader="dot" w:pos="9880"/>
            </w:tabs>
          </w:pPr>
          <w:r>
            <w:fldChar w:fldCharType="begin"/>
          </w:r>
          <w:r>
            <w:instrText xml:space="preserve"> HYPERLINK \l "_Toc14622" </w:instrText>
          </w:r>
          <w:r>
            <w:fldChar w:fldCharType="separate"/>
          </w:r>
          <w:r>
            <w:rPr>
              <w:rFonts w:hint="eastAsia" w:asciiTheme="minorEastAsia" w:hAnsiTheme="minorEastAsia" w:eastAsiaTheme="minorEastAsia" w:cstheme="minorEastAsia"/>
              <w:szCs w:val="24"/>
            </w:rPr>
            <w:t>9. 纪律和监督</w:t>
          </w:r>
          <w:r>
            <w:tab/>
          </w:r>
          <w:r>
            <w:fldChar w:fldCharType="begin"/>
          </w:r>
          <w:r>
            <w:instrText xml:space="preserve"> PAGEREF _Toc14622 \h </w:instrText>
          </w:r>
          <w:r>
            <w:fldChar w:fldCharType="separate"/>
          </w:r>
          <w:r>
            <w:t>- 19 -</w:t>
          </w:r>
          <w:r>
            <w:fldChar w:fldCharType="end"/>
          </w:r>
          <w:r>
            <w:fldChar w:fldCharType="end"/>
          </w:r>
        </w:p>
        <w:p>
          <w:pPr>
            <w:pStyle w:val="60"/>
            <w:tabs>
              <w:tab w:val="right" w:leader="dot" w:pos="9880"/>
            </w:tabs>
          </w:pPr>
          <w:r>
            <w:fldChar w:fldCharType="begin"/>
          </w:r>
          <w:r>
            <w:instrText xml:space="preserve"> HYPERLINK \l "_Toc26812" </w:instrText>
          </w:r>
          <w:r>
            <w:fldChar w:fldCharType="separate"/>
          </w:r>
          <w:r>
            <w:rPr>
              <w:rFonts w:hint="eastAsia" w:asciiTheme="minorEastAsia" w:hAnsiTheme="minorEastAsia" w:eastAsiaTheme="minorEastAsia" w:cstheme="minorEastAsia"/>
              <w:szCs w:val="24"/>
            </w:rPr>
            <w:t>10. 需要补充的其他内容</w:t>
          </w:r>
          <w:r>
            <w:tab/>
          </w:r>
          <w:r>
            <w:fldChar w:fldCharType="begin"/>
          </w:r>
          <w:r>
            <w:instrText xml:space="preserve"> PAGEREF _Toc26812 \h </w:instrText>
          </w:r>
          <w:r>
            <w:fldChar w:fldCharType="separate"/>
          </w:r>
          <w:r>
            <w:t>- 19 -</w:t>
          </w:r>
          <w:r>
            <w:fldChar w:fldCharType="end"/>
          </w:r>
          <w:r>
            <w:fldChar w:fldCharType="end"/>
          </w:r>
        </w:p>
        <w:p>
          <w:pPr>
            <w:pStyle w:val="60"/>
            <w:tabs>
              <w:tab w:val="right" w:leader="dot" w:pos="9880"/>
            </w:tabs>
          </w:pPr>
          <w:r>
            <w:fldChar w:fldCharType="begin"/>
          </w:r>
          <w:r>
            <w:instrText xml:space="preserve"> HYPERLINK \l "_Toc32119"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_Toc32119 \h </w:instrText>
          </w:r>
          <w:r>
            <w:fldChar w:fldCharType="separate"/>
          </w:r>
          <w:r>
            <w:t>- 21 -</w:t>
          </w:r>
          <w:r>
            <w:fldChar w:fldCharType="end"/>
          </w:r>
          <w:r>
            <w:fldChar w:fldCharType="end"/>
          </w:r>
        </w:p>
        <w:p>
          <w:pPr>
            <w:pStyle w:val="60"/>
            <w:tabs>
              <w:tab w:val="right" w:leader="dot" w:pos="9880"/>
            </w:tabs>
          </w:pPr>
          <w:r>
            <w:fldChar w:fldCharType="begin"/>
          </w:r>
          <w:r>
            <w:instrText xml:space="preserve"> HYPERLINK \l "_Toc27443"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合同条款及格式</w:t>
          </w:r>
          <w:r>
            <w:tab/>
          </w:r>
          <w:r>
            <w:fldChar w:fldCharType="begin"/>
          </w:r>
          <w:r>
            <w:instrText xml:space="preserve"> PAGEREF _Toc27443 \h </w:instrText>
          </w:r>
          <w:r>
            <w:fldChar w:fldCharType="separate"/>
          </w:r>
          <w:r>
            <w:t>- 26 -</w:t>
          </w:r>
          <w:r>
            <w:fldChar w:fldCharType="end"/>
          </w:r>
          <w:r>
            <w:fldChar w:fldCharType="end"/>
          </w:r>
        </w:p>
        <w:p>
          <w:pPr>
            <w:pStyle w:val="60"/>
            <w:tabs>
              <w:tab w:val="right" w:leader="dot" w:pos="9880"/>
            </w:tabs>
          </w:pPr>
          <w:r>
            <w:fldChar w:fldCharType="begin"/>
          </w:r>
          <w:r>
            <w:instrText xml:space="preserve"> HYPERLINK \l "_Toc6692" </w:instrText>
          </w:r>
          <w:r>
            <w:fldChar w:fldCharType="separate"/>
          </w:r>
          <w:r>
            <w:rPr>
              <w:bCs/>
              <w:szCs w:val="32"/>
            </w:rPr>
            <w:t xml:space="preserve">第五章 </w:t>
          </w:r>
          <w:r>
            <w:rPr>
              <w:rFonts w:hint="eastAsia"/>
              <w:bCs/>
              <w:szCs w:val="32"/>
            </w:rPr>
            <w:t>采购内容及技术要求</w:t>
          </w:r>
          <w:r>
            <w:tab/>
          </w:r>
          <w:r>
            <w:fldChar w:fldCharType="begin"/>
          </w:r>
          <w:r>
            <w:instrText xml:space="preserve"> PAGEREF _Toc6692 \h </w:instrText>
          </w:r>
          <w:r>
            <w:fldChar w:fldCharType="separate"/>
          </w:r>
          <w:r>
            <w:t>- 28 -</w:t>
          </w:r>
          <w:r>
            <w:fldChar w:fldCharType="end"/>
          </w:r>
          <w:r>
            <w:fldChar w:fldCharType="end"/>
          </w:r>
        </w:p>
        <w:p>
          <w:pPr>
            <w:pStyle w:val="60"/>
            <w:tabs>
              <w:tab w:val="right" w:leader="dot" w:pos="9880"/>
            </w:tabs>
          </w:pPr>
          <w:r>
            <w:fldChar w:fldCharType="begin"/>
          </w:r>
          <w:r>
            <w:instrText xml:space="preserve"> HYPERLINK \l "_Toc28947" </w:instrText>
          </w:r>
          <w:r>
            <w:fldChar w:fldCharType="separate"/>
          </w:r>
          <w:r>
            <w:rPr>
              <w:rFonts w:hint="eastAsia"/>
              <w:szCs w:val="32"/>
            </w:rPr>
            <w:t>第六章 质疑与投诉</w:t>
          </w:r>
          <w:r>
            <w:tab/>
          </w:r>
          <w:r>
            <w:fldChar w:fldCharType="begin"/>
          </w:r>
          <w:r>
            <w:instrText xml:space="preserve"> PAGEREF _Toc28947 \h </w:instrText>
          </w:r>
          <w:r>
            <w:fldChar w:fldCharType="separate"/>
          </w:r>
          <w:r>
            <w:t>- 36 -</w:t>
          </w:r>
          <w:r>
            <w:fldChar w:fldCharType="end"/>
          </w:r>
          <w:r>
            <w:fldChar w:fldCharType="end"/>
          </w:r>
        </w:p>
        <w:p>
          <w:pPr>
            <w:pStyle w:val="60"/>
            <w:tabs>
              <w:tab w:val="right" w:leader="dot" w:pos="9880"/>
            </w:tabs>
          </w:pPr>
          <w:r>
            <w:fldChar w:fldCharType="begin"/>
          </w:r>
          <w:r>
            <w:instrText xml:space="preserve"> HYPERLINK \l "_Toc7285" </w:instrText>
          </w:r>
          <w:r>
            <w:fldChar w:fldCharType="separate"/>
          </w:r>
          <w:r>
            <w:rPr>
              <w:rFonts w:asciiTheme="majorEastAsia" w:hAnsiTheme="majorEastAsia" w:eastAsiaTheme="majorEastAsia" w:cstheme="majorEastAsia"/>
              <w:bCs/>
              <w:szCs w:val="32"/>
            </w:rPr>
            <w:t>第七章 履约验收</w:t>
          </w:r>
          <w:r>
            <w:tab/>
          </w:r>
          <w:r>
            <w:fldChar w:fldCharType="begin"/>
          </w:r>
          <w:r>
            <w:instrText xml:space="preserve"> PAGEREF _Toc7285 \h </w:instrText>
          </w:r>
          <w:r>
            <w:fldChar w:fldCharType="separate"/>
          </w:r>
          <w:r>
            <w:t>- 38 -</w:t>
          </w:r>
          <w:r>
            <w:fldChar w:fldCharType="end"/>
          </w:r>
          <w:r>
            <w:fldChar w:fldCharType="end"/>
          </w:r>
        </w:p>
        <w:p>
          <w:pPr>
            <w:pStyle w:val="60"/>
            <w:tabs>
              <w:tab w:val="right" w:leader="dot" w:pos="9880"/>
            </w:tabs>
          </w:pPr>
          <w:r>
            <w:fldChar w:fldCharType="begin"/>
          </w:r>
          <w:r>
            <w:instrText xml:space="preserve"> HYPERLINK \l "_Toc14191" </w:instrText>
          </w:r>
          <w:r>
            <w:fldChar w:fldCharType="separate"/>
          </w:r>
          <w:r>
            <w:rPr>
              <w:rFonts w:hint="eastAsia" w:asciiTheme="minorEastAsia" w:hAnsiTheme="minorEastAsia" w:eastAsiaTheme="minorEastAsia" w:cstheme="minorEastAsia"/>
              <w:szCs w:val="36"/>
            </w:rPr>
            <w:t>第八章  投标文件格式</w:t>
          </w:r>
          <w:r>
            <w:tab/>
          </w:r>
          <w:r>
            <w:fldChar w:fldCharType="begin"/>
          </w:r>
          <w:r>
            <w:instrText xml:space="preserve"> PAGEREF _Toc14191 \h </w:instrText>
          </w:r>
          <w:r>
            <w:fldChar w:fldCharType="separate"/>
          </w:r>
          <w:r>
            <w:t>- 39 -</w:t>
          </w:r>
          <w:r>
            <w:fldChar w:fldCharType="end"/>
          </w:r>
          <w:r>
            <w:fldChar w:fldCharType="end"/>
          </w:r>
        </w:p>
        <w:p>
          <w:pPr>
            <w:pStyle w:val="60"/>
            <w:tabs>
              <w:tab w:val="right" w:leader="dot" w:pos="9880"/>
            </w:tabs>
          </w:pPr>
          <w:r>
            <w:fldChar w:fldCharType="begin"/>
          </w:r>
          <w:r>
            <w:instrText xml:space="preserve"> HYPERLINK \l "_Toc7574" </w:instrText>
          </w:r>
          <w:r>
            <w:fldChar w:fldCharType="separate"/>
          </w:r>
          <w:r>
            <w:rPr>
              <w:rFonts w:hint="eastAsia" w:ascii="宋体" w:hAnsi="宋体" w:cs="宋体"/>
              <w:szCs w:val="36"/>
            </w:rPr>
            <w:t>河南省政府采购合同融资政策告知函</w:t>
          </w:r>
          <w:r>
            <w:tab/>
          </w:r>
          <w:r>
            <w:fldChar w:fldCharType="begin"/>
          </w:r>
          <w:r>
            <w:instrText xml:space="preserve"> PAGEREF _Toc7574 \h </w:instrText>
          </w:r>
          <w:r>
            <w:fldChar w:fldCharType="separate"/>
          </w:r>
          <w:r>
            <w:t>- 55 -</w:t>
          </w:r>
          <w:r>
            <w:fldChar w:fldCharType="end"/>
          </w:r>
          <w:r>
            <w:fldChar w:fldCharType="end"/>
          </w:r>
        </w:p>
        <w:p>
          <w:pPr>
            <w:pStyle w:val="60"/>
            <w:tabs>
              <w:tab w:val="right" w:leader="dot" w:pos="9880"/>
            </w:tabs>
          </w:pPr>
          <w:r>
            <w:fldChar w:fldCharType="begin"/>
          </w:r>
          <w:r>
            <w:instrText xml:space="preserve"> HYPERLINK \l "_Toc30161" </w:instrText>
          </w:r>
          <w:r>
            <w:fldChar w:fldCharType="separate"/>
          </w:r>
          <w:r>
            <w:rPr>
              <w:rFonts w:hint="eastAsia" w:ascii="宋体" w:hAnsi="宋体"/>
              <w:szCs w:val="32"/>
            </w:rPr>
            <w:t>焦作市政府采购合同融资合作企业</w:t>
          </w:r>
          <w:r>
            <w:tab/>
          </w:r>
          <w:r>
            <w:fldChar w:fldCharType="begin"/>
          </w:r>
          <w:r>
            <w:instrText xml:space="preserve"> PAGEREF _Toc30161 \h </w:instrText>
          </w:r>
          <w:r>
            <w:fldChar w:fldCharType="separate"/>
          </w:r>
          <w:r>
            <w:t>- 55 -</w:t>
          </w:r>
          <w:r>
            <w:fldChar w:fldCharType="end"/>
          </w:r>
          <w:r>
            <w:fldChar w:fldCharType="end"/>
          </w:r>
        </w:p>
        <w:p>
          <w:pPr>
            <w:pStyle w:val="22"/>
            <w:spacing w:line="360" w:lineRule="auto"/>
            <w:ind w:right="-63" w:rightChars="-30"/>
            <w:outlineLvl w:val="9"/>
            <w:rPr>
              <w:rFonts w:asciiTheme="minorEastAsia" w:hAnsiTheme="minorEastAsia" w:eastAsiaTheme="minorEastAsia" w:cstheme="minorEastAsia"/>
              <w:bCs/>
            </w:rPr>
          </w:pPr>
          <w:r>
            <w:rPr>
              <w:rFonts w:asciiTheme="minorEastAsia" w:hAnsiTheme="minorEastAsia" w:eastAsiaTheme="minorEastAsia" w:cstheme="minorEastAsia"/>
              <w:bCs/>
            </w:rPr>
            <w:fldChar w:fldCharType="end"/>
          </w:r>
        </w:p>
      </w:sdtContent>
    </w:sdt>
    <w:p>
      <w:pPr>
        <w:pStyle w:val="22"/>
        <w:spacing w:line="360" w:lineRule="auto"/>
        <w:ind w:right="-63" w:rightChars="-30"/>
        <w:outlineLvl w:val="9"/>
        <w:rPr>
          <w:rFonts w:asciiTheme="minorEastAsia" w:hAnsiTheme="minorEastAsia" w:eastAsiaTheme="minorEastAsia" w:cstheme="minorEastAsia"/>
          <w:bCs/>
        </w:rPr>
      </w:pPr>
    </w:p>
    <w:p>
      <w:pPr>
        <w:pStyle w:val="22"/>
        <w:spacing w:line="360" w:lineRule="auto"/>
        <w:ind w:right="-63" w:rightChars="-30"/>
        <w:outlineLvl w:val="9"/>
        <w:rPr>
          <w:rFonts w:asciiTheme="minorEastAsia" w:hAnsiTheme="minorEastAsia" w:eastAsiaTheme="minorEastAsia" w:cstheme="minorEastAsia"/>
          <w:bCs/>
        </w:rPr>
      </w:pPr>
    </w:p>
    <w:p>
      <w:pPr>
        <w:pStyle w:val="4"/>
        <w:rPr>
          <w:rFonts w:ascii="宋体" w:hAnsi="宋体" w:cs="宋体"/>
        </w:rPr>
      </w:pPr>
      <w:bookmarkStart w:id="5" w:name="_Toc2173"/>
      <w:bookmarkStart w:id="6" w:name="_Toc27735"/>
      <w:r>
        <w:rPr>
          <w:rFonts w:hint="eastAsia"/>
        </w:rPr>
        <w:t>重要事项提示</w:t>
      </w:r>
      <w:bookmarkEnd w:id="5"/>
      <w:bookmarkEnd w:id="6"/>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各潜在供应商：</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1"/>
        <w:spacing w:before="0" w:beforeAutospacing="0" w:after="0" w:afterAutospacing="0" w:line="360" w:lineRule="auto"/>
        <w:ind w:firstLine="480" w:firstLineChars="200"/>
        <w:jc w:val="both"/>
      </w:pPr>
      <w:r>
        <w:rPr>
          <w:rFonts w:hint="eastAsia"/>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1"/>
        <w:spacing w:before="0" w:beforeAutospacing="0" w:after="0" w:afterAutospacing="0" w:line="360" w:lineRule="auto"/>
        <w:ind w:firstLine="480" w:firstLineChars="200"/>
        <w:jc w:val="both"/>
      </w:pPr>
      <w:r>
        <w:rPr>
          <w:rFonts w:hint="eastAsia"/>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21"/>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pStyle w:val="21"/>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在投标文件中对同一采购项目有两个或多个报价，且未声明哪一个有效的；</w:t>
      </w:r>
    </w:p>
    <w:p>
      <w:pPr>
        <w:pStyle w:val="21"/>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响应文件的关键内容（采购报价、</w:t>
      </w:r>
      <w:r>
        <w:rPr>
          <w:rFonts w:hint="eastAsia"/>
        </w:rPr>
        <w:t>供货安装期</w:t>
      </w:r>
      <w:r>
        <w:rPr>
          <w:rFonts w:hint="eastAsia" w:cs="Times New Roman"/>
        </w:rPr>
        <w:t>、质量标准、品牌、型号等）未填写或填写字迹模糊无法辨认的；</w:t>
      </w:r>
    </w:p>
    <w:p>
      <w:pPr>
        <w:pStyle w:val="21"/>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相关资格证明文件不合格的；</w:t>
      </w:r>
    </w:p>
    <w:p>
      <w:pPr>
        <w:pStyle w:val="21"/>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采购报价超出控制价的；</w:t>
      </w:r>
    </w:p>
    <w:p>
      <w:pPr>
        <w:pStyle w:val="21"/>
        <w:numPr>
          <w:ilvl w:val="0"/>
          <w:numId w:val="3"/>
        </w:numPr>
        <w:spacing w:before="0" w:beforeAutospacing="0" w:after="0" w:afterAutospacing="0" w:line="360" w:lineRule="auto"/>
        <w:ind w:left="0" w:firstLine="480" w:firstLineChars="200"/>
        <w:jc w:val="both"/>
        <w:rPr>
          <w:rFonts w:cs="Times New Roman"/>
        </w:rPr>
      </w:pPr>
      <w:r>
        <w:rPr>
          <w:rFonts w:hint="eastAsia" w:cs="Times New Roman"/>
        </w:rPr>
        <w:t>投标文件中附有采购人不能接受的条件的；</w:t>
      </w:r>
    </w:p>
    <w:p>
      <w:pPr>
        <w:pStyle w:val="21"/>
        <w:numPr>
          <w:ilvl w:val="0"/>
          <w:numId w:val="3"/>
        </w:numPr>
        <w:spacing w:before="0" w:beforeAutospacing="0" w:after="0" w:afterAutospacing="0" w:line="360" w:lineRule="auto"/>
        <w:ind w:left="0" w:firstLine="480" w:firstLineChars="200"/>
        <w:jc w:val="both"/>
      </w:pPr>
      <w:r>
        <w:rPr>
          <w:rFonts w:hint="eastAsia" w:cs="Times New Roman"/>
        </w:rPr>
        <w:t>投标文件有明显不符合采购文件其它要求和有关法律法规的；</w:t>
      </w:r>
    </w:p>
    <w:p>
      <w:pPr>
        <w:pStyle w:val="21"/>
        <w:numPr>
          <w:ilvl w:val="0"/>
          <w:numId w:val="3"/>
        </w:numPr>
        <w:spacing w:before="0" w:beforeAutospacing="0" w:after="0" w:afterAutospacing="0" w:line="360" w:lineRule="auto"/>
        <w:ind w:left="0" w:firstLine="480" w:firstLineChars="200"/>
        <w:jc w:val="both"/>
      </w:pPr>
      <w:r>
        <w:rPr>
          <w:rFonts w:hint="eastAsia" w:cs="Times New Roman"/>
        </w:rPr>
        <w:t>如因两个或两个以上供应商使用同一台计算或同一个IP上传响应文件，被不见面开标系统提示为“投标文件制作机器码一致”的，则视其投标无效。若经查实有《政府采购法实施条例》第七十四条情形，监管部门将依法做出处理；</w:t>
      </w:r>
    </w:p>
    <w:p>
      <w:pPr>
        <w:pStyle w:val="21"/>
        <w:numPr>
          <w:ilvl w:val="0"/>
          <w:numId w:val="3"/>
        </w:numPr>
        <w:spacing w:before="0" w:beforeAutospacing="0" w:after="0" w:afterAutospacing="0" w:line="360" w:lineRule="auto"/>
        <w:ind w:left="0" w:firstLine="480" w:firstLineChars="200"/>
        <w:jc w:val="both"/>
      </w:pPr>
      <w:r>
        <w:rPr>
          <w:rFonts w:hint="eastAsia"/>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sz w:val="32"/>
          <w:szCs w:val="32"/>
          <w:highlight w:val="yellow"/>
        </w:rPr>
      </w:pPr>
    </w:p>
    <w:p>
      <w:pPr>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2"/>
        <w:spacing w:line="360" w:lineRule="auto"/>
        <w:ind w:right="-63" w:rightChars="-30"/>
        <w:jc w:val="both"/>
        <w:outlineLvl w:val="9"/>
        <w:rPr>
          <w:rFonts w:asciiTheme="minorEastAsia" w:hAnsiTheme="minorEastAsia" w:eastAsiaTheme="minorEastAsia" w:cstheme="minorEastAsia"/>
          <w:bCs/>
        </w:rPr>
      </w:pPr>
    </w:p>
    <w:p>
      <w:pPr>
        <w:rPr>
          <w:rFonts w:asciiTheme="minorEastAsia" w:hAnsiTheme="minorEastAsia" w:eastAsiaTheme="minorEastAsia" w:cstheme="minorEastAsia"/>
          <w:bCs/>
        </w:rPr>
      </w:pPr>
    </w:p>
    <w:p>
      <w:pPr>
        <w:pStyle w:val="2"/>
        <w:rPr>
          <w:rFonts w:asciiTheme="minorEastAsia" w:hAnsiTheme="minorEastAsia" w:eastAsiaTheme="minorEastAsia" w:cstheme="minorEastAsia"/>
          <w:bCs/>
        </w:rPr>
      </w:pPr>
    </w:p>
    <w:p>
      <w:pPr>
        <w:pStyle w:val="3"/>
        <w:rPr>
          <w:rFonts w:asciiTheme="minorEastAsia" w:hAnsiTheme="minorEastAsia" w:eastAsiaTheme="minorEastAsia" w:cstheme="minorEastAsia"/>
          <w:bCs/>
        </w:rPr>
      </w:pPr>
    </w:p>
    <w:p>
      <w:pPr>
        <w:pStyle w:val="2"/>
        <w:rPr>
          <w:rFonts w:asciiTheme="minorEastAsia" w:hAnsiTheme="minorEastAsia" w:eastAsiaTheme="minorEastAsia" w:cstheme="minorEastAsia"/>
          <w:bCs/>
        </w:rPr>
      </w:pPr>
    </w:p>
    <w:p>
      <w:pPr>
        <w:pStyle w:val="2"/>
      </w:pPr>
    </w:p>
    <w:p>
      <w:pPr>
        <w:pStyle w:val="3"/>
      </w:pPr>
    </w:p>
    <w:p>
      <w:pPr>
        <w:pStyle w:val="3"/>
      </w:pPr>
    </w:p>
    <w:p>
      <w:pPr>
        <w:pStyle w:val="2"/>
      </w:pPr>
    </w:p>
    <w:p>
      <w:pPr>
        <w:pStyle w:val="22"/>
        <w:numPr>
          <w:ilvl w:val="0"/>
          <w:numId w:val="4"/>
        </w:numPr>
        <w:spacing w:line="360" w:lineRule="auto"/>
        <w:ind w:right="-63" w:rightChars="-30"/>
      </w:pPr>
      <w:r>
        <w:rPr>
          <w:rFonts w:hint="eastAsia" w:asciiTheme="minorEastAsia" w:hAnsiTheme="minorEastAsia" w:eastAsiaTheme="minorEastAsia" w:cstheme="minorEastAsia"/>
          <w:bCs/>
        </w:rPr>
        <w:t xml:space="preserve">  </w:t>
      </w:r>
      <w:bookmarkStart w:id="7" w:name="_Toc23622"/>
      <w:bookmarkStart w:id="8" w:name="_Toc24751"/>
      <w:r>
        <w:rPr>
          <w:rFonts w:hint="eastAsia" w:asciiTheme="minorEastAsia" w:hAnsiTheme="minorEastAsia" w:eastAsiaTheme="minorEastAsia" w:cstheme="minorEastAsia"/>
          <w:bCs/>
        </w:rPr>
        <w:t>招标公告</w:t>
      </w:r>
      <w:bookmarkEnd w:id="7"/>
      <w:bookmarkEnd w:id="8"/>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2022年博爱县体育健身工程采购项目招标公告（不见面开标）</w:t>
      </w:r>
    </w:p>
    <w:tbl>
      <w:tblPr>
        <w:tblStyle w:val="26"/>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25"/>
              <w:spacing w:line="440" w:lineRule="exact"/>
              <w:ind w:firstLine="480"/>
              <w:rPr>
                <w:rFonts w:ascii="宋体" w:hAnsi="宋体" w:cs="宋体"/>
                <w:sz w:val="24"/>
              </w:rPr>
            </w:pPr>
            <w:r>
              <w:rPr>
                <w:rFonts w:hint="eastAsia" w:ascii="宋体" w:hAnsi="宋体" w:cs="宋体"/>
                <w:sz w:val="24"/>
              </w:rPr>
              <w:t>项目概况：2022年博爱县体育健身工程采购项目的潜在供应商应在焦作市公共资源交易中心网站获取采购文件，并于</w:t>
            </w:r>
            <w:r>
              <w:rPr>
                <w:rFonts w:hint="eastAsia" w:ascii="宋体" w:hAnsi="宋体" w:cs="宋体"/>
                <w:kern w:val="0"/>
                <w:sz w:val="24"/>
                <w:u w:val="single"/>
              </w:rPr>
              <w:t>2023年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w:t>
            </w:r>
            <w:r>
              <w:rPr>
                <w:rFonts w:hint="eastAsia" w:ascii="宋体" w:hAnsi="宋体" w:cs="宋体"/>
                <w:sz w:val="24"/>
                <w:u w:val="single"/>
              </w:rPr>
              <w:t>（北京时间）</w:t>
            </w:r>
            <w:r>
              <w:rPr>
                <w:rFonts w:hint="eastAsia" w:ascii="宋体" w:hAnsi="宋体" w:cs="宋体"/>
                <w:sz w:val="24"/>
              </w:rPr>
              <w:t>前提交响应文件。</w:t>
            </w:r>
          </w:p>
        </w:tc>
      </w:tr>
    </w:tbl>
    <w:p>
      <w:pPr>
        <w:pStyle w:val="37"/>
        <w:spacing w:line="440" w:lineRule="exact"/>
        <w:ind w:left="0" w:firstLine="0"/>
        <w:rPr>
          <w:b/>
          <w:bCs/>
          <w:sz w:val="24"/>
          <w:lang w:eastAsia="zh-CN"/>
        </w:rPr>
      </w:pPr>
      <w:r>
        <w:rPr>
          <w:rFonts w:hint="eastAsia"/>
          <w:b/>
          <w:bCs/>
          <w:sz w:val="24"/>
          <w:lang w:eastAsia="zh-CN"/>
        </w:rPr>
        <w:t>一、项目基本情况</w:t>
      </w:r>
    </w:p>
    <w:p>
      <w:pPr>
        <w:pStyle w:val="37"/>
        <w:spacing w:line="440" w:lineRule="exact"/>
        <w:ind w:left="0" w:firstLine="480" w:firstLineChars="200"/>
        <w:rPr>
          <w:sz w:val="24"/>
          <w:lang w:eastAsia="zh-CN"/>
        </w:rPr>
      </w:pPr>
      <w:r>
        <w:rPr>
          <w:rFonts w:hint="eastAsia"/>
          <w:sz w:val="24"/>
          <w:lang w:eastAsia="zh-CN"/>
        </w:rPr>
        <w:t>采购编号：博政采购〔2023〕22号</w:t>
      </w:r>
    </w:p>
    <w:p>
      <w:pPr>
        <w:pStyle w:val="37"/>
        <w:spacing w:line="440" w:lineRule="exact"/>
        <w:ind w:left="0" w:firstLine="480" w:firstLineChars="200"/>
        <w:rPr>
          <w:sz w:val="24"/>
          <w:lang w:eastAsia="zh-CN"/>
        </w:rPr>
      </w:pPr>
      <w:r>
        <w:rPr>
          <w:rFonts w:hint="eastAsia"/>
          <w:sz w:val="24"/>
          <w:lang w:eastAsia="zh-CN"/>
        </w:rPr>
        <w:t>项目名称：2022年博爱县体育健身工程采购项目</w:t>
      </w:r>
    </w:p>
    <w:p>
      <w:pPr>
        <w:pStyle w:val="37"/>
        <w:spacing w:line="440" w:lineRule="exact"/>
        <w:ind w:left="0" w:firstLine="480" w:firstLineChars="200"/>
        <w:rPr>
          <w:sz w:val="24"/>
          <w:lang w:eastAsia="zh-CN"/>
        </w:rPr>
      </w:pPr>
      <w:r>
        <w:rPr>
          <w:rFonts w:hint="eastAsia"/>
          <w:sz w:val="24"/>
          <w:lang w:eastAsia="zh-CN"/>
        </w:rPr>
        <w:t>采购方式：公开招标</w:t>
      </w:r>
    </w:p>
    <w:p>
      <w:pPr>
        <w:pStyle w:val="37"/>
        <w:spacing w:line="440" w:lineRule="exact"/>
        <w:ind w:left="0" w:firstLine="480" w:firstLineChars="200"/>
        <w:rPr>
          <w:sz w:val="24"/>
          <w:lang w:eastAsia="zh-CN"/>
        </w:rPr>
      </w:pPr>
      <w:r>
        <w:rPr>
          <w:rFonts w:hint="eastAsia"/>
          <w:sz w:val="24"/>
          <w:lang w:eastAsia="zh-CN"/>
        </w:rPr>
        <w:t>资金来源：上级财政资金</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预算金额：2100000.00元。</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采购内容：采购多功能运动场、直埋式篮球架、乒乓球台、硅PU篮球场、健身器材等（详见招标文件）。</w:t>
      </w:r>
    </w:p>
    <w:p>
      <w:pPr>
        <w:widowControl/>
        <w:spacing w:line="440" w:lineRule="exact"/>
        <w:ind w:firstLine="480" w:firstLineChars="200"/>
        <w:jc w:val="left"/>
        <w:rPr>
          <w:rFonts w:ascii="宋体" w:hAnsi="宋体" w:cs="宋体"/>
          <w:kern w:val="0"/>
          <w:sz w:val="24"/>
          <w:highlight w:val="yellow"/>
        </w:rPr>
      </w:pPr>
      <w:r>
        <w:rPr>
          <w:rFonts w:hint="eastAsia" w:cs="宋体"/>
          <w:kern w:val="0"/>
          <w:sz w:val="24"/>
        </w:rPr>
        <w:t>供货安装期</w:t>
      </w:r>
      <w:r>
        <w:rPr>
          <w:rFonts w:hint="eastAsia" w:ascii="宋体" w:hAnsi="宋体" w:cs="宋体"/>
          <w:kern w:val="0"/>
          <w:sz w:val="24"/>
        </w:rPr>
        <w:t>：合同签订后90日历天</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质量标准：合格，符合国家及行业规范标准。</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2、落实政府采购政策需满足的资格要求：促进政府强制采购节能产品及环境标志产品优先采购，该项目全额面向中小企业采购，需要提供中小企业声明函。</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21"/>
        <w:shd w:val="clear" w:color="auto" w:fill="FFFFFF"/>
        <w:autoSpaceDE w:val="0"/>
        <w:spacing w:before="0" w:beforeAutospacing="0" w:after="0" w:afterAutospacing="0" w:line="440" w:lineRule="atLeast"/>
        <w:ind w:firstLine="480" w:firstLineChars="200"/>
      </w:pPr>
      <w:r>
        <w:rPr>
          <w:rFonts w:hint="eastAsia"/>
        </w:rPr>
        <w:t>1.时间：</w:t>
      </w:r>
      <w:r>
        <w:rPr>
          <w:rFonts w:hint="eastAsia"/>
          <w:u w:val="single"/>
        </w:rPr>
        <w:t>2023年</w:t>
      </w:r>
      <w:r>
        <w:rPr>
          <w:rFonts w:hint="eastAsia"/>
          <w:u w:val="single"/>
          <w:lang w:val="en-US" w:eastAsia="zh-CN"/>
        </w:rPr>
        <w:t>5</w:t>
      </w:r>
      <w:r>
        <w:rPr>
          <w:rFonts w:hint="eastAsia"/>
          <w:u w:val="single"/>
        </w:rPr>
        <w:t>月</w:t>
      </w:r>
      <w:r>
        <w:rPr>
          <w:rFonts w:hint="eastAsia"/>
          <w:u w:val="single"/>
          <w:lang w:val="en-US" w:eastAsia="zh-CN"/>
        </w:rPr>
        <w:t>19</w:t>
      </w:r>
      <w:r>
        <w:rPr>
          <w:rFonts w:hint="eastAsia"/>
          <w:u w:val="single"/>
        </w:rPr>
        <w:t>日至2023年</w:t>
      </w:r>
      <w:r>
        <w:rPr>
          <w:rFonts w:hint="eastAsia"/>
          <w:u w:val="single"/>
          <w:lang w:val="en-US" w:eastAsia="zh-CN"/>
        </w:rPr>
        <w:t>5</w:t>
      </w:r>
      <w:r>
        <w:rPr>
          <w:rFonts w:hint="eastAsia"/>
          <w:u w:val="single"/>
        </w:rPr>
        <w:t>月</w:t>
      </w:r>
      <w:r>
        <w:rPr>
          <w:rFonts w:hint="eastAsia"/>
          <w:u w:val="single"/>
          <w:lang w:val="en-US" w:eastAsia="zh-CN"/>
        </w:rPr>
        <w:t>25</w:t>
      </w:r>
      <w:r>
        <w:rPr>
          <w:rFonts w:hint="eastAsia"/>
          <w:u w:val="single"/>
        </w:rPr>
        <w:t>日（北京时间）</w:t>
      </w:r>
      <w:r>
        <w:rPr>
          <w:rFonts w:hint="eastAsia"/>
        </w:rPr>
        <w:t>；</w:t>
      </w:r>
    </w:p>
    <w:p>
      <w:pPr>
        <w:pStyle w:val="21"/>
        <w:shd w:val="clear" w:color="auto" w:fill="FFFFFF"/>
        <w:autoSpaceDE w:val="0"/>
        <w:spacing w:before="0" w:beforeAutospacing="0" w:after="0" w:afterAutospacing="0" w:line="440" w:lineRule="atLeast"/>
        <w:ind w:firstLine="480" w:firstLineChars="200"/>
      </w:pPr>
      <w:r>
        <w:rPr>
          <w:rFonts w:hint="eastAsia"/>
        </w:rPr>
        <w:t>2.地点：</w:t>
      </w:r>
      <w:r>
        <w:rPr>
          <w:rFonts w:hint="eastAsia"/>
          <w:shd w:val="clear" w:color="auto" w:fill="FFFFFF"/>
        </w:rPr>
        <w:t>凡有意参加投标者，请登录焦作市公共资源交易中心网站会员系统进行网上下载。（联系电话：0391-3568920，QQ：232850725、361532918（群）；</w:t>
      </w:r>
    </w:p>
    <w:p>
      <w:pPr>
        <w:pStyle w:val="21"/>
        <w:shd w:val="clear" w:color="auto" w:fill="FFFFFF"/>
        <w:autoSpaceDE w:val="0"/>
        <w:spacing w:before="0" w:beforeAutospacing="0" w:after="0" w:afterAutospacing="0" w:line="440" w:lineRule="atLeast"/>
      </w:pPr>
      <w:r>
        <w:rPr>
          <w:rFonts w:hint="eastAsia"/>
        </w:rPr>
        <w:t>  3.方式：网上下载；</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2023年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2023年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8</w:t>
      </w:r>
      <w:r>
        <w:rPr>
          <w:rFonts w:hint="eastAsia" w:ascii="宋体" w:hAnsi="宋体" w:cs="宋体"/>
          <w:kern w:val="0"/>
          <w:sz w:val="24"/>
          <w:u w:val="single"/>
        </w:rPr>
        <w:t>日上午9点00分（北京时间）</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21"/>
        <w:numPr>
          <w:ilvl w:val="0"/>
          <w:numId w:val="5"/>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21"/>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1.本次本公告在</w:t>
      </w:r>
      <w:r>
        <w:rPr>
          <w:rFonts w:hint="eastAsia"/>
          <w:bCs/>
        </w:rPr>
        <w:t>中国招标投标公共服务平台、</w:t>
      </w:r>
      <w:r>
        <w:rPr>
          <w:rFonts w:hint="eastAsia"/>
          <w:shd w:val="clear" w:color="auto" w:fill="FFFFFF"/>
        </w:rPr>
        <w:t>河南省政府采购网、焦作市政府采购网、焦作市公共资源交易中心网、博爱县人民政府网、博爱县公共资源交易中心网http://www.baxggzyjyzx.cn/上发布。</w:t>
      </w:r>
    </w:p>
    <w:p>
      <w:pPr>
        <w:pStyle w:val="21"/>
        <w:spacing w:beforeAutospacing="0" w:afterAutospacing="0" w:line="440" w:lineRule="exact"/>
        <w:ind w:firstLine="468" w:firstLineChars="195"/>
        <w:jc w:val="both"/>
      </w:pPr>
      <w:r>
        <w:rPr>
          <w:rFonts w:hint="eastAsia"/>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1"/>
        <w:spacing w:beforeAutospacing="0" w:afterAutospacing="0" w:line="440" w:lineRule="exact"/>
        <w:ind w:firstLine="468" w:firstLineChars="195"/>
        <w:jc w:val="both"/>
      </w:pPr>
      <w:r>
        <w:rPr>
          <w:rFonts w:hint="eastAsia"/>
        </w:rPr>
        <w:t>3.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采购人：博爱县体育运动发展中心</w:t>
      </w:r>
    </w:p>
    <w:p>
      <w:pPr>
        <w:adjustRightInd w:val="0"/>
        <w:snapToGrid w:val="0"/>
        <w:spacing w:line="440" w:lineRule="exact"/>
        <w:ind w:firstLine="480" w:firstLineChars="200"/>
        <w:rPr>
          <w:rFonts w:ascii="宋体" w:hAnsi="宋体" w:cs="宋体"/>
          <w:bCs/>
          <w:sz w:val="24"/>
        </w:rPr>
      </w:pPr>
      <w:r>
        <w:rPr>
          <w:rFonts w:hint="eastAsia" w:ascii="宋体" w:hAnsi="宋体" w:cs="宋体"/>
          <w:kern w:val="0"/>
          <w:sz w:val="24"/>
        </w:rPr>
        <w:t xml:space="preserve">地址：博爱县中山路东段 </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宋体" w:hAnsi="宋体" w:cs="宋体"/>
          <w:sz w:val="24"/>
        </w:rPr>
        <w:t>高先生</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电话：15538940019</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名称：河南润豫工程管理有限公司</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shd w:val="clear" w:color="auto" w:fill="FFFFFF"/>
        </w:rPr>
        <w:t>郑州市金水区黄河路7号</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宋体" w:hAnsi="宋体" w:cs="宋体"/>
          <w:sz w:val="24"/>
        </w:rPr>
        <w:t>李先生</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电话：15139167846</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r>
        <w:rPr>
          <w:rFonts w:hint="eastAsia" w:ascii="宋体" w:hAnsi="宋体" w:cs="宋体"/>
          <w:sz w:val="24"/>
        </w:rPr>
        <w:tab/>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项目联系人：高先生 </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kern w:val="0"/>
          <w:sz w:val="24"/>
        </w:rPr>
        <w:t>15538940019</w:t>
      </w: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博爱县体育运动发展中心</w:t>
      </w:r>
    </w:p>
    <w:p>
      <w:pPr>
        <w:widowControl/>
        <w:spacing w:line="440" w:lineRule="exact"/>
        <w:ind w:left="2940" w:firstLine="420"/>
        <w:rPr>
          <w:rFonts w:ascii="宋体" w:hAnsi="宋体" w:cs="宋体"/>
          <w:sz w:val="24"/>
          <w:shd w:val="clear" w:color="auto" w:fill="FFFFFF"/>
        </w:rPr>
      </w:pPr>
      <w:r>
        <w:rPr>
          <w:rFonts w:hint="eastAsia" w:ascii="宋体" w:hAnsi="宋体" w:cs="宋体"/>
          <w:sz w:val="24"/>
          <w:shd w:val="clear" w:color="auto" w:fill="FFFFFF"/>
        </w:rPr>
        <w:t>采购代理机构：河南润豫工程管理有限公司</w:t>
      </w:r>
    </w:p>
    <w:p>
      <w:pPr>
        <w:widowControl/>
        <w:spacing w:line="440" w:lineRule="exact"/>
        <w:ind w:left="2940" w:firstLine="420"/>
      </w:pPr>
      <w:r>
        <w:rPr>
          <w:rFonts w:hint="eastAsia" w:ascii="宋体" w:hAnsi="宋体" w:cs="宋体"/>
          <w:sz w:val="24"/>
        </w:rPr>
        <w:t>发布时间：2023年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p/>
    <w:p>
      <w:pPr>
        <w:widowControl/>
        <w:spacing w:line="440" w:lineRule="exact"/>
        <w:ind w:left="2940" w:firstLine="420"/>
      </w:pPr>
    </w:p>
    <w:p/>
    <w:p/>
    <w:p>
      <w:pPr>
        <w:pStyle w:val="2"/>
        <w:rPr>
          <w:rFonts w:asciiTheme="minorEastAsia" w:hAnsiTheme="minorEastAsia" w:eastAsiaTheme="minorEastAsia" w:cstheme="minorEastAsia"/>
          <w:b/>
          <w:sz w:val="32"/>
          <w:szCs w:val="32"/>
        </w:rPr>
      </w:pPr>
    </w:p>
    <w:p>
      <w:pPr>
        <w:pStyle w:val="3"/>
        <w:rPr>
          <w:rFonts w:asciiTheme="minorEastAsia" w:hAnsiTheme="minorEastAsia" w:eastAsiaTheme="minorEastAsia" w:cstheme="minorEastAsia"/>
          <w:b/>
          <w:sz w:val="32"/>
          <w:szCs w:val="32"/>
        </w:rPr>
      </w:pPr>
    </w:p>
    <w:p>
      <w:pPr>
        <w:pStyle w:val="2"/>
        <w:rPr>
          <w:rFonts w:asciiTheme="minorEastAsia" w:hAnsiTheme="minorEastAsia" w:eastAsiaTheme="minorEastAsia" w:cstheme="minorEastAsia"/>
          <w:b/>
          <w:sz w:val="32"/>
          <w:szCs w:val="32"/>
        </w:rPr>
      </w:pPr>
    </w:p>
    <w:p>
      <w:pPr>
        <w:pStyle w:val="33"/>
      </w:pPr>
    </w:p>
    <w:p>
      <w:pPr>
        <w:pStyle w:val="2"/>
      </w:pPr>
    </w:p>
    <w:p>
      <w:pPr>
        <w:pStyle w:val="3"/>
      </w:pPr>
    </w:p>
    <w:p>
      <w:pPr>
        <w:pStyle w:val="2"/>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bookmarkStart w:id="9" w:name="_Toc21974"/>
      <w:bookmarkStart w:id="10" w:name="_Toc27816"/>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9"/>
      <w:bookmarkEnd w:id="10"/>
    </w:p>
    <w:bookmarkEnd w:id="0"/>
    <w:p>
      <w:pPr>
        <w:pStyle w:val="22"/>
        <w:spacing w:before="0" w:after="0" w:line="360" w:lineRule="auto"/>
        <w:ind w:right="-23" w:rightChars="-11"/>
        <w:outlineLvl w:val="1"/>
        <w:rPr>
          <w:rFonts w:asciiTheme="minorEastAsia" w:hAnsiTheme="minorEastAsia" w:eastAsiaTheme="minorEastAsia" w:cstheme="minorEastAsia"/>
          <w:sz w:val="30"/>
          <w:szCs w:val="30"/>
        </w:rPr>
      </w:pPr>
      <w:bookmarkStart w:id="11" w:name="_Toc14655"/>
      <w:bookmarkStart w:id="12" w:name="_Toc426369478"/>
      <w:bookmarkStart w:id="13" w:name="_Toc9161"/>
      <w:bookmarkStart w:id="14" w:name="_Toc32497"/>
      <w:bookmarkStart w:id="15" w:name="_Toc403122490"/>
      <w:bookmarkStart w:id="16" w:name="_Toc31932"/>
      <w:r>
        <w:rPr>
          <w:rFonts w:hint="eastAsia" w:asciiTheme="minorEastAsia" w:hAnsiTheme="minorEastAsia" w:eastAsiaTheme="minorEastAsia" w:cstheme="minorEastAsia"/>
          <w:sz w:val="30"/>
          <w:szCs w:val="30"/>
        </w:rPr>
        <w:t>供应商须知前附表</w:t>
      </w:r>
      <w:bookmarkEnd w:id="11"/>
      <w:bookmarkEnd w:id="12"/>
      <w:bookmarkEnd w:id="13"/>
      <w:bookmarkEnd w:id="14"/>
      <w:bookmarkEnd w:id="15"/>
      <w:bookmarkEnd w:id="16"/>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名称：博爱县体育运动发展中心</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联系人：高先生</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电话：15538940019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采购代理机构：河南润豫工程管理有限公司 </w:t>
            </w:r>
          </w:p>
          <w:p>
            <w:pPr>
              <w:pStyle w:val="15"/>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系人：李先生      </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电话：15139167846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bCs/>
                <w:iCs/>
                <w:szCs w:val="21"/>
              </w:rPr>
              <w:t>2022年博爱县体育健身工程采购项目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15"/>
              <w:spacing w:line="360" w:lineRule="exact"/>
              <w:rPr>
                <w:rFonts w:hint="default" w:asciiTheme="minorEastAsia" w:hAnsiTheme="minorEastAsia" w:eastAsiaTheme="minorEastAsia" w:cstheme="minorEastAsia"/>
                <w:i/>
                <w:iCs/>
              </w:rPr>
            </w:pPr>
            <w:r>
              <w:rPr>
                <w:rFonts w:asciiTheme="minorEastAsia" w:hAnsiTheme="minorEastAsia" w:eastAsiaTheme="minorEastAsia" w:cstheme="minorEastAsia"/>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bCs/>
                <w:iCs/>
              </w:rPr>
              <w:t>资金落实情况</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pStyle w:val="15"/>
              <w:spacing w:line="360" w:lineRule="exact"/>
              <w:ind w:firstLine="420" w:firstLineChars="200"/>
              <w:rPr>
                <w:rFonts w:hint="default" w:asciiTheme="minorEastAsia" w:hAnsiTheme="minorEastAsia" w:eastAsiaTheme="minorEastAsia" w:cstheme="minorEastAsia"/>
              </w:rPr>
            </w:pPr>
            <w:r>
              <w:rPr>
                <w:rFonts w:asciiTheme="minorEastAsia" w:hAnsiTheme="minorEastAsia" w:eastAsiaTheme="minorEastAsia" w:cstheme="minorEastAsia"/>
                <w:bCs/>
                <w:iCs/>
              </w:rPr>
              <w:t>采购内容</w:t>
            </w:r>
          </w:p>
        </w:tc>
        <w:tc>
          <w:tcPr>
            <w:tcW w:w="6112" w:type="dxa"/>
          </w:tcPr>
          <w:p>
            <w:pPr>
              <w:pStyle w:val="15"/>
              <w:spacing w:line="360" w:lineRule="exact"/>
              <w:rPr>
                <w:rFonts w:hint="default" w:asciiTheme="minorEastAsia" w:hAnsiTheme="minorEastAsia" w:eastAsiaTheme="minorEastAsia" w:cstheme="minorEastAsia"/>
                <w:highlight w:val="yellow"/>
              </w:rPr>
            </w:pPr>
            <w:r>
              <w:rPr>
                <w:rFonts w:hint="default" w:asciiTheme="minorEastAsia" w:hAnsiTheme="minorEastAsia" w:eastAsiaTheme="minorEastAsia" w:cstheme="minorEastAsia"/>
              </w:rPr>
              <w:t>采购多功能运动场、直埋式篮球架、乒乓球台、硅PU篮球场、健身器材等（详见</w:t>
            </w:r>
            <w:r>
              <w:rPr>
                <w:rFonts w:asciiTheme="minorEastAsia" w:hAnsiTheme="minorEastAsia" w:eastAsiaTheme="minorEastAsia" w:cstheme="minorEastAsia"/>
              </w:rPr>
              <w:t>采购内容及技术要求</w:t>
            </w:r>
            <w:r>
              <w:rPr>
                <w:rFonts w:hint="default"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5"/>
              <w:spacing w:line="360" w:lineRule="exact"/>
              <w:jc w:val="center"/>
              <w:rPr>
                <w:rFonts w:hint="default" w:hAnsi="宋体" w:cs="宋体"/>
                <w:kern w:val="0"/>
              </w:rPr>
            </w:pPr>
            <w:r>
              <w:rPr>
                <w:rFonts w:asciiTheme="minorEastAsia" w:hAnsiTheme="minorEastAsia" w:eastAsiaTheme="minorEastAsia" w:cstheme="minorEastAsia"/>
                <w:bCs/>
                <w:iCs/>
              </w:rPr>
              <w:t>供货安装期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kern w:val="0"/>
                <w:szCs w:val="21"/>
              </w:rPr>
              <w:t>合同签订后90日历天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5"/>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ascii="宋体" w:hAnsi="宋体" w:cs="宋体"/>
                <w:kern w:val="0"/>
                <w:szCs w:val="21"/>
              </w:rPr>
              <w:t>合格，符合国家</w:t>
            </w:r>
            <w:r>
              <w:rPr>
                <w:rFonts w:hint="eastAsia" w:ascii="宋体" w:hAnsi="宋体" w:cs="宋体"/>
                <w:kern w:val="0"/>
                <w:szCs w:val="21"/>
              </w:rPr>
              <w:t>及</w:t>
            </w:r>
            <w:r>
              <w:rPr>
                <w:rFonts w:ascii="宋体" w:hAnsi="宋体" w:cs="宋体"/>
                <w:kern w:val="0"/>
                <w:szCs w:val="21"/>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15"/>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1、符合《中华人民共和国政府采购法》第二十二条之规定；</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2、落实政府采购政策需满足的资格要求：促进政府强制采购节能产品及环境标志产品优先采购，该项目全额面向中小企业采购，需要提供中小企业声明函。</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3、本项目的特定资格要求：</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3.1供应商须具有有效的营业执照，并具有实施完成本项目的经营实力和完善的售后服务体系；</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3.3本项目不接受联合体投标；</w:t>
            </w:r>
          </w:p>
          <w:p>
            <w:pPr>
              <w:pStyle w:val="15"/>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5"/>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rPr>
            </w:pPr>
            <w:r>
              <w:rPr>
                <w:rFonts w:hint="eastAsia" w:ascii="宋体" w:hAnsi="宋体" w:cs="宋体"/>
                <w:b/>
                <w:bCs/>
                <w:kern w:val="0"/>
                <w:szCs w:val="21"/>
              </w:rPr>
              <w:t>2023年</w:t>
            </w:r>
            <w:r>
              <w:rPr>
                <w:rFonts w:hint="eastAsia" w:ascii="宋体" w:hAnsi="宋体" w:cs="宋体"/>
                <w:b/>
                <w:bCs/>
                <w:kern w:val="0"/>
                <w:szCs w:val="21"/>
                <w:lang w:val="en-US" w:eastAsia="zh-CN"/>
              </w:rPr>
              <w:t>6</w:t>
            </w:r>
            <w:r>
              <w:rPr>
                <w:rFonts w:hint="eastAsia" w:ascii="宋体" w:hAnsi="宋体" w:cs="宋体"/>
                <w:b/>
                <w:bCs/>
                <w:kern w:val="0"/>
                <w:szCs w:val="21"/>
              </w:rPr>
              <w:t>月</w:t>
            </w:r>
            <w:r>
              <w:rPr>
                <w:rFonts w:hint="eastAsia" w:ascii="宋体" w:hAnsi="宋体" w:cs="宋体"/>
                <w:b/>
                <w:bCs/>
                <w:kern w:val="0"/>
                <w:szCs w:val="21"/>
                <w:lang w:val="en-US" w:eastAsia="zh-CN"/>
              </w:rPr>
              <w:t>8</w:t>
            </w:r>
            <w:r>
              <w:rPr>
                <w:rFonts w:hint="eastAsia" w:ascii="宋体" w:hAnsi="宋体" w:cs="宋体"/>
                <w:b/>
                <w:bCs/>
                <w:kern w:val="0"/>
                <w:szCs w:val="21"/>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 所有要求供应商加盖公章的地方都须加盖供应商单位的 CA 印章。</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2要求法定代表人签字或盖章的，法定代表人在签字或盖章的地方上传手写签名的扫描件或加盖法定代表人CA印章。</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5"/>
              <w:spacing w:line="400" w:lineRule="exact"/>
              <w:rPr>
                <w:rFonts w:hint="default" w:hAnsi="宋体"/>
              </w:rPr>
            </w:pPr>
            <w:r>
              <w:rPr>
                <w:rFonts w:hAnsi="宋体"/>
              </w:rPr>
              <w:t xml:space="preserve">本项目采用“远程不见面”开标方式，远程开标大厅网址为http://122.112.246.33/BidOpening/bidopeninghallaction/hall/login。供应商不需到开标现场参加开标会议，不需提交原件资料等。 </w:t>
            </w:r>
          </w:p>
          <w:p>
            <w:pPr>
              <w:pStyle w:val="15"/>
              <w:spacing w:line="400" w:lineRule="exact"/>
              <w:rPr>
                <w:rFonts w:hint="default" w:hAnsi="宋体"/>
              </w:rPr>
            </w:pPr>
            <w:r>
              <w:rPr>
                <w:rFonts w:hAnsi="宋体"/>
              </w:rPr>
              <w:t>（1）电子投标文件的递交</w:t>
            </w:r>
          </w:p>
          <w:p>
            <w:pPr>
              <w:pStyle w:val="15"/>
              <w:spacing w:line="400" w:lineRule="exact"/>
              <w:rPr>
                <w:rFonts w:hint="default" w:hAnsi="宋体"/>
              </w:rPr>
            </w:pPr>
            <w:r>
              <w:rPr>
                <w:rFonts w:hAnsi="宋体"/>
              </w:rPr>
              <w:t>a、各供应商应在投标截止时间前上传加密的电子投标文件</w:t>
            </w:r>
          </w:p>
          <w:p>
            <w:pPr>
              <w:pStyle w:val="15"/>
              <w:spacing w:line="400" w:lineRule="exact"/>
              <w:rPr>
                <w:rFonts w:hint="default" w:hAnsi="宋体"/>
              </w:rPr>
            </w:pPr>
            <w:r>
              <w:rPr>
                <w:rFonts w:hAnsi="宋体"/>
              </w:rPr>
              <w:t>（.jztf 格式）到会员系统的指定位置。上传时必须得到电脑“上传成功”的确认回复。请供应商在上传时认真检查上传投标文件是否完整、正确。</w:t>
            </w:r>
          </w:p>
          <w:p>
            <w:pPr>
              <w:pStyle w:val="15"/>
              <w:spacing w:line="400" w:lineRule="exact"/>
              <w:rPr>
                <w:rFonts w:hint="default"/>
              </w:rPr>
            </w:pPr>
            <w:r>
              <w:rPr>
                <w:rFonts w:hAnsi="宋体"/>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评标委员会构成：由采购人代表1名和政府采购专家库中随机抽</w:t>
            </w:r>
          </w:p>
          <w:p>
            <w:pPr>
              <w:adjustRightInd w:val="0"/>
              <w:snapToGrid w:val="0"/>
              <w:spacing w:line="400" w:lineRule="exact"/>
              <w:rPr>
                <w:rFonts w:ascii="宋体" w:hAnsi="宋体"/>
                <w:szCs w:val="21"/>
                <w:highlight w:val="red"/>
                <w:u w:val="single"/>
              </w:rPr>
            </w:pPr>
            <w:r>
              <w:rPr>
                <w:rFonts w:hint="eastAsia" w:ascii="宋体" w:hAnsi="宋体"/>
                <w:szCs w:val="21"/>
              </w:rPr>
              <w:t>取的评审专家4名共5人组成。</w:t>
            </w:r>
            <w:r>
              <w:rPr>
                <w:rFonts w:hint="eastAsia" w:ascii="宋体" w:hAnsi="宋体"/>
                <w:b/>
                <w:bCs/>
                <w:szCs w:val="21"/>
              </w:rPr>
              <w:t>注</w:t>
            </w:r>
            <w:r>
              <w:rPr>
                <w:rFonts w:hint="eastAsia" w:ascii="宋体" w:hAnsi="宋体"/>
                <w:szCs w:val="21"/>
              </w:rPr>
              <w:t>：</w:t>
            </w:r>
            <w:r>
              <w:rPr>
                <w:rFonts w:hint="eastAsia" w:ascii="宋体" w:hAnsi="宋体"/>
                <w:b/>
                <w:bCs/>
                <w:szCs w:val="21"/>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1、本项目预算金额为：2100000.00元。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spacing w:line="440" w:lineRule="exact"/>
              <w:rPr>
                <w:rFonts w:ascii="宋体" w:hAnsi="宋体" w:cs="宋体"/>
                <w:kern w:val="0"/>
                <w:szCs w:val="21"/>
              </w:rPr>
            </w:pPr>
            <w:r>
              <w:rPr>
                <w:rFonts w:hint="eastAsia" w:ascii="宋体" w:hAnsi="宋体" w:cs="宋体"/>
                <w:kern w:val="0"/>
                <w:szCs w:val="21"/>
              </w:rPr>
              <w:t>1对中小型或微型企业投标的扶持：</w:t>
            </w:r>
          </w:p>
          <w:p>
            <w:pPr>
              <w:spacing w:line="440" w:lineRule="exact"/>
              <w:rPr>
                <w:rFonts w:ascii="宋体" w:hAnsi="宋体" w:cs="宋体"/>
                <w:kern w:val="0"/>
                <w:szCs w:val="21"/>
              </w:rPr>
            </w:pPr>
            <w:r>
              <w:rPr>
                <w:rFonts w:hint="eastAsia" w:ascii="宋体" w:hAnsi="宋体" w:cs="宋体"/>
                <w:kern w:val="0"/>
                <w:szCs w:val="21"/>
              </w:rPr>
              <w:t>1.1投标供应商如是小型或是微型企业需提供：《中小企业声明函》（见格式）。</w:t>
            </w:r>
          </w:p>
          <w:p>
            <w:pPr>
              <w:spacing w:line="440" w:lineRule="exact"/>
              <w:rPr>
                <w:rFonts w:ascii="宋体" w:hAnsi="宋体" w:cs="宋体"/>
                <w:kern w:val="0"/>
                <w:szCs w:val="21"/>
              </w:rPr>
            </w:pPr>
            <w:r>
              <w:rPr>
                <w:rFonts w:hint="eastAsia" w:ascii="宋体" w:hAnsi="宋体" w:cs="宋体"/>
                <w:kern w:val="0"/>
                <w:szCs w:val="21"/>
              </w:rPr>
              <w:t>2 按照《政府采购促进中小企业发展管理办法》有关规定，中小企业的标准为：</w:t>
            </w:r>
          </w:p>
          <w:p>
            <w:pPr>
              <w:spacing w:line="440" w:lineRule="exact"/>
              <w:rPr>
                <w:rFonts w:ascii="宋体" w:hAnsi="宋体" w:cs="宋体"/>
                <w:kern w:val="0"/>
                <w:szCs w:val="21"/>
              </w:rPr>
            </w:pPr>
            <w:r>
              <w:rPr>
                <w:rFonts w:hint="eastAsia" w:ascii="宋体" w:hAnsi="宋体" w:cs="宋体"/>
                <w:kern w:val="0"/>
                <w:szCs w:val="21"/>
              </w:rPr>
              <w:t>2.1提供本企业制造的货物、承担的工程或者服务，或者提供其他中小企业制造的货物，不包括提供或使用大型企业注册商标的货物；</w:t>
            </w:r>
          </w:p>
          <w:p>
            <w:pPr>
              <w:spacing w:line="440" w:lineRule="exact"/>
              <w:rPr>
                <w:rFonts w:ascii="宋体" w:hAnsi="宋体" w:cs="宋体"/>
                <w:kern w:val="0"/>
                <w:szCs w:val="21"/>
              </w:rPr>
            </w:pPr>
            <w:r>
              <w:rPr>
                <w:rFonts w:hint="eastAsia" w:ascii="宋体" w:hAnsi="宋体" w:cs="宋体"/>
                <w:kern w:val="0"/>
                <w:szCs w:val="21"/>
              </w:rPr>
              <w:t>2.2本规定所称中小企业划分标准，是指国务院有关部门根据企业从业人员、营业收入、资产总额等指标制定的中小企业划型标准（工信部联企业﹝2011﹞300号）；</w:t>
            </w:r>
          </w:p>
          <w:p>
            <w:pPr>
              <w:spacing w:line="440" w:lineRule="exact"/>
              <w:rPr>
                <w:rFonts w:ascii="宋体" w:hAnsi="宋体" w:cs="宋体"/>
                <w:kern w:val="0"/>
                <w:szCs w:val="21"/>
              </w:rPr>
            </w:pPr>
            <w:r>
              <w:rPr>
                <w:rFonts w:hint="eastAsia" w:ascii="宋体" w:hAnsi="宋体" w:cs="宋体"/>
                <w:kern w:val="0"/>
                <w:szCs w:val="21"/>
              </w:rPr>
              <w:t>2.3小型、微型企业提供有中型企业制造的货物的，视同为中型企业；小型、微型、中型企业提供有大型企业制造的货物的，视同为大型企业。</w:t>
            </w:r>
          </w:p>
          <w:p>
            <w:pPr>
              <w:spacing w:line="440" w:lineRule="exact"/>
              <w:rPr>
                <w:rFonts w:ascii="宋体" w:hAnsi="宋体" w:cs="宋体"/>
                <w:kern w:val="0"/>
                <w:szCs w:val="21"/>
              </w:rPr>
            </w:pPr>
            <w:r>
              <w:rPr>
                <w:rFonts w:hint="eastAsia" w:ascii="宋体" w:hAnsi="宋体" w:cs="宋体"/>
                <w:kern w:val="0"/>
                <w:szCs w:val="21"/>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szCs w:val="21"/>
              </w:rPr>
            </w:pPr>
            <w:r>
              <w:rPr>
                <w:rFonts w:hint="eastAsia" w:ascii="宋体" w:hAnsi="宋体" w:cs="宋体"/>
                <w:kern w:val="0"/>
                <w:szCs w:val="21"/>
              </w:rPr>
              <w:t>本项目全额面向中小企业采购，供应商需提供中小企业声明函。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440" w:lineRule="exact"/>
              <w:jc w:val="center"/>
              <w:rPr>
                <w:rFonts w:ascii="宋体" w:hAnsi="宋体" w:cs="宋体"/>
                <w:bCs/>
              </w:rPr>
            </w:pPr>
            <w:r>
              <w:rPr>
                <w:rFonts w:hint="eastAsia" w:ascii="宋体" w:hAnsi="宋体" w:cs="宋体"/>
                <w:bCs/>
              </w:rPr>
              <w:t>付款方式</w:t>
            </w:r>
          </w:p>
        </w:tc>
        <w:tc>
          <w:tcPr>
            <w:tcW w:w="6112" w:type="dxa"/>
            <w:vAlign w:val="center"/>
          </w:tcPr>
          <w:p>
            <w:pPr>
              <w:spacing w:line="440" w:lineRule="exact"/>
              <w:rPr>
                <w:rFonts w:ascii="宋体" w:hAnsi="宋体" w:cs="宋体"/>
                <w:bCs/>
              </w:rPr>
            </w:pPr>
            <w:r>
              <w:rPr>
                <w:rFonts w:hint="eastAsia" w:ascii="宋体" w:hAnsi="宋体" w:cs="宋体"/>
                <w:bCs/>
              </w:rPr>
              <w:t>合同签订供货安装完毕，经相关部门验收合格后，一次性付清。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318" w:type="dxa"/>
            <w:vAlign w:val="center"/>
          </w:tcPr>
          <w:p>
            <w:pPr>
              <w:spacing w:line="440" w:lineRule="exact"/>
              <w:jc w:val="center"/>
              <w:rPr>
                <w:rFonts w:ascii="宋体" w:hAnsi="宋体" w:cs="宋体"/>
                <w:bCs/>
              </w:rPr>
            </w:pPr>
            <w:r>
              <w:rPr>
                <w:rFonts w:hint="eastAsia" w:ascii="宋体" w:hAnsi="宋体" w:cs="宋体"/>
                <w:bCs/>
              </w:rPr>
              <w:t>供货要求</w:t>
            </w:r>
          </w:p>
        </w:tc>
        <w:tc>
          <w:tcPr>
            <w:tcW w:w="6112" w:type="dxa"/>
            <w:vAlign w:val="center"/>
          </w:tcPr>
          <w:p>
            <w:pPr>
              <w:spacing w:line="440" w:lineRule="exact"/>
              <w:rPr>
                <w:rFonts w:ascii="宋体" w:hAnsi="宋体" w:cs="宋体"/>
                <w:bCs/>
              </w:rPr>
            </w:pPr>
            <w:r>
              <w:rPr>
                <w:rFonts w:hint="eastAsia" w:ascii="宋体" w:hAnsi="宋体" w:cs="宋体"/>
                <w:bCs/>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ascii="宋体" w:hAnsi="宋体" w:cs="宋体"/>
                <w:bCs/>
              </w:rPr>
              <w:t>参照《招标代理服务收费管理暂行办法》（计价格〔2002〕1980号）和《国家发展和改革委员会办公厅关于招标代理服务费有关问题的通知》（发改办价格〔2003〕857号）以及《国家发展改革委关于降低部分建设项目收费标准规范收费行为等有关问题的通知》（发改价格[2011]534号），由成交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宋体" w:hAnsi="宋体" w:cs="宋体"/>
                <w:bCs/>
              </w:rPr>
            </w:pPr>
            <w:r>
              <w:rPr>
                <w:rFonts w:hint="eastAsia" w:ascii="宋体" w:hAnsi="宋体" w:cs="宋体"/>
                <w:bCs/>
              </w:rPr>
              <w:t>认定为不响应招标文件的其它条件</w:t>
            </w:r>
          </w:p>
        </w:tc>
        <w:tc>
          <w:tcPr>
            <w:tcW w:w="6112" w:type="dxa"/>
            <w:vAlign w:val="center"/>
          </w:tcPr>
          <w:p>
            <w:pPr>
              <w:pStyle w:val="25"/>
              <w:ind w:firstLine="0" w:firstLineChars="0"/>
              <w:rPr>
                <w:rFonts w:ascii="宋体" w:hAnsi="宋体" w:cs="宋体"/>
                <w:bCs/>
              </w:rPr>
            </w:pPr>
            <w:r>
              <w:rPr>
                <w:rFonts w:hint="eastAsia" w:ascii="宋体" w:hAnsi="宋体" w:cs="宋体"/>
                <w:bCs/>
              </w:rPr>
              <w:t>1、未按招标文件明示的规定签字盖章的；</w:t>
            </w:r>
          </w:p>
          <w:p>
            <w:pPr>
              <w:pStyle w:val="25"/>
              <w:ind w:firstLine="0" w:firstLineChars="0"/>
              <w:rPr>
                <w:rFonts w:ascii="宋体" w:hAnsi="宋体" w:cs="宋体"/>
                <w:bCs/>
              </w:rPr>
            </w:pPr>
            <w:r>
              <w:rPr>
                <w:rFonts w:hint="eastAsia" w:ascii="宋体" w:hAnsi="宋体" w:cs="宋体"/>
                <w:bCs/>
              </w:rPr>
              <w:t>2、投标文件的关键内容（供货安装期、质量标准、品牌、型号等）未填写或填写字迹模糊、达不到采购要求的；</w:t>
            </w:r>
          </w:p>
          <w:p>
            <w:pPr>
              <w:pStyle w:val="25"/>
              <w:ind w:firstLine="0" w:firstLineChars="0"/>
              <w:rPr>
                <w:rFonts w:ascii="宋体" w:hAnsi="宋体" w:cs="宋体"/>
                <w:bCs/>
              </w:rPr>
            </w:pPr>
            <w:r>
              <w:rPr>
                <w:rFonts w:hint="eastAsia" w:ascii="宋体" w:hAnsi="宋体" w:cs="宋体"/>
                <w:bCs/>
              </w:rPr>
              <w:t>3、投标报价超出招标控制价的；</w:t>
            </w:r>
          </w:p>
          <w:p>
            <w:pPr>
              <w:pStyle w:val="25"/>
              <w:ind w:firstLine="0" w:firstLineChars="0"/>
              <w:rPr>
                <w:rFonts w:ascii="宋体" w:hAnsi="宋体" w:cs="宋体"/>
                <w:bCs/>
              </w:rPr>
            </w:pPr>
            <w:r>
              <w:rPr>
                <w:rFonts w:hint="eastAsia" w:ascii="宋体" w:hAnsi="宋体" w:cs="宋体"/>
                <w:bCs/>
              </w:rPr>
              <w:t>4、供应商递交两份或多份内容不同的投标文件，或在一份投标文件中对同一招标项目有两个或多个报价，且未声明哪一个有效的；</w:t>
            </w:r>
          </w:p>
          <w:p>
            <w:pPr>
              <w:pStyle w:val="25"/>
              <w:ind w:firstLine="0" w:firstLineChars="0"/>
              <w:rPr>
                <w:rFonts w:ascii="宋体" w:hAnsi="宋体" w:cs="宋体"/>
                <w:bCs/>
              </w:rPr>
            </w:pPr>
            <w:r>
              <w:rPr>
                <w:rFonts w:hint="eastAsia" w:ascii="宋体" w:hAnsi="宋体" w:cs="宋体"/>
                <w:bCs/>
              </w:rPr>
              <w:t>5、相关资格证明文件不合格的；</w:t>
            </w:r>
          </w:p>
          <w:p>
            <w:pPr>
              <w:pStyle w:val="25"/>
              <w:ind w:firstLine="0" w:firstLineChars="0"/>
              <w:rPr>
                <w:rFonts w:ascii="宋体" w:hAnsi="宋体" w:cs="宋体"/>
                <w:bCs/>
              </w:rPr>
            </w:pPr>
            <w:r>
              <w:rPr>
                <w:rFonts w:hint="eastAsia" w:ascii="宋体" w:hAnsi="宋体" w:cs="宋体"/>
                <w:bCs/>
              </w:rPr>
              <w:t>6、未按要求在报价明细表中标明品牌、型号及技术参数的。</w:t>
            </w:r>
          </w:p>
          <w:p>
            <w:pPr>
              <w:pStyle w:val="25"/>
              <w:ind w:firstLine="0" w:firstLineChars="0"/>
              <w:rPr>
                <w:rFonts w:ascii="宋体" w:hAnsi="宋体" w:cs="宋体"/>
                <w:bCs/>
              </w:rPr>
            </w:pPr>
            <w:r>
              <w:rPr>
                <w:rFonts w:hint="eastAsia" w:ascii="宋体" w:hAnsi="宋体" w:cs="宋体"/>
                <w:bCs/>
              </w:rPr>
              <w:t>7、附有采购人不能接受的条件的；</w:t>
            </w:r>
          </w:p>
          <w:p>
            <w:pPr>
              <w:pStyle w:val="25"/>
              <w:ind w:firstLine="0" w:firstLineChars="0"/>
              <w:rPr>
                <w:rFonts w:ascii="宋体" w:hAnsi="宋体" w:cs="宋体"/>
                <w:bCs/>
              </w:rPr>
            </w:pPr>
            <w:r>
              <w:rPr>
                <w:rFonts w:hint="eastAsia" w:ascii="宋体" w:hAnsi="宋体" w:cs="宋体"/>
                <w:bCs/>
              </w:rPr>
              <w:t>8、评标过程中，如因两个或两个以上供应商在同一台计算或同一个IP上传响应文件，而被不见面开标系统提示为“投标文件制作机器码一致”的，则视其投标无效。</w:t>
            </w:r>
          </w:p>
          <w:p>
            <w:pPr>
              <w:pStyle w:val="25"/>
              <w:ind w:firstLine="0" w:firstLineChars="0"/>
              <w:rPr>
                <w:rFonts w:ascii="宋体" w:hAnsi="宋体" w:cs="宋体"/>
                <w:bCs/>
              </w:rPr>
            </w:pPr>
            <w:r>
              <w:rPr>
                <w:rFonts w:hint="eastAsia" w:ascii="宋体" w:hAnsi="宋体" w:cs="宋体"/>
                <w:bCs/>
              </w:rPr>
              <w:t>9、投标文件有明显不符合招标文件其它要求和有关法律法规的。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pStyle w:val="25"/>
              <w:tabs>
                <w:tab w:val="left" w:pos="1268"/>
              </w:tabs>
              <w:ind w:firstLine="0" w:firstLineChars="0"/>
              <w:rPr>
                <w:rFonts w:ascii="宋体" w:hAnsi="宋体" w:cs="宋体"/>
                <w:bCs/>
              </w:rPr>
            </w:pPr>
            <w:r>
              <w:rPr>
                <w:rFonts w:hint="eastAsia" w:asciiTheme="minorEastAsia" w:hAnsiTheme="minorEastAsia" w:eastAsiaTheme="minorEastAsia" w:cstheme="minorEastAsia"/>
                <w:szCs w:val="21"/>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5"/>
              <w:rPr>
                <w:rFonts w:ascii="宋体" w:hAnsi="宋体" w:cs="宋体"/>
                <w:bCs/>
              </w:rPr>
            </w:pPr>
            <w:r>
              <w:rPr>
                <w:rFonts w:hint="eastAsia" w:asciiTheme="minorEastAsia" w:hAnsiTheme="minorEastAsia" w:eastAsiaTheme="minorEastAsia" w:cstheme="minorEastAsia"/>
                <w:szCs w:val="21"/>
              </w:rPr>
              <w:t>本项目采购货物在质保期内属于货物质量问题的，成交供应商应免费维修，不能维修的应及时更换新货物，供应商须针对质保期内的质量问题提供承诺函。</w:t>
            </w:r>
          </w:p>
        </w:tc>
      </w:tr>
    </w:tbl>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7" w:name="_Toc403122491"/>
      <w:bookmarkStart w:id="18" w:name="_Toc9048"/>
      <w:bookmarkStart w:id="19" w:name="_Toc7029"/>
      <w:bookmarkStart w:id="20" w:name="_Toc426369479"/>
      <w:bookmarkStart w:id="21" w:name="_Toc23576"/>
      <w:bookmarkStart w:id="22" w:name="_Toc23082"/>
      <w:bookmarkStart w:id="23" w:name="_Toc403122503"/>
      <w:bookmarkStart w:id="24" w:name="_Toc26894"/>
      <w:bookmarkStart w:id="25" w:name="_Toc426369491"/>
      <w:r>
        <w:rPr>
          <w:rFonts w:hint="eastAsia" w:asciiTheme="minorEastAsia" w:hAnsiTheme="minorEastAsia" w:eastAsiaTheme="minorEastAsia" w:cstheme="minorEastAsia"/>
          <w:sz w:val="24"/>
          <w:szCs w:val="24"/>
        </w:rPr>
        <w:t>1. 总则</w:t>
      </w:r>
      <w:bookmarkEnd w:id="17"/>
      <w:bookmarkEnd w:id="18"/>
      <w:bookmarkEnd w:id="19"/>
      <w:bookmarkEnd w:id="20"/>
      <w:bookmarkEnd w:id="21"/>
      <w:bookmarkEnd w:id="22"/>
    </w:p>
    <w:p>
      <w:pPr>
        <w:spacing w:line="500" w:lineRule="exact"/>
        <w:ind w:firstLine="482" w:firstLineChars="200"/>
        <w:rPr>
          <w:rFonts w:asciiTheme="minorEastAsia" w:hAnsiTheme="minorEastAsia" w:eastAsiaTheme="minorEastAsia" w:cstheme="minorEastAsia"/>
          <w:b/>
          <w:bCs/>
          <w:sz w:val="24"/>
        </w:rPr>
      </w:pPr>
      <w:bookmarkStart w:id="26" w:name="_Toc279599771"/>
      <w:bookmarkStart w:id="27" w:name="_Toc426369480"/>
      <w:bookmarkStart w:id="28" w:name="_Toc274249575"/>
      <w:bookmarkStart w:id="29" w:name="_Toc403122492"/>
      <w:r>
        <w:rPr>
          <w:rFonts w:hint="eastAsia" w:asciiTheme="minorEastAsia" w:hAnsiTheme="minorEastAsia" w:eastAsiaTheme="minorEastAsia" w:cstheme="minorEastAsia"/>
          <w:b/>
          <w:bCs/>
          <w:sz w:val="24"/>
        </w:rPr>
        <w:t>1.1 项目概况</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30" w:name="_Toc274249576"/>
      <w:bookmarkStart w:id="31" w:name="_Toc403122493"/>
      <w:bookmarkStart w:id="32" w:name="_Toc279599772"/>
      <w:bookmarkStart w:id="33" w:name="_Toc426369481"/>
      <w:r>
        <w:rPr>
          <w:rFonts w:hint="eastAsia" w:asciiTheme="minorEastAsia" w:hAnsiTheme="minorEastAsia" w:eastAsiaTheme="minorEastAsia" w:cstheme="minorEastAsia"/>
          <w:b/>
          <w:bCs/>
          <w:sz w:val="24"/>
        </w:rPr>
        <w:t>1.2 资金来源和落实情况</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34" w:name="_Toc279599773"/>
      <w:bookmarkStart w:id="35" w:name="_Toc403122494"/>
      <w:bookmarkStart w:id="36" w:name="_Toc274249577"/>
      <w:bookmarkStart w:id="37" w:name="_Toc426369482"/>
      <w:r>
        <w:rPr>
          <w:rFonts w:hint="eastAsia" w:asciiTheme="minorEastAsia" w:hAnsiTheme="minorEastAsia" w:eastAsiaTheme="minorEastAsia" w:cstheme="minorEastAsia"/>
          <w:b/>
          <w:bCs/>
          <w:sz w:val="24"/>
        </w:rPr>
        <w:t>1.3 采购内容、供货安装期和质量</w:t>
      </w:r>
      <w:bookmarkEnd w:id="34"/>
      <w:bookmarkEnd w:id="35"/>
      <w:bookmarkEnd w:id="36"/>
      <w:bookmarkEnd w:id="37"/>
      <w:r>
        <w:rPr>
          <w:rFonts w:hint="eastAsia" w:asciiTheme="minorEastAsia" w:hAnsiTheme="minorEastAsia" w:eastAsiaTheme="minorEastAsia" w:cstheme="minorEastAsia"/>
          <w:b/>
          <w:bCs/>
          <w:sz w:val="24"/>
        </w:rPr>
        <w:t>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38" w:name="_Toc274249578"/>
      <w:bookmarkStart w:id="39" w:name="_Toc403122495"/>
      <w:bookmarkStart w:id="40" w:name="_Toc426369483"/>
      <w:bookmarkStart w:id="41" w:name="_Toc279599774"/>
      <w:r>
        <w:rPr>
          <w:rFonts w:hint="eastAsia" w:asciiTheme="minorEastAsia" w:hAnsiTheme="minorEastAsia" w:eastAsiaTheme="minorEastAsia" w:cstheme="minorEastAsia"/>
          <w:b/>
          <w:bCs/>
          <w:sz w:val="24"/>
        </w:rPr>
        <w:t>1.4 供应商资格要求</w:t>
      </w:r>
      <w:bookmarkEnd w:id="38"/>
      <w:bookmarkEnd w:id="39"/>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42" w:name="_Toc274249579"/>
      <w:bookmarkStart w:id="43" w:name="_Toc403122496"/>
      <w:bookmarkStart w:id="44"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45" w:name="_Toc426369484"/>
      <w:r>
        <w:rPr>
          <w:rFonts w:hint="eastAsia" w:asciiTheme="minorEastAsia" w:hAnsiTheme="minorEastAsia" w:eastAsiaTheme="minorEastAsia" w:cstheme="minorEastAsia"/>
          <w:b/>
          <w:bCs/>
          <w:sz w:val="24"/>
        </w:rPr>
        <w:t>1.5 费用承担</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46" w:name="_Toc426369485"/>
      <w:bookmarkStart w:id="47" w:name="_Toc403122497"/>
      <w:r>
        <w:rPr>
          <w:rFonts w:hint="eastAsia" w:asciiTheme="minorEastAsia" w:hAnsiTheme="minorEastAsia" w:eastAsiaTheme="minorEastAsia" w:cstheme="minorEastAsia"/>
          <w:b/>
          <w:bCs/>
          <w:sz w:val="24"/>
        </w:rPr>
        <w:t>1.6 保密</w:t>
      </w:r>
      <w:bookmarkEnd w:id="46"/>
      <w:bookmarkEnd w:id="4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48" w:name="_Toc279599777"/>
      <w:bookmarkStart w:id="49" w:name="_Toc274249581"/>
      <w:bookmarkStart w:id="50" w:name="_Toc426369486"/>
      <w:bookmarkStart w:id="51" w:name="_Toc403122498"/>
      <w:r>
        <w:rPr>
          <w:rFonts w:hint="eastAsia" w:asciiTheme="minorEastAsia" w:hAnsiTheme="minorEastAsia" w:eastAsiaTheme="minorEastAsia" w:cstheme="minorEastAsia"/>
          <w:b/>
          <w:bCs/>
          <w:sz w:val="24"/>
        </w:rPr>
        <w:t>1.7 语言文字</w:t>
      </w:r>
      <w:bookmarkEnd w:id="48"/>
      <w:bookmarkEnd w:id="49"/>
      <w:bookmarkEnd w:id="50"/>
      <w:bookmarkEnd w:id="51"/>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52" w:name="_Toc426369487"/>
      <w:bookmarkStart w:id="53" w:name="_Toc403122499"/>
    </w:p>
    <w:p>
      <w:pPr>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54" w:name="_Toc274249583"/>
      <w:bookmarkStart w:id="55" w:name="_Toc279599779"/>
      <w:bookmarkStart w:id="56" w:name="_Toc403122500"/>
      <w:bookmarkStart w:id="57" w:name="_Toc426369488"/>
      <w:r>
        <w:rPr>
          <w:rFonts w:hint="eastAsia" w:asciiTheme="minorEastAsia" w:hAnsiTheme="minorEastAsia" w:eastAsiaTheme="minorEastAsia" w:cstheme="minorEastAsia"/>
          <w:b/>
          <w:bCs/>
          <w:sz w:val="24"/>
        </w:rPr>
        <w:t>1.9 踏勘现场</w:t>
      </w:r>
      <w:bookmarkEnd w:id="54"/>
      <w:bookmarkEnd w:id="55"/>
      <w:bookmarkEnd w:id="56"/>
      <w:bookmarkEnd w:id="5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58" w:name="_Toc279599780"/>
      <w:bookmarkStart w:id="59" w:name="_Toc426369489"/>
      <w:bookmarkStart w:id="60" w:name="_Toc403122501"/>
      <w:bookmarkStart w:id="61" w:name="_Toc274249584"/>
      <w:r>
        <w:rPr>
          <w:rFonts w:hint="eastAsia" w:asciiTheme="minorEastAsia" w:hAnsiTheme="minorEastAsia" w:eastAsiaTheme="minorEastAsia" w:cstheme="minorEastAsia"/>
          <w:b/>
          <w:bCs/>
          <w:sz w:val="24"/>
        </w:rPr>
        <w:t>1.10 投标预备会</w:t>
      </w:r>
      <w:bookmarkEnd w:id="58"/>
      <w:bookmarkEnd w:id="59"/>
      <w:bookmarkEnd w:id="60"/>
      <w:bookmarkEnd w:id="6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62" w:name="_Toc426369490"/>
      <w:bookmarkStart w:id="63" w:name="_Toc279599781"/>
      <w:bookmarkStart w:id="64" w:name="_Toc274249585"/>
      <w:bookmarkStart w:id="65" w:name="_Toc403122502"/>
      <w:r>
        <w:rPr>
          <w:rFonts w:hint="eastAsia" w:asciiTheme="minorEastAsia" w:hAnsiTheme="minorEastAsia" w:eastAsiaTheme="minorEastAsia" w:cstheme="minorEastAsia"/>
          <w:b/>
          <w:bCs/>
          <w:sz w:val="24"/>
        </w:rPr>
        <w:t>1.11 分包</w:t>
      </w:r>
      <w:bookmarkEnd w:id="62"/>
      <w:bookmarkEnd w:id="63"/>
      <w:bookmarkEnd w:id="64"/>
      <w:bookmarkEnd w:id="6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66" w:name="_Toc9121"/>
      <w:bookmarkStart w:id="67" w:name="_Toc28663"/>
      <w:bookmarkStart w:id="68" w:name="_Toc20888"/>
      <w:r>
        <w:rPr>
          <w:rFonts w:hint="eastAsia" w:asciiTheme="minorEastAsia" w:hAnsiTheme="minorEastAsia" w:eastAsiaTheme="minorEastAsia" w:cstheme="minorEastAsia"/>
          <w:sz w:val="24"/>
          <w:szCs w:val="24"/>
        </w:rPr>
        <w:t>2. 招标文件</w:t>
      </w:r>
      <w:bookmarkEnd w:id="23"/>
      <w:bookmarkEnd w:id="24"/>
      <w:bookmarkEnd w:id="25"/>
      <w:bookmarkEnd w:id="66"/>
      <w:bookmarkEnd w:id="67"/>
      <w:bookmarkEnd w:id="68"/>
    </w:p>
    <w:p>
      <w:pPr>
        <w:spacing w:line="500" w:lineRule="exact"/>
        <w:ind w:firstLine="482" w:firstLineChars="200"/>
        <w:rPr>
          <w:rFonts w:asciiTheme="minorEastAsia" w:hAnsiTheme="minorEastAsia" w:eastAsiaTheme="minorEastAsia" w:cstheme="minorEastAsia"/>
          <w:b/>
          <w:bCs/>
          <w:sz w:val="24"/>
        </w:rPr>
      </w:pPr>
      <w:bookmarkStart w:id="69" w:name="_Toc274249587"/>
      <w:bookmarkStart w:id="70" w:name="_Toc426369492"/>
      <w:bookmarkStart w:id="71" w:name="_Toc279599783"/>
      <w:bookmarkStart w:id="72" w:name="_Toc403122504"/>
      <w:r>
        <w:rPr>
          <w:rFonts w:hint="eastAsia" w:asciiTheme="minorEastAsia" w:hAnsiTheme="minorEastAsia" w:eastAsiaTheme="minorEastAsia" w:cstheme="minorEastAsia"/>
          <w:b/>
          <w:bCs/>
          <w:sz w:val="24"/>
        </w:rPr>
        <w:t>2.1 招标文件的组成</w:t>
      </w:r>
      <w:bookmarkEnd w:id="69"/>
      <w:bookmarkEnd w:id="70"/>
      <w:bookmarkEnd w:id="71"/>
      <w:bookmarkEnd w:id="7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73" w:name="_Toc426369493"/>
      <w:bookmarkStart w:id="74" w:name="_Toc279599784"/>
      <w:bookmarkStart w:id="75" w:name="_Toc274249588"/>
      <w:bookmarkStart w:id="76" w:name="_Toc403122505"/>
      <w:r>
        <w:rPr>
          <w:rFonts w:hint="eastAsia" w:asciiTheme="minorEastAsia" w:hAnsiTheme="minorEastAsia" w:eastAsiaTheme="minorEastAsia" w:cstheme="minorEastAsia"/>
          <w:b/>
          <w:bCs/>
          <w:sz w:val="24"/>
        </w:rPr>
        <w:t>2.2 招标文件的澄清</w:t>
      </w:r>
      <w:bookmarkEnd w:id="73"/>
      <w:bookmarkEnd w:id="74"/>
      <w:bookmarkEnd w:id="75"/>
      <w:bookmarkEnd w:id="7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77" w:name="_Toc274249589"/>
      <w:bookmarkStart w:id="78" w:name="_Toc279599785"/>
      <w:bookmarkStart w:id="79" w:name="_Toc426369494"/>
      <w:bookmarkStart w:id="80" w:name="_Toc403122506"/>
      <w:r>
        <w:rPr>
          <w:rFonts w:hint="eastAsia" w:asciiTheme="minorEastAsia" w:hAnsiTheme="minorEastAsia" w:eastAsiaTheme="minorEastAsia" w:cstheme="minorEastAsia"/>
          <w:b/>
          <w:bCs/>
          <w:sz w:val="24"/>
        </w:rPr>
        <w:t>2.3 招标文件的修改</w:t>
      </w:r>
      <w:bookmarkEnd w:id="77"/>
      <w:bookmarkEnd w:id="78"/>
      <w:bookmarkEnd w:id="79"/>
      <w:bookmarkEnd w:id="8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1" w:name="_Toc426369495"/>
      <w:bookmarkStart w:id="82" w:name="_Toc23265"/>
      <w:bookmarkStart w:id="83" w:name="_Toc403122507"/>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84" w:name="_Toc13865"/>
      <w:bookmarkStart w:id="85" w:name="_Toc22914"/>
      <w:bookmarkStart w:id="86" w:name="_Toc15031"/>
      <w:r>
        <w:rPr>
          <w:rFonts w:hint="eastAsia" w:asciiTheme="minorEastAsia" w:hAnsiTheme="minorEastAsia" w:eastAsiaTheme="minorEastAsia" w:cstheme="minorEastAsia"/>
          <w:sz w:val="24"/>
          <w:szCs w:val="24"/>
        </w:rPr>
        <w:t>3. 投标文件</w:t>
      </w:r>
      <w:bookmarkEnd w:id="81"/>
      <w:bookmarkEnd w:id="82"/>
      <w:bookmarkEnd w:id="83"/>
      <w:bookmarkEnd w:id="84"/>
      <w:bookmarkEnd w:id="85"/>
      <w:bookmarkEnd w:id="86"/>
    </w:p>
    <w:p>
      <w:pPr>
        <w:spacing w:line="500" w:lineRule="exact"/>
        <w:ind w:firstLine="482" w:firstLineChars="200"/>
        <w:rPr>
          <w:rFonts w:asciiTheme="minorEastAsia" w:hAnsiTheme="minorEastAsia" w:eastAsiaTheme="minorEastAsia" w:cstheme="minorEastAsia"/>
          <w:b/>
          <w:bCs/>
          <w:sz w:val="24"/>
        </w:rPr>
      </w:pPr>
      <w:bookmarkStart w:id="87" w:name="_Toc403122508"/>
      <w:bookmarkStart w:id="88" w:name="_Toc279599787"/>
      <w:bookmarkStart w:id="89" w:name="_Toc426369496"/>
      <w:bookmarkStart w:id="90" w:name="_Toc274249591"/>
      <w:r>
        <w:rPr>
          <w:rFonts w:hint="eastAsia" w:asciiTheme="minorEastAsia" w:hAnsiTheme="minorEastAsia" w:eastAsiaTheme="minorEastAsia" w:cstheme="minorEastAsia"/>
          <w:b/>
          <w:bCs/>
          <w:sz w:val="24"/>
        </w:rPr>
        <w:t>3.1 投标文件的组成</w:t>
      </w:r>
      <w:bookmarkEnd w:id="87"/>
      <w:bookmarkEnd w:id="88"/>
      <w:bookmarkEnd w:id="89"/>
      <w:bookmarkEnd w:id="9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91" w:name="_Toc274249592"/>
      <w:bookmarkStart w:id="92" w:name="_Toc426369497"/>
      <w:bookmarkStart w:id="93" w:name="_Toc279599788"/>
      <w:bookmarkStart w:id="94" w:name="_Toc403122509"/>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四、项目实施方案等</w:t>
      </w:r>
    </w:p>
    <w:p>
      <w:pPr>
        <w:spacing w:line="440" w:lineRule="exact"/>
        <w:ind w:firstLine="420" w:firstLineChars="200"/>
        <w:rPr>
          <w:rFonts w:ascii="宋体" w:hAnsi="宋体" w:cs="宋体"/>
          <w:szCs w:val="21"/>
        </w:rPr>
      </w:pPr>
      <w:r>
        <w:rPr>
          <w:rFonts w:hint="eastAsia" w:ascii="宋体" w:hAnsi="宋体" w:cs="宋体"/>
          <w:szCs w:val="21"/>
        </w:rPr>
        <w:t>五、资格证明文件；</w:t>
      </w:r>
    </w:p>
    <w:p>
      <w:pPr>
        <w:pStyle w:val="24"/>
        <w:spacing w:line="440" w:lineRule="exact"/>
        <w:ind w:firstLineChars="200"/>
        <w:rPr>
          <w:rFonts w:hint="default" w:ascii="宋体" w:hAnsi="宋体" w:eastAsia="宋体" w:cs="宋体"/>
          <w:sz w:val="21"/>
          <w:szCs w:val="21"/>
        </w:rPr>
      </w:pPr>
      <w:r>
        <w:rPr>
          <w:rFonts w:ascii="宋体" w:hAnsi="宋体" w:eastAsia="宋体" w:cs="宋体"/>
          <w:sz w:val="21"/>
          <w:szCs w:val="21"/>
        </w:rPr>
        <w:t>六、供应商服务承诺和优惠承诺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七、供应商所投产品属于当期政府采购清单规定的节能环保产品的证明材料；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八、中小企业声明函；</w:t>
      </w:r>
    </w:p>
    <w:p>
      <w:pPr>
        <w:spacing w:line="440" w:lineRule="exact"/>
        <w:ind w:firstLine="420" w:firstLineChars="200"/>
        <w:rPr>
          <w:rFonts w:ascii="宋体" w:hAnsi="宋体" w:cs="宋体"/>
          <w:szCs w:val="21"/>
        </w:rPr>
      </w:pPr>
      <w:r>
        <w:rPr>
          <w:rFonts w:hint="eastAsia" w:ascii="宋体" w:hAnsi="宋体" w:cs="宋体"/>
          <w:szCs w:val="21"/>
        </w:rPr>
        <w:t>九、残疾人福利性单位声明函（如有）；</w:t>
      </w:r>
    </w:p>
    <w:p>
      <w:pPr>
        <w:spacing w:line="440" w:lineRule="exact"/>
        <w:ind w:firstLine="420" w:firstLineChars="200"/>
        <w:rPr>
          <w:rFonts w:ascii="宋体" w:hAnsi="宋体" w:cs="宋体"/>
          <w:szCs w:val="21"/>
          <w:highlight w:val="yellow"/>
        </w:rPr>
      </w:pPr>
      <w:r>
        <w:rPr>
          <w:rFonts w:hint="eastAsia" w:ascii="宋体" w:hAnsi="宋体" w:cs="宋体"/>
          <w:szCs w:val="21"/>
        </w:rPr>
        <w:t>十、招标文件要求的或供应商认为需要加以说明的其他内容。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1"/>
      <w:bookmarkEnd w:id="92"/>
      <w:bookmarkEnd w:id="93"/>
      <w:bookmarkEnd w:id="94"/>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5" w:name="_Toc426369498"/>
      <w:bookmarkStart w:id="96" w:name="_Toc403122510"/>
      <w:bookmarkStart w:id="97" w:name="_Toc274249593"/>
      <w:bookmarkStart w:id="98" w:name="_Toc279599789"/>
      <w:r>
        <w:rPr>
          <w:rFonts w:hint="eastAsia" w:asciiTheme="minorEastAsia" w:hAnsiTheme="minorEastAsia" w:eastAsiaTheme="minorEastAsia" w:cstheme="minorEastAsia"/>
          <w:b/>
          <w:bCs/>
          <w:sz w:val="24"/>
        </w:rPr>
        <w:t>3.3 投标有效期</w:t>
      </w:r>
      <w:bookmarkEnd w:id="95"/>
      <w:bookmarkEnd w:id="96"/>
      <w:bookmarkEnd w:id="97"/>
      <w:bookmarkEnd w:id="98"/>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99" w:name="_Toc403122512"/>
      <w:bookmarkStart w:id="100" w:name="_Toc426369501"/>
      <w:bookmarkStart w:id="101" w:name="_Toc274249595"/>
      <w:bookmarkStart w:id="102" w:name="_Toc279599791"/>
      <w:r>
        <w:rPr>
          <w:rFonts w:hint="eastAsia" w:asciiTheme="minorEastAsia" w:hAnsiTheme="minorEastAsia" w:eastAsiaTheme="minorEastAsia" w:cstheme="minorEastAsia"/>
          <w:b/>
          <w:bCs/>
          <w:sz w:val="24"/>
        </w:rPr>
        <w:t>3.5 资格审查资料</w:t>
      </w:r>
      <w:bookmarkEnd w:id="99"/>
      <w:bookmarkEnd w:id="100"/>
      <w:bookmarkEnd w:id="101"/>
      <w:bookmarkEnd w:id="10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103" w:name="_Toc274249596"/>
      <w:bookmarkStart w:id="104" w:name="_Toc426369502"/>
      <w:bookmarkStart w:id="105" w:name="_Toc403122513"/>
      <w:bookmarkStart w:id="106" w:name="_Toc279599792"/>
      <w:r>
        <w:rPr>
          <w:rFonts w:hint="eastAsia" w:asciiTheme="minorEastAsia" w:hAnsiTheme="minorEastAsia" w:eastAsiaTheme="minorEastAsia" w:cstheme="minorEastAsia"/>
          <w:b/>
          <w:bCs/>
          <w:sz w:val="24"/>
        </w:rPr>
        <w:t>3.6 备选投标方案</w:t>
      </w:r>
      <w:bookmarkEnd w:id="103"/>
      <w:bookmarkEnd w:id="104"/>
      <w:bookmarkEnd w:id="105"/>
      <w:bookmarkEnd w:id="106"/>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7" w:name="_Toc279599793"/>
      <w:bookmarkStart w:id="108" w:name="_Toc426369503"/>
      <w:bookmarkStart w:id="109" w:name="_Toc403122514"/>
      <w:bookmarkStart w:id="110" w:name="_Toc274249597"/>
      <w:r>
        <w:rPr>
          <w:rFonts w:hint="eastAsia" w:asciiTheme="minorEastAsia" w:hAnsiTheme="minorEastAsia" w:eastAsiaTheme="minorEastAsia" w:cstheme="minorEastAsia"/>
          <w:b/>
          <w:bCs/>
          <w:sz w:val="24"/>
        </w:rPr>
        <w:t>3.7 投标文件的编制</w:t>
      </w:r>
      <w:bookmarkEnd w:id="107"/>
      <w:bookmarkEnd w:id="108"/>
      <w:bookmarkEnd w:id="109"/>
      <w:bookmarkEnd w:id="11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投标文件应当对招标文件有关供货安装期、投标有效期、质量标准、采购要求及服务内容、等实质性内容作出响应。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11" w:name="_Toc21879"/>
      <w:bookmarkStart w:id="112" w:name="_Toc26998"/>
      <w:bookmarkStart w:id="113" w:name="_Toc403122515"/>
      <w:bookmarkStart w:id="114" w:name="_Toc30100"/>
      <w:bookmarkStart w:id="115" w:name="_Toc426369504"/>
      <w:bookmarkStart w:id="116" w:name="_Toc31809"/>
      <w:r>
        <w:rPr>
          <w:rFonts w:hint="eastAsia" w:asciiTheme="minorEastAsia" w:hAnsiTheme="minorEastAsia" w:eastAsiaTheme="minorEastAsia" w:cstheme="minorEastAsia"/>
          <w:sz w:val="24"/>
          <w:szCs w:val="24"/>
        </w:rPr>
        <w:t>4. 投标</w:t>
      </w:r>
      <w:bookmarkEnd w:id="111"/>
      <w:bookmarkEnd w:id="112"/>
      <w:bookmarkEnd w:id="113"/>
      <w:bookmarkEnd w:id="114"/>
      <w:bookmarkEnd w:id="115"/>
      <w:bookmarkEnd w:id="116"/>
    </w:p>
    <w:p>
      <w:pPr>
        <w:spacing w:line="500" w:lineRule="exact"/>
        <w:ind w:firstLine="482" w:firstLineChars="200"/>
        <w:rPr>
          <w:rFonts w:asciiTheme="minorEastAsia" w:hAnsiTheme="minorEastAsia" w:eastAsiaTheme="minorEastAsia" w:cstheme="minorEastAsia"/>
          <w:b/>
          <w:bCs/>
          <w:sz w:val="24"/>
        </w:rPr>
      </w:pPr>
      <w:bookmarkStart w:id="117" w:name="_Toc426369505"/>
      <w:bookmarkStart w:id="118" w:name="_Toc274249599"/>
      <w:bookmarkStart w:id="119" w:name="_Toc279599795"/>
      <w:bookmarkStart w:id="120" w:name="_Toc403122516"/>
      <w:r>
        <w:rPr>
          <w:rFonts w:hint="eastAsia" w:asciiTheme="minorEastAsia" w:hAnsiTheme="minorEastAsia" w:eastAsiaTheme="minorEastAsia" w:cstheme="minorEastAsia"/>
          <w:b/>
          <w:bCs/>
          <w:sz w:val="24"/>
        </w:rPr>
        <w:t>4.1 投标文件的密封和标记</w:t>
      </w:r>
      <w:bookmarkEnd w:id="117"/>
      <w:bookmarkEnd w:id="118"/>
      <w:bookmarkEnd w:id="119"/>
      <w:bookmarkEnd w:id="120"/>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21" w:name="_Toc279599796"/>
      <w:bookmarkStart w:id="122" w:name="_Toc403122517"/>
      <w:bookmarkStart w:id="123" w:name="_Toc426369506"/>
      <w:bookmarkStart w:id="124" w:name="_Toc274249600"/>
      <w:r>
        <w:rPr>
          <w:rFonts w:hint="eastAsia" w:asciiTheme="minorEastAsia" w:hAnsiTheme="minorEastAsia" w:eastAsiaTheme="minorEastAsia" w:cstheme="minorEastAsia"/>
          <w:b/>
          <w:bCs/>
          <w:sz w:val="24"/>
        </w:rPr>
        <w:t>4.2 投标文件的递交</w:t>
      </w:r>
      <w:bookmarkEnd w:id="121"/>
      <w:bookmarkEnd w:id="122"/>
      <w:bookmarkEnd w:id="123"/>
      <w:bookmarkEnd w:id="124"/>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5" w:name="_Hlt26954754"/>
      <w:bookmarkEnd w:id="125"/>
      <w:bookmarkStart w:id="126" w:name="_Hlt26954862"/>
      <w:bookmarkEnd w:id="126"/>
    </w:p>
    <w:p>
      <w:pPr>
        <w:spacing w:line="500" w:lineRule="exact"/>
        <w:ind w:firstLine="482" w:firstLineChars="200"/>
        <w:rPr>
          <w:rFonts w:asciiTheme="minorEastAsia" w:hAnsiTheme="minorEastAsia" w:eastAsiaTheme="minorEastAsia" w:cstheme="minorEastAsia"/>
          <w:b/>
          <w:bCs/>
          <w:sz w:val="24"/>
        </w:rPr>
      </w:pPr>
      <w:bookmarkStart w:id="127" w:name="_Toc403122518"/>
      <w:bookmarkStart w:id="128" w:name="_Toc426369507"/>
      <w:bookmarkStart w:id="129" w:name="_Toc274249601"/>
      <w:bookmarkStart w:id="130" w:name="_Toc279599797"/>
      <w:r>
        <w:rPr>
          <w:rFonts w:hint="eastAsia" w:asciiTheme="minorEastAsia" w:hAnsiTheme="minorEastAsia" w:eastAsiaTheme="minorEastAsia" w:cstheme="minorEastAsia"/>
          <w:b/>
          <w:bCs/>
          <w:sz w:val="24"/>
        </w:rPr>
        <w:t>4.3 投标文件的修改与撤回</w:t>
      </w:r>
      <w:bookmarkEnd w:id="127"/>
      <w:bookmarkEnd w:id="128"/>
      <w:bookmarkEnd w:id="129"/>
      <w:bookmarkEnd w:id="13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22"/>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rPr>
      </w:pPr>
      <w:bookmarkStart w:id="131" w:name="_Toc426369508"/>
      <w:bookmarkStart w:id="132" w:name="_Toc32449"/>
      <w:bookmarkStart w:id="133" w:name="_Toc403122519"/>
      <w:bookmarkStart w:id="134" w:name="_Toc18170"/>
      <w:bookmarkStart w:id="135" w:name="_Toc5457"/>
      <w:bookmarkStart w:id="136" w:name="_Toc22737"/>
      <w:r>
        <w:rPr>
          <w:rFonts w:hint="eastAsia" w:asciiTheme="minorEastAsia" w:hAnsiTheme="minorEastAsia" w:eastAsiaTheme="minorEastAsia" w:cstheme="minorEastAsia"/>
          <w:sz w:val="24"/>
          <w:szCs w:val="24"/>
        </w:rPr>
        <w:t>5. 开标</w:t>
      </w:r>
      <w:bookmarkEnd w:id="131"/>
      <w:bookmarkEnd w:id="132"/>
      <w:bookmarkEnd w:id="133"/>
      <w:bookmarkEnd w:id="134"/>
      <w:bookmarkEnd w:id="135"/>
      <w:bookmarkEnd w:id="13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5.1.2供应商不足3家的，不得开标。  </w:t>
      </w:r>
    </w:p>
    <w:p>
      <w:pPr>
        <w:spacing w:line="500" w:lineRule="exact"/>
        <w:ind w:firstLine="482" w:firstLineChars="200"/>
        <w:rPr>
          <w:rFonts w:asciiTheme="minorEastAsia" w:hAnsiTheme="minorEastAsia" w:eastAsiaTheme="minorEastAsia" w:cstheme="minorEastAsia"/>
          <w:b/>
          <w:bCs/>
          <w:sz w:val="24"/>
        </w:rPr>
      </w:pPr>
      <w:bookmarkStart w:id="137" w:name="_Toc279599799"/>
      <w:bookmarkStart w:id="138" w:name="_Toc274249603"/>
      <w:bookmarkStart w:id="139" w:name="_Toc426369509"/>
      <w:bookmarkStart w:id="140" w:name="_Toc403122520"/>
      <w:r>
        <w:rPr>
          <w:rFonts w:hint="eastAsia" w:asciiTheme="minorEastAsia" w:hAnsiTheme="minorEastAsia" w:eastAsiaTheme="minorEastAsia" w:cstheme="minorEastAsia"/>
          <w:b/>
          <w:bCs/>
          <w:sz w:val="24"/>
        </w:rPr>
        <w:t>5.2 开标时间和地点</w:t>
      </w:r>
      <w:bookmarkEnd w:id="137"/>
      <w:bookmarkEnd w:id="138"/>
      <w:bookmarkEnd w:id="139"/>
      <w:bookmarkEnd w:id="14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41" w:name="_Toc426369510"/>
      <w:bookmarkStart w:id="142" w:name="_Toc279599800"/>
      <w:bookmarkStart w:id="143" w:name="_Toc274249604"/>
      <w:bookmarkStart w:id="144" w:name="_Toc403122521"/>
      <w:r>
        <w:rPr>
          <w:rFonts w:hint="eastAsia" w:asciiTheme="minorEastAsia" w:hAnsiTheme="minorEastAsia" w:eastAsiaTheme="minorEastAsia" w:cstheme="minorEastAsia"/>
          <w:b/>
          <w:bCs/>
          <w:sz w:val="24"/>
        </w:rPr>
        <w:t>5.3开标程序</w:t>
      </w:r>
      <w:bookmarkEnd w:id="141"/>
      <w:bookmarkEnd w:id="142"/>
      <w:bookmarkEnd w:id="143"/>
      <w:bookmarkEnd w:id="144"/>
    </w:p>
    <w:p>
      <w:pPr>
        <w:spacing w:line="400" w:lineRule="exact"/>
        <w:ind w:firstLine="420" w:firstLineChars="200"/>
        <w:rPr>
          <w:rFonts w:asciiTheme="minorEastAsia" w:hAnsiTheme="minorEastAsia" w:eastAsiaTheme="minorEastAsia" w:cstheme="minorEastAsia"/>
          <w:szCs w:val="21"/>
          <w:lang w:val="zh-CN"/>
        </w:rPr>
      </w:pPr>
      <w:bookmarkStart w:id="14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5"/>
    </w:p>
    <w:p>
      <w:pPr>
        <w:spacing w:line="400" w:lineRule="exact"/>
        <w:ind w:firstLine="420" w:firstLineChars="200"/>
        <w:rPr>
          <w:rFonts w:asciiTheme="minorEastAsia" w:hAnsiTheme="minorEastAsia" w:eastAsiaTheme="minorEastAsia" w:cstheme="minorEastAsia"/>
          <w:szCs w:val="21"/>
          <w:lang w:val="zh-CN"/>
        </w:rPr>
      </w:pPr>
      <w:bookmarkStart w:id="146" w:name="_Toc21662"/>
      <w:bookmarkStart w:id="147" w:name="_Toc426369512"/>
      <w:bookmarkStart w:id="148" w:name="_Toc403122522"/>
      <w:bookmarkStart w:id="149" w:name="_Toc12881"/>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供应商对开标有异议的，应当在开标现场提出（</w:t>
      </w:r>
      <w:bookmarkStart w:id="150" w:name="_Toc12998"/>
      <w:r>
        <w:rPr>
          <w:rFonts w:hint="eastAsia" w:asciiTheme="minorEastAsia" w:hAnsiTheme="minorEastAsia" w:eastAsiaTheme="minorEastAsia" w:cstheme="minorEastAsia"/>
          <w:szCs w:val="21"/>
          <w:lang w:val="zh-CN"/>
        </w:rPr>
        <w:t>语音异议</w:t>
      </w:r>
      <w:bookmarkEnd w:id="150"/>
      <w:r>
        <w:rPr>
          <w:rFonts w:hint="eastAsia" w:asciiTheme="minorEastAsia" w:hAnsiTheme="minorEastAsia" w:eastAsiaTheme="minorEastAsia" w:cstheme="minorEastAsia"/>
          <w:szCs w:val="21"/>
          <w:lang w:val="zh-CN"/>
        </w:rPr>
        <w:t>、</w:t>
      </w:r>
      <w:bookmarkStart w:id="151" w:name="_Toc20745"/>
      <w:r>
        <w:rPr>
          <w:rFonts w:hint="eastAsia" w:asciiTheme="minorEastAsia" w:hAnsiTheme="minorEastAsia" w:eastAsiaTheme="minorEastAsia" w:cstheme="minorEastAsia"/>
          <w:szCs w:val="21"/>
          <w:lang w:val="zh-CN"/>
        </w:rPr>
        <w:t>文字异议</w:t>
      </w:r>
      <w:bookmarkEnd w:id="151"/>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2" w:name="_Toc13445"/>
      <w:bookmarkStart w:id="153" w:name="_Toc9927"/>
      <w:r>
        <w:rPr>
          <w:rFonts w:hint="eastAsia" w:asciiTheme="minorEastAsia" w:hAnsiTheme="minorEastAsia" w:eastAsiaTheme="minorEastAsia" w:cstheme="minorEastAsia"/>
          <w:b/>
          <w:bCs/>
          <w:szCs w:val="21"/>
        </w:rPr>
        <w:t>5.资格审查工作</w:t>
      </w:r>
      <w:bookmarkEnd w:id="152"/>
      <w:bookmarkEnd w:id="153"/>
    </w:p>
    <w:p>
      <w:pPr>
        <w:spacing w:line="400" w:lineRule="exact"/>
        <w:ind w:firstLine="420" w:firstLineChars="200"/>
        <w:rPr>
          <w:rFonts w:asciiTheme="minorEastAsia" w:hAnsiTheme="minorEastAsia" w:eastAsiaTheme="minorEastAsia" w:cstheme="minorEastAsia"/>
          <w:szCs w:val="21"/>
        </w:rPr>
      </w:pPr>
      <w:bookmarkStart w:id="154" w:name="_Toc25448"/>
      <w:bookmarkStart w:id="155" w:name="_Toc25275"/>
      <w:bookmarkStart w:id="156" w:name="_Toc18806"/>
      <w:bookmarkStart w:id="157" w:name="_Toc18888"/>
      <w:bookmarkStart w:id="158" w:name="_Toc22488"/>
      <w:bookmarkStart w:id="159" w:name="_Toc15919"/>
      <w:bookmarkStart w:id="160" w:name="_Toc18803"/>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61" w:name="_Toc4643"/>
      <w:bookmarkStart w:id="162" w:name="_Toc6889"/>
      <w:r>
        <w:rPr>
          <w:rFonts w:hint="eastAsia" w:asciiTheme="minorEastAsia" w:hAnsiTheme="minorEastAsia" w:eastAsiaTheme="minorEastAsia" w:cstheme="minorEastAsia"/>
          <w:sz w:val="24"/>
          <w:szCs w:val="24"/>
        </w:rPr>
        <w:t>6. 评标</w:t>
      </w:r>
      <w:bookmarkEnd w:id="146"/>
      <w:bookmarkEnd w:id="147"/>
      <w:bookmarkEnd w:id="148"/>
      <w:bookmarkEnd w:id="149"/>
      <w:bookmarkEnd w:id="161"/>
      <w:bookmarkEnd w:id="162"/>
    </w:p>
    <w:p>
      <w:pPr>
        <w:spacing w:line="500" w:lineRule="exact"/>
        <w:ind w:firstLine="482" w:firstLineChars="200"/>
        <w:rPr>
          <w:rFonts w:asciiTheme="minorEastAsia" w:hAnsiTheme="minorEastAsia" w:eastAsiaTheme="minorEastAsia" w:cstheme="minorEastAsia"/>
          <w:b/>
          <w:bCs/>
          <w:sz w:val="24"/>
        </w:rPr>
      </w:pPr>
      <w:bookmarkStart w:id="163" w:name="_Toc274249606"/>
      <w:bookmarkStart w:id="164" w:name="_Toc403122523"/>
      <w:bookmarkStart w:id="165" w:name="_Toc279599802"/>
      <w:bookmarkStart w:id="166" w:name="_Toc426369513"/>
      <w:r>
        <w:rPr>
          <w:rFonts w:hint="eastAsia" w:asciiTheme="minorEastAsia" w:hAnsiTheme="minorEastAsia" w:eastAsiaTheme="minorEastAsia" w:cstheme="minorEastAsia"/>
          <w:b/>
          <w:bCs/>
          <w:sz w:val="24"/>
        </w:rPr>
        <w:t>6.1 评标委员会</w:t>
      </w:r>
      <w:bookmarkEnd w:id="163"/>
      <w:bookmarkEnd w:id="164"/>
      <w:bookmarkEnd w:id="165"/>
      <w:bookmarkEnd w:id="16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7" w:name="_Toc426369514"/>
      <w:bookmarkStart w:id="168" w:name="_Toc279599803"/>
      <w:bookmarkStart w:id="169" w:name="_Toc274249607"/>
      <w:bookmarkStart w:id="170" w:name="_Toc403122524"/>
      <w:r>
        <w:rPr>
          <w:rFonts w:hint="eastAsia" w:asciiTheme="minorEastAsia" w:hAnsiTheme="minorEastAsia" w:eastAsiaTheme="minorEastAsia" w:cstheme="minorEastAsia"/>
          <w:b/>
          <w:bCs/>
          <w:sz w:val="24"/>
        </w:rPr>
        <w:t>6.2 评标原则</w:t>
      </w:r>
      <w:bookmarkEnd w:id="167"/>
      <w:bookmarkEnd w:id="168"/>
      <w:bookmarkEnd w:id="169"/>
      <w:bookmarkEnd w:id="17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71" w:name="_Toc426369515"/>
      <w:bookmarkStart w:id="172" w:name="_Toc279599804"/>
      <w:bookmarkStart w:id="173" w:name="_Toc274249608"/>
      <w:bookmarkStart w:id="174" w:name="_Toc403122525"/>
      <w:r>
        <w:rPr>
          <w:rFonts w:hint="eastAsia" w:asciiTheme="minorEastAsia" w:hAnsiTheme="minorEastAsia" w:eastAsiaTheme="minorEastAsia" w:cstheme="minorEastAsia"/>
          <w:b/>
          <w:bCs/>
          <w:sz w:val="24"/>
        </w:rPr>
        <w:t>6.3 评标</w:t>
      </w:r>
      <w:bookmarkEnd w:id="171"/>
      <w:bookmarkEnd w:id="172"/>
      <w:bookmarkEnd w:id="173"/>
      <w:bookmarkEnd w:id="17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同供应商的投标文件由同一单位或者个人编制；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（2）不同供应商委托同一单位或者个人办理投标事宜；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（5）不同供应商的投标文件相互混装；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（2）要求供应商对投标文件有关事项作出澄清或者说明；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（4）因重大变故，采购任务取消的。废标后，采购人应当将废标理由通知所有供应商。</w:t>
      </w:r>
    </w:p>
    <w:p>
      <w:pPr>
        <w:pStyle w:val="22"/>
        <w:spacing w:before="120" w:after="120" w:line="500" w:lineRule="exact"/>
        <w:ind w:right="-1029" w:rightChars="-490" w:firstLine="482" w:firstLineChars="200"/>
        <w:jc w:val="both"/>
        <w:outlineLvl w:val="1"/>
      </w:pPr>
      <w:bookmarkStart w:id="175" w:name="_Toc426369516"/>
      <w:bookmarkStart w:id="176" w:name="_Toc17811"/>
      <w:bookmarkStart w:id="177" w:name="_Toc22968"/>
      <w:bookmarkStart w:id="178" w:name="_Toc26569"/>
      <w:bookmarkStart w:id="179" w:name="_Toc8566"/>
      <w:bookmarkStart w:id="180" w:name="_Toc403122526"/>
      <w:r>
        <w:rPr>
          <w:rFonts w:hint="eastAsia" w:asciiTheme="minorEastAsia" w:hAnsiTheme="minorEastAsia" w:eastAsiaTheme="minorEastAsia" w:cstheme="minorEastAsia"/>
          <w:sz w:val="24"/>
          <w:szCs w:val="24"/>
        </w:rPr>
        <w:t>7. 合同授予</w:t>
      </w:r>
      <w:bookmarkEnd w:id="175"/>
      <w:bookmarkEnd w:id="176"/>
      <w:bookmarkEnd w:id="177"/>
      <w:bookmarkEnd w:id="178"/>
      <w:bookmarkEnd w:id="179"/>
      <w:bookmarkEnd w:id="180"/>
    </w:p>
    <w:p>
      <w:pPr>
        <w:spacing w:line="500" w:lineRule="exact"/>
        <w:ind w:firstLine="482" w:firstLineChars="200"/>
        <w:rPr>
          <w:rFonts w:asciiTheme="minorEastAsia" w:hAnsiTheme="minorEastAsia" w:eastAsiaTheme="minorEastAsia" w:cstheme="minorEastAsia"/>
          <w:b/>
          <w:bCs/>
          <w:sz w:val="24"/>
        </w:rPr>
      </w:pPr>
      <w:bookmarkStart w:id="181" w:name="_Toc279599806"/>
      <w:bookmarkStart w:id="182" w:name="_Toc274249610"/>
      <w:bookmarkStart w:id="183" w:name="_Toc426369517"/>
      <w:bookmarkStart w:id="184" w:name="_Toc403122527"/>
      <w:r>
        <w:rPr>
          <w:rFonts w:hint="eastAsia" w:asciiTheme="minorEastAsia" w:hAnsiTheme="minorEastAsia" w:eastAsiaTheme="minorEastAsia" w:cstheme="minorEastAsia"/>
          <w:b/>
          <w:bCs/>
          <w:sz w:val="24"/>
        </w:rPr>
        <w:t>7.1 定标方式</w:t>
      </w:r>
      <w:bookmarkEnd w:id="181"/>
      <w:bookmarkEnd w:id="182"/>
      <w:bookmarkEnd w:id="183"/>
      <w:bookmarkEnd w:id="18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5" w:name="_Toc274249611"/>
      <w:bookmarkStart w:id="186" w:name="_Toc279599807"/>
      <w:bookmarkStart w:id="187" w:name="_Toc426369518"/>
      <w:bookmarkStart w:id="188" w:name="_Toc403122528"/>
      <w:r>
        <w:rPr>
          <w:rFonts w:hint="eastAsia" w:asciiTheme="minorEastAsia" w:hAnsiTheme="minorEastAsia" w:eastAsiaTheme="minorEastAsia" w:cstheme="minorEastAsia"/>
          <w:b/>
          <w:bCs/>
          <w:sz w:val="24"/>
        </w:rPr>
        <w:t>7.2 中标通知</w:t>
      </w:r>
      <w:bookmarkEnd w:id="185"/>
      <w:bookmarkEnd w:id="186"/>
      <w:bookmarkEnd w:id="187"/>
      <w:bookmarkEnd w:id="18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9" w:name="_Toc311550376"/>
      <w:bookmarkStart w:id="190" w:name="_Toc279599808"/>
      <w:bookmarkStart w:id="191" w:name="_Toc274249612"/>
      <w:bookmarkStart w:id="192" w:name="_Toc426369519"/>
      <w:bookmarkStart w:id="193" w:name="_Toc403122529"/>
      <w:r>
        <w:rPr>
          <w:rFonts w:hint="eastAsia" w:asciiTheme="minorEastAsia" w:hAnsiTheme="minorEastAsia" w:eastAsiaTheme="minorEastAsia" w:cstheme="minorEastAsia"/>
          <w:b/>
          <w:bCs/>
          <w:sz w:val="24"/>
        </w:rPr>
        <w:t>7.3履约</w:t>
      </w:r>
      <w:bookmarkEnd w:id="189"/>
      <w:bookmarkEnd w:id="190"/>
      <w:bookmarkEnd w:id="191"/>
      <w:r>
        <w:rPr>
          <w:rFonts w:hint="eastAsia" w:asciiTheme="minorEastAsia" w:hAnsiTheme="minorEastAsia" w:eastAsiaTheme="minorEastAsia" w:cstheme="minorEastAsia"/>
          <w:b/>
          <w:bCs/>
          <w:sz w:val="24"/>
        </w:rPr>
        <w:t>保证金</w:t>
      </w:r>
      <w:bookmarkEnd w:id="192"/>
      <w:bookmarkEnd w:id="19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94" w:name="_Toc426369520"/>
      <w:bookmarkStart w:id="195" w:name="_Toc403122530"/>
      <w:bookmarkStart w:id="196" w:name="_Toc274249613"/>
      <w:bookmarkStart w:id="197" w:name="_Toc279599809"/>
      <w:r>
        <w:rPr>
          <w:rFonts w:hint="eastAsia" w:asciiTheme="minorEastAsia" w:hAnsiTheme="minorEastAsia" w:eastAsiaTheme="minorEastAsia" w:cstheme="minorEastAsia"/>
          <w:b/>
          <w:bCs/>
          <w:sz w:val="24"/>
        </w:rPr>
        <w:t>7.4 签订合同</w:t>
      </w:r>
      <w:bookmarkEnd w:id="194"/>
      <w:bookmarkEnd w:id="195"/>
      <w:bookmarkEnd w:id="196"/>
      <w:bookmarkEnd w:id="19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198" w:name="_Toc426369521"/>
      <w:bookmarkStart w:id="199" w:name="_Toc10541"/>
      <w:bookmarkStart w:id="200" w:name="_Toc29014"/>
      <w:bookmarkStart w:id="201" w:name="_Toc30009"/>
      <w:bookmarkStart w:id="202" w:name="_Toc403122531"/>
      <w:bookmarkStart w:id="203" w:name="_Toc10417"/>
      <w:r>
        <w:rPr>
          <w:rFonts w:hint="eastAsia" w:asciiTheme="minorEastAsia" w:hAnsiTheme="minorEastAsia" w:eastAsiaTheme="minorEastAsia" w:cstheme="minorEastAsia"/>
          <w:sz w:val="24"/>
          <w:szCs w:val="24"/>
        </w:rPr>
        <w:t>8. 重新招标</w:t>
      </w:r>
      <w:bookmarkEnd w:id="198"/>
      <w:bookmarkEnd w:id="199"/>
      <w:bookmarkEnd w:id="200"/>
      <w:bookmarkEnd w:id="201"/>
      <w:bookmarkEnd w:id="202"/>
      <w:bookmarkEnd w:id="203"/>
    </w:p>
    <w:p>
      <w:pPr>
        <w:spacing w:line="500" w:lineRule="exact"/>
        <w:ind w:firstLine="482" w:firstLineChars="200"/>
        <w:rPr>
          <w:rFonts w:asciiTheme="minorEastAsia" w:hAnsiTheme="minorEastAsia" w:eastAsiaTheme="minorEastAsia" w:cstheme="minorEastAsia"/>
          <w:b/>
          <w:bCs/>
          <w:sz w:val="24"/>
        </w:rPr>
      </w:pPr>
      <w:bookmarkStart w:id="204" w:name="_Toc274249615"/>
      <w:bookmarkStart w:id="205" w:name="_Toc426369522"/>
      <w:bookmarkStart w:id="206" w:name="_Toc279599811"/>
      <w:bookmarkStart w:id="207" w:name="_Toc403122532"/>
      <w:r>
        <w:rPr>
          <w:rFonts w:hint="eastAsia" w:asciiTheme="minorEastAsia" w:hAnsiTheme="minorEastAsia" w:eastAsiaTheme="minorEastAsia" w:cstheme="minorEastAsia"/>
          <w:b/>
          <w:bCs/>
          <w:sz w:val="24"/>
        </w:rPr>
        <w:t>8.1 重新招标</w:t>
      </w:r>
      <w:bookmarkEnd w:id="204"/>
      <w:bookmarkEnd w:id="205"/>
      <w:bookmarkEnd w:id="206"/>
      <w:bookmarkEnd w:id="20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08" w:name="_Toc403122533"/>
      <w:bookmarkStart w:id="209" w:name="_Toc10372"/>
      <w:bookmarkStart w:id="210" w:name="_Toc14622"/>
      <w:bookmarkStart w:id="211" w:name="_Toc27398"/>
      <w:bookmarkStart w:id="212" w:name="_Toc426369523"/>
      <w:bookmarkStart w:id="213" w:name="_Toc3760"/>
      <w:r>
        <w:rPr>
          <w:rFonts w:hint="eastAsia" w:asciiTheme="minorEastAsia" w:hAnsiTheme="minorEastAsia" w:eastAsiaTheme="minorEastAsia" w:cstheme="minorEastAsia"/>
          <w:sz w:val="24"/>
          <w:szCs w:val="24"/>
        </w:rPr>
        <w:t>9. 纪律和监督</w:t>
      </w:r>
      <w:bookmarkEnd w:id="208"/>
      <w:bookmarkEnd w:id="209"/>
      <w:bookmarkEnd w:id="210"/>
      <w:bookmarkEnd w:id="211"/>
      <w:bookmarkEnd w:id="212"/>
      <w:bookmarkEnd w:id="213"/>
    </w:p>
    <w:p>
      <w:pPr>
        <w:spacing w:line="500" w:lineRule="exact"/>
        <w:ind w:firstLine="482" w:firstLineChars="200"/>
        <w:rPr>
          <w:rFonts w:asciiTheme="minorEastAsia" w:hAnsiTheme="minorEastAsia" w:eastAsiaTheme="minorEastAsia" w:cstheme="minorEastAsia"/>
          <w:b/>
          <w:bCs/>
          <w:sz w:val="24"/>
        </w:rPr>
      </w:pPr>
      <w:bookmarkStart w:id="214" w:name="_Toc274249618"/>
      <w:bookmarkStart w:id="215" w:name="_Toc403122534"/>
      <w:bookmarkStart w:id="216" w:name="_Toc279599814"/>
      <w:bookmarkStart w:id="217" w:name="_Toc426369524"/>
      <w:r>
        <w:rPr>
          <w:rFonts w:hint="eastAsia" w:asciiTheme="minorEastAsia" w:hAnsiTheme="minorEastAsia" w:eastAsiaTheme="minorEastAsia" w:cstheme="minorEastAsia"/>
          <w:b/>
          <w:bCs/>
          <w:sz w:val="24"/>
        </w:rPr>
        <w:t>9.1 对采购人的纪律要求</w:t>
      </w:r>
      <w:bookmarkEnd w:id="214"/>
      <w:bookmarkEnd w:id="215"/>
      <w:bookmarkEnd w:id="216"/>
      <w:bookmarkEnd w:id="21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8" w:name="_Toc403122535"/>
      <w:bookmarkStart w:id="219" w:name="_Toc426369525"/>
      <w:bookmarkStart w:id="220" w:name="_Toc274249619"/>
      <w:bookmarkStart w:id="221" w:name="_Toc279599815"/>
      <w:r>
        <w:rPr>
          <w:rFonts w:hint="eastAsia" w:asciiTheme="minorEastAsia" w:hAnsiTheme="minorEastAsia" w:eastAsiaTheme="minorEastAsia" w:cstheme="minorEastAsia"/>
          <w:b/>
          <w:bCs/>
          <w:sz w:val="24"/>
        </w:rPr>
        <w:t>9.2 对供应商的纪律要求</w:t>
      </w:r>
      <w:bookmarkEnd w:id="218"/>
      <w:bookmarkEnd w:id="219"/>
      <w:bookmarkEnd w:id="220"/>
      <w:bookmarkEnd w:id="22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22" w:name="_Toc274249620"/>
      <w:bookmarkStart w:id="223" w:name="_Toc426369526"/>
      <w:bookmarkStart w:id="224" w:name="_Toc403122536"/>
      <w:bookmarkStart w:id="225" w:name="_Toc279599816"/>
      <w:r>
        <w:rPr>
          <w:rFonts w:hint="eastAsia" w:asciiTheme="minorEastAsia" w:hAnsiTheme="minorEastAsia" w:eastAsiaTheme="minorEastAsia" w:cstheme="minorEastAsia"/>
          <w:b/>
          <w:bCs/>
          <w:sz w:val="24"/>
        </w:rPr>
        <w:t>9.3 对评标委员会成员的纪律要求</w:t>
      </w:r>
      <w:bookmarkEnd w:id="222"/>
      <w:bookmarkEnd w:id="223"/>
      <w:bookmarkEnd w:id="224"/>
      <w:bookmarkEnd w:id="2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6" w:name="_Toc403122537"/>
      <w:bookmarkStart w:id="227" w:name="_Toc274249621"/>
      <w:bookmarkStart w:id="228" w:name="_Toc279599817"/>
      <w:bookmarkStart w:id="229" w:name="_Toc426369527"/>
      <w:r>
        <w:rPr>
          <w:rFonts w:hint="eastAsia" w:asciiTheme="minorEastAsia" w:hAnsiTheme="minorEastAsia" w:eastAsiaTheme="minorEastAsia" w:cstheme="minorEastAsia"/>
          <w:b/>
          <w:bCs/>
          <w:sz w:val="24"/>
        </w:rPr>
        <w:t>9.4 对与评标活动有关的工作人员的纪律要求</w:t>
      </w:r>
      <w:bookmarkEnd w:id="226"/>
      <w:bookmarkEnd w:id="227"/>
      <w:bookmarkEnd w:id="228"/>
      <w:bookmarkEnd w:id="22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30" w:name="_Toc403122538"/>
      <w:bookmarkStart w:id="231" w:name="_Toc274249622"/>
      <w:bookmarkStart w:id="232" w:name="_Toc426369528"/>
      <w:bookmarkStart w:id="233" w:name="_Toc279599818"/>
      <w:r>
        <w:rPr>
          <w:rFonts w:hint="eastAsia" w:asciiTheme="minorEastAsia" w:hAnsiTheme="minorEastAsia" w:eastAsiaTheme="minorEastAsia" w:cstheme="minorEastAsia"/>
          <w:b/>
          <w:bCs/>
          <w:sz w:val="24"/>
        </w:rPr>
        <w:t>9.5 投诉</w:t>
      </w:r>
      <w:bookmarkEnd w:id="230"/>
      <w:bookmarkEnd w:id="231"/>
      <w:bookmarkEnd w:id="232"/>
      <w:bookmarkEnd w:id="23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22"/>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rPr>
      </w:pPr>
      <w:bookmarkStart w:id="234" w:name="_Toc25080"/>
      <w:bookmarkStart w:id="235" w:name="_Toc403122539"/>
      <w:bookmarkStart w:id="236" w:name="_Toc426369529"/>
      <w:bookmarkStart w:id="237" w:name="_Toc26812"/>
      <w:bookmarkStart w:id="238" w:name="_Toc13281"/>
      <w:bookmarkStart w:id="239" w:name="_Toc10880"/>
      <w:r>
        <w:rPr>
          <w:rFonts w:hint="eastAsia" w:asciiTheme="minorEastAsia" w:hAnsiTheme="minorEastAsia" w:eastAsiaTheme="minorEastAsia" w:cstheme="minorEastAsia"/>
          <w:sz w:val="24"/>
          <w:szCs w:val="24"/>
        </w:rPr>
        <w:t>10. 需要补充的其他内容</w:t>
      </w:r>
      <w:bookmarkEnd w:id="234"/>
      <w:bookmarkEnd w:id="235"/>
      <w:bookmarkEnd w:id="236"/>
      <w:bookmarkEnd w:id="237"/>
      <w:bookmarkEnd w:id="238"/>
      <w:bookmarkEnd w:id="239"/>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39"/>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2"/>
        <w:numPr>
          <w:ilvl w:val="0"/>
          <w:numId w:val="7"/>
        </w:numPr>
        <w:spacing w:line="600" w:lineRule="exact"/>
        <w:ind w:right="-63" w:rightChars="-30"/>
        <w:rPr>
          <w:rFonts w:asciiTheme="minorEastAsia" w:hAnsiTheme="minorEastAsia" w:eastAsiaTheme="minorEastAsia" w:cstheme="minorEastAsia"/>
          <w:sz w:val="36"/>
          <w:szCs w:val="36"/>
        </w:rPr>
      </w:pPr>
      <w:bookmarkStart w:id="240" w:name="_Toc426369530"/>
      <w:bookmarkStart w:id="241" w:name="_Toc403122540"/>
      <w:bookmarkStart w:id="242" w:name="_Toc28433"/>
      <w:bookmarkStart w:id="243" w:name="_Toc8251"/>
      <w:bookmarkStart w:id="244" w:name="_Toc32119"/>
      <w:r>
        <w:rPr>
          <w:rFonts w:hint="eastAsia" w:asciiTheme="minorEastAsia" w:hAnsiTheme="minorEastAsia" w:eastAsiaTheme="minorEastAsia" w:cstheme="minorEastAsia"/>
          <w:sz w:val="36"/>
          <w:szCs w:val="36"/>
        </w:rPr>
        <w:t>评标办法</w:t>
      </w:r>
      <w:bookmarkEnd w:id="240"/>
      <w:bookmarkEnd w:id="241"/>
      <w:bookmarkEnd w:id="242"/>
      <w:r>
        <w:rPr>
          <w:rFonts w:hint="eastAsia" w:asciiTheme="minorEastAsia" w:hAnsiTheme="minorEastAsia" w:eastAsiaTheme="minorEastAsia" w:cstheme="minorEastAsia"/>
          <w:sz w:val="36"/>
          <w:szCs w:val="36"/>
        </w:rPr>
        <w:t>（综合评分法）</w:t>
      </w:r>
      <w:bookmarkEnd w:id="243"/>
      <w:bookmarkEnd w:id="244"/>
    </w:p>
    <w:p>
      <w:pPr>
        <w:pStyle w:val="40"/>
        <w:spacing w:line="540" w:lineRule="exact"/>
        <w:jc w:val="center"/>
        <w:outlineLvl w:val="1"/>
        <w:rPr>
          <w:rFonts w:asciiTheme="minorEastAsia" w:hAnsiTheme="minorEastAsia" w:eastAsiaTheme="minorEastAsia" w:cstheme="minorEastAsia"/>
          <w:b/>
          <w:bCs/>
          <w:sz w:val="28"/>
          <w:szCs w:val="28"/>
        </w:rPr>
      </w:pPr>
      <w:bookmarkStart w:id="245" w:name="_Toc9561"/>
      <w:bookmarkStart w:id="246" w:name="_Toc17859"/>
      <w:bookmarkStart w:id="247" w:name="_Toc21885"/>
      <w:bookmarkStart w:id="248" w:name="_Toc29947"/>
      <w:bookmarkStart w:id="249" w:name="_Toc30933"/>
      <w:bookmarkStart w:id="250" w:name="_Toc16529"/>
      <w:bookmarkStart w:id="251" w:name="_Toc2761070"/>
      <w:r>
        <w:rPr>
          <w:rFonts w:hint="eastAsia" w:asciiTheme="minorEastAsia" w:hAnsiTheme="minorEastAsia" w:eastAsiaTheme="minorEastAsia" w:cstheme="minorEastAsia"/>
          <w:b/>
          <w:bCs/>
          <w:sz w:val="28"/>
          <w:szCs w:val="28"/>
        </w:rPr>
        <w:t>评分办法前附表</w:t>
      </w:r>
      <w:bookmarkEnd w:id="245"/>
      <w:bookmarkEnd w:id="246"/>
      <w:bookmarkEnd w:id="247"/>
      <w:bookmarkEnd w:id="248"/>
      <w:bookmarkEnd w:id="249"/>
    </w:p>
    <w:bookmarkEnd w:id="250"/>
    <w:p>
      <w:pPr>
        <w:pStyle w:val="25"/>
        <w:ind w:firstLine="0" w:firstLineChars="0"/>
        <w:rPr>
          <w:rFonts w:asciiTheme="minorEastAsia" w:hAnsiTheme="minorEastAsia" w:eastAsiaTheme="minorEastAsia" w:cstheme="minorEastAsia"/>
          <w:b/>
          <w:bCs/>
          <w:sz w:val="24"/>
        </w:rPr>
      </w:pPr>
      <w:bookmarkStart w:id="252" w:name="_Toc31084"/>
      <w:bookmarkStart w:id="253" w:name="_Toc403122541"/>
      <w:bookmarkStart w:id="254" w:name="_Toc426369531"/>
    </w:p>
    <w:tbl>
      <w:tblPr>
        <w:tblStyle w:val="26"/>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38"/>
        <w:gridCol w:w="214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5" w:type="dxa"/>
            <w:vAlign w:val="center"/>
          </w:tcPr>
          <w:p>
            <w:pPr>
              <w:spacing w:line="560" w:lineRule="exact"/>
              <w:jc w:val="center"/>
              <w:rPr>
                <w:rFonts w:ascii="宋体" w:hAnsi="宋体" w:cs="宋体"/>
                <w:b/>
                <w:szCs w:val="21"/>
              </w:rPr>
            </w:pPr>
            <w:r>
              <w:rPr>
                <w:rFonts w:hint="eastAsia" w:ascii="宋体" w:hAnsi="宋体" w:cs="宋体"/>
                <w:b/>
                <w:bCs/>
                <w:szCs w:val="21"/>
              </w:rPr>
              <w:t>审查主体</w:t>
            </w:r>
          </w:p>
        </w:tc>
        <w:tc>
          <w:tcPr>
            <w:tcW w:w="3179" w:type="dxa"/>
            <w:gridSpan w:val="2"/>
            <w:vAlign w:val="center"/>
          </w:tcPr>
          <w:p>
            <w:pPr>
              <w:spacing w:line="560" w:lineRule="exact"/>
              <w:ind w:firstLine="562"/>
              <w:jc w:val="center"/>
              <w:rPr>
                <w:rFonts w:ascii="宋体" w:hAnsi="宋体" w:cs="宋体"/>
                <w:b/>
                <w:szCs w:val="21"/>
              </w:rPr>
            </w:pPr>
            <w:r>
              <w:rPr>
                <w:rFonts w:hint="eastAsia" w:ascii="宋体" w:hAnsi="宋体" w:cs="宋体"/>
                <w:b/>
                <w:szCs w:val="21"/>
              </w:rPr>
              <w:t>评审因素</w:t>
            </w:r>
          </w:p>
        </w:tc>
        <w:tc>
          <w:tcPr>
            <w:tcW w:w="5602" w:type="dxa"/>
            <w:vAlign w:val="center"/>
          </w:tcPr>
          <w:p>
            <w:pPr>
              <w:tabs>
                <w:tab w:val="left" w:pos="417"/>
                <w:tab w:val="center" w:pos="2999"/>
              </w:tabs>
              <w:spacing w:line="560" w:lineRule="exact"/>
              <w:ind w:firstLine="562"/>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1095" w:type="dxa"/>
            <w:vMerge w:val="restart"/>
            <w:vAlign w:val="center"/>
          </w:tcPr>
          <w:p>
            <w:pPr>
              <w:spacing w:line="560" w:lineRule="exact"/>
              <w:jc w:val="center"/>
              <w:rPr>
                <w:rFonts w:ascii="宋体" w:hAnsi="宋体" w:cs="宋体"/>
                <w:szCs w:val="21"/>
              </w:rPr>
            </w:pPr>
            <w:r>
              <w:rPr>
                <w:rFonts w:hint="eastAsia" w:ascii="宋体" w:hAnsi="宋体" w:cs="宋体"/>
                <w:szCs w:val="21"/>
              </w:rPr>
              <w:t>资格审查小组</w:t>
            </w:r>
          </w:p>
        </w:tc>
        <w:tc>
          <w:tcPr>
            <w:tcW w:w="1038" w:type="dxa"/>
            <w:vMerge w:val="restart"/>
            <w:vAlign w:val="center"/>
          </w:tcPr>
          <w:p>
            <w:pPr>
              <w:spacing w:line="560" w:lineRule="exact"/>
              <w:jc w:val="center"/>
              <w:rPr>
                <w:rFonts w:ascii="宋体" w:hAnsi="宋体" w:cs="宋体"/>
                <w:szCs w:val="21"/>
              </w:rPr>
            </w:pPr>
            <w:r>
              <w:rPr>
                <w:rFonts w:hint="eastAsia" w:ascii="宋体" w:hAnsi="宋体" w:cs="宋体"/>
                <w:szCs w:val="21"/>
              </w:rPr>
              <w:t>一、资格评审标准</w:t>
            </w:r>
          </w:p>
        </w:tc>
        <w:tc>
          <w:tcPr>
            <w:tcW w:w="2141" w:type="dxa"/>
            <w:vAlign w:val="center"/>
          </w:tcPr>
          <w:p>
            <w:pPr>
              <w:spacing w:line="560" w:lineRule="exact"/>
              <w:jc w:val="center"/>
              <w:rPr>
                <w:rFonts w:ascii="宋体" w:hAnsi="宋体" w:cs="宋体"/>
                <w:szCs w:val="21"/>
              </w:rPr>
            </w:pPr>
            <w:r>
              <w:rPr>
                <w:rFonts w:hint="eastAsia" w:ascii="宋体" w:hAnsi="宋体" w:cs="宋体"/>
                <w:szCs w:val="21"/>
              </w:rPr>
              <w:t>营业执照、税务登记证、组织机构代码证</w:t>
            </w:r>
          </w:p>
        </w:tc>
        <w:tc>
          <w:tcPr>
            <w:tcW w:w="5602" w:type="dxa"/>
            <w:vAlign w:val="center"/>
          </w:tcPr>
          <w:p>
            <w:pPr>
              <w:spacing w:line="560" w:lineRule="exact"/>
              <w:ind w:firstLine="560"/>
              <w:rPr>
                <w:rFonts w:ascii="宋体" w:hAnsi="宋体" w:cs="宋体"/>
                <w:szCs w:val="21"/>
              </w:rPr>
            </w:pPr>
            <w:r>
              <w:rPr>
                <w:rFonts w:hint="eastAsia" w:ascii="宋体" w:hAnsi="宋体" w:cs="宋体"/>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trPr>
        <w:tc>
          <w:tcPr>
            <w:tcW w:w="1095" w:type="dxa"/>
            <w:vMerge w:val="continue"/>
            <w:vAlign w:val="center"/>
          </w:tcPr>
          <w:p>
            <w:pPr>
              <w:spacing w:line="560" w:lineRule="exact"/>
              <w:jc w:val="center"/>
              <w:rPr>
                <w:rFonts w:ascii="宋体" w:hAnsi="宋体" w:cs="宋体"/>
                <w:szCs w:val="21"/>
              </w:rPr>
            </w:pPr>
          </w:p>
        </w:tc>
        <w:tc>
          <w:tcPr>
            <w:tcW w:w="1038" w:type="dxa"/>
            <w:vMerge w:val="continue"/>
            <w:vAlign w:val="center"/>
          </w:tcPr>
          <w:p>
            <w:pPr>
              <w:spacing w:line="560" w:lineRule="exact"/>
              <w:jc w:val="center"/>
              <w:rPr>
                <w:rFonts w:ascii="宋体" w:hAnsi="宋体" w:cs="宋体"/>
                <w:szCs w:val="21"/>
              </w:rPr>
            </w:pPr>
          </w:p>
        </w:tc>
        <w:tc>
          <w:tcPr>
            <w:tcW w:w="2141" w:type="dxa"/>
            <w:vAlign w:val="center"/>
          </w:tcPr>
          <w:p>
            <w:pPr>
              <w:spacing w:line="560" w:lineRule="exact"/>
              <w:jc w:val="center"/>
              <w:rPr>
                <w:rFonts w:ascii="宋体" w:hAnsi="宋体" w:cs="宋体"/>
                <w:szCs w:val="21"/>
              </w:rPr>
            </w:pPr>
            <w:r>
              <w:rPr>
                <w:rFonts w:hint="eastAsia" w:ascii="宋体" w:hAnsi="宋体" w:cs="宋体"/>
                <w:szCs w:val="21"/>
              </w:rPr>
              <w:t>法定代表人证明或法人授权委托书</w:t>
            </w:r>
          </w:p>
        </w:tc>
        <w:tc>
          <w:tcPr>
            <w:tcW w:w="5602" w:type="dxa"/>
            <w:vAlign w:val="center"/>
          </w:tcPr>
          <w:p>
            <w:pPr>
              <w:spacing w:line="560" w:lineRule="exact"/>
              <w:rPr>
                <w:rFonts w:ascii="宋体" w:hAnsi="宋体" w:cs="宋体"/>
                <w:szCs w:val="21"/>
              </w:rPr>
            </w:pPr>
            <w:r>
              <w:rPr>
                <w:rFonts w:hint="eastAsia" w:ascii="宋体" w:hAnsi="宋体" w:cs="宋体"/>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095" w:type="dxa"/>
            <w:vMerge w:val="continue"/>
            <w:vAlign w:val="center"/>
          </w:tcPr>
          <w:p>
            <w:pPr>
              <w:spacing w:line="560" w:lineRule="exact"/>
              <w:ind w:firstLine="560"/>
              <w:jc w:val="center"/>
              <w:rPr>
                <w:rFonts w:ascii="宋体" w:hAnsi="宋体" w:cs="宋体"/>
                <w:szCs w:val="21"/>
              </w:rPr>
            </w:pPr>
          </w:p>
        </w:tc>
        <w:tc>
          <w:tcPr>
            <w:tcW w:w="1038" w:type="dxa"/>
            <w:vMerge w:val="continue"/>
            <w:vAlign w:val="center"/>
          </w:tcPr>
          <w:p>
            <w:pPr>
              <w:spacing w:line="560" w:lineRule="exact"/>
              <w:ind w:firstLine="560"/>
              <w:jc w:val="center"/>
              <w:rPr>
                <w:rFonts w:ascii="宋体" w:hAnsi="宋体" w:cs="宋体"/>
                <w:szCs w:val="21"/>
              </w:rPr>
            </w:pPr>
          </w:p>
        </w:tc>
        <w:tc>
          <w:tcPr>
            <w:tcW w:w="2141" w:type="dxa"/>
            <w:vAlign w:val="center"/>
          </w:tcPr>
          <w:p>
            <w:pPr>
              <w:spacing w:line="560" w:lineRule="exact"/>
              <w:jc w:val="center"/>
              <w:rPr>
                <w:rFonts w:ascii="宋体" w:hAnsi="宋体" w:cs="宋体"/>
                <w:szCs w:val="21"/>
              </w:rPr>
            </w:pPr>
            <w:r>
              <w:rPr>
                <w:rFonts w:hint="eastAsia" w:ascii="宋体" w:hAnsi="宋体" w:cs="宋体"/>
                <w:szCs w:val="21"/>
              </w:rPr>
              <w:t>信誉要求</w:t>
            </w:r>
          </w:p>
        </w:tc>
        <w:tc>
          <w:tcPr>
            <w:tcW w:w="5602" w:type="dxa"/>
            <w:vAlign w:val="center"/>
          </w:tcPr>
          <w:p>
            <w:pPr>
              <w:spacing w:line="560" w:lineRule="exact"/>
              <w:ind w:firstLine="560"/>
              <w:rPr>
                <w:rFonts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095" w:type="dxa"/>
            <w:vMerge w:val="continue"/>
            <w:tcBorders>
              <w:bottom w:val="single" w:color="auto" w:sz="4" w:space="0"/>
            </w:tcBorders>
            <w:vAlign w:val="center"/>
          </w:tcPr>
          <w:p>
            <w:pPr>
              <w:spacing w:line="560" w:lineRule="exact"/>
              <w:ind w:firstLine="560"/>
              <w:jc w:val="center"/>
              <w:rPr>
                <w:rFonts w:ascii="宋体" w:hAnsi="宋体" w:cs="宋体"/>
                <w:szCs w:val="21"/>
              </w:rPr>
            </w:pPr>
          </w:p>
        </w:tc>
        <w:tc>
          <w:tcPr>
            <w:tcW w:w="1038" w:type="dxa"/>
            <w:vMerge w:val="continue"/>
            <w:tcBorders>
              <w:bottom w:val="single" w:color="auto" w:sz="4" w:space="0"/>
            </w:tcBorders>
            <w:vAlign w:val="center"/>
          </w:tcPr>
          <w:p>
            <w:pPr>
              <w:spacing w:line="560" w:lineRule="exact"/>
              <w:ind w:firstLine="560"/>
              <w:jc w:val="center"/>
              <w:rPr>
                <w:rFonts w:ascii="宋体" w:hAnsi="宋体" w:cs="宋体"/>
                <w:szCs w:val="21"/>
              </w:rPr>
            </w:pPr>
          </w:p>
        </w:tc>
        <w:tc>
          <w:tcPr>
            <w:tcW w:w="2141" w:type="dxa"/>
            <w:tcBorders>
              <w:bottom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其他要求</w:t>
            </w:r>
          </w:p>
        </w:tc>
        <w:tc>
          <w:tcPr>
            <w:tcW w:w="5602" w:type="dxa"/>
            <w:tcBorders>
              <w:bottom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二、形式评审标准</w:t>
            </w: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Cs w:val="21"/>
              </w:rPr>
            </w:pPr>
            <w:r>
              <w:rPr>
                <w:rFonts w:hint="eastAsia" w:ascii="宋体" w:hAnsi="宋体" w:cs="宋体"/>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r>
              <w:rPr>
                <w:rFonts w:hint="eastAsia" w:ascii="宋体" w:hAnsi="宋体" w:cs="宋体"/>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宋体" w:hAnsi="宋体" w:cs="宋体"/>
                <w:szCs w:val="21"/>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三、响应性评审标准</w:t>
            </w: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宋体" w:hAnsi="宋体" w:cs="宋体"/>
                <w:szCs w:val="21"/>
              </w:rPr>
            </w:pPr>
            <w:r>
              <w:rPr>
                <w:rFonts w:hint="eastAsia" w:ascii="宋体" w:hAnsi="宋体" w:cs="宋体"/>
                <w:szCs w:val="21"/>
              </w:rPr>
              <w:t>供货安装期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highlight w:val="yellow"/>
              </w:rPr>
            </w:pPr>
            <w:r>
              <w:rPr>
                <w:rFonts w:hint="eastAsia" w:ascii="宋体" w:hAnsi="宋体" w:cs="宋体"/>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采购内容及技术要求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宋体" w:hAnsi="宋体" w:cs="宋体"/>
                <w:szCs w:val="21"/>
              </w:rPr>
            </w:pPr>
            <w:r>
              <w:rPr>
                <w:rFonts w:hint="eastAsia" w:ascii="宋体" w:hAnsi="宋体" w:cs="宋体"/>
                <w:szCs w:val="21"/>
              </w:rPr>
              <w:t>符合第五章“采购内容及技术要求”规定，若不符合</w:t>
            </w:r>
            <w:r>
              <w:rPr>
                <w:rFonts w:hint="eastAsia" w:ascii="宋体" w:hAnsi="宋体" w:cs="宋体"/>
                <w:color w:val="000000"/>
                <w:szCs w:val="21"/>
              </w:rPr>
              <w:t>采购内容及技术要求</w:t>
            </w:r>
            <w:r>
              <w:rPr>
                <w:rFonts w:hint="eastAsia" w:ascii="宋体" w:hAnsi="宋体" w:cs="宋体"/>
                <w:szCs w:val="21"/>
              </w:rPr>
              <w:t>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1038"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ascii="宋体" w:hAnsi="宋体" w:cs="宋体"/>
                <w:szCs w:val="21"/>
              </w:rPr>
            </w:pPr>
          </w:p>
        </w:tc>
        <w:tc>
          <w:tcPr>
            <w:tcW w:w="21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Cs w:val="21"/>
              </w:rPr>
            </w:pPr>
            <w:r>
              <w:rPr>
                <w:rFonts w:hint="eastAsia" w:ascii="宋体" w:hAnsi="宋体" w:cs="宋体"/>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Cs w:val="21"/>
              </w:rPr>
            </w:pPr>
            <w:r>
              <w:rPr>
                <w:rFonts w:hint="eastAsia" w:ascii="宋体" w:hAnsi="宋体" w:cs="宋体"/>
                <w:szCs w:val="21"/>
              </w:rPr>
              <w:t>符合法律、法规和招标文件中规定的其他实质性要求的</w:t>
            </w:r>
          </w:p>
        </w:tc>
      </w:tr>
    </w:tbl>
    <w:tbl>
      <w:tblPr>
        <w:tblStyle w:val="26"/>
        <w:tblpPr w:leftFromText="180" w:rightFromText="180" w:vertAnchor="text" w:horzAnchor="page" w:tblpX="1149" w:tblpY="306"/>
        <w:tblOverlap w:val="never"/>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038"/>
        <w:gridCol w:w="1005"/>
        <w:gridCol w:w="696"/>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vMerge w:val="restart"/>
            <w:vAlign w:val="center"/>
          </w:tcPr>
          <w:p>
            <w:pPr>
              <w:widowControl/>
              <w:jc w:val="center"/>
              <w:rPr>
                <w:rFonts w:ascii="宋体" w:hAnsi="宋体" w:cs="宋体"/>
                <w:szCs w:val="21"/>
              </w:rPr>
            </w:pPr>
            <w:bookmarkStart w:id="255" w:name="_Toc454147538"/>
            <w:bookmarkStart w:id="256" w:name="_Toc465502579"/>
            <w:bookmarkStart w:id="257" w:name="_Toc466017207"/>
            <w:bookmarkStart w:id="258" w:name="_Toc21064"/>
            <w:bookmarkStart w:id="259" w:name="_Toc19403"/>
            <w:r>
              <w:rPr>
                <w:rFonts w:hint="eastAsia" w:ascii="宋体" w:hAnsi="宋体" w:cs="宋体"/>
                <w:szCs w:val="21"/>
              </w:rPr>
              <w:t>序号</w:t>
            </w:r>
          </w:p>
        </w:tc>
        <w:tc>
          <w:tcPr>
            <w:tcW w:w="530" w:type="pct"/>
            <w:vMerge w:val="restart"/>
            <w:vAlign w:val="center"/>
          </w:tcPr>
          <w:p>
            <w:pPr>
              <w:widowControl/>
              <w:jc w:val="center"/>
              <w:rPr>
                <w:rFonts w:ascii="宋体" w:hAnsi="宋体" w:cs="宋体"/>
                <w:szCs w:val="21"/>
              </w:rPr>
            </w:pPr>
            <w:r>
              <w:rPr>
                <w:rFonts w:hint="eastAsia" w:ascii="宋体" w:hAnsi="宋体" w:cs="宋体"/>
                <w:szCs w:val="21"/>
              </w:rPr>
              <w:t>内容</w:t>
            </w:r>
          </w:p>
        </w:tc>
        <w:tc>
          <w:tcPr>
            <w:tcW w:w="514" w:type="pct"/>
            <w:vMerge w:val="restart"/>
            <w:vAlign w:val="center"/>
          </w:tcPr>
          <w:p>
            <w:pPr>
              <w:widowControl/>
              <w:jc w:val="center"/>
              <w:rPr>
                <w:rFonts w:ascii="宋体" w:hAnsi="宋体" w:cs="宋体"/>
                <w:szCs w:val="21"/>
              </w:rPr>
            </w:pPr>
            <w:r>
              <w:rPr>
                <w:rFonts w:hint="eastAsia" w:ascii="宋体" w:hAnsi="宋体" w:cs="宋体"/>
                <w:szCs w:val="21"/>
              </w:rPr>
              <w:t>评标因素</w:t>
            </w:r>
          </w:p>
        </w:tc>
        <w:tc>
          <w:tcPr>
            <w:tcW w:w="356" w:type="pct"/>
            <w:vMerge w:val="restart"/>
            <w:vAlign w:val="center"/>
          </w:tcPr>
          <w:p>
            <w:pPr>
              <w:widowControl/>
              <w:jc w:val="center"/>
              <w:rPr>
                <w:rFonts w:ascii="宋体" w:hAnsi="宋体" w:cs="宋体"/>
                <w:szCs w:val="21"/>
              </w:rPr>
            </w:pPr>
            <w:r>
              <w:rPr>
                <w:rFonts w:hint="eastAsia" w:ascii="宋体" w:hAnsi="宋体" w:cs="宋体"/>
                <w:szCs w:val="21"/>
              </w:rPr>
              <w:t>分值</w:t>
            </w:r>
          </w:p>
        </w:tc>
        <w:tc>
          <w:tcPr>
            <w:tcW w:w="3274" w:type="pct"/>
            <w:vMerge w:val="restart"/>
            <w:vAlign w:val="center"/>
          </w:tcPr>
          <w:p>
            <w:pPr>
              <w:widowControl/>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4" w:type="pct"/>
            <w:vMerge w:val="continue"/>
            <w:vAlign w:val="center"/>
          </w:tcPr>
          <w:p>
            <w:pPr>
              <w:widowControl/>
              <w:ind w:firstLine="480"/>
              <w:rPr>
                <w:rFonts w:ascii="宋体" w:hAnsi="宋体" w:cs="宋体"/>
                <w:szCs w:val="21"/>
              </w:rPr>
            </w:pPr>
          </w:p>
        </w:tc>
        <w:tc>
          <w:tcPr>
            <w:tcW w:w="530" w:type="pct"/>
            <w:vMerge w:val="continue"/>
            <w:vAlign w:val="center"/>
          </w:tcPr>
          <w:p>
            <w:pPr>
              <w:widowControl/>
              <w:ind w:firstLine="480"/>
              <w:rPr>
                <w:rFonts w:ascii="宋体" w:hAnsi="宋体" w:cs="宋体"/>
                <w:szCs w:val="21"/>
              </w:rPr>
            </w:pPr>
          </w:p>
        </w:tc>
        <w:tc>
          <w:tcPr>
            <w:tcW w:w="514" w:type="pct"/>
            <w:vMerge w:val="continue"/>
            <w:vAlign w:val="center"/>
          </w:tcPr>
          <w:p>
            <w:pPr>
              <w:widowControl/>
              <w:ind w:firstLine="480"/>
              <w:rPr>
                <w:rFonts w:ascii="宋体" w:hAnsi="宋体" w:cs="宋体"/>
                <w:szCs w:val="21"/>
              </w:rPr>
            </w:pPr>
          </w:p>
        </w:tc>
        <w:tc>
          <w:tcPr>
            <w:tcW w:w="356" w:type="pct"/>
            <w:vMerge w:val="continue"/>
            <w:vAlign w:val="center"/>
          </w:tcPr>
          <w:p>
            <w:pPr>
              <w:widowControl/>
              <w:ind w:firstLine="480"/>
              <w:rPr>
                <w:rFonts w:ascii="宋体" w:hAnsi="宋体" w:cs="宋体"/>
                <w:szCs w:val="21"/>
              </w:rPr>
            </w:pPr>
          </w:p>
        </w:tc>
        <w:tc>
          <w:tcPr>
            <w:tcW w:w="3274" w:type="pct"/>
            <w:vMerge w:val="continue"/>
            <w:vAlign w:val="center"/>
          </w:tcPr>
          <w:p>
            <w:pPr>
              <w:widowControl/>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24" w:type="pct"/>
            <w:vAlign w:val="center"/>
          </w:tcPr>
          <w:p>
            <w:pPr>
              <w:widowControl/>
              <w:jc w:val="center"/>
              <w:rPr>
                <w:rFonts w:ascii="宋体" w:hAnsi="宋体" w:cs="宋体"/>
                <w:szCs w:val="21"/>
              </w:rPr>
            </w:pPr>
            <w:r>
              <w:rPr>
                <w:rFonts w:hint="eastAsia" w:ascii="宋体" w:hAnsi="宋体" w:cs="宋体"/>
                <w:szCs w:val="21"/>
              </w:rPr>
              <w:t>1</w:t>
            </w:r>
          </w:p>
        </w:tc>
        <w:tc>
          <w:tcPr>
            <w:tcW w:w="530" w:type="pct"/>
            <w:vAlign w:val="center"/>
          </w:tcPr>
          <w:p>
            <w:pPr>
              <w:widowControl/>
              <w:rPr>
                <w:rFonts w:ascii="宋体" w:hAnsi="宋体" w:cs="宋体"/>
                <w:szCs w:val="21"/>
              </w:rPr>
            </w:pPr>
            <w:r>
              <w:rPr>
                <w:rFonts w:hint="eastAsia" w:ascii="宋体" w:hAnsi="宋体" w:cs="宋体"/>
                <w:szCs w:val="21"/>
              </w:rPr>
              <w:t>投标报价（35分）</w:t>
            </w:r>
          </w:p>
        </w:tc>
        <w:tc>
          <w:tcPr>
            <w:tcW w:w="514" w:type="pct"/>
            <w:vAlign w:val="center"/>
          </w:tcPr>
          <w:p>
            <w:pPr>
              <w:widowControl/>
              <w:rPr>
                <w:rFonts w:ascii="宋体" w:hAnsi="宋体" w:cs="宋体"/>
                <w:szCs w:val="21"/>
              </w:rPr>
            </w:pPr>
            <w:r>
              <w:rPr>
                <w:rFonts w:hint="eastAsia" w:ascii="宋体" w:hAnsi="宋体" w:cs="宋体"/>
                <w:szCs w:val="21"/>
              </w:rPr>
              <w:t>投标报价</w:t>
            </w:r>
          </w:p>
        </w:tc>
        <w:tc>
          <w:tcPr>
            <w:tcW w:w="356" w:type="pct"/>
            <w:vAlign w:val="center"/>
          </w:tcPr>
          <w:p>
            <w:pPr>
              <w:widowControl/>
              <w:rPr>
                <w:rFonts w:ascii="宋体" w:hAnsi="宋体" w:cs="宋体"/>
                <w:szCs w:val="21"/>
              </w:rPr>
            </w:pPr>
            <w:r>
              <w:rPr>
                <w:rFonts w:hint="eastAsia" w:ascii="宋体" w:hAnsi="宋体" w:cs="宋体"/>
                <w:szCs w:val="21"/>
              </w:rPr>
              <w:t>35分</w:t>
            </w:r>
          </w:p>
        </w:tc>
        <w:tc>
          <w:tcPr>
            <w:tcW w:w="3274" w:type="pct"/>
            <w:vAlign w:val="center"/>
          </w:tcPr>
          <w:p>
            <w:pPr>
              <w:widowControl/>
              <w:rPr>
                <w:rFonts w:ascii="宋体" w:hAnsi="宋体" w:cs="宋体"/>
                <w:szCs w:val="21"/>
              </w:rPr>
            </w:pPr>
            <w:r>
              <w:rPr>
                <w:rFonts w:hint="eastAsia" w:ascii="宋体" w:hAnsi="宋体" w:cs="宋体"/>
                <w:szCs w:val="21"/>
              </w:rPr>
              <w:t>1、满足招标文件要求且投标报价最低的投标报价为评标基准价，其价格分为满分。其他投标供应商的价格分统一按照下列公式计算：投标报价得分=（评标基准价/投标报价）×35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24" w:type="pct"/>
            <w:vMerge w:val="restart"/>
            <w:vAlign w:val="center"/>
          </w:tcPr>
          <w:p>
            <w:pPr>
              <w:widowControl/>
              <w:jc w:val="center"/>
              <w:rPr>
                <w:rFonts w:ascii="宋体" w:hAnsi="宋体" w:cs="宋体"/>
                <w:szCs w:val="21"/>
              </w:rPr>
            </w:pPr>
            <w:r>
              <w:rPr>
                <w:rFonts w:hint="eastAsia" w:ascii="宋体" w:hAnsi="宋体" w:cs="宋体"/>
                <w:szCs w:val="21"/>
              </w:rPr>
              <w:t>2</w:t>
            </w:r>
          </w:p>
        </w:tc>
        <w:tc>
          <w:tcPr>
            <w:tcW w:w="530" w:type="pct"/>
            <w:vMerge w:val="restart"/>
            <w:vAlign w:val="center"/>
          </w:tcPr>
          <w:p>
            <w:pPr>
              <w:widowControl/>
              <w:rPr>
                <w:rFonts w:ascii="宋体" w:hAnsi="宋体" w:cs="宋体"/>
                <w:szCs w:val="21"/>
              </w:rPr>
            </w:pPr>
            <w:r>
              <w:rPr>
                <w:rFonts w:hint="eastAsia" w:ascii="宋体" w:hAnsi="宋体" w:cs="宋体"/>
                <w:szCs w:val="21"/>
              </w:rPr>
              <w:t>技术部分（26分）</w:t>
            </w:r>
          </w:p>
        </w:tc>
        <w:tc>
          <w:tcPr>
            <w:tcW w:w="514" w:type="pct"/>
            <w:vAlign w:val="center"/>
          </w:tcPr>
          <w:p>
            <w:pPr>
              <w:widowControl/>
              <w:rPr>
                <w:rFonts w:ascii="宋体" w:hAnsi="宋体" w:cs="宋体"/>
                <w:szCs w:val="21"/>
              </w:rPr>
            </w:pPr>
            <w:r>
              <w:rPr>
                <w:rFonts w:hint="eastAsia" w:ascii="宋体" w:hAnsi="宋体" w:cs="宋体"/>
                <w:szCs w:val="21"/>
              </w:rPr>
              <w:t>技术参数</w:t>
            </w:r>
          </w:p>
        </w:tc>
        <w:tc>
          <w:tcPr>
            <w:tcW w:w="356" w:type="pct"/>
            <w:vAlign w:val="center"/>
          </w:tcPr>
          <w:p>
            <w:pPr>
              <w:widowControl/>
              <w:rPr>
                <w:rFonts w:ascii="宋体" w:hAnsi="宋体" w:cs="宋体"/>
                <w:szCs w:val="21"/>
              </w:rPr>
            </w:pPr>
            <w:r>
              <w:rPr>
                <w:rFonts w:hint="eastAsia" w:ascii="宋体" w:hAnsi="宋体" w:cs="宋体"/>
                <w:szCs w:val="21"/>
              </w:rPr>
              <w:t>17分</w:t>
            </w:r>
          </w:p>
        </w:tc>
        <w:tc>
          <w:tcPr>
            <w:tcW w:w="3274" w:type="pct"/>
            <w:vAlign w:val="center"/>
          </w:tcPr>
          <w:p>
            <w:pPr>
              <w:widowControl/>
              <w:rPr>
                <w:rFonts w:ascii="宋体" w:hAnsi="宋体" w:cs="宋体"/>
                <w:szCs w:val="21"/>
              </w:rPr>
            </w:pPr>
            <w:r>
              <w:rPr>
                <w:rFonts w:hint="eastAsia" w:ascii="宋体" w:hAnsi="宋体" w:cs="宋体"/>
                <w:szCs w:val="21"/>
              </w:rPr>
              <w:t>评标委员会将根据招标文件要求，判断所投产品技术参数全部满足招标文件基础要求的得13分，若提供的货物技术参数指标或功能优于招标文件的技术要求的每有一项加1分，最多加4分。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24" w:type="pct"/>
            <w:vMerge w:val="continue"/>
            <w:vAlign w:val="center"/>
          </w:tcPr>
          <w:p>
            <w:pPr>
              <w:widowControl/>
              <w:jc w:val="center"/>
              <w:rPr>
                <w:rFonts w:ascii="宋体" w:hAnsi="宋体" w:cs="宋体"/>
                <w:szCs w:val="21"/>
              </w:rPr>
            </w:pPr>
          </w:p>
        </w:tc>
        <w:tc>
          <w:tcPr>
            <w:tcW w:w="530" w:type="pct"/>
            <w:vMerge w:val="continue"/>
            <w:vAlign w:val="center"/>
          </w:tcPr>
          <w:p>
            <w:pPr>
              <w:widowControl/>
              <w:jc w:val="center"/>
              <w:rPr>
                <w:rFonts w:ascii="宋体" w:hAnsi="宋体" w:cs="宋体"/>
                <w:szCs w:val="21"/>
              </w:rPr>
            </w:pPr>
          </w:p>
        </w:tc>
        <w:tc>
          <w:tcPr>
            <w:tcW w:w="514" w:type="pct"/>
            <w:vAlign w:val="center"/>
          </w:tcPr>
          <w:p>
            <w:pPr>
              <w:widowControl/>
              <w:rPr>
                <w:rFonts w:ascii="宋体" w:hAnsi="宋体" w:cs="宋体"/>
                <w:szCs w:val="21"/>
              </w:rPr>
            </w:pPr>
            <w:r>
              <w:rPr>
                <w:rFonts w:hint="eastAsia" w:ascii="宋体" w:hAnsi="宋体" w:cs="宋体"/>
                <w:szCs w:val="21"/>
              </w:rPr>
              <w:t>体系认证</w:t>
            </w:r>
          </w:p>
        </w:tc>
        <w:tc>
          <w:tcPr>
            <w:tcW w:w="356" w:type="pct"/>
            <w:vAlign w:val="center"/>
          </w:tcPr>
          <w:p>
            <w:pPr>
              <w:widowControl/>
              <w:rPr>
                <w:rFonts w:ascii="宋体" w:hAnsi="宋体" w:cs="宋体"/>
                <w:szCs w:val="21"/>
              </w:rPr>
            </w:pPr>
            <w:r>
              <w:rPr>
                <w:rFonts w:hint="eastAsia" w:ascii="宋体" w:hAnsi="宋体" w:cs="宋体"/>
                <w:szCs w:val="21"/>
              </w:rPr>
              <w:t>9分</w:t>
            </w:r>
          </w:p>
        </w:tc>
        <w:tc>
          <w:tcPr>
            <w:tcW w:w="3274" w:type="pct"/>
            <w:vAlign w:val="center"/>
          </w:tcPr>
          <w:p>
            <w:pPr>
              <w:adjustRightInd w:val="0"/>
              <w:snapToGrid w:val="0"/>
              <w:spacing w:before="38" w:beforeLines="10" w:after="38" w:afterLines="10"/>
              <w:ind w:right="21" w:rightChars="10"/>
              <w:jc w:val="left"/>
              <w:rPr>
                <w:rFonts w:ascii="宋体" w:hAnsi="宋体" w:cs="宋体"/>
                <w:szCs w:val="21"/>
              </w:rPr>
            </w:pPr>
            <w:r>
              <w:rPr>
                <w:rFonts w:hint="eastAsia" w:ascii="宋体" w:hAnsi="宋体" w:cs="宋体"/>
                <w:szCs w:val="21"/>
              </w:rPr>
              <w:t>1、供应商具有ISO9001质量管理体系认证证书、ISO14001环境管理体系认证证书、ISO45001或OHSAS18001职业健康管理体系认证证书的每提供一项得1分，本项最多得3分；</w:t>
            </w:r>
          </w:p>
          <w:p>
            <w:pPr>
              <w:widowControl/>
              <w:rPr>
                <w:rFonts w:ascii="宋体" w:hAnsi="宋体" w:cs="宋体"/>
                <w:szCs w:val="21"/>
              </w:rPr>
            </w:pPr>
            <w:r>
              <w:rPr>
                <w:rFonts w:hint="eastAsia" w:ascii="宋体" w:hAnsi="宋体" w:cs="宋体"/>
                <w:szCs w:val="21"/>
              </w:rPr>
              <w:t>2、供应商具有国家认可的评价机构颁发的AAA级重合同守信用企业评价证书得3分，具有AA级的得2分、具有A级的得1分，不提供不得分.</w:t>
            </w:r>
          </w:p>
          <w:p>
            <w:pPr>
              <w:widowControl/>
              <w:rPr>
                <w:rFonts w:ascii="宋体" w:hAnsi="宋体" w:cs="宋体"/>
                <w:szCs w:val="21"/>
              </w:rPr>
            </w:pPr>
            <w:r>
              <w:rPr>
                <w:rFonts w:hint="eastAsia" w:ascii="宋体" w:hAnsi="宋体" w:cs="宋体"/>
                <w:szCs w:val="21"/>
              </w:rPr>
              <w:t>3、供应商具有国家认可的评价机构颁发的AAA级信用等级评价证书的得3分，具有AA级的得2分、具有A级的得1分，不提供不得分；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324" w:type="pct"/>
            <w:vMerge w:val="restart"/>
            <w:tcBorders>
              <w:right w:val="single" w:color="auto" w:sz="4" w:space="0"/>
            </w:tcBorders>
            <w:vAlign w:val="center"/>
          </w:tcPr>
          <w:p>
            <w:pPr>
              <w:widowControl/>
              <w:rPr>
                <w:rFonts w:ascii="宋体" w:hAnsi="宋体" w:cs="宋体"/>
                <w:szCs w:val="21"/>
              </w:rPr>
            </w:pPr>
            <w:r>
              <w:rPr>
                <w:rFonts w:hint="eastAsia" w:ascii="宋体" w:hAnsi="宋体" w:cs="宋体"/>
                <w:szCs w:val="21"/>
              </w:rPr>
              <w:t>3</w:t>
            </w:r>
          </w:p>
        </w:tc>
        <w:tc>
          <w:tcPr>
            <w:tcW w:w="530" w:type="pct"/>
            <w:vMerge w:val="restart"/>
            <w:vAlign w:val="center"/>
          </w:tcPr>
          <w:p>
            <w:pPr>
              <w:widowControl/>
              <w:rPr>
                <w:rFonts w:ascii="宋体" w:hAnsi="宋体" w:cs="宋体"/>
                <w:szCs w:val="21"/>
              </w:rPr>
            </w:pPr>
            <w:r>
              <w:rPr>
                <w:rFonts w:hint="eastAsia" w:ascii="宋体" w:hAnsi="宋体" w:cs="宋体"/>
                <w:szCs w:val="21"/>
              </w:rPr>
              <w:t>商务部分（30分）</w:t>
            </w:r>
          </w:p>
        </w:tc>
        <w:tc>
          <w:tcPr>
            <w:tcW w:w="514" w:type="pct"/>
            <w:vAlign w:val="center"/>
          </w:tcPr>
          <w:p>
            <w:pPr>
              <w:widowControl/>
              <w:rPr>
                <w:rFonts w:ascii="宋体" w:hAnsi="宋体" w:cs="宋体"/>
                <w:szCs w:val="21"/>
              </w:rPr>
            </w:pPr>
            <w:r>
              <w:rPr>
                <w:rFonts w:hint="eastAsia" w:ascii="宋体" w:hAnsi="宋体" w:cs="宋体"/>
                <w:szCs w:val="21"/>
              </w:rPr>
              <w:t>产品质量</w:t>
            </w:r>
          </w:p>
        </w:tc>
        <w:tc>
          <w:tcPr>
            <w:tcW w:w="356" w:type="pct"/>
          </w:tcPr>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r>
              <w:rPr>
                <w:rFonts w:hint="eastAsia" w:ascii="宋体" w:hAnsi="宋体" w:cs="宋体"/>
                <w:szCs w:val="21"/>
              </w:rPr>
              <w:t>18分</w:t>
            </w:r>
          </w:p>
        </w:tc>
        <w:tc>
          <w:tcPr>
            <w:tcW w:w="3274" w:type="pct"/>
            <w:vAlign w:val="center"/>
          </w:tcPr>
          <w:p>
            <w:pPr>
              <w:widowControl/>
              <w:rPr>
                <w:rFonts w:ascii="宋体" w:hAnsi="宋体" w:cs="宋体"/>
                <w:szCs w:val="21"/>
                <w:highlight w:val="none"/>
              </w:rPr>
            </w:pPr>
            <w:r>
              <w:rPr>
                <w:rFonts w:hint="eastAsia" w:ascii="宋体" w:hAnsi="宋体" w:cs="宋体"/>
                <w:szCs w:val="21"/>
              </w:rPr>
              <w:t>1、所投拼装地板原料不低于连续三年的急性毒性测试且未见毒性反应</w:t>
            </w:r>
            <w:r>
              <w:rPr>
                <w:rFonts w:hint="eastAsia" w:ascii="宋体" w:hAnsi="宋体" w:cs="宋体"/>
                <w:szCs w:val="21"/>
                <w:lang w:eastAsia="zh-CN"/>
              </w:rPr>
              <w:t>，提供</w:t>
            </w:r>
            <w:r>
              <w:rPr>
                <w:rFonts w:hint="eastAsia" w:ascii="宋体" w:hAnsi="宋体" w:cs="宋体"/>
                <w:szCs w:val="21"/>
              </w:rPr>
              <w:t>国家认可的检测机构出具附带CMA标识的的检测报告原件扫描件（须</w:t>
            </w:r>
            <w:r>
              <w:rPr>
                <w:rFonts w:hint="eastAsia" w:ascii="宋体" w:hAnsi="宋体" w:cs="宋体"/>
                <w:szCs w:val="21"/>
                <w:highlight w:val="none"/>
              </w:rPr>
              <w:t>附带官方查询截图），得2分，否则不得分。</w:t>
            </w:r>
          </w:p>
          <w:p>
            <w:pPr>
              <w:widowControl/>
              <w:rPr>
                <w:rFonts w:ascii="宋体" w:hAnsi="宋体" w:cs="宋体"/>
                <w:szCs w:val="21"/>
                <w:highlight w:val="none"/>
              </w:rPr>
            </w:pPr>
            <w:r>
              <w:rPr>
                <w:rFonts w:hint="eastAsia" w:ascii="宋体" w:hAnsi="宋体" w:cs="宋体"/>
                <w:szCs w:val="21"/>
                <w:highlight w:val="none"/>
              </w:rPr>
              <w:t>2、所投拼装地板自然光老化不低</w:t>
            </w:r>
            <w:bookmarkStart w:id="340" w:name="_GoBack"/>
            <w:bookmarkEnd w:id="340"/>
            <w:r>
              <w:rPr>
                <w:rFonts w:hint="eastAsia" w:ascii="宋体" w:hAnsi="宋体" w:cs="宋体"/>
                <w:szCs w:val="21"/>
                <w:highlight w:val="none"/>
              </w:rPr>
              <w:t>于900天后，球反弹符合GB/T14833-2020标准≥96%</w:t>
            </w:r>
            <w:r>
              <w:rPr>
                <w:rFonts w:hint="eastAsia" w:ascii="宋体" w:hAnsi="宋体" w:cs="宋体"/>
                <w:szCs w:val="21"/>
                <w:highlight w:val="none"/>
                <w:lang w:eastAsia="zh-CN"/>
              </w:rPr>
              <w:t>，提供</w:t>
            </w:r>
            <w:r>
              <w:rPr>
                <w:rFonts w:hint="eastAsia" w:ascii="宋体" w:hAnsi="宋体" w:cs="宋体"/>
                <w:szCs w:val="21"/>
                <w:highlight w:val="none"/>
              </w:rPr>
              <w:t>国家认可的检测机构出具的附带CMA和CNAS标识的检测报告扫描件，得2分，否则不得分。</w:t>
            </w:r>
          </w:p>
          <w:p>
            <w:pPr>
              <w:rPr>
                <w:rFonts w:ascii="宋体" w:hAnsi="宋体" w:cs="宋体"/>
                <w:szCs w:val="21"/>
                <w:highlight w:val="none"/>
              </w:rPr>
            </w:pPr>
            <w:r>
              <w:rPr>
                <w:rFonts w:hint="eastAsia" w:ascii="宋体" w:hAnsi="宋体" w:cs="宋体"/>
                <w:szCs w:val="21"/>
                <w:highlight w:val="none"/>
              </w:rPr>
              <w:t>3、所投拼装地板耐酸雨老化不低于2000h后，垂直变形依据GB36246-2018检测标准0.6-3.0mm</w:t>
            </w:r>
            <w:r>
              <w:rPr>
                <w:rFonts w:hint="eastAsia" w:ascii="宋体" w:hAnsi="宋体" w:cs="宋体"/>
                <w:szCs w:val="21"/>
                <w:highlight w:val="none"/>
                <w:lang w:eastAsia="zh-CN"/>
              </w:rPr>
              <w:t>，提供</w:t>
            </w:r>
            <w:r>
              <w:rPr>
                <w:rFonts w:hint="eastAsia" w:ascii="宋体" w:hAnsi="宋体" w:cs="宋体"/>
                <w:szCs w:val="21"/>
                <w:highlight w:val="none"/>
              </w:rPr>
              <w:t>国家认可的检测机构出具的附带CMA和CNAS标识的检测报告原件扫描件（须附带可现场验证的官方查询截图），得2分，否则不得分。</w:t>
            </w:r>
          </w:p>
          <w:p>
            <w:pPr>
              <w:rPr>
                <w:rFonts w:ascii="宋体" w:hAnsi="宋体" w:cs="宋体"/>
                <w:szCs w:val="21"/>
              </w:rPr>
            </w:pPr>
            <w:r>
              <w:rPr>
                <w:rFonts w:hint="eastAsia" w:ascii="宋体" w:hAnsi="宋体" w:cs="宋体"/>
                <w:szCs w:val="21"/>
                <w:highlight w:val="none"/>
              </w:rPr>
              <w:t>4、所投拼装地板冲击法脆化</w:t>
            </w:r>
            <w:r>
              <w:rPr>
                <w:rFonts w:hint="eastAsia" w:ascii="宋体" w:hAnsi="宋体" w:cs="宋体"/>
                <w:szCs w:val="21"/>
              </w:rPr>
              <w:t>温度 ≤-70℃且破损率为0%</w:t>
            </w:r>
            <w:r>
              <w:rPr>
                <w:rFonts w:hint="eastAsia" w:ascii="宋体" w:hAnsi="宋体" w:cs="宋体"/>
                <w:szCs w:val="21"/>
                <w:lang w:eastAsia="zh-CN"/>
              </w:rPr>
              <w:t>，</w:t>
            </w:r>
            <w:r>
              <w:rPr>
                <w:rFonts w:hint="eastAsia" w:ascii="宋体" w:hAnsi="宋体" w:cs="宋体"/>
                <w:szCs w:val="21"/>
                <w:highlight w:val="none"/>
                <w:lang w:eastAsia="zh-CN"/>
              </w:rPr>
              <w:t>提供</w:t>
            </w:r>
            <w:r>
              <w:rPr>
                <w:rFonts w:hint="eastAsia" w:ascii="宋体" w:hAnsi="宋体" w:cs="宋体"/>
                <w:szCs w:val="21"/>
                <w:highlight w:val="none"/>
              </w:rPr>
              <w:t>国家认可的检测机构出具的依据GB/T5470-2008标准</w:t>
            </w:r>
            <w:r>
              <w:rPr>
                <w:rFonts w:hint="eastAsia" w:ascii="宋体" w:hAnsi="宋体" w:cs="宋体"/>
                <w:szCs w:val="21"/>
              </w:rPr>
              <w:t>的检测报告原件扫描件，得2分，否则不得分。</w:t>
            </w:r>
          </w:p>
          <w:p>
            <w:pPr>
              <w:widowControl/>
              <w:rPr>
                <w:rFonts w:ascii="宋体" w:hAnsi="宋体" w:cs="宋体"/>
                <w:szCs w:val="21"/>
              </w:rPr>
            </w:pPr>
            <w:r>
              <w:rPr>
                <w:rFonts w:hint="eastAsia" w:ascii="宋体" w:hAnsi="宋体" w:cs="宋体"/>
                <w:szCs w:val="21"/>
              </w:rPr>
              <w:t>5、硅PU球场产品于80℃高温箱老化1000h后、-40℃低温箱冷冻1000h后分别符合GB 36246-2018标准拉断伸长率、拉伸强度要求</w:t>
            </w:r>
            <w:r>
              <w:rPr>
                <w:rFonts w:hint="eastAsia" w:ascii="宋体" w:hAnsi="宋体" w:cs="宋体"/>
                <w:szCs w:val="21"/>
                <w:lang w:eastAsia="zh-CN"/>
              </w:rPr>
              <w:t>，提供</w:t>
            </w:r>
            <w:r>
              <w:rPr>
                <w:rFonts w:hint="eastAsia" w:ascii="宋体" w:hAnsi="宋体" w:cs="宋体"/>
                <w:szCs w:val="21"/>
              </w:rPr>
              <w:t>具有“CMA”标识的检测报告原件扫描件，得2分，否则不得分。</w:t>
            </w:r>
          </w:p>
          <w:p>
            <w:pPr>
              <w:widowControl/>
              <w:rPr>
                <w:rFonts w:ascii="宋体" w:hAnsi="宋体" w:cs="宋体"/>
                <w:szCs w:val="21"/>
              </w:rPr>
            </w:pPr>
            <w:r>
              <w:rPr>
                <w:rFonts w:hint="eastAsia" w:ascii="宋体" w:hAnsi="宋体" w:cs="宋体"/>
                <w:szCs w:val="21"/>
              </w:rPr>
              <w:t>6、硅PU球场产品在23℃～25℃恒温水中浸泡24小时后，放入-45℃温度下冷冻24小时，取出后放入50℃温度下热烘24小时后，重复循环20次后，涂层无粉化、无开裂、无剥落、无起泡、无变色、无失光现象符合GB/22374-2018，拉伸强度、拉断伸长率依然符合GB36246-2018、GB/T22517.4-2017、GB/T14833-2020标准要求、撕裂强度符合GB/T14833-2020标准要求</w:t>
            </w:r>
            <w:r>
              <w:rPr>
                <w:rFonts w:hint="eastAsia" w:ascii="宋体" w:hAnsi="宋体" w:cs="宋体"/>
                <w:szCs w:val="21"/>
                <w:lang w:eastAsia="zh-CN"/>
              </w:rPr>
              <w:t>，提供</w:t>
            </w:r>
            <w:r>
              <w:rPr>
                <w:rFonts w:hint="eastAsia" w:ascii="宋体" w:hAnsi="宋体" w:cs="宋体"/>
                <w:szCs w:val="21"/>
              </w:rPr>
              <w:t>具有体现“CMA”标志的合格检测报告原件扫描件，得2分，否则不得分。</w:t>
            </w:r>
          </w:p>
          <w:p>
            <w:pPr>
              <w:widowControl/>
              <w:rPr>
                <w:rFonts w:ascii="宋体" w:hAnsi="宋体" w:cs="宋体"/>
                <w:szCs w:val="21"/>
              </w:rPr>
            </w:pPr>
            <w:r>
              <w:rPr>
                <w:rFonts w:hint="eastAsia" w:ascii="宋体" w:hAnsi="宋体" w:cs="宋体"/>
                <w:szCs w:val="21"/>
              </w:rPr>
              <w:t>7、硅PU球场面漆具有“CMA”标识耐紫外线色变性能检测，依据GB/T23987-2009标准在经过模拟人工气候紫外线曝露1500h后，老化前后变色等级达到4级或以上要求</w:t>
            </w:r>
            <w:r>
              <w:rPr>
                <w:rFonts w:hint="eastAsia" w:ascii="宋体" w:hAnsi="宋体" w:cs="宋体"/>
                <w:szCs w:val="21"/>
                <w:lang w:eastAsia="zh-CN"/>
              </w:rPr>
              <w:t>，提供</w:t>
            </w:r>
            <w:r>
              <w:rPr>
                <w:rFonts w:hint="eastAsia" w:ascii="宋体" w:hAnsi="宋体" w:cs="宋体"/>
                <w:szCs w:val="21"/>
              </w:rPr>
              <w:t>检测报告原件扫描件，得2分，否则不得分。</w:t>
            </w:r>
          </w:p>
          <w:p>
            <w:pPr>
              <w:rPr>
                <w:rFonts w:ascii="宋体" w:hAnsi="宋体" w:cs="宋体"/>
              </w:rPr>
            </w:pPr>
            <w:r>
              <w:rPr>
                <w:rFonts w:hint="eastAsia" w:ascii="宋体" w:hAnsi="宋体" w:cs="宋体"/>
              </w:rPr>
              <w:t>8、硅PU球场材料符合HJ457-2009和HJ2537-2014环境技术要求，通过中国环境标志产品认证证书，</w:t>
            </w:r>
            <w:r>
              <w:rPr>
                <w:rFonts w:hint="eastAsia" w:ascii="宋体" w:hAnsi="宋体" w:cs="宋体"/>
                <w:szCs w:val="21"/>
              </w:rPr>
              <w:t>得2分，否则不得分。</w:t>
            </w:r>
          </w:p>
          <w:p>
            <w:pPr>
              <w:rPr>
                <w:rFonts w:ascii="宋体" w:hAnsi="宋体" w:cs="宋体"/>
                <w:szCs w:val="21"/>
              </w:rPr>
            </w:pPr>
            <w:r>
              <w:rPr>
                <w:rFonts w:hint="eastAsia" w:ascii="宋体" w:hAnsi="宋体" w:cs="宋体"/>
              </w:rPr>
              <w:t>9、硅PU球场产品获得CEC环境友好产品认证和合成材料运动场地面层生态产品认证证书，</w:t>
            </w:r>
            <w:r>
              <w:rPr>
                <w:rFonts w:hint="eastAsia" w:ascii="宋体" w:hAnsi="宋体" w:cs="宋体"/>
                <w:szCs w:val="21"/>
              </w:rPr>
              <w:t>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4" w:type="pct"/>
            <w:vMerge w:val="continue"/>
            <w:tcBorders>
              <w:right w:val="single" w:color="auto" w:sz="4" w:space="0"/>
            </w:tcBorders>
            <w:vAlign w:val="center"/>
          </w:tcPr>
          <w:p>
            <w:pPr>
              <w:widowControl/>
              <w:rPr>
                <w:rFonts w:ascii="宋体" w:hAnsi="宋体" w:cs="宋体"/>
                <w:szCs w:val="21"/>
              </w:rPr>
            </w:pPr>
          </w:p>
        </w:tc>
        <w:tc>
          <w:tcPr>
            <w:tcW w:w="530" w:type="pct"/>
            <w:vMerge w:val="continue"/>
            <w:vAlign w:val="center"/>
          </w:tcPr>
          <w:p>
            <w:pPr>
              <w:widowControl/>
              <w:rPr>
                <w:rFonts w:ascii="宋体" w:hAnsi="宋体" w:cs="宋体"/>
                <w:szCs w:val="21"/>
              </w:rPr>
            </w:pPr>
          </w:p>
        </w:tc>
        <w:tc>
          <w:tcPr>
            <w:tcW w:w="514" w:type="pct"/>
            <w:vMerge w:val="restart"/>
            <w:vAlign w:val="center"/>
          </w:tcPr>
          <w:p>
            <w:pPr>
              <w:widowControl/>
              <w:rPr>
                <w:rFonts w:ascii="宋体" w:hAnsi="宋体" w:cs="宋体"/>
                <w:szCs w:val="21"/>
              </w:rPr>
            </w:pPr>
            <w:r>
              <w:rPr>
                <w:rFonts w:hint="eastAsia" w:ascii="宋体" w:hAnsi="宋体" w:cs="宋体"/>
                <w:szCs w:val="21"/>
              </w:rPr>
              <w:t>项目实施方案</w:t>
            </w:r>
          </w:p>
        </w:tc>
        <w:tc>
          <w:tcPr>
            <w:tcW w:w="356" w:type="pct"/>
            <w:vMerge w:val="restart"/>
          </w:tcPr>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p>
          <w:p>
            <w:pPr>
              <w:widowControl/>
              <w:rPr>
                <w:rFonts w:ascii="宋体" w:hAnsi="宋体" w:cs="宋体"/>
                <w:szCs w:val="21"/>
              </w:rPr>
            </w:pPr>
            <w:r>
              <w:rPr>
                <w:rFonts w:hint="eastAsia" w:ascii="宋体" w:hAnsi="宋体" w:cs="宋体"/>
                <w:szCs w:val="21"/>
              </w:rPr>
              <w:t>12分</w:t>
            </w:r>
          </w:p>
        </w:tc>
        <w:tc>
          <w:tcPr>
            <w:tcW w:w="3274" w:type="pct"/>
            <w:vAlign w:val="center"/>
          </w:tcPr>
          <w:p>
            <w:pPr>
              <w:widowControl/>
              <w:rPr>
                <w:rFonts w:ascii="宋体" w:hAnsi="宋体" w:cs="宋体"/>
                <w:szCs w:val="21"/>
              </w:rPr>
            </w:pPr>
            <w:r>
              <w:rPr>
                <w:rFonts w:hint="eastAsia" w:ascii="宋体" w:hAnsi="宋体" w:cs="宋体"/>
                <w:szCs w:val="21"/>
              </w:rPr>
              <w:t>1、针对本项目编制具体的人员配备、安排情况、应急措施等，提供内容合理性、完善性进行评分，优秀得4分；良好得2分；一般得1分，不提供不得分。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4" w:type="pct"/>
            <w:vMerge w:val="continue"/>
            <w:tcBorders>
              <w:right w:val="single" w:color="auto" w:sz="4" w:space="0"/>
            </w:tcBorders>
            <w:vAlign w:val="center"/>
          </w:tcPr>
          <w:p>
            <w:pPr>
              <w:widowControl/>
              <w:rPr>
                <w:rFonts w:ascii="宋体" w:hAnsi="宋体" w:cs="宋体"/>
                <w:szCs w:val="21"/>
              </w:rPr>
            </w:pPr>
          </w:p>
        </w:tc>
        <w:tc>
          <w:tcPr>
            <w:tcW w:w="530" w:type="pct"/>
            <w:vMerge w:val="continue"/>
            <w:vAlign w:val="center"/>
          </w:tcPr>
          <w:p>
            <w:pPr>
              <w:widowControl/>
              <w:rPr>
                <w:rFonts w:ascii="宋体" w:hAnsi="宋体" w:cs="宋体"/>
                <w:szCs w:val="21"/>
              </w:rPr>
            </w:pPr>
          </w:p>
        </w:tc>
        <w:tc>
          <w:tcPr>
            <w:tcW w:w="514" w:type="pct"/>
            <w:vMerge w:val="continue"/>
            <w:vAlign w:val="center"/>
          </w:tcPr>
          <w:p>
            <w:pPr>
              <w:widowControl/>
              <w:rPr>
                <w:rFonts w:ascii="宋体" w:hAnsi="宋体" w:cs="宋体"/>
                <w:szCs w:val="21"/>
              </w:rPr>
            </w:pPr>
          </w:p>
        </w:tc>
        <w:tc>
          <w:tcPr>
            <w:tcW w:w="356" w:type="pct"/>
            <w:vMerge w:val="continue"/>
          </w:tcPr>
          <w:p>
            <w:pPr>
              <w:widowControl/>
              <w:rPr>
                <w:rFonts w:ascii="宋体" w:hAnsi="宋体" w:cs="宋体"/>
                <w:szCs w:val="21"/>
              </w:rPr>
            </w:pPr>
          </w:p>
        </w:tc>
        <w:tc>
          <w:tcPr>
            <w:tcW w:w="3274" w:type="pct"/>
            <w:vAlign w:val="center"/>
          </w:tcPr>
          <w:p>
            <w:pPr>
              <w:widowControl/>
              <w:rPr>
                <w:rFonts w:ascii="宋体" w:hAnsi="宋体" w:cs="宋体"/>
                <w:szCs w:val="21"/>
              </w:rPr>
            </w:pPr>
            <w:r>
              <w:rPr>
                <w:rFonts w:hint="eastAsia" w:ascii="宋体" w:hAnsi="宋体" w:cs="宋体"/>
                <w:szCs w:val="21"/>
              </w:rPr>
              <w:t>2、针对本项目编制具体的货物运输；安装调试程序等，提供内容合理性、完善性进行评分，优秀得4分；良好得2分；一般得1分，不提供不得分。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24" w:type="pct"/>
            <w:vMerge w:val="continue"/>
            <w:tcBorders>
              <w:right w:val="single" w:color="auto" w:sz="4" w:space="0"/>
            </w:tcBorders>
            <w:vAlign w:val="center"/>
          </w:tcPr>
          <w:p>
            <w:pPr>
              <w:widowControl/>
              <w:rPr>
                <w:rFonts w:ascii="宋体" w:hAnsi="宋体" w:cs="宋体"/>
                <w:szCs w:val="21"/>
              </w:rPr>
            </w:pPr>
          </w:p>
        </w:tc>
        <w:tc>
          <w:tcPr>
            <w:tcW w:w="530" w:type="pct"/>
            <w:vMerge w:val="continue"/>
            <w:vAlign w:val="center"/>
          </w:tcPr>
          <w:p>
            <w:pPr>
              <w:widowControl/>
              <w:rPr>
                <w:rFonts w:ascii="宋体" w:hAnsi="宋体" w:cs="宋体"/>
                <w:szCs w:val="21"/>
              </w:rPr>
            </w:pPr>
          </w:p>
        </w:tc>
        <w:tc>
          <w:tcPr>
            <w:tcW w:w="514" w:type="pct"/>
            <w:vMerge w:val="continue"/>
            <w:vAlign w:val="center"/>
          </w:tcPr>
          <w:p>
            <w:pPr>
              <w:widowControl/>
              <w:rPr>
                <w:rFonts w:ascii="宋体" w:hAnsi="宋体" w:cs="宋体"/>
                <w:szCs w:val="21"/>
              </w:rPr>
            </w:pPr>
          </w:p>
        </w:tc>
        <w:tc>
          <w:tcPr>
            <w:tcW w:w="356" w:type="pct"/>
            <w:vMerge w:val="continue"/>
          </w:tcPr>
          <w:p>
            <w:pPr>
              <w:widowControl/>
              <w:rPr>
                <w:rFonts w:ascii="宋体" w:hAnsi="宋体" w:cs="宋体"/>
                <w:szCs w:val="21"/>
              </w:rPr>
            </w:pPr>
          </w:p>
        </w:tc>
        <w:tc>
          <w:tcPr>
            <w:tcW w:w="3274" w:type="pct"/>
            <w:vAlign w:val="center"/>
          </w:tcPr>
          <w:p>
            <w:pPr>
              <w:widowControl/>
              <w:rPr>
                <w:rFonts w:ascii="宋体" w:hAnsi="宋体" w:cs="宋体"/>
                <w:szCs w:val="21"/>
              </w:rPr>
            </w:pPr>
            <w:r>
              <w:rPr>
                <w:rFonts w:hint="eastAsia" w:ascii="宋体" w:hAnsi="宋体" w:cs="宋体"/>
                <w:szCs w:val="21"/>
              </w:rPr>
              <w:t>3、针对本项目编制具体的质量保证措施方案，提供内容合理性、完善性进行评分，优秀得4分；良好得2分；一般得1分，不提供不得分。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24" w:type="pct"/>
            <w:vMerge w:val="restart"/>
            <w:tcBorders>
              <w:right w:val="single" w:color="auto" w:sz="4" w:space="0"/>
            </w:tcBorders>
            <w:vAlign w:val="center"/>
          </w:tcPr>
          <w:p>
            <w:pPr>
              <w:widowControl/>
              <w:rPr>
                <w:rFonts w:ascii="宋体" w:hAnsi="宋体" w:cs="宋体"/>
                <w:szCs w:val="21"/>
              </w:rPr>
            </w:pPr>
            <w:r>
              <w:rPr>
                <w:rFonts w:hint="eastAsia" w:ascii="宋体" w:hAnsi="宋体" w:cs="宋体"/>
                <w:szCs w:val="21"/>
              </w:rPr>
              <w:t>4</w:t>
            </w:r>
          </w:p>
        </w:tc>
        <w:tc>
          <w:tcPr>
            <w:tcW w:w="530" w:type="pct"/>
            <w:vMerge w:val="restart"/>
            <w:vAlign w:val="center"/>
          </w:tcPr>
          <w:p>
            <w:pPr>
              <w:pStyle w:val="59"/>
              <w:ind w:firstLine="0" w:firstLineChars="0"/>
              <w:jc w:val="center"/>
              <w:rPr>
                <w:rFonts w:hAnsi="宋体" w:cs="宋体"/>
                <w:kern w:val="0"/>
                <w:sz w:val="21"/>
                <w:szCs w:val="21"/>
              </w:rPr>
            </w:pPr>
            <w:r>
              <w:rPr>
                <w:rFonts w:hint="eastAsia" w:hAnsi="宋体" w:cs="宋体"/>
                <w:kern w:val="0"/>
                <w:sz w:val="21"/>
                <w:szCs w:val="21"/>
              </w:rPr>
              <w:t>综合部分（9）</w:t>
            </w:r>
          </w:p>
        </w:tc>
        <w:tc>
          <w:tcPr>
            <w:tcW w:w="514" w:type="pct"/>
            <w:vMerge w:val="restart"/>
            <w:vAlign w:val="center"/>
          </w:tcPr>
          <w:p>
            <w:pPr>
              <w:widowControl/>
              <w:rPr>
                <w:rFonts w:ascii="宋体" w:hAnsi="宋体" w:cs="宋体"/>
                <w:szCs w:val="21"/>
              </w:rPr>
            </w:pPr>
            <w:r>
              <w:rPr>
                <w:rFonts w:hint="eastAsia" w:ascii="宋体" w:hAnsi="宋体" w:cs="宋体"/>
                <w:szCs w:val="21"/>
              </w:rPr>
              <w:t>售后服务</w:t>
            </w:r>
          </w:p>
        </w:tc>
        <w:tc>
          <w:tcPr>
            <w:tcW w:w="356" w:type="pct"/>
            <w:vMerge w:val="restart"/>
            <w:vAlign w:val="center"/>
          </w:tcPr>
          <w:p>
            <w:pPr>
              <w:widowControl/>
              <w:tabs>
                <w:tab w:val="left" w:pos="372"/>
              </w:tabs>
              <w:rPr>
                <w:rFonts w:ascii="宋体" w:hAnsi="宋体" w:cs="宋体"/>
                <w:szCs w:val="21"/>
              </w:rPr>
            </w:pPr>
            <w:r>
              <w:rPr>
                <w:rFonts w:hint="eastAsia" w:ascii="宋体" w:hAnsi="宋体" w:cs="宋体"/>
                <w:szCs w:val="21"/>
              </w:rPr>
              <w:t>9分</w:t>
            </w:r>
          </w:p>
        </w:tc>
        <w:tc>
          <w:tcPr>
            <w:tcW w:w="3274" w:type="pct"/>
            <w:vAlign w:val="center"/>
          </w:tcPr>
          <w:p>
            <w:pPr>
              <w:rPr>
                <w:rFonts w:ascii="宋体" w:hAnsi="宋体" w:cs="宋体"/>
                <w:szCs w:val="21"/>
              </w:rPr>
            </w:pPr>
            <w:r>
              <w:rPr>
                <w:rFonts w:hint="eastAsia" w:ascii="宋体" w:hAnsi="宋体" w:cs="宋体"/>
                <w:bCs/>
                <w:szCs w:val="21"/>
              </w:rPr>
              <w:t>1、售后服务内容 、含免费维修时间、解决质量或操作问题的响应时间、解决问题时间 ,提供内容合理性、完善性进行评分，优秀得5分；良好得3分；一般得1分，不提供不得分。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24" w:type="pct"/>
            <w:vMerge w:val="continue"/>
            <w:tcBorders>
              <w:right w:val="single" w:color="auto" w:sz="4" w:space="0"/>
            </w:tcBorders>
            <w:vAlign w:val="center"/>
          </w:tcPr>
          <w:p>
            <w:pPr>
              <w:widowControl/>
              <w:rPr>
                <w:rFonts w:ascii="宋体" w:hAnsi="宋体" w:cs="宋体"/>
                <w:szCs w:val="21"/>
              </w:rPr>
            </w:pPr>
          </w:p>
        </w:tc>
        <w:tc>
          <w:tcPr>
            <w:tcW w:w="530" w:type="pct"/>
            <w:vMerge w:val="continue"/>
            <w:vAlign w:val="center"/>
          </w:tcPr>
          <w:p>
            <w:pPr>
              <w:pStyle w:val="59"/>
              <w:ind w:firstLine="0" w:firstLineChars="0"/>
              <w:jc w:val="center"/>
              <w:rPr>
                <w:rFonts w:hAnsi="宋体" w:cs="宋体"/>
                <w:kern w:val="0"/>
                <w:sz w:val="21"/>
                <w:szCs w:val="21"/>
              </w:rPr>
            </w:pPr>
          </w:p>
        </w:tc>
        <w:tc>
          <w:tcPr>
            <w:tcW w:w="514" w:type="pct"/>
            <w:vMerge w:val="continue"/>
            <w:vAlign w:val="center"/>
          </w:tcPr>
          <w:p>
            <w:pPr>
              <w:widowControl/>
              <w:rPr>
                <w:rFonts w:ascii="宋体" w:hAnsi="宋体" w:cs="宋体"/>
                <w:szCs w:val="21"/>
              </w:rPr>
            </w:pPr>
          </w:p>
        </w:tc>
        <w:tc>
          <w:tcPr>
            <w:tcW w:w="356" w:type="pct"/>
            <w:vMerge w:val="continue"/>
            <w:vAlign w:val="center"/>
          </w:tcPr>
          <w:p>
            <w:pPr>
              <w:widowControl/>
              <w:rPr>
                <w:rFonts w:ascii="宋体" w:hAnsi="宋体" w:cs="宋体"/>
                <w:szCs w:val="21"/>
              </w:rPr>
            </w:pPr>
          </w:p>
        </w:tc>
        <w:tc>
          <w:tcPr>
            <w:tcW w:w="3274" w:type="pct"/>
            <w:vAlign w:val="center"/>
          </w:tcPr>
          <w:p>
            <w:pPr>
              <w:widowControl/>
              <w:rPr>
                <w:rFonts w:ascii="宋体" w:hAnsi="宋体" w:cs="宋体"/>
                <w:szCs w:val="21"/>
              </w:rPr>
            </w:pPr>
            <w:r>
              <w:rPr>
                <w:rFonts w:hint="eastAsia" w:ascii="宋体" w:hAnsi="宋体" w:cs="宋体"/>
                <w:bCs/>
                <w:szCs w:val="21"/>
              </w:rPr>
              <w:t xml:space="preserve">2、投标产品备品备件的准备和保障措施等，措施完整、可行性强，提供内容合理性、完善性进行评分，优秀得4分；良好得2分；一般得1分；不提供不得分。 </w:t>
            </w:r>
          </w:p>
        </w:tc>
      </w:tr>
    </w:tbl>
    <w:p>
      <w:pPr>
        <w:spacing w:line="560" w:lineRule="exact"/>
        <w:ind w:firstLine="420" w:firstLineChars="200"/>
        <w:rPr>
          <w:rFonts w:ascii="宋体" w:hAnsi="宋体" w:cs="宋体"/>
          <w:szCs w:val="21"/>
        </w:rPr>
      </w:pPr>
      <w:r>
        <w:rPr>
          <w:rFonts w:hint="eastAsia" w:ascii="宋体" w:hAnsi="宋体" w:cs="宋体"/>
          <w:szCs w:val="21"/>
        </w:rPr>
        <w:t>1、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spacing w:line="560" w:lineRule="exact"/>
        <w:ind w:firstLine="420" w:firstLineChars="200"/>
        <w:rPr>
          <w:rFonts w:ascii="宋体" w:hAnsi="宋体" w:cs="宋体"/>
          <w:szCs w:val="21"/>
        </w:rPr>
      </w:pPr>
      <w:r>
        <w:rPr>
          <w:rFonts w:hint="eastAsia" w:ascii="宋体" w:hAnsi="宋体" w:cs="宋体"/>
          <w:szCs w:val="21"/>
        </w:rPr>
        <w:t>2、综合评分法，是指投标文件满足招标文件全部实质性要求，且按照评审因素的量化指标评审得分最高的供应商为中标候选人的评标方法。</w:t>
      </w:r>
    </w:p>
    <w:p>
      <w:pPr>
        <w:spacing w:line="560" w:lineRule="exact"/>
        <w:ind w:firstLine="420" w:firstLineChars="200"/>
        <w:rPr>
          <w:rFonts w:ascii="宋体" w:hAnsi="宋体" w:cs="宋体"/>
          <w:szCs w:val="21"/>
        </w:rPr>
      </w:pPr>
      <w:r>
        <w:rPr>
          <w:rFonts w:hint="eastAsia" w:ascii="宋体" w:hAnsi="宋体" w:cs="宋体"/>
          <w:szCs w:val="21"/>
        </w:rPr>
        <w:t>本项目总分为</w:t>
      </w:r>
      <w:r>
        <w:rPr>
          <w:rFonts w:hint="eastAsia" w:ascii="宋体" w:hAnsi="宋体" w:cs="宋体"/>
          <w:szCs w:val="21"/>
          <w:u w:val="single"/>
        </w:rPr>
        <w:t>100</w:t>
      </w:r>
      <w:r>
        <w:rPr>
          <w:rFonts w:hint="eastAsia" w:ascii="宋体" w:hAnsi="宋体" w:cs="宋体"/>
          <w:szCs w:val="21"/>
        </w:rPr>
        <w:t>分。</w:t>
      </w:r>
    </w:p>
    <w:tbl>
      <w:tblPr>
        <w:tblStyle w:val="27"/>
        <w:tblpPr w:leftFromText="180" w:rightFromText="180" w:vertAnchor="text" w:tblpX="11104" w:tblpY="-14501"/>
        <w:tblOverlap w:val="never"/>
        <w:tblW w:w="7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96" w:type="pct"/>
          </w:tcPr>
          <w:p>
            <w:pPr>
              <w:numPr>
                <w:ilvl w:val="0"/>
                <w:numId w:val="8"/>
              </w:numPr>
              <w:tabs>
                <w:tab w:val="left" w:pos="170"/>
                <w:tab w:val="left" w:pos="303"/>
                <w:tab w:val="left" w:pos="420"/>
              </w:tabs>
              <w:adjustRightInd w:val="0"/>
              <w:snapToGrid w:val="0"/>
              <w:spacing w:line="560" w:lineRule="exact"/>
              <w:outlineLvl w:val="1"/>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numPr>
                <w:ilvl w:val="0"/>
                <w:numId w:val="8"/>
              </w:numPr>
              <w:tabs>
                <w:tab w:val="left" w:pos="170"/>
                <w:tab w:val="left" w:pos="303"/>
                <w:tab w:val="left" w:pos="420"/>
              </w:tabs>
              <w:adjustRightInd w:val="0"/>
              <w:snapToGrid w:val="0"/>
              <w:spacing w:line="560" w:lineRule="exact"/>
              <w:outlineLvl w:val="1"/>
              <w:rPr>
                <w:rFonts w:ascii="宋体" w:hAnsi="宋体" w:cs="宋体"/>
                <w:b/>
                <w:szCs w:val="21"/>
              </w:rPr>
            </w:pPr>
          </w:p>
        </w:tc>
      </w:tr>
    </w:tbl>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宋体"/>
          <w:b/>
          <w:szCs w:val="21"/>
        </w:rPr>
      </w:pPr>
      <w:r>
        <w:rPr>
          <w:rFonts w:hint="eastAsia" w:ascii="宋体" w:hAnsi="宋体" w:cs="宋体"/>
          <w:b/>
          <w:szCs w:val="21"/>
        </w:rPr>
        <w:t xml:space="preserve"> </w:t>
      </w:r>
      <w:bookmarkStart w:id="260" w:name="_Toc6843"/>
      <w:r>
        <w:rPr>
          <w:rFonts w:hint="eastAsia" w:ascii="宋体" w:hAnsi="宋体" w:cs="宋体"/>
          <w:b/>
          <w:szCs w:val="21"/>
        </w:rPr>
        <w:t>评标准则和评标方法</w:t>
      </w:r>
      <w:bookmarkEnd w:id="255"/>
      <w:bookmarkEnd w:id="256"/>
      <w:bookmarkEnd w:id="257"/>
      <w:bookmarkEnd w:id="258"/>
      <w:bookmarkEnd w:id="259"/>
      <w:bookmarkEnd w:id="260"/>
    </w:p>
    <w:p>
      <w:pPr>
        <w:adjustRightInd w:val="0"/>
        <w:snapToGrid w:val="0"/>
        <w:spacing w:line="560" w:lineRule="exact"/>
        <w:rPr>
          <w:rFonts w:ascii="宋体" w:hAnsi="宋体" w:cs="宋体"/>
          <w:szCs w:val="21"/>
        </w:rPr>
      </w:pPr>
      <w:r>
        <w:rPr>
          <w:rFonts w:hint="eastAsia" w:ascii="宋体" w:hAnsi="宋体" w:cs="宋体"/>
          <w:szCs w:val="21"/>
        </w:rPr>
        <w:t>1.1 评标过程将遵循“公平、公正、科学、择优”的原则进行。</w:t>
      </w:r>
    </w:p>
    <w:p>
      <w:pPr>
        <w:adjustRightInd w:val="0"/>
        <w:snapToGrid w:val="0"/>
        <w:spacing w:line="560" w:lineRule="exact"/>
        <w:rPr>
          <w:rFonts w:ascii="宋体" w:hAnsi="宋体" w:cs="宋体"/>
          <w:szCs w:val="21"/>
        </w:rPr>
      </w:pPr>
      <w:r>
        <w:rPr>
          <w:rFonts w:hint="eastAsia" w:ascii="宋体" w:hAnsi="宋体" w:cs="宋体"/>
          <w:szCs w:val="21"/>
        </w:rPr>
        <w:t>1.2 评标将严格按照招标文件的要求和条件进行。</w:t>
      </w:r>
    </w:p>
    <w:p>
      <w:pPr>
        <w:adjustRightInd w:val="0"/>
        <w:snapToGrid w:val="0"/>
        <w:spacing w:line="560" w:lineRule="exact"/>
        <w:rPr>
          <w:rFonts w:ascii="宋体" w:hAnsi="宋体" w:cs="宋体"/>
          <w:szCs w:val="21"/>
        </w:rPr>
      </w:pPr>
      <w:r>
        <w:rPr>
          <w:rFonts w:hint="eastAsia" w:ascii="宋体" w:hAnsi="宋体" w:cs="宋体"/>
          <w:szCs w:val="21"/>
        </w:rPr>
        <w:t>1.3 本次评标采用综合评分法。</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宋体"/>
          <w:b/>
          <w:szCs w:val="21"/>
        </w:rPr>
      </w:pPr>
      <w:bookmarkStart w:id="261" w:name="_Toc15449"/>
      <w:bookmarkStart w:id="262" w:name="_Toc465502580"/>
      <w:bookmarkStart w:id="263" w:name="_Toc454147539"/>
      <w:bookmarkStart w:id="264" w:name="_Toc7951"/>
      <w:bookmarkStart w:id="265" w:name="_Toc13195"/>
      <w:bookmarkStart w:id="266" w:name="_Toc466017208"/>
      <w:r>
        <w:rPr>
          <w:rFonts w:hint="eastAsia" w:ascii="宋体" w:hAnsi="宋体" w:cs="宋体"/>
          <w:b/>
          <w:szCs w:val="21"/>
        </w:rPr>
        <w:t>评审标准</w:t>
      </w:r>
      <w:bookmarkEnd w:id="261"/>
      <w:bookmarkEnd w:id="262"/>
      <w:bookmarkEnd w:id="263"/>
      <w:bookmarkEnd w:id="264"/>
      <w:bookmarkEnd w:id="265"/>
      <w:bookmarkEnd w:id="266"/>
    </w:p>
    <w:p>
      <w:pPr>
        <w:adjustRightInd w:val="0"/>
        <w:snapToGrid w:val="0"/>
        <w:spacing w:line="560" w:lineRule="exact"/>
        <w:rPr>
          <w:rFonts w:ascii="宋体" w:hAnsi="宋体" w:cs="宋体"/>
          <w:szCs w:val="21"/>
        </w:rPr>
      </w:pPr>
      <w:r>
        <w:rPr>
          <w:rFonts w:hint="eastAsia" w:ascii="宋体" w:hAnsi="宋体" w:cs="宋体"/>
          <w:szCs w:val="21"/>
        </w:rPr>
        <w:t>2.1 资格评审标准：详见《评分办法前附表》中资格评审标准。</w:t>
      </w:r>
    </w:p>
    <w:p>
      <w:pPr>
        <w:adjustRightInd w:val="0"/>
        <w:snapToGrid w:val="0"/>
        <w:spacing w:line="560" w:lineRule="exact"/>
        <w:rPr>
          <w:rFonts w:ascii="宋体" w:hAnsi="宋体" w:cs="宋体"/>
          <w:szCs w:val="21"/>
        </w:rPr>
      </w:pPr>
      <w:r>
        <w:rPr>
          <w:rFonts w:hint="eastAsia" w:ascii="宋体" w:hAnsi="宋体" w:cs="宋体"/>
          <w:szCs w:val="21"/>
        </w:rPr>
        <w:t>2.2 评分标准：详见《评分办法前附表》报价部分、技术部分、商务部分、综合部分评审因素。</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宋体"/>
          <w:b/>
          <w:szCs w:val="21"/>
        </w:rPr>
      </w:pPr>
      <w:bookmarkStart w:id="267" w:name="_Toc19609"/>
      <w:bookmarkStart w:id="268" w:name="_Toc11065"/>
      <w:r>
        <w:rPr>
          <w:rFonts w:hint="eastAsia" w:ascii="宋体" w:hAnsi="宋体" w:cs="宋体"/>
          <w:b/>
          <w:szCs w:val="21"/>
        </w:rPr>
        <w:t>评标程序</w:t>
      </w:r>
      <w:bookmarkEnd w:id="267"/>
      <w:bookmarkEnd w:id="268"/>
    </w:p>
    <w:p>
      <w:pPr>
        <w:adjustRightInd w:val="0"/>
        <w:snapToGrid w:val="0"/>
        <w:spacing w:line="560" w:lineRule="exact"/>
        <w:rPr>
          <w:rFonts w:ascii="宋体" w:hAnsi="宋体" w:cs="宋体"/>
          <w:b/>
          <w:bCs/>
          <w:szCs w:val="21"/>
        </w:rPr>
      </w:pPr>
      <w:r>
        <w:rPr>
          <w:rFonts w:hint="eastAsia" w:ascii="宋体" w:hAnsi="宋体" w:cs="宋体"/>
          <w:b/>
          <w:bCs/>
          <w:szCs w:val="21"/>
        </w:rPr>
        <w:t>3.1初步评审</w:t>
      </w:r>
    </w:p>
    <w:p>
      <w:pPr>
        <w:adjustRightInd w:val="0"/>
        <w:snapToGrid w:val="0"/>
        <w:spacing w:line="560" w:lineRule="exact"/>
        <w:rPr>
          <w:lang w:val="zh-CN"/>
        </w:rPr>
      </w:pPr>
      <w:r>
        <w:rPr>
          <w:rFonts w:hint="eastAsia" w:ascii="宋体" w:hAnsi="宋体" w:cs="宋体"/>
          <w:szCs w:val="21"/>
        </w:rPr>
        <w:t xml:space="preserve">3.11 </w:t>
      </w:r>
      <w:r>
        <w:rPr>
          <w:rFonts w:hint="eastAsia" w:ascii="宋体" w:hAnsi="宋体" w:cs="宋体"/>
          <w:szCs w:val="21"/>
          <w:lang w:val="zh-CN"/>
        </w:rPr>
        <w:t>采购人或代理机构可以要求供应商提交第二章“供应商须知”规定的有关证明。采购人或代理机构依据本章第2.1款规定的标准对投标文件进行资格评审。有一项不符合资格评审标准的，作</w:t>
      </w:r>
      <w:r>
        <w:rPr>
          <w:rFonts w:hint="eastAsia"/>
          <w:lang w:val="zh-CN"/>
        </w:rPr>
        <w:t>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未按照招标文件规定要求签署、盖章的；</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投标报价有算数错误的，评标委员会按以下原则对投标报价进行修正，修正的价格经供应商书面确认后具有约束力。供应商不接受修正价格的，其投标作无效投标处理。</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w:t>
      </w:r>
      <w:r>
        <w:rPr>
          <w:rFonts w:hint="eastAsia"/>
        </w:rPr>
        <w:t>的</w:t>
      </w:r>
      <w:r>
        <w:rPr>
          <w:rFonts w:hint="eastAsia"/>
          <w:lang w:val="zh-CN"/>
        </w:rPr>
        <w:t>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评标委员会发现供应商的投标总报价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在评标过程中，评标委员会可以书面形式要求供应商对所提交投标文件中不明确的内容进行书面澄清或说明，或者对细微偏差进行补正。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澄清、说明和补正不得改变投标文件的实质性内容（算术性错误修正的除外）。供应商的书面澄清、说明和补正属于投标文件的组成部分。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eastAsiaTheme="minorEastAsia"/>
        </w:rPr>
      </w:pPr>
      <w:r>
        <w:rPr>
          <w:rFonts w:hint="eastAsia"/>
        </w:rPr>
        <w:t xml:space="preserve">3.4.1 </w:t>
      </w:r>
      <w:r>
        <w:rPr>
          <w:rFonts w:hint="eastAsia"/>
          <w:lang w:val="zh-CN"/>
        </w:rPr>
        <w:t>供应商得分=投标报价得分+</w:t>
      </w:r>
      <w:r>
        <w:rPr>
          <w:rFonts w:hint="eastAsia"/>
        </w:rPr>
        <w:t>技术部分得分</w:t>
      </w:r>
      <w:r>
        <w:rPr>
          <w:rFonts w:hint="eastAsia"/>
          <w:lang w:val="zh-CN"/>
        </w:rPr>
        <w:t>+</w:t>
      </w:r>
      <w:r>
        <w:rPr>
          <w:rFonts w:hint="eastAsia"/>
        </w:rPr>
        <w:t>商务部分得分+</w:t>
      </w:r>
      <w:r>
        <w:rPr>
          <w:rFonts w:hint="eastAsia" w:ascii="宋体" w:hAnsi="宋体" w:cs="宋体"/>
          <w:szCs w:val="21"/>
        </w:rPr>
        <w:t>综合部分得分</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adjustRightInd w:val="0"/>
        <w:snapToGrid w:val="0"/>
        <w:spacing w:line="560" w:lineRule="exact"/>
        <w:rPr>
          <w:lang w:val="zh-CN"/>
        </w:rPr>
      </w:pPr>
      <w:r>
        <w:rPr>
          <w:rFonts w:hint="eastAsia"/>
        </w:rPr>
        <w:t>3.4.2</w:t>
      </w:r>
      <w:r>
        <w:rPr>
          <w:rFonts w:hint="eastAsia"/>
          <w:lang w:val="zh-CN"/>
        </w:rPr>
        <w:t>供应商最终得分为评标委员会完成评审后所有评分的算术平均值，作为该供应商最终得分。</w:t>
      </w:r>
    </w:p>
    <w:p>
      <w:pPr>
        <w:adjustRightInd w:val="0"/>
        <w:snapToGrid w:val="0"/>
        <w:spacing w:line="560" w:lineRule="exact"/>
        <w:rPr>
          <w:lang w:val="zh-CN"/>
        </w:rPr>
      </w:pPr>
      <w:r>
        <w:rPr>
          <w:rFonts w:hint="eastAsia"/>
        </w:rPr>
        <w:t xml:space="preserve">3.4.3 </w:t>
      </w:r>
      <w:r>
        <w:rPr>
          <w:rFonts w:hint="eastAsia"/>
          <w:lang w:val="zh-CN"/>
        </w:rPr>
        <w:t>供应商最终得分相同的，投标报价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69" w:name="_Toc17922"/>
      <w:bookmarkStart w:id="270" w:name="_Toc19590"/>
      <w:bookmarkStart w:id="271" w:name="_Toc28863"/>
      <w:bookmarkStart w:id="272" w:name="_Toc11630"/>
      <w:bookmarkStart w:id="273" w:name="_Toc16293"/>
      <w:bookmarkStart w:id="274" w:name="_Toc7468"/>
      <w:bookmarkStart w:id="275" w:name="_Toc54"/>
      <w:r>
        <w:rPr>
          <w:rFonts w:hint="eastAsia"/>
          <w:b/>
          <w:bCs/>
          <w:sz w:val="24"/>
        </w:rPr>
        <w:t>3.6 保密及其他注意事项</w:t>
      </w:r>
      <w:bookmarkEnd w:id="269"/>
      <w:bookmarkEnd w:id="270"/>
      <w:bookmarkEnd w:id="271"/>
      <w:bookmarkEnd w:id="272"/>
      <w:bookmarkEnd w:id="273"/>
      <w:bookmarkEnd w:id="274"/>
      <w:bookmarkEnd w:id="275"/>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2"/>
        <w:numPr>
          <w:ilvl w:val="0"/>
          <w:numId w:val="7"/>
        </w:numPr>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76" w:name="_Toc7325"/>
      <w:bookmarkStart w:id="277" w:name="_Toc27443"/>
      <w:r>
        <w:rPr>
          <w:rFonts w:hint="eastAsia" w:asciiTheme="minorEastAsia" w:hAnsiTheme="minorEastAsia" w:eastAsiaTheme="minorEastAsia" w:cstheme="minorEastAsia"/>
          <w:sz w:val="36"/>
          <w:szCs w:val="36"/>
        </w:rPr>
        <w:t>合同条款及格式</w:t>
      </w:r>
      <w:bookmarkEnd w:id="252"/>
      <w:bookmarkEnd w:id="253"/>
      <w:bookmarkEnd w:id="254"/>
      <w:bookmarkEnd w:id="276"/>
      <w:bookmarkEnd w:id="277"/>
    </w:p>
    <w:p>
      <w:r>
        <w:rPr>
          <w:rFonts w:hint="eastAsia"/>
        </w:rPr>
        <w:t xml:space="preserve">                             </w:t>
      </w:r>
      <w:r>
        <w:rPr>
          <w:rFonts w:hint="eastAsia"/>
          <w:sz w:val="28"/>
          <w:szCs w:val="28"/>
        </w:rPr>
        <w:t xml:space="preserve">    </w:t>
      </w:r>
      <w:r>
        <w:rPr>
          <w:rFonts w:hint="eastAsia"/>
          <w:b/>
          <w:bCs/>
          <w:sz w:val="28"/>
          <w:szCs w:val="28"/>
        </w:rPr>
        <w:t xml:space="preserve">  （仅供参考）</w:t>
      </w:r>
    </w:p>
    <w:p>
      <w:pPr>
        <w:adjustRightInd w:val="0"/>
        <w:spacing w:line="360" w:lineRule="auto"/>
        <w:ind w:firstLine="480" w:firstLineChars="200"/>
        <w:textAlignment w:val="baseline"/>
        <w:rPr>
          <w:rFonts w:ascii="宋体" w:hAnsi="宋体" w:cs="宋体"/>
          <w:sz w:val="24"/>
        </w:rPr>
      </w:pPr>
      <w:bookmarkStart w:id="278" w:name="_Toc12807"/>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甲、乙双方持采购人、采购代理公司签发的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乙方应于2023年 月 日前按甲方要求在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（甲方指定地点）将货物运送达到验收条件。货物运送产生的费用由乙方负责。由甲方组织相关人员进行验收。</w:t>
      </w:r>
    </w:p>
    <w:p>
      <w:pPr>
        <w:numPr>
          <w:ilvl w:val="0"/>
          <w:numId w:val="11"/>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r>
        <w:rPr>
          <w:rFonts w:hint="eastAsia" w:ascii="宋体" w:hAnsi="宋体" w:cs="宋体" w:eastAsiaTheme="minorEastAsia"/>
          <w:bCs/>
        </w:rPr>
        <w:t>合同签订供货安装完毕，经相关部门验收合格后，一次性付清。</w:t>
      </w:r>
      <w:r>
        <w:rPr>
          <w:rFonts w:hint="eastAsia" w:ascii="宋体" w:hAnsi="宋体" w:cs="宋体"/>
          <w:bCs/>
        </w:rPr>
        <w:t>。</w:t>
      </w:r>
    </w:p>
    <w:p>
      <w:pPr>
        <w:numPr>
          <w:ilvl w:val="0"/>
          <w:numId w:val="11"/>
        </w:numPr>
        <w:adjustRightInd w:val="0"/>
        <w:spacing w:line="360" w:lineRule="auto"/>
        <w:ind w:firstLine="48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重要提示：以上合同文本作为签订合同的重要依据，涉及付款方式、供应商名称等实质性内容不得变更。</w:t>
      </w: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rFonts w:asciiTheme="minorEastAsia" w:hAnsiTheme="minorEastAsia" w:eastAsiaTheme="minorEastAsia" w:cstheme="minorEastAsia"/>
          <w:b/>
          <w:bCs/>
          <w:sz w:val="21"/>
          <w:szCs w:val="21"/>
        </w:rPr>
      </w:pPr>
    </w:p>
    <w:p>
      <w:pPr>
        <w:pStyle w:val="11"/>
        <w:jc w:val="center"/>
        <w:rPr>
          <w:b/>
          <w:bCs/>
          <w:sz w:val="32"/>
          <w:szCs w:val="32"/>
        </w:rPr>
      </w:pPr>
    </w:p>
    <w:p>
      <w:pPr>
        <w:pStyle w:val="11"/>
        <w:numPr>
          <w:ilvl w:val="0"/>
          <w:numId w:val="7"/>
        </w:numPr>
        <w:jc w:val="center"/>
        <w:outlineLvl w:val="0"/>
        <w:rPr>
          <w:b/>
          <w:bCs/>
          <w:sz w:val="32"/>
          <w:szCs w:val="32"/>
        </w:rPr>
      </w:pPr>
      <w:r>
        <w:rPr>
          <w:rFonts w:hint="eastAsia"/>
          <w:b/>
          <w:bCs/>
          <w:sz w:val="32"/>
          <w:szCs w:val="32"/>
        </w:rPr>
        <w:t xml:space="preserve">  </w:t>
      </w:r>
      <w:bookmarkStart w:id="279" w:name="_Toc6692"/>
      <w:r>
        <w:rPr>
          <w:rFonts w:hint="eastAsia"/>
          <w:b/>
          <w:bCs/>
          <w:sz w:val="32"/>
          <w:szCs w:val="32"/>
        </w:rPr>
        <w:t>采购内容及技术要求</w:t>
      </w:r>
      <w:bookmarkEnd w:id="279"/>
    </w:p>
    <w:p>
      <w:pPr>
        <w:pStyle w:val="2"/>
        <w:outlineLvl w:val="1"/>
        <w:rPr>
          <w:rFonts w:ascii="宋体" w:hAnsi="宋体" w:cs="宋体"/>
          <w:color w:val="323232"/>
          <w:sz w:val="24"/>
        </w:rPr>
      </w:pPr>
      <w:r>
        <w:rPr>
          <w:rFonts w:hint="eastAsia" w:ascii="宋体" w:hAnsi="宋体" w:cs="宋体"/>
          <w:b/>
          <w:bCs/>
          <w:color w:val="323232"/>
          <w:sz w:val="24"/>
        </w:rPr>
        <w:t>一、产品技术参数及数量</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80"/>
        <w:gridCol w:w="1136"/>
        <w:gridCol w:w="5155"/>
        <w:gridCol w:w="79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一、多功能运动场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场地名称</w:t>
            </w:r>
          </w:p>
        </w:tc>
        <w:tc>
          <w:tcPr>
            <w:tcW w:w="11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多功能场地设施明细</w:t>
            </w:r>
          </w:p>
        </w:tc>
        <w:tc>
          <w:tcPr>
            <w:tcW w:w="51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80" w:type="dxa"/>
            <w:vMerge w:val="restart"/>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多功能运动场</w:t>
            </w:r>
          </w:p>
        </w:tc>
        <w:tc>
          <w:tcPr>
            <w:tcW w:w="1136" w:type="dxa"/>
            <w:vAlign w:val="center"/>
          </w:tcPr>
          <w:p>
            <w:pPr>
              <w:pStyle w:val="2"/>
              <w:spacing w:before="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框架式场地</w:t>
            </w:r>
            <w:r>
              <w:rPr>
                <w:rFonts w:hint="eastAsia" w:asciiTheme="minorEastAsia" w:hAnsiTheme="minorEastAsia" w:eastAsiaTheme="minorEastAsia" w:cstheme="minorEastAsia"/>
                <w:szCs w:val="21"/>
              </w:rPr>
              <w:t>围网系统</w:t>
            </w:r>
          </w:p>
          <w:p>
            <w:pPr>
              <w:pStyle w:val="2"/>
              <w:jc w:val="center"/>
              <w:rPr>
                <w:rFonts w:asciiTheme="minorEastAsia" w:hAnsiTheme="minorEastAsia" w:eastAsiaTheme="minorEastAsia" w:cstheme="minorEastAsia"/>
                <w:szCs w:val="21"/>
              </w:rPr>
            </w:pPr>
          </w:p>
        </w:tc>
        <w:tc>
          <w:tcPr>
            <w:tcW w:w="5155" w:type="dxa"/>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1.场地尺寸：</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长32米、宽19米。合理配置2个出入门。（使用方场地基础硬化尺寸：以实际场地尺寸为准）</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2.（a）框架：围网立柱采用</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（Ｑ２３５Ｂ材质）Ф76mm，管壁厚度为</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3mm的优质钢管，围网采用模块拼接式，单个网片规格为</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2810(长)mm x1942（高）mm，围网总高度</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4000mm，现场立柱预埋后安装网片，立柱选用</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42个独立地埋固定方式，围网框架采用（Ｑ２３５Ｂ材质）60mm x40mmx2.5凹型管拼焊，管壁厚度</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3mm的优质钢管，立柱间隔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3ｍ，所有管材表面须经过静电粉末喷塑,颜色为墨绿色．立柱埋入地下深度应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400mm，地基尺寸应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500mmｘ500mm。围网带有两个进出口，采用□40X60Xt2.5mm的方管。围网网片使用压框覆盖包塑网，防止刮伤。立柱与连接横管采用固态粉静电喷涂工艺，颜色为墨绿色，围网风载荷标准值应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０.３５ｋｎ/ｍ２；网丝:包塑网片丝浸塑处理后网片径</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Ф5mm,采用优质低碳镀锌钢丝，处理前丝径</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Ф3 mm，网孔50x50 mm，勾花网，网孔50±3mm,颜色为墨绿色。</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9" w:type="dxa"/>
            <w:vMerge w:val="continue"/>
            <w:vAlign w:val="center"/>
          </w:tcPr>
          <w:p>
            <w:pPr>
              <w:pStyle w:val="2"/>
              <w:jc w:val="center"/>
              <w:rPr>
                <w:rFonts w:asciiTheme="minorEastAsia" w:hAnsiTheme="minorEastAsia" w:eastAsiaTheme="minorEastAsia" w:cstheme="minorEastAsia"/>
                <w:szCs w:val="21"/>
              </w:rPr>
            </w:pPr>
          </w:p>
        </w:tc>
        <w:tc>
          <w:tcPr>
            <w:tcW w:w="680" w:type="dxa"/>
            <w:vMerge w:val="continue"/>
            <w:vAlign w:val="center"/>
          </w:tcPr>
          <w:p>
            <w:pPr>
              <w:pStyle w:val="2"/>
              <w:jc w:val="center"/>
              <w:rPr>
                <w:rFonts w:asciiTheme="minorEastAsia" w:hAnsiTheme="minorEastAsia" w:eastAsiaTheme="minorEastAsia" w:cstheme="minorEastAsia"/>
                <w:szCs w:val="21"/>
              </w:rPr>
            </w:pPr>
          </w:p>
        </w:tc>
        <w:tc>
          <w:tcPr>
            <w:tcW w:w="1136"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悬浮式拼装地板</w:t>
            </w:r>
          </w:p>
        </w:tc>
        <w:tc>
          <w:tcPr>
            <w:tcW w:w="5155" w:type="dxa"/>
          </w:tcPr>
          <w:p>
            <w:pPr>
              <w:numPr>
                <w:ilvl w:val="0"/>
                <w:numId w:val="12"/>
              </w:num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单块地板规格为30*40*1.58cm，顺向铺设.</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2、材料：悬浮式拼装地板需采用PP改性聚丙烯</w:t>
            </w:r>
            <w:r>
              <w:rPr>
                <w:rFonts w:hint="eastAsia" w:asciiTheme="minorEastAsia" w:hAnsiTheme="minorEastAsia" w:eastAsiaTheme="minorEastAsia" w:cstheme="minorEastAsia"/>
                <w:color w:val="FF0000"/>
                <w:szCs w:val="21"/>
                <w:highlight w:val="none"/>
              </w:rPr>
              <w:t>。</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3、结构：12小块软连接结构设计，弹性可伸缩。面层采用磨砂防滑纹理，支撑层由108个十字圆管柱构成，立体多重固化结构，保证上下支撑受力，侧面由4加3个锁扣组合构成</w:t>
            </w:r>
            <w:r>
              <w:rPr>
                <w:rFonts w:hint="eastAsia" w:asciiTheme="minorEastAsia" w:hAnsiTheme="minorEastAsia" w:eastAsiaTheme="minorEastAsia" w:cstheme="minorEastAsia"/>
                <w:color w:val="FF0000"/>
                <w:szCs w:val="21"/>
                <w:highlight w:val="none"/>
              </w:rPr>
              <w:t>。</w:t>
            </w:r>
          </w:p>
          <w:p>
            <w:pPr>
              <w:pStyle w:val="51"/>
              <w:ind w:left="0"/>
              <w:rPr>
                <w:rFonts w:hint="default" w:asciiTheme="minorEastAsia" w:hAnsiTheme="minorEastAsia" w:eastAsiaTheme="minorEastAsia" w:cstheme="minorEastAsia"/>
                <w:sz w:val="21"/>
                <w:szCs w:val="21"/>
                <w:highlight w:val="none"/>
                <w:lang w:eastAsia="zh-CN"/>
              </w:rPr>
            </w:pPr>
            <w:r>
              <w:rPr>
                <w:rFonts w:asciiTheme="minorEastAsia" w:hAnsiTheme="minorEastAsia" w:eastAsiaTheme="minorEastAsia" w:cstheme="minorEastAsia"/>
                <w:sz w:val="21"/>
                <w:szCs w:val="21"/>
                <w:highlight w:val="none"/>
                <w:lang w:eastAsia="zh-CN"/>
              </w:rPr>
              <w:t>4、产品规格：30cm×40cm，厚度</w:t>
            </w:r>
            <w:r>
              <w:rPr>
                <w:rFonts w:ascii="宋体" w:hAnsi="宋体" w:cs="宋体"/>
                <w:sz w:val="21"/>
                <w:szCs w:val="21"/>
                <w:highlight w:val="none"/>
                <w:lang w:eastAsia="zh-CN"/>
              </w:rPr>
              <w:t>≥</w:t>
            </w:r>
            <w:r>
              <w:rPr>
                <w:rFonts w:asciiTheme="minorEastAsia" w:hAnsiTheme="minorEastAsia" w:eastAsiaTheme="minorEastAsia" w:cstheme="minorEastAsia"/>
                <w:sz w:val="21"/>
                <w:szCs w:val="21"/>
                <w:highlight w:val="none"/>
                <w:lang w:eastAsia="zh-CN"/>
              </w:rPr>
              <w:t>1.58cm</w:t>
            </w:r>
          </w:p>
          <w:p>
            <w:pPr>
              <w:pStyle w:val="51"/>
              <w:ind w:left="0"/>
              <w:rPr>
                <w:rFonts w:hint="default" w:asciiTheme="minorEastAsia" w:hAnsiTheme="minorEastAsia" w:eastAsiaTheme="minorEastAsia" w:cstheme="minorEastAsia"/>
                <w:sz w:val="21"/>
                <w:szCs w:val="21"/>
                <w:highlight w:val="none"/>
                <w:lang w:eastAsia="zh-CN"/>
              </w:rPr>
            </w:pPr>
            <w:r>
              <w:rPr>
                <w:rFonts w:asciiTheme="minorEastAsia" w:hAnsiTheme="minorEastAsia" w:eastAsiaTheme="minorEastAsia" w:cstheme="minorEastAsia"/>
                <w:sz w:val="21"/>
                <w:szCs w:val="21"/>
                <w:highlight w:val="none"/>
                <w:lang w:eastAsia="zh-CN"/>
              </w:rPr>
              <w:t>5、未</w:t>
            </w:r>
            <w:r>
              <w:rPr>
                <w:rFonts w:hint="eastAsia" w:asciiTheme="minorEastAsia" w:hAnsiTheme="minorEastAsia" w:eastAsiaTheme="minorEastAsia" w:cstheme="minorEastAsia"/>
                <w:sz w:val="21"/>
                <w:szCs w:val="21"/>
                <w:highlight w:val="none"/>
                <w:lang w:val="en-US" w:eastAsia="zh-CN"/>
              </w:rPr>
              <w:t>检出</w:t>
            </w:r>
            <w:r>
              <w:rPr>
                <w:rFonts w:asciiTheme="minorEastAsia" w:hAnsiTheme="minorEastAsia" w:eastAsiaTheme="minorEastAsia" w:cstheme="minorEastAsia"/>
                <w:sz w:val="21"/>
                <w:szCs w:val="21"/>
                <w:highlight w:val="none"/>
                <w:lang w:eastAsia="zh-CN"/>
              </w:rPr>
              <w:t>短链氯化石蜡、中链氯化石蜡、长链氯化石蜡有害物质</w:t>
            </w:r>
            <w:r>
              <w:rPr>
                <w:rFonts w:hint="eastAsia" w:asciiTheme="minorEastAsia" w:hAnsiTheme="minorEastAsia" w:eastAsiaTheme="minorEastAsia" w:cstheme="minorEastAsia"/>
                <w:sz w:val="21"/>
                <w:szCs w:val="21"/>
                <w:highlight w:val="none"/>
                <w:lang w:eastAsia="zh-CN"/>
              </w:rPr>
              <w:t>。</w:t>
            </w:r>
          </w:p>
          <w:p>
            <w:pPr>
              <w:pStyle w:val="51"/>
              <w:ind w:left="0"/>
              <w:rPr>
                <w:rFonts w:hint="default" w:asciiTheme="minorEastAsia" w:hAnsiTheme="minorEastAsia" w:eastAsiaTheme="minorEastAsia" w:cstheme="minorEastAsia"/>
                <w:sz w:val="21"/>
                <w:szCs w:val="21"/>
                <w:highlight w:val="none"/>
                <w:lang w:eastAsia="zh-CN"/>
              </w:rPr>
            </w:pPr>
            <w:r>
              <w:rPr>
                <w:rFonts w:asciiTheme="minorEastAsia" w:hAnsiTheme="minorEastAsia" w:eastAsiaTheme="minorEastAsia" w:cstheme="minorEastAsia"/>
                <w:sz w:val="21"/>
                <w:szCs w:val="21"/>
                <w:highlight w:val="none"/>
                <w:lang w:eastAsia="zh-CN"/>
              </w:rPr>
              <w:t>6、臭氧老化不低于8</w:t>
            </w:r>
            <w:r>
              <w:rPr>
                <w:rFonts w:hint="default" w:asciiTheme="minorEastAsia" w:hAnsiTheme="minorEastAsia" w:eastAsiaTheme="minorEastAsia" w:cstheme="minorEastAsia"/>
                <w:sz w:val="21"/>
                <w:szCs w:val="21"/>
                <w:highlight w:val="none"/>
                <w:lang w:eastAsia="zh-CN"/>
              </w:rPr>
              <w:t>5</w:t>
            </w:r>
            <w:r>
              <w:rPr>
                <w:rFonts w:asciiTheme="minorEastAsia" w:hAnsiTheme="minorEastAsia" w:eastAsiaTheme="minorEastAsia" w:cstheme="minorEastAsia"/>
                <w:sz w:val="21"/>
                <w:szCs w:val="21"/>
                <w:highlight w:val="none"/>
                <w:lang w:eastAsia="zh-CN"/>
              </w:rPr>
              <w:t>00h，邵氏硬度依据GB/T531.1-2008检测标准：≥70Shore A</w:t>
            </w:r>
            <w:r>
              <w:rPr>
                <w:rFonts w:hint="eastAsia" w:asciiTheme="minorEastAsia" w:hAnsiTheme="minorEastAsia" w:eastAsiaTheme="minorEastAsia" w:cstheme="minorEastAsia"/>
                <w:sz w:val="21"/>
                <w:szCs w:val="21"/>
                <w:highlight w:val="none"/>
                <w:lang w:eastAsia="zh-CN"/>
              </w:rPr>
              <w:t>。</w:t>
            </w:r>
          </w:p>
          <w:p>
            <w:pPr>
              <w:pStyle w:val="51"/>
              <w:ind w:left="0"/>
              <w:rPr>
                <w:rFonts w:asciiTheme="minorEastAsia" w:hAnsiTheme="minorEastAsia" w:eastAsiaTheme="minorEastAsia" w:cstheme="minorEastAsia"/>
                <w:sz w:val="21"/>
                <w:szCs w:val="21"/>
                <w:highlight w:val="none"/>
                <w:lang w:eastAsia="zh-CN"/>
              </w:rPr>
            </w:pPr>
            <w:r>
              <w:rPr>
                <w:rFonts w:asciiTheme="minorEastAsia" w:hAnsiTheme="minorEastAsia" w:eastAsiaTheme="minorEastAsia" w:cstheme="minorEastAsia"/>
                <w:sz w:val="21"/>
                <w:szCs w:val="21"/>
                <w:highlight w:val="none"/>
                <w:lang w:eastAsia="zh-CN"/>
              </w:rPr>
              <w:t>7、为保证产品的耐盐腐蚀性（如雨水，汗水等），中性盐雾试验不低于6500h</w:t>
            </w:r>
            <w:r>
              <w:rPr>
                <w:rFonts w:hint="eastAsia" w:asciiTheme="minorEastAsia" w:hAnsiTheme="minorEastAsia" w:eastAsiaTheme="minorEastAsia" w:cstheme="minorEastAsia"/>
                <w:sz w:val="21"/>
                <w:szCs w:val="21"/>
                <w:highlight w:val="none"/>
                <w:lang w:eastAsia="zh-CN"/>
              </w:rPr>
              <w:t>，</w:t>
            </w:r>
            <w:r>
              <w:rPr>
                <w:rFonts w:asciiTheme="minorEastAsia" w:hAnsiTheme="minorEastAsia" w:eastAsiaTheme="minorEastAsia" w:cstheme="minorEastAsia"/>
                <w:sz w:val="21"/>
                <w:szCs w:val="21"/>
                <w:highlight w:val="none"/>
                <w:lang w:eastAsia="zh-CN"/>
              </w:rPr>
              <w:t>拉伸强度依据GB/T1040.2-2006标准≥5.0MPa；断裂伸长率≥60%</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2"/>
              <w:jc w:val="center"/>
              <w:rPr>
                <w:rFonts w:asciiTheme="minorEastAsia" w:hAnsiTheme="minorEastAsia" w:eastAsiaTheme="minorEastAsia" w:cstheme="minorEastAsia"/>
                <w:szCs w:val="21"/>
              </w:rPr>
            </w:pPr>
          </w:p>
        </w:tc>
        <w:tc>
          <w:tcPr>
            <w:tcW w:w="680" w:type="dxa"/>
            <w:vMerge w:val="continue"/>
            <w:vAlign w:val="center"/>
          </w:tcPr>
          <w:p>
            <w:pPr>
              <w:pStyle w:val="2"/>
              <w:jc w:val="center"/>
              <w:rPr>
                <w:rFonts w:asciiTheme="minorEastAsia" w:hAnsiTheme="minorEastAsia" w:eastAsiaTheme="minorEastAsia" w:cstheme="minorEastAsia"/>
                <w:szCs w:val="21"/>
              </w:rPr>
            </w:pPr>
          </w:p>
        </w:tc>
        <w:tc>
          <w:tcPr>
            <w:tcW w:w="1136"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照明系统</w:t>
            </w:r>
          </w:p>
        </w:tc>
        <w:tc>
          <w:tcPr>
            <w:tcW w:w="515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（一）6米灯杆：6根，光源：200WLED太阳能灯6盏；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（二）灯具参数：1.外壳材质：高纯度压铸铝+5MM钢化玻璃面盖；2.功率因数≥9.8；3.色温≥6500K（正白光）；4.光通量：35000-37000LM；5.使用寿命≥20000H；6.灯具防护等级为IP6。</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2"/>
              <w:jc w:val="center"/>
              <w:rPr>
                <w:rFonts w:asciiTheme="minorEastAsia" w:hAnsiTheme="minorEastAsia" w:eastAsiaTheme="minorEastAsia" w:cstheme="minorEastAsia"/>
                <w:szCs w:val="21"/>
              </w:rPr>
            </w:pPr>
          </w:p>
        </w:tc>
        <w:tc>
          <w:tcPr>
            <w:tcW w:w="680" w:type="dxa"/>
            <w:vMerge w:val="continue"/>
            <w:vAlign w:val="center"/>
          </w:tcPr>
          <w:p>
            <w:pPr>
              <w:pStyle w:val="2"/>
              <w:jc w:val="center"/>
              <w:rPr>
                <w:rFonts w:asciiTheme="minorEastAsia" w:hAnsiTheme="minorEastAsia" w:eastAsiaTheme="minorEastAsia" w:cstheme="minorEastAsia"/>
                <w:szCs w:val="21"/>
              </w:rPr>
            </w:pPr>
          </w:p>
        </w:tc>
        <w:tc>
          <w:tcPr>
            <w:tcW w:w="11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围网门</w:t>
            </w:r>
          </w:p>
        </w:tc>
        <w:tc>
          <w:tcPr>
            <w:tcW w:w="5155"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2.2米高*1.5米宽</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2"/>
              <w:jc w:val="center"/>
              <w:rPr>
                <w:rFonts w:asciiTheme="minorEastAsia" w:hAnsiTheme="minorEastAsia" w:eastAsiaTheme="minorEastAsia" w:cstheme="minorEastAsia"/>
                <w:szCs w:val="21"/>
              </w:rPr>
            </w:pPr>
          </w:p>
        </w:tc>
        <w:tc>
          <w:tcPr>
            <w:tcW w:w="680" w:type="dxa"/>
            <w:vMerge w:val="continue"/>
            <w:vAlign w:val="center"/>
          </w:tcPr>
          <w:p>
            <w:pPr>
              <w:pStyle w:val="2"/>
              <w:jc w:val="center"/>
              <w:rPr>
                <w:rFonts w:asciiTheme="minorEastAsia" w:hAnsiTheme="minorEastAsia" w:eastAsiaTheme="minorEastAsia" w:cstheme="minorEastAsia"/>
                <w:szCs w:val="21"/>
              </w:rPr>
            </w:pPr>
          </w:p>
        </w:tc>
        <w:tc>
          <w:tcPr>
            <w:tcW w:w="1136"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篮球架-足球门组合</w:t>
            </w:r>
          </w:p>
        </w:tc>
        <w:tc>
          <w:tcPr>
            <w:tcW w:w="515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主要材料：钢管主要承载立柱尺寸：Φ89mm×3.0mm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主要承载横梁尺寸：Φ89mm×3.0mm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表面处理工艺：脱脂-电动抛丸-静电喷塑</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安装方式：直埋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探臂部件由探管150mm×150mm×3.0mm、连接板、挡片等零件组焊。后横杠部件由钢管Φ76mm×3.0mm、挡片等组焊上下拉杆部件由拉杆管Φ42mm×3.0mm、自制螺母组焊篮板使用SMC材料，规格为1800×1050×50mm（翻边），整体高温模压一次成型。篮圈内径450mm,篮圈圈条直径18mm,篮圈下沿有12个均分的系篮网装置，无尖角、毛刺，篮网均匀的悬挂在网钩上。足球门立柱部件由立柱管Φ89mm×3.0mm、横梁接头Φ89mm×3.0mm、上顶管Φ76mm×3.0mm、下顶管Φ60mm×3.0mm组焊。足球门横梁部件由槽板、探臂支撑管Φ89mm×3.0mm、支管Φ60mm×3.0mm、横梁管Φ89mm×3.0mm等组焊后压杆管规格Φ60mm×3.0mm器材各支撑人体的表面所有棱边和尖角半径3.0mm，使用者或第三者易接触的零部件的其他所有棱边进行圆滑过渡。</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副</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9" w:type="dxa"/>
            <w:vMerge w:val="continue"/>
            <w:vAlign w:val="center"/>
          </w:tcPr>
          <w:p>
            <w:pPr>
              <w:pStyle w:val="2"/>
              <w:jc w:val="center"/>
              <w:rPr>
                <w:rFonts w:asciiTheme="minorEastAsia" w:hAnsiTheme="minorEastAsia" w:eastAsiaTheme="minorEastAsia" w:cstheme="minorEastAsia"/>
                <w:szCs w:val="21"/>
              </w:rPr>
            </w:pPr>
          </w:p>
        </w:tc>
        <w:tc>
          <w:tcPr>
            <w:tcW w:w="680" w:type="dxa"/>
            <w:vMerge w:val="continue"/>
            <w:vAlign w:val="center"/>
          </w:tcPr>
          <w:p>
            <w:pPr>
              <w:pStyle w:val="2"/>
              <w:jc w:val="center"/>
              <w:rPr>
                <w:rFonts w:asciiTheme="minorEastAsia" w:hAnsiTheme="minorEastAsia" w:eastAsiaTheme="minorEastAsia" w:cstheme="minorEastAsia"/>
                <w:szCs w:val="21"/>
              </w:rPr>
            </w:pPr>
          </w:p>
        </w:tc>
        <w:tc>
          <w:tcPr>
            <w:tcW w:w="1136"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参考图片</w:t>
            </w:r>
          </w:p>
        </w:tc>
        <w:tc>
          <w:tcPr>
            <w:tcW w:w="5155" w:type="dxa"/>
          </w:tcPr>
          <w:p>
            <w:pPr>
              <w:pStyle w:val="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166495" cy="834390"/>
                  <wp:effectExtent l="0" t="0" r="14605"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1166495" cy="834390"/>
                          </a:xfrm>
                          <a:prstGeom prst="rect">
                            <a:avLst/>
                          </a:prstGeom>
                          <a:noFill/>
                          <a:ln>
                            <a:noFill/>
                          </a:ln>
                        </pic:spPr>
                      </pic:pic>
                    </a:graphicData>
                  </a:graphic>
                </wp:inline>
              </w:drawing>
            </w:r>
          </w:p>
        </w:tc>
        <w:tc>
          <w:tcPr>
            <w:tcW w:w="793" w:type="dxa"/>
            <w:vAlign w:val="center"/>
          </w:tcPr>
          <w:p>
            <w:pPr>
              <w:pStyle w:val="2"/>
              <w:jc w:val="center"/>
              <w:rPr>
                <w:rFonts w:asciiTheme="minorEastAsia" w:hAnsiTheme="minorEastAsia" w:eastAsiaTheme="minorEastAsia" w:cstheme="minorEastAsia"/>
                <w:szCs w:val="21"/>
              </w:rPr>
            </w:pPr>
          </w:p>
        </w:tc>
        <w:tc>
          <w:tcPr>
            <w:tcW w:w="797" w:type="dxa"/>
            <w:vAlign w:val="center"/>
          </w:tcPr>
          <w:p>
            <w:pPr>
              <w:pStyle w:val="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二、塑胶场地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6291" w:type="dxa"/>
            <w:gridSpan w:val="2"/>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jc w:val="center"/>
              <w:rPr>
                <w:rFonts w:asciiTheme="minorEastAsia" w:hAnsiTheme="minorEastAsia" w:eastAsiaTheme="minorEastAsia" w:cstheme="minorEastAsia"/>
                <w:szCs w:val="21"/>
              </w:rPr>
            </w:pP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硅PU面层材料</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1、硅PU材料符合GB36246-2018《中小学合成材料面层运动场地》标准非固体原料中有害物质限量要求</w:t>
            </w:r>
          </w:p>
          <w:tbl>
            <w:tblPr>
              <w:tblStyle w:val="26"/>
              <w:tblW w:w="0" w:type="auto"/>
              <w:jc w:val="center"/>
              <w:tblLayout w:type="fixed"/>
              <w:tblCellMar>
                <w:top w:w="0" w:type="dxa"/>
                <w:left w:w="108" w:type="dxa"/>
                <w:bottom w:w="0" w:type="dxa"/>
                <w:right w:w="108" w:type="dxa"/>
              </w:tblCellMar>
            </w:tblPr>
            <w:tblGrid>
              <w:gridCol w:w="560"/>
              <w:gridCol w:w="4475"/>
              <w:gridCol w:w="924"/>
            </w:tblGrid>
            <w:tr>
              <w:tblPrEx>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检测项目 </w:t>
                  </w:r>
                </w:p>
              </w:tc>
              <w:tc>
                <w:tcPr>
                  <w:tcW w:w="92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标准指标</w:t>
                  </w:r>
                </w:p>
              </w:tc>
            </w:tr>
            <w:tr>
              <w:tblPrEx>
                <w:tblCellMar>
                  <w:top w:w="0" w:type="dxa"/>
                  <w:left w:w="108" w:type="dxa"/>
                  <w:bottom w:w="0" w:type="dxa"/>
                  <w:right w:w="108" w:type="dxa"/>
                </w:tblCellMar>
              </w:tblPrEx>
              <w:trPr>
                <w:trHeight w:val="707"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3种邻苯二甲酸酯类</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（DBP、BBP、DEHP）总和/（g/kg）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672"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3种邻苯二甲酸酯类</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（DNOP、DINP、DIDP）总和/（g/kg）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短链氯化石蜡（C</w:t>
                  </w:r>
                  <w:r>
                    <w:rPr>
                      <w:rFonts w:hint="eastAsia" w:asciiTheme="minorEastAsia" w:hAnsiTheme="minorEastAsia" w:eastAsiaTheme="minorEastAsia" w:cstheme="minorEastAsia"/>
                      <w:szCs w:val="21"/>
                      <w:vertAlign w:val="subscript"/>
                    </w:rPr>
                    <w:t>10</w:t>
                  </w:r>
                  <w:r>
                    <w:rPr>
                      <w:rFonts w:hint="eastAsia" w:asciiTheme="minorEastAsia" w:hAnsiTheme="minorEastAsia" w:eastAsiaTheme="minorEastAsia" w:cstheme="minorEastAsia"/>
                      <w:szCs w:val="21"/>
                    </w:rPr>
                    <w:t>-C</w:t>
                  </w:r>
                  <w:r>
                    <w:rPr>
                      <w:rFonts w:hint="eastAsia" w:asciiTheme="minorEastAsia" w:hAnsiTheme="minorEastAsia" w:eastAsiaTheme="minorEastAsia" w:cstheme="minorEastAsia"/>
                      <w:szCs w:val="21"/>
                      <w:vertAlign w:val="subscript"/>
                    </w:rPr>
                    <w:t>13</w:t>
                  </w:r>
                  <w:r>
                    <w:rPr>
                      <w:rFonts w:hint="eastAsia" w:asciiTheme="minorEastAsia" w:hAnsiTheme="minorEastAsia" w:eastAsiaTheme="minorEastAsia" w:cstheme="minorEastAsia"/>
                      <w:szCs w:val="21"/>
                    </w:rPr>
                    <w:t>）/（g/kg）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r>
            <w:tr>
              <w:tblPrEx>
                <w:tblCellMar>
                  <w:top w:w="0" w:type="dxa"/>
                  <w:left w:w="108" w:type="dxa"/>
                  <w:bottom w:w="0" w:type="dxa"/>
                  <w:right w:w="108" w:type="dxa"/>
                </w:tblCellMar>
              </w:tblPrEx>
              <w:trPr>
                <w:trHeight w:val="93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游离甲苯二异氰酸酯（TDI）和游离六亚甲基二异氰酸酯（HDI）总和/（g/kg）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43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挥发性有机化合物/（g/L）</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r>
            <w:tr>
              <w:tblPrEx>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游离甲醛/（g/kg）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≤0.50</w:t>
                  </w:r>
                </w:p>
              </w:tc>
            </w:tr>
            <w:tr>
              <w:tblPrEx>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苯/（g/kg）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CellMar>
                  <w:top w:w="0" w:type="dxa"/>
                  <w:left w:w="108" w:type="dxa"/>
                  <w:bottom w:w="0" w:type="dxa"/>
                  <w:right w:w="108" w:type="dxa"/>
                </w:tblCellMar>
              </w:tblPrEx>
              <w:trPr>
                <w:trHeight w:val="63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甲苯、二甲苯和乙苯总和/（g/kg） </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43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可溶性铅 /(mg/kg)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r>
            <w:tr>
              <w:tblPrEx>
                <w:tblCellMar>
                  <w:top w:w="0" w:type="dxa"/>
                  <w:left w:w="108" w:type="dxa"/>
                  <w:bottom w:w="0" w:type="dxa"/>
                  <w:right w:w="108" w:type="dxa"/>
                </w:tblCellMar>
              </w:tblPrEx>
              <w:trPr>
                <w:trHeight w:val="43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可溶性镉 /(mg/kg)</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43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可溶性铬 /(mg/kg) </w:t>
                  </w:r>
                </w:p>
              </w:tc>
              <w:tc>
                <w:tcPr>
                  <w:tcW w:w="92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52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4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可溶性汞 /(mg/kg) </w:t>
                  </w:r>
                </w:p>
              </w:tc>
              <w:tc>
                <w:tcPr>
                  <w:tcW w:w="92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2、硅PU成品符合GB36246-2018《中小学合成材料面层运动场地》标准面层成品中有害物质限量、气味及无机填料含量要求</w:t>
            </w:r>
          </w:p>
          <w:tbl>
            <w:tblPr>
              <w:tblStyle w:val="26"/>
              <w:tblW w:w="0" w:type="auto"/>
              <w:jc w:val="center"/>
              <w:tblLayout w:type="fixed"/>
              <w:tblCellMar>
                <w:top w:w="0" w:type="dxa"/>
                <w:left w:w="108" w:type="dxa"/>
                <w:bottom w:w="0" w:type="dxa"/>
                <w:right w:w="108" w:type="dxa"/>
              </w:tblCellMar>
            </w:tblPr>
            <w:tblGrid>
              <w:gridCol w:w="828"/>
              <w:gridCol w:w="501"/>
              <w:gridCol w:w="3441"/>
              <w:gridCol w:w="1590"/>
            </w:tblGrid>
            <w:tr>
              <w:tblPrEx>
                <w:tblCellMar>
                  <w:top w:w="0" w:type="dxa"/>
                  <w:left w:w="108" w:type="dxa"/>
                  <w:bottom w:w="0" w:type="dxa"/>
                  <w:right w:w="108" w:type="dxa"/>
                </w:tblCellMar>
              </w:tblPrEx>
              <w:trPr>
                <w:trHeight w:val="491" w:hRule="atLeast"/>
                <w:jc w:val="center"/>
              </w:trPr>
              <w:tc>
                <w:tcPr>
                  <w:tcW w:w="477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检测项目 </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标准指标</w:t>
                  </w:r>
                </w:p>
              </w:tc>
            </w:tr>
            <w:tr>
              <w:tblPrEx>
                <w:tblCellMar>
                  <w:top w:w="0" w:type="dxa"/>
                  <w:left w:w="108" w:type="dxa"/>
                  <w:bottom w:w="0" w:type="dxa"/>
                  <w:right w:w="108" w:type="dxa"/>
                </w:tblCellMar>
              </w:tblPrEx>
              <w:trPr>
                <w:trHeight w:val="660" w:hRule="atLeast"/>
                <w:jc w:val="center"/>
              </w:trPr>
              <w:tc>
                <w:tcPr>
                  <w:tcW w:w="828"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有害物质含量 </w:t>
                  </w: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50"/>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pacing w:val="-54"/>
                      <w:szCs w:val="21"/>
                    </w:rPr>
                    <w:t xml:space="preserve"> </w:t>
                  </w:r>
                  <w:r>
                    <w:rPr>
                      <w:rFonts w:hint="eastAsia" w:asciiTheme="minorEastAsia" w:hAnsiTheme="minorEastAsia" w:eastAsiaTheme="minorEastAsia" w:cstheme="minorEastAsia"/>
                      <w:szCs w:val="21"/>
                    </w:rPr>
                    <w:t>种</w:t>
                  </w:r>
                  <w:r>
                    <w:rPr>
                      <w:rFonts w:hint="eastAsia" w:asciiTheme="minorEastAsia" w:hAnsiTheme="minorEastAsia" w:eastAsiaTheme="minorEastAsia" w:cstheme="minorEastAsia"/>
                      <w:spacing w:val="-2"/>
                      <w:szCs w:val="21"/>
                    </w:rPr>
                    <w:t>邻</w:t>
                  </w:r>
                  <w:r>
                    <w:rPr>
                      <w:rFonts w:hint="eastAsia" w:asciiTheme="minorEastAsia" w:hAnsiTheme="minorEastAsia" w:eastAsiaTheme="minorEastAsia" w:cstheme="minorEastAsia"/>
                      <w:szCs w:val="21"/>
                    </w:rPr>
                    <w:t>苯</w:t>
                  </w:r>
                  <w:r>
                    <w:rPr>
                      <w:rFonts w:hint="eastAsia" w:asciiTheme="minorEastAsia" w:hAnsiTheme="minorEastAsia" w:eastAsiaTheme="minorEastAsia" w:cstheme="minorEastAsia"/>
                      <w:spacing w:val="-2"/>
                      <w:szCs w:val="21"/>
                    </w:rPr>
                    <w:t>二</w:t>
                  </w:r>
                  <w:r>
                    <w:rPr>
                      <w:rFonts w:hint="eastAsia" w:asciiTheme="minorEastAsia" w:hAnsiTheme="minorEastAsia" w:eastAsiaTheme="minorEastAsia" w:cstheme="minorEastAsia"/>
                      <w:szCs w:val="21"/>
                    </w:rPr>
                    <w:t>甲</w:t>
                  </w:r>
                  <w:r>
                    <w:rPr>
                      <w:rFonts w:hint="eastAsia" w:asciiTheme="minorEastAsia" w:hAnsiTheme="minorEastAsia" w:eastAsiaTheme="minorEastAsia" w:cstheme="minorEastAsia"/>
                      <w:spacing w:val="-2"/>
                      <w:szCs w:val="21"/>
                    </w:rPr>
                    <w:t>酸</w:t>
                  </w:r>
                  <w:r>
                    <w:rPr>
                      <w:rFonts w:hint="eastAsia" w:asciiTheme="minorEastAsia" w:hAnsiTheme="minorEastAsia" w:eastAsiaTheme="minorEastAsia" w:cstheme="minorEastAsia"/>
                      <w:szCs w:val="21"/>
                    </w:rPr>
                    <w:t>酯</w:t>
                  </w:r>
                  <w:r>
                    <w:rPr>
                      <w:rFonts w:hint="eastAsia" w:asciiTheme="minorEastAsia" w:hAnsiTheme="minorEastAsia" w:eastAsiaTheme="minorEastAsia" w:cstheme="minorEastAsia"/>
                      <w:spacing w:val="-2"/>
                      <w:szCs w:val="21"/>
                    </w:rPr>
                    <w:t>类</w:t>
                  </w:r>
                  <w:r>
                    <w:rPr>
                      <w:rFonts w:hint="eastAsia" w:asciiTheme="minorEastAsia" w:hAnsiTheme="minorEastAsia" w:eastAsiaTheme="minorEastAsia" w:cstheme="minorEastAsia"/>
                      <w:spacing w:val="-50"/>
                      <w:szCs w:val="21"/>
                    </w:rPr>
                    <w:t xml:space="preserve">   </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（DBP、BBP、DEHP）总和/（g/kg）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0</w:t>
                  </w:r>
                </w:p>
              </w:tc>
            </w:tr>
            <w:tr>
              <w:tblPrEx>
                <w:tblCellMar>
                  <w:top w:w="0" w:type="dxa"/>
                  <w:left w:w="108" w:type="dxa"/>
                  <w:bottom w:w="0" w:type="dxa"/>
                  <w:right w:w="108" w:type="dxa"/>
                </w:tblCellMar>
              </w:tblPrEx>
              <w:trPr>
                <w:trHeight w:val="40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84"/>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pacing w:val="-54"/>
                      <w:szCs w:val="21"/>
                    </w:rPr>
                    <w:t xml:space="preserve"> </w:t>
                  </w:r>
                  <w:r>
                    <w:rPr>
                      <w:rFonts w:hint="eastAsia" w:asciiTheme="minorEastAsia" w:hAnsiTheme="minorEastAsia" w:eastAsiaTheme="minorEastAsia" w:cstheme="minorEastAsia"/>
                      <w:szCs w:val="21"/>
                    </w:rPr>
                    <w:t>种</w:t>
                  </w:r>
                  <w:r>
                    <w:rPr>
                      <w:rFonts w:hint="eastAsia" w:asciiTheme="minorEastAsia" w:hAnsiTheme="minorEastAsia" w:eastAsiaTheme="minorEastAsia" w:cstheme="minorEastAsia"/>
                      <w:spacing w:val="-2"/>
                      <w:szCs w:val="21"/>
                    </w:rPr>
                    <w:t>邻</w:t>
                  </w:r>
                  <w:r>
                    <w:rPr>
                      <w:rFonts w:hint="eastAsia" w:asciiTheme="minorEastAsia" w:hAnsiTheme="minorEastAsia" w:eastAsiaTheme="minorEastAsia" w:cstheme="minorEastAsia"/>
                      <w:szCs w:val="21"/>
                    </w:rPr>
                    <w:t>苯</w:t>
                  </w:r>
                  <w:r>
                    <w:rPr>
                      <w:rFonts w:hint="eastAsia" w:asciiTheme="minorEastAsia" w:hAnsiTheme="minorEastAsia" w:eastAsiaTheme="minorEastAsia" w:cstheme="minorEastAsia"/>
                      <w:spacing w:val="-2"/>
                      <w:szCs w:val="21"/>
                    </w:rPr>
                    <w:t>二</w:t>
                  </w:r>
                  <w:r>
                    <w:rPr>
                      <w:rFonts w:hint="eastAsia" w:asciiTheme="minorEastAsia" w:hAnsiTheme="minorEastAsia" w:eastAsiaTheme="minorEastAsia" w:cstheme="minorEastAsia"/>
                      <w:szCs w:val="21"/>
                    </w:rPr>
                    <w:t>甲</w:t>
                  </w:r>
                  <w:r>
                    <w:rPr>
                      <w:rFonts w:hint="eastAsia" w:asciiTheme="minorEastAsia" w:hAnsiTheme="minorEastAsia" w:eastAsiaTheme="minorEastAsia" w:cstheme="minorEastAsia"/>
                      <w:spacing w:val="-2"/>
                      <w:szCs w:val="21"/>
                    </w:rPr>
                    <w:t>酸</w:t>
                  </w:r>
                  <w:r>
                    <w:rPr>
                      <w:rFonts w:hint="eastAsia" w:asciiTheme="minorEastAsia" w:hAnsiTheme="minorEastAsia" w:eastAsiaTheme="minorEastAsia" w:cstheme="minorEastAsia"/>
                      <w:szCs w:val="21"/>
                    </w:rPr>
                    <w:t>酯</w:t>
                  </w:r>
                  <w:r>
                    <w:rPr>
                      <w:rFonts w:hint="eastAsia" w:asciiTheme="minorEastAsia" w:hAnsiTheme="minorEastAsia" w:eastAsiaTheme="minorEastAsia" w:cstheme="minorEastAsia"/>
                      <w:spacing w:val="-2"/>
                      <w:szCs w:val="21"/>
                    </w:rPr>
                    <w:t>类</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（DNOP、DINP、DIDP）总</w:t>
                  </w:r>
                  <w:r>
                    <w:rPr>
                      <w:rFonts w:hint="eastAsia" w:asciiTheme="minorEastAsia" w:hAnsiTheme="minorEastAsia" w:eastAsiaTheme="minorEastAsia" w:cstheme="minorEastAsia"/>
                      <w:spacing w:val="1"/>
                      <w:szCs w:val="21"/>
                    </w:rPr>
                    <w:t>和</w:t>
                  </w:r>
                  <w:r>
                    <w:rPr>
                      <w:rFonts w:hint="eastAsia" w:asciiTheme="minorEastAsia" w:hAnsiTheme="minorEastAsia" w:eastAsiaTheme="minorEastAsia" w:cstheme="minorEastAsia"/>
                      <w:spacing w:val="-84"/>
                      <w:szCs w:val="21"/>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g</w:t>
                  </w:r>
                  <w:r>
                    <w:rPr>
                      <w:rFonts w:hint="eastAsia" w:asciiTheme="minorEastAsia" w:hAnsiTheme="minorEastAsia" w:eastAsiaTheme="minorEastAsia" w:cstheme="minorEastAsia"/>
                      <w:szCs w:val="21"/>
                    </w:rPr>
                    <w:t>/kg）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0</w:t>
                  </w:r>
                </w:p>
              </w:tc>
            </w:tr>
            <w:tr>
              <w:tblPrEx>
                <w:tblCellMar>
                  <w:top w:w="0" w:type="dxa"/>
                  <w:left w:w="108" w:type="dxa"/>
                  <w:bottom w:w="0" w:type="dxa"/>
                  <w:right w:w="108" w:type="dxa"/>
                </w:tblCellMar>
              </w:tblPrEx>
              <w:trPr>
                <w:trHeight w:val="40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3</w:t>
                  </w:r>
                </w:p>
              </w:tc>
              <w:tc>
                <w:tcPr>
                  <w:tcW w:w="3441" w:type="dxa"/>
                  <w:tcBorders>
                    <w:top w:val="single" w:color="auto" w:sz="4" w:space="0"/>
                    <w:left w:val="single" w:color="auto" w:sz="4" w:space="0"/>
                    <w:bottom w:val="single" w:color="auto" w:sz="4" w:space="0"/>
                    <w:right w:val="single" w:color="auto" w:sz="4" w:space="0"/>
                  </w:tcBorders>
                  <w:vAlign w:val="center"/>
                </w:tcPr>
                <w:p>
                  <w:pPr>
                    <w:spacing w:before="2"/>
                    <w:ind w:left="628" w:right="-2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18</w:t>
                  </w:r>
                  <w:r>
                    <w:rPr>
                      <w:rFonts w:hint="eastAsia" w:asciiTheme="minorEastAsia" w:hAnsiTheme="minorEastAsia" w:eastAsiaTheme="minorEastAsia" w:cstheme="minorEastAsia"/>
                      <w:spacing w:val="-54"/>
                      <w:szCs w:val="21"/>
                    </w:rPr>
                    <w:t xml:space="preserve"> </w:t>
                  </w:r>
                  <w:r>
                    <w:rPr>
                      <w:rFonts w:hint="eastAsia" w:asciiTheme="minorEastAsia" w:hAnsiTheme="minorEastAsia" w:eastAsiaTheme="minorEastAsia" w:cstheme="minorEastAsia"/>
                      <w:szCs w:val="21"/>
                    </w:rPr>
                    <w:t>种</w:t>
                  </w:r>
                  <w:r>
                    <w:rPr>
                      <w:rFonts w:hint="eastAsia" w:asciiTheme="minorEastAsia" w:hAnsiTheme="minorEastAsia" w:eastAsiaTheme="minorEastAsia" w:cstheme="minorEastAsia"/>
                      <w:spacing w:val="-2"/>
                      <w:szCs w:val="21"/>
                    </w:rPr>
                    <w:t>多</w:t>
                  </w:r>
                  <w:r>
                    <w:rPr>
                      <w:rFonts w:hint="eastAsia" w:asciiTheme="minorEastAsia" w:hAnsiTheme="minorEastAsia" w:eastAsiaTheme="minorEastAsia" w:cstheme="minorEastAsia"/>
                      <w:szCs w:val="21"/>
                    </w:rPr>
                    <w:t>环</w:t>
                  </w:r>
                  <w:r>
                    <w:rPr>
                      <w:rFonts w:hint="eastAsia" w:asciiTheme="minorEastAsia" w:hAnsiTheme="minorEastAsia" w:eastAsiaTheme="minorEastAsia" w:cstheme="minorEastAsia"/>
                      <w:spacing w:val="-2"/>
                      <w:szCs w:val="21"/>
                    </w:rPr>
                    <w:t>芳</w:t>
                  </w:r>
                  <w:r>
                    <w:rPr>
                      <w:rFonts w:hint="eastAsia" w:asciiTheme="minorEastAsia" w:hAnsiTheme="minorEastAsia" w:eastAsiaTheme="minorEastAsia" w:cstheme="minorEastAsia"/>
                      <w:szCs w:val="21"/>
                    </w:rPr>
                    <w:t>烃</w:t>
                  </w:r>
                  <w:r>
                    <w:rPr>
                      <w:rFonts w:hint="eastAsia" w:asciiTheme="minorEastAsia" w:hAnsiTheme="minorEastAsia" w:eastAsiaTheme="minorEastAsia" w:cstheme="minorEastAsia"/>
                      <w:spacing w:val="-2"/>
                      <w:szCs w:val="21"/>
                    </w:rPr>
                    <w:t>总</w:t>
                  </w:r>
                  <w:r>
                    <w:rPr>
                      <w:rFonts w:hint="eastAsia" w:asciiTheme="minorEastAsia" w:hAnsiTheme="minorEastAsia" w:eastAsiaTheme="minorEastAsia" w:cstheme="minorEastAsia"/>
                      <w:szCs w:val="21"/>
                    </w:rPr>
                    <w:t>和/(m</w:t>
                  </w:r>
                  <w:r>
                    <w:rPr>
                      <w:rFonts w:hint="eastAsia" w:asciiTheme="minorEastAsia" w:hAnsiTheme="minorEastAsia" w:eastAsiaTheme="minorEastAsia" w:cstheme="minorEastAsia"/>
                      <w:spacing w:val="-2"/>
                      <w:szCs w:val="21"/>
                    </w:rPr>
                    <w:t>g/</w:t>
                  </w:r>
                  <w:r>
                    <w:rPr>
                      <w:rFonts w:hint="eastAsia" w:asciiTheme="minorEastAsia" w:hAnsiTheme="minorEastAsia" w:eastAsiaTheme="minorEastAsia" w:cstheme="minorEastAsia"/>
                      <w:szCs w:val="21"/>
                    </w:rPr>
                    <w:t>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50</w:t>
                  </w:r>
                </w:p>
              </w:tc>
            </w:tr>
            <w:tr>
              <w:tblPrEx>
                <w:tblCellMar>
                  <w:top w:w="0" w:type="dxa"/>
                  <w:left w:w="108" w:type="dxa"/>
                  <w:bottom w:w="0" w:type="dxa"/>
                  <w:right w:w="108" w:type="dxa"/>
                </w:tblCellMar>
              </w:tblPrEx>
              <w:trPr>
                <w:trHeight w:val="40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4</w:t>
                  </w:r>
                </w:p>
              </w:tc>
              <w:tc>
                <w:tcPr>
                  <w:tcW w:w="3441" w:type="dxa"/>
                  <w:tcBorders>
                    <w:top w:val="single" w:color="auto" w:sz="4" w:space="0"/>
                    <w:left w:val="single" w:color="auto" w:sz="4" w:space="0"/>
                    <w:bottom w:val="single" w:color="auto" w:sz="4" w:space="0"/>
                    <w:right w:val="single" w:color="auto" w:sz="4" w:space="0"/>
                  </w:tcBorders>
                  <w:vAlign w:val="center"/>
                </w:tcPr>
                <w:p>
                  <w:pPr>
                    <w:spacing w:before="2"/>
                    <w:ind w:left="628" w:right="-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r>
                    <w:rPr>
                      <w:rFonts w:hint="eastAsia" w:asciiTheme="minorEastAsia" w:hAnsiTheme="minorEastAsia" w:eastAsiaTheme="minorEastAsia" w:cstheme="minorEastAsia"/>
                      <w:spacing w:val="-54"/>
                      <w:szCs w:val="21"/>
                    </w:rPr>
                    <w:t xml:space="preserve"> </w:t>
                  </w:r>
                  <w:r>
                    <w:rPr>
                      <w:rFonts w:hint="eastAsia" w:asciiTheme="minorEastAsia" w:hAnsiTheme="minorEastAsia" w:eastAsiaTheme="minorEastAsia" w:cstheme="minorEastAsia"/>
                      <w:szCs w:val="21"/>
                    </w:rPr>
                    <w:t>种</w:t>
                  </w:r>
                  <w:r>
                    <w:rPr>
                      <w:rFonts w:hint="eastAsia" w:asciiTheme="minorEastAsia" w:hAnsiTheme="minorEastAsia" w:eastAsiaTheme="minorEastAsia" w:cstheme="minorEastAsia"/>
                      <w:spacing w:val="-2"/>
                      <w:szCs w:val="21"/>
                    </w:rPr>
                    <w:t>多</w:t>
                  </w:r>
                  <w:r>
                    <w:rPr>
                      <w:rFonts w:hint="eastAsia" w:asciiTheme="minorEastAsia" w:hAnsiTheme="minorEastAsia" w:eastAsiaTheme="minorEastAsia" w:cstheme="minorEastAsia"/>
                      <w:szCs w:val="21"/>
                    </w:rPr>
                    <w:t>环</w:t>
                  </w:r>
                  <w:r>
                    <w:rPr>
                      <w:rFonts w:hint="eastAsia" w:asciiTheme="minorEastAsia" w:hAnsiTheme="minorEastAsia" w:eastAsiaTheme="minorEastAsia" w:cstheme="minorEastAsia"/>
                      <w:spacing w:val="-2"/>
                      <w:szCs w:val="21"/>
                    </w:rPr>
                    <w:t>芳</w:t>
                  </w:r>
                  <w:r>
                    <w:rPr>
                      <w:rFonts w:hint="eastAsia" w:asciiTheme="minorEastAsia" w:hAnsiTheme="minorEastAsia" w:eastAsiaTheme="minorEastAsia" w:cstheme="minorEastAsia"/>
                      <w:szCs w:val="21"/>
                    </w:rPr>
                    <w:t>烃</w:t>
                  </w:r>
                  <w:r>
                    <w:rPr>
                      <w:rFonts w:hint="eastAsia" w:asciiTheme="minorEastAsia" w:hAnsiTheme="minorEastAsia" w:eastAsiaTheme="minorEastAsia" w:cstheme="minorEastAsia"/>
                      <w:spacing w:val="-2"/>
                      <w:szCs w:val="21"/>
                    </w:rPr>
                    <w:t>总</w:t>
                  </w:r>
                  <w:r>
                    <w:rPr>
                      <w:rFonts w:hint="eastAsia" w:asciiTheme="minorEastAsia" w:hAnsiTheme="minorEastAsia" w:eastAsiaTheme="minorEastAsia" w:cstheme="minorEastAsia"/>
                      <w:szCs w:val="21"/>
                    </w:rPr>
                    <w:t>和/(m</w:t>
                  </w:r>
                  <w:r>
                    <w:rPr>
                      <w:rFonts w:hint="eastAsia" w:asciiTheme="minorEastAsia" w:hAnsiTheme="minorEastAsia" w:eastAsiaTheme="minorEastAsia" w:cstheme="minorEastAsia"/>
                      <w:spacing w:val="-2"/>
                      <w:szCs w:val="21"/>
                    </w:rPr>
                    <w:t>g/</w:t>
                  </w:r>
                  <w:r>
                    <w:rPr>
                      <w:rFonts w:hint="eastAsia" w:asciiTheme="minorEastAsia" w:hAnsiTheme="minorEastAsia" w:eastAsiaTheme="minorEastAsia" w:cstheme="minorEastAsia"/>
                      <w:szCs w:val="21"/>
                    </w:rPr>
                    <w:t>kg)</w:t>
                  </w:r>
                </w:p>
                <w:p>
                  <w:pPr>
                    <w:spacing w:before="2"/>
                    <w:ind w:left="8" w:right="-20" w:hanging="8"/>
                    <w:jc w:val="left"/>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取合</w:t>
                  </w:r>
                  <w:r>
                    <w:rPr>
                      <w:rFonts w:hint="eastAsia" w:asciiTheme="minorEastAsia" w:hAnsiTheme="minorEastAsia" w:eastAsiaTheme="minorEastAsia" w:cstheme="minorEastAsia"/>
                      <w:spacing w:val="-2"/>
                      <w:szCs w:val="21"/>
                    </w:rPr>
                    <w:t>成</w:t>
                  </w:r>
                  <w:r>
                    <w:rPr>
                      <w:rFonts w:hint="eastAsia" w:asciiTheme="minorEastAsia" w:hAnsiTheme="minorEastAsia" w:eastAsiaTheme="minorEastAsia" w:cstheme="minorEastAsia"/>
                      <w:szCs w:val="21"/>
                    </w:rPr>
                    <w:t>材</w:t>
                  </w:r>
                  <w:r>
                    <w:rPr>
                      <w:rFonts w:hint="eastAsia" w:asciiTheme="minorEastAsia" w:hAnsiTheme="minorEastAsia" w:eastAsiaTheme="minorEastAsia" w:cstheme="minorEastAsia"/>
                      <w:spacing w:val="-2"/>
                      <w:szCs w:val="21"/>
                    </w:rPr>
                    <w:t>料面</w:t>
                  </w:r>
                  <w:r>
                    <w:rPr>
                      <w:rFonts w:hint="eastAsia" w:asciiTheme="minorEastAsia" w:hAnsiTheme="minorEastAsia" w:eastAsiaTheme="minorEastAsia" w:cstheme="minorEastAsia"/>
                      <w:szCs w:val="21"/>
                    </w:rPr>
                    <w:t>层上</w:t>
                  </w:r>
                  <w:r>
                    <w:rPr>
                      <w:rFonts w:hint="eastAsia" w:asciiTheme="minorEastAsia" w:hAnsiTheme="minorEastAsia" w:eastAsiaTheme="minorEastAsia" w:cstheme="minorEastAsia"/>
                      <w:spacing w:val="-2"/>
                      <w:szCs w:val="21"/>
                    </w:rPr>
                    <w:t>表</w:t>
                  </w:r>
                  <w:r>
                    <w:rPr>
                      <w:rFonts w:hint="eastAsia" w:asciiTheme="minorEastAsia" w:hAnsiTheme="minorEastAsia" w:eastAsiaTheme="minorEastAsia" w:cstheme="minorEastAsia"/>
                      <w:szCs w:val="21"/>
                    </w:rPr>
                    <w:t>面5mm</w:t>
                  </w:r>
                  <w:r>
                    <w:rPr>
                      <w:rFonts w:hint="eastAsia" w:asciiTheme="minorEastAsia" w:hAnsiTheme="minorEastAsia" w:eastAsiaTheme="minorEastAsia" w:cstheme="minorEastAsia"/>
                      <w:spacing w:val="-52"/>
                      <w:szCs w:val="21"/>
                    </w:rPr>
                    <w:t xml:space="preserve"> </w:t>
                  </w:r>
                  <w:r>
                    <w:rPr>
                      <w:rFonts w:hint="eastAsia" w:asciiTheme="minorEastAsia" w:hAnsiTheme="minorEastAsia" w:eastAsiaTheme="minorEastAsia" w:cstheme="minorEastAsia"/>
                      <w:spacing w:val="-2"/>
                      <w:szCs w:val="21"/>
                    </w:rPr>
                    <w:t>以</w:t>
                  </w:r>
                  <w:r>
                    <w:rPr>
                      <w:rFonts w:hint="eastAsia" w:asciiTheme="minorEastAsia" w:hAnsiTheme="minorEastAsia" w:eastAsiaTheme="minorEastAsia" w:cstheme="minorEastAsia"/>
                      <w:szCs w:val="21"/>
                    </w:rPr>
                    <w:t>内部</w:t>
                  </w:r>
                  <w:r>
                    <w:rPr>
                      <w:rFonts w:hint="eastAsia" w:asciiTheme="minorEastAsia" w:hAnsiTheme="minorEastAsia" w:eastAsiaTheme="minorEastAsia" w:cstheme="minorEastAsia"/>
                      <w:spacing w:val="-2"/>
                      <w:szCs w:val="21"/>
                    </w:rPr>
                    <w:t>分</w:t>
                  </w:r>
                  <w:r>
                    <w:rPr>
                      <w:rFonts w:hint="eastAsia" w:asciiTheme="minorEastAsia" w:hAnsiTheme="minorEastAsia" w:eastAsiaTheme="minorEastAsia" w:cstheme="minorEastAsia"/>
                      <w:szCs w:val="21"/>
                    </w:rPr>
                    <w:t>测</w:t>
                  </w:r>
                  <w:r>
                    <w:rPr>
                      <w:rFonts w:hint="eastAsia" w:asciiTheme="minorEastAsia" w:hAnsiTheme="minorEastAsia" w:eastAsiaTheme="minorEastAsia" w:cstheme="minorEastAsia"/>
                      <w:spacing w:val="-2"/>
                      <w:szCs w:val="21"/>
                    </w:rPr>
                    <w:t>试)</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≤20</w:t>
                  </w:r>
                </w:p>
              </w:tc>
            </w:tr>
            <w:tr>
              <w:tblPrEx>
                <w:tblCellMar>
                  <w:top w:w="0" w:type="dxa"/>
                  <w:left w:w="108" w:type="dxa"/>
                  <w:bottom w:w="0" w:type="dxa"/>
                  <w:right w:w="108" w:type="dxa"/>
                </w:tblCellMar>
              </w:tblPrEx>
              <w:trPr>
                <w:trHeight w:val="40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苯</w:t>
                  </w:r>
                  <w:r>
                    <w:rPr>
                      <w:rFonts w:hint="eastAsia" w:asciiTheme="minorEastAsia" w:hAnsiTheme="minorEastAsia" w:eastAsiaTheme="minorEastAsia" w:cstheme="minorEastAsia"/>
                      <w:szCs w:val="21"/>
                    </w:rPr>
                    <w:t>并</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pacing w:val="-2"/>
                      <w:szCs w:val="21"/>
                    </w:rPr>
                    <w:t>a</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芘</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m</w:t>
                  </w:r>
                  <w:r>
                    <w:rPr>
                      <w:rFonts w:hint="eastAsia" w:asciiTheme="minorEastAsia" w:hAnsiTheme="minorEastAsia" w:eastAsiaTheme="minorEastAsia" w:cstheme="minorEastAsia"/>
                      <w:szCs w:val="21"/>
                    </w:rPr>
                    <w:t>g/k</w:t>
                  </w:r>
                  <w:r>
                    <w:rPr>
                      <w:rFonts w:hint="eastAsia" w:asciiTheme="minorEastAsia" w:hAnsiTheme="minorEastAsia" w:eastAsiaTheme="minorEastAsia" w:cstheme="minorEastAsia"/>
                      <w:spacing w:val="-2"/>
                      <w:szCs w:val="21"/>
                    </w:rPr>
                    <w:t>g</w:t>
                  </w:r>
                  <w:r>
                    <w:rPr>
                      <w:rFonts w:hint="eastAsia" w:asciiTheme="minorEastAsia" w:hAnsiTheme="minorEastAsia" w:eastAsiaTheme="minorEastAsia" w:cstheme="minorEastAsia"/>
                      <w:szCs w:val="21"/>
                    </w:rPr>
                    <w:t>）</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0</w:t>
                  </w:r>
                </w:p>
              </w:tc>
            </w:tr>
            <w:tr>
              <w:tblPrEx>
                <w:tblCellMar>
                  <w:top w:w="0" w:type="dxa"/>
                  <w:left w:w="108" w:type="dxa"/>
                  <w:bottom w:w="0" w:type="dxa"/>
                  <w:right w:w="108" w:type="dxa"/>
                </w:tblCellMar>
              </w:tblPrEx>
              <w:trPr>
                <w:trHeight w:val="28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6</w:t>
                  </w:r>
                </w:p>
              </w:tc>
              <w:tc>
                <w:tcPr>
                  <w:tcW w:w="344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短</w:t>
                  </w:r>
                  <w:r>
                    <w:rPr>
                      <w:rFonts w:hint="eastAsia" w:asciiTheme="minorEastAsia" w:hAnsiTheme="minorEastAsia" w:eastAsiaTheme="minorEastAsia" w:cstheme="minorEastAsia"/>
                      <w:szCs w:val="21"/>
                    </w:rPr>
                    <w:t>链</w:t>
                  </w:r>
                  <w:r>
                    <w:rPr>
                      <w:rFonts w:hint="eastAsia" w:asciiTheme="minorEastAsia" w:hAnsiTheme="minorEastAsia" w:eastAsiaTheme="minorEastAsia" w:cstheme="minorEastAsia"/>
                      <w:spacing w:val="-2"/>
                      <w:szCs w:val="21"/>
                    </w:rPr>
                    <w:t>氯</w:t>
                  </w:r>
                  <w:r>
                    <w:rPr>
                      <w:rFonts w:hint="eastAsia" w:asciiTheme="minorEastAsia" w:hAnsiTheme="minorEastAsia" w:eastAsiaTheme="minorEastAsia" w:cstheme="minorEastAsia"/>
                      <w:szCs w:val="21"/>
                    </w:rPr>
                    <w:t>化</w:t>
                  </w:r>
                  <w:r>
                    <w:rPr>
                      <w:rFonts w:hint="eastAsia" w:asciiTheme="minorEastAsia" w:hAnsiTheme="minorEastAsia" w:eastAsiaTheme="minorEastAsia" w:cstheme="minorEastAsia"/>
                      <w:spacing w:val="-2"/>
                      <w:szCs w:val="21"/>
                    </w:rPr>
                    <w:t>石</w:t>
                  </w:r>
                  <w:r>
                    <w:rPr>
                      <w:rFonts w:hint="eastAsia" w:asciiTheme="minorEastAsia" w:hAnsiTheme="minorEastAsia" w:eastAsiaTheme="minorEastAsia" w:cstheme="minorEastAsia"/>
                      <w:szCs w:val="21"/>
                    </w:rPr>
                    <w:t>蜡（C</w:t>
                  </w:r>
                  <w:r>
                    <w:rPr>
                      <w:rFonts w:hint="eastAsia" w:asciiTheme="minorEastAsia" w:hAnsiTheme="minorEastAsia" w:eastAsiaTheme="minorEastAsia" w:cstheme="minorEastAsia"/>
                      <w:szCs w:val="21"/>
                      <w:vertAlign w:val="subscript"/>
                    </w:rPr>
                    <w:t>10</w:t>
                  </w:r>
                  <w:r>
                    <w:rPr>
                      <w:rFonts w:hint="eastAsia" w:asciiTheme="minorEastAsia" w:hAnsiTheme="minorEastAsia" w:eastAsiaTheme="minorEastAsia" w:cstheme="minorEastAsia"/>
                      <w:szCs w:val="21"/>
                    </w:rPr>
                    <w:t>-C</w:t>
                  </w:r>
                  <w:r>
                    <w:rPr>
                      <w:rFonts w:hint="eastAsia" w:asciiTheme="minorEastAsia" w:hAnsiTheme="minorEastAsia" w:eastAsiaTheme="minorEastAsia" w:cstheme="minorEastAsia"/>
                      <w:szCs w:val="21"/>
                      <w:vertAlign w:val="subscript"/>
                    </w:rPr>
                    <w:t>13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g</w:t>
                  </w:r>
                  <w:r>
                    <w:rPr>
                      <w:rFonts w:hint="eastAsia" w:asciiTheme="minorEastAsia" w:hAnsiTheme="minorEastAsia" w:eastAsiaTheme="minorEastAsia" w:cstheme="minorEastAsia"/>
                      <w:szCs w:val="21"/>
                    </w:rPr>
                    <w:t>/k</w:t>
                  </w:r>
                  <w:r>
                    <w:rPr>
                      <w:rFonts w:hint="eastAsia" w:asciiTheme="minorEastAsia" w:hAnsiTheme="minorEastAsia" w:eastAsiaTheme="minorEastAsia" w:cstheme="minorEastAsia"/>
                      <w:spacing w:val="-2"/>
                      <w:szCs w:val="21"/>
                    </w:rPr>
                    <w:t>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5</w:t>
                  </w:r>
                </w:p>
              </w:tc>
            </w:tr>
            <w:tr>
              <w:tblPrEx>
                <w:tblCellMar>
                  <w:top w:w="0" w:type="dxa"/>
                  <w:left w:w="108" w:type="dxa"/>
                  <w:bottom w:w="0" w:type="dxa"/>
                  <w:right w:w="108" w:type="dxa"/>
                </w:tblCellMar>
              </w:tblPrEx>
              <w:trPr>
                <w:trHeight w:val="645" w:hRule="atLeast"/>
                <w:jc w:val="center"/>
              </w:trPr>
              <w:tc>
                <w:tcPr>
                  <w:tcW w:w="828" w:type="dxa"/>
                  <w:vMerge w:val="continue"/>
                  <w:tcBorders>
                    <w:left w:val="single" w:color="auto" w:sz="4" w:space="0"/>
                    <w:right w:val="single" w:color="auto" w:sz="4" w:space="0"/>
                  </w:tcBorders>
                  <w:vAlign w:val="center"/>
                </w:tcPr>
                <w:p>
                  <w:pPr>
                    <w:spacing w:before="2"/>
                    <w:ind w:left="628" w:right="-20" w:firstLine="162" w:firstLineChars="100"/>
                    <w:jc w:val="left"/>
                    <w:rPr>
                      <w:rFonts w:asciiTheme="minorEastAsia" w:hAnsiTheme="minorEastAsia" w:eastAsiaTheme="minorEastAsia" w:cstheme="minorEastAsia"/>
                      <w:spacing w:val="-24"/>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7</w:t>
                  </w:r>
                </w:p>
              </w:tc>
              <w:tc>
                <w:tcPr>
                  <w:tcW w:w="344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4,4′－二氨基一 3,3′－二氯二苯甲烷（MOCA）/（g/kg）</w:t>
                  </w:r>
                </w:p>
              </w:tc>
              <w:tc>
                <w:tcPr>
                  <w:tcW w:w="1590" w:type="dxa"/>
                  <w:tcBorders>
                    <w:top w:val="nil"/>
                    <w:left w:val="nil"/>
                    <w:bottom w:val="single" w:color="auto" w:sz="4" w:space="0"/>
                    <w:right w:val="single" w:color="auto" w:sz="4" w:space="0"/>
                  </w:tcBorders>
                  <w:vAlign w:val="center"/>
                </w:tcPr>
                <w:p>
                  <w:pPr>
                    <w:spacing w:before="2"/>
                    <w:ind w:right="-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24"/>
                      <w:szCs w:val="21"/>
                    </w:rPr>
                    <w:t>≤</w:t>
                  </w:r>
                  <w:r>
                    <w:rPr>
                      <w:rFonts w:hint="eastAsia" w:asciiTheme="minorEastAsia" w:hAnsiTheme="minorEastAsia" w:eastAsiaTheme="minorEastAsia" w:cstheme="minorEastAsia"/>
                      <w:szCs w:val="21"/>
                    </w:rPr>
                    <w:t>1.0</w:t>
                  </w:r>
                </w:p>
              </w:tc>
            </w:tr>
            <w:tr>
              <w:tblPrEx>
                <w:tblCellMar>
                  <w:top w:w="0" w:type="dxa"/>
                  <w:left w:w="108" w:type="dxa"/>
                  <w:bottom w:w="0" w:type="dxa"/>
                  <w:right w:w="108" w:type="dxa"/>
                </w:tblCellMar>
              </w:tblPrEx>
              <w:trPr>
                <w:trHeight w:val="465"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8</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游离甲苯二异氰酸酯（TDI）和游离六亚甲基二异氰酸酯（HDI）总和/（g/kg）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pacing w:val="-2"/>
                      <w:szCs w:val="21"/>
                    </w:rPr>
                    <w:t>2</w:t>
                  </w:r>
                </w:p>
              </w:tc>
            </w:tr>
            <w:tr>
              <w:tblPrEx>
                <w:tblCellMar>
                  <w:top w:w="0" w:type="dxa"/>
                  <w:left w:w="108" w:type="dxa"/>
                  <w:bottom w:w="0" w:type="dxa"/>
                  <w:right w:w="108" w:type="dxa"/>
                </w:tblCellMar>
              </w:tblPrEx>
              <w:trPr>
                <w:trHeight w:val="48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9</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游</w:t>
                  </w:r>
                  <w:r>
                    <w:rPr>
                      <w:rFonts w:hint="eastAsia" w:asciiTheme="minorEastAsia" w:hAnsiTheme="minorEastAsia" w:eastAsiaTheme="minorEastAsia" w:cstheme="minorEastAsia"/>
                      <w:szCs w:val="21"/>
                    </w:rPr>
                    <w:t>离</w:t>
                  </w:r>
                  <w:r>
                    <w:rPr>
                      <w:rFonts w:hint="eastAsia" w:asciiTheme="minorEastAsia" w:hAnsiTheme="minorEastAsia" w:eastAsiaTheme="minorEastAsia" w:cstheme="minorEastAsia"/>
                      <w:spacing w:val="-2"/>
                      <w:szCs w:val="21"/>
                    </w:rPr>
                    <w:t>二</w:t>
                  </w:r>
                  <w:r>
                    <w:rPr>
                      <w:rFonts w:hint="eastAsia" w:asciiTheme="minorEastAsia" w:hAnsiTheme="minorEastAsia" w:eastAsiaTheme="minorEastAsia" w:cstheme="minorEastAsia"/>
                      <w:szCs w:val="21"/>
                    </w:rPr>
                    <w:t>苯</w:t>
                  </w:r>
                  <w:r>
                    <w:rPr>
                      <w:rFonts w:hint="eastAsia" w:asciiTheme="minorEastAsia" w:hAnsiTheme="minorEastAsia" w:eastAsiaTheme="minorEastAsia" w:cstheme="minorEastAsia"/>
                      <w:spacing w:val="-2"/>
                      <w:szCs w:val="21"/>
                    </w:rPr>
                    <w:t>基</w:t>
                  </w:r>
                  <w:r>
                    <w:rPr>
                      <w:rFonts w:hint="eastAsia" w:asciiTheme="minorEastAsia" w:hAnsiTheme="minorEastAsia" w:eastAsiaTheme="minorEastAsia" w:cstheme="minorEastAsia"/>
                      <w:szCs w:val="21"/>
                    </w:rPr>
                    <w:t>甲</w:t>
                  </w:r>
                  <w:r>
                    <w:rPr>
                      <w:rFonts w:hint="eastAsia" w:asciiTheme="minorEastAsia" w:hAnsiTheme="minorEastAsia" w:eastAsiaTheme="minorEastAsia" w:cstheme="minorEastAsia"/>
                      <w:spacing w:val="-2"/>
                      <w:szCs w:val="21"/>
                    </w:rPr>
                    <w:t>烷</w:t>
                  </w: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pacing w:val="-2"/>
                      <w:szCs w:val="21"/>
                    </w:rPr>
                    <w:t>异氰</w:t>
                  </w:r>
                  <w:r>
                    <w:rPr>
                      <w:rFonts w:hint="eastAsia" w:asciiTheme="minorEastAsia" w:hAnsiTheme="minorEastAsia" w:eastAsiaTheme="minorEastAsia" w:cstheme="minorEastAsia"/>
                      <w:szCs w:val="21"/>
                    </w:rPr>
                    <w:t>酸酯</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MD</w:t>
                  </w:r>
                  <w:r>
                    <w:rPr>
                      <w:rFonts w:hint="eastAsia" w:asciiTheme="minorEastAsia" w:hAnsiTheme="minorEastAsia" w:eastAsiaTheme="minorEastAsia" w:cstheme="minorEastAsia"/>
                      <w:spacing w:val="-2"/>
                      <w:szCs w:val="21"/>
                    </w:rPr>
                    <w:t>I</w:t>
                  </w:r>
                  <w:r>
                    <w:rPr>
                      <w:rFonts w:hint="eastAsia" w:asciiTheme="minorEastAsia" w:hAnsiTheme="minorEastAsia" w:eastAsiaTheme="minorEastAsia" w:cstheme="minorEastAsia"/>
                      <w:szCs w:val="21"/>
                    </w:rPr>
                    <w:t>）/（g/kg）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1</w:t>
                  </w:r>
                  <w:r>
                    <w:rPr>
                      <w:rFonts w:hint="eastAsia" w:asciiTheme="minorEastAsia" w:hAnsiTheme="minorEastAsia" w:eastAsiaTheme="minorEastAsia" w:cstheme="minorEastAsia"/>
                      <w:szCs w:val="21"/>
                    </w:rPr>
                    <w:t>.0</w:t>
                  </w:r>
                </w:p>
              </w:tc>
            </w:tr>
            <w:tr>
              <w:tblPrEx>
                <w:tblCellMar>
                  <w:top w:w="0" w:type="dxa"/>
                  <w:left w:w="108" w:type="dxa"/>
                  <w:bottom w:w="0" w:type="dxa"/>
                  <w:right w:w="108" w:type="dxa"/>
                </w:tblCellMar>
              </w:tblPrEx>
              <w:trPr>
                <w:trHeight w:val="39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10</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可溶性铅 /(mg/kg)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≤50</w:t>
                  </w:r>
                </w:p>
              </w:tc>
            </w:tr>
            <w:tr>
              <w:tblPrEx>
                <w:tblCellMar>
                  <w:top w:w="0" w:type="dxa"/>
                  <w:left w:w="108" w:type="dxa"/>
                  <w:bottom w:w="0" w:type="dxa"/>
                  <w:right w:w="108" w:type="dxa"/>
                </w:tblCellMar>
              </w:tblPrEx>
              <w:trPr>
                <w:trHeight w:val="39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11</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可溶性镉 /(mg/kg)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≤10</w:t>
                  </w:r>
                </w:p>
              </w:tc>
            </w:tr>
            <w:tr>
              <w:tblPrEx>
                <w:tblCellMar>
                  <w:top w:w="0" w:type="dxa"/>
                  <w:left w:w="108" w:type="dxa"/>
                  <w:bottom w:w="0" w:type="dxa"/>
                  <w:right w:w="108" w:type="dxa"/>
                </w:tblCellMar>
              </w:tblPrEx>
              <w:trPr>
                <w:trHeight w:val="39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12</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可溶性铬/ (mg/kg)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≤10</w:t>
                  </w:r>
                </w:p>
              </w:tc>
            </w:tr>
            <w:tr>
              <w:tblPrEx>
                <w:tblCellMar>
                  <w:top w:w="0" w:type="dxa"/>
                  <w:left w:w="108" w:type="dxa"/>
                  <w:bottom w:w="0" w:type="dxa"/>
                  <w:right w:w="108" w:type="dxa"/>
                </w:tblCellMar>
              </w:tblPrEx>
              <w:trPr>
                <w:trHeight w:val="39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13</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可溶性汞/ (mg/kg)</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w:t>
                  </w:r>
                </w:p>
              </w:tc>
            </w:tr>
            <w:tr>
              <w:tblPrEx>
                <w:tblCellMar>
                  <w:top w:w="0" w:type="dxa"/>
                  <w:left w:w="108" w:type="dxa"/>
                  <w:bottom w:w="0" w:type="dxa"/>
                  <w:right w:w="108" w:type="dxa"/>
                </w:tblCellMar>
              </w:tblPrEx>
              <w:trPr>
                <w:trHeight w:val="316"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14</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气</w:t>
                  </w:r>
                  <w:r>
                    <w:rPr>
                      <w:rFonts w:hint="eastAsia" w:asciiTheme="minorEastAsia" w:hAnsiTheme="minorEastAsia" w:eastAsiaTheme="minorEastAsia" w:cstheme="minorEastAsia"/>
                      <w:szCs w:val="21"/>
                    </w:rPr>
                    <w:t>味</w:t>
                  </w:r>
                  <w:r>
                    <w:rPr>
                      <w:rFonts w:hint="eastAsia" w:asciiTheme="minorEastAsia" w:hAnsiTheme="minorEastAsia" w:eastAsiaTheme="minorEastAsia" w:cstheme="minorEastAsia"/>
                      <w:spacing w:val="-2"/>
                      <w:szCs w:val="21"/>
                    </w:rPr>
                    <w:t>等</w:t>
                  </w:r>
                  <w:r>
                    <w:rPr>
                      <w:rFonts w:hint="eastAsia" w:asciiTheme="minorEastAsia" w:hAnsiTheme="minorEastAsia" w:eastAsiaTheme="minorEastAsia" w:cstheme="minorEastAsia"/>
                      <w:szCs w:val="21"/>
                    </w:rPr>
                    <w:t>级/（级）</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w:t>
                  </w:r>
                </w:p>
              </w:tc>
            </w:tr>
            <w:tr>
              <w:tblPrEx>
                <w:tblCellMar>
                  <w:top w:w="0" w:type="dxa"/>
                  <w:left w:w="108" w:type="dxa"/>
                  <w:bottom w:w="0" w:type="dxa"/>
                  <w:right w:w="108" w:type="dxa"/>
                </w:tblCellMar>
              </w:tblPrEx>
              <w:trPr>
                <w:trHeight w:val="390" w:hRule="atLeast"/>
                <w:jc w:val="center"/>
              </w:trPr>
              <w:tc>
                <w:tcPr>
                  <w:tcW w:w="828"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有害物质释放量</w:t>
                  </w: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15</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总</w:t>
                  </w:r>
                  <w:r>
                    <w:rPr>
                      <w:rFonts w:hint="eastAsia" w:asciiTheme="minorEastAsia" w:hAnsiTheme="minorEastAsia" w:eastAsiaTheme="minorEastAsia" w:cstheme="minorEastAsia"/>
                      <w:szCs w:val="21"/>
                    </w:rPr>
                    <w:t>挥</w:t>
                  </w:r>
                  <w:r>
                    <w:rPr>
                      <w:rFonts w:hint="eastAsia" w:asciiTheme="minorEastAsia" w:hAnsiTheme="minorEastAsia" w:eastAsiaTheme="minorEastAsia" w:cstheme="minorEastAsia"/>
                      <w:spacing w:val="-2"/>
                      <w:szCs w:val="21"/>
                    </w:rPr>
                    <w:t>发</w:t>
                  </w:r>
                  <w:r>
                    <w:rPr>
                      <w:rFonts w:hint="eastAsia" w:asciiTheme="minorEastAsia" w:hAnsiTheme="minorEastAsia" w:eastAsiaTheme="minorEastAsia" w:cstheme="minorEastAsia"/>
                      <w:szCs w:val="21"/>
                    </w:rPr>
                    <w:t>性</w:t>
                  </w:r>
                  <w:r>
                    <w:rPr>
                      <w:rFonts w:hint="eastAsia" w:asciiTheme="minorEastAsia" w:hAnsiTheme="minorEastAsia" w:eastAsiaTheme="minorEastAsia" w:cstheme="minorEastAsia"/>
                      <w:spacing w:val="-2"/>
                      <w:szCs w:val="21"/>
                    </w:rPr>
                    <w:t>有</w:t>
                  </w:r>
                  <w:r>
                    <w:rPr>
                      <w:rFonts w:hint="eastAsia" w:asciiTheme="minorEastAsia" w:hAnsiTheme="minorEastAsia" w:eastAsiaTheme="minorEastAsia" w:cstheme="minorEastAsia"/>
                      <w:szCs w:val="21"/>
                    </w:rPr>
                    <w:t>机</w:t>
                  </w:r>
                  <w:r>
                    <w:rPr>
                      <w:rFonts w:hint="eastAsia" w:asciiTheme="minorEastAsia" w:hAnsiTheme="minorEastAsia" w:eastAsiaTheme="minorEastAsia" w:cstheme="minorEastAsia"/>
                      <w:spacing w:val="-2"/>
                      <w:szCs w:val="21"/>
                    </w:rPr>
                    <w:t>化</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物（</w:t>
                  </w:r>
                  <w:r>
                    <w:rPr>
                      <w:rFonts w:hint="eastAsia" w:asciiTheme="minorEastAsia" w:hAnsiTheme="minorEastAsia" w:eastAsiaTheme="minorEastAsia" w:cstheme="minorEastAsia"/>
                      <w:szCs w:val="21"/>
                    </w:rPr>
                    <w:t>TVOC</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pacing w:val="-2"/>
                      <w:szCs w:val="21"/>
                    </w:rPr>
                    <w:t>m</w:t>
                  </w:r>
                  <w:r>
                    <w:rPr>
                      <w:rFonts w:hint="eastAsia" w:asciiTheme="minorEastAsia" w:hAnsiTheme="minorEastAsia" w:eastAsiaTheme="minorEastAsia" w:cstheme="minorEastAsia"/>
                      <w:szCs w:val="21"/>
                    </w:rPr>
                    <w:t>g/（m</w:t>
                  </w:r>
                  <w:r>
                    <w:rPr>
                      <w:rFonts w:hint="eastAsia" w:asciiTheme="minorEastAsia" w:hAnsiTheme="minorEastAsia" w:eastAsiaTheme="minorEastAsia" w:cstheme="minorEastAsia"/>
                      <w:spacing w:val="-2"/>
                      <w:szCs w:val="21"/>
                      <w:vertAlign w:val="superscript"/>
                    </w:rPr>
                    <w:t>2</w:t>
                  </w:r>
                  <w:r>
                    <w:rPr>
                      <w:rFonts w:hint="eastAsia" w:asciiTheme="minorEastAsia" w:hAnsiTheme="minorEastAsia" w:eastAsiaTheme="minorEastAsia" w:cstheme="minorEastAsia"/>
                      <w:szCs w:val="21"/>
                    </w:rPr>
                    <w:t>•h）</w:t>
                  </w:r>
                  <w:r>
                    <w:rPr>
                      <w:rFonts w:hint="eastAsia" w:asciiTheme="minorEastAsia" w:hAnsiTheme="minorEastAsia" w:eastAsiaTheme="minorEastAsia" w:cstheme="minorEastAsia"/>
                      <w:spacing w:val="-2"/>
                      <w:szCs w:val="21"/>
                    </w:rPr>
                    <w:t>）</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0</w:t>
                  </w:r>
                </w:p>
              </w:tc>
            </w:tr>
            <w:tr>
              <w:tblPrEx>
                <w:tblCellMar>
                  <w:top w:w="0" w:type="dxa"/>
                  <w:left w:w="108" w:type="dxa"/>
                  <w:bottom w:w="0" w:type="dxa"/>
                  <w:right w:w="108" w:type="dxa"/>
                </w:tblCellMar>
              </w:tblPrEx>
              <w:trPr>
                <w:trHeight w:val="39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16</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甲</w:t>
                  </w:r>
                  <w:r>
                    <w:rPr>
                      <w:rFonts w:hint="eastAsia" w:asciiTheme="minorEastAsia" w:hAnsiTheme="minorEastAsia" w:eastAsiaTheme="minorEastAsia" w:cstheme="minorEastAsia"/>
                      <w:szCs w:val="21"/>
                    </w:rPr>
                    <w:t>醛/</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pacing w:val="-2"/>
                      <w:szCs w:val="21"/>
                    </w:rPr>
                    <w:t>m</w:t>
                  </w:r>
                  <w:r>
                    <w:rPr>
                      <w:rFonts w:hint="eastAsia" w:asciiTheme="minorEastAsia" w:hAnsiTheme="minorEastAsia" w:eastAsiaTheme="minorEastAsia" w:cstheme="minorEastAsia"/>
                      <w:szCs w:val="21"/>
                    </w:rPr>
                    <w:t>g/（m</w:t>
                  </w:r>
                  <w:r>
                    <w:rPr>
                      <w:rFonts w:hint="eastAsia" w:asciiTheme="minorEastAsia" w:hAnsiTheme="minorEastAsia" w:eastAsiaTheme="minorEastAsia" w:cstheme="minorEastAsia"/>
                      <w:spacing w:val="-2"/>
                      <w:szCs w:val="21"/>
                      <w:vertAlign w:val="superscript"/>
                    </w:rPr>
                    <w:t>2</w:t>
                  </w:r>
                  <w:r>
                    <w:rPr>
                      <w:rFonts w:hint="eastAsia" w:asciiTheme="minorEastAsia" w:hAnsiTheme="minorEastAsia" w:eastAsiaTheme="minorEastAsia" w:cstheme="minorEastAsia"/>
                      <w:szCs w:val="21"/>
                    </w:rPr>
                    <w:t>•h）</w:t>
                  </w:r>
                  <w:r>
                    <w:rPr>
                      <w:rFonts w:hint="eastAsia" w:asciiTheme="minorEastAsia" w:hAnsiTheme="minorEastAsia" w:eastAsiaTheme="minorEastAsia" w:cstheme="minorEastAsia"/>
                      <w:spacing w:val="-2"/>
                      <w:szCs w:val="21"/>
                    </w:rPr>
                    <w:t>）</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pacing w:val="-2"/>
                      <w:szCs w:val="21"/>
                    </w:rPr>
                    <w:t>.4</w:t>
                  </w:r>
                </w:p>
              </w:tc>
            </w:tr>
            <w:tr>
              <w:tblPrEx>
                <w:tblCellMar>
                  <w:top w:w="0" w:type="dxa"/>
                  <w:left w:w="108" w:type="dxa"/>
                  <w:bottom w:w="0" w:type="dxa"/>
                  <w:right w:w="108" w:type="dxa"/>
                </w:tblCellMar>
              </w:tblPrEx>
              <w:trPr>
                <w:trHeight w:val="34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17</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苯/</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zCs w:val="21"/>
                    </w:rPr>
                    <w:t>mg</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h）</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kern w:val="0"/>
                      <w:szCs w:val="21"/>
                    </w:rPr>
                    <w:t xml:space="preserve"> </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pacing w:val="-2"/>
                      <w:szCs w:val="21"/>
                    </w:rPr>
                    <w:t>1</w:t>
                  </w:r>
                </w:p>
              </w:tc>
            </w:tr>
            <w:tr>
              <w:tblPrEx>
                <w:tblCellMar>
                  <w:top w:w="0" w:type="dxa"/>
                  <w:left w:w="108" w:type="dxa"/>
                  <w:bottom w:w="0" w:type="dxa"/>
                  <w:right w:w="108" w:type="dxa"/>
                </w:tblCellMar>
              </w:tblPrEx>
              <w:trPr>
                <w:trHeight w:val="450" w:hRule="atLeast"/>
                <w:jc w:val="center"/>
              </w:trPr>
              <w:tc>
                <w:tcPr>
                  <w:tcW w:w="828"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cstheme="minorEastAsia"/>
                      <w:spacing w:val="1"/>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18</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甲</w:t>
                  </w:r>
                  <w:r>
                    <w:rPr>
                      <w:rFonts w:hint="eastAsia" w:asciiTheme="minorEastAsia" w:hAnsiTheme="minorEastAsia" w:eastAsiaTheme="minorEastAsia" w:cstheme="minorEastAsia"/>
                      <w:szCs w:val="21"/>
                    </w:rPr>
                    <w:t>苯</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pacing w:val="-2"/>
                      <w:szCs w:val="21"/>
                    </w:rPr>
                    <w:t>甲</w:t>
                  </w:r>
                  <w:r>
                    <w:rPr>
                      <w:rFonts w:hint="eastAsia" w:asciiTheme="minorEastAsia" w:hAnsiTheme="minorEastAsia" w:eastAsiaTheme="minorEastAsia" w:cstheme="minorEastAsia"/>
                      <w:szCs w:val="21"/>
                    </w:rPr>
                    <w:t>苯</w:t>
                  </w:r>
                  <w:r>
                    <w:rPr>
                      <w:rFonts w:hint="eastAsia" w:asciiTheme="minorEastAsia" w:hAnsiTheme="minorEastAsia" w:eastAsiaTheme="minorEastAsia" w:cstheme="minorEastAsia"/>
                      <w:spacing w:val="-2"/>
                      <w:szCs w:val="21"/>
                    </w:rPr>
                    <w:t>和</w:t>
                  </w:r>
                  <w:r>
                    <w:rPr>
                      <w:rFonts w:hint="eastAsia" w:asciiTheme="minorEastAsia" w:hAnsiTheme="minorEastAsia" w:eastAsiaTheme="minorEastAsia" w:cstheme="minorEastAsia"/>
                      <w:szCs w:val="21"/>
                    </w:rPr>
                    <w:t>乙</w:t>
                  </w:r>
                  <w:r>
                    <w:rPr>
                      <w:rFonts w:hint="eastAsia" w:asciiTheme="minorEastAsia" w:hAnsiTheme="minorEastAsia" w:eastAsiaTheme="minorEastAsia" w:cstheme="minorEastAsia"/>
                      <w:spacing w:val="-2"/>
                      <w:szCs w:val="21"/>
                    </w:rPr>
                    <w:t>苯总</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zCs w:val="21"/>
                    </w:rPr>
                    <w:t>mg</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h）</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kern w:val="0"/>
                      <w:szCs w:val="21"/>
                    </w:rPr>
                    <w:t xml:space="preserve"> </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0</w:t>
                  </w:r>
                </w:p>
              </w:tc>
            </w:tr>
            <w:tr>
              <w:tblPrEx>
                <w:tblCellMar>
                  <w:top w:w="0" w:type="dxa"/>
                  <w:left w:w="108" w:type="dxa"/>
                  <w:bottom w:w="0" w:type="dxa"/>
                  <w:right w:w="108" w:type="dxa"/>
                </w:tblCellMar>
              </w:tblPrEx>
              <w:trPr>
                <w:trHeight w:val="285" w:hRule="atLeast"/>
                <w:jc w:val="center"/>
              </w:trPr>
              <w:tc>
                <w:tcPr>
                  <w:tcW w:w="828"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19</w:t>
                  </w:r>
                </w:p>
              </w:tc>
              <w:tc>
                <w:tcPr>
                  <w:tcW w:w="3441"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pacing w:val="-2"/>
                      <w:szCs w:val="21"/>
                    </w:rPr>
                    <w:t>二</w:t>
                  </w:r>
                  <w:r>
                    <w:rPr>
                      <w:rFonts w:hint="eastAsia" w:asciiTheme="minorEastAsia" w:hAnsiTheme="minorEastAsia" w:eastAsiaTheme="minorEastAsia" w:cstheme="minorEastAsia"/>
                      <w:szCs w:val="21"/>
                    </w:rPr>
                    <w:t>硫</w:t>
                  </w:r>
                  <w:r>
                    <w:rPr>
                      <w:rFonts w:hint="eastAsia" w:asciiTheme="minorEastAsia" w:hAnsiTheme="minorEastAsia" w:eastAsiaTheme="minorEastAsia" w:cstheme="minorEastAsia"/>
                      <w:spacing w:val="-2"/>
                      <w:szCs w:val="21"/>
                    </w:rPr>
                    <w:t>化</w:t>
                  </w:r>
                  <w:r>
                    <w:rPr>
                      <w:rFonts w:hint="eastAsia" w:asciiTheme="minorEastAsia" w:hAnsiTheme="minorEastAsia" w:eastAsiaTheme="minorEastAsia" w:cstheme="minorEastAsia"/>
                      <w:szCs w:val="21"/>
                    </w:rPr>
                    <w:t>碳/（</w:t>
                  </w:r>
                  <w:r>
                    <w:rPr>
                      <w:rFonts w:hint="eastAsia" w:asciiTheme="minorEastAsia" w:hAnsiTheme="minorEastAsia" w:eastAsiaTheme="minorEastAsia" w:cstheme="minorEastAsia"/>
                      <w:spacing w:val="-2"/>
                      <w:szCs w:val="21"/>
                    </w:rPr>
                    <w:t>m</w:t>
                  </w:r>
                  <w:r>
                    <w:rPr>
                      <w:rFonts w:hint="eastAsia" w:asciiTheme="minorEastAsia" w:hAnsiTheme="minorEastAsia" w:eastAsiaTheme="minorEastAsia" w:cstheme="minorEastAsia"/>
                      <w:szCs w:val="21"/>
                    </w:rPr>
                    <w:t>g/（m</w:t>
                  </w:r>
                  <w:r>
                    <w:rPr>
                      <w:rFonts w:hint="eastAsia" w:asciiTheme="minorEastAsia" w:hAnsiTheme="minorEastAsia" w:eastAsiaTheme="minorEastAsia" w:cstheme="minorEastAsia"/>
                      <w:spacing w:val="-2"/>
                      <w:szCs w:val="21"/>
                      <w:vertAlign w:val="superscript"/>
                    </w:rPr>
                    <w:t>2</w:t>
                  </w:r>
                  <w:r>
                    <w:rPr>
                      <w:rFonts w:hint="eastAsia" w:asciiTheme="minorEastAsia" w:hAnsiTheme="minorEastAsia" w:eastAsiaTheme="minorEastAsia" w:cstheme="minorEastAsia"/>
                      <w:szCs w:val="21"/>
                    </w:rPr>
                    <w:t>•h）</w:t>
                  </w:r>
                  <w:r>
                    <w:rPr>
                      <w:rFonts w:hint="eastAsia" w:asciiTheme="minorEastAsia" w:hAnsiTheme="minorEastAsia" w:eastAsiaTheme="minorEastAsia" w:cstheme="minorEastAsia"/>
                      <w:spacing w:val="-2"/>
                      <w:szCs w:val="21"/>
                    </w:rPr>
                    <w:t>）</w:t>
                  </w:r>
                </w:p>
              </w:tc>
              <w:tc>
                <w:tcPr>
                  <w:tcW w:w="15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pacing w:val="-2"/>
                      <w:szCs w:val="21"/>
                    </w:rPr>
                    <w:t>0</w:t>
                  </w:r>
                </w:p>
              </w:tc>
            </w:tr>
            <w:tr>
              <w:tblPrEx>
                <w:tblCellMar>
                  <w:top w:w="0" w:type="dxa"/>
                  <w:left w:w="108" w:type="dxa"/>
                  <w:bottom w:w="0" w:type="dxa"/>
                  <w:right w:w="108" w:type="dxa"/>
                </w:tblCellMar>
              </w:tblPrEx>
              <w:trPr>
                <w:trHeight w:val="28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无机填料含量</w:t>
                  </w:r>
                </w:p>
              </w:tc>
              <w:tc>
                <w:tcPr>
                  <w:tcW w:w="5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20</w:t>
                  </w:r>
                </w:p>
              </w:tc>
              <w:tc>
                <w:tcPr>
                  <w:tcW w:w="3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zCs w:val="21"/>
                    </w:rPr>
                    <w:t>无机填料含量/（%</w:t>
                  </w:r>
                  <w:r>
                    <w:rPr>
                      <w:rFonts w:hint="eastAsia" w:asciiTheme="minorEastAsia" w:hAnsiTheme="minorEastAsia" w:eastAsiaTheme="minorEastAsia" w:cstheme="minorEastAsia"/>
                      <w:spacing w:val="-2"/>
                      <w:szCs w:val="21"/>
                    </w:rPr>
                    <w:t>）</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w:t>
                  </w: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3、硅PU成品符合GB36246-2018《中小学合成材料面层运动场地》标准球类场地、非渗水型物理要求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7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378"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检测项目</w:t>
                  </w:r>
                </w:p>
              </w:tc>
              <w:tc>
                <w:tcPr>
                  <w:tcW w:w="3347"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378"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冲击吸收，%</w:t>
                  </w:r>
                </w:p>
              </w:tc>
              <w:tc>
                <w:tcPr>
                  <w:tcW w:w="3347"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球类场地：20~50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378"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垂直变形，mm</w:t>
                  </w:r>
                </w:p>
              </w:tc>
              <w:tc>
                <w:tcPr>
                  <w:tcW w:w="3347"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378"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抗滑值（BPN，20℃）</w:t>
                  </w:r>
                </w:p>
              </w:tc>
              <w:tc>
                <w:tcPr>
                  <w:tcW w:w="3347" w:type="dxa"/>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球类场地及其他活动场地：80～110（干测）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2378"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拉伸强度，MPa</w:t>
                  </w:r>
                </w:p>
              </w:tc>
              <w:tc>
                <w:tcPr>
                  <w:tcW w:w="3347"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非渗水型面层：≥0.5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4" w:type="dxa"/>
                  <w:vAlign w:val="center"/>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2378"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拉断伸长率，%</w:t>
                  </w:r>
                </w:p>
              </w:tc>
              <w:tc>
                <w:tcPr>
                  <w:tcW w:w="3347"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34" w:type="dxa"/>
                  <w:vAlign w:val="center"/>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w:t>
                  </w:r>
                </w:p>
              </w:tc>
              <w:tc>
                <w:tcPr>
                  <w:tcW w:w="2378"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阻燃，级</w:t>
                  </w:r>
                </w:p>
              </w:tc>
              <w:tc>
                <w:tcPr>
                  <w:tcW w:w="3347" w:type="dxa"/>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I级（燃斑直径≤50mm）</w:t>
                  </w:r>
                </w:p>
              </w:tc>
            </w:tr>
          </w:tbl>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4、硅PU产品具有“CMA”标志，在80℃放置500h，然后在-40℃放置500h后，拉伸强度、拉断</w:t>
            </w:r>
            <w:r>
              <w:rPr>
                <w:rFonts w:hint="eastAsia" w:asciiTheme="minorEastAsia" w:hAnsiTheme="minorEastAsia" w:eastAsiaTheme="minorEastAsia" w:cstheme="minorEastAsia"/>
                <w:szCs w:val="21"/>
              </w:rPr>
              <w:t>伸长率、抗滑值检测符合GB36246-2018标准要求，且耐冻融性检测（80℃ 10h，-40℃ 10h）循环50次依据GB/223</w:t>
            </w:r>
            <w:r>
              <w:rPr>
                <w:rFonts w:hint="eastAsia" w:asciiTheme="minorEastAsia" w:hAnsiTheme="minorEastAsia" w:eastAsiaTheme="minorEastAsia" w:cstheme="minorEastAsia"/>
                <w:szCs w:val="21"/>
                <w:highlight w:val="none"/>
              </w:rPr>
              <w:t>74-2018标准要求无粉化、无剥落、无起皮、无开裂、无脱落、颜色与光泽无明显脱色变化的检测报告；提供检测报告必须满足全国认证认可信息公共服务平台真伪查询截图。</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5、硅PU产品具有“CMA”标志，经80℃热空气老化500h后，符合GB36246-2018标准要求冲击吸收、垂直变形、拉伸强度、拉断伸长率的检测报告；提供检测报告必须满足全国认证认可信息公共服务平台真伪查询截图。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6、硅PU产品具有体现“CMA”标志，暴露在自然环境放置14天后，一氧化碳≤0.05mg/m3，二氧化碳≤0.05mg/m3符合GB/T18883-2002室内空气质量标准要求，甲醛≤0.20mg/m3，氨≤0.10mg/m3，苯、甲苯、二甲苯总和≤0.1mg/m3符合GB/T 18204.2-2014 公共场所卫生检验方法第2部分：化学污染物标准要求；提供要求的检测报告；提供检测报告必须满足全国认证认可信息公共服务平台真伪查询截图。</w:t>
            </w:r>
          </w:p>
        </w:tc>
        <w:tc>
          <w:tcPr>
            <w:tcW w:w="793"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平方米</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pStyle w:val="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三、健身器材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6291" w:type="dxa"/>
            <w:gridSpan w:val="2"/>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双联漫步机</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4、易接触的零部件的其他所有棱边予以圆弧过渡或加以防护；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5、器材符合 GB19272-2011 标准，通过 NSCC国体认证。（提供证书）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074420" cy="781050"/>
                  <wp:effectExtent l="0" t="0" r="1143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1074420" cy="781050"/>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太极揉推器</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114mm，立柱壁厚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3、特征：有内设阻尼；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5、易接触的其他零部件的棱边予以圆弧过渡或加以防护。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091565" cy="688340"/>
                  <wp:effectExtent l="0" t="0" r="13335" b="1651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0"/>
                          <a:stretch>
                            <a:fillRect/>
                          </a:stretch>
                        </pic:blipFill>
                        <pic:spPr>
                          <a:xfrm>
                            <a:off x="0" y="0"/>
                            <a:ext cx="1091565" cy="688340"/>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上肢牵引器</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114mm立柱壁厚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4、易接触的零部件的其他所有棱边予以圆弧过渡或加以防护。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5、器材符合 GB19272-2011 标准，通过 NSCC 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drawing>
                <wp:inline distT="0" distB="0" distL="114300" distR="114300">
                  <wp:extent cx="498475" cy="768985"/>
                  <wp:effectExtent l="0" t="0" r="15875" b="1206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1"/>
                          <a:stretch>
                            <a:fillRect/>
                          </a:stretch>
                        </pic:blipFill>
                        <pic:spPr>
                          <a:xfrm>
                            <a:off x="0" y="0"/>
                            <a:ext cx="498475" cy="768985"/>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肘关节训练器</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114mm，立柱壁厚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3、关键特性：内限位；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5、易接触的其他零部件的棱边予以圆弧过渡。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drawing>
                <wp:inline distT="0" distB="0" distL="114300" distR="114300">
                  <wp:extent cx="581025" cy="922020"/>
                  <wp:effectExtent l="0" t="0" r="9525" b="1143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2"/>
                          <a:stretch>
                            <a:fillRect/>
                          </a:stretch>
                        </pic:blipFill>
                        <pic:spPr>
                          <a:xfrm>
                            <a:off x="0" y="0"/>
                            <a:ext cx="581025" cy="922020"/>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腿部侧展训练器</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114mm，立柱壁厚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3、关键特性：内限位。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5、易接触的零部件的其他所有棱边予以圆弧过渡或加以防护。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294765" cy="1016635"/>
                  <wp:effectExtent l="0" t="0" r="635" b="1206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3"/>
                          <a:stretch>
                            <a:fillRect/>
                          </a:stretch>
                        </pic:blipFill>
                        <pic:spPr>
                          <a:xfrm>
                            <a:off x="0" y="0"/>
                            <a:ext cx="1294765" cy="1016635"/>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肱二头肌训练器</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114mm，立柱壁厚</w:t>
            </w:r>
            <w:r>
              <w:rPr>
                <w:rFonts w:hint="eastAsia" w:ascii="宋体" w:hAnsi="宋体" w:cs="宋体"/>
                <w:szCs w:val="21"/>
              </w:rPr>
              <w:t>≥</w:t>
            </w:r>
            <w:r>
              <w:rPr>
                <w:rFonts w:hint="eastAsia" w:asciiTheme="minorEastAsia" w:hAnsiTheme="minorEastAsia" w:eastAsiaTheme="minorEastAsia" w:cstheme="minorEastAsia"/>
                <w:szCs w:val="21"/>
              </w:rPr>
              <w:t>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Ф60mm×3.0mm；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3、关键特性：内限位。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4、各支撑人体的表面所有棱边和尖角的半径</w:t>
            </w:r>
            <w:r>
              <w:rPr>
                <w:rFonts w:hint="eastAsia" w:ascii="宋体" w:hAnsi="宋体" w:cs="宋体"/>
                <w:szCs w:val="21"/>
              </w:rPr>
              <w:t>≥</w:t>
            </w:r>
            <w:r>
              <w:rPr>
                <w:rFonts w:hint="eastAsia" w:asciiTheme="minorEastAsia" w:hAnsiTheme="minorEastAsia" w:eastAsiaTheme="minorEastAsia" w:cstheme="minorEastAsia"/>
                <w:szCs w:val="21"/>
              </w:rPr>
              <w:t>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5、易接触的零部件的其他所有棱边予以圆弧过渡或加以防护。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269365" cy="962660"/>
                  <wp:effectExtent l="0" t="0" r="6985" b="889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4"/>
                          <a:stretch>
                            <a:fillRect/>
                          </a:stretch>
                        </pic:blipFill>
                        <pic:spPr>
                          <a:xfrm>
                            <a:off x="0" y="0"/>
                            <a:ext cx="1269365" cy="962660"/>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7</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直埋式篮球架</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1、立柱直径尺寸：钢管</w:t>
            </w:r>
            <w:r>
              <w:rPr>
                <w:rFonts w:hint="eastAsia" w:ascii="宋体" w:hAnsi="宋体" w:cs="宋体"/>
                <w:szCs w:val="21"/>
              </w:rPr>
              <w:t>≥</w:t>
            </w:r>
            <w:r>
              <w:rPr>
                <w:rFonts w:hint="eastAsia" w:asciiTheme="minorEastAsia" w:hAnsiTheme="minorEastAsia" w:eastAsiaTheme="minorEastAsia" w:cstheme="minorEastAsia"/>
                <w:szCs w:val="21"/>
              </w:rPr>
              <w:t>165mm，立柱壁厚</w:t>
            </w:r>
            <w:r>
              <w:rPr>
                <w:rFonts w:hint="eastAsia" w:ascii="宋体" w:hAnsi="宋体" w:cs="宋体"/>
                <w:szCs w:val="21"/>
              </w:rPr>
              <w:t>≥</w:t>
            </w:r>
            <w:r>
              <w:rPr>
                <w:rFonts w:hint="eastAsia" w:asciiTheme="minorEastAsia" w:hAnsiTheme="minorEastAsia" w:eastAsiaTheme="minorEastAsia" w:cstheme="minorEastAsia"/>
                <w:szCs w:val="21"/>
              </w:rPr>
              <w:t>4.0mm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2、主要支撑横梁：钢管</w:t>
            </w:r>
            <w:r>
              <w:rPr>
                <w:rFonts w:hint="eastAsia" w:ascii="宋体" w:hAnsi="宋体" w:cs="宋体"/>
                <w:szCs w:val="21"/>
              </w:rPr>
              <w:t>≥</w:t>
            </w:r>
            <w:r>
              <w:rPr>
                <w:rFonts w:hint="eastAsia" w:asciiTheme="minorEastAsia" w:hAnsiTheme="minorEastAsia" w:eastAsiaTheme="minorEastAsia" w:cstheme="minorEastAsia"/>
                <w:szCs w:val="21"/>
              </w:rPr>
              <w:t>Ф165mm×4.0mm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3、关键特性：SMC篮板</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160780" cy="986155"/>
                  <wp:effectExtent l="0" t="0" r="1270" b="444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5"/>
                          <a:srcRect r="2898" b="8134"/>
                          <a:stretch>
                            <a:fillRect/>
                          </a:stretch>
                        </pic:blipFill>
                        <pic:spPr>
                          <a:xfrm>
                            <a:off x="0" y="0"/>
                            <a:ext cx="1160780" cy="986155"/>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副</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8</w:t>
            </w:r>
          </w:p>
        </w:tc>
        <w:tc>
          <w:tcPr>
            <w:tcW w:w="68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室外乒乓球台</w:t>
            </w:r>
          </w:p>
        </w:tc>
        <w:tc>
          <w:tcPr>
            <w:tcW w:w="6291" w:type="dxa"/>
            <w:gridSpan w:val="2"/>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1、立柱直径尺寸</w:t>
            </w:r>
            <w:r>
              <w:rPr>
                <w:rFonts w:hint="eastAsia" w:ascii="宋体" w:hAnsi="宋体" w:cs="宋体"/>
                <w:szCs w:val="21"/>
              </w:rPr>
              <w:t>≥</w:t>
            </w:r>
            <w:r>
              <w:rPr>
                <w:rFonts w:hint="eastAsia" w:asciiTheme="minorEastAsia" w:hAnsiTheme="minorEastAsia" w:eastAsiaTheme="minorEastAsia" w:cstheme="minorEastAsia"/>
                <w:szCs w:val="21"/>
              </w:rPr>
              <w:t>Ф60mm，立柱壁厚</w:t>
            </w:r>
            <w:r>
              <w:rPr>
                <w:rFonts w:hint="eastAsia" w:ascii="宋体" w:hAnsi="宋体" w:cs="宋体"/>
                <w:szCs w:val="21"/>
              </w:rPr>
              <w:t>≥</w:t>
            </w:r>
            <w:r>
              <w:rPr>
                <w:rFonts w:hint="eastAsia" w:asciiTheme="minorEastAsia" w:hAnsiTheme="minorEastAsia" w:eastAsiaTheme="minorEastAsia" w:cstheme="minorEastAsia"/>
                <w:szCs w:val="21"/>
              </w:rPr>
              <w:t>2.5mm；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2、主要支撑横梁</w:t>
            </w:r>
            <w:r>
              <w:rPr>
                <w:rFonts w:hint="eastAsia" w:ascii="宋体" w:hAnsi="宋体" w:cs="宋体"/>
                <w:szCs w:val="21"/>
              </w:rPr>
              <w:t>≥</w:t>
            </w:r>
            <w:r>
              <w:rPr>
                <w:rFonts w:hint="eastAsia" w:asciiTheme="minorEastAsia" w:hAnsiTheme="minorEastAsia" w:eastAsiaTheme="minorEastAsia" w:cstheme="minorEastAsia"/>
                <w:szCs w:val="21"/>
              </w:rPr>
              <w:t>20×20×2.0mm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3、器材符合 GB19272-2011 标准，通过 NSCC国体认证。（提供证书）</w:t>
            </w:r>
          </w:p>
          <w:p>
            <w:pPr>
              <w:pStyle w:val="1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248410" cy="770890"/>
                  <wp:effectExtent l="0" t="0" r="8890" b="1016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6"/>
                          <a:stretch>
                            <a:fillRect/>
                          </a:stretch>
                        </pic:blipFill>
                        <pic:spPr>
                          <a:xfrm>
                            <a:off x="0" y="0"/>
                            <a:ext cx="1248410" cy="770890"/>
                          </a:xfrm>
                          <a:prstGeom prst="rect">
                            <a:avLst/>
                          </a:prstGeom>
                          <a:noFill/>
                          <a:ln>
                            <a:noFill/>
                          </a:ln>
                        </pic:spPr>
                      </pic:pic>
                    </a:graphicData>
                  </a:graphic>
                </wp:inline>
              </w:drawing>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pStyle w:val="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备注：为保证产品稳定性，健身器材1-8项器材须为同一品牌，且NSCC国体认证证书须在公告发布之前获得。</w:t>
            </w:r>
          </w:p>
        </w:tc>
      </w:tr>
    </w:tbl>
    <w:p>
      <w:pPr>
        <w:widowControl/>
        <w:spacing w:line="560" w:lineRule="exact"/>
        <w:ind w:firstLine="482"/>
        <w:rPr>
          <w:b/>
          <w:bCs/>
          <w:sz w:val="24"/>
        </w:rPr>
      </w:pPr>
    </w:p>
    <w:p>
      <w:pPr>
        <w:widowControl/>
        <w:spacing w:line="560" w:lineRule="exact"/>
        <w:ind w:firstLine="482"/>
        <w:rPr>
          <w:rFonts w:asciiTheme="minorEastAsia" w:hAnsiTheme="minorEastAsia" w:eastAsiaTheme="minorEastAsia"/>
          <w:b/>
          <w:bCs/>
          <w:sz w:val="24"/>
        </w:rPr>
      </w:pPr>
      <w:r>
        <w:rPr>
          <w:b/>
          <w:bCs/>
          <w:sz w:val="24"/>
        </w:rPr>
        <w:t>注：本招标项目必须要实质性满足技术要求和商务要求：</w:t>
      </w:r>
    </w:p>
    <w:p>
      <w:pPr>
        <w:pStyle w:val="2"/>
        <w:spacing w:line="560" w:lineRule="exact"/>
        <w:ind w:firstLine="482"/>
        <w:rPr>
          <w:rFonts w:asciiTheme="minorEastAsia" w:hAnsiTheme="minorEastAsia" w:eastAsiaTheme="minorEastAsia"/>
          <w:b/>
          <w:bCs/>
          <w:sz w:val="24"/>
        </w:rPr>
      </w:pPr>
      <w:r>
        <w:rPr>
          <w:rFonts w:hint="eastAsia" w:asciiTheme="minorEastAsia" w:hAnsiTheme="minorEastAsia" w:eastAsiaTheme="minorEastAsia"/>
          <w:b/>
          <w:bCs/>
          <w:sz w:val="24"/>
        </w:rPr>
        <w:t>1</w:t>
      </w:r>
      <w:r>
        <w:rPr>
          <w:rFonts w:asciiTheme="minorEastAsia" w:hAnsiTheme="minorEastAsia" w:eastAsiaTheme="minorEastAsia"/>
          <w:b/>
          <w:bCs/>
          <w:sz w:val="24"/>
        </w:rPr>
        <w:t>、</w:t>
      </w:r>
      <w:r>
        <w:rPr>
          <w:rFonts w:hint="eastAsia" w:asciiTheme="minorEastAsia" w:hAnsiTheme="minorEastAsia" w:eastAsiaTheme="minorEastAsia"/>
          <w:b/>
          <w:bCs/>
          <w:sz w:val="24"/>
        </w:rPr>
        <w:t>供应商</w:t>
      </w:r>
      <w:r>
        <w:rPr>
          <w:rFonts w:asciiTheme="minorEastAsia" w:hAnsiTheme="minorEastAsia" w:eastAsiaTheme="minorEastAsia"/>
          <w:b/>
          <w:bCs/>
          <w:sz w:val="24"/>
        </w:rPr>
        <w:t>提供的货物必须是原装全新、高于或等于招标文件规定技术参数的</w:t>
      </w:r>
      <w:r>
        <w:rPr>
          <w:rFonts w:hint="eastAsia" w:asciiTheme="minorEastAsia" w:hAnsiTheme="minorEastAsia" w:eastAsiaTheme="minorEastAsia"/>
          <w:b/>
          <w:bCs/>
          <w:sz w:val="24"/>
          <w:lang w:val="en-US" w:eastAsia="zh-CN"/>
        </w:rPr>
        <w:tab/>
      </w:r>
      <w:r>
        <w:rPr>
          <w:rFonts w:asciiTheme="minorEastAsia" w:hAnsiTheme="minorEastAsia" w:eastAsiaTheme="minorEastAsia"/>
          <w:b/>
          <w:bCs/>
          <w:sz w:val="24"/>
        </w:rPr>
        <w:t>产品。</w:t>
      </w:r>
    </w:p>
    <w:p>
      <w:pPr>
        <w:widowControl/>
        <w:spacing w:line="560" w:lineRule="exact"/>
        <w:ind w:firstLine="482"/>
        <w:rPr>
          <w:b/>
          <w:bCs/>
          <w:color w:val="323232"/>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w:t>
      </w:r>
      <w:r>
        <w:rPr>
          <w:b/>
          <w:bCs/>
          <w:color w:val="323232"/>
          <w:sz w:val="24"/>
        </w:rPr>
        <w:t>属于节能产品政府采购</w:t>
      </w:r>
      <w:r>
        <w:rPr>
          <w:rFonts w:hint="eastAsia"/>
          <w:b/>
          <w:bCs/>
          <w:color w:val="323232"/>
          <w:sz w:val="24"/>
        </w:rPr>
        <w:t>品目</w:t>
      </w:r>
      <w:r>
        <w:rPr>
          <w:b/>
          <w:bCs/>
          <w:color w:val="323232"/>
          <w:sz w:val="24"/>
        </w:rPr>
        <w:t>清单规定必须强制采购的</w:t>
      </w:r>
      <w:r>
        <w:rPr>
          <w:rFonts w:hint="eastAsia"/>
          <w:b/>
          <w:bCs/>
          <w:color w:val="323232"/>
          <w:sz w:val="24"/>
        </w:rPr>
        <w:t>；</w:t>
      </w:r>
      <w:r>
        <w:rPr>
          <w:b/>
          <w:bCs/>
          <w:color w:val="323232"/>
          <w:sz w:val="24"/>
        </w:rPr>
        <w:t>必须采购当期节能产品政府采购</w:t>
      </w:r>
      <w:r>
        <w:rPr>
          <w:rFonts w:hint="eastAsia"/>
          <w:b/>
          <w:bCs/>
          <w:color w:val="323232"/>
          <w:sz w:val="24"/>
        </w:rPr>
        <w:t>品目</w:t>
      </w:r>
      <w:r>
        <w:rPr>
          <w:b/>
          <w:bCs/>
          <w:color w:val="323232"/>
          <w:sz w:val="24"/>
        </w:rPr>
        <w:t>清单内设备或产品；在价格、技术、服务等指标同等条件下，优先采购节能、环保产品（需提供</w:t>
      </w:r>
      <w:r>
        <w:rPr>
          <w:rFonts w:hint="eastAsia"/>
          <w:b/>
          <w:bCs/>
          <w:color w:val="323232"/>
          <w:sz w:val="24"/>
        </w:rPr>
        <w:t>供应商</w:t>
      </w:r>
      <w:r>
        <w:rPr>
          <w:b/>
          <w:bCs/>
          <w:color w:val="323232"/>
          <w:sz w:val="24"/>
        </w:rPr>
        <w:t>所投产品属于政府采购</w:t>
      </w:r>
      <w:r>
        <w:rPr>
          <w:rFonts w:hint="eastAsia"/>
          <w:b/>
          <w:bCs/>
          <w:color w:val="323232"/>
          <w:sz w:val="24"/>
        </w:rPr>
        <w:t>品目</w:t>
      </w:r>
      <w:r>
        <w:rPr>
          <w:b/>
          <w:bCs/>
          <w:color w:val="323232"/>
          <w:sz w:val="24"/>
        </w:rPr>
        <w:t>清单规定的节能环保产品的证明材料）。</w:t>
      </w:r>
    </w:p>
    <w:p>
      <w:pPr>
        <w:widowControl/>
        <w:spacing w:line="560" w:lineRule="exact"/>
        <w:ind w:firstLine="482"/>
        <w:rPr>
          <w:rFonts w:asciiTheme="minorEastAsia" w:hAnsiTheme="minorEastAsia" w:eastAsiaTheme="minorEastAsia"/>
          <w:b/>
          <w:bCs/>
          <w:sz w:val="24"/>
        </w:rPr>
      </w:pPr>
    </w:p>
    <w:p>
      <w:pPr>
        <w:pStyle w:val="11"/>
        <w:jc w:val="center"/>
        <w:rPr>
          <w:b/>
          <w:bCs/>
          <w:sz w:val="32"/>
          <w:szCs w:val="32"/>
        </w:rPr>
      </w:pPr>
    </w:p>
    <w:bookmarkEnd w:id="278"/>
    <w:p>
      <w:pPr>
        <w:widowControl/>
        <w:spacing w:line="560" w:lineRule="exact"/>
        <w:ind w:firstLine="482"/>
        <w:rPr>
          <w:rFonts w:asciiTheme="minorEastAsia" w:hAnsiTheme="minorEastAsia" w:eastAsiaTheme="minorEastAsia"/>
          <w:b/>
          <w:bCs/>
          <w:sz w:val="24"/>
        </w:rPr>
      </w:pPr>
      <w:bookmarkStart w:id="280" w:name="_Toc403122572"/>
      <w:bookmarkStart w:id="281" w:name="_Toc426369533"/>
      <w:bookmarkStart w:id="282" w:name="_Toc7906"/>
    </w:p>
    <w:p>
      <w:pPr>
        <w:widowControl/>
        <w:spacing w:line="560" w:lineRule="exact"/>
        <w:ind w:firstLine="482"/>
        <w:rPr>
          <w:rFonts w:asciiTheme="minorEastAsia" w:hAnsiTheme="minorEastAsia" w:eastAsiaTheme="minorEastAsia"/>
          <w:b/>
          <w:bCs/>
          <w:sz w:val="24"/>
        </w:rPr>
      </w:pPr>
    </w:p>
    <w:p>
      <w:pPr>
        <w:rPr>
          <w:sz w:val="32"/>
          <w:szCs w:val="32"/>
        </w:rPr>
      </w:pPr>
    </w:p>
    <w:p>
      <w:pPr>
        <w:pStyle w:val="2"/>
        <w:rPr>
          <w:sz w:val="32"/>
          <w:szCs w:val="32"/>
        </w:rPr>
      </w:pPr>
    </w:p>
    <w:p>
      <w:p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pStyle w:val="4"/>
        <w:spacing w:before="0" w:after="0" w:line="360" w:lineRule="auto"/>
        <w:ind w:firstLine="643" w:firstLineChars="200"/>
        <w:rPr>
          <w:sz w:val="32"/>
          <w:szCs w:val="32"/>
        </w:rPr>
      </w:pPr>
      <w:bookmarkStart w:id="283" w:name="_Toc28947"/>
      <w:r>
        <w:rPr>
          <w:rFonts w:hint="eastAsia"/>
          <w:sz w:val="32"/>
          <w:szCs w:val="32"/>
        </w:rPr>
        <w:t>第六章 质疑与投诉</w:t>
      </w:r>
      <w:bookmarkEnd w:id="283"/>
    </w:p>
    <w:p/>
    <w:p>
      <w:pPr>
        <w:pStyle w:val="5"/>
        <w:rPr>
          <w:rFonts w:ascii="宋体" w:hAnsi="宋体" w:cs="宋体"/>
          <w:b w:val="0"/>
          <w:bCs w:val="0"/>
          <w:szCs w:val="21"/>
        </w:rPr>
      </w:pPr>
      <w:r>
        <w:rPr>
          <w:rFonts w:hint="eastAsia" w:ascii="宋体" w:hAnsi="宋体" w:cs="宋体"/>
          <w:szCs w:val="21"/>
        </w:rPr>
        <w:t>一、质疑与答复</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5"/>
        <w:spacing w:line="360" w:lineRule="auto"/>
        <w:rPr>
          <w:rFonts w:ascii="宋体" w:hAnsi="宋体" w:cs="宋体"/>
          <w:szCs w:val="21"/>
        </w:rPr>
      </w:pPr>
      <w:r>
        <w:rPr>
          <w:rFonts w:hint="eastAsia" w:ascii="宋体" w:hAnsi="宋体" w:cs="宋体"/>
          <w:szCs w:val="21"/>
        </w:rPr>
        <w:t>2. 供应商提出质疑应当提交质疑函和必要的证明材料。政府采购供应商质疑函范本下载地址：</w:t>
      </w:r>
    </w:p>
    <w:p>
      <w:pPr>
        <w:pStyle w:val="25"/>
        <w:spacing w:line="360" w:lineRule="auto"/>
        <w:ind w:left="420" w:leftChars="200" w:firstLine="0" w:firstLineChars="0"/>
        <w:rPr>
          <w:rFonts w:ascii="宋体" w:hAnsi="宋体" w:cs="宋体"/>
          <w:szCs w:val="21"/>
        </w:rPr>
      </w:pPr>
      <w:r>
        <w:fldChar w:fldCharType="begin"/>
      </w:r>
      <w:r>
        <w:instrText xml:space="preserve"> HYPERLINK "http://download.ccgp.gov.cn/2018/zhiyihanfanben.zip；" </w:instrText>
      </w:r>
      <w:r>
        <w:fldChar w:fldCharType="separate"/>
      </w:r>
      <w:r>
        <w:rPr>
          <w:rStyle w:val="29"/>
          <w:rFonts w:hint="eastAsia" w:ascii="宋体" w:hAnsi="宋体" w:cs="宋体"/>
          <w:color w:val="auto"/>
          <w:szCs w:val="21"/>
        </w:rPr>
        <w:t>http://download.ccgp.gov.cn/2018/zhiyihanfanben.zip；</w:t>
      </w:r>
      <w:r>
        <w:rPr>
          <w:rStyle w:val="29"/>
          <w:rFonts w:hint="eastAsia" w:ascii="宋体" w:hAnsi="宋体" w:cs="宋体"/>
          <w:color w:val="auto"/>
          <w:szCs w:val="21"/>
        </w:rPr>
        <w:fldChar w:fldCharType="end"/>
      </w:r>
    </w:p>
    <w:p>
      <w:pPr>
        <w:numPr>
          <w:ilvl w:val="0"/>
          <w:numId w:val="13"/>
        </w:numPr>
        <w:spacing w:line="360" w:lineRule="auto"/>
        <w:ind w:firstLine="420" w:firstLineChars="200"/>
        <w:rPr>
          <w:rFonts w:ascii="宋体" w:hAnsi="宋体" w:cs="宋体"/>
          <w:szCs w:val="21"/>
        </w:rPr>
      </w:pPr>
      <w:r>
        <w:rPr>
          <w:rFonts w:hint="eastAsia" w:ascii="宋体" w:hAnsi="宋体" w:cs="宋体"/>
          <w:szCs w:val="21"/>
        </w:rPr>
        <w:t>采购人、采购代理机构不得拒收质疑供应商在法定质疑期内发出的质疑函，应当在收到质疑函后7个工作日内作出答复，并以书面形式通知质疑供应商和其他有关供应商。</w:t>
      </w:r>
    </w:p>
    <w:p>
      <w:pPr>
        <w:numPr>
          <w:ilvl w:val="0"/>
          <w:numId w:val="13"/>
        </w:numPr>
        <w:spacing w:line="360" w:lineRule="auto"/>
        <w:ind w:firstLine="420" w:firstLineChars="200"/>
        <w:rPr>
          <w:rFonts w:ascii="宋体" w:hAnsi="宋体" w:cs="宋体"/>
          <w:szCs w:val="21"/>
        </w:rPr>
      </w:pPr>
      <w:r>
        <w:rPr>
          <w:rFonts w:hint="eastAsia" w:ascii="宋体" w:hAnsi="宋体" w:cs="宋体"/>
          <w:szCs w:val="21"/>
        </w:rPr>
        <w:t>供应商提出质疑应当提交质疑函和必要的证明材料。质疑函应当包括下列内容：</w:t>
      </w:r>
    </w:p>
    <w:p>
      <w:pPr>
        <w:numPr>
          <w:ilvl w:val="1"/>
          <w:numId w:val="13"/>
        </w:numPr>
        <w:spacing w:line="360" w:lineRule="auto"/>
        <w:ind w:left="420" w:leftChars="200"/>
        <w:rPr>
          <w:rFonts w:ascii="宋体" w:hAnsi="宋体" w:cs="宋体"/>
          <w:szCs w:val="21"/>
        </w:rPr>
      </w:pPr>
      <w:r>
        <w:rPr>
          <w:rFonts w:hint="eastAsia" w:ascii="宋体" w:hAnsi="宋体" w:cs="宋体"/>
          <w:szCs w:val="21"/>
        </w:rPr>
        <w:t>供应商的姓名或者名称、地址、邮编、联系人及联系电话；</w:t>
      </w:r>
    </w:p>
    <w:p>
      <w:pPr>
        <w:numPr>
          <w:ilvl w:val="1"/>
          <w:numId w:val="13"/>
        </w:numPr>
        <w:spacing w:line="360" w:lineRule="auto"/>
        <w:ind w:left="420" w:leftChars="200"/>
        <w:rPr>
          <w:rFonts w:ascii="宋体" w:hAnsi="宋体" w:cs="宋体"/>
          <w:szCs w:val="21"/>
        </w:rPr>
      </w:pPr>
      <w:r>
        <w:rPr>
          <w:rFonts w:hint="eastAsia" w:ascii="宋体" w:hAnsi="宋体" w:cs="宋体"/>
          <w:szCs w:val="21"/>
        </w:rPr>
        <w:t>质疑项目的名称、编号；</w:t>
      </w:r>
    </w:p>
    <w:p>
      <w:pPr>
        <w:numPr>
          <w:ilvl w:val="1"/>
          <w:numId w:val="13"/>
        </w:numPr>
        <w:spacing w:line="360" w:lineRule="auto"/>
        <w:ind w:left="420" w:leftChars="200"/>
        <w:rPr>
          <w:rFonts w:ascii="宋体" w:hAnsi="宋体" w:cs="宋体"/>
          <w:szCs w:val="21"/>
        </w:rPr>
      </w:pPr>
      <w:r>
        <w:rPr>
          <w:rFonts w:hint="eastAsia" w:ascii="宋体" w:hAnsi="宋体" w:cs="宋体"/>
          <w:szCs w:val="21"/>
        </w:rPr>
        <w:t>具体、明确的质疑事项和与质疑事项相关的请求；</w:t>
      </w:r>
    </w:p>
    <w:p>
      <w:pPr>
        <w:numPr>
          <w:ilvl w:val="1"/>
          <w:numId w:val="13"/>
        </w:numPr>
        <w:spacing w:line="360" w:lineRule="auto"/>
        <w:ind w:left="420" w:leftChars="200"/>
        <w:rPr>
          <w:rFonts w:ascii="宋体" w:hAnsi="宋体" w:cs="宋体"/>
          <w:szCs w:val="21"/>
        </w:rPr>
      </w:pPr>
      <w:r>
        <w:rPr>
          <w:rFonts w:hint="eastAsia" w:ascii="宋体" w:hAnsi="宋体" w:cs="宋体"/>
          <w:szCs w:val="21"/>
        </w:rPr>
        <w:t>事实依据；</w:t>
      </w:r>
    </w:p>
    <w:p>
      <w:pPr>
        <w:numPr>
          <w:ilvl w:val="1"/>
          <w:numId w:val="13"/>
        </w:numPr>
        <w:spacing w:line="360" w:lineRule="auto"/>
        <w:ind w:left="420" w:leftChars="200"/>
        <w:rPr>
          <w:rFonts w:ascii="宋体" w:hAnsi="宋体" w:cs="宋体"/>
          <w:szCs w:val="21"/>
        </w:rPr>
      </w:pPr>
      <w:r>
        <w:rPr>
          <w:rFonts w:hint="eastAsia" w:ascii="宋体" w:hAnsi="宋体" w:cs="宋体"/>
          <w:szCs w:val="21"/>
        </w:rPr>
        <w:t>必要的法律依据；</w:t>
      </w:r>
    </w:p>
    <w:p>
      <w:pPr>
        <w:numPr>
          <w:ilvl w:val="1"/>
          <w:numId w:val="13"/>
        </w:numPr>
        <w:spacing w:line="360" w:lineRule="auto"/>
        <w:ind w:left="420" w:leftChars="200"/>
        <w:rPr>
          <w:rFonts w:ascii="宋体" w:hAnsi="宋体" w:cs="宋体"/>
          <w:szCs w:val="21"/>
        </w:rPr>
      </w:pPr>
      <w:r>
        <w:rPr>
          <w:rFonts w:hint="eastAsia" w:ascii="宋体" w:hAnsi="宋体" w:cs="宋体"/>
          <w:szCs w:val="21"/>
        </w:rPr>
        <w:t>提出质疑的日期；</w:t>
      </w:r>
    </w:p>
    <w:p>
      <w:pPr>
        <w:numPr>
          <w:ilvl w:val="1"/>
          <w:numId w:val="13"/>
        </w:numPr>
        <w:spacing w:line="360" w:lineRule="auto"/>
        <w:ind w:left="420" w:leftChars="200"/>
        <w:rPr>
          <w:rFonts w:ascii="宋体" w:hAnsi="宋体" w:cs="宋体"/>
          <w:szCs w:val="21"/>
        </w:rPr>
      </w:pPr>
      <w:r>
        <w:rPr>
          <w:rFonts w:hint="eastAsia" w:ascii="宋体" w:hAnsi="宋体" w:cs="宋体"/>
          <w:szCs w:val="21"/>
        </w:rPr>
        <w:t>获取招标文件的凭证；</w:t>
      </w:r>
    </w:p>
    <w:p>
      <w:pPr>
        <w:numPr>
          <w:ilvl w:val="1"/>
          <w:numId w:val="13"/>
        </w:numPr>
        <w:spacing w:line="360" w:lineRule="auto"/>
        <w:ind w:left="420" w:leftChars="200"/>
        <w:rPr>
          <w:rFonts w:ascii="宋体" w:hAnsi="宋体" w:cs="宋体"/>
          <w:szCs w:val="21"/>
        </w:rPr>
      </w:pPr>
      <w:r>
        <w:rPr>
          <w:rFonts w:hint="eastAsia" w:ascii="宋体" w:hAnsi="宋体" w:cs="宋体"/>
          <w:szCs w:val="21"/>
        </w:rPr>
        <w:t>以上资料一式二份（采购人、采购代理机构各执一份）。</w:t>
      </w:r>
    </w:p>
    <w:p>
      <w:pPr>
        <w:numPr>
          <w:ilvl w:val="0"/>
          <w:numId w:val="13"/>
        </w:numPr>
        <w:spacing w:line="360" w:lineRule="auto"/>
        <w:ind w:firstLine="420" w:firstLineChars="200"/>
        <w:rPr>
          <w:rFonts w:ascii="宋体" w:hAnsi="宋体" w:cs="宋体"/>
          <w:szCs w:val="21"/>
        </w:rPr>
      </w:pPr>
      <w:r>
        <w:rPr>
          <w:rFonts w:hint="eastAsia" w:ascii="宋体" w:hAnsi="宋体" w:cs="宋体"/>
          <w:szCs w:val="21"/>
        </w:rPr>
        <w:t>供应商不得虚假质疑和恶意质疑，并对质疑内容的真实性承担责任。</w:t>
      </w:r>
    </w:p>
    <w:p>
      <w:pPr>
        <w:pStyle w:val="5"/>
        <w:rPr>
          <w:rFonts w:ascii="宋体" w:hAnsi="宋体" w:cs="宋体"/>
          <w:b w:val="0"/>
          <w:bCs w:val="0"/>
          <w:szCs w:val="21"/>
        </w:rPr>
      </w:pPr>
      <w:r>
        <w:rPr>
          <w:rFonts w:hint="eastAsia" w:ascii="宋体" w:hAnsi="宋体" w:cs="宋体"/>
          <w:szCs w:val="21"/>
        </w:rPr>
        <w:t>二、投诉与处理</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2、质疑供应商对采购人、采购代理机构的答复不满意，或者采购人、采购代理机构未在规定时间内作出答复的，可以在答复期满后15个工作日内向财政部门提起投诉。</w:t>
      </w:r>
    </w:p>
    <w:p>
      <w:pPr>
        <w:pStyle w:val="24"/>
        <w:spacing w:line="360" w:lineRule="auto"/>
        <w:ind w:firstLineChars="200"/>
        <w:rPr>
          <w:rFonts w:hint="default" w:ascii="宋体" w:hAnsi="宋体" w:eastAsia="宋体" w:cs="宋体"/>
          <w:sz w:val="21"/>
          <w:szCs w:val="21"/>
        </w:rPr>
      </w:pPr>
      <w:r>
        <w:rPr>
          <w:rFonts w:ascii="宋体" w:hAnsi="宋体" w:eastAsia="宋体" w:cs="宋体"/>
          <w:sz w:val="21"/>
          <w:szCs w:val="21"/>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4"/>
        <w:spacing w:line="360" w:lineRule="auto"/>
        <w:ind w:firstLine="640" w:firstLineChars="200"/>
        <w:rPr>
          <w:rFonts w:hint="default" w:ascii="宋体" w:hAnsi="宋体" w:eastAsia="宋体" w:cs="宋体"/>
          <w:sz w:val="21"/>
          <w:szCs w:val="21"/>
        </w:rPr>
      </w:pPr>
      <w:r>
        <w:fldChar w:fldCharType="begin"/>
      </w:r>
      <w:r>
        <w:instrText xml:space="preserve"> HYPERLINK "http://download.ccgp.gov.cn/2018/tousushufanben.zip" </w:instrText>
      </w:r>
      <w:r>
        <w:fldChar w:fldCharType="separate"/>
      </w:r>
      <w:r>
        <w:rPr>
          <w:rStyle w:val="29"/>
          <w:rFonts w:ascii="宋体" w:hAnsi="宋体" w:eastAsia="宋体" w:cs="宋体"/>
          <w:color w:val="auto"/>
          <w:sz w:val="21"/>
          <w:szCs w:val="21"/>
        </w:rPr>
        <w:t>http://download.ccgp.gov.cn/2018/tousushufanben.zip</w:t>
      </w:r>
      <w:r>
        <w:rPr>
          <w:rStyle w:val="29"/>
          <w:rFonts w:ascii="宋体" w:hAnsi="宋体" w:eastAsia="宋体" w:cs="宋体"/>
          <w:color w:val="auto"/>
          <w:sz w:val="21"/>
          <w:szCs w:val="21"/>
        </w:rPr>
        <w:fldChar w:fldCharType="end"/>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财政部门自收到投诉之日起30个工作日内，对投诉事项作出处理决定并公示。</w:t>
      </w:r>
    </w:p>
    <w:p>
      <w:pPr>
        <w:spacing w:line="360" w:lineRule="auto"/>
        <w:ind w:firstLine="420" w:firstLineChars="200"/>
        <w:rPr>
          <w:rFonts w:ascii="宋体" w:hAnsi="宋体" w:cs="宋体"/>
          <w:szCs w:val="21"/>
        </w:rPr>
      </w:pPr>
      <w:r>
        <w:rPr>
          <w:rFonts w:hint="eastAsia" w:ascii="宋体" w:hAnsi="宋体" w:cs="宋体"/>
          <w:szCs w:val="21"/>
        </w:rPr>
        <w:t>投诉人在全国范围12个月内三次以上投诉查无实据的，由财政部门列入不良行为记录名单。</w:t>
      </w:r>
    </w:p>
    <w:p>
      <w:pPr>
        <w:spacing w:line="360" w:lineRule="auto"/>
        <w:ind w:firstLine="420" w:firstLineChars="200"/>
        <w:rPr>
          <w:rFonts w:ascii="宋体" w:hAnsi="宋体" w:cs="宋体"/>
          <w:szCs w:val="21"/>
        </w:rPr>
      </w:pPr>
      <w:r>
        <w:rPr>
          <w:rFonts w:hint="eastAsia" w:ascii="宋体" w:hAnsi="宋体" w:cs="宋体"/>
          <w:szCs w:val="21"/>
        </w:rPr>
        <w:t>投诉人有财政部94号令第三十七条情形的，属于虚假、恶意投诉，由财政部门列入不良行为记录名单，禁止其1至3年内参加政府采购活动。</w:t>
      </w:r>
    </w:p>
    <w:p>
      <w:pPr>
        <w:pStyle w:val="25"/>
        <w:spacing w:line="360" w:lineRule="auto"/>
        <w:rPr>
          <w:rFonts w:ascii="宋体" w:hAnsi="宋体" w:cs="宋体"/>
          <w:szCs w:val="21"/>
        </w:rPr>
      </w:pPr>
    </w:p>
    <w:p>
      <w:pPr>
        <w:rPr>
          <w:rFonts w:ascii="宋体" w:hAnsi="宋体" w:cs="宋体"/>
          <w:b/>
          <w:bCs/>
          <w:szCs w:val="21"/>
        </w:rPr>
      </w:pPr>
      <w:r>
        <w:rPr>
          <w:rFonts w:hint="eastAsia" w:ascii="宋体" w:hAnsi="宋体" w:cs="宋体"/>
          <w:szCs w:val="21"/>
        </w:rPr>
        <w:t xml:space="preserve">投诉联系电话：0391-8683273  地址：博爱县机关综合办公楼主楼1213室 </w:t>
      </w:r>
    </w:p>
    <w:p>
      <w:pPr>
        <w:rPr>
          <w:rFonts w:ascii="宋体" w:hAnsi="宋体" w:cs="宋体"/>
          <w:szCs w:val="21"/>
        </w:rPr>
      </w:pPr>
    </w:p>
    <w:p>
      <w:pPr>
        <w:rPr>
          <w:szCs w:val="21"/>
        </w:rPr>
      </w:pPr>
    </w:p>
    <w:p>
      <w:pPr>
        <w:rPr>
          <w:szCs w:val="21"/>
        </w:rPr>
      </w:pPr>
    </w:p>
    <w:p>
      <w:pPr>
        <w:rPr>
          <w:szCs w:val="21"/>
        </w:rPr>
      </w:pPr>
    </w:p>
    <w:p>
      <w:pPr>
        <w:rPr>
          <w:szCs w:val="21"/>
        </w:rPr>
      </w:pPr>
    </w:p>
    <w:p>
      <w:pPr>
        <w:rPr>
          <w:szCs w:val="21"/>
        </w:rPr>
      </w:pPr>
    </w:p>
    <w:p/>
    <w:p/>
    <w:p>
      <w:pPr>
        <w:pStyle w:val="2"/>
      </w:pPr>
    </w:p>
    <w:p>
      <w:pPr>
        <w:pStyle w:val="3"/>
      </w:pPr>
    </w:p>
    <w:p>
      <w:pPr>
        <w:pStyle w:val="2"/>
      </w:pPr>
    </w:p>
    <w:p>
      <w:pPr>
        <w:pStyle w:val="3"/>
      </w:pPr>
    </w:p>
    <w:p>
      <w:pPr>
        <w:pStyle w:val="2"/>
      </w:pPr>
    </w:p>
    <w:p>
      <w:pPr>
        <w:pStyle w:val="3"/>
      </w:pPr>
    </w:p>
    <w:p>
      <w:pPr>
        <w:pStyle w:val="3"/>
      </w:pPr>
    </w:p>
    <w:p>
      <w:pPr>
        <w:pStyle w:val="24"/>
        <w:spacing w:line="360" w:lineRule="auto"/>
        <w:ind w:firstLine="643" w:firstLineChars="200"/>
        <w:jc w:val="center"/>
        <w:outlineLvl w:val="0"/>
        <w:rPr>
          <w:rFonts w:hint="default" w:asciiTheme="majorEastAsia" w:hAnsiTheme="majorEastAsia" w:eastAsiaTheme="majorEastAsia" w:cstheme="majorEastAsia"/>
          <w:b/>
          <w:bCs/>
          <w:szCs w:val="32"/>
        </w:rPr>
      </w:pPr>
      <w:bookmarkStart w:id="284" w:name="_Toc7285"/>
      <w:r>
        <w:rPr>
          <w:rFonts w:asciiTheme="majorEastAsia" w:hAnsiTheme="majorEastAsia" w:eastAsiaTheme="majorEastAsia" w:cstheme="majorEastAsia"/>
          <w:b/>
          <w:bCs/>
          <w:szCs w:val="32"/>
        </w:rPr>
        <w:t>第七章 履约验收</w:t>
      </w:r>
      <w:bookmarkEnd w:id="284"/>
    </w:p>
    <w:p>
      <w:pPr>
        <w:pStyle w:val="25"/>
      </w:pPr>
    </w:p>
    <w:p>
      <w:pPr>
        <w:pStyle w:val="24"/>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pPr>
        <w:pStyle w:val="24"/>
        <w:numPr>
          <w:ilvl w:val="0"/>
          <w:numId w:val="14"/>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4"/>
        <w:numPr>
          <w:ilvl w:val="0"/>
          <w:numId w:val="14"/>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4"/>
        <w:numPr>
          <w:ilvl w:val="0"/>
          <w:numId w:val="14"/>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4"/>
        <w:numPr>
          <w:ilvl w:val="0"/>
          <w:numId w:val="14"/>
        </w:numPr>
        <w:spacing w:line="360" w:lineRule="auto"/>
        <w:ind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2"/>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3"/>
        <w:rPr>
          <w:rFonts w:asciiTheme="minorEastAsia" w:hAnsiTheme="minorEastAsia" w:eastAsiaTheme="minorEastAsia" w:cstheme="minorEastAsia"/>
          <w:szCs w:val="21"/>
        </w:rPr>
      </w:pPr>
    </w:p>
    <w:p>
      <w:pPr>
        <w:pStyle w:val="2"/>
      </w:pPr>
    </w:p>
    <w:p>
      <w:pPr>
        <w:pStyle w:val="2"/>
      </w:pPr>
    </w:p>
    <w:p>
      <w:pPr>
        <w:pStyle w:val="22"/>
        <w:spacing w:line="600" w:lineRule="exact"/>
        <w:ind w:right="-63" w:rightChars="-30"/>
        <w:rPr>
          <w:rFonts w:asciiTheme="minorEastAsia" w:hAnsiTheme="minorEastAsia" w:eastAsiaTheme="minorEastAsia" w:cstheme="minorEastAsia"/>
          <w:sz w:val="36"/>
          <w:szCs w:val="36"/>
        </w:rPr>
      </w:pPr>
      <w:bookmarkStart w:id="285" w:name="_Toc12999"/>
      <w:bookmarkStart w:id="286" w:name="_Toc14191"/>
      <w:r>
        <w:rPr>
          <w:rFonts w:hint="eastAsia" w:asciiTheme="minorEastAsia" w:hAnsiTheme="minorEastAsia" w:eastAsiaTheme="minorEastAsia" w:cstheme="minorEastAsia"/>
          <w:sz w:val="36"/>
          <w:szCs w:val="36"/>
        </w:rPr>
        <w:t>第八章  投标文件格式</w:t>
      </w:r>
      <w:bookmarkEnd w:id="280"/>
      <w:bookmarkEnd w:id="281"/>
      <w:bookmarkEnd w:id="282"/>
      <w:bookmarkEnd w:id="285"/>
      <w:bookmarkEnd w:id="286"/>
    </w:p>
    <w:p>
      <w:pPr>
        <w:rPr>
          <w:rFonts w:asciiTheme="minorEastAsia" w:hAnsiTheme="minorEastAsia" w:eastAsiaTheme="minorEastAsia" w:cstheme="minorEastAsia"/>
        </w:rPr>
      </w:pPr>
      <w:bookmarkStart w:id="287" w:name="_Toc27452"/>
      <w:bookmarkStart w:id="288" w:name="_Toc402961301"/>
      <w:bookmarkStart w:id="289" w:name="_Toc18905"/>
      <w:bookmarkStart w:id="290" w:name="_Toc403122573"/>
    </w:p>
    <w:bookmarkEnd w:id="287"/>
    <w:bookmarkEnd w:id="288"/>
    <w:bookmarkEnd w:id="289"/>
    <w:bookmarkEnd w:id="290"/>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25"/>
      </w:pPr>
    </w:p>
    <w:p>
      <w:pPr>
        <w:pStyle w:val="25"/>
      </w:pPr>
    </w:p>
    <w:p>
      <w:pPr>
        <w:pStyle w:val="2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9"/>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5"/>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5"/>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5"/>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5"/>
        <w:ind w:firstLine="883"/>
        <w:rPr>
          <w:rFonts w:asciiTheme="minorEastAsia" w:hAnsiTheme="minorEastAsia" w:eastAsiaTheme="minorEastAsia" w:cstheme="minorEastAsia"/>
          <w:b/>
          <w:bCs/>
          <w:sz w:val="44"/>
          <w:szCs w:val="44"/>
        </w:rPr>
      </w:pPr>
    </w:p>
    <w:p>
      <w:pPr>
        <w:rPr>
          <w:rFonts w:asciiTheme="minorEastAsia" w:hAnsiTheme="minorEastAsia" w:eastAsiaTheme="minorEastAsia" w:cstheme="minorEastAsia"/>
          <w:b/>
          <w:bCs/>
          <w:sz w:val="44"/>
          <w:szCs w:val="44"/>
        </w:rPr>
      </w:pPr>
    </w:p>
    <w:p>
      <w:pPr>
        <w:pStyle w:val="25"/>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600" w:lineRule="exact"/>
        <w:jc w:val="center"/>
        <w:outlineLvl w:val="1"/>
        <w:rPr>
          <w:rFonts w:asciiTheme="minorEastAsia" w:hAnsiTheme="minorEastAsia" w:eastAsiaTheme="minorEastAsia" w:cstheme="minorEastAsia"/>
          <w:b/>
          <w:bCs/>
          <w:sz w:val="28"/>
          <w:szCs w:val="28"/>
        </w:rPr>
      </w:pPr>
      <w:bookmarkStart w:id="291" w:name="_Toc31547"/>
      <w:bookmarkStart w:id="292"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93" w:name="_Toc1921"/>
      <w:r>
        <w:rPr>
          <w:rFonts w:hint="eastAsia" w:asciiTheme="minorEastAsia" w:hAnsiTheme="minorEastAsia" w:eastAsiaTheme="minorEastAsia" w:cstheme="minorEastAsia"/>
          <w:b/>
          <w:bCs/>
          <w:sz w:val="30"/>
          <w:szCs w:val="30"/>
        </w:rPr>
        <w:t>一、投标函</w:t>
      </w:r>
      <w:bookmarkEnd w:id="291"/>
      <w:r>
        <w:rPr>
          <w:rFonts w:hint="eastAsia" w:asciiTheme="minorEastAsia" w:hAnsiTheme="minorEastAsia" w:eastAsiaTheme="minorEastAsia" w:cstheme="minorEastAsia"/>
          <w:b/>
          <w:bCs/>
          <w:sz w:val="30"/>
          <w:szCs w:val="30"/>
        </w:rPr>
        <w:t>及开标一览表</w:t>
      </w:r>
      <w:bookmarkEnd w:id="292"/>
      <w:bookmarkEnd w:id="293"/>
    </w:p>
    <w:p>
      <w:pPr>
        <w:numPr>
          <w:ilvl w:val="0"/>
          <w:numId w:val="15"/>
        </w:numPr>
        <w:spacing w:line="600" w:lineRule="exact"/>
        <w:jc w:val="center"/>
        <w:outlineLvl w:val="2"/>
        <w:rPr>
          <w:rFonts w:asciiTheme="minorEastAsia" w:hAnsiTheme="minorEastAsia" w:eastAsiaTheme="minorEastAsia" w:cstheme="minorEastAsia"/>
          <w:b/>
          <w:sz w:val="28"/>
          <w:szCs w:val="28"/>
        </w:rPr>
      </w:pPr>
      <w:bookmarkStart w:id="294" w:name="_Toc27218"/>
      <w:bookmarkStart w:id="295" w:name="_Toc600"/>
      <w:bookmarkStart w:id="296" w:name="_Toc28684"/>
      <w:bookmarkStart w:id="297" w:name="_Toc12044"/>
      <w:r>
        <w:rPr>
          <w:rFonts w:hint="eastAsia" w:asciiTheme="minorEastAsia" w:hAnsiTheme="minorEastAsia" w:eastAsiaTheme="minorEastAsia" w:cstheme="minorEastAsia"/>
          <w:b/>
          <w:sz w:val="28"/>
          <w:szCs w:val="28"/>
        </w:rPr>
        <w:t>投标函</w:t>
      </w:r>
      <w:bookmarkEnd w:id="294"/>
      <w:bookmarkEnd w:id="295"/>
      <w:bookmarkEnd w:id="296"/>
      <w:bookmarkEnd w:id="297"/>
    </w:p>
    <w:p>
      <w:pPr>
        <w:pStyle w:val="25"/>
        <w:ind w:firstLine="0" w:firstLineChars="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4"/>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      </w:t>
      </w:r>
      <w:r>
        <w:rPr>
          <w:rFonts w:ascii="宋体" w:hAnsi="宋体" w:eastAsia="宋体"/>
          <w:sz w:val="24"/>
        </w:rPr>
        <w:t xml:space="preserve"> ）采购文件及有关纪要通知，现对参与投标及中标后工作，做出如下郑重承诺：</w:t>
      </w:r>
    </w:p>
    <w:p>
      <w:pPr>
        <w:spacing w:line="360" w:lineRule="auto"/>
        <w:ind w:firstLine="480" w:firstLineChars="200"/>
        <w:rPr>
          <w:rFonts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元，供货安装期：</w:t>
      </w:r>
      <w:r>
        <w:rPr>
          <w:rFonts w:hint="eastAsia" w:ascii="宋体" w:hAnsi="宋体"/>
          <w:sz w:val="24"/>
          <w:u w:val="single"/>
        </w:rPr>
        <w:t xml:space="preserve">           </w:t>
      </w:r>
      <w:r>
        <w:rPr>
          <w:rFonts w:hint="eastAsia" w:ascii="宋体" w:hAnsi="宋体"/>
          <w:sz w:val="24"/>
        </w:rPr>
        <w:t xml:space="preserve"> ，按合同约定实施和完成本项目。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rPr>
      </w:pPr>
      <w:r>
        <w:rPr>
          <w:rFonts w:hint="eastAsia" w:ascii="宋体" w:hAnsi="宋体"/>
          <w:kern w:val="0"/>
          <w:sz w:val="24"/>
        </w:rPr>
        <w:t>供应商：（盖章）</w:t>
      </w:r>
    </w:p>
    <w:p>
      <w:pPr>
        <w:widowControl/>
        <w:spacing w:line="360" w:lineRule="auto"/>
        <w:ind w:firstLine="480" w:firstLineChars="200"/>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98" w:name="_Toc208"/>
      <w:bookmarkStart w:id="299" w:name="_Toc9543"/>
      <w:bookmarkStart w:id="300" w:name="_Toc31291"/>
      <w:bookmarkStart w:id="301" w:name="_Toc14778"/>
      <w:r>
        <w:rPr>
          <w:rFonts w:hint="eastAsia" w:asciiTheme="minorEastAsia" w:hAnsiTheme="minorEastAsia" w:eastAsiaTheme="minorEastAsia" w:cstheme="minorEastAsia"/>
          <w:b/>
          <w:bCs/>
          <w:sz w:val="28"/>
          <w:szCs w:val="28"/>
        </w:rPr>
        <w:t>（二） 开标一览表</w:t>
      </w:r>
      <w:bookmarkEnd w:id="298"/>
      <w:bookmarkEnd w:id="299"/>
      <w:bookmarkEnd w:id="300"/>
      <w:bookmarkEnd w:id="301"/>
    </w:p>
    <w:p>
      <w:pPr>
        <w:jc w:val="center"/>
        <w:rPr>
          <w:rFonts w:asciiTheme="minorEastAsia" w:hAnsiTheme="minorEastAsia" w:eastAsiaTheme="minorEastAsia" w:cstheme="minorEastAsia"/>
          <w:b/>
          <w:bCs/>
          <w:sz w:val="28"/>
        </w:rPr>
      </w:pPr>
    </w:p>
    <w:tbl>
      <w:tblPr>
        <w:tblStyle w:val="2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2"/>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供货安装期</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2"/>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2"/>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22"/>
        <w:spacing w:before="120" w:after="120" w:line="500" w:lineRule="exact"/>
        <w:ind w:right="29" w:rightChars="14"/>
        <w:outlineLvl w:val="9"/>
        <w:rPr>
          <w:rFonts w:asciiTheme="minorEastAsia" w:hAnsiTheme="minorEastAsia" w:eastAsiaTheme="minorEastAsia" w:cstheme="minorEastAsia"/>
          <w:sz w:val="24"/>
        </w:rPr>
      </w:pPr>
    </w:p>
    <w:p>
      <w:pPr>
        <w:pStyle w:val="22"/>
        <w:spacing w:before="120" w:after="120" w:line="500" w:lineRule="exact"/>
        <w:ind w:right="29" w:rightChars="14"/>
        <w:outlineLvl w:val="9"/>
        <w:rPr>
          <w:rFonts w:asciiTheme="minorEastAsia" w:hAnsiTheme="minorEastAsia" w:eastAsiaTheme="minorEastAsia" w:cstheme="minorEastAsia"/>
          <w:sz w:val="24"/>
        </w:rPr>
        <w:sectPr>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pPr>
        <w:spacing w:line="440" w:lineRule="exact"/>
        <w:ind w:firstLine="308" w:firstLineChars="147"/>
        <w:rPr>
          <w:rFonts w:ascii="宋体" w:hAnsi="宋体" w:cs="宋体"/>
          <w:bCs/>
          <w:szCs w:val="21"/>
        </w:rPr>
      </w:pPr>
    </w:p>
    <w:tbl>
      <w:tblPr>
        <w:tblStyle w:val="26"/>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rPr>
            </w:pPr>
          </w:p>
          <w:p>
            <w:pPr>
              <w:pStyle w:val="21"/>
              <w:widowControl w:val="0"/>
              <w:adjustRightInd w:val="0"/>
              <w:spacing w:before="0" w:beforeAutospacing="0" w:after="0" w:afterAutospacing="0" w:line="480" w:lineRule="exact"/>
              <w:jc w:val="center"/>
              <w:rPr>
                <w:bCs/>
              </w:rPr>
            </w:pPr>
            <w:r>
              <w:rPr>
                <w:rFonts w:hint="eastAsia"/>
                <w:bCs/>
              </w:rPr>
              <w:t>单价（元）</w:t>
            </w:r>
          </w:p>
          <w:p>
            <w:pPr>
              <w:pStyle w:val="21"/>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pPr>
              <w:pStyle w:val="21"/>
              <w:widowControl w:val="0"/>
              <w:adjustRightInd w:val="0"/>
              <w:spacing w:before="0" w:beforeAutospacing="0" w:after="0" w:afterAutospacing="0" w:line="480" w:lineRule="exact"/>
              <w:jc w:val="both"/>
              <w:rPr>
                <w:bCs/>
              </w:rPr>
            </w:pPr>
            <w:r>
              <w:rPr>
                <w:rFonts w:hint="eastAsia"/>
                <w:bCs/>
              </w:rPr>
              <w:t xml:space="preserve"> </w:t>
            </w:r>
          </w:p>
          <w:p>
            <w:pPr>
              <w:pStyle w:val="21"/>
              <w:widowControl w:val="0"/>
              <w:adjustRightInd w:val="0"/>
              <w:spacing w:before="0" w:beforeAutospacing="0" w:after="0" w:afterAutospacing="0" w:line="480" w:lineRule="exact"/>
              <w:jc w:val="both"/>
              <w:rPr>
                <w:bCs/>
              </w:rPr>
            </w:pPr>
            <w:r>
              <w:rPr>
                <w:rFonts w:hint="eastAsia"/>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21"/>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pPr>
              <w:pStyle w:val="21"/>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r>
              <w:rPr>
                <w:rFonts w:hint="eastAsia" w:ascii="宋体" w:hAnsi="宋体" w:cs="宋体"/>
                <w:bCs/>
                <w:sz w:val="24"/>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rPr>
            </w:pPr>
            <w:r>
              <w:rPr>
                <w:rFonts w:hint="eastAsia" w:ascii="宋体" w:hAnsi="宋体" w:cs="宋体"/>
                <w:b/>
                <w:sz w:val="24"/>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供应商：（单位公章）</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6"/>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1"/>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rPr>
            </w:pPr>
          </w:p>
        </w:tc>
      </w:tr>
    </w:tbl>
    <w:p>
      <w:pPr>
        <w:ind w:firstLine="480" w:firstLineChars="200"/>
        <w:rPr>
          <w:rFonts w:ascii="宋体" w:hAnsi="宋体"/>
          <w:sz w:val="24"/>
        </w:rPr>
      </w:pPr>
      <w:r>
        <w:rPr>
          <w:rFonts w:hint="eastAsia" w:ascii="宋体" w:hAnsi="宋体"/>
          <w:sz w:val="24"/>
        </w:rPr>
        <w:t>注：供应商须对照招标文件技术规格，将自己所投的所有货物的功能、技术性能、配置等内容按照上表格式与招标文件要求逐条填写，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pPr>
        <w:ind w:firstLine="480" w:firstLineChars="200"/>
        <w:rPr>
          <w:rFonts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pPr>
        <w:numPr>
          <w:ilvl w:val="0"/>
          <w:numId w:val="16"/>
        </w:numPr>
        <w:ind w:firstLine="480" w:firstLineChars="200"/>
        <w:rPr>
          <w:rFonts w:ascii="宋体" w:hAnsi="宋体"/>
          <w:sz w:val="24"/>
        </w:rPr>
      </w:pPr>
      <w:r>
        <w:rPr>
          <w:rFonts w:hint="eastAsia" w:ascii="宋体" w:hAnsi="宋体"/>
          <w:sz w:val="24"/>
        </w:rPr>
        <w:t>对应项中的所有技术参数、性能和配置全部符合招标文件要求的才能填写“符合”；</w:t>
      </w:r>
    </w:p>
    <w:p>
      <w:pPr>
        <w:numPr>
          <w:ilvl w:val="0"/>
          <w:numId w:val="16"/>
        </w:numPr>
        <w:ind w:firstLine="480" w:firstLineChars="200"/>
        <w:rPr>
          <w:rFonts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Theme="minorEastAsia" w:hAnsiTheme="minorEastAsia" w:eastAsiaTheme="minorEastAsia" w:cstheme="minorEastAsia"/>
          <w:sz w:val="24"/>
        </w:rPr>
        <w:t>供应商</w:t>
      </w:r>
      <w:r>
        <w:rPr>
          <w:rFonts w:hint="eastAsia" w:ascii="宋体" w:hAnsi="宋体" w:cs="宋体"/>
          <w:sz w:val="24"/>
        </w:rPr>
        <w:t>（盖章）：</w:t>
      </w:r>
    </w:p>
    <w:p>
      <w:pPr>
        <w:spacing w:line="600" w:lineRule="exact"/>
        <w:rPr>
          <w:rFonts w:ascii="宋体" w:hAnsi="宋体" w:cs="宋体"/>
          <w:sz w:val="24"/>
        </w:rPr>
      </w:pPr>
      <w:r>
        <w:rPr>
          <w:rFonts w:hint="eastAsia" w:ascii="宋体" w:hAnsi="宋体" w:cs="宋体"/>
          <w:sz w:val="24"/>
        </w:rPr>
        <w:t>法人代表或授权委托人（签字或盖章）：</w:t>
      </w:r>
    </w:p>
    <w:p>
      <w:pPr>
        <w:ind w:firstLine="480"/>
        <w:rPr>
          <w:rFonts w:ascii="宋体" w:hAnsi="宋体" w:cs="宋体"/>
          <w:sz w:val="24"/>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rPr>
        <w:t xml:space="preserve">                                         年    月    日  </w:t>
      </w:r>
    </w:p>
    <w:p>
      <w:pPr>
        <w:pStyle w:val="25"/>
        <w:ind w:firstLine="480"/>
        <w:rPr>
          <w:rFonts w:asciiTheme="minorEastAsia" w:hAnsiTheme="minorEastAsia" w:eastAsiaTheme="minorEastAsia" w:cstheme="minorEastAsia"/>
          <w:sz w:val="24"/>
        </w:rPr>
      </w:pPr>
    </w:p>
    <w:p>
      <w:pPr>
        <w:pStyle w:val="22"/>
        <w:numPr>
          <w:ilvl w:val="0"/>
          <w:numId w:val="17"/>
        </w:numPr>
        <w:spacing w:before="120" w:after="120" w:line="500" w:lineRule="exact"/>
        <w:ind w:right="29" w:rightChars="14"/>
        <w:outlineLvl w:val="1"/>
        <w:rPr>
          <w:rFonts w:asciiTheme="minorEastAsia" w:hAnsiTheme="minorEastAsia" w:eastAsiaTheme="minorEastAsia" w:cstheme="minorEastAsia"/>
          <w:sz w:val="30"/>
          <w:szCs w:val="30"/>
        </w:rPr>
      </w:pPr>
      <w:bookmarkStart w:id="302" w:name="_Toc5614"/>
      <w:bookmarkStart w:id="303" w:name="_Toc17935"/>
      <w:bookmarkStart w:id="304" w:name="_Toc26698"/>
      <w:bookmarkStart w:id="305" w:name="_Toc2213"/>
      <w:r>
        <w:rPr>
          <w:rFonts w:hint="eastAsia" w:asciiTheme="minorEastAsia" w:hAnsiTheme="minorEastAsia" w:eastAsiaTheme="minorEastAsia" w:cstheme="minorEastAsia"/>
          <w:sz w:val="30"/>
          <w:szCs w:val="30"/>
        </w:rPr>
        <w:t>法定代表人身份证明书</w:t>
      </w:r>
      <w:bookmarkEnd w:id="302"/>
      <w:bookmarkEnd w:id="303"/>
      <w:bookmarkEnd w:id="304"/>
      <w:bookmarkEnd w:id="305"/>
    </w:p>
    <w:p/>
    <w:p>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pPr>
        <w:spacing w:line="360" w:lineRule="auto"/>
        <w:ind w:firstLine="480" w:firstLineChars="200"/>
        <w:rPr>
          <w:rFonts w:ascii="宋体" w:hAnsi="宋体"/>
          <w:sz w:val="24"/>
        </w:rPr>
      </w:pPr>
      <w:r>
        <w:rPr>
          <w:rFonts w:hint="eastAsia" w:ascii="宋体" w:hAnsi="宋体"/>
          <w:sz w:val="24"/>
        </w:rPr>
        <w:t>特此证明。</w:t>
      </w:r>
    </w:p>
    <w:p>
      <w:pP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GfVz&#10;2QAAAAoBAAAPAAAAAAAAAAEAIAAAACIAAABkcnMvZG93bnJldi54bWxQSwECFAAUAAAACACHTuJA&#10;x7IXkSACAABTBAAADgAAAAAAAAABACAAAAAoAQAAZHJzL2Uyb0RvYy54bWxQSwUGAAAAAAYABgBZ&#10;AQAAugU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txbxContent>
                </v:textbox>
              </v:shape>
            </w:pict>
          </mc:Fallback>
        </mc:AlternateContent>
      </w:r>
    </w:p>
    <w:p>
      <w:pPr>
        <w:rPr>
          <w:rFonts w:ascii="宋体" w:hAnsi="宋体"/>
          <w:sz w:val="24"/>
        </w:rPr>
      </w:pPr>
    </w:p>
    <w:p>
      <w:pP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CorfZAAAACgEAAA8AAAAA&#10;AAAAAQAgAAAAIgAAAGRycy9kb3ducmV2LnhtbFBLAQIUABQAAAAIAIdO4kB34LhrEwIAAEQEAAAO&#10;AAAAAAAAAAEAIAAAACgBAABkcnMvZTJvRG9jLnhtbFBLBQYAAAAABgAGAFkBAACtBQ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OlBcXZAAAACgEAAA8AAAAAAAAA&#10;AQAgAAAAIgAAAGRycy9kb3ducmV2LnhtbFBLAQIUABQAAAAIAIdO4kDf1IkrEAIAAEQEAAAOAAAA&#10;AAAAAAEAIAAAACgBAABkcnMvZTJvRG9jLnhtbFBLBQYAAAAABgAGAFkBAACq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sz w:val="24"/>
        </w:rPr>
      </w:pPr>
    </w:p>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供应商：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ind w:firstLine="5760" w:firstLineChars="2400"/>
        <w:jc w:val="right"/>
        <w:rPr>
          <w:rFonts w:ascii="宋体" w:hAnsi="宋体"/>
          <w:sz w:val="24"/>
        </w:rPr>
      </w:pPr>
    </w:p>
    <w:p>
      <w:pPr>
        <w:spacing w:line="360" w:lineRule="auto"/>
        <w:ind w:firstLine="5760" w:firstLineChars="2400"/>
        <w:jc w:val="right"/>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2"/>
        <w:spacing w:before="120" w:after="120" w:line="500" w:lineRule="exact"/>
        <w:ind w:right="29" w:rightChars="14"/>
        <w:outlineLvl w:val="1"/>
        <w:rPr>
          <w:rFonts w:asciiTheme="minorEastAsia" w:hAnsiTheme="minorEastAsia" w:eastAsiaTheme="minorEastAsia" w:cstheme="minorEastAsia"/>
          <w:sz w:val="30"/>
          <w:szCs w:val="30"/>
        </w:rPr>
      </w:pPr>
      <w:bookmarkStart w:id="306" w:name="_Toc15395"/>
      <w:bookmarkStart w:id="307" w:name="_Toc5815"/>
      <w:bookmarkStart w:id="308" w:name="_Toc17980"/>
      <w:bookmarkStart w:id="309" w:name="_Toc6009"/>
      <w:r>
        <w:rPr>
          <w:rFonts w:hint="eastAsia" w:asciiTheme="minorEastAsia" w:hAnsiTheme="minorEastAsia" w:eastAsiaTheme="minorEastAsia" w:cstheme="minorEastAsia"/>
          <w:sz w:val="30"/>
          <w:szCs w:val="30"/>
        </w:rPr>
        <w:t>三、授权委托书</w:t>
      </w:r>
      <w:bookmarkEnd w:id="306"/>
      <w:bookmarkEnd w:id="307"/>
      <w:bookmarkEnd w:id="308"/>
      <w:bookmarkEnd w:id="309"/>
    </w:p>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自选图形 7" o:spid="_x0000_s1026" o:spt="176" type="#_x0000_t176" style="position:absolute;left:0pt;margin-left:-28.65pt;margin-top:12.5pt;height:176pt;width:240.2pt;z-index:251663360;mso-width-relative:page;mso-height-relative:page;" fillcolor="#FFFFFF" filled="t" stroked="t"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mb2NgA&#10;AAAKAQAADwAAAAAAAAABACAAAAAiAAAAZHJzL2Rvd25yZXYueG1sUEsBAhQAFAAAAAgAh07iQPrM&#10;wq8fAgAAUwQAAA4AAAAAAAAAAQAgAAAAJwEAAGRycy9lMm9Eb2MueG1sUEsFBgAAAAAGAAYAWQEA&#10;ALgFAA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0.9pt;margin-top:21.5pt;height:23.35pt;width:221.3pt;z-index:25166540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aZSdgAAAAJAQAADwAAAAAAAAAB&#10;ACAAAAAiAAAAZHJzL2Rvd25yZXYueG1sUEsBAhQAFAAAAAgAh07iQEG/d9MQAgAARAQAAA4AAAAA&#10;AAAAAQAgAAAAJwEAAGRycy9lMm9Eb2MueG1sUEsFBgAAAAAGAAYAWQEAAKkFA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22.45pt;margin-top:18.5pt;height:23.35pt;width:221.3pt;z-index:25166643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8R6xfZAAAACQEAAA8AAAAAAAAA&#10;AQAgAAAAIgAAAGRycy9kb3ducmV2LnhtbFBLAQIUABQAAAAIAIdO4kDPjquoEAIAAEQEAAAOAAAA&#10;AAAAAAEAIAAAACgBAABkcnMvZTJvRG9jLnhtbFBLBQYAAAAABgAGAFkBAACqBQ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51"/>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rPr>
      </w:pPr>
    </w:p>
    <w:p>
      <w:pPr>
        <w:pStyle w:val="21"/>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bookmarkStart w:id="310" w:name="_Toc8304"/>
      <w:bookmarkStart w:id="311" w:name="_Toc25161"/>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kern w:val="2"/>
          <w:sz w:val="30"/>
          <w:szCs w:val="30"/>
        </w:rPr>
        <w:t>四、项目实施方案</w:t>
      </w:r>
      <w:bookmarkEnd w:id="310"/>
      <w:r>
        <w:rPr>
          <w:rFonts w:hint="eastAsia" w:asciiTheme="minorEastAsia" w:hAnsiTheme="minorEastAsia" w:eastAsiaTheme="minorEastAsia" w:cstheme="minorEastAsia"/>
          <w:b/>
          <w:kern w:val="2"/>
          <w:sz w:val="30"/>
          <w:szCs w:val="30"/>
        </w:rPr>
        <w:t>等</w:t>
      </w:r>
      <w:bookmarkEnd w:id="311"/>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312" w:name="_Toc10043"/>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rPr>
          <w:rFonts w:ascii="宋体" w:hAnsi="宋体" w:cs="宋体"/>
          <w:b/>
          <w:sz w:val="30"/>
          <w:szCs w:val="30"/>
        </w:rPr>
      </w:pPr>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13" w:name="_Toc29492"/>
      <w:bookmarkStart w:id="314" w:name="_Toc30146"/>
      <w:bookmarkStart w:id="315" w:name="_Toc20650"/>
      <w:r>
        <w:rPr>
          <w:rFonts w:hint="eastAsia" w:asciiTheme="minorEastAsia" w:hAnsiTheme="minorEastAsia" w:eastAsiaTheme="minorEastAsia" w:cstheme="minorEastAsia"/>
          <w:b/>
          <w:kern w:val="2"/>
          <w:sz w:val="30"/>
          <w:szCs w:val="30"/>
        </w:rPr>
        <w:t>五、资格证明文件</w:t>
      </w:r>
      <w:bookmarkEnd w:id="312"/>
      <w:bookmarkEnd w:id="313"/>
      <w:bookmarkEnd w:id="314"/>
      <w:bookmarkEnd w:id="315"/>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25"/>
        <w:ind w:firstLine="482"/>
        <w:rPr>
          <w:b/>
          <w:bCs/>
        </w:rPr>
      </w:pPr>
      <w:r>
        <w:rPr>
          <w:rFonts w:hint="eastAsia"/>
          <w:b/>
          <w:bCs/>
          <w:sz w:val="24"/>
        </w:rPr>
        <w:t>备注：以上资格证明文件须提供原件的扫描件。</w:t>
      </w:r>
    </w:p>
    <w:p>
      <w:pPr>
        <w:pStyle w:val="25"/>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4"/>
        <w:ind w:firstLine="281"/>
        <w:rPr>
          <w:rFonts w:hint="default" w:asciiTheme="minorEastAsia" w:hAnsiTheme="minorEastAsia" w:eastAsiaTheme="minorEastAsia" w:cstheme="minorEastAsia"/>
          <w:b/>
          <w:sz w:val="28"/>
        </w:rPr>
      </w:pPr>
    </w:p>
    <w:p>
      <w:pPr>
        <w:pStyle w:val="25"/>
        <w:ind w:firstLine="562"/>
        <w:rPr>
          <w:rFonts w:asciiTheme="minorEastAsia" w:hAnsiTheme="minorEastAsia" w:eastAsiaTheme="minorEastAsia" w:cstheme="minorEastAsia"/>
          <w:b/>
          <w:sz w:val="28"/>
        </w:rPr>
      </w:pPr>
    </w:p>
    <w:p>
      <w:pPr>
        <w:pStyle w:val="25"/>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1"/>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bookmarkStart w:id="316" w:name="_Toc8330"/>
      <w:bookmarkStart w:id="317" w:name="_Toc6465"/>
      <w:bookmarkStart w:id="318" w:name="_Toc31553"/>
    </w:p>
    <w:p>
      <w:pPr>
        <w:pStyle w:val="21"/>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19" w:name="_Toc4390"/>
      <w:r>
        <w:rPr>
          <w:rFonts w:hint="eastAsia" w:asciiTheme="minorEastAsia" w:hAnsiTheme="minorEastAsia" w:eastAsiaTheme="minorEastAsia" w:cstheme="minorEastAsia"/>
          <w:b/>
          <w:kern w:val="2"/>
          <w:sz w:val="30"/>
          <w:szCs w:val="30"/>
        </w:rPr>
        <w:t>六、供应商服务承诺和优惠承诺</w:t>
      </w:r>
      <w:bookmarkEnd w:id="319"/>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bookmarkStart w:id="320" w:name="_Toc700"/>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16"/>
      <w:bookmarkEnd w:id="320"/>
    </w:p>
    <w:p>
      <w:pPr>
        <w:pStyle w:val="21"/>
        <w:widowControl w:val="0"/>
        <w:spacing w:before="120" w:beforeAutospacing="0" w:after="120" w:afterAutospacing="0" w:line="500" w:lineRule="exact"/>
        <w:ind w:right="29" w:rightChars="14"/>
        <w:outlineLvl w:val="1"/>
        <w:rPr>
          <w:rFonts w:asciiTheme="minorEastAsia" w:hAnsiTheme="minorEastAsia" w:eastAsiaTheme="minorEastAsia" w:cstheme="minorEastAsia"/>
          <w:sz w:val="30"/>
          <w:szCs w:val="30"/>
        </w:rPr>
      </w:pPr>
      <w:bookmarkStart w:id="321" w:name="_Toc24210"/>
      <w:bookmarkStart w:id="322" w:name="_Toc18925"/>
      <w:bookmarkStart w:id="323" w:name="_Toc28422"/>
      <w:bookmarkStart w:id="324" w:name="_Toc21287"/>
      <w:r>
        <w:rPr>
          <w:rFonts w:hint="eastAsia" w:asciiTheme="minorEastAsia" w:hAnsiTheme="minorEastAsia" w:eastAsiaTheme="minorEastAsia" w:cstheme="minorEastAsia"/>
          <w:b/>
          <w:kern w:val="2"/>
          <w:sz w:val="30"/>
          <w:szCs w:val="30"/>
        </w:rPr>
        <w:t>证明材料</w:t>
      </w:r>
      <w:bookmarkEnd w:id="317"/>
      <w:bookmarkEnd w:id="321"/>
      <w:bookmarkEnd w:id="322"/>
      <w:bookmarkEnd w:id="323"/>
      <w:r>
        <w:rPr>
          <w:rFonts w:hint="eastAsia" w:asciiTheme="minorEastAsia" w:hAnsiTheme="minorEastAsia" w:eastAsiaTheme="minorEastAsia" w:cstheme="minorEastAsia"/>
          <w:b/>
          <w:kern w:val="2"/>
          <w:sz w:val="30"/>
          <w:szCs w:val="30"/>
        </w:rPr>
        <w:t>（如有）</w:t>
      </w:r>
      <w:bookmarkEnd w:id="324"/>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bookmarkStart w:id="325" w:name="_Toc10717"/>
      <w:bookmarkStart w:id="326" w:name="_Toc23227"/>
      <w:bookmarkStart w:id="327" w:name="_Toc24850"/>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rPr>
      </w:pPr>
    </w:p>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八、中小企业声明函（如有）</w:t>
      </w:r>
      <w:bookmarkEnd w:id="325"/>
      <w:bookmarkEnd w:id="326"/>
      <w:bookmarkEnd w:id="327"/>
    </w:p>
    <w:p>
      <w:pPr>
        <w:spacing w:line="560" w:lineRule="exact"/>
        <w:ind w:firstLine="480" w:firstLineChars="200"/>
        <w:rPr>
          <w:rFonts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pPr>
        <w:numPr>
          <w:ilvl w:val="0"/>
          <w:numId w:val="18"/>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pPr>
        <w:numPr>
          <w:ilvl w:val="0"/>
          <w:numId w:val="18"/>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pPr>
        <w:spacing w:line="560" w:lineRule="exact"/>
        <w:ind w:left="525" w:leftChars="250"/>
        <w:rPr>
          <w:rFonts w:ascii="宋体" w:hAnsi="宋体" w:cs="宋体"/>
          <w:sz w:val="24"/>
        </w:rPr>
      </w:pPr>
      <w:r>
        <w:rPr>
          <w:rFonts w:ascii="宋体" w:hAnsi="宋体" w:cs="宋体"/>
          <w:sz w:val="24"/>
        </w:rPr>
        <w:t xml:space="preserve"> …… </w:t>
      </w:r>
    </w:p>
    <w:p>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pPr>
        <w:spacing w:line="560" w:lineRule="exact"/>
        <w:ind w:left="5" w:firstLine="518" w:firstLineChars="216"/>
        <w:rPr>
          <w:rFonts w:ascii="宋体" w:hAnsi="宋体" w:cs="宋体"/>
          <w:sz w:val="24"/>
        </w:rPr>
      </w:pPr>
    </w:p>
    <w:p>
      <w:pPr>
        <w:spacing w:line="560" w:lineRule="exact"/>
        <w:ind w:left="5" w:firstLine="518" w:firstLineChars="216"/>
        <w:rPr>
          <w:rFonts w:ascii="宋体" w:hAnsi="宋体" w:cs="宋体"/>
          <w:sz w:val="24"/>
        </w:rPr>
      </w:pPr>
    </w:p>
    <w:p>
      <w:pPr>
        <w:spacing w:line="560" w:lineRule="exact"/>
        <w:ind w:left="5" w:firstLine="518" w:firstLineChars="216"/>
        <w:jc w:val="right"/>
        <w:rPr>
          <w:rFonts w:ascii="宋体" w:hAnsi="宋体" w:cs="宋体"/>
          <w:sz w:val="24"/>
        </w:rPr>
      </w:pPr>
      <w:r>
        <w:rPr>
          <w:rFonts w:ascii="宋体" w:hAnsi="宋体" w:cs="宋体"/>
          <w:sz w:val="24"/>
        </w:rPr>
        <w:t>企业名称（盖章）：</w:t>
      </w:r>
    </w:p>
    <w:p>
      <w:pPr>
        <w:spacing w:line="560" w:lineRule="exact"/>
        <w:ind w:left="5" w:firstLine="518" w:firstLineChars="216"/>
        <w:jc w:val="right"/>
        <w:rPr>
          <w:rFonts w:ascii="宋体" w:hAnsi="宋体" w:cs="宋体"/>
          <w:sz w:val="24"/>
        </w:rPr>
      </w:pPr>
      <w:r>
        <w:rPr>
          <w:rFonts w:ascii="宋体" w:hAnsi="宋体" w:cs="宋体"/>
          <w:sz w:val="24"/>
        </w:rPr>
        <w:t xml:space="preserve"> 日 期： </w:t>
      </w:r>
    </w:p>
    <w:p>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pPr>
        <w:pStyle w:val="25"/>
        <w:ind w:firstLine="480"/>
        <w:rPr>
          <w:rFonts w:ascii="宋体"/>
        </w:rPr>
      </w:pPr>
      <w:r>
        <w:rPr>
          <w:rFonts w:hint="eastAsia" w:ascii="宋体" w:hAnsi="宋体" w:cs="宋体"/>
          <w:sz w:val="24"/>
        </w:rPr>
        <w:t>2、供应商提供的声明函将在中标后随中标公告一并公示，若声明函内容不实的，将依照《政府采购法》等国家有关规定追究相应责任。</w:t>
      </w:r>
      <w:bookmarkStart w:id="328" w:name="_Toc352061202"/>
      <w:bookmarkStart w:id="329" w:name="_Toc12390"/>
      <w:bookmarkStart w:id="330" w:name="_Toc309736882"/>
    </w:p>
    <w:bookmarkEnd w:id="328"/>
    <w:bookmarkEnd w:id="329"/>
    <w:bookmarkEnd w:id="330"/>
    <w:p>
      <w:pPr>
        <w:pStyle w:val="21"/>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31" w:name="_Toc20881"/>
      <w:bookmarkStart w:id="332" w:name="_Toc11708"/>
      <w:bookmarkStart w:id="333" w:name="_Toc30170"/>
      <w:bookmarkStart w:id="334" w:name="_Toc14292"/>
      <w:r>
        <w:rPr>
          <w:rFonts w:hint="eastAsia" w:asciiTheme="minorEastAsia" w:hAnsiTheme="minorEastAsia" w:eastAsiaTheme="minorEastAsia" w:cstheme="minorEastAsia"/>
          <w:b/>
          <w:kern w:val="2"/>
          <w:sz w:val="30"/>
          <w:szCs w:val="30"/>
        </w:rPr>
        <w:t>九、残疾人福利性单位声明函（如有）</w:t>
      </w:r>
      <w:bookmarkEnd w:id="331"/>
      <w:bookmarkEnd w:id="332"/>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318"/>
    <w:bookmarkEnd w:id="333"/>
    <w:bookmarkEnd w:id="334"/>
    <w:p>
      <w:pPr>
        <w:rPr>
          <w:rFonts w:ascii="Times New Roman" w:hAnsi="Times New Roman" w:eastAsia="仿宋"/>
          <w:sz w:val="32"/>
          <w:szCs w:val="32"/>
          <w:shd w:val="clear" w:color="FFFFFF" w:fill="D9D9D9"/>
        </w:rPr>
      </w:pPr>
    </w:p>
    <w:p>
      <w:pPr>
        <w:rPr>
          <w:shd w:val="clear" w:color="FFFFFF" w:fill="D9D9D9"/>
        </w:rPr>
      </w:pPr>
    </w:p>
    <w:p>
      <w:pPr>
        <w:rPr>
          <w:rFonts w:asciiTheme="minorEastAsia" w:hAnsiTheme="minorEastAsia" w:eastAsiaTheme="minorEastAsia" w:cstheme="minorEastAsia"/>
          <w:b/>
          <w:sz w:val="30"/>
          <w:szCs w:val="30"/>
          <w:shd w:val="clear" w:color="FFFFFF" w:fill="D9D9D9"/>
        </w:rPr>
      </w:pPr>
    </w:p>
    <w:p>
      <w:pPr>
        <w:pStyle w:val="21"/>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35" w:name="_Toc16608"/>
      <w:bookmarkStart w:id="336" w:name="_Toc18605"/>
      <w:r>
        <w:rPr>
          <w:rFonts w:hint="eastAsia" w:asciiTheme="minorEastAsia" w:hAnsiTheme="minorEastAsia" w:eastAsiaTheme="minorEastAsia" w:cstheme="minorEastAsia"/>
          <w:b/>
          <w:kern w:val="2"/>
          <w:sz w:val="30"/>
          <w:szCs w:val="30"/>
        </w:rPr>
        <w:t>十、招标文件要求的或供应商认为须提交的其他材料</w:t>
      </w:r>
      <w:bookmarkEnd w:id="335"/>
      <w:bookmarkEnd w:id="336"/>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pStyle w:val="4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9"/>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9"/>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ascii="宋体" w:hAnsi="宋体" w:cs="宋体"/>
          <w:kern w:val="0"/>
          <w:sz w:val="24"/>
        </w:rPr>
        <w:br w:type="page"/>
      </w: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pStyle w:val="4"/>
        <w:spacing w:line="480" w:lineRule="exact"/>
        <w:rPr>
          <w:rFonts w:ascii="宋体" w:hAnsi="宋体" w:cs="宋体"/>
          <w:sz w:val="36"/>
          <w:szCs w:val="36"/>
        </w:rPr>
      </w:pPr>
      <w:bookmarkStart w:id="337" w:name="_Toc7574"/>
      <w:r>
        <w:rPr>
          <w:rFonts w:hint="eastAsia" w:ascii="宋体" w:hAnsi="宋体" w:cs="宋体"/>
          <w:sz w:val="36"/>
          <w:szCs w:val="36"/>
        </w:rPr>
        <w:t>河南省政府采购合同融资政策告知函</w:t>
      </w:r>
      <w:bookmarkEnd w:id="337"/>
    </w:p>
    <w:p>
      <w:pPr>
        <w:pStyle w:val="4"/>
        <w:spacing w:line="400" w:lineRule="exact"/>
        <w:jc w:val="both"/>
        <w:rPr>
          <w:rFonts w:ascii="宋体" w:hAnsi="宋体" w:cs="宋体"/>
          <w:sz w:val="24"/>
        </w:rPr>
      </w:pPr>
      <w:bookmarkStart w:id="338" w:name="_Toc4905"/>
      <w:r>
        <w:rPr>
          <w:rFonts w:hint="eastAsia" w:ascii="宋体" w:hAnsi="宋体" w:cs="宋体"/>
          <w:sz w:val="24"/>
        </w:rPr>
        <w:t>各供应商：</w:t>
      </w:r>
      <w:bookmarkEnd w:id="338"/>
    </w:p>
    <w:p>
      <w:pPr>
        <w:pStyle w:val="4"/>
        <w:spacing w:line="400" w:lineRule="exact"/>
        <w:jc w:val="both"/>
        <w:rPr>
          <w:rFonts w:ascii="宋体" w:hAnsi="宋体" w:cs="宋体"/>
          <w:sz w:val="24"/>
        </w:rPr>
      </w:pPr>
      <w:r>
        <w:rPr>
          <w:rFonts w:hint="eastAsia" w:ascii="宋体" w:hAnsi="宋体" w:cs="宋体"/>
          <w:sz w:val="24"/>
        </w:rPr>
        <w:t>欢迎贵公司参与河南省政府采购活动！</w:t>
      </w:r>
    </w:p>
    <w:p>
      <w:pPr>
        <w:spacing w:line="40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sz w:val="32"/>
          <w:szCs w:val="32"/>
        </w:rPr>
      </w:pPr>
      <w:bookmarkStart w:id="339" w:name="_Toc30161"/>
      <w:r>
        <w:rPr>
          <w:rFonts w:hint="eastAsia" w:ascii="宋体" w:hAnsi="宋体"/>
          <w:b/>
          <w:sz w:val="32"/>
          <w:szCs w:val="32"/>
        </w:rPr>
        <w:t>焦作市政府采购合同融资合作企业</w:t>
      </w:r>
      <w:bookmarkEnd w:id="33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8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93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689"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93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689"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93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689"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7CCEAB9"/>
    <w:multiLevelType w:val="singleLevel"/>
    <w:tmpl w:val="B7CCEAB9"/>
    <w:lvl w:ilvl="0" w:tentative="0">
      <w:start w:val="1"/>
      <w:numFmt w:val="decimal"/>
      <w:suff w:val="space"/>
      <w:lvlText w:val="%1."/>
      <w:lvlJc w:val="left"/>
      <w:pPr>
        <w:ind w:left="600" w:firstLine="0"/>
      </w:pPr>
    </w:lvl>
  </w:abstractNum>
  <w:abstractNum w:abstractNumId="6">
    <w:nsid w:val="B940B7CB"/>
    <w:multiLevelType w:val="singleLevel"/>
    <w:tmpl w:val="B940B7CB"/>
    <w:lvl w:ilvl="0" w:tentative="0">
      <w:start w:val="3"/>
      <w:numFmt w:val="decimal"/>
      <w:suff w:val="nothing"/>
      <w:lvlText w:val="%1、"/>
      <w:lvlJc w:val="left"/>
    </w:lvl>
  </w:abstractNum>
  <w:abstractNum w:abstractNumId="7">
    <w:nsid w:val="E25B3C03"/>
    <w:multiLevelType w:val="singleLevel"/>
    <w:tmpl w:val="E25B3C03"/>
    <w:lvl w:ilvl="0" w:tentative="0">
      <w:start w:val="1"/>
      <w:numFmt w:val="decimal"/>
      <w:suff w:val="nothing"/>
      <w:lvlText w:val="（%1）"/>
      <w:lvlJc w:val="left"/>
    </w:lvl>
  </w:abstractNum>
  <w:abstractNum w:abstractNumId="8">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054F6"/>
    <w:multiLevelType w:val="multilevel"/>
    <w:tmpl w:val="074054F6"/>
    <w:lvl w:ilvl="0" w:tentative="0">
      <w:start w:val="1"/>
      <w:numFmt w:val="decimal"/>
      <w:pStyle w:val="3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2E675402"/>
    <w:multiLevelType w:val="singleLevel"/>
    <w:tmpl w:val="2E675402"/>
    <w:lvl w:ilvl="0" w:tentative="0">
      <w:start w:val="1"/>
      <w:numFmt w:val="chineseCounting"/>
      <w:suff w:val="nothing"/>
      <w:lvlText w:val="（%1）"/>
      <w:lvlJc w:val="left"/>
      <w:rPr>
        <w:rFonts w:hint="eastAsia"/>
      </w:rPr>
    </w:lvl>
  </w:abstractNum>
  <w:abstractNum w:abstractNumId="13">
    <w:nsid w:val="3BC08122"/>
    <w:multiLevelType w:val="singleLevel"/>
    <w:tmpl w:val="3BC08122"/>
    <w:lvl w:ilvl="0" w:tentative="0">
      <w:start w:val="1"/>
      <w:numFmt w:val="decimal"/>
      <w:suff w:val="nothing"/>
      <w:lvlText w:val="%1、"/>
      <w:lvlJc w:val="left"/>
    </w:lvl>
  </w:abstractNum>
  <w:abstractNum w:abstractNumId="14">
    <w:nsid w:val="59CCA2E1"/>
    <w:multiLevelType w:val="singleLevel"/>
    <w:tmpl w:val="59CCA2E1"/>
    <w:lvl w:ilvl="0" w:tentative="0">
      <w:start w:val="1"/>
      <w:numFmt w:val="decimal"/>
      <w:suff w:val="nothing"/>
      <w:lvlText w:val="（%1）"/>
      <w:lvlJc w:val="left"/>
    </w:lvl>
  </w:abstractNum>
  <w:abstractNum w:abstractNumId="15">
    <w:nsid w:val="5A693C2F"/>
    <w:multiLevelType w:val="singleLevel"/>
    <w:tmpl w:val="5A693C2F"/>
    <w:lvl w:ilvl="0" w:tentative="0">
      <w:start w:val="3"/>
      <w:numFmt w:val="chineseCounting"/>
      <w:suff w:val="space"/>
      <w:lvlText w:val="第%1章"/>
      <w:lvlJc w:val="left"/>
    </w:lvl>
  </w:abstractNum>
  <w:abstractNum w:abstractNumId="16">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7">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9"/>
  </w:num>
  <w:num w:numId="2">
    <w:abstractNumId w:val="6"/>
  </w:num>
  <w:num w:numId="3">
    <w:abstractNumId w:val="3"/>
  </w:num>
  <w:num w:numId="4">
    <w:abstractNumId w:val="16"/>
  </w:num>
  <w:num w:numId="5">
    <w:abstractNumId w:val="0"/>
  </w:num>
  <w:num w:numId="6">
    <w:abstractNumId w:val="8"/>
  </w:num>
  <w:num w:numId="7">
    <w:abstractNumId w:val="15"/>
  </w:num>
  <w:num w:numId="8">
    <w:abstractNumId w:val="1"/>
  </w:num>
  <w:num w:numId="9">
    <w:abstractNumId w:val="10"/>
  </w:num>
  <w:num w:numId="10">
    <w:abstractNumId w:val="7"/>
  </w:num>
  <w:num w:numId="11">
    <w:abstractNumId w:val="17"/>
  </w:num>
  <w:num w:numId="12">
    <w:abstractNumId w:val="13"/>
  </w:num>
  <w:num w:numId="13">
    <w:abstractNumId w:val="11"/>
  </w:num>
  <w:num w:numId="14">
    <w:abstractNumId w:val="4"/>
  </w:num>
  <w:num w:numId="15">
    <w:abstractNumId w:val="12"/>
  </w:num>
  <w:num w:numId="16">
    <w:abstractNumId w:val="1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9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TIzNWMzZjI2YzJjNTgzYmY5ZjczYTE3MzVmNmMifQ=="/>
  </w:docVars>
  <w:rsids>
    <w:rsidRoot w:val="00CF3BAF"/>
    <w:rsid w:val="00013DD1"/>
    <w:rsid w:val="000547C6"/>
    <w:rsid w:val="00081779"/>
    <w:rsid w:val="001E6661"/>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29D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61A34"/>
    <w:rsid w:val="00ED32EC"/>
    <w:rsid w:val="00F16816"/>
    <w:rsid w:val="00F5227C"/>
    <w:rsid w:val="00FB3E02"/>
    <w:rsid w:val="00FC0F08"/>
    <w:rsid w:val="015A0ED7"/>
    <w:rsid w:val="01930027"/>
    <w:rsid w:val="019C74BD"/>
    <w:rsid w:val="01A249C3"/>
    <w:rsid w:val="01A90C02"/>
    <w:rsid w:val="01CD0413"/>
    <w:rsid w:val="0224187C"/>
    <w:rsid w:val="024768DF"/>
    <w:rsid w:val="024D2FC2"/>
    <w:rsid w:val="02534437"/>
    <w:rsid w:val="02A079AD"/>
    <w:rsid w:val="02AD7AC3"/>
    <w:rsid w:val="02B2279A"/>
    <w:rsid w:val="02C572FD"/>
    <w:rsid w:val="02D346FD"/>
    <w:rsid w:val="02DF753E"/>
    <w:rsid w:val="038F5EB4"/>
    <w:rsid w:val="03EF01A2"/>
    <w:rsid w:val="04035DC5"/>
    <w:rsid w:val="041F1D93"/>
    <w:rsid w:val="04351B1E"/>
    <w:rsid w:val="046F0DBE"/>
    <w:rsid w:val="04730C9A"/>
    <w:rsid w:val="049A5F70"/>
    <w:rsid w:val="04B80A56"/>
    <w:rsid w:val="04F44273"/>
    <w:rsid w:val="05476DA0"/>
    <w:rsid w:val="0587053C"/>
    <w:rsid w:val="05CF063D"/>
    <w:rsid w:val="061F1094"/>
    <w:rsid w:val="064662A5"/>
    <w:rsid w:val="06494301"/>
    <w:rsid w:val="064B3EA8"/>
    <w:rsid w:val="0681360C"/>
    <w:rsid w:val="06F1337E"/>
    <w:rsid w:val="06F2019A"/>
    <w:rsid w:val="07310D7F"/>
    <w:rsid w:val="074D4119"/>
    <w:rsid w:val="07997BA5"/>
    <w:rsid w:val="08161B2A"/>
    <w:rsid w:val="08355432"/>
    <w:rsid w:val="083A174E"/>
    <w:rsid w:val="083B347B"/>
    <w:rsid w:val="083D3697"/>
    <w:rsid w:val="0885658D"/>
    <w:rsid w:val="08910593"/>
    <w:rsid w:val="08B6562F"/>
    <w:rsid w:val="09102B5A"/>
    <w:rsid w:val="09217513"/>
    <w:rsid w:val="098B21E0"/>
    <w:rsid w:val="0A3D6877"/>
    <w:rsid w:val="0A645EB1"/>
    <w:rsid w:val="0A8B4CEF"/>
    <w:rsid w:val="0AFE4F5A"/>
    <w:rsid w:val="0B057D70"/>
    <w:rsid w:val="0B2D5070"/>
    <w:rsid w:val="0B440CBC"/>
    <w:rsid w:val="0B664CB3"/>
    <w:rsid w:val="0B7902B3"/>
    <w:rsid w:val="0B8C1399"/>
    <w:rsid w:val="0C051155"/>
    <w:rsid w:val="0C076843"/>
    <w:rsid w:val="0C1427EF"/>
    <w:rsid w:val="0C2D57D1"/>
    <w:rsid w:val="0C350433"/>
    <w:rsid w:val="0C732807"/>
    <w:rsid w:val="0CD05128"/>
    <w:rsid w:val="0D270828"/>
    <w:rsid w:val="0D3E11DD"/>
    <w:rsid w:val="0D792EC2"/>
    <w:rsid w:val="0D81592D"/>
    <w:rsid w:val="0D8716C8"/>
    <w:rsid w:val="0D974D65"/>
    <w:rsid w:val="0E651252"/>
    <w:rsid w:val="0E8C0D4D"/>
    <w:rsid w:val="0EA33B28"/>
    <w:rsid w:val="0EA67121"/>
    <w:rsid w:val="0EDC105C"/>
    <w:rsid w:val="0EDE6CBA"/>
    <w:rsid w:val="0EF32EFA"/>
    <w:rsid w:val="0F0410E0"/>
    <w:rsid w:val="0FAC4AEB"/>
    <w:rsid w:val="0FDE2EA6"/>
    <w:rsid w:val="0FE73EE9"/>
    <w:rsid w:val="100420C3"/>
    <w:rsid w:val="1012372A"/>
    <w:rsid w:val="10544429"/>
    <w:rsid w:val="10586A77"/>
    <w:rsid w:val="107D20E4"/>
    <w:rsid w:val="114E3064"/>
    <w:rsid w:val="11920A50"/>
    <w:rsid w:val="119A56B6"/>
    <w:rsid w:val="119B16ED"/>
    <w:rsid w:val="11A25357"/>
    <w:rsid w:val="11B34CF4"/>
    <w:rsid w:val="11F2782C"/>
    <w:rsid w:val="120C0D33"/>
    <w:rsid w:val="120F18F1"/>
    <w:rsid w:val="12253216"/>
    <w:rsid w:val="12486EC1"/>
    <w:rsid w:val="1298264D"/>
    <w:rsid w:val="12F25439"/>
    <w:rsid w:val="12F64B6E"/>
    <w:rsid w:val="134734DE"/>
    <w:rsid w:val="13732E71"/>
    <w:rsid w:val="13767A5D"/>
    <w:rsid w:val="143C687A"/>
    <w:rsid w:val="144162BD"/>
    <w:rsid w:val="144353ED"/>
    <w:rsid w:val="14860849"/>
    <w:rsid w:val="14E629C1"/>
    <w:rsid w:val="152E231F"/>
    <w:rsid w:val="15545B7C"/>
    <w:rsid w:val="159D7523"/>
    <w:rsid w:val="16493207"/>
    <w:rsid w:val="16504596"/>
    <w:rsid w:val="165F3BC6"/>
    <w:rsid w:val="166D59E0"/>
    <w:rsid w:val="16997753"/>
    <w:rsid w:val="169D288C"/>
    <w:rsid w:val="179C380B"/>
    <w:rsid w:val="17AC6DF4"/>
    <w:rsid w:val="183D74A2"/>
    <w:rsid w:val="188C4F4A"/>
    <w:rsid w:val="196A7BE4"/>
    <w:rsid w:val="19EE17C2"/>
    <w:rsid w:val="19EF2318"/>
    <w:rsid w:val="1A1025AF"/>
    <w:rsid w:val="1A2B26E2"/>
    <w:rsid w:val="1A3B0CC2"/>
    <w:rsid w:val="1A913822"/>
    <w:rsid w:val="1B0F127C"/>
    <w:rsid w:val="1B33310F"/>
    <w:rsid w:val="1BD529D4"/>
    <w:rsid w:val="1BE9127A"/>
    <w:rsid w:val="1C211654"/>
    <w:rsid w:val="1C2D32A0"/>
    <w:rsid w:val="1C753023"/>
    <w:rsid w:val="1C9363D1"/>
    <w:rsid w:val="1CC37618"/>
    <w:rsid w:val="1CD57C9C"/>
    <w:rsid w:val="1D1E6C5C"/>
    <w:rsid w:val="1D2A77A9"/>
    <w:rsid w:val="1D5A65E9"/>
    <w:rsid w:val="1DC13FCB"/>
    <w:rsid w:val="1DDA0B91"/>
    <w:rsid w:val="1DE803B4"/>
    <w:rsid w:val="1E212A6F"/>
    <w:rsid w:val="1E360353"/>
    <w:rsid w:val="1E4779B9"/>
    <w:rsid w:val="1E7C3987"/>
    <w:rsid w:val="1E921418"/>
    <w:rsid w:val="1EB33136"/>
    <w:rsid w:val="1EE937D9"/>
    <w:rsid w:val="1EF55393"/>
    <w:rsid w:val="1F111512"/>
    <w:rsid w:val="1F3F59B3"/>
    <w:rsid w:val="1FA91310"/>
    <w:rsid w:val="1FBB33A3"/>
    <w:rsid w:val="1FCF0C21"/>
    <w:rsid w:val="1FD46237"/>
    <w:rsid w:val="20E259AF"/>
    <w:rsid w:val="218872DA"/>
    <w:rsid w:val="219C4D8C"/>
    <w:rsid w:val="21A96F53"/>
    <w:rsid w:val="22821933"/>
    <w:rsid w:val="22851F14"/>
    <w:rsid w:val="22937A29"/>
    <w:rsid w:val="22E0486C"/>
    <w:rsid w:val="22E7389D"/>
    <w:rsid w:val="2307024E"/>
    <w:rsid w:val="236C0699"/>
    <w:rsid w:val="23A75A11"/>
    <w:rsid w:val="23C21A0E"/>
    <w:rsid w:val="23F17EB7"/>
    <w:rsid w:val="24364D63"/>
    <w:rsid w:val="24581EC9"/>
    <w:rsid w:val="245D7AC3"/>
    <w:rsid w:val="246511FA"/>
    <w:rsid w:val="24845123"/>
    <w:rsid w:val="255249D2"/>
    <w:rsid w:val="26211AAB"/>
    <w:rsid w:val="264840A1"/>
    <w:rsid w:val="2671382C"/>
    <w:rsid w:val="26AB160B"/>
    <w:rsid w:val="26AF355A"/>
    <w:rsid w:val="26D40659"/>
    <w:rsid w:val="27070CA1"/>
    <w:rsid w:val="27144052"/>
    <w:rsid w:val="27B228CA"/>
    <w:rsid w:val="27CF39BA"/>
    <w:rsid w:val="287019A1"/>
    <w:rsid w:val="28BD1C36"/>
    <w:rsid w:val="291F753F"/>
    <w:rsid w:val="29AD1F3E"/>
    <w:rsid w:val="29FC7FCE"/>
    <w:rsid w:val="2A1118F0"/>
    <w:rsid w:val="2A334727"/>
    <w:rsid w:val="2AA84457"/>
    <w:rsid w:val="2ABE19E5"/>
    <w:rsid w:val="2B2362C5"/>
    <w:rsid w:val="2B9A5BB7"/>
    <w:rsid w:val="2C5243EF"/>
    <w:rsid w:val="2CF34593"/>
    <w:rsid w:val="2D4759F0"/>
    <w:rsid w:val="2D4B17C9"/>
    <w:rsid w:val="2DA17287"/>
    <w:rsid w:val="2DEF0B6D"/>
    <w:rsid w:val="2E400AF3"/>
    <w:rsid w:val="2E7164C1"/>
    <w:rsid w:val="2ECE479A"/>
    <w:rsid w:val="2ED658FB"/>
    <w:rsid w:val="2ED80964"/>
    <w:rsid w:val="2F3D38F1"/>
    <w:rsid w:val="2F662BA9"/>
    <w:rsid w:val="2FA713A3"/>
    <w:rsid w:val="30204B81"/>
    <w:rsid w:val="3054090C"/>
    <w:rsid w:val="305F7D9F"/>
    <w:rsid w:val="30766F52"/>
    <w:rsid w:val="308873CF"/>
    <w:rsid w:val="30A7457C"/>
    <w:rsid w:val="311B58CA"/>
    <w:rsid w:val="312875A3"/>
    <w:rsid w:val="315C20A8"/>
    <w:rsid w:val="315E08FB"/>
    <w:rsid w:val="327012C3"/>
    <w:rsid w:val="32AC094E"/>
    <w:rsid w:val="32DD09B1"/>
    <w:rsid w:val="336B5FF6"/>
    <w:rsid w:val="3398566D"/>
    <w:rsid w:val="339B530E"/>
    <w:rsid w:val="33B71CA0"/>
    <w:rsid w:val="34375174"/>
    <w:rsid w:val="34490FA6"/>
    <w:rsid w:val="34BF0E0C"/>
    <w:rsid w:val="35400F5E"/>
    <w:rsid w:val="356103C1"/>
    <w:rsid w:val="35624307"/>
    <w:rsid w:val="35EF40B4"/>
    <w:rsid w:val="36F2243E"/>
    <w:rsid w:val="37316346"/>
    <w:rsid w:val="376D0FF4"/>
    <w:rsid w:val="379522F8"/>
    <w:rsid w:val="37BB5BE3"/>
    <w:rsid w:val="37C3064D"/>
    <w:rsid w:val="37C94B02"/>
    <w:rsid w:val="385E298D"/>
    <w:rsid w:val="38C51FA1"/>
    <w:rsid w:val="38C56745"/>
    <w:rsid w:val="38ED5B17"/>
    <w:rsid w:val="391F5908"/>
    <w:rsid w:val="3AAA205E"/>
    <w:rsid w:val="3AC405E4"/>
    <w:rsid w:val="3B27182E"/>
    <w:rsid w:val="3B5755D8"/>
    <w:rsid w:val="3B680882"/>
    <w:rsid w:val="3C3E4D0D"/>
    <w:rsid w:val="3C5740DD"/>
    <w:rsid w:val="3C647525"/>
    <w:rsid w:val="3C806CA2"/>
    <w:rsid w:val="3C875BD5"/>
    <w:rsid w:val="3D3F6549"/>
    <w:rsid w:val="3D6E3B32"/>
    <w:rsid w:val="3DA476DF"/>
    <w:rsid w:val="3DA9026A"/>
    <w:rsid w:val="3E007463"/>
    <w:rsid w:val="3E3D322B"/>
    <w:rsid w:val="3E8D79E9"/>
    <w:rsid w:val="3E8E1D06"/>
    <w:rsid w:val="3E9B73AF"/>
    <w:rsid w:val="3F51170A"/>
    <w:rsid w:val="3FA505CC"/>
    <w:rsid w:val="3FD66319"/>
    <w:rsid w:val="40291242"/>
    <w:rsid w:val="40507902"/>
    <w:rsid w:val="405204BF"/>
    <w:rsid w:val="407A6954"/>
    <w:rsid w:val="407C1AED"/>
    <w:rsid w:val="40AE6405"/>
    <w:rsid w:val="40E2372C"/>
    <w:rsid w:val="411F627D"/>
    <w:rsid w:val="416F7716"/>
    <w:rsid w:val="4176039B"/>
    <w:rsid w:val="417B430D"/>
    <w:rsid w:val="41A82C28"/>
    <w:rsid w:val="420C4EF5"/>
    <w:rsid w:val="42181E5B"/>
    <w:rsid w:val="421F4DB9"/>
    <w:rsid w:val="42881AA6"/>
    <w:rsid w:val="42E02E33"/>
    <w:rsid w:val="42F65BA4"/>
    <w:rsid w:val="434C47FE"/>
    <w:rsid w:val="4364501E"/>
    <w:rsid w:val="43D4281E"/>
    <w:rsid w:val="4453447A"/>
    <w:rsid w:val="44E855CD"/>
    <w:rsid w:val="44F64D49"/>
    <w:rsid w:val="459B770E"/>
    <w:rsid w:val="45D313A6"/>
    <w:rsid w:val="45D94A67"/>
    <w:rsid w:val="45E375FE"/>
    <w:rsid w:val="462E1DF2"/>
    <w:rsid w:val="46316751"/>
    <w:rsid w:val="46642C04"/>
    <w:rsid w:val="46C978C9"/>
    <w:rsid w:val="46FF153C"/>
    <w:rsid w:val="47195F8F"/>
    <w:rsid w:val="471C20EE"/>
    <w:rsid w:val="472509CB"/>
    <w:rsid w:val="473C24B5"/>
    <w:rsid w:val="478A2A55"/>
    <w:rsid w:val="479E38D8"/>
    <w:rsid w:val="47EB734B"/>
    <w:rsid w:val="486E372E"/>
    <w:rsid w:val="48934AEB"/>
    <w:rsid w:val="490377B4"/>
    <w:rsid w:val="492E33C0"/>
    <w:rsid w:val="495261A3"/>
    <w:rsid w:val="495D6F47"/>
    <w:rsid w:val="498A0C86"/>
    <w:rsid w:val="499A379E"/>
    <w:rsid w:val="4A0550BC"/>
    <w:rsid w:val="4A0B4816"/>
    <w:rsid w:val="4A107CDA"/>
    <w:rsid w:val="4A79782A"/>
    <w:rsid w:val="4AE901CC"/>
    <w:rsid w:val="4AF33166"/>
    <w:rsid w:val="4B36226E"/>
    <w:rsid w:val="4C4814B5"/>
    <w:rsid w:val="4CD16F98"/>
    <w:rsid w:val="4CD722EC"/>
    <w:rsid w:val="4D8C494F"/>
    <w:rsid w:val="4DAB6BDA"/>
    <w:rsid w:val="4E4C44BA"/>
    <w:rsid w:val="4E7C3AE4"/>
    <w:rsid w:val="4EB6646D"/>
    <w:rsid w:val="4F2A2BCF"/>
    <w:rsid w:val="4F4B71E8"/>
    <w:rsid w:val="4F5E692A"/>
    <w:rsid w:val="4FA766A8"/>
    <w:rsid w:val="4FDA48F5"/>
    <w:rsid w:val="504413AB"/>
    <w:rsid w:val="50964CC0"/>
    <w:rsid w:val="51171D45"/>
    <w:rsid w:val="51404F43"/>
    <w:rsid w:val="519805C3"/>
    <w:rsid w:val="51B11685"/>
    <w:rsid w:val="51F82BBB"/>
    <w:rsid w:val="522B7DE8"/>
    <w:rsid w:val="522D3402"/>
    <w:rsid w:val="527728CF"/>
    <w:rsid w:val="52DC6BD6"/>
    <w:rsid w:val="52DD21C1"/>
    <w:rsid w:val="52EB6588"/>
    <w:rsid w:val="53157C48"/>
    <w:rsid w:val="53AC11E6"/>
    <w:rsid w:val="542D2B1D"/>
    <w:rsid w:val="5472334E"/>
    <w:rsid w:val="54CE480A"/>
    <w:rsid w:val="54D77655"/>
    <w:rsid w:val="551C7980"/>
    <w:rsid w:val="5549056E"/>
    <w:rsid w:val="55C81AB9"/>
    <w:rsid w:val="55FF6EF7"/>
    <w:rsid w:val="56325CFA"/>
    <w:rsid w:val="5664557C"/>
    <w:rsid w:val="56BB3C75"/>
    <w:rsid w:val="56C3089C"/>
    <w:rsid w:val="56DE7067"/>
    <w:rsid w:val="570955B4"/>
    <w:rsid w:val="5725657E"/>
    <w:rsid w:val="57527C3E"/>
    <w:rsid w:val="5783793E"/>
    <w:rsid w:val="57CC2BA0"/>
    <w:rsid w:val="580956C4"/>
    <w:rsid w:val="587B1836"/>
    <w:rsid w:val="58DC41BC"/>
    <w:rsid w:val="58DC7930"/>
    <w:rsid w:val="58DF3A45"/>
    <w:rsid w:val="59257C80"/>
    <w:rsid w:val="597C73A7"/>
    <w:rsid w:val="598D26AC"/>
    <w:rsid w:val="599F77C9"/>
    <w:rsid w:val="59C95F43"/>
    <w:rsid w:val="59DE214B"/>
    <w:rsid w:val="59F53571"/>
    <w:rsid w:val="5A0045B8"/>
    <w:rsid w:val="5A772767"/>
    <w:rsid w:val="5A93268F"/>
    <w:rsid w:val="5AB2046A"/>
    <w:rsid w:val="5AC82B93"/>
    <w:rsid w:val="5AE14D89"/>
    <w:rsid w:val="5AE6318E"/>
    <w:rsid w:val="5AFB13A2"/>
    <w:rsid w:val="5BFF13ED"/>
    <w:rsid w:val="5C8E651C"/>
    <w:rsid w:val="5D120EE1"/>
    <w:rsid w:val="5D3A5D7E"/>
    <w:rsid w:val="5D7C6FEB"/>
    <w:rsid w:val="5DB443B5"/>
    <w:rsid w:val="5DC012A8"/>
    <w:rsid w:val="5DCA7D57"/>
    <w:rsid w:val="5E313880"/>
    <w:rsid w:val="5E803BCC"/>
    <w:rsid w:val="5E8A187A"/>
    <w:rsid w:val="5EAE4FD3"/>
    <w:rsid w:val="5F09244A"/>
    <w:rsid w:val="5F9177D9"/>
    <w:rsid w:val="5FD41D53"/>
    <w:rsid w:val="600C2AB9"/>
    <w:rsid w:val="602A334A"/>
    <w:rsid w:val="60B25AEA"/>
    <w:rsid w:val="60CC0704"/>
    <w:rsid w:val="615C6151"/>
    <w:rsid w:val="61626B32"/>
    <w:rsid w:val="61BD2A1D"/>
    <w:rsid w:val="62047871"/>
    <w:rsid w:val="622B3906"/>
    <w:rsid w:val="62494283"/>
    <w:rsid w:val="628428BC"/>
    <w:rsid w:val="62EF46F3"/>
    <w:rsid w:val="64102296"/>
    <w:rsid w:val="642B7DAF"/>
    <w:rsid w:val="646D3E65"/>
    <w:rsid w:val="64914748"/>
    <w:rsid w:val="64C53799"/>
    <w:rsid w:val="64C93ECA"/>
    <w:rsid w:val="64CA3CB4"/>
    <w:rsid w:val="64CB0731"/>
    <w:rsid w:val="64EC0669"/>
    <w:rsid w:val="65044496"/>
    <w:rsid w:val="65693C54"/>
    <w:rsid w:val="65714A10"/>
    <w:rsid w:val="65776156"/>
    <w:rsid w:val="65B705EA"/>
    <w:rsid w:val="65EF7DA6"/>
    <w:rsid w:val="66B77D63"/>
    <w:rsid w:val="66BA6E26"/>
    <w:rsid w:val="66F10A4A"/>
    <w:rsid w:val="67477DD7"/>
    <w:rsid w:val="67895BD4"/>
    <w:rsid w:val="67923FAF"/>
    <w:rsid w:val="67997816"/>
    <w:rsid w:val="67A856DC"/>
    <w:rsid w:val="67AB689B"/>
    <w:rsid w:val="682E6AFE"/>
    <w:rsid w:val="6843464A"/>
    <w:rsid w:val="68A501F9"/>
    <w:rsid w:val="68AF4719"/>
    <w:rsid w:val="68B476C6"/>
    <w:rsid w:val="69194288"/>
    <w:rsid w:val="69676C0C"/>
    <w:rsid w:val="698D10CC"/>
    <w:rsid w:val="69AE1092"/>
    <w:rsid w:val="69C959DF"/>
    <w:rsid w:val="6A334D67"/>
    <w:rsid w:val="6A576495"/>
    <w:rsid w:val="6A753B41"/>
    <w:rsid w:val="6A8433D5"/>
    <w:rsid w:val="6AC00E8A"/>
    <w:rsid w:val="6AC515DC"/>
    <w:rsid w:val="6BA30B8B"/>
    <w:rsid w:val="6BB205D7"/>
    <w:rsid w:val="6BC664F4"/>
    <w:rsid w:val="6BD36CF4"/>
    <w:rsid w:val="6BF57693"/>
    <w:rsid w:val="6C046B2A"/>
    <w:rsid w:val="6CDE2D6D"/>
    <w:rsid w:val="6D0A63C2"/>
    <w:rsid w:val="6D163809"/>
    <w:rsid w:val="6D2120C6"/>
    <w:rsid w:val="6D2917A9"/>
    <w:rsid w:val="6D2C01D4"/>
    <w:rsid w:val="6D4E6E2B"/>
    <w:rsid w:val="6D514B1A"/>
    <w:rsid w:val="6DCD6F00"/>
    <w:rsid w:val="6DD70987"/>
    <w:rsid w:val="6DD85753"/>
    <w:rsid w:val="6DDE05B9"/>
    <w:rsid w:val="6E6C0E13"/>
    <w:rsid w:val="6E8615C7"/>
    <w:rsid w:val="6E886FBB"/>
    <w:rsid w:val="6EA23ED2"/>
    <w:rsid w:val="6EA4707E"/>
    <w:rsid w:val="6EDD1581"/>
    <w:rsid w:val="6EE37D9F"/>
    <w:rsid w:val="6F33431F"/>
    <w:rsid w:val="6F627C19"/>
    <w:rsid w:val="6F64384D"/>
    <w:rsid w:val="6FD71E92"/>
    <w:rsid w:val="6FE0340A"/>
    <w:rsid w:val="70227EC6"/>
    <w:rsid w:val="703F60A8"/>
    <w:rsid w:val="70822713"/>
    <w:rsid w:val="70B46F74"/>
    <w:rsid w:val="70E02081"/>
    <w:rsid w:val="714E772A"/>
    <w:rsid w:val="71FB028A"/>
    <w:rsid w:val="724B5262"/>
    <w:rsid w:val="72875C50"/>
    <w:rsid w:val="729130E1"/>
    <w:rsid w:val="72D134DE"/>
    <w:rsid w:val="72FD1EE3"/>
    <w:rsid w:val="73900C02"/>
    <w:rsid w:val="73940F35"/>
    <w:rsid w:val="73BE334D"/>
    <w:rsid w:val="73D253BE"/>
    <w:rsid w:val="746C5BB4"/>
    <w:rsid w:val="74E538AA"/>
    <w:rsid w:val="74EB0EC0"/>
    <w:rsid w:val="74EB26E9"/>
    <w:rsid w:val="74F6102E"/>
    <w:rsid w:val="7529519B"/>
    <w:rsid w:val="75360D61"/>
    <w:rsid w:val="75AB44BA"/>
    <w:rsid w:val="75CC203F"/>
    <w:rsid w:val="75F6021B"/>
    <w:rsid w:val="76263B40"/>
    <w:rsid w:val="767D2702"/>
    <w:rsid w:val="76A52F33"/>
    <w:rsid w:val="76AD3EE0"/>
    <w:rsid w:val="76B40FB3"/>
    <w:rsid w:val="77463913"/>
    <w:rsid w:val="778154D2"/>
    <w:rsid w:val="77B3710F"/>
    <w:rsid w:val="77F14B39"/>
    <w:rsid w:val="784E6FD5"/>
    <w:rsid w:val="7982320E"/>
    <w:rsid w:val="79992F3A"/>
    <w:rsid w:val="79AE33E5"/>
    <w:rsid w:val="79EC68CF"/>
    <w:rsid w:val="7A3E3951"/>
    <w:rsid w:val="7A921700"/>
    <w:rsid w:val="7A9D7487"/>
    <w:rsid w:val="7ADF7850"/>
    <w:rsid w:val="7B447C52"/>
    <w:rsid w:val="7B5641A4"/>
    <w:rsid w:val="7BBF4CC5"/>
    <w:rsid w:val="7BC167E5"/>
    <w:rsid w:val="7BE44282"/>
    <w:rsid w:val="7BEB23A7"/>
    <w:rsid w:val="7C1A207B"/>
    <w:rsid w:val="7C30076C"/>
    <w:rsid w:val="7C452B24"/>
    <w:rsid w:val="7C4E0379"/>
    <w:rsid w:val="7C537629"/>
    <w:rsid w:val="7C601C17"/>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 w:val="7FBC4125"/>
    <w:rsid w:val="7FCA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2"/>
    <w:basedOn w:val="1"/>
    <w:next w:val="2"/>
    <w:unhideWhenUsed/>
    <w:qFormat/>
    <w:uiPriority w:val="0"/>
    <w:pPr>
      <w:spacing w:after="120" w:line="480" w:lineRule="auto"/>
    </w:pPr>
    <w:rPr>
      <w:rFonts w:ascii="Times New Roman" w:hAnsi="Times New Roman"/>
    </w:rPr>
  </w:style>
  <w:style w:type="paragraph" w:styleId="7">
    <w:name w:val="Normal Indent"/>
    <w:basedOn w:val="1"/>
    <w:unhideWhenUsed/>
    <w:qFormat/>
    <w:uiPriority w:val="99"/>
    <w:pPr>
      <w:ind w:firstLine="420"/>
    </w:pPr>
    <w:rPr>
      <w:rFonts w:ascii="Calibri" w:hAnsi="Calibri"/>
      <w:szCs w:val="20"/>
    </w:rPr>
  </w:style>
  <w:style w:type="paragraph" w:styleId="8">
    <w:name w:val="caption"/>
    <w:basedOn w:val="1"/>
    <w:next w:val="1"/>
    <w:qFormat/>
    <w:uiPriority w:val="0"/>
    <w:rPr>
      <w:rFonts w:ascii="Arial" w:hAnsi="Arial" w:eastAsia="黑体" w:cstheme="minorBidi"/>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link w:val="55"/>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Indent"/>
    <w:basedOn w:val="1"/>
    <w:next w:val="13"/>
    <w:qFormat/>
    <w:uiPriority w:val="0"/>
    <w:pPr>
      <w:ind w:firstLine="560" w:firstLineChars="200"/>
    </w:pPr>
    <w:rPr>
      <w:rFonts w:ascii="Times New Roman" w:hAnsi="Times New Roman"/>
    </w:rPr>
  </w:style>
  <w:style w:type="paragraph" w:styleId="13">
    <w:name w:val="envelope return"/>
    <w:basedOn w:val="1"/>
    <w:qFormat/>
    <w:uiPriority w:val="99"/>
    <w:pPr>
      <w:snapToGrid w:val="0"/>
    </w:pPr>
    <w:rPr>
      <w:rFonts w:ascii="Arial" w:hAnsi="Arial" w:cs="Arial"/>
    </w:rPr>
  </w:style>
  <w:style w:type="paragraph" w:styleId="14">
    <w:name w:val="toc 3"/>
    <w:basedOn w:val="1"/>
    <w:next w:val="1"/>
    <w:qFormat/>
    <w:uiPriority w:val="0"/>
    <w:pPr>
      <w:ind w:left="840" w:leftChars="400"/>
    </w:pPr>
  </w:style>
  <w:style w:type="paragraph" w:styleId="15">
    <w:name w:val="Plain Text"/>
    <w:basedOn w:val="1"/>
    <w:qFormat/>
    <w:uiPriority w:val="0"/>
    <w:rPr>
      <w:rFonts w:hint="eastAsia" w:ascii="宋体" w:hAnsi="Courier New"/>
      <w:szCs w:val="21"/>
    </w:rPr>
  </w:style>
  <w:style w:type="paragraph" w:styleId="16">
    <w:name w:val="Balloon Text"/>
    <w:basedOn w:val="1"/>
    <w:link w:val="57"/>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3">
    <w:name w:val="annotation subject"/>
    <w:basedOn w:val="10"/>
    <w:next w:val="10"/>
    <w:link w:val="56"/>
    <w:qFormat/>
    <w:uiPriority w:val="0"/>
    <w:rPr>
      <w:b/>
      <w:bCs/>
    </w:rPr>
  </w:style>
  <w:style w:type="paragraph" w:styleId="24">
    <w:name w:val="Body Text First Indent"/>
    <w:basedOn w:val="2"/>
    <w:next w:val="25"/>
    <w:unhideWhenUsed/>
    <w:qFormat/>
    <w:uiPriority w:val="0"/>
    <w:pPr>
      <w:ind w:firstLine="420" w:firstLineChars="100"/>
    </w:pPr>
    <w:rPr>
      <w:rFonts w:hint="eastAsia" w:ascii="楷体_GB2312" w:eastAsia="楷体_GB2312"/>
      <w:sz w:val="32"/>
    </w:rPr>
  </w:style>
  <w:style w:type="paragraph" w:styleId="25">
    <w:name w:val="Body Text First Indent 2"/>
    <w:basedOn w:val="12"/>
    <w:next w:val="1"/>
    <w:qFormat/>
    <w:uiPriority w:val="0"/>
    <w:pPr>
      <w:ind w:firstLine="42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rFonts w:cs="Times New Roman"/>
      <w:color w:val="0000FF"/>
      <w:u w:val="single"/>
    </w:rPr>
  </w:style>
  <w:style w:type="character" w:styleId="30">
    <w:name w:val="annotation reference"/>
    <w:basedOn w:val="28"/>
    <w:qFormat/>
    <w:uiPriority w:val="0"/>
    <w:rPr>
      <w:sz w:val="21"/>
      <w:szCs w:val="21"/>
    </w:rPr>
  </w:style>
  <w:style w:type="paragraph" w:customStyle="1" w:styleId="31">
    <w:name w:val="style4"/>
    <w:basedOn w:val="32"/>
    <w:next w:val="33"/>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Style1"/>
    <w:next w:val="35"/>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5">
    <w:name w:val="*正文"/>
    <w:basedOn w:val="1"/>
    <w:qFormat/>
    <w:uiPriority w:val="0"/>
    <w:pPr>
      <w:ind w:firstLine="200" w:firstLineChars="200"/>
    </w:pPr>
    <w:rPr>
      <w:rFonts w:ascii="宋体" w:hAnsi="宋体"/>
      <w:szCs w:val="22"/>
    </w:rPr>
  </w:style>
  <w:style w:type="paragraph" w:customStyle="1" w:styleId="36">
    <w:name w:val="Body Text First Indent1"/>
    <w:basedOn w:val="2"/>
    <w:qFormat/>
    <w:uiPriority w:val="0"/>
    <w:pPr>
      <w:ind w:firstLine="420" w:firstLineChars="100"/>
    </w:pPr>
  </w:style>
  <w:style w:type="paragraph" w:customStyle="1" w:styleId="37">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9">
    <w:name w:val="表格文字"/>
    <w:basedOn w:val="1"/>
    <w:next w:val="2"/>
    <w:qFormat/>
    <w:uiPriority w:val="0"/>
    <w:pPr>
      <w:adjustRightInd w:val="0"/>
      <w:spacing w:line="420" w:lineRule="atLeast"/>
      <w:jc w:val="left"/>
      <w:textAlignment w:val="baseline"/>
    </w:pPr>
    <w:rPr>
      <w:kern w:val="0"/>
    </w:rPr>
  </w:style>
  <w:style w:type="paragraph" w:customStyle="1" w:styleId="40">
    <w:name w:val="p0"/>
    <w:basedOn w:val="41"/>
    <w:qFormat/>
    <w:uiPriority w:val="0"/>
    <w:pPr>
      <w:widowControl/>
    </w:pPr>
    <w:rPr>
      <w:kern w:val="0"/>
      <w:szCs w:val="21"/>
    </w:rPr>
  </w:style>
  <w:style w:type="paragraph" w:customStyle="1" w:styleId="41">
    <w:name w:val="正文1"/>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1"/>
    <w:basedOn w:val="41"/>
    <w:qFormat/>
    <w:uiPriority w:val="99"/>
    <w:rPr>
      <w:rFonts w:eastAsia="楷体_GB2312"/>
      <w:sz w:val="28"/>
    </w:rPr>
  </w:style>
  <w:style w:type="character" w:customStyle="1" w:styleId="43">
    <w:name w:val="NormalCharacter"/>
    <w:qFormat/>
    <w:uiPriority w:val="0"/>
    <w:rPr>
      <w:rFonts w:ascii="Book Antiqua" w:hAnsi="Book Antiqua" w:eastAsia="宋体" w:cs="Times New Roman"/>
      <w:kern w:val="2"/>
      <w:sz w:val="21"/>
      <w:szCs w:val="24"/>
      <w:lang w:val="en-US" w:eastAsia="zh-CN" w:bidi="ar-SA"/>
    </w:rPr>
  </w:style>
  <w:style w:type="paragraph" w:customStyle="1" w:styleId="44">
    <w:name w:val="BodyText1I"/>
    <w:basedOn w:val="45"/>
    <w:next w:val="47"/>
    <w:qFormat/>
    <w:uiPriority w:val="0"/>
    <w:pPr>
      <w:ind w:firstLine="420" w:firstLineChars="100"/>
    </w:pPr>
    <w:rPr>
      <w:rFonts w:ascii="楷体_GB2312"/>
      <w:sz w:val="32"/>
    </w:rPr>
  </w:style>
  <w:style w:type="paragraph" w:customStyle="1" w:styleId="45">
    <w:name w:val="BodyText"/>
    <w:basedOn w:val="1"/>
    <w:next w:val="46"/>
    <w:qFormat/>
    <w:uiPriority w:val="0"/>
    <w:pPr>
      <w:textAlignment w:val="baseline"/>
    </w:pPr>
    <w:rPr>
      <w:rFonts w:ascii="Calibri" w:hAnsi="Calibri" w:eastAsia="楷体_GB2312"/>
      <w:kern w:val="0"/>
      <w:sz w:val="28"/>
    </w:rPr>
  </w:style>
  <w:style w:type="paragraph" w:customStyle="1" w:styleId="46">
    <w:name w:val="BodyText2"/>
    <w:basedOn w:val="1"/>
    <w:next w:val="45"/>
    <w:qFormat/>
    <w:uiPriority w:val="0"/>
    <w:pPr>
      <w:spacing w:after="120" w:line="480" w:lineRule="auto"/>
      <w:textAlignment w:val="baseline"/>
    </w:pPr>
  </w:style>
  <w:style w:type="paragraph" w:customStyle="1" w:styleId="47">
    <w:name w:val="BodyText1I2"/>
    <w:basedOn w:val="48"/>
    <w:qFormat/>
    <w:uiPriority w:val="0"/>
    <w:pPr>
      <w:ind w:firstLine="420" w:firstLineChars="200"/>
    </w:pPr>
  </w:style>
  <w:style w:type="paragraph" w:customStyle="1" w:styleId="48">
    <w:name w:val="BodyTextIndent"/>
    <w:basedOn w:val="1"/>
    <w:qFormat/>
    <w:uiPriority w:val="0"/>
    <w:pPr>
      <w:spacing w:after="120"/>
      <w:ind w:left="420" w:leftChars="200"/>
      <w:textAlignment w:val="baseline"/>
    </w:pPr>
  </w:style>
  <w:style w:type="paragraph" w:customStyle="1" w:styleId="49">
    <w:name w:val="TOAHeading"/>
    <w:basedOn w:val="1"/>
    <w:next w:val="1"/>
    <w:qFormat/>
    <w:uiPriority w:val="0"/>
    <w:pPr>
      <w:spacing w:before="120"/>
      <w:textAlignment w:val="baseline"/>
    </w:pPr>
    <w:rPr>
      <w:rFonts w:ascii="Arial" w:hAnsi="Arial"/>
      <w:sz w:val="24"/>
      <w:szCs w:val="22"/>
    </w:rPr>
  </w:style>
  <w:style w:type="paragraph" w:customStyle="1" w:styleId="50">
    <w:name w:val="Table Paragraph"/>
    <w:basedOn w:val="1"/>
    <w:qFormat/>
    <w:uiPriority w:val="1"/>
    <w:rPr>
      <w:rFonts w:ascii="宋体" w:hAnsi="宋体" w:cs="宋体"/>
      <w:lang w:val="zh-CN" w:bidi="zh-CN"/>
    </w:rPr>
  </w:style>
  <w:style w:type="paragraph" w:styleId="51">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2">
    <w:name w:val="_Style 41"/>
    <w:basedOn w:val="1"/>
    <w:next w:val="51"/>
    <w:qFormat/>
    <w:uiPriority w:val="34"/>
    <w:pPr>
      <w:ind w:firstLine="420" w:firstLineChars="200"/>
    </w:pPr>
    <w:rPr>
      <w:rFonts w:ascii="等线" w:hAnsi="等线" w:eastAsia="等线"/>
      <w:szCs w:val="22"/>
    </w:rPr>
  </w:style>
  <w:style w:type="paragraph" w:customStyle="1" w:styleId="5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8"/>
    <w:link w:val="10"/>
    <w:qFormat/>
    <w:uiPriority w:val="0"/>
    <w:rPr>
      <w:rFonts w:ascii="Book Antiqua" w:hAnsi="Book Antiqua"/>
      <w:kern w:val="2"/>
      <w:sz w:val="21"/>
      <w:szCs w:val="24"/>
    </w:rPr>
  </w:style>
  <w:style w:type="character" w:customStyle="1" w:styleId="56">
    <w:name w:val="批注主题 字符"/>
    <w:basedOn w:val="55"/>
    <w:link w:val="23"/>
    <w:qFormat/>
    <w:uiPriority w:val="0"/>
    <w:rPr>
      <w:rFonts w:ascii="Book Antiqua" w:hAnsi="Book Antiqua"/>
      <w:b/>
      <w:bCs/>
      <w:kern w:val="2"/>
      <w:sz w:val="21"/>
      <w:szCs w:val="24"/>
    </w:rPr>
  </w:style>
  <w:style w:type="character" w:customStyle="1" w:styleId="57">
    <w:name w:val="批注框文本 字符"/>
    <w:basedOn w:val="28"/>
    <w:link w:val="16"/>
    <w:qFormat/>
    <w:uiPriority w:val="0"/>
    <w:rPr>
      <w:rFonts w:ascii="Book Antiqua" w:hAnsi="Book Antiqua"/>
      <w:kern w:val="2"/>
      <w:sz w:val="18"/>
      <w:szCs w:val="18"/>
    </w:rPr>
  </w:style>
  <w:style w:type="paragraph" w:customStyle="1" w:styleId="58">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59">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正文文本首行缩进 21"/>
    <w:basedOn w:val="62"/>
    <w:qFormat/>
    <w:uiPriority w:val="0"/>
    <w:pPr>
      <w:ind w:firstLine="420" w:firstLineChars="200"/>
    </w:pPr>
  </w:style>
  <w:style w:type="paragraph" w:customStyle="1" w:styleId="62">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24078</Words>
  <Characters>26969</Characters>
  <Lines>225</Lines>
  <Paragraphs>63</Paragraphs>
  <TotalTime>1</TotalTime>
  <ScaleCrop>false</ScaleCrop>
  <LinksUpToDate>false</LinksUpToDate>
  <CharactersWithSpaces>28578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Administrator</cp:lastModifiedBy>
  <cp:lastPrinted>2023-04-18T07:16:00Z</cp:lastPrinted>
  <dcterms:modified xsi:type="dcterms:W3CDTF">2023-05-18T10:18:27Z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7C1A2B0E17A9416DB1FBC51341D65948_13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