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asciiTheme="minorEastAsia" w:hAnsiTheme="minorEastAsia" w:eastAsiaTheme="minorEastAsia" w:cstheme="minorEastAsia"/>
        </w:rPr>
      </w:pPr>
      <w:bookmarkStart w:id="0" w:name="_Toc281574833"/>
    </w:p>
    <w:p>
      <w:pPr>
        <w:pStyle w:val="17"/>
        <w:rPr>
          <w:rFonts w:asciiTheme="minorEastAsia" w:hAnsiTheme="minorEastAsia" w:eastAsiaTheme="minorEastAsia" w:cstheme="minorEastAsia"/>
        </w:rPr>
      </w:pPr>
    </w:p>
    <w:p>
      <w:pPr>
        <w:pStyle w:val="16"/>
        <w:rPr>
          <w:rFonts w:asciiTheme="minorEastAsia" w:hAnsiTheme="minorEastAsia" w:eastAsiaTheme="minorEastAsia" w:cstheme="minorEastAsia"/>
        </w:rPr>
      </w:pPr>
    </w:p>
    <w:p>
      <w:pPr>
        <w:pStyle w:val="17"/>
      </w:pPr>
    </w:p>
    <w:p>
      <w:pPr>
        <w:pStyle w:val="17"/>
        <w:rPr>
          <w:rFonts w:asciiTheme="minorEastAsia" w:hAnsiTheme="minorEastAsia" w:eastAsiaTheme="minorEastAsia" w:cstheme="minorEastAsia"/>
        </w:rPr>
      </w:pPr>
    </w:p>
    <w:p>
      <w:pPr>
        <w:spacing w:line="360" w:lineRule="auto"/>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rPr>
        <w:t>博爱县西关清真寺安防工程采购项目</w:t>
      </w:r>
      <w:r>
        <w:rPr>
          <w:rFonts w:hint="eastAsia" w:asciiTheme="majorEastAsia" w:hAnsiTheme="majorEastAsia" w:eastAsiaTheme="majorEastAsia" w:cstheme="majorEastAsia"/>
          <w:b/>
          <w:bCs/>
          <w:sz w:val="48"/>
          <w:szCs w:val="48"/>
          <w:lang w:eastAsia="zh-CN"/>
        </w:rPr>
        <w:t>（二次）</w:t>
      </w:r>
    </w:p>
    <w:p>
      <w:pPr>
        <w:spacing w:line="360" w:lineRule="auto"/>
        <w:jc w:val="center"/>
        <w:rPr>
          <w:rFonts w:asciiTheme="majorEastAsia" w:hAnsiTheme="majorEastAsia" w:eastAsiaTheme="majorEastAsia" w:cstheme="majorEastAsia"/>
          <w:b/>
          <w:bCs/>
          <w:sz w:val="44"/>
          <w:szCs w:val="44"/>
        </w:rPr>
      </w:pPr>
    </w:p>
    <w:p>
      <w:pPr>
        <w:spacing w:line="360" w:lineRule="auto"/>
        <w:jc w:val="center"/>
        <w:rPr>
          <w:rFonts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pPr>
        <w:pStyle w:val="16"/>
      </w:pPr>
    </w:p>
    <w:p>
      <w:pPr>
        <w:spacing w:line="360" w:lineRule="auto"/>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招 标 文 件</w:t>
      </w:r>
    </w:p>
    <w:p>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采购编号：博政采购</w:t>
      </w:r>
      <w:r>
        <w:rPr>
          <w:rFonts w:hint="eastAsia" w:ascii="宋体" w:hAnsi="宋体" w:cs="宋体"/>
          <w:b/>
          <w:bCs/>
          <w:sz w:val="28"/>
          <w:szCs w:val="28"/>
        </w:rPr>
        <w:t>〔</w:t>
      </w:r>
      <w:r>
        <w:rPr>
          <w:rFonts w:hint="eastAsia" w:asciiTheme="minorEastAsia" w:hAnsiTheme="minorEastAsia" w:eastAsiaTheme="minorEastAsia" w:cstheme="minorEastAsia"/>
          <w:b/>
          <w:bCs/>
          <w:sz w:val="28"/>
          <w:szCs w:val="28"/>
        </w:rPr>
        <w:t>2023</w:t>
      </w:r>
      <w:r>
        <w:rPr>
          <w:rFonts w:hint="eastAsia" w:ascii="宋体" w:hAnsi="宋体" w:cs="宋体"/>
          <w:b/>
          <w:bCs/>
          <w:sz w:val="28"/>
          <w:szCs w:val="28"/>
        </w:rPr>
        <w:t>〕</w:t>
      </w:r>
      <w:r>
        <w:rPr>
          <w:rFonts w:hint="eastAsia" w:asciiTheme="minorEastAsia" w:hAnsiTheme="minorEastAsia" w:eastAsiaTheme="minorEastAsia" w:cstheme="minorEastAsia"/>
          <w:b/>
          <w:bCs/>
          <w:sz w:val="28"/>
          <w:szCs w:val="28"/>
        </w:rPr>
        <w:t>16号</w:t>
      </w:r>
    </w:p>
    <w:p>
      <w:pPr>
        <w:jc w:val="center"/>
        <w:rPr>
          <w:rFonts w:asciiTheme="minorEastAsia" w:hAnsiTheme="minorEastAsia" w:eastAsiaTheme="minorEastAsia" w:cstheme="minorEastAsia"/>
          <w:sz w:val="30"/>
        </w:rPr>
      </w:pPr>
    </w:p>
    <w:p>
      <w:pPr>
        <w:pStyle w:val="17"/>
        <w:rPr>
          <w:rFonts w:asciiTheme="minorEastAsia" w:hAnsiTheme="minorEastAsia" w:eastAsiaTheme="minorEastAsia" w:cstheme="minorEastAsia"/>
        </w:rPr>
      </w:pPr>
    </w:p>
    <w:p>
      <w:pPr>
        <w:pStyle w:val="16"/>
        <w:rPr>
          <w:rFonts w:asciiTheme="minorEastAsia" w:hAnsiTheme="minorEastAsia" w:eastAsiaTheme="minorEastAsia" w:cstheme="minorEastAsia"/>
        </w:rPr>
      </w:pPr>
    </w:p>
    <w:p>
      <w:pPr>
        <w:pStyle w:val="17"/>
      </w:pPr>
    </w:p>
    <w:p>
      <w:pPr>
        <w:pStyle w:val="16"/>
      </w:pPr>
    </w:p>
    <w:p>
      <w:pPr>
        <w:pStyle w:val="16"/>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人：博爱县博物馆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Theme="minorEastAsia" w:hAnsiTheme="minorEastAsia" w:eastAsiaTheme="minorEastAsia" w:cstheme="minorEastAsia"/>
          <w:b/>
          <w:bCs/>
          <w:sz w:val="28"/>
          <w:szCs w:val="28"/>
        </w:rPr>
        <w:t>代理机构：</w:t>
      </w:r>
      <w:r>
        <w:rPr>
          <w:rFonts w:hint="eastAsia" w:asciiTheme="minorEastAsia" w:hAnsiTheme="minorEastAsia" w:eastAsiaTheme="minorEastAsia" w:cstheme="minorEastAsia"/>
          <w:b/>
          <w:bCs/>
          <w:sz w:val="28"/>
          <w:szCs w:val="28"/>
          <w:lang w:eastAsia="zh-CN"/>
        </w:rPr>
        <w:t>中兴豫建设管理</w:t>
      </w:r>
      <w:r>
        <w:rPr>
          <w:rFonts w:hint="eastAsia" w:asciiTheme="minorEastAsia" w:hAnsiTheme="minorEastAsia" w:eastAsiaTheme="minorEastAsia" w:cstheme="minorEastAsia"/>
          <w:b/>
          <w:bCs/>
          <w:sz w:val="28"/>
          <w:szCs w:val="28"/>
        </w:rPr>
        <w:t>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cstheme="minorEastAsia"/>
          <w:b/>
          <w:bCs/>
          <w:sz w:val="32"/>
          <w:szCs w:val="32"/>
        </w:rPr>
        <w:sectPr>
          <w:footerReference r:id="rId3" w:type="firs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28"/>
          <w:szCs w:val="28"/>
        </w:rPr>
        <w:t>日    期：</w:t>
      </w:r>
      <w:r>
        <w:rPr>
          <w:rFonts w:hint="eastAsia" w:asciiTheme="minorEastAsia" w:hAnsiTheme="minorEastAsia" w:eastAsiaTheme="minorEastAsia" w:cstheme="minorEastAsia"/>
          <w:b/>
          <w:bCs/>
          <w:sz w:val="28"/>
          <w:szCs w:val="28"/>
          <w:lang w:eastAsia="zh-CN"/>
        </w:rPr>
        <w:t>二〇二三</w:t>
      </w:r>
      <w:r>
        <w:rPr>
          <w:rFonts w:hint="eastAsia" w:asciiTheme="minorEastAsia" w:hAnsiTheme="minorEastAsia" w:eastAsiaTheme="minorEastAsia" w:cstheme="minorEastAsia"/>
          <w:b/>
          <w:bCs/>
          <w:sz w:val="28"/>
          <w:szCs w:val="28"/>
        </w:rPr>
        <w:t>年</w:t>
      </w:r>
      <w:r>
        <w:rPr>
          <w:rFonts w:hint="eastAsia" w:asciiTheme="minorEastAsia" w:hAnsiTheme="minorEastAsia" w:eastAsiaTheme="minorEastAsia" w:cstheme="minorEastAsia"/>
          <w:b/>
          <w:bCs/>
          <w:sz w:val="28"/>
          <w:szCs w:val="28"/>
          <w:lang w:eastAsia="zh-CN"/>
        </w:rPr>
        <w:t>六</w:t>
      </w:r>
      <w:r>
        <w:rPr>
          <w:rFonts w:hint="eastAsia" w:asciiTheme="minorEastAsia" w:hAnsiTheme="minorEastAsia" w:eastAsiaTheme="minorEastAsia" w:cstheme="minorEastAsia"/>
          <w:b/>
          <w:bCs/>
          <w:sz w:val="28"/>
          <w:szCs w:val="28"/>
        </w:rPr>
        <w:t>月</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pStyle w:val="25"/>
        <w:keepNext w:val="0"/>
        <w:keepLines w:val="0"/>
        <w:pageBreakBefore w:val="0"/>
        <w:widowControl w:val="0"/>
        <w:tabs>
          <w:tab w:val="right" w:leader="hyphen" w:pos="88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Cs/>
        </w:rPr>
        <w:fldChar w:fldCharType="begin"/>
      </w:r>
      <w:r>
        <w:rPr>
          <w:rFonts w:hint="eastAsia" w:ascii="宋体" w:hAnsi="宋体" w:eastAsia="宋体" w:cs="宋体"/>
          <w:bCs/>
        </w:rPr>
        <w:instrText xml:space="preserve">TOC \o "1-1" \h \u </w:instrText>
      </w:r>
      <w:r>
        <w:rPr>
          <w:rFonts w:hint="eastAsia" w:ascii="宋体" w:hAnsi="宋体" w:eastAsia="宋体" w:cs="宋体"/>
          <w:bCs/>
        </w:rPr>
        <w:fldChar w:fldCharType="separate"/>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_Toc15847 </w:instrText>
      </w:r>
      <w:r>
        <w:rPr>
          <w:rFonts w:hint="eastAsia" w:ascii="宋体" w:hAnsi="宋体" w:eastAsia="宋体" w:cs="宋体"/>
          <w:bCs/>
          <w:sz w:val="24"/>
          <w:szCs w:val="24"/>
        </w:rPr>
        <w:fldChar w:fldCharType="separate"/>
      </w:r>
      <w:r>
        <w:rPr>
          <w:rFonts w:hint="eastAsia" w:ascii="宋体" w:hAnsi="宋体" w:eastAsia="宋体" w:cs="宋体"/>
          <w:sz w:val="24"/>
          <w:szCs w:val="24"/>
        </w:rPr>
        <w:t>重要事项提示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_Toc15847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5"/>
        <w:keepNext w:val="0"/>
        <w:keepLines w:val="0"/>
        <w:pageBreakBefore w:val="0"/>
        <w:widowControl w:val="0"/>
        <w:tabs>
          <w:tab w:val="right" w:leader="hyphen" w:pos="88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_Toc24066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_Toc24066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5"/>
        <w:keepNext w:val="0"/>
        <w:keepLines w:val="0"/>
        <w:pageBreakBefore w:val="0"/>
        <w:widowControl w:val="0"/>
        <w:tabs>
          <w:tab w:val="right" w:leader="hyphen" w:pos="88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_Toc21579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_Toc21579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5"/>
        <w:keepNext w:val="0"/>
        <w:keepLines w:val="0"/>
        <w:pageBreakBefore w:val="0"/>
        <w:widowControl w:val="0"/>
        <w:tabs>
          <w:tab w:val="right" w:leader="hyphen" w:pos="88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_Toc25260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第三章 评标办法（综合评分法）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_Toc25260 \h </w:instrText>
      </w:r>
      <w:r>
        <w:rPr>
          <w:rFonts w:hint="eastAsia" w:ascii="宋体" w:hAnsi="宋体" w:eastAsia="宋体" w:cs="宋体"/>
          <w:sz w:val="24"/>
          <w:szCs w:val="24"/>
        </w:rPr>
        <w:fldChar w:fldCharType="separate"/>
      </w:r>
      <w:r>
        <w:rPr>
          <w:rFonts w:hint="eastAsia" w:ascii="宋体" w:hAnsi="宋体" w:eastAsia="宋体" w:cs="宋体"/>
          <w:sz w:val="24"/>
          <w:szCs w:val="24"/>
        </w:rPr>
        <w:t>- 25 -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5"/>
        <w:keepNext w:val="0"/>
        <w:keepLines w:val="0"/>
        <w:pageBreakBefore w:val="0"/>
        <w:widowControl w:val="0"/>
        <w:tabs>
          <w:tab w:val="right" w:leader="hyphen" w:pos="88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_Toc25544 </w:instrText>
      </w:r>
      <w:r>
        <w:rPr>
          <w:rFonts w:hint="eastAsia" w:ascii="宋体" w:hAnsi="宋体" w:eastAsia="宋体" w:cs="宋体"/>
          <w:bCs/>
          <w:sz w:val="24"/>
          <w:szCs w:val="24"/>
        </w:rPr>
        <w:fldChar w:fldCharType="separate"/>
      </w:r>
      <w:r>
        <w:rPr>
          <w:rFonts w:hint="eastAsia" w:ascii="宋体" w:hAnsi="宋体" w:eastAsia="宋体" w:cs="宋体"/>
          <w:sz w:val="24"/>
          <w:szCs w:val="24"/>
          <w:lang w:eastAsia="zh-CN"/>
        </w:rPr>
        <w:t>第四章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合同条款及格式 （仅供参考）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_Toc25544 \h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5"/>
        <w:keepNext w:val="0"/>
        <w:keepLines w:val="0"/>
        <w:pageBreakBefore w:val="0"/>
        <w:widowControl w:val="0"/>
        <w:tabs>
          <w:tab w:val="right" w:leader="hyphen" w:pos="88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_Toc8682 </w:instrText>
      </w:r>
      <w:r>
        <w:rPr>
          <w:rFonts w:hint="eastAsia" w:ascii="宋体" w:hAnsi="宋体" w:eastAsia="宋体" w:cs="宋体"/>
          <w:bCs/>
          <w:sz w:val="24"/>
          <w:szCs w:val="24"/>
        </w:rPr>
        <w:fldChar w:fldCharType="separate"/>
      </w:r>
      <w:r>
        <w:rPr>
          <w:rFonts w:hint="eastAsia" w:ascii="宋体" w:hAnsi="宋体" w:eastAsia="宋体" w:cs="宋体"/>
          <w:sz w:val="24"/>
          <w:szCs w:val="24"/>
          <w:lang w:eastAsia="zh-CN"/>
        </w:rPr>
        <w:t>第五章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采购内容及技术要求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_Toc8682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5"/>
        <w:keepNext w:val="0"/>
        <w:keepLines w:val="0"/>
        <w:pageBreakBefore w:val="0"/>
        <w:widowControl w:val="0"/>
        <w:tabs>
          <w:tab w:val="right" w:leader="hyphen" w:pos="88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_Toc18132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第六章 质疑与投诉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_Toc18132 \h </w:instrText>
      </w:r>
      <w:r>
        <w:rPr>
          <w:rFonts w:hint="eastAsia" w:ascii="宋体" w:hAnsi="宋体" w:eastAsia="宋体" w:cs="宋体"/>
          <w:sz w:val="24"/>
          <w:szCs w:val="24"/>
        </w:rPr>
        <w:fldChar w:fldCharType="separate"/>
      </w:r>
      <w:r>
        <w:rPr>
          <w:rFonts w:hint="eastAsia" w:ascii="宋体" w:hAnsi="宋体" w:eastAsia="宋体" w:cs="宋体"/>
          <w:sz w:val="24"/>
          <w:szCs w:val="24"/>
        </w:rPr>
        <w:t>- 67 -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5"/>
        <w:keepNext w:val="0"/>
        <w:keepLines w:val="0"/>
        <w:pageBreakBefore w:val="0"/>
        <w:widowControl w:val="0"/>
        <w:tabs>
          <w:tab w:val="right" w:leader="hyphen" w:pos="88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_Toc3861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第七章 履约验收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_Toc3861 \h </w:instrText>
      </w:r>
      <w:r>
        <w:rPr>
          <w:rFonts w:hint="eastAsia" w:ascii="宋体" w:hAnsi="宋体" w:eastAsia="宋体" w:cs="宋体"/>
          <w:sz w:val="24"/>
          <w:szCs w:val="24"/>
        </w:rPr>
        <w:fldChar w:fldCharType="separate"/>
      </w:r>
      <w:r>
        <w:rPr>
          <w:rFonts w:hint="eastAsia" w:ascii="宋体" w:hAnsi="宋体" w:eastAsia="宋体" w:cs="宋体"/>
          <w:sz w:val="24"/>
          <w:szCs w:val="24"/>
        </w:rPr>
        <w:t>- 69 -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25"/>
        <w:keepNext w:val="0"/>
        <w:keepLines w:val="0"/>
        <w:pageBreakBefore w:val="0"/>
        <w:widowControl w:val="0"/>
        <w:tabs>
          <w:tab w:val="right" w:leader="hyphen" w:pos="8812"/>
        </w:tabs>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_Toc21125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第八章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_Toc21125 \h </w:instrText>
      </w:r>
      <w:r>
        <w:rPr>
          <w:rFonts w:hint="eastAsia" w:ascii="宋体" w:hAnsi="宋体" w:eastAsia="宋体" w:cs="宋体"/>
          <w:sz w:val="24"/>
          <w:szCs w:val="24"/>
        </w:rPr>
        <w:fldChar w:fldCharType="separate"/>
      </w:r>
      <w:r>
        <w:rPr>
          <w:rFonts w:hint="eastAsia" w:ascii="宋体" w:hAnsi="宋体" w:eastAsia="宋体" w:cs="宋体"/>
          <w:sz w:val="24"/>
          <w:szCs w:val="24"/>
        </w:rPr>
        <w:t>- 70 -</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80" w:lineRule="auto"/>
        <w:ind w:right="-273" w:rightChars="-130"/>
        <w:textAlignment w:val="auto"/>
        <w:rPr>
          <w:rFonts w:asciiTheme="minorEastAsia" w:hAnsiTheme="minorEastAsia" w:eastAsiaTheme="minorEastAsia" w:cstheme="minorEastAsia"/>
          <w:bCs/>
        </w:rPr>
      </w:pPr>
      <w:r>
        <w:rPr>
          <w:rFonts w:hint="eastAsia" w:ascii="宋体" w:hAnsi="宋体" w:eastAsia="宋体" w:cs="宋体"/>
          <w:bCs/>
        </w:rPr>
        <w:fldChar w:fldCharType="end"/>
      </w:r>
    </w:p>
    <w:p>
      <w:pPr>
        <w:pStyle w:val="28"/>
        <w:spacing w:line="360" w:lineRule="auto"/>
        <w:ind w:right="-63" w:rightChars="-30"/>
        <w:jc w:val="both"/>
        <w:outlineLvl w:val="9"/>
        <w:rPr>
          <w:rFonts w:asciiTheme="minorEastAsia" w:hAnsiTheme="minorEastAsia" w:eastAsiaTheme="minorEastAsia" w:cstheme="minorEastAsia"/>
          <w:bCs/>
        </w:rPr>
      </w:pPr>
    </w:p>
    <w:p>
      <w:pPr>
        <w:rPr>
          <w:rFonts w:asciiTheme="minorEastAsia" w:hAnsiTheme="minorEastAsia" w:eastAsiaTheme="minorEastAsia" w:cstheme="minorEastAsia"/>
          <w:bCs/>
        </w:rPr>
      </w:pPr>
    </w:p>
    <w:p>
      <w:pPr>
        <w:pStyle w:val="2"/>
        <w:rPr>
          <w:rFonts w:asciiTheme="minorEastAsia" w:hAnsiTheme="minorEastAsia" w:eastAsiaTheme="minorEastAsia" w:cstheme="minorEastAsia"/>
          <w:bCs/>
        </w:rPr>
      </w:pPr>
    </w:p>
    <w:p>
      <w:pPr>
        <w:pStyle w:val="3"/>
        <w:rPr>
          <w:rFonts w:asciiTheme="minorEastAsia" w:hAnsiTheme="minorEastAsia" w:eastAsiaTheme="minorEastAsia" w:cstheme="minorEastAsia"/>
          <w:bCs/>
        </w:rPr>
      </w:pPr>
    </w:p>
    <w:p>
      <w:pPr>
        <w:pStyle w:val="4"/>
      </w:pPr>
    </w:p>
    <w:p>
      <w:pPr>
        <w:rPr>
          <w:rFonts w:asciiTheme="minorEastAsia" w:hAnsiTheme="minorEastAsia" w:eastAsiaTheme="minorEastAsia" w:cstheme="minorEastAsia"/>
          <w:bCs/>
        </w:rPr>
      </w:pPr>
    </w:p>
    <w:p>
      <w:pPr>
        <w:pStyle w:val="6"/>
        <w:pageBreakBefore w:val="0"/>
        <w:widowControl w:val="0"/>
        <w:numPr>
          <w:ilvl w:val="0"/>
          <w:numId w:val="0"/>
        </w:numPr>
        <w:kinsoku/>
        <w:wordWrap/>
        <w:overflowPunct/>
        <w:topLinePunct w:val="0"/>
        <w:bidi w:val="0"/>
        <w:adjustRightInd/>
        <w:snapToGrid/>
        <w:spacing w:line="500" w:lineRule="exact"/>
        <w:jc w:val="center"/>
        <w:textAlignment w:val="auto"/>
        <w:rPr>
          <w:rFonts w:hint="eastAsia"/>
          <w:sz w:val="32"/>
          <w:szCs w:val="32"/>
        </w:rPr>
      </w:pPr>
      <w:bookmarkStart w:id="1" w:name="_Toc15847"/>
      <w:bookmarkStart w:id="2" w:name="_Toc27735"/>
      <w:r>
        <w:rPr>
          <w:rFonts w:hint="eastAsia"/>
          <w:sz w:val="32"/>
          <w:szCs w:val="32"/>
        </w:rPr>
        <w:t>重要事项提示</w:t>
      </w:r>
      <w:bookmarkEnd w:id="1"/>
      <w:bookmarkEnd w:id="2"/>
    </w:p>
    <w:p>
      <w:pPr>
        <w:pageBreakBefore w:val="0"/>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sz w:val="24"/>
        </w:rPr>
        <w:t>各潜在投标人：</w:t>
      </w:r>
    </w:p>
    <w:p>
      <w:pPr>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pPr>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pPr>
        <w:pStyle w:val="27"/>
        <w:pageBreakBefore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pPr>
      <w:r>
        <w:rPr>
          <w:rFonts w:hint="eastAsia"/>
        </w:rPr>
        <w:t>2</w:t>
      </w:r>
      <w:r>
        <w:rPr>
          <w:rFonts w:hint="eastAsia"/>
          <w:lang w:eastAsia="zh-CN"/>
        </w:rPr>
        <w:t>.</w:t>
      </w:r>
      <w:r>
        <w:rPr>
          <w:rFonts w:hint="eastAsia"/>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7"/>
        <w:pageBreakBefore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7"/>
        <w:pageBreakBefore w:val="0"/>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pPr>
      <w:r>
        <w:rPr>
          <w:rFonts w:hint="eastAsia"/>
          <w:lang w:val="en-US" w:eastAsia="zh-CN"/>
        </w:rPr>
        <w:t>3.</w:t>
      </w:r>
      <w:r>
        <w:rPr>
          <w:rFonts w:hint="eastAsia"/>
        </w:rPr>
        <w:t>有下列情形之一的，将作为自动放弃、无效投标或废标处理：</w:t>
      </w:r>
    </w:p>
    <w:p>
      <w:pPr>
        <w:pStyle w:val="27"/>
        <w:pageBreakBefore w:val="0"/>
        <w:numPr>
          <w:ilvl w:val="0"/>
          <w:numId w:val="2"/>
        </w:numPr>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cs="Times New Roman"/>
        </w:rPr>
      </w:pPr>
      <w:r>
        <w:rPr>
          <w:rFonts w:hint="eastAsia" w:cs="Times New Roman"/>
        </w:rPr>
        <w:t>在投标文件中对同一采购项目有两个或多个报价，且未声明哪一个有效的；</w:t>
      </w:r>
    </w:p>
    <w:p>
      <w:pPr>
        <w:pStyle w:val="27"/>
        <w:pageBreakBefore w:val="0"/>
        <w:numPr>
          <w:ilvl w:val="0"/>
          <w:numId w:val="2"/>
        </w:numPr>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cs="Times New Roman"/>
        </w:rPr>
      </w:pPr>
      <w:r>
        <w:rPr>
          <w:rFonts w:hint="eastAsia" w:cs="Times New Roman"/>
        </w:rPr>
        <w:t>响应文件的关键内容（采购报价、</w:t>
      </w:r>
      <w:r>
        <w:rPr>
          <w:rFonts w:hint="eastAsia"/>
        </w:rPr>
        <w:t>供货安装期</w:t>
      </w:r>
      <w:r>
        <w:rPr>
          <w:rFonts w:hint="eastAsia" w:cs="Times New Roman"/>
        </w:rPr>
        <w:t>、质量标准、品牌、型号等）未填写或填写字迹模糊无法辨认的；</w:t>
      </w:r>
    </w:p>
    <w:p>
      <w:pPr>
        <w:pStyle w:val="27"/>
        <w:pageBreakBefore w:val="0"/>
        <w:numPr>
          <w:ilvl w:val="0"/>
          <w:numId w:val="2"/>
        </w:numPr>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cs="Times New Roman"/>
        </w:rPr>
      </w:pPr>
      <w:r>
        <w:rPr>
          <w:rFonts w:hint="eastAsia" w:cs="Times New Roman"/>
        </w:rPr>
        <w:t>相关资格证明文件不合格的；</w:t>
      </w:r>
    </w:p>
    <w:p>
      <w:pPr>
        <w:pStyle w:val="27"/>
        <w:pageBreakBefore w:val="0"/>
        <w:numPr>
          <w:ilvl w:val="0"/>
          <w:numId w:val="2"/>
        </w:numPr>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cs="Times New Roman"/>
        </w:rPr>
      </w:pPr>
      <w:r>
        <w:rPr>
          <w:rFonts w:hint="eastAsia" w:cs="Times New Roman"/>
        </w:rPr>
        <w:t>采购报价超出控制价的；</w:t>
      </w:r>
    </w:p>
    <w:p>
      <w:pPr>
        <w:pStyle w:val="27"/>
        <w:pageBreakBefore w:val="0"/>
        <w:numPr>
          <w:ilvl w:val="0"/>
          <w:numId w:val="2"/>
        </w:numPr>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cs="Times New Roman"/>
        </w:rPr>
      </w:pPr>
      <w:r>
        <w:rPr>
          <w:rFonts w:hint="eastAsia" w:cs="Times New Roman"/>
        </w:rPr>
        <w:t>投标文件中附有采购人不能接受的条件的；</w:t>
      </w:r>
    </w:p>
    <w:p>
      <w:pPr>
        <w:pStyle w:val="27"/>
        <w:pageBreakBefore w:val="0"/>
        <w:numPr>
          <w:ilvl w:val="0"/>
          <w:numId w:val="2"/>
        </w:numPr>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cs="Times New Roman"/>
        </w:rPr>
        <w:t>投标文件有明显不符合采购文件其它要求和有关法律法规的；</w:t>
      </w:r>
    </w:p>
    <w:p>
      <w:pPr>
        <w:pStyle w:val="27"/>
        <w:pageBreakBefore w:val="0"/>
        <w:numPr>
          <w:ilvl w:val="0"/>
          <w:numId w:val="2"/>
        </w:numPr>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cs="Times New Roma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27"/>
        <w:pageBreakBefore w:val="0"/>
        <w:numPr>
          <w:ilvl w:val="0"/>
          <w:numId w:val="2"/>
        </w:numPr>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rPr>
        <w:t>在评标过程中，评标委员会发现投标单位的报价明显低于其它采购报价，使得其采购报价可能低于其个别成本的，应当要求该投标人作出书面说明并提供相关证明材料。投标人不能合理说明或者不能提供相关证明材料的，由评标委员会认定该投标人以低于成本报价竞标的。</w:t>
      </w:r>
    </w:p>
    <w:p>
      <w:pPr>
        <w:pageBreakBefore w:val="0"/>
        <w:kinsoku/>
        <w:wordWrap/>
        <w:overflowPunct/>
        <w:topLinePunct w:val="0"/>
        <w:autoSpaceDE/>
        <w:autoSpaceDN/>
        <w:bidi w:val="0"/>
        <w:adjustRightInd/>
        <w:snapToGrid/>
        <w:spacing w:line="500" w:lineRule="exact"/>
        <w:textAlignment w:val="auto"/>
        <w:rPr>
          <w:rFonts w:ascii="宋体" w:hAnsi="宋体" w:cs="宋体"/>
          <w:sz w:val="32"/>
          <w:szCs w:val="32"/>
          <w:highlight w:val="yellow"/>
        </w:rPr>
      </w:pPr>
    </w:p>
    <w:p>
      <w:pPr>
        <w:rPr>
          <w:rFonts w:ascii="宋体" w:hAnsi="宋体" w:cs="宋体"/>
          <w:sz w:val="32"/>
          <w:szCs w:val="32"/>
        </w:rPr>
      </w:pPr>
    </w:p>
    <w:p>
      <w:pPr>
        <w:rPr>
          <w:rFonts w:ascii="宋体" w:hAnsi="宋体" w:cs="宋体"/>
          <w:b/>
          <w:bCs/>
          <w:sz w:val="32"/>
          <w:szCs w:val="32"/>
        </w:rPr>
      </w:pPr>
    </w:p>
    <w:p>
      <w:pPr>
        <w:jc w:val="center"/>
        <w:rPr>
          <w:rFonts w:asciiTheme="minorEastAsia" w:hAnsiTheme="minorEastAsia" w:eastAsiaTheme="minorEastAsia" w:cstheme="minorEastAsia"/>
          <w:b/>
          <w:bCs/>
          <w:sz w:val="32"/>
          <w:szCs w:val="32"/>
        </w:rPr>
      </w:pPr>
    </w:p>
    <w:p>
      <w:pPr>
        <w:pStyle w:val="28"/>
        <w:spacing w:line="360" w:lineRule="auto"/>
        <w:ind w:right="-63" w:rightChars="-30"/>
        <w:jc w:val="both"/>
        <w:outlineLvl w:val="9"/>
        <w:rPr>
          <w:rFonts w:asciiTheme="minorEastAsia" w:hAnsiTheme="minorEastAsia" w:eastAsiaTheme="minorEastAsia" w:cstheme="minorEastAsia"/>
          <w:bCs/>
        </w:rPr>
      </w:pPr>
    </w:p>
    <w:p>
      <w:pPr>
        <w:rPr>
          <w:rFonts w:asciiTheme="minorEastAsia" w:hAnsiTheme="minorEastAsia" w:eastAsiaTheme="minorEastAsia" w:cstheme="minorEastAsia"/>
          <w:bCs/>
        </w:rPr>
      </w:pPr>
    </w:p>
    <w:p>
      <w:pPr>
        <w:pStyle w:val="16"/>
        <w:rPr>
          <w:rFonts w:asciiTheme="minorEastAsia" w:hAnsiTheme="minorEastAsia" w:eastAsiaTheme="minorEastAsia" w:cstheme="minorEastAsia"/>
          <w:bCs/>
        </w:rPr>
      </w:pPr>
    </w:p>
    <w:p>
      <w:pPr>
        <w:pStyle w:val="17"/>
        <w:rPr>
          <w:rFonts w:asciiTheme="minorEastAsia" w:hAnsiTheme="minorEastAsia" w:eastAsiaTheme="minorEastAsia" w:cstheme="minorEastAsia"/>
          <w:bCs/>
        </w:rPr>
      </w:pPr>
    </w:p>
    <w:p>
      <w:pPr>
        <w:pStyle w:val="16"/>
        <w:rPr>
          <w:rFonts w:asciiTheme="minorEastAsia" w:hAnsiTheme="minorEastAsia" w:eastAsiaTheme="minorEastAsia" w:cstheme="minorEastAsia"/>
          <w:bCs/>
        </w:rPr>
      </w:pPr>
    </w:p>
    <w:p>
      <w:pPr>
        <w:pStyle w:val="17"/>
      </w:pPr>
    </w:p>
    <w:p>
      <w:pPr>
        <w:pStyle w:val="16"/>
        <w:rPr>
          <w:rFonts w:asciiTheme="minorEastAsia" w:hAnsiTheme="minorEastAsia" w:eastAsiaTheme="minorEastAsia" w:cstheme="minorEastAsia"/>
          <w:bCs/>
        </w:rPr>
      </w:pPr>
    </w:p>
    <w:p>
      <w:pPr>
        <w:pStyle w:val="17"/>
        <w:rPr>
          <w:rFonts w:asciiTheme="minorEastAsia" w:hAnsiTheme="minorEastAsia" w:eastAsiaTheme="minorEastAsia" w:cstheme="minorEastAsia"/>
          <w:bCs/>
        </w:rPr>
      </w:pPr>
    </w:p>
    <w:p>
      <w:pPr>
        <w:pStyle w:val="16"/>
        <w:rPr>
          <w:rFonts w:asciiTheme="minorEastAsia" w:hAnsiTheme="minorEastAsia" w:eastAsiaTheme="minorEastAsia" w:cstheme="minorEastAsia"/>
          <w:bCs/>
        </w:rPr>
      </w:pPr>
    </w:p>
    <w:p>
      <w:pPr>
        <w:pStyle w:val="16"/>
      </w:pPr>
    </w:p>
    <w:p>
      <w:pPr>
        <w:pStyle w:val="17"/>
      </w:pPr>
    </w:p>
    <w:p>
      <w:pPr>
        <w:pStyle w:val="6"/>
        <w:pageBreakBefore w:val="0"/>
        <w:widowControl w:val="0"/>
        <w:numPr>
          <w:ilvl w:val="0"/>
          <w:numId w:val="3"/>
        </w:numPr>
        <w:kinsoku/>
        <w:wordWrap/>
        <w:overflowPunct/>
        <w:topLinePunct w:val="0"/>
        <w:bidi w:val="0"/>
        <w:adjustRightInd/>
        <w:snapToGrid/>
        <w:spacing w:line="500" w:lineRule="exact"/>
        <w:textAlignment w:val="auto"/>
        <w:rPr>
          <w:sz w:val="32"/>
          <w:szCs w:val="32"/>
        </w:rPr>
      </w:pPr>
      <w:r>
        <w:rPr>
          <w:rFonts w:hint="eastAsia"/>
          <w:sz w:val="32"/>
          <w:szCs w:val="32"/>
        </w:rPr>
        <w:t xml:space="preserve">  </w:t>
      </w:r>
      <w:bookmarkStart w:id="3" w:name="_Toc23622"/>
      <w:bookmarkStart w:id="4" w:name="_Toc24066"/>
      <w:r>
        <w:rPr>
          <w:rFonts w:hint="eastAsia"/>
          <w:sz w:val="32"/>
          <w:szCs w:val="32"/>
        </w:rPr>
        <w:t>招标公告</w:t>
      </w:r>
      <w:bookmarkEnd w:id="3"/>
      <w:bookmarkEnd w:id="4"/>
    </w:p>
    <w:p>
      <w:pPr>
        <w:keepNext w:val="0"/>
        <w:keepLines w:val="0"/>
        <w:pageBreakBefore w:val="0"/>
        <w:widowControl w:val="0"/>
        <w:kinsoku/>
        <w:wordWrap/>
        <w:overflowPunct/>
        <w:topLinePunct w:val="0"/>
        <w:bidi w:val="0"/>
        <w:adjustRightInd/>
        <w:snapToGrid/>
        <w:spacing w:line="500" w:lineRule="exact"/>
        <w:jc w:val="center"/>
        <w:textAlignment w:val="auto"/>
      </w:pPr>
      <w:r>
        <w:rPr>
          <w:rFonts w:hint="eastAsia" w:asciiTheme="minorEastAsia" w:hAnsiTheme="minorEastAsia" w:eastAsiaTheme="minorEastAsia" w:cstheme="minorEastAsia"/>
          <w:b/>
          <w:bCs/>
          <w:sz w:val="28"/>
          <w:szCs w:val="28"/>
        </w:rPr>
        <w:t>博爱县西关清真寺安防工程采购项目</w:t>
      </w:r>
      <w:r>
        <w:rPr>
          <w:rFonts w:hint="eastAsia" w:asciiTheme="minorEastAsia" w:hAnsiTheme="minorEastAsia" w:eastAsiaTheme="minorEastAsia" w:cstheme="minorEastAsia"/>
          <w:b/>
          <w:bCs/>
          <w:sz w:val="28"/>
          <w:szCs w:val="28"/>
          <w:lang w:eastAsia="zh-CN"/>
        </w:rPr>
        <w:t>（二次）</w:t>
      </w:r>
    </w:p>
    <w:tbl>
      <w:tblPr>
        <w:tblStyle w:val="32"/>
        <w:tblW w:w="8732"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2" w:type="dxa"/>
          </w:tcPr>
          <w:p>
            <w:pPr>
              <w:pStyle w:val="31"/>
              <w:keepNext w:val="0"/>
              <w:keepLines w:val="0"/>
              <w:pageBreakBefore w:val="0"/>
              <w:widowControl w:val="0"/>
              <w:kinsoku/>
              <w:wordWrap/>
              <w:overflowPunct/>
              <w:topLinePunct w:val="0"/>
              <w:bidi w:val="0"/>
              <w:adjustRightInd/>
              <w:snapToGrid/>
              <w:spacing w:line="500" w:lineRule="exact"/>
              <w:ind w:firstLine="480"/>
              <w:textAlignment w:val="auto"/>
              <w:rPr>
                <w:rFonts w:ascii="宋体" w:hAnsi="宋体" w:cs="宋体"/>
                <w:sz w:val="24"/>
              </w:rPr>
            </w:pPr>
            <w:r>
              <w:rPr>
                <w:rFonts w:hint="eastAsia" w:ascii="宋体" w:hAnsi="宋体" w:cs="宋体"/>
                <w:sz w:val="24"/>
              </w:rPr>
              <w:t>项目概况：博爱县西关清真寺安防工程采购项目</w:t>
            </w:r>
            <w:r>
              <w:rPr>
                <w:rFonts w:hint="eastAsia" w:ascii="宋体" w:hAnsi="宋体" w:cs="宋体"/>
                <w:sz w:val="24"/>
                <w:lang w:eastAsia="zh-CN"/>
              </w:rPr>
              <w:t>（二次）</w:t>
            </w:r>
            <w:r>
              <w:rPr>
                <w:rFonts w:hint="eastAsia" w:ascii="宋体" w:hAnsi="宋体" w:cs="宋体"/>
                <w:sz w:val="24"/>
              </w:rPr>
              <w:t>的潜在供应商应在焦作市公共资源交易中心网站获取采购文件，并于</w:t>
            </w:r>
            <w:r>
              <w:rPr>
                <w:rFonts w:hint="eastAsia" w:ascii="宋体" w:hAnsi="宋体" w:cs="宋体"/>
                <w:kern w:val="0"/>
                <w:sz w:val="24"/>
                <w:u w:val="single"/>
              </w:rPr>
              <w:t>2023年</w:t>
            </w:r>
            <w:r>
              <w:rPr>
                <w:rFonts w:hint="eastAsia" w:ascii="宋体" w:hAnsi="宋体" w:cs="宋体"/>
                <w:kern w:val="0"/>
                <w:sz w:val="24"/>
                <w:u w:val="single"/>
                <w:lang w:val="en-US" w:eastAsia="zh-CN"/>
              </w:rPr>
              <w:t>7</w:t>
            </w:r>
            <w:r>
              <w:rPr>
                <w:rFonts w:hint="eastAsia" w:ascii="宋体" w:hAnsi="宋体" w:cs="宋体"/>
                <w:kern w:val="0"/>
                <w:sz w:val="24"/>
                <w:u w:val="single"/>
              </w:rPr>
              <w:t>月</w:t>
            </w:r>
            <w:r>
              <w:rPr>
                <w:rFonts w:hint="eastAsia" w:ascii="宋体" w:hAnsi="宋体" w:cs="宋体"/>
                <w:kern w:val="0"/>
                <w:sz w:val="24"/>
                <w:u w:val="single"/>
                <w:lang w:val="en-US" w:eastAsia="zh-CN"/>
              </w:rPr>
              <w:t>5</w:t>
            </w:r>
            <w:r>
              <w:rPr>
                <w:rFonts w:hint="eastAsia" w:ascii="宋体" w:hAnsi="宋体" w:cs="宋体"/>
                <w:kern w:val="0"/>
                <w:sz w:val="24"/>
                <w:u w:val="single"/>
              </w:rPr>
              <w:t>日上午</w:t>
            </w:r>
            <w:r>
              <w:rPr>
                <w:rFonts w:hint="eastAsia" w:ascii="宋体" w:hAnsi="宋体" w:cs="宋体"/>
                <w:kern w:val="0"/>
                <w:sz w:val="24"/>
                <w:u w:val="single"/>
                <w:lang w:val="en-US" w:eastAsia="zh-CN"/>
              </w:rPr>
              <w:t>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w:t>
            </w:r>
            <w:r>
              <w:rPr>
                <w:rFonts w:hint="eastAsia" w:ascii="宋体" w:hAnsi="宋体" w:cs="宋体"/>
                <w:sz w:val="24"/>
                <w:u w:val="single"/>
              </w:rPr>
              <w:t>（北京时间）</w:t>
            </w:r>
            <w:r>
              <w:rPr>
                <w:rFonts w:hint="eastAsia" w:ascii="宋体" w:hAnsi="宋体" w:cs="宋体"/>
                <w:sz w:val="24"/>
              </w:rPr>
              <w:t>前提交响应文件。</w:t>
            </w:r>
          </w:p>
        </w:tc>
      </w:tr>
    </w:tbl>
    <w:p>
      <w:pPr>
        <w:pStyle w:val="43"/>
        <w:keepNext w:val="0"/>
        <w:keepLines w:val="0"/>
        <w:pageBreakBefore w:val="0"/>
        <w:widowControl w:val="0"/>
        <w:kinsoku/>
        <w:wordWrap/>
        <w:overflowPunct/>
        <w:topLinePunct w:val="0"/>
        <w:bidi w:val="0"/>
        <w:adjustRightInd/>
        <w:snapToGrid/>
        <w:spacing w:line="500" w:lineRule="exact"/>
        <w:ind w:left="0" w:firstLine="0"/>
        <w:textAlignment w:val="auto"/>
        <w:rPr>
          <w:b/>
          <w:bCs/>
          <w:sz w:val="24"/>
          <w:lang w:eastAsia="zh-CN"/>
        </w:rPr>
      </w:pPr>
      <w:r>
        <w:rPr>
          <w:rFonts w:hint="eastAsia"/>
          <w:b/>
          <w:bCs/>
          <w:sz w:val="24"/>
          <w:lang w:eastAsia="zh-CN"/>
        </w:rPr>
        <w:t>一、项目基本情况</w:t>
      </w:r>
    </w:p>
    <w:p>
      <w:pPr>
        <w:pStyle w:val="43"/>
        <w:keepNext w:val="0"/>
        <w:keepLines w:val="0"/>
        <w:pageBreakBefore w:val="0"/>
        <w:widowControl w:val="0"/>
        <w:kinsoku/>
        <w:wordWrap/>
        <w:overflowPunct/>
        <w:topLinePunct w:val="0"/>
        <w:bidi w:val="0"/>
        <w:adjustRightInd/>
        <w:snapToGrid/>
        <w:spacing w:line="500" w:lineRule="exact"/>
        <w:ind w:left="0" w:firstLine="480" w:firstLineChars="200"/>
        <w:textAlignment w:val="auto"/>
        <w:rPr>
          <w:rFonts w:hint="default"/>
          <w:sz w:val="24"/>
          <w:lang w:val="en-US" w:eastAsia="zh-CN"/>
        </w:rPr>
      </w:pPr>
      <w:r>
        <w:rPr>
          <w:rFonts w:hint="eastAsia"/>
          <w:sz w:val="24"/>
          <w:lang w:eastAsia="zh-CN"/>
        </w:rPr>
        <w:t>采购编号：</w:t>
      </w:r>
      <w:r>
        <w:rPr>
          <w:rFonts w:hint="eastAsia" w:ascii="宋体" w:hAnsi="宋体" w:eastAsia="宋体" w:cs="宋体"/>
          <w:sz w:val="24"/>
          <w:lang w:eastAsia="zh-CN"/>
        </w:rPr>
        <w:t>博政采购〔2023〕16号</w:t>
      </w:r>
    </w:p>
    <w:p>
      <w:pPr>
        <w:pStyle w:val="43"/>
        <w:keepNext w:val="0"/>
        <w:keepLines w:val="0"/>
        <w:pageBreakBefore w:val="0"/>
        <w:widowControl w:val="0"/>
        <w:kinsoku/>
        <w:wordWrap/>
        <w:overflowPunct/>
        <w:topLinePunct w:val="0"/>
        <w:bidi w:val="0"/>
        <w:adjustRightInd/>
        <w:snapToGrid/>
        <w:spacing w:line="500" w:lineRule="exact"/>
        <w:ind w:left="0" w:firstLine="480" w:firstLineChars="200"/>
        <w:textAlignment w:val="auto"/>
        <w:rPr>
          <w:sz w:val="24"/>
          <w:lang w:eastAsia="zh-CN"/>
        </w:rPr>
      </w:pPr>
      <w:r>
        <w:rPr>
          <w:rFonts w:hint="eastAsia"/>
          <w:sz w:val="24"/>
          <w:lang w:eastAsia="zh-CN"/>
        </w:rPr>
        <w:t>项目名称：博爱县西关清真寺安防工程采购项目（二次）</w:t>
      </w:r>
    </w:p>
    <w:p>
      <w:pPr>
        <w:pStyle w:val="43"/>
        <w:keepNext w:val="0"/>
        <w:keepLines w:val="0"/>
        <w:pageBreakBefore w:val="0"/>
        <w:kinsoku/>
        <w:wordWrap/>
        <w:overflowPunct/>
        <w:topLinePunct w:val="0"/>
        <w:bidi w:val="0"/>
        <w:spacing w:line="500" w:lineRule="exact"/>
        <w:ind w:left="0" w:firstLine="480" w:firstLineChars="200"/>
        <w:textAlignment w:val="auto"/>
        <w:rPr>
          <w:rFonts w:hint="eastAsia"/>
          <w:sz w:val="24"/>
          <w:lang w:eastAsia="zh-CN"/>
        </w:rPr>
      </w:pPr>
      <w:r>
        <w:rPr>
          <w:rFonts w:hint="eastAsia"/>
          <w:sz w:val="24"/>
          <w:lang w:eastAsia="zh-CN"/>
        </w:rPr>
        <w:t>采购方式：公开招标</w:t>
      </w:r>
    </w:p>
    <w:p>
      <w:pPr>
        <w:pStyle w:val="43"/>
        <w:spacing w:line="440" w:lineRule="exact"/>
        <w:ind w:left="0" w:firstLine="480" w:firstLineChars="200"/>
        <w:rPr>
          <w:rFonts w:hint="eastAsia"/>
          <w:sz w:val="24"/>
          <w:lang w:eastAsia="zh-CN"/>
        </w:rPr>
      </w:pPr>
      <w:r>
        <w:rPr>
          <w:rFonts w:hint="eastAsia"/>
          <w:sz w:val="24"/>
          <w:lang w:eastAsia="zh-CN"/>
        </w:rPr>
        <w:t>资金来源：上级财政资金</w:t>
      </w:r>
    </w:p>
    <w:p>
      <w:pPr>
        <w:pStyle w:val="43"/>
        <w:keepNext w:val="0"/>
        <w:keepLines w:val="0"/>
        <w:pageBreakBefore w:val="0"/>
        <w:widowControl w:val="0"/>
        <w:kinsoku/>
        <w:wordWrap/>
        <w:overflowPunct/>
        <w:topLinePunct w:val="0"/>
        <w:bidi w:val="0"/>
        <w:adjustRightInd/>
        <w:snapToGrid/>
        <w:spacing w:line="500" w:lineRule="exact"/>
        <w:ind w:left="0"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预算金额：2400000.00元</w:t>
      </w:r>
      <w:r>
        <w:rPr>
          <w:rFonts w:hint="eastAsia" w:ascii="宋体" w:hAnsi="宋体" w:eastAsia="宋体" w:cs="宋体"/>
          <w:sz w:val="24"/>
          <w:lang w:val="en-US" w:eastAsia="zh-CN"/>
        </w:rPr>
        <w:t xml:space="preserve"> </w:t>
      </w:r>
    </w:p>
    <w:p>
      <w:pPr>
        <w:pStyle w:val="43"/>
        <w:keepNext w:val="0"/>
        <w:keepLines w:val="0"/>
        <w:pageBreakBefore w:val="0"/>
        <w:widowControl w:val="0"/>
        <w:kinsoku/>
        <w:wordWrap/>
        <w:overflowPunct/>
        <w:topLinePunct w:val="0"/>
        <w:bidi w:val="0"/>
        <w:adjustRightInd/>
        <w:snapToGrid/>
        <w:spacing w:line="500" w:lineRule="exact"/>
        <w:ind w:left="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sz w:val="24"/>
          <w:lang w:eastAsia="zh-CN"/>
        </w:rPr>
        <w:t>采购</w:t>
      </w:r>
      <w:r>
        <w:rPr>
          <w:rFonts w:hint="eastAsia" w:cs="宋体"/>
          <w:sz w:val="24"/>
          <w:lang w:eastAsia="zh-CN"/>
        </w:rPr>
        <w:t>内容</w:t>
      </w:r>
      <w:r>
        <w:rPr>
          <w:rFonts w:hint="eastAsia" w:ascii="宋体" w:hAnsi="宋体" w:eastAsia="宋体" w:cs="宋体"/>
          <w:sz w:val="24"/>
          <w:lang w:eastAsia="zh-CN"/>
        </w:rPr>
        <w:t>：视频监控子系统</w:t>
      </w:r>
      <w:r>
        <w:rPr>
          <w:rFonts w:hint="eastAsia" w:ascii="宋体" w:hAnsi="宋体" w:cs="宋体"/>
          <w:kern w:val="0"/>
          <w:sz w:val="24"/>
          <w:highlight w:val="none"/>
        </w:rPr>
        <w:t>、室外信</w:t>
      </w:r>
      <w:r>
        <w:rPr>
          <w:rFonts w:hint="eastAsia" w:ascii="宋体" w:hAnsi="宋体" w:cs="宋体"/>
          <w:color w:val="auto"/>
          <w:kern w:val="0"/>
          <w:sz w:val="24"/>
          <w:highlight w:val="none"/>
        </w:rPr>
        <w:t>息发布子系统、室内报警子系统、人员出入门禁子系统、紧急报警子系统、中心管控大脑、传输子系统、系统集成服务等（详见招标</w:t>
      </w:r>
      <w:r>
        <w:rPr>
          <w:rFonts w:hint="eastAsia" w:ascii="宋体" w:hAnsi="宋体" w:eastAsia="宋体" w:cs="宋体"/>
          <w:color w:val="auto"/>
          <w:kern w:val="0"/>
          <w:sz w:val="24"/>
          <w:highlight w:val="none"/>
          <w:lang w:eastAsia="zh-CN"/>
        </w:rPr>
        <w:t>文件）。</w:t>
      </w:r>
    </w:p>
    <w:p>
      <w:pPr>
        <w:pStyle w:val="43"/>
        <w:keepNext w:val="0"/>
        <w:keepLines w:val="0"/>
        <w:pageBreakBefore w:val="0"/>
        <w:widowControl w:val="0"/>
        <w:kinsoku/>
        <w:wordWrap/>
        <w:overflowPunct/>
        <w:topLinePunct w:val="0"/>
        <w:bidi w:val="0"/>
        <w:adjustRightInd/>
        <w:snapToGrid/>
        <w:spacing w:line="500" w:lineRule="exact"/>
        <w:ind w:left="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sz w:val="24"/>
          <w:highlight w:val="none"/>
        </w:rPr>
        <w:t>合同履行期限</w:t>
      </w:r>
      <w:r>
        <w:rPr>
          <w:rFonts w:hint="eastAsia" w:cs="宋体"/>
          <w:sz w:val="24"/>
          <w:highlight w:val="none"/>
          <w:lang w:eastAsia="zh-CN"/>
        </w:rPr>
        <w:t>（供货安装期）</w:t>
      </w:r>
      <w:r>
        <w:rPr>
          <w:rFonts w:hint="eastAsia" w:ascii="宋体" w:hAnsi="宋体" w:cs="宋体"/>
          <w:sz w:val="24"/>
          <w:highlight w:val="none"/>
        </w:rPr>
        <w:t>：</w:t>
      </w:r>
      <w:r>
        <w:rPr>
          <w:rFonts w:hint="eastAsia" w:ascii="宋体" w:hAnsi="宋体" w:eastAsia="宋体" w:cs="宋体"/>
          <w:color w:val="auto"/>
          <w:kern w:val="0"/>
          <w:sz w:val="24"/>
          <w:highlight w:val="none"/>
          <w:lang w:eastAsia="zh-CN"/>
        </w:rPr>
        <w:t>合同签订后60日历天</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kern w:val="0"/>
          <w:sz w:val="24"/>
        </w:rPr>
        <w:t>质量标准：合格，符合国家及行业规范标准</w:t>
      </w:r>
    </w:p>
    <w:p>
      <w:pPr>
        <w:keepNext w:val="0"/>
        <w:keepLines w:val="0"/>
        <w:pageBreakBefore w:val="0"/>
        <w:kinsoku/>
        <w:wordWrap/>
        <w:overflowPunct/>
        <w:topLinePunct w:val="0"/>
        <w:bidi w:val="0"/>
        <w:adjustRightInd w:val="0"/>
        <w:snapToGrid w:val="0"/>
        <w:spacing w:line="500" w:lineRule="exact"/>
        <w:textAlignment w:val="auto"/>
        <w:rPr>
          <w:rFonts w:ascii="宋体" w:hAnsi="宋体" w:cs="宋体"/>
          <w:kern w:val="0"/>
          <w:sz w:val="24"/>
        </w:rPr>
      </w:pPr>
      <w:r>
        <w:rPr>
          <w:rFonts w:hint="eastAsia" w:ascii="宋体" w:hAnsi="宋体" w:cs="宋体"/>
          <w:b/>
          <w:bCs/>
          <w:kern w:val="0"/>
          <w:sz w:val="24"/>
        </w:rPr>
        <w:t>二、申请人资格要求：</w:t>
      </w:r>
    </w:p>
    <w:p>
      <w:pPr>
        <w:keepNext w:val="0"/>
        <w:keepLines w:val="0"/>
        <w:pageBreakBefore w:val="0"/>
        <w:widowControl/>
        <w:kinsoku/>
        <w:wordWrap/>
        <w:overflowPunct/>
        <w:topLinePunct w:val="0"/>
        <w:bidi w:val="0"/>
        <w:spacing w:line="500" w:lineRule="exact"/>
        <w:ind w:firstLine="480" w:firstLineChars="200"/>
        <w:jc w:val="left"/>
        <w:textAlignment w:val="auto"/>
        <w:rPr>
          <w:rFonts w:ascii="宋体" w:hAnsi="宋体" w:cs="宋体"/>
          <w:sz w:val="24"/>
          <w:shd w:val="clear" w:color="auto" w:fill="FFFFFF"/>
        </w:rPr>
      </w:pPr>
      <w:r>
        <w:rPr>
          <w:rFonts w:hint="eastAsia" w:ascii="宋体" w:hAnsi="宋体" w:cs="宋体"/>
          <w:sz w:val="24"/>
          <w:shd w:val="clear" w:color="auto" w:fill="FFFFFF"/>
        </w:rPr>
        <w:t>1</w:t>
      </w:r>
      <w:r>
        <w:rPr>
          <w:rFonts w:hint="eastAsia" w:ascii="宋体" w:hAnsi="宋体" w:cs="宋体"/>
          <w:sz w:val="24"/>
          <w:shd w:val="clear" w:color="auto" w:fill="FFFFFF"/>
          <w:lang w:eastAsia="zh-CN"/>
        </w:rPr>
        <w:t>.</w:t>
      </w:r>
      <w:r>
        <w:rPr>
          <w:rFonts w:hint="eastAsia" w:ascii="宋体" w:hAnsi="宋体" w:cs="宋体"/>
          <w:sz w:val="24"/>
          <w:shd w:val="clear" w:color="auto" w:fill="FFFFFF"/>
        </w:rPr>
        <w:t>符合《中华人民共和国政府采购法》第二十二条之规定；</w:t>
      </w:r>
    </w:p>
    <w:p>
      <w:pPr>
        <w:keepNext w:val="0"/>
        <w:keepLines w:val="0"/>
        <w:pageBreakBefore w:val="0"/>
        <w:widowControl/>
        <w:kinsoku/>
        <w:wordWrap/>
        <w:overflowPunct/>
        <w:topLinePunct w:val="0"/>
        <w:autoSpaceDN/>
        <w:bidi w:val="0"/>
        <w:adjustRightInd/>
        <w:snapToGrid/>
        <w:spacing w:line="500" w:lineRule="exact"/>
        <w:ind w:firstLine="480" w:firstLineChars="200"/>
        <w:textAlignment w:val="auto"/>
        <w:rPr>
          <w:rFonts w:ascii="宋体" w:hAnsi="宋体" w:eastAsia="宋体" w:cs="宋体"/>
          <w:sz w:val="24"/>
        </w:rPr>
      </w:pPr>
      <w:r>
        <w:rPr>
          <w:rFonts w:hint="eastAsia" w:ascii="宋体" w:hAnsi="宋体" w:cs="宋体"/>
          <w:sz w:val="24"/>
          <w:shd w:val="clear" w:color="auto" w:fill="FFFFFF"/>
        </w:rPr>
        <w:t>2</w:t>
      </w:r>
      <w:r>
        <w:rPr>
          <w:rFonts w:hint="eastAsia" w:ascii="宋体" w:hAnsi="宋体" w:cs="宋体"/>
          <w:sz w:val="24"/>
          <w:shd w:val="clear" w:color="auto" w:fill="FFFFFF"/>
          <w:lang w:eastAsia="zh-CN"/>
        </w:rPr>
        <w:t>.</w:t>
      </w:r>
      <w:r>
        <w:rPr>
          <w:rFonts w:hint="eastAsia" w:ascii="宋体" w:hAnsi="宋体" w:cs="宋体"/>
          <w:sz w:val="24"/>
          <w:shd w:val="clear" w:color="auto" w:fill="FFFFFF"/>
        </w:rPr>
        <w:t>落实政府采购政策需满足的资格要求：本项目执行促进中小型企业发展政策（监狱企业、残疾人福利性企业视同小微企业）、强制采购节能产品、优先采购节能环保产品等政府采购政策。</w:t>
      </w:r>
    </w:p>
    <w:p>
      <w:pPr>
        <w:keepNext w:val="0"/>
        <w:keepLines w:val="0"/>
        <w:pageBreakBefore w:val="0"/>
        <w:widowControl/>
        <w:kinsoku/>
        <w:wordWrap/>
        <w:overflowPunct/>
        <w:topLinePunct w:val="0"/>
        <w:bidi w:val="0"/>
        <w:spacing w:line="500" w:lineRule="exact"/>
        <w:ind w:firstLine="480" w:firstLineChars="200"/>
        <w:jc w:val="left"/>
        <w:textAlignment w:val="auto"/>
        <w:rPr>
          <w:rFonts w:ascii="宋体" w:hAnsi="宋体" w:cs="宋体"/>
          <w:sz w:val="24"/>
          <w:shd w:val="clear" w:color="auto" w:fill="FFFFFF"/>
        </w:rPr>
      </w:pPr>
      <w:r>
        <w:rPr>
          <w:rFonts w:hint="eastAsia" w:ascii="宋体" w:hAnsi="宋体" w:cs="宋体"/>
          <w:sz w:val="24"/>
          <w:shd w:val="clear" w:color="auto" w:fill="FFFFFF"/>
        </w:rPr>
        <w:t>3</w:t>
      </w:r>
      <w:r>
        <w:rPr>
          <w:rFonts w:hint="eastAsia" w:ascii="宋体" w:hAnsi="宋体" w:cs="宋体"/>
          <w:sz w:val="24"/>
          <w:shd w:val="clear" w:color="auto" w:fill="FFFFFF"/>
          <w:lang w:eastAsia="zh-CN"/>
        </w:rPr>
        <w:t>.</w:t>
      </w:r>
      <w:r>
        <w:rPr>
          <w:rFonts w:hint="eastAsia" w:ascii="宋体" w:hAnsi="宋体" w:cs="宋体"/>
          <w:sz w:val="24"/>
          <w:shd w:val="clear" w:color="auto" w:fill="FFFFFF"/>
        </w:rPr>
        <w:t>本项目的特定资格要求：</w:t>
      </w:r>
    </w:p>
    <w:p>
      <w:pPr>
        <w:keepNext w:val="0"/>
        <w:keepLines w:val="0"/>
        <w:pageBreakBefore w:val="0"/>
        <w:widowControl/>
        <w:kinsoku/>
        <w:wordWrap/>
        <w:overflowPunct/>
        <w:topLinePunct w:val="0"/>
        <w:bidi w:val="0"/>
        <w:spacing w:line="500" w:lineRule="exact"/>
        <w:ind w:firstLine="480" w:firstLineChars="200"/>
        <w:jc w:val="left"/>
        <w:textAlignment w:val="auto"/>
        <w:rPr>
          <w:rFonts w:ascii="宋体" w:hAnsi="宋体" w:cs="宋体"/>
          <w:sz w:val="24"/>
          <w:shd w:val="clear" w:color="auto" w:fill="FFFFFF"/>
        </w:rPr>
      </w:pPr>
      <w:r>
        <w:rPr>
          <w:rFonts w:hint="eastAsia" w:ascii="宋体" w:hAnsi="宋体" w:cs="宋体"/>
          <w:sz w:val="24"/>
          <w:shd w:val="clear" w:color="auto" w:fill="FFFFFF"/>
        </w:rPr>
        <w:t>3.1</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供应商须具有有效的营业执照，并具有实施完成本项目的经营实力和完善的售后服务体系；</w:t>
      </w:r>
    </w:p>
    <w:p>
      <w:pPr>
        <w:keepNext w:val="0"/>
        <w:keepLines w:val="0"/>
        <w:pageBreakBefore w:val="0"/>
        <w:widowControl/>
        <w:kinsoku/>
        <w:wordWrap/>
        <w:overflowPunct/>
        <w:topLinePunct w:val="0"/>
        <w:autoSpaceDN/>
        <w:bidi w:val="0"/>
        <w:adjustRightInd/>
        <w:snapToGrid/>
        <w:spacing w:line="500" w:lineRule="exact"/>
        <w:ind w:firstLine="480" w:firstLineChars="200"/>
        <w:textAlignment w:val="auto"/>
        <w:rPr>
          <w:rFonts w:ascii="宋体" w:hAnsi="宋体" w:cs="宋体"/>
          <w:sz w:val="24"/>
          <w:shd w:val="clear" w:color="auto" w:fill="FFFFFF"/>
        </w:rPr>
      </w:pPr>
      <w:r>
        <w:rPr>
          <w:rFonts w:hint="eastAsia" w:ascii="宋体" w:hAnsi="宋体" w:cs="宋体"/>
          <w:sz w:val="24"/>
          <w:shd w:val="clear" w:color="auto" w:fill="FFFFFF"/>
        </w:rPr>
        <w:t>3.2</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信誉要求：</w:t>
      </w:r>
      <w:r>
        <w:rPr>
          <w:rFonts w:hint="eastAsia" w:ascii="宋体" w:hAnsi="宋体" w:eastAsia="宋体" w:cs="宋体"/>
          <w:sz w:val="24"/>
        </w:rPr>
        <w:t>按照《财政部关于在政府采购活动中查询及使用信用记录有关问题的通知》（财库〔2016〕125号）的要求，根据</w:t>
      </w:r>
      <w:r>
        <w:rPr>
          <w:rFonts w:hint="eastAsia" w:ascii="宋体" w:hAnsi="宋体" w:cs="宋体"/>
          <w:sz w:val="24"/>
          <w:lang w:eastAsia="zh-CN"/>
        </w:rPr>
        <w:t>开标当日</w:t>
      </w:r>
      <w:r>
        <w:rPr>
          <w:rFonts w:hint="eastAsia" w:ascii="宋体" w:hAnsi="宋体" w:eastAsia="宋体" w:cs="宋体"/>
          <w:sz w:val="24"/>
        </w:rPr>
        <w:t>“信用中国”网站（www.creditchina.gov.cn）、中国政府采购网（www.ccgp.gov.cn）的信息，对列入失信被执行</w:t>
      </w:r>
      <w:r>
        <w:rPr>
          <w:rFonts w:hint="eastAsia" w:ascii="宋体" w:hAnsi="宋体" w:cs="宋体"/>
          <w:sz w:val="24"/>
        </w:rPr>
        <w:t>人、重大税收违法</w:t>
      </w:r>
      <w:r>
        <w:rPr>
          <w:rFonts w:hint="eastAsia" w:ascii="宋体" w:hAnsi="宋体" w:cs="宋体"/>
          <w:sz w:val="24"/>
          <w:lang w:eastAsia="zh-CN"/>
        </w:rPr>
        <w:t>失信主体</w:t>
      </w:r>
      <w:r>
        <w:rPr>
          <w:rFonts w:hint="eastAsia" w:ascii="宋体" w:hAnsi="宋体" w:cs="宋体"/>
          <w:sz w:val="24"/>
        </w:rPr>
        <w:t>、政府采购严重违法失信行为记录名单的供应商，拒绝参与政府采购活动，</w:t>
      </w:r>
      <w:r>
        <w:rPr>
          <w:rFonts w:hint="eastAsia" w:ascii="宋体" w:hAnsi="宋体" w:cs="宋体"/>
          <w:sz w:val="24"/>
          <w:lang w:eastAsia="zh-CN"/>
        </w:rPr>
        <w:t>同时</w:t>
      </w:r>
      <w:r>
        <w:rPr>
          <w:rFonts w:hint="eastAsia" w:ascii="宋体" w:hAnsi="宋体" w:cs="宋体"/>
          <w:sz w:val="24"/>
        </w:rPr>
        <w:t>对信用信息查询记录和证据进行打印存档。</w:t>
      </w:r>
      <w:r>
        <w:rPr>
          <w:rFonts w:hint="eastAsia" w:ascii="宋体" w:hAnsi="宋体" w:cs="宋体"/>
          <w:sz w:val="24"/>
          <w:shd w:val="clear" w:color="auto" w:fill="FFFFFF"/>
        </w:rPr>
        <w:t> </w:t>
      </w:r>
    </w:p>
    <w:p>
      <w:pPr>
        <w:keepNext w:val="0"/>
        <w:keepLines w:val="0"/>
        <w:pageBreakBefore w:val="0"/>
        <w:widowControl/>
        <w:kinsoku/>
        <w:wordWrap/>
        <w:overflowPunct/>
        <w:topLinePunct w:val="0"/>
        <w:bidi w:val="0"/>
        <w:spacing w:line="500" w:lineRule="exact"/>
        <w:ind w:firstLine="480" w:firstLineChars="200"/>
        <w:jc w:val="left"/>
        <w:textAlignment w:val="auto"/>
        <w:rPr>
          <w:rFonts w:ascii="宋体" w:hAnsi="宋体" w:cs="宋体"/>
          <w:sz w:val="24"/>
          <w:shd w:val="clear" w:color="auto" w:fill="FFFFFF"/>
        </w:rPr>
      </w:pPr>
      <w:r>
        <w:rPr>
          <w:rFonts w:hint="eastAsia" w:ascii="宋体" w:hAnsi="宋体" w:cs="宋体"/>
          <w:sz w:val="24"/>
          <w:shd w:val="clear" w:color="auto" w:fill="FFFFFF"/>
        </w:rPr>
        <w:t>3.3</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本项目不接受联合体投标；</w:t>
      </w:r>
    </w:p>
    <w:p>
      <w:pPr>
        <w:keepNext w:val="0"/>
        <w:keepLines w:val="0"/>
        <w:pageBreakBefore w:val="0"/>
        <w:widowControl/>
        <w:kinsoku/>
        <w:wordWrap/>
        <w:overflowPunct/>
        <w:topLinePunct w:val="0"/>
        <w:bidi w:val="0"/>
        <w:spacing w:line="500" w:lineRule="exact"/>
        <w:ind w:firstLine="480" w:firstLineChars="200"/>
        <w:jc w:val="left"/>
        <w:textAlignment w:val="auto"/>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3.4</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资格审查方式：资格后审。</w:t>
      </w:r>
    </w:p>
    <w:p>
      <w:pPr>
        <w:keepNext w:val="0"/>
        <w:keepLines w:val="0"/>
        <w:pageBreakBefore w:val="0"/>
        <w:widowControl/>
        <w:kinsoku/>
        <w:wordWrap/>
        <w:overflowPunct/>
        <w:topLinePunct w:val="0"/>
        <w:bidi w:val="0"/>
        <w:spacing w:line="500" w:lineRule="exact"/>
        <w:jc w:val="left"/>
        <w:textAlignment w:val="auto"/>
        <w:rPr>
          <w:rFonts w:ascii="宋体" w:hAnsi="宋体" w:cs="宋体"/>
          <w:b/>
          <w:bCs/>
          <w:kern w:val="0"/>
          <w:sz w:val="24"/>
        </w:rPr>
      </w:pPr>
      <w:r>
        <w:rPr>
          <w:rFonts w:hint="eastAsia" w:ascii="宋体" w:hAnsi="宋体" w:cs="宋体"/>
          <w:b/>
          <w:bCs/>
          <w:kern w:val="0"/>
          <w:sz w:val="24"/>
        </w:rPr>
        <w:t>三、获取</w:t>
      </w:r>
      <w:r>
        <w:rPr>
          <w:rFonts w:hint="eastAsia" w:ascii="宋体" w:hAnsi="宋体" w:cs="宋体"/>
          <w:b/>
          <w:bCs/>
          <w:kern w:val="0"/>
          <w:sz w:val="24"/>
          <w:lang w:eastAsia="zh-CN"/>
        </w:rPr>
        <w:t>采购</w:t>
      </w:r>
      <w:r>
        <w:rPr>
          <w:rFonts w:hint="eastAsia" w:ascii="宋体" w:hAnsi="宋体" w:cs="宋体"/>
          <w:b/>
          <w:bCs/>
          <w:kern w:val="0"/>
          <w:sz w:val="24"/>
        </w:rPr>
        <w:t>文件</w:t>
      </w:r>
    </w:p>
    <w:p>
      <w:pPr>
        <w:pStyle w:val="27"/>
        <w:keepNext w:val="0"/>
        <w:keepLines w:val="0"/>
        <w:pageBreakBefore w:val="0"/>
        <w:kinsoku/>
        <w:wordWrap/>
        <w:overflowPunct/>
        <w:topLinePunct w:val="0"/>
        <w:autoSpaceDE w:val="0"/>
        <w:autoSpaceDN/>
        <w:bidi w:val="0"/>
        <w:adjustRightInd/>
        <w:snapToGrid/>
        <w:spacing w:before="0" w:beforeAutospacing="0" w:after="0" w:afterAutospacing="0" w:line="500" w:lineRule="exact"/>
        <w:ind w:firstLine="480" w:firstLineChars="200"/>
        <w:textAlignment w:val="auto"/>
        <w:rPr>
          <w:rFonts w:hint="eastAsia" w:eastAsia="宋体" w:cs="宋体"/>
          <w:sz w:val="24"/>
          <w:u w:val="single"/>
          <w:lang w:eastAsia="zh-CN"/>
        </w:rPr>
      </w:pPr>
      <w:r>
        <w:rPr>
          <w:rFonts w:hint="eastAsia"/>
        </w:rPr>
        <w:t>1.时</w:t>
      </w:r>
      <w:r>
        <w:rPr>
          <w:rFonts w:hint="eastAsia"/>
          <w:color w:val="auto"/>
          <w:u w:val="none"/>
        </w:rPr>
        <w:t>间：</w:t>
      </w:r>
      <w:r>
        <w:rPr>
          <w:rFonts w:hint="eastAsia"/>
          <w:color w:val="auto"/>
          <w:u w:val="single"/>
        </w:rPr>
        <w:t>2023年</w:t>
      </w:r>
      <w:r>
        <w:rPr>
          <w:rFonts w:hint="eastAsia"/>
          <w:color w:val="auto"/>
          <w:u w:val="single"/>
          <w:lang w:val="en-US" w:eastAsia="zh-CN"/>
        </w:rPr>
        <w:t>6</w:t>
      </w:r>
      <w:r>
        <w:rPr>
          <w:rFonts w:hint="eastAsia"/>
          <w:color w:val="auto"/>
          <w:u w:val="single"/>
        </w:rPr>
        <w:t>月</w:t>
      </w:r>
      <w:r>
        <w:rPr>
          <w:rFonts w:hint="eastAsia"/>
          <w:color w:val="auto"/>
          <w:u w:val="single"/>
          <w:lang w:val="en-US" w:eastAsia="zh-CN"/>
        </w:rPr>
        <w:t>15</w:t>
      </w:r>
      <w:r>
        <w:rPr>
          <w:rFonts w:hint="eastAsia"/>
          <w:color w:val="auto"/>
          <w:u w:val="single"/>
        </w:rPr>
        <w:t>日至2</w:t>
      </w:r>
      <w:r>
        <w:rPr>
          <w:rFonts w:hint="eastAsia"/>
          <w:u w:val="single"/>
        </w:rPr>
        <w:t>023年</w:t>
      </w:r>
      <w:r>
        <w:rPr>
          <w:rFonts w:hint="eastAsia"/>
          <w:u w:val="single"/>
          <w:lang w:val="en-US" w:eastAsia="zh-CN"/>
        </w:rPr>
        <w:t>6</w:t>
      </w:r>
      <w:r>
        <w:rPr>
          <w:rFonts w:hint="eastAsia"/>
          <w:u w:val="single"/>
        </w:rPr>
        <w:t>月</w:t>
      </w:r>
      <w:r>
        <w:rPr>
          <w:rFonts w:hint="eastAsia"/>
          <w:u w:val="single"/>
          <w:lang w:val="en-US" w:eastAsia="zh-CN"/>
        </w:rPr>
        <w:t>21</w:t>
      </w:r>
      <w:r>
        <w:rPr>
          <w:rFonts w:hint="eastAsia"/>
          <w:u w:val="single"/>
        </w:rPr>
        <w:t>日</w:t>
      </w:r>
      <w:r>
        <w:rPr>
          <w:rFonts w:hint="eastAsia" w:cs="宋体"/>
          <w:sz w:val="24"/>
          <w:u w:val="single"/>
        </w:rPr>
        <w:t>（北京时间）</w:t>
      </w:r>
      <w:r>
        <w:rPr>
          <w:rFonts w:hint="eastAsia" w:cs="宋体"/>
          <w:sz w:val="24"/>
          <w:u w:val="single"/>
          <w:lang w:eastAsia="zh-CN"/>
        </w:rPr>
        <w:t>；</w:t>
      </w:r>
    </w:p>
    <w:p>
      <w:pPr>
        <w:pStyle w:val="27"/>
        <w:keepNext w:val="0"/>
        <w:keepLines w:val="0"/>
        <w:pageBreakBefore w:val="0"/>
        <w:shd w:val="clear" w:color="auto" w:fill="FFFFFF"/>
        <w:kinsoku/>
        <w:wordWrap/>
        <w:overflowPunct/>
        <w:topLinePunct w:val="0"/>
        <w:autoSpaceDE w:val="0"/>
        <w:bidi w:val="0"/>
        <w:spacing w:before="0" w:beforeAutospacing="0" w:after="0" w:afterAutospacing="0" w:line="500" w:lineRule="exact"/>
        <w:ind w:firstLine="480" w:firstLineChars="200"/>
        <w:textAlignment w:val="auto"/>
        <w:rPr>
          <w:u w:val="none"/>
        </w:rPr>
      </w:pPr>
      <w:r>
        <w:rPr>
          <w:rFonts w:hint="eastAsia"/>
          <w:u w:val="none"/>
        </w:rPr>
        <w:t>2.地点：</w:t>
      </w:r>
      <w:r>
        <w:rPr>
          <w:rFonts w:hint="eastAsia"/>
          <w:u w:val="none"/>
          <w:shd w:val="clear" w:color="auto" w:fill="FFFFFF"/>
        </w:rPr>
        <w:t>凡有意参加投标者，请登录焦作市公共资源交易中心网站会员系统进行网上下载。（联系电话：0391-3568920，QQ：232850725、361532918（群）；</w:t>
      </w:r>
    </w:p>
    <w:p>
      <w:pPr>
        <w:pStyle w:val="27"/>
        <w:keepNext w:val="0"/>
        <w:keepLines w:val="0"/>
        <w:pageBreakBefore w:val="0"/>
        <w:kinsoku/>
        <w:wordWrap/>
        <w:overflowPunct/>
        <w:topLinePunct w:val="0"/>
        <w:autoSpaceDE w:val="0"/>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3.方式：</w:t>
      </w:r>
      <w:r>
        <w:rPr>
          <w:rFonts w:hint="eastAsia" w:cs="宋体"/>
          <w:sz w:val="24"/>
          <w:lang w:eastAsia="zh-CN"/>
        </w:rPr>
        <w:t>网上下载</w:t>
      </w:r>
      <w:r>
        <w:rPr>
          <w:rFonts w:hint="eastAsia" w:ascii="宋体" w:hAnsi="宋体" w:eastAsia="宋体" w:cs="宋体"/>
          <w:sz w:val="24"/>
          <w:lang w:eastAsia="zh-CN"/>
        </w:rPr>
        <w:t>。</w:t>
      </w:r>
    </w:p>
    <w:p>
      <w:pPr>
        <w:keepNext w:val="0"/>
        <w:keepLines w:val="0"/>
        <w:pageBreakBefore w:val="0"/>
        <w:widowControl/>
        <w:kinsoku/>
        <w:wordWrap/>
        <w:overflowPunct/>
        <w:topLinePunct w:val="0"/>
        <w:autoSpaceDN/>
        <w:bidi w:val="0"/>
        <w:adjustRightInd/>
        <w:snapToGrid/>
        <w:spacing w:line="500" w:lineRule="exact"/>
        <w:textAlignment w:val="auto"/>
        <w:rPr>
          <w:rFonts w:hint="eastAsia" w:ascii="宋体" w:hAnsi="宋体" w:eastAsia="宋体" w:cs="宋体"/>
          <w:color w:val="00B0F0"/>
          <w:sz w:val="24"/>
          <w:lang w:eastAsia="zh-CN"/>
        </w:rPr>
      </w:pPr>
      <w:r>
        <w:rPr>
          <w:rFonts w:hint="eastAsia" w:ascii="宋体" w:hAnsi="宋体" w:cs="宋体"/>
          <w:b/>
          <w:bCs/>
          <w:color w:val="000000"/>
          <w:sz w:val="24"/>
        </w:rPr>
        <w:t>四</w:t>
      </w:r>
      <w:r>
        <w:rPr>
          <w:rFonts w:hint="eastAsia" w:ascii="宋体" w:hAnsi="宋体" w:eastAsia="宋体" w:cs="宋体"/>
          <w:b/>
          <w:bCs/>
          <w:color w:val="000000"/>
          <w:sz w:val="24"/>
        </w:rPr>
        <w:t>、</w:t>
      </w:r>
      <w:r>
        <w:rPr>
          <w:rFonts w:hint="eastAsia" w:ascii="宋体" w:hAnsi="宋体" w:cs="宋体"/>
          <w:b/>
          <w:bCs/>
          <w:color w:val="000000"/>
          <w:sz w:val="24"/>
          <w:lang w:eastAsia="zh-CN"/>
        </w:rPr>
        <w:t>响应文件提交</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宋体" w:hAnsi="宋体" w:cs="宋体"/>
          <w:kern w:val="0"/>
          <w:sz w:val="24"/>
          <w:u w:val="none"/>
        </w:rPr>
      </w:pPr>
      <w:r>
        <w:rPr>
          <w:rFonts w:hint="eastAsia" w:ascii="宋体" w:hAnsi="宋体" w:cs="宋体"/>
          <w:kern w:val="0"/>
          <w:sz w:val="24"/>
          <w:u w:val="none"/>
        </w:rPr>
        <w:t>1.截止时间：</w:t>
      </w:r>
      <w:r>
        <w:rPr>
          <w:rFonts w:hint="eastAsia" w:ascii="宋体" w:hAnsi="宋体" w:cs="宋体"/>
          <w:kern w:val="0"/>
          <w:sz w:val="24"/>
          <w:u w:val="single"/>
        </w:rPr>
        <w:t>2023年</w:t>
      </w:r>
      <w:r>
        <w:rPr>
          <w:rFonts w:hint="eastAsia" w:ascii="宋体" w:hAnsi="宋体" w:cs="宋体"/>
          <w:kern w:val="0"/>
          <w:sz w:val="24"/>
          <w:u w:val="single"/>
          <w:lang w:val="en-US" w:eastAsia="zh-CN"/>
        </w:rPr>
        <w:t>7</w:t>
      </w:r>
      <w:r>
        <w:rPr>
          <w:rFonts w:hint="eastAsia" w:ascii="宋体" w:hAnsi="宋体" w:cs="宋体"/>
          <w:kern w:val="0"/>
          <w:sz w:val="24"/>
          <w:u w:val="single"/>
        </w:rPr>
        <w:t>月</w:t>
      </w:r>
      <w:r>
        <w:rPr>
          <w:rFonts w:hint="eastAsia" w:ascii="宋体" w:hAnsi="宋体" w:cs="宋体"/>
          <w:kern w:val="0"/>
          <w:sz w:val="24"/>
          <w:u w:val="single"/>
          <w:lang w:val="en-US" w:eastAsia="zh-CN"/>
        </w:rPr>
        <w:t>5</w:t>
      </w:r>
      <w:r>
        <w:rPr>
          <w:rFonts w:hint="eastAsia" w:ascii="宋体" w:hAnsi="宋体" w:cs="宋体"/>
          <w:kern w:val="0"/>
          <w:sz w:val="24"/>
          <w:u w:val="single"/>
        </w:rPr>
        <w:t>日上午</w:t>
      </w:r>
      <w:r>
        <w:rPr>
          <w:rFonts w:hint="eastAsia" w:ascii="宋体" w:hAnsi="宋体" w:cs="宋体"/>
          <w:kern w:val="0"/>
          <w:sz w:val="24"/>
          <w:u w:val="single"/>
          <w:lang w:val="en-US" w:eastAsia="zh-CN"/>
        </w:rPr>
        <w:t>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宋体" w:hAnsi="宋体" w:cs="宋体"/>
          <w:kern w:val="0"/>
          <w:sz w:val="24"/>
          <w:u w:val="none"/>
        </w:rPr>
      </w:pPr>
      <w:r>
        <w:rPr>
          <w:rFonts w:hint="eastAsia" w:ascii="宋体" w:hAnsi="宋体" w:cs="宋体"/>
          <w:kern w:val="0"/>
          <w:sz w:val="24"/>
          <w:u w:val="none"/>
        </w:rPr>
        <w:t>2.地点：博爱县公共资源交易中心二楼不见面</w:t>
      </w:r>
      <w:r>
        <w:rPr>
          <w:rFonts w:hint="eastAsia" w:ascii="宋体" w:hAnsi="宋体" w:cs="宋体"/>
          <w:kern w:val="0"/>
          <w:sz w:val="24"/>
          <w:u w:val="none"/>
          <w:lang w:eastAsia="zh-CN"/>
        </w:rPr>
        <w:t>开标二</w:t>
      </w:r>
      <w:r>
        <w:rPr>
          <w:rFonts w:hint="eastAsia" w:ascii="宋体" w:hAnsi="宋体" w:cs="宋体"/>
          <w:kern w:val="0"/>
          <w:sz w:val="24"/>
          <w:u w:val="none"/>
        </w:rPr>
        <w:t>室；</w:t>
      </w:r>
    </w:p>
    <w:p>
      <w:pPr>
        <w:keepNext w:val="0"/>
        <w:keepLines w:val="0"/>
        <w:pageBreakBefore w:val="0"/>
        <w:widowControl/>
        <w:kinsoku/>
        <w:wordWrap/>
        <w:overflowPunct/>
        <w:topLinePunct w:val="0"/>
        <w:autoSpaceDN/>
        <w:bidi w:val="0"/>
        <w:adjustRightInd/>
        <w:snapToGrid/>
        <w:spacing w:line="500" w:lineRule="exact"/>
        <w:textAlignment w:val="auto"/>
        <w:rPr>
          <w:rFonts w:hint="eastAsia" w:ascii="宋体" w:hAnsi="宋体" w:eastAsia="宋体" w:cs="宋体"/>
          <w:b/>
          <w:bCs/>
          <w:color w:val="000000"/>
          <w:sz w:val="24"/>
          <w:lang w:eastAsia="zh-CN"/>
        </w:rPr>
      </w:pPr>
      <w:r>
        <w:rPr>
          <w:rFonts w:hint="eastAsia" w:ascii="宋体" w:hAnsi="宋体" w:cs="宋体"/>
          <w:b/>
          <w:bCs/>
          <w:color w:val="000000"/>
          <w:sz w:val="24"/>
        </w:rPr>
        <w:t>五、</w:t>
      </w:r>
      <w:r>
        <w:rPr>
          <w:rFonts w:hint="eastAsia" w:ascii="宋体" w:hAnsi="宋体" w:cs="宋体"/>
          <w:b/>
          <w:bCs/>
          <w:color w:val="000000"/>
          <w:sz w:val="24"/>
          <w:lang w:eastAsia="zh-CN"/>
        </w:rPr>
        <w:t>开启</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宋体" w:hAnsi="宋体" w:cs="宋体"/>
          <w:kern w:val="0"/>
          <w:sz w:val="24"/>
          <w:u w:val="none"/>
        </w:rPr>
      </w:pPr>
      <w:r>
        <w:rPr>
          <w:rFonts w:hint="eastAsia" w:ascii="宋体" w:hAnsi="宋体" w:cs="宋体"/>
          <w:kern w:val="0"/>
          <w:sz w:val="24"/>
          <w:u w:val="none"/>
        </w:rPr>
        <w:t>1.时间：</w:t>
      </w:r>
      <w:r>
        <w:rPr>
          <w:rFonts w:hint="eastAsia" w:ascii="宋体" w:hAnsi="宋体" w:cs="宋体"/>
          <w:kern w:val="0"/>
          <w:sz w:val="24"/>
          <w:u w:val="single"/>
        </w:rPr>
        <w:t>2023年</w:t>
      </w:r>
      <w:r>
        <w:rPr>
          <w:rFonts w:hint="eastAsia" w:ascii="宋体" w:hAnsi="宋体" w:cs="宋体"/>
          <w:kern w:val="0"/>
          <w:sz w:val="24"/>
          <w:u w:val="single"/>
          <w:lang w:val="en-US" w:eastAsia="zh-CN"/>
        </w:rPr>
        <w:t>7</w:t>
      </w:r>
      <w:r>
        <w:rPr>
          <w:rFonts w:hint="eastAsia" w:ascii="宋体" w:hAnsi="宋体" w:cs="宋体"/>
          <w:kern w:val="0"/>
          <w:sz w:val="24"/>
          <w:u w:val="single"/>
        </w:rPr>
        <w:t>月</w:t>
      </w:r>
      <w:r>
        <w:rPr>
          <w:rFonts w:hint="eastAsia" w:ascii="宋体" w:hAnsi="宋体" w:cs="宋体"/>
          <w:kern w:val="0"/>
          <w:sz w:val="24"/>
          <w:u w:val="single"/>
          <w:lang w:val="en-US" w:eastAsia="zh-CN"/>
        </w:rPr>
        <w:t>5</w:t>
      </w:r>
      <w:r>
        <w:rPr>
          <w:rFonts w:hint="eastAsia" w:ascii="宋体" w:hAnsi="宋体" w:cs="宋体"/>
          <w:kern w:val="0"/>
          <w:sz w:val="24"/>
          <w:u w:val="single"/>
        </w:rPr>
        <w:t>日上午</w:t>
      </w:r>
      <w:r>
        <w:rPr>
          <w:rFonts w:hint="eastAsia" w:ascii="宋体" w:hAnsi="宋体" w:cs="宋体"/>
          <w:kern w:val="0"/>
          <w:sz w:val="24"/>
          <w:u w:val="single"/>
          <w:lang w:val="en-US" w:eastAsia="zh-CN"/>
        </w:rPr>
        <w:t>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宋体" w:hAnsi="宋体" w:cs="宋体"/>
          <w:kern w:val="0"/>
          <w:sz w:val="24"/>
          <w:u w:val="none"/>
        </w:rPr>
      </w:pPr>
      <w:r>
        <w:rPr>
          <w:rFonts w:hint="eastAsia" w:ascii="宋体" w:hAnsi="宋体" w:cs="宋体"/>
          <w:kern w:val="0"/>
          <w:sz w:val="24"/>
          <w:u w:val="none"/>
        </w:rPr>
        <w:t>2.地点：博爱县公共资源交易中心二楼不见面</w:t>
      </w:r>
      <w:r>
        <w:rPr>
          <w:rFonts w:hint="eastAsia" w:ascii="宋体" w:hAnsi="宋体" w:cs="宋体"/>
          <w:kern w:val="0"/>
          <w:sz w:val="24"/>
          <w:u w:val="none"/>
          <w:lang w:eastAsia="zh-CN"/>
        </w:rPr>
        <w:t>开标</w:t>
      </w:r>
      <w:r>
        <w:rPr>
          <w:rFonts w:hint="eastAsia" w:ascii="宋体" w:hAnsi="宋体" w:cs="宋体"/>
          <w:kern w:val="0"/>
          <w:sz w:val="24"/>
          <w:u w:val="none"/>
          <w:lang w:val="en-US" w:eastAsia="zh-CN"/>
        </w:rPr>
        <w:t>二</w:t>
      </w:r>
      <w:r>
        <w:rPr>
          <w:rFonts w:hint="eastAsia" w:ascii="宋体" w:hAnsi="宋体" w:cs="宋体"/>
          <w:kern w:val="0"/>
          <w:sz w:val="24"/>
          <w:u w:val="none"/>
        </w:rPr>
        <w:t>室；</w:t>
      </w:r>
    </w:p>
    <w:p>
      <w:pPr>
        <w:keepNext w:val="0"/>
        <w:keepLines w:val="0"/>
        <w:pageBreakBefore w:val="0"/>
        <w:kinsoku/>
        <w:wordWrap/>
        <w:overflowPunct/>
        <w:topLinePunct w:val="0"/>
        <w:autoSpaceDN/>
        <w:bidi w:val="0"/>
        <w:adjustRightInd/>
        <w:snapToGrid/>
        <w:spacing w:line="500" w:lineRule="exact"/>
        <w:textAlignment w:val="auto"/>
        <w:rPr>
          <w:rFonts w:ascii="宋体" w:hAnsi="宋体" w:cs="宋体"/>
          <w:b/>
          <w:bCs/>
          <w:color w:val="000000"/>
          <w:sz w:val="24"/>
        </w:rPr>
      </w:pPr>
      <w:r>
        <w:rPr>
          <w:rFonts w:hint="eastAsia" w:ascii="宋体" w:hAnsi="宋体" w:cs="宋体"/>
          <w:b/>
          <w:bCs/>
          <w:color w:val="000000"/>
          <w:sz w:val="24"/>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keepNext w:val="0"/>
        <w:keepLines w:val="0"/>
        <w:pageBreakBefore w:val="0"/>
        <w:widowControl/>
        <w:kinsoku/>
        <w:wordWrap/>
        <w:overflowPunct/>
        <w:topLinePunct w:val="0"/>
        <w:autoSpaceDN/>
        <w:bidi w:val="0"/>
        <w:adjustRightInd/>
        <w:snapToGrid/>
        <w:spacing w:line="500" w:lineRule="exact"/>
        <w:textAlignment w:val="auto"/>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七、其他补充事宜</w:t>
      </w:r>
    </w:p>
    <w:p>
      <w:pPr>
        <w:pStyle w:val="27"/>
        <w:spacing w:beforeAutospacing="0" w:afterAutospacing="0" w:line="440" w:lineRule="exact"/>
        <w:ind w:firstLine="468" w:firstLineChars="195"/>
        <w:jc w:val="both"/>
        <w:rPr>
          <w:rFonts w:hint="eastAsia" w:ascii="宋体" w:hAnsi="宋体" w:eastAsia="宋体" w:cs="宋体"/>
          <w:color w:val="auto"/>
          <w:highlight w:val="none"/>
        </w:rPr>
      </w:pPr>
      <w:r>
        <w:rPr>
          <w:rFonts w:hint="eastAsia" w:ascii="宋体" w:hAnsi="宋体" w:eastAsia="宋体" w:cs="宋体"/>
          <w:color w:val="auto"/>
          <w:highlight w:val="none"/>
        </w:rPr>
        <w:t>1.本次本公告在中国招标投标公共服务平台、河南省政府采购网、焦作市政府采购网、焦作市公共资源交易中心网、博爱县人民政府网、博爱县公共资源交易中心网http://www.baxggzyjyzx.cn/上发布。</w:t>
      </w:r>
    </w:p>
    <w:p>
      <w:pPr>
        <w:pStyle w:val="27"/>
        <w:spacing w:beforeAutospacing="0" w:afterAutospacing="0" w:line="440" w:lineRule="exact"/>
        <w:ind w:firstLine="468" w:firstLineChars="195"/>
        <w:jc w:val="both"/>
        <w:rPr>
          <w:color w:val="auto"/>
          <w:highlight w:val="none"/>
        </w:rPr>
      </w:pPr>
      <w:r>
        <w:rPr>
          <w:rFonts w:hint="eastAsia" w:ascii="宋体" w:hAnsi="宋体" w:eastAsia="宋体" w:cs="宋体"/>
          <w:color w:val="auto"/>
          <w:highlight w:val="none"/>
        </w:rPr>
        <w:t>2.本项目采用“远程不见面”的开标方式，</w:t>
      </w:r>
      <w:r>
        <w:rPr>
          <w:rFonts w:hint="eastAsia"/>
          <w:color w:val="auto"/>
          <w:highlight w:val="none"/>
        </w:rPr>
        <w:t>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7"/>
        <w:spacing w:beforeAutospacing="0" w:afterAutospacing="0" w:line="440" w:lineRule="exact"/>
        <w:ind w:firstLine="468" w:firstLineChars="195"/>
        <w:jc w:val="both"/>
        <w:rPr>
          <w:color w:val="auto"/>
          <w:highlight w:val="none"/>
        </w:rPr>
      </w:pPr>
      <w:r>
        <w:rPr>
          <w:rFonts w:hint="eastAsia"/>
          <w:color w:val="auto"/>
          <w:highlight w:val="none"/>
        </w:rPr>
        <w:t>3.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keepNext w:val="0"/>
        <w:keepLines w:val="0"/>
        <w:pageBreakBefore w:val="0"/>
        <w:kinsoku/>
        <w:wordWrap/>
        <w:overflowPunct/>
        <w:topLinePunct w:val="0"/>
        <w:bidi w:val="0"/>
        <w:adjustRightInd w:val="0"/>
        <w:snapToGrid w:val="0"/>
        <w:spacing w:line="500" w:lineRule="exact"/>
        <w:textAlignment w:val="auto"/>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w:t>
      </w:r>
      <w:r>
        <w:rPr>
          <w:rFonts w:hint="eastAsia" w:ascii="宋体" w:hAnsi="宋体" w:cs="宋体"/>
          <w:b/>
          <w:sz w:val="24"/>
          <w:shd w:val="clear" w:color="auto" w:fill="FFFFFF"/>
          <w:lang w:eastAsia="zh-CN"/>
        </w:rPr>
        <w:t>招标</w:t>
      </w:r>
      <w:r>
        <w:rPr>
          <w:rFonts w:hint="eastAsia" w:ascii="宋体" w:hAnsi="宋体" w:cs="宋体"/>
          <w:b/>
          <w:sz w:val="24"/>
          <w:shd w:val="clear" w:color="auto" w:fill="FFFFFF"/>
        </w:rPr>
        <w:t>提出询问，请按以下方式联系</w:t>
      </w:r>
    </w:p>
    <w:p>
      <w:pPr>
        <w:keepNext w:val="0"/>
        <w:keepLines w:val="0"/>
        <w:pageBreakBefore w:val="0"/>
        <w:widowControl/>
        <w:kinsoku/>
        <w:wordWrap/>
        <w:overflowPunct/>
        <w:topLinePunct w:val="0"/>
        <w:bidi w:val="0"/>
        <w:spacing w:line="500" w:lineRule="exact"/>
        <w:ind w:firstLine="480" w:firstLineChars="200"/>
        <w:jc w:val="left"/>
        <w:textAlignment w:val="auto"/>
        <w:rPr>
          <w:rFonts w:ascii="宋体" w:hAnsi="宋体" w:cs="宋体"/>
          <w:kern w:val="0"/>
          <w:sz w:val="24"/>
        </w:rPr>
      </w:pPr>
      <w:r>
        <w:rPr>
          <w:rFonts w:hint="eastAsia" w:ascii="宋体" w:hAnsi="宋体" w:cs="宋体"/>
          <w:kern w:val="0"/>
          <w:sz w:val="24"/>
        </w:rPr>
        <w:t>1.采购人信息：</w:t>
      </w:r>
    </w:p>
    <w:p>
      <w:pPr>
        <w:keepNext w:val="0"/>
        <w:keepLines w:val="0"/>
        <w:pageBreakBefore w:val="0"/>
        <w:widowControl/>
        <w:kinsoku/>
        <w:wordWrap/>
        <w:overflowPunct/>
        <w:topLinePunct w:val="0"/>
        <w:bidi w:val="0"/>
        <w:spacing w:line="50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采购人</w:t>
      </w:r>
      <w:r>
        <w:rPr>
          <w:rFonts w:hint="eastAsia" w:ascii="宋体" w:hAnsi="宋体" w:cs="宋体"/>
          <w:kern w:val="0"/>
          <w:sz w:val="24"/>
        </w:rPr>
        <w:t>：博爱县博物馆</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宋体" w:hAnsi="宋体" w:cs="宋体"/>
          <w:bCs/>
          <w:sz w:val="24"/>
        </w:rPr>
      </w:pPr>
      <w:r>
        <w:rPr>
          <w:rFonts w:hint="eastAsia" w:ascii="宋体" w:hAnsi="宋体" w:cs="宋体"/>
          <w:kern w:val="0"/>
          <w:sz w:val="24"/>
        </w:rPr>
        <w:t xml:space="preserve">地址：博爱县葵城路中段 </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kern w:val="0"/>
          <w:sz w:val="24"/>
          <w:lang w:val="en-US" w:eastAsia="zh-CN"/>
        </w:rPr>
      </w:pPr>
      <w:r>
        <w:rPr>
          <w:rFonts w:hint="eastAsia" w:ascii="宋体" w:hAnsi="宋体" w:cs="宋体"/>
          <w:kern w:val="0"/>
          <w:sz w:val="24"/>
        </w:rPr>
        <w:t>联系人：</w:t>
      </w:r>
      <w:r>
        <w:rPr>
          <w:rFonts w:hint="eastAsia" w:ascii="宋体" w:hAnsi="宋体" w:cs="宋体"/>
          <w:sz w:val="24"/>
          <w:highlight w:val="none"/>
        </w:rPr>
        <w:t>曾</w:t>
      </w:r>
      <w:r>
        <w:rPr>
          <w:rFonts w:hint="eastAsia" w:ascii="宋体" w:hAnsi="宋体" w:cs="宋体"/>
          <w:sz w:val="24"/>
          <w:highlight w:val="none"/>
          <w:lang w:eastAsia="zh-CN"/>
        </w:rPr>
        <w:t>海宾</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kern w:val="0"/>
          <w:sz w:val="24"/>
          <w:lang w:eastAsia="zh-CN"/>
        </w:rPr>
        <w:t>联系方式</w:t>
      </w:r>
      <w:r>
        <w:rPr>
          <w:rFonts w:hint="eastAsia" w:ascii="宋体" w:hAnsi="宋体" w:cs="宋体"/>
          <w:kern w:val="0"/>
          <w:sz w:val="24"/>
        </w:rPr>
        <w:t>：13849503885</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2.采购代理机构信息：</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cs="宋体"/>
          <w:kern w:val="0"/>
          <w:sz w:val="24"/>
        </w:rPr>
      </w:pPr>
      <w:r>
        <w:rPr>
          <w:rFonts w:hint="eastAsia" w:ascii="宋体" w:hAnsi="宋体" w:cs="宋体"/>
          <w:sz w:val="24"/>
        </w:rPr>
        <w:t>名称</w:t>
      </w:r>
      <w:r>
        <w:rPr>
          <w:rFonts w:hint="eastAsia" w:ascii="宋体" w:hAnsi="宋体" w:cs="宋体"/>
          <w:kern w:val="0"/>
          <w:sz w:val="24"/>
        </w:rPr>
        <w:t>：</w:t>
      </w:r>
      <w:r>
        <w:rPr>
          <w:rFonts w:hint="eastAsia" w:ascii="宋体" w:hAnsi="宋体" w:cs="宋体"/>
          <w:kern w:val="0"/>
          <w:sz w:val="24"/>
          <w:lang w:eastAsia="zh-CN"/>
        </w:rPr>
        <w:t>中兴豫建设管理有限公司</w:t>
      </w:r>
      <w:r>
        <w:rPr>
          <w:rFonts w:hint="eastAsia" w:ascii="宋体" w:hAnsi="宋体" w:cs="宋体"/>
          <w:kern w:val="0"/>
          <w:sz w:val="24"/>
        </w:rPr>
        <w:t xml:space="preserve">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总部地址：郑州市农业东路与如意西路交叉口建业总部港D座512</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cs="宋体"/>
          <w:kern w:val="0"/>
          <w:sz w:val="24"/>
        </w:rPr>
      </w:pPr>
      <w:r>
        <w:rPr>
          <w:rFonts w:hint="eastAsia" w:ascii="宋体" w:hAnsi="宋体" w:cs="宋体"/>
          <w:sz w:val="24"/>
        </w:rPr>
        <w:t>焦作</w:t>
      </w:r>
      <w:r>
        <w:rPr>
          <w:rFonts w:hint="eastAsia" w:ascii="宋体" w:hAnsi="宋体" w:cs="宋体"/>
          <w:sz w:val="24"/>
          <w:lang w:eastAsia="zh-CN"/>
        </w:rPr>
        <w:t>事业</w:t>
      </w:r>
      <w:r>
        <w:rPr>
          <w:rFonts w:hint="eastAsia" w:ascii="宋体" w:hAnsi="宋体" w:cs="宋体"/>
          <w:sz w:val="24"/>
        </w:rPr>
        <w:t>部地址：焦作市示范区总部新城34号楼5楼503</w:t>
      </w:r>
      <w:r>
        <w:rPr>
          <w:rFonts w:hint="eastAsia" w:ascii="宋体" w:hAnsi="宋体" w:eastAsia="宋体" w:cs="宋体"/>
          <w:sz w:val="24"/>
          <w:szCs w:val="22"/>
          <w:lang w:val="en-US" w:eastAsia="zh-CN"/>
        </w:rPr>
        <w:t xml:space="preserve"> </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cs="宋体"/>
          <w:kern w:val="0"/>
          <w:sz w:val="24"/>
          <w:lang w:eastAsia="zh-CN"/>
        </w:rPr>
      </w:pPr>
      <w:r>
        <w:rPr>
          <w:rFonts w:hint="eastAsia" w:ascii="宋体" w:hAnsi="宋体" w:cs="宋体"/>
          <w:kern w:val="0"/>
          <w:sz w:val="24"/>
          <w:lang w:eastAsia="zh-CN"/>
        </w:rPr>
        <w:t>联系人：李广平</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宋体" w:hAnsi="宋体" w:eastAsia="宋体" w:cs="宋体"/>
          <w:kern w:val="0"/>
          <w:sz w:val="24"/>
          <w:lang w:val="en-US" w:eastAsia="zh-CN"/>
        </w:rPr>
      </w:pPr>
      <w:r>
        <w:rPr>
          <w:rFonts w:hint="eastAsia" w:ascii="宋体" w:hAnsi="宋体" w:cs="宋体"/>
          <w:kern w:val="0"/>
          <w:sz w:val="24"/>
          <w:lang w:eastAsia="zh-CN"/>
        </w:rPr>
        <w:t>联系方式</w:t>
      </w:r>
      <w:r>
        <w:rPr>
          <w:rFonts w:hint="eastAsia" w:ascii="宋体" w:hAnsi="宋体" w:cs="宋体"/>
          <w:kern w:val="0"/>
          <w:sz w:val="24"/>
        </w:rPr>
        <w:t>：</w:t>
      </w:r>
      <w:r>
        <w:rPr>
          <w:rFonts w:hint="eastAsia" w:ascii="宋体" w:hAnsi="宋体" w:cs="宋体"/>
          <w:kern w:val="0"/>
          <w:sz w:val="24"/>
          <w:lang w:val="en-US" w:eastAsia="zh-CN"/>
        </w:rPr>
        <w:t>0391-7395586</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cs="宋体"/>
          <w:kern w:val="0"/>
          <w:sz w:val="24"/>
        </w:rPr>
      </w:pPr>
      <w:r>
        <w:rPr>
          <w:rFonts w:hint="eastAsia" w:ascii="宋体" w:hAnsi="宋体" w:cs="宋体"/>
          <w:kern w:val="0"/>
          <w:sz w:val="24"/>
        </w:rPr>
        <w:t>3.项目联系方式</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项目联系人：</w:t>
      </w:r>
      <w:r>
        <w:rPr>
          <w:rFonts w:hint="eastAsia" w:ascii="宋体" w:hAnsi="宋体" w:cs="宋体"/>
          <w:sz w:val="24"/>
          <w:highlight w:val="none"/>
        </w:rPr>
        <w:t>曾</w:t>
      </w:r>
      <w:r>
        <w:rPr>
          <w:rFonts w:hint="eastAsia" w:ascii="宋体" w:hAnsi="宋体" w:cs="宋体"/>
          <w:sz w:val="24"/>
          <w:highlight w:val="none"/>
          <w:lang w:eastAsia="zh-CN"/>
        </w:rPr>
        <w:t>海宾</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宋体" w:hAnsi="宋体" w:cs="宋体"/>
          <w:kern w:val="0"/>
          <w:sz w:val="24"/>
        </w:rPr>
      </w:pPr>
      <w:r>
        <w:rPr>
          <w:rFonts w:hint="eastAsia" w:ascii="宋体" w:hAnsi="宋体" w:cs="宋体"/>
          <w:kern w:val="0"/>
          <w:sz w:val="24"/>
          <w:lang w:eastAsia="zh-CN"/>
        </w:rPr>
        <w:t>联系方式：</w:t>
      </w:r>
      <w:r>
        <w:rPr>
          <w:rFonts w:hint="eastAsia" w:ascii="宋体" w:hAnsi="宋体" w:cs="宋体"/>
          <w:kern w:val="0"/>
          <w:sz w:val="24"/>
        </w:rPr>
        <w:t>13849503885</w:t>
      </w:r>
    </w:p>
    <w:p>
      <w:pPr>
        <w:keepNext w:val="0"/>
        <w:keepLines w:val="0"/>
        <w:pageBreakBefore w:val="0"/>
        <w:widowControl/>
        <w:kinsoku/>
        <w:wordWrap/>
        <w:overflowPunct/>
        <w:topLinePunct w:val="0"/>
        <w:bidi w:val="0"/>
        <w:spacing w:line="500" w:lineRule="exact"/>
        <w:ind w:left="2940" w:firstLine="420"/>
        <w:textAlignment w:val="auto"/>
        <w:rPr>
          <w:rFonts w:ascii="宋体" w:hAnsi="宋体" w:cs="宋体"/>
          <w:sz w:val="24"/>
        </w:rPr>
      </w:pPr>
    </w:p>
    <w:p>
      <w:pPr>
        <w:keepNext w:val="0"/>
        <w:keepLines w:val="0"/>
        <w:pageBreakBefore w:val="0"/>
        <w:widowControl/>
        <w:kinsoku/>
        <w:wordWrap/>
        <w:overflowPunct/>
        <w:topLinePunct w:val="0"/>
        <w:bidi w:val="0"/>
        <w:spacing w:line="500" w:lineRule="exact"/>
        <w:ind w:left="2940" w:firstLine="420"/>
        <w:textAlignment w:val="auto"/>
        <w:rPr>
          <w:rFonts w:ascii="宋体" w:hAnsi="宋体" w:cs="宋体"/>
          <w:sz w:val="24"/>
        </w:rPr>
      </w:pPr>
      <w:bookmarkStart w:id="326" w:name="_GoBack"/>
      <w:bookmarkEnd w:id="326"/>
    </w:p>
    <w:p>
      <w:pPr>
        <w:keepNext w:val="0"/>
        <w:keepLines w:val="0"/>
        <w:pageBreakBefore w:val="0"/>
        <w:widowControl/>
        <w:kinsoku/>
        <w:wordWrap/>
        <w:overflowPunct/>
        <w:topLinePunct w:val="0"/>
        <w:bidi w:val="0"/>
        <w:spacing w:line="500" w:lineRule="exact"/>
        <w:ind w:left="2940" w:firstLine="420"/>
        <w:textAlignment w:val="auto"/>
        <w:rPr>
          <w:rFonts w:ascii="宋体" w:hAnsi="宋体" w:cs="宋体"/>
          <w:sz w:val="24"/>
        </w:rPr>
      </w:pPr>
    </w:p>
    <w:p>
      <w:pPr>
        <w:keepNext w:val="0"/>
        <w:keepLines w:val="0"/>
        <w:pageBreakBefore w:val="0"/>
        <w:widowControl/>
        <w:kinsoku/>
        <w:wordWrap/>
        <w:overflowPunct/>
        <w:topLinePunct w:val="0"/>
        <w:bidi w:val="0"/>
        <w:spacing w:line="500" w:lineRule="exact"/>
        <w:ind w:left="2940" w:firstLine="420"/>
        <w:jc w:val="right"/>
        <w:textAlignment w:val="auto"/>
        <w:rPr>
          <w:rFonts w:ascii="宋体" w:hAnsi="宋体" w:cs="宋体"/>
          <w:sz w:val="24"/>
          <w:shd w:val="clear" w:color="auto" w:fill="FFFFFF"/>
        </w:rPr>
      </w:pPr>
      <w:r>
        <w:rPr>
          <w:rFonts w:hint="eastAsia" w:ascii="宋体" w:hAnsi="宋体" w:cs="宋体"/>
          <w:sz w:val="24"/>
        </w:rPr>
        <w:t>采购人：</w:t>
      </w:r>
      <w:r>
        <w:rPr>
          <w:rFonts w:hint="eastAsia" w:ascii="宋体" w:hAnsi="宋体" w:cs="宋体"/>
          <w:sz w:val="24"/>
          <w:shd w:val="clear" w:color="auto" w:fill="FFFFFF"/>
        </w:rPr>
        <w:t>博爱县博物馆</w:t>
      </w:r>
    </w:p>
    <w:p>
      <w:pPr>
        <w:keepNext w:val="0"/>
        <w:keepLines w:val="0"/>
        <w:pageBreakBefore w:val="0"/>
        <w:widowControl/>
        <w:kinsoku/>
        <w:wordWrap/>
        <w:overflowPunct/>
        <w:topLinePunct w:val="0"/>
        <w:bidi w:val="0"/>
        <w:spacing w:line="500" w:lineRule="exact"/>
        <w:ind w:firstLine="2880" w:firstLineChars="1200"/>
        <w:jc w:val="right"/>
        <w:textAlignment w:val="auto"/>
        <w:rPr>
          <w:rFonts w:ascii="宋体" w:hAnsi="宋体" w:cs="宋体"/>
          <w:sz w:val="24"/>
          <w:shd w:val="clear" w:color="auto" w:fill="FFFFFF"/>
        </w:rPr>
      </w:pPr>
      <w:r>
        <w:rPr>
          <w:rFonts w:hint="eastAsia" w:ascii="宋体" w:hAnsi="宋体" w:cs="宋体"/>
          <w:sz w:val="24"/>
          <w:shd w:val="clear" w:color="auto" w:fill="FFFFFF"/>
        </w:rPr>
        <w:t>采购代理机构：</w:t>
      </w:r>
      <w:r>
        <w:rPr>
          <w:rFonts w:hint="eastAsia" w:ascii="宋体" w:hAnsi="宋体" w:cs="宋体"/>
          <w:kern w:val="0"/>
          <w:sz w:val="24"/>
          <w:lang w:eastAsia="zh-CN"/>
        </w:rPr>
        <w:t>中兴豫建设管理有限公司</w:t>
      </w:r>
    </w:p>
    <w:p>
      <w:pPr>
        <w:keepNext w:val="0"/>
        <w:keepLines w:val="0"/>
        <w:pageBreakBefore w:val="0"/>
        <w:widowControl/>
        <w:kinsoku/>
        <w:wordWrap/>
        <w:overflowPunct/>
        <w:topLinePunct w:val="0"/>
        <w:bidi w:val="0"/>
        <w:spacing w:line="500" w:lineRule="exact"/>
        <w:ind w:left="2940" w:firstLine="420"/>
        <w:jc w:val="right"/>
        <w:textAlignment w:val="auto"/>
        <w:rPr>
          <w:rFonts w:hint="eastAsia" w:ascii="宋体" w:hAnsi="宋体" w:cs="宋体"/>
          <w:sz w:val="24"/>
        </w:rPr>
      </w:pPr>
      <w:r>
        <w:rPr>
          <w:rFonts w:hint="eastAsia" w:ascii="宋体" w:hAnsi="宋体" w:cs="宋体"/>
          <w:sz w:val="24"/>
        </w:rPr>
        <w:t>发布时间：2023年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p>
    <w:p>
      <w:pPr>
        <w:pStyle w:val="6"/>
        <w:pageBreakBefore w:val="0"/>
        <w:widowControl w:val="0"/>
        <w:kinsoku/>
        <w:wordWrap/>
        <w:overflowPunct/>
        <w:topLinePunct w:val="0"/>
        <w:autoSpaceDE/>
        <w:autoSpaceDN/>
        <w:bidi w:val="0"/>
        <w:adjustRightInd/>
        <w:snapToGrid/>
        <w:spacing w:line="500" w:lineRule="exact"/>
        <w:jc w:val="center"/>
        <w:textAlignment w:val="auto"/>
        <w:rPr>
          <w:sz w:val="32"/>
          <w:szCs w:val="32"/>
        </w:rPr>
      </w:pPr>
      <w:bookmarkStart w:id="5" w:name="_Toc21974"/>
      <w:bookmarkStart w:id="6" w:name="_Toc21579"/>
      <w:r>
        <w:rPr>
          <w:rFonts w:hint="eastAsia"/>
          <w:sz w:val="32"/>
          <w:szCs w:val="32"/>
        </w:rPr>
        <w:t>第二章  供应商须知</w:t>
      </w:r>
      <w:bookmarkEnd w:id="5"/>
      <w:bookmarkEnd w:id="6"/>
    </w:p>
    <w:bookmarkEnd w:id="0"/>
    <w:p>
      <w:pPr>
        <w:pageBreakBefore w:val="0"/>
        <w:widowControl w:val="0"/>
        <w:kinsoku/>
        <w:wordWrap/>
        <w:overflowPunct/>
        <w:topLinePunct w:val="0"/>
        <w:autoSpaceDE/>
        <w:autoSpaceDN/>
        <w:bidi w:val="0"/>
        <w:adjustRightInd/>
        <w:snapToGrid/>
        <w:spacing w:line="500" w:lineRule="exact"/>
        <w:jc w:val="center"/>
        <w:textAlignment w:val="auto"/>
        <w:rPr>
          <w:b/>
          <w:bCs/>
          <w:sz w:val="30"/>
          <w:szCs w:val="30"/>
        </w:rPr>
      </w:pPr>
      <w:bookmarkStart w:id="7" w:name="_Toc9161"/>
      <w:bookmarkStart w:id="8" w:name="_Toc32497"/>
      <w:bookmarkStart w:id="9" w:name="_Toc403122490"/>
      <w:bookmarkStart w:id="10" w:name="_Toc14655"/>
      <w:bookmarkStart w:id="11" w:name="_Toc426369478"/>
      <w:r>
        <w:rPr>
          <w:rFonts w:hint="eastAsia"/>
          <w:b/>
          <w:bCs/>
          <w:sz w:val="30"/>
          <w:szCs w:val="30"/>
        </w:rPr>
        <w:t>供应商须知前附表</w:t>
      </w:r>
      <w:bookmarkEnd w:id="7"/>
      <w:bookmarkEnd w:id="8"/>
      <w:bookmarkEnd w:id="9"/>
      <w:bookmarkEnd w:id="10"/>
      <w:bookmarkEnd w:id="11"/>
    </w:p>
    <w:tbl>
      <w:tblPr>
        <w:tblStyle w:val="32"/>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06"/>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条款号</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条款名称</w:t>
            </w:r>
          </w:p>
        </w:tc>
        <w:tc>
          <w:tcPr>
            <w:tcW w:w="6224"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1.1.2</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采购人</w:t>
            </w:r>
            <w:r>
              <w:rPr>
                <w:rFonts w:asciiTheme="minorEastAsia" w:hAnsiTheme="minorEastAsia" w:eastAsiaTheme="minorEastAsia" w:cstheme="minorEastAsia"/>
                <w:sz w:val="24"/>
                <w:szCs w:val="24"/>
              </w:rPr>
              <w:t>：博爱县博物馆</w:t>
            </w:r>
          </w:p>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联系人：曾先生</w:t>
            </w:r>
          </w:p>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电话：13849503885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1.1.3</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采购代理机构</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eastAsia="zh-CN"/>
              </w:rPr>
              <w:t>中兴豫建设管理</w:t>
            </w:r>
            <w:r>
              <w:rPr>
                <w:rFonts w:asciiTheme="minorEastAsia" w:hAnsiTheme="minorEastAsia" w:eastAsiaTheme="minorEastAsia" w:cstheme="minorEastAsia"/>
                <w:sz w:val="24"/>
                <w:szCs w:val="24"/>
              </w:rPr>
              <w:t xml:space="preserve">有限公司  </w:t>
            </w:r>
          </w:p>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bCs/>
                <w:iCs/>
                <w:sz w:val="24"/>
                <w:szCs w:val="24"/>
              </w:rPr>
            </w:pPr>
            <w:r>
              <w:rPr>
                <w:rFonts w:asciiTheme="minorEastAsia" w:hAnsiTheme="minorEastAsia" w:eastAsiaTheme="minorEastAsia" w:cstheme="minorEastAsia"/>
                <w:sz w:val="24"/>
                <w:szCs w:val="24"/>
              </w:rPr>
              <w:t>联</w:t>
            </w:r>
            <w:r>
              <w:rPr>
                <w:rFonts w:asciiTheme="minorEastAsia" w:hAnsiTheme="minorEastAsia" w:eastAsiaTheme="minorEastAsia" w:cstheme="minorEastAsia"/>
                <w:bCs/>
                <w:iCs/>
                <w:sz w:val="24"/>
                <w:szCs w:val="24"/>
              </w:rPr>
              <w:t>系人：</w:t>
            </w:r>
            <w:r>
              <w:rPr>
                <w:rFonts w:hint="eastAsia" w:asciiTheme="minorEastAsia" w:hAnsiTheme="minorEastAsia" w:eastAsiaTheme="minorEastAsia" w:cstheme="minorEastAsia"/>
                <w:bCs/>
                <w:iCs/>
                <w:sz w:val="24"/>
                <w:szCs w:val="24"/>
                <w:lang w:eastAsia="zh-CN"/>
              </w:rPr>
              <w:t>李</w:t>
            </w:r>
            <w:r>
              <w:rPr>
                <w:rFonts w:asciiTheme="minorEastAsia" w:hAnsiTheme="minorEastAsia" w:eastAsiaTheme="minorEastAsia" w:cstheme="minorEastAsia"/>
                <w:bCs/>
                <w:iCs/>
                <w:sz w:val="24"/>
                <w:szCs w:val="24"/>
              </w:rPr>
              <w:t xml:space="preserve">先生      </w:t>
            </w:r>
          </w:p>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lang w:val="en-US" w:eastAsia="zh-CN"/>
              </w:rPr>
            </w:pPr>
            <w:r>
              <w:rPr>
                <w:rFonts w:asciiTheme="minorEastAsia" w:hAnsiTheme="minorEastAsia" w:eastAsiaTheme="minorEastAsia" w:cstheme="minorEastAsia"/>
                <w:bCs/>
                <w:iCs/>
                <w:sz w:val="24"/>
                <w:szCs w:val="24"/>
              </w:rPr>
              <w:t>电话：</w:t>
            </w:r>
            <w:r>
              <w:rPr>
                <w:rFonts w:hint="eastAsia" w:asciiTheme="minorEastAsia" w:hAnsiTheme="minorEastAsia" w:eastAsiaTheme="minorEastAsia" w:cstheme="minorEastAsia"/>
                <w:bCs/>
                <w:iCs/>
                <w:sz w:val="24"/>
                <w:szCs w:val="24"/>
                <w:lang w:val="en-US" w:eastAsia="zh-CN"/>
              </w:rPr>
              <w:t>0391-7395586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1.1.4</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224" w:type="dxa"/>
            <w:vAlign w:val="center"/>
          </w:tcPr>
          <w:p>
            <w:pPr>
              <w:keepNext w:val="0"/>
              <w:keepLines w:val="0"/>
              <w:pageBreakBefore w:val="0"/>
              <w:widowControl w:val="0"/>
              <w:kinsoku/>
              <w:wordWrap/>
              <w:overflowPunct/>
              <w:topLinePunct w:val="0"/>
              <w:bidi w:val="0"/>
              <w:adjustRightInd w:val="0"/>
              <w:snapToGrid w:val="0"/>
              <w:spacing w:line="5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iCs/>
                <w:sz w:val="24"/>
                <w:szCs w:val="24"/>
              </w:rPr>
              <w:t>博爱县西关清真寺安防工程采购项目</w:t>
            </w:r>
            <w:r>
              <w:rPr>
                <w:rFonts w:hint="eastAsia" w:asciiTheme="minorEastAsia" w:hAnsiTheme="minorEastAsia" w:eastAsiaTheme="minorEastAsia" w:cstheme="minorEastAsia"/>
                <w:bCs/>
                <w:iCs/>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1.1.5</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iCs/>
                <w:sz w:val="24"/>
                <w:szCs w:val="24"/>
              </w:rPr>
              <w:t>项目地点</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1.2.1</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资金来源</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i/>
                <w:iCs/>
                <w:sz w:val="24"/>
                <w:szCs w:val="24"/>
              </w:rPr>
            </w:pPr>
            <w:r>
              <w:rPr>
                <w:rFonts w:asciiTheme="minorEastAsia" w:hAnsiTheme="minorEastAsia" w:eastAsiaTheme="minorEastAsia" w:cstheme="minorEastAsia"/>
                <w:sz w:val="24"/>
                <w:szCs w:val="24"/>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1.2.2</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资金落实情况</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1.3.1</w:t>
            </w:r>
          </w:p>
        </w:tc>
        <w:tc>
          <w:tcPr>
            <w:tcW w:w="2206" w:type="dxa"/>
            <w:vAlign w:val="center"/>
          </w:tcPr>
          <w:p>
            <w:pPr>
              <w:pStyle w:val="21"/>
              <w:keepNext w:val="0"/>
              <w:keepLines w:val="0"/>
              <w:pageBreakBefore w:val="0"/>
              <w:widowControl w:val="0"/>
              <w:kinsoku/>
              <w:wordWrap/>
              <w:overflowPunct/>
              <w:topLinePunct w:val="0"/>
              <w:bidi w:val="0"/>
              <w:spacing w:line="500" w:lineRule="exact"/>
              <w:ind w:firstLine="480" w:firstLineChars="200"/>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采购内容</w:t>
            </w:r>
          </w:p>
        </w:tc>
        <w:tc>
          <w:tcPr>
            <w:tcW w:w="6224" w:type="dxa"/>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highlight w:val="yellow"/>
              </w:rPr>
            </w:pPr>
            <w:r>
              <w:rPr>
                <w:rFonts w:hint="default" w:asciiTheme="minorEastAsia" w:hAnsiTheme="minorEastAsia" w:eastAsiaTheme="minorEastAsia" w:cstheme="minorEastAsia"/>
                <w:sz w:val="24"/>
                <w:szCs w:val="24"/>
              </w:rPr>
              <w:t>视频监控子系统、室外信息发布子系统、室内报警子系统、人员出入门禁子系统、紧急报警子系统、中心管控大脑、传输子系统、系统集成服务等。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1.3.2</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eastAsia" w:asciiTheme="minorEastAsia" w:hAnsiTheme="minorEastAsia" w:eastAsiaTheme="minorEastAsia" w:cstheme="minorEastAsia"/>
                <w:bCs/>
                <w:iCs/>
                <w:sz w:val="24"/>
                <w:szCs w:val="24"/>
                <w:lang w:eastAsia="zh-CN"/>
              </w:rPr>
            </w:pPr>
            <w:r>
              <w:rPr>
                <w:rFonts w:hint="eastAsia" w:asciiTheme="minorEastAsia" w:hAnsiTheme="minorEastAsia" w:eastAsiaTheme="minorEastAsia" w:cstheme="minorEastAsia"/>
                <w:bCs/>
                <w:iCs/>
                <w:sz w:val="24"/>
                <w:szCs w:val="24"/>
                <w:lang w:eastAsia="zh-CN"/>
              </w:rPr>
              <w:t>合同履行期限</w:t>
            </w:r>
          </w:p>
          <w:p>
            <w:pPr>
              <w:pStyle w:val="21"/>
              <w:keepNext w:val="0"/>
              <w:keepLines w:val="0"/>
              <w:pageBreakBefore w:val="0"/>
              <w:widowControl w:val="0"/>
              <w:kinsoku/>
              <w:wordWrap/>
              <w:overflowPunct/>
              <w:topLinePunct w:val="0"/>
              <w:bidi w:val="0"/>
              <w:spacing w:line="500" w:lineRule="exact"/>
              <w:jc w:val="center"/>
              <w:textAlignment w:val="auto"/>
              <w:rPr>
                <w:rFonts w:hint="default" w:hAnsi="宋体" w:cs="宋体"/>
                <w:kern w:val="0"/>
                <w:sz w:val="24"/>
                <w:szCs w:val="24"/>
              </w:rPr>
            </w:pPr>
            <w:r>
              <w:rPr>
                <w:rFonts w:hint="eastAsia" w:asciiTheme="minorEastAsia" w:hAnsiTheme="minorEastAsia" w:eastAsiaTheme="minorEastAsia" w:cstheme="minorEastAsia"/>
                <w:bCs/>
                <w:iCs/>
                <w:sz w:val="24"/>
                <w:szCs w:val="24"/>
                <w:lang w:eastAsia="zh-CN"/>
              </w:rPr>
              <w:t>（供货安装期）</w:t>
            </w:r>
          </w:p>
        </w:tc>
        <w:tc>
          <w:tcPr>
            <w:tcW w:w="6224" w:type="dxa"/>
            <w:vAlign w:val="center"/>
          </w:tcPr>
          <w:p>
            <w:pPr>
              <w:keepNext w:val="0"/>
              <w:keepLines w:val="0"/>
              <w:pageBreakBefore w:val="0"/>
              <w:widowControl w:val="0"/>
              <w:kinsoku/>
              <w:wordWrap/>
              <w:overflowPunct/>
              <w:topLinePunct w:val="0"/>
              <w:bidi w:val="0"/>
              <w:adjustRightInd w:val="0"/>
              <w:snapToGrid w:val="0"/>
              <w:spacing w:line="500" w:lineRule="exact"/>
              <w:textAlignment w:val="auto"/>
              <w:rPr>
                <w:rFonts w:ascii="宋体" w:hAnsi="宋体" w:cs="宋体"/>
                <w:kern w:val="0"/>
                <w:sz w:val="24"/>
                <w:szCs w:val="24"/>
              </w:rPr>
            </w:pPr>
            <w:r>
              <w:rPr>
                <w:rFonts w:hint="eastAsia" w:ascii="宋体" w:hAnsi="宋体" w:cs="宋体"/>
                <w:kern w:val="0"/>
                <w:sz w:val="24"/>
                <w:szCs w:val="24"/>
              </w:rPr>
              <w:t>合同签订后60日历天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1.3.3</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hAnsi="宋体" w:cs="宋体"/>
                <w:kern w:val="0"/>
                <w:sz w:val="24"/>
                <w:szCs w:val="24"/>
              </w:rPr>
            </w:pPr>
            <w:r>
              <w:rPr>
                <w:rFonts w:hint="default" w:hAnsi="宋体" w:cs="宋体"/>
                <w:kern w:val="0"/>
                <w:sz w:val="24"/>
                <w:szCs w:val="24"/>
              </w:rPr>
              <w:t>质量标准</w:t>
            </w:r>
          </w:p>
        </w:tc>
        <w:tc>
          <w:tcPr>
            <w:tcW w:w="6224" w:type="dxa"/>
            <w:vAlign w:val="center"/>
          </w:tcPr>
          <w:p>
            <w:pPr>
              <w:keepNext w:val="0"/>
              <w:keepLines w:val="0"/>
              <w:pageBreakBefore w:val="0"/>
              <w:widowControl w:val="0"/>
              <w:kinsoku/>
              <w:wordWrap/>
              <w:overflowPunct/>
              <w:topLinePunct w:val="0"/>
              <w:bidi w:val="0"/>
              <w:spacing w:line="500" w:lineRule="exact"/>
              <w:textAlignment w:val="auto"/>
              <w:rPr>
                <w:rFonts w:ascii="宋体" w:hAnsi="宋体" w:cs="宋体"/>
                <w:kern w:val="0"/>
                <w:sz w:val="24"/>
                <w:szCs w:val="24"/>
              </w:rPr>
            </w:pPr>
            <w:r>
              <w:rPr>
                <w:rFonts w:ascii="宋体" w:hAnsi="宋体" w:cs="宋体"/>
                <w:kern w:val="0"/>
                <w:sz w:val="24"/>
                <w:szCs w:val="24"/>
              </w:rPr>
              <w:t>合格，符合国家</w:t>
            </w:r>
            <w:r>
              <w:rPr>
                <w:rFonts w:hint="eastAsia" w:ascii="宋体" w:hAnsi="宋体" w:cs="宋体"/>
                <w:kern w:val="0"/>
                <w:sz w:val="24"/>
                <w:szCs w:val="24"/>
              </w:rPr>
              <w:t>及</w:t>
            </w:r>
            <w:r>
              <w:rPr>
                <w:rFonts w:ascii="宋体" w:hAnsi="宋体" w:cs="宋体"/>
                <w:kern w:val="0"/>
                <w:sz w:val="24"/>
                <w:szCs w:val="24"/>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1.3.4</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hAnsi="宋体" w:cs="宋体"/>
                <w:kern w:val="0"/>
                <w:sz w:val="24"/>
                <w:szCs w:val="24"/>
              </w:rPr>
            </w:pPr>
            <w:r>
              <w:rPr>
                <w:rFonts w:hAnsi="宋体" w:cs="宋体"/>
                <w:kern w:val="0"/>
                <w:sz w:val="24"/>
                <w:szCs w:val="24"/>
              </w:rPr>
              <w:t>质保期</w:t>
            </w:r>
          </w:p>
        </w:tc>
        <w:tc>
          <w:tcPr>
            <w:tcW w:w="6224" w:type="dxa"/>
            <w:vAlign w:val="center"/>
          </w:tcPr>
          <w:p>
            <w:pPr>
              <w:keepNext w:val="0"/>
              <w:keepLines w:val="0"/>
              <w:pageBreakBefore w:val="0"/>
              <w:widowControl w:val="0"/>
              <w:kinsoku/>
              <w:wordWrap/>
              <w:overflowPunct/>
              <w:topLinePunct w:val="0"/>
              <w:bidi w:val="0"/>
              <w:spacing w:line="500" w:lineRule="exact"/>
              <w:textAlignment w:val="auto"/>
              <w:rPr>
                <w:rFonts w:ascii="宋体" w:hAnsi="宋体" w:cs="宋体"/>
                <w:kern w:val="0"/>
                <w:sz w:val="24"/>
                <w:szCs w:val="24"/>
              </w:rPr>
            </w:pPr>
            <w:r>
              <w:rPr>
                <w:rFonts w:hint="eastAsia" w:ascii="宋体" w:hAnsi="宋体" w:cs="宋体"/>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1.4.1</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供应商资质条件</w:t>
            </w:r>
          </w:p>
        </w:tc>
        <w:tc>
          <w:tcPr>
            <w:tcW w:w="6224" w:type="dxa"/>
            <w:vAlign w:val="center"/>
          </w:tcPr>
          <w:p>
            <w:pPr>
              <w:keepNext w:val="0"/>
              <w:keepLines w:val="0"/>
              <w:pageBreakBefore w:val="0"/>
              <w:widowControl/>
              <w:kinsoku/>
              <w:wordWrap/>
              <w:overflowPunct/>
              <w:topLinePunct w:val="0"/>
              <w:bidi w:val="0"/>
              <w:spacing w:line="500" w:lineRule="exact"/>
              <w:jc w:val="left"/>
              <w:textAlignment w:val="auto"/>
              <w:rPr>
                <w:rFonts w:ascii="宋体" w:hAnsi="宋体" w:cs="宋体"/>
                <w:sz w:val="24"/>
                <w:shd w:val="clear" w:color="auto" w:fill="FFFFFF"/>
              </w:rPr>
            </w:pPr>
            <w:r>
              <w:rPr>
                <w:rFonts w:hint="eastAsia" w:ascii="宋体" w:hAnsi="宋体" w:cs="宋体"/>
                <w:sz w:val="24"/>
                <w:shd w:val="clear" w:color="auto" w:fill="FFFFFF"/>
              </w:rPr>
              <w:t>1</w:t>
            </w:r>
            <w:r>
              <w:rPr>
                <w:rFonts w:hint="eastAsia" w:ascii="宋体" w:hAnsi="宋体" w:cs="宋体"/>
                <w:sz w:val="24"/>
                <w:shd w:val="clear" w:color="auto" w:fill="FFFFFF"/>
                <w:lang w:eastAsia="zh-CN"/>
              </w:rPr>
              <w:t>.</w:t>
            </w:r>
            <w:r>
              <w:rPr>
                <w:rFonts w:hint="eastAsia" w:ascii="宋体" w:hAnsi="宋体" w:cs="宋体"/>
                <w:sz w:val="24"/>
                <w:shd w:val="clear" w:color="auto" w:fill="FFFFFF"/>
              </w:rPr>
              <w:t>符合《中华人民共和国政府采购法》第二十二条之规定；</w:t>
            </w:r>
          </w:p>
          <w:p>
            <w:pPr>
              <w:keepNext w:val="0"/>
              <w:keepLines w:val="0"/>
              <w:pageBreakBefore w:val="0"/>
              <w:widowControl/>
              <w:kinsoku/>
              <w:wordWrap/>
              <w:overflowPunct/>
              <w:topLinePunct w:val="0"/>
              <w:autoSpaceDN/>
              <w:bidi w:val="0"/>
              <w:adjustRightInd/>
              <w:snapToGrid/>
              <w:spacing w:line="500" w:lineRule="exact"/>
              <w:textAlignment w:val="auto"/>
              <w:rPr>
                <w:rFonts w:ascii="宋体" w:hAnsi="宋体" w:eastAsia="宋体" w:cs="宋体"/>
                <w:sz w:val="24"/>
              </w:rPr>
            </w:pPr>
            <w:r>
              <w:rPr>
                <w:rFonts w:hint="eastAsia" w:ascii="宋体" w:hAnsi="宋体" w:cs="宋体"/>
                <w:sz w:val="24"/>
                <w:shd w:val="clear" w:color="auto" w:fill="FFFFFF"/>
              </w:rPr>
              <w:t>2</w:t>
            </w:r>
            <w:r>
              <w:rPr>
                <w:rFonts w:hint="eastAsia" w:ascii="宋体" w:hAnsi="宋体" w:cs="宋体"/>
                <w:sz w:val="24"/>
                <w:shd w:val="clear" w:color="auto" w:fill="FFFFFF"/>
                <w:lang w:eastAsia="zh-CN"/>
              </w:rPr>
              <w:t>.</w:t>
            </w:r>
            <w:r>
              <w:rPr>
                <w:rFonts w:hint="eastAsia" w:ascii="宋体" w:hAnsi="宋体" w:cs="宋体"/>
                <w:sz w:val="24"/>
                <w:shd w:val="clear" w:color="auto" w:fill="FFFFFF"/>
              </w:rPr>
              <w:t>落实政府采购政策需满足的资格要求：本项目执行促进中小型企业发展政策（监狱企业、残疾人福利性企业视同小微企业）、强制采购节能产品、优先采购节能环保产品等政府采购政策。</w:t>
            </w:r>
          </w:p>
          <w:p>
            <w:pPr>
              <w:keepNext w:val="0"/>
              <w:keepLines w:val="0"/>
              <w:pageBreakBefore w:val="0"/>
              <w:widowControl/>
              <w:kinsoku/>
              <w:wordWrap/>
              <w:overflowPunct/>
              <w:topLinePunct w:val="0"/>
              <w:bidi w:val="0"/>
              <w:spacing w:line="500" w:lineRule="exact"/>
              <w:jc w:val="left"/>
              <w:textAlignment w:val="auto"/>
              <w:rPr>
                <w:rFonts w:ascii="宋体" w:hAnsi="宋体" w:cs="宋体"/>
                <w:sz w:val="24"/>
                <w:shd w:val="clear" w:color="auto" w:fill="FFFFFF"/>
              </w:rPr>
            </w:pPr>
            <w:r>
              <w:rPr>
                <w:rFonts w:hint="eastAsia" w:ascii="宋体" w:hAnsi="宋体" w:cs="宋体"/>
                <w:sz w:val="24"/>
                <w:shd w:val="clear" w:color="auto" w:fill="FFFFFF"/>
              </w:rPr>
              <w:t>3</w:t>
            </w:r>
            <w:r>
              <w:rPr>
                <w:rFonts w:hint="eastAsia" w:ascii="宋体" w:hAnsi="宋体" w:cs="宋体"/>
                <w:sz w:val="24"/>
                <w:shd w:val="clear" w:color="auto" w:fill="FFFFFF"/>
                <w:lang w:eastAsia="zh-CN"/>
              </w:rPr>
              <w:t>.</w:t>
            </w:r>
            <w:r>
              <w:rPr>
                <w:rFonts w:hint="eastAsia" w:ascii="宋体" w:hAnsi="宋体" w:cs="宋体"/>
                <w:sz w:val="24"/>
                <w:shd w:val="clear" w:color="auto" w:fill="FFFFFF"/>
              </w:rPr>
              <w:t>本项目的特定资格要求：</w:t>
            </w:r>
          </w:p>
          <w:p>
            <w:pPr>
              <w:keepNext w:val="0"/>
              <w:keepLines w:val="0"/>
              <w:pageBreakBefore w:val="0"/>
              <w:widowControl/>
              <w:kinsoku/>
              <w:wordWrap/>
              <w:overflowPunct/>
              <w:topLinePunct w:val="0"/>
              <w:bidi w:val="0"/>
              <w:spacing w:line="500" w:lineRule="exact"/>
              <w:jc w:val="left"/>
              <w:textAlignment w:val="auto"/>
              <w:rPr>
                <w:rFonts w:ascii="宋体" w:hAnsi="宋体" w:cs="宋体"/>
                <w:sz w:val="24"/>
                <w:shd w:val="clear" w:color="auto" w:fill="FFFFFF"/>
              </w:rPr>
            </w:pPr>
            <w:r>
              <w:rPr>
                <w:rFonts w:hint="eastAsia" w:ascii="宋体" w:hAnsi="宋体" w:cs="宋体"/>
                <w:sz w:val="24"/>
                <w:shd w:val="clear" w:color="auto" w:fill="FFFFFF"/>
              </w:rPr>
              <w:t>3.1</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供应商须具有有效的营业执照，并具有实施完成本项目的经营实力和完善的售后服务体系；</w:t>
            </w:r>
          </w:p>
          <w:p>
            <w:pPr>
              <w:keepNext w:val="0"/>
              <w:keepLines w:val="0"/>
              <w:pageBreakBefore w:val="0"/>
              <w:widowControl/>
              <w:kinsoku/>
              <w:wordWrap/>
              <w:overflowPunct/>
              <w:topLinePunct w:val="0"/>
              <w:autoSpaceDN/>
              <w:bidi w:val="0"/>
              <w:adjustRightInd/>
              <w:snapToGrid/>
              <w:spacing w:line="500" w:lineRule="exact"/>
              <w:textAlignment w:val="auto"/>
              <w:rPr>
                <w:rFonts w:ascii="宋体" w:hAnsi="宋体" w:cs="宋体"/>
                <w:sz w:val="24"/>
                <w:shd w:val="clear" w:color="auto" w:fill="FFFFFF"/>
              </w:rPr>
            </w:pPr>
            <w:r>
              <w:rPr>
                <w:rFonts w:hint="eastAsia" w:ascii="宋体" w:hAnsi="宋体" w:cs="宋体"/>
                <w:sz w:val="24"/>
                <w:shd w:val="clear" w:color="auto" w:fill="FFFFFF"/>
              </w:rPr>
              <w:t>3.2</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信誉要求：</w:t>
            </w:r>
            <w:r>
              <w:rPr>
                <w:rFonts w:hint="eastAsia" w:ascii="宋体" w:hAnsi="宋体" w:eastAsia="宋体" w:cs="宋体"/>
                <w:sz w:val="24"/>
              </w:rPr>
              <w:t>按照《财政部关于在政府采购活动中查询及使用信用记录有关问题的通知》（财库〔2016〕125号）的要求，根据</w:t>
            </w:r>
            <w:r>
              <w:rPr>
                <w:rFonts w:hint="eastAsia" w:ascii="宋体" w:hAnsi="宋体" w:cs="宋体"/>
                <w:sz w:val="24"/>
                <w:lang w:eastAsia="zh-CN"/>
              </w:rPr>
              <w:t>开标当日</w:t>
            </w:r>
            <w:r>
              <w:rPr>
                <w:rFonts w:hint="eastAsia" w:ascii="宋体" w:hAnsi="宋体" w:eastAsia="宋体" w:cs="宋体"/>
                <w:sz w:val="24"/>
              </w:rPr>
              <w:t>“信用中国”网站（www.creditchina.gov.cn）、中国政府采购网（www.ccgp.gov.cn）的信息，对列入失信被执行</w:t>
            </w:r>
            <w:r>
              <w:rPr>
                <w:rFonts w:hint="eastAsia" w:ascii="宋体" w:hAnsi="宋体" w:cs="宋体"/>
                <w:sz w:val="24"/>
              </w:rPr>
              <w:t>人、重大税收违法</w:t>
            </w:r>
            <w:r>
              <w:rPr>
                <w:rFonts w:hint="eastAsia" w:ascii="宋体" w:hAnsi="宋体" w:cs="宋体"/>
                <w:sz w:val="24"/>
                <w:lang w:eastAsia="zh-CN"/>
              </w:rPr>
              <w:t>失信主体</w:t>
            </w:r>
            <w:r>
              <w:rPr>
                <w:rFonts w:hint="eastAsia" w:ascii="宋体" w:hAnsi="宋体" w:cs="宋体"/>
                <w:sz w:val="24"/>
              </w:rPr>
              <w:t>、政府采购严重违法失信行为记录名单的供应商，拒绝参与政府采购活动，</w:t>
            </w:r>
            <w:r>
              <w:rPr>
                <w:rFonts w:hint="eastAsia" w:ascii="宋体" w:hAnsi="宋体" w:cs="宋体"/>
                <w:sz w:val="24"/>
                <w:lang w:eastAsia="zh-CN"/>
              </w:rPr>
              <w:t>同时</w:t>
            </w:r>
            <w:r>
              <w:rPr>
                <w:rFonts w:hint="eastAsia" w:ascii="宋体" w:hAnsi="宋体" w:cs="宋体"/>
                <w:sz w:val="24"/>
              </w:rPr>
              <w:t>对信用信息查询记录和证据进行打印存档。</w:t>
            </w:r>
            <w:r>
              <w:rPr>
                <w:rFonts w:hint="eastAsia" w:ascii="宋体" w:hAnsi="宋体" w:cs="宋体"/>
                <w:sz w:val="24"/>
                <w:shd w:val="clear" w:color="auto" w:fill="FFFFFF"/>
              </w:rPr>
              <w:t> </w:t>
            </w:r>
          </w:p>
          <w:p>
            <w:pPr>
              <w:keepNext w:val="0"/>
              <w:keepLines w:val="0"/>
              <w:pageBreakBefore w:val="0"/>
              <w:widowControl/>
              <w:kinsoku/>
              <w:wordWrap/>
              <w:overflowPunct/>
              <w:topLinePunct w:val="0"/>
              <w:bidi w:val="0"/>
              <w:spacing w:line="500" w:lineRule="exact"/>
              <w:jc w:val="left"/>
              <w:textAlignment w:val="auto"/>
              <w:rPr>
                <w:rFonts w:ascii="宋体" w:hAnsi="宋体" w:cs="宋体"/>
                <w:sz w:val="24"/>
                <w:shd w:val="clear" w:color="auto" w:fill="FFFFFF"/>
              </w:rPr>
            </w:pPr>
            <w:r>
              <w:rPr>
                <w:rFonts w:hint="eastAsia" w:ascii="宋体" w:hAnsi="宋体" w:cs="宋体"/>
                <w:sz w:val="24"/>
                <w:shd w:val="clear" w:color="auto" w:fill="FFFFFF"/>
              </w:rPr>
              <w:t>3.3</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本项目不接受联合体投标；</w:t>
            </w:r>
          </w:p>
          <w:p>
            <w:pPr>
              <w:keepNext w:val="0"/>
              <w:keepLines w:val="0"/>
              <w:pageBreakBefore w:val="0"/>
              <w:widowControl/>
              <w:kinsoku/>
              <w:wordWrap/>
              <w:overflowPunct/>
              <w:topLinePunct w:val="0"/>
              <w:bidi w:val="0"/>
              <w:spacing w:line="500" w:lineRule="exact"/>
              <w:jc w:val="left"/>
              <w:textAlignment w:val="auto"/>
              <w:rPr>
                <w:rFonts w:hint="default" w:asciiTheme="minorEastAsia" w:hAnsiTheme="minorEastAsia" w:eastAsiaTheme="minorEastAsia" w:cstheme="minorEastAsia"/>
                <w:sz w:val="24"/>
                <w:szCs w:val="24"/>
              </w:rPr>
            </w:pPr>
            <w:r>
              <w:rPr>
                <w:rFonts w:hint="eastAsia" w:ascii="宋体" w:hAnsi="宋体" w:cs="宋体"/>
                <w:sz w:val="24"/>
                <w:shd w:val="clear" w:color="auto" w:fill="FFFFFF"/>
              </w:rPr>
              <w:t>3.4</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1.4.2</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是否接受联合体</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1.10.1</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投标预备会</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1.10.2</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供应商提出问题的</w:t>
            </w:r>
          </w:p>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截止时间</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1.10.3</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采购人说明澄清的时间</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1.11</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分包</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2.2.1</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供应商要求澄清招标文件的截止时间</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2.2.2</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b/>
                <w:bCs/>
                <w:sz w:val="24"/>
                <w:szCs w:val="24"/>
              </w:rPr>
            </w:pPr>
            <w:r>
              <w:rPr>
                <w:rFonts w:asciiTheme="minorEastAsia" w:hAnsiTheme="minorEastAsia" w:eastAsiaTheme="minorEastAsia" w:cstheme="minorEastAsia"/>
                <w:sz w:val="24"/>
                <w:szCs w:val="24"/>
              </w:rPr>
              <w:t>投标截止时间</w:t>
            </w:r>
          </w:p>
        </w:tc>
        <w:tc>
          <w:tcPr>
            <w:tcW w:w="6224" w:type="dxa"/>
            <w:vAlign w:val="center"/>
          </w:tcPr>
          <w:p>
            <w:pPr>
              <w:keepNext w:val="0"/>
              <w:keepLines w:val="0"/>
              <w:pageBreakBefore w:val="0"/>
              <w:widowControl w:val="0"/>
              <w:kinsoku/>
              <w:wordWrap/>
              <w:overflowPunct/>
              <w:topLinePunct w:val="0"/>
              <w:bidi w:val="0"/>
              <w:spacing w:line="500" w:lineRule="exact"/>
              <w:jc w:val="left"/>
              <w:textAlignment w:val="auto"/>
              <w:rPr>
                <w:rFonts w:asciiTheme="minorEastAsia" w:hAnsiTheme="minorEastAsia" w:eastAsiaTheme="minorEastAsia" w:cstheme="minorEastAsia"/>
                <w:b/>
                <w:bCs/>
                <w:sz w:val="24"/>
                <w:szCs w:val="24"/>
              </w:rPr>
            </w:pPr>
            <w:r>
              <w:rPr>
                <w:rFonts w:hint="eastAsia" w:ascii="宋体" w:hAnsi="宋体" w:cs="宋体"/>
                <w:b/>
                <w:bCs/>
                <w:kern w:val="0"/>
                <w:sz w:val="24"/>
                <w:szCs w:val="24"/>
              </w:rPr>
              <w:t>2023年</w:t>
            </w:r>
            <w:r>
              <w:rPr>
                <w:rFonts w:hint="eastAsia" w:ascii="宋体" w:hAnsi="宋体" w:cs="宋体"/>
                <w:b/>
                <w:bCs/>
                <w:kern w:val="0"/>
                <w:sz w:val="24"/>
                <w:szCs w:val="24"/>
                <w:lang w:val="en-US" w:eastAsia="zh-CN"/>
              </w:rPr>
              <w:t>7</w:t>
            </w:r>
            <w:r>
              <w:rPr>
                <w:rFonts w:hint="eastAsia" w:ascii="宋体" w:hAnsi="宋体" w:cs="宋体"/>
                <w:b/>
                <w:bCs/>
                <w:kern w:val="0"/>
                <w:sz w:val="24"/>
                <w:szCs w:val="24"/>
              </w:rPr>
              <w:t>月</w:t>
            </w:r>
            <w:r>
              <w:rPr>
                <w:rFonts w:hint="eastAsia" w:ascii="宋体" w:hAnsi="宋体" w:cs="宋体"/>
                <w:b/>
                <w:bCs/>
                <w:kern w:val="0"/>
                <w:sz w:val="24"/>
                <w:szCs w:val="24"/>
                <w:lang w:val="en-US" w:eastAsia="zh-CN"/>
              </w:rPr>
              <w:t>5</w:t>
            </w:r>
            <w:r>
              <w:rPr>
                <w:rFonts w:hint="eastAsia" w:ascii="宋体" w:hAnsi="宋体" w:cs="宋体"/>
                <w:b/>
                <w:bCs/>
                <w:kern w:val="0"/>
                <w:sz w:val="24"/>
                <w:szCs w:val="24"/>
              </w:rPr>
              <w:t>日上午</w:t>
            </w:r>
            <w:r>
              <w:rPr>
                <w:rFonts w:hint="eastAsia" w:ascii="宋体" w:hAnsi="宋体" w:cs="宋体"/>
                <w:b/>
                <w:bCs/>
                <w:kern w:val="0"/>
                <w:sz w:val="24"/>
                <w:szCs w:val="24"/>
                <w:lang w:val="en-US" w:eastAsia="zh-CN"/>
              </w:rPr>
              <w:t>9</w:t>
            </w:r>
            <w:r>
              <w:rPr>
                <w:rFonts w:hint="eastAsia" w:ascii="宋体" w:hAnsi="宋体" w:cs="宋体"/>
                <w:b/>
                <w:bCs/>
                <w:kern w:val="0"/>
                <w:sz w:val="24"/>
                <w:szCs w:val="24"/>
              </w:rPr>
              <w:t>点</w:t>
            </w:r>
            <w:r>
              <w:rPr>
                <w:rFonts w:hint="eastAsia" w:ascii="宋体" w:hAnsi="宋体" w:cs="宋体"/>
                <w:b/>
                <w:bCs/>
                <w:kern w:val="0"/>
                <w:sz w:val="24"/>
                <w:szCs w:val="24"/>
                <w:lang w:val="en-US" w:eastAsia="zh-CN"/>
              </w:rPr>
              <w:t>00</w:t>
            </w:r>
            <w:r>
              <w:rPr>
                <w:rFonts w:hint="eastAsia" w:ascii="宋体" w:hAnsi="宋体" w:cs="宋体"/>
                <w:b/>
                <w:bCs/>
                <w:kern w:val="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构成投标文件的</w:t>
            </w:r>
          </w:p>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其他材料</w:t>
            </w:r>
          </w:p>
        </w:tc>
        <w:tc>
          <w:tcPr>
            <w:tcW w:w="6224" w:type="dxa"/>
            <w:vAlign w:val="center"/>
          </w:tcPr>
          <w:p>
            <w:pPr>
              <w:keepNext w:val="0"/>
              <w:keepLines w:val="0"/>
              <w:pageBreakBefore w:val="0"/>
              <w:widowControl w:val="0"/>
              <w:kinsoku/>
              <w:wordWrap/>
              <w:overflowPunct/>
              <w:topLinePunct w:val="0"/>
              <w:bidi w:val="0"/>
              <w:spacing w:line="50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3.3.1</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投标有效期</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3.6</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是否允许递交备选</w:t>
            </w:r>
          </w:p>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投标方案</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3.7.3</w:t>
            </w:r>
          </w:p>
        </w:tc>
        <w:tc>
          <w:tcPr>
            <w:tcW w:w="2206" w:type="dxa"/>
            <w:shd w:val="clear" w:color="auto" w:fill="auto"/>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签字盖章要求</w:t>
            </w:r>
          </w:p>
        </w:tc>
        <w:tc>
          <w:tcPr>
            <w:tcW w:w="6224" w:type="dxa"/>
            <w:shd w:val="clear" w:color="auto" w:fill="auto"/>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（1）所有要求投标人加盖公章的地方都须加盖投标人单位的 CA 印章。</w:t>
            </w:r>
          </w:p>
          <w:p>
            <w:pPr>
              <w:pStyle w:val="21"/>
              <w:keepNext w:val="0"/>
              <w:keepLines w:val="0"/>
              <w:pageBreakBefore w:val="0"/>
              <w:widowControl w:val="0"/>
              <w:kinsoku/>
              <w:wordWrap/>
              <w:overflowPunct/>
              <w:topLinePunct w:val="0"/>
              <w:bidi w:val="0"/>
              <w:spacing w:line="500" w:lineRule="exact"/>
              <w:textAlignment w:val="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（2）所有要求法定代表人或其委托代理人签字的地方都须加盖法定代表人CA 印章或其委托代理人签字。</w:t>
            </w:r>
          </w:p>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asciiTheme="minorEastAsia" w:hAnsiTheme="minorEastAsia" w:eastAsiaTheme="minorEastAsia" w:cstheme="minorEastAsia"/>
                <w:sz w:val="24"/>
                <w:szCs w:val="24"/>
              </w:rPr>
              <w:t>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3.7.4</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投标文件份数</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4.2.2</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递交投标文件方式和地点</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hAnsi="宋体"/>
                <w:sz w:val="24"/>
                <w:szCs w:val="24"/>
              </w:rPr>
            </w:pPr>
            <w:r>
              <w:rPr>
                <w:rFonts w:hAnsi="宋体"/>
                <w:sz w:val="24"/>
                <w:szCs w:val="24"/>
              </w:rPr>
              <w:t xml:space="preserve">本项目采用“远程不见面”开标方式，远程开标大厅网址为http://122.112.246.33/BidOpening/bidopeninghallaction/hall/login。投标人不需到开标现场参加开标会议，不需提交原件资料等。 </w:t>
            </w:r>
          </w:p>
          <w:p>
            <w:pPr>
              <w:pStyle w:val="21"/>
              <w:keepNext w:val="0"/>
              <w:keepLines w:val="0"/>
              <w:pageBreakBefore w:val="0"/>
              <w:widowControl w:val="0"/>
              <w:kinsoku/>
              <w:wordWrap/>
              <w:overflowPunct/>
              <w:topLinePunct w:val="0"/>
              <w:bidi w:val="0"/>
              <w:spacing w:line="500" w:lineRule="exact"/>
              <w:textAlignment w:val="auto"/>
              <w:rPr>
                <w:rFonts w:hint="default" w:hAnsi="宋体"/>
                <w:sz w:val="24"/>
                <w:szCs w:val="24"/>
              </w:rPr>
            </w:pPr>
            <w:r>
              <w:rPr>
                <w:rFonts w:hAnsi="宋体"/>
                <w:sz w:val="24"/>
                <w:szCs w:val="24"/>
              </w:rPr>
              <w:t>（1）电子投标文件的递交</w:t>
            </w:r>
          </w:p>
          <w:p>
            <w:pPr>
              <w:pStyle w:val="21"/>
              <w:keepNext w:val="0"/>
              <w:keepLines w:val="0"/>
              <w:pageBreakBefore w:val="0"/>
              <w:widowControl w:val="0"/>
              <w:kinsoku/>
              <w:wordWrap/>
              <w:overflowPunct/>
              <w:topLinePunct w:val="0"/>
              <w:bidi w:val="0"/>
              <w:spacing w:line="500" w:lineRule="exact"/>
              <w:textAlignment w:val="auto"/>
              <w:rPr>
                <w:rFonts w:hint="default" w:hAnsi="宋体"/>
                <w:sz w:val="24"/>
                <w:szCs w:val="24"/>
              </w:rPr>
            </w:pPr>
            <w:r>
              <w:rPr>
                <w:rFonts w:hint="eastAsia" w:hAnsi="宋体"/>
                <w:sz w:val="24"/>
                <w:szCs w:val="24"/>
                <w:lang w:val="en-US" w:eastAsia="zh-CN"/>
              </w:rPr>
              <w:t>a.</w:t>
            </w:r>
            <w:r>
              <w:rPr>
                <w:rFonts w:hAnsi="宋体"/>
                <w:sz w:val="24"/>
                <w:szCs w:val="24"/>
              </w:rPr>
              <w:t>各投标人应在投标截止时间前上传加密的电子投标文件</w:t>
            </w:r>
          </w:p>
          <w:p>
            <w:pPr>
              <w:pStyle w:val="21"/>
              <w:keepNext w:val="0"/>
              <w:keepLines w:val="0"/>
              <w:pageBreakBefore w:val="0"/>
              <w:widowControl w:val="0"/>
              <w:kinsoku/>
              <w:wordWrap/>
              <w:overflowPunct/>
              <w:topLinePunct w:val="0"/>
              <w:bidi w:val="0"/>
              <w:spacing w:line="500" w:lineRule="exact"/>
              <w:textAlignment w:val="auto"/>
              <w:rPr>
                <w:rFonts w:hint="default" w:hAnsi="宋体"/>
                <w:sz w:val="24"/>
                <w:szCs w:val="24"/>
              </w:rPr>
            </w:pPr>
            <w:r>
              <w:rPr>
                <w:rFonts w:hAnsi="宋体"/>
                <w:sz w:val="24"/>
                <w:szCs w:val="24"/>
              </w:rPr>
              <w:t>（.jztf 格式）到会员系统的指定位置。上传时必须得到电脑“上传成功”的确认回复。请投标人在上传时认真检查上传投标文件是否完整、正确。</w:t>
            </w:r>
          </w:p>
          <w:p>
            <w:pPr>
              <w:pStyle w:val="21"/>
              <w:keepNext w:val="0"/>
              <w:keepLines w:val="0"/>
              <w:pageBreakBefore w:val="0"/>
              <w:widowControl w:val="0"/>
              <w:kinsoku/>
              <w:wordWrap/>
              <w:overflowPunct/>
              <w:topLinePunct w:val="0"/>
              <w:bidi w:val="0"/>
              <w:spacing w:line="500" w:lineRule="exact"/>
              <w:textAlignment w:val="auto"/>
              <w:rPr>
                <w:rFonts w:hint="default"/>
                <w:sz w:val="24"/>
                <w:szCs w:val="24"/>
              </w:rPr>
            </w:pPr>
            <w:r>
              <w:rPr>
                <w:rFonts w:hint="eastAsia" w:hAnsi="宋体"/>
                <w:sz w:val="24"/>
                <w:szCs w:val="24"/>
                <w:lang w:val="en-US" w:eastAsia="zh-CN"/>
              </w:rPr>
              <w:t>b.</w:t>
            </w:r>
            <w:r>
              <w:rPr>
                <w:rFonts w:hAnsi="宋体"/>
                <w:sz w:val="24"/>
                <w:szCs w:val="24"/>
              </w:rPr>
              <w:t>如系统故故障需上传非加密文件时，投标人应按照采购人指示将非加密文件递交给采购人。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4.2.3</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是否退还投标文件</w:t>
            </w:r>
          </w:p>
        </w:tc>
        <w:tc>
          <w:tcPr>
            <w:tcW w:w="6224" w:type="dxa"/>
            <w:vAlign w:val="center"/>
          </w:tcPr>
          <w:p>
            <w:pPr>
              <w:pStyle w:val="21"/>
              <w:keepNext w:val="0"/>
              <w:keepLines w:val="0"/>
              <w:pageBreakBefore w:val="0"/>
              <w:widowControl w:val="0"/>
              <w:kinsoku/>
              <w:wordWrap/>
              <w:overflowPunct/>
              <w:topLinePunct w:val="0"/>
              <w:bidi w:val="0"/>
              <w:spacing w:line="500" w:lineRule="exact"/>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5.1</w:t>
            </w:r>
          </w:p>
        </w:tc>
        <w:tc>
          <w:tcPr>
            <w:tcW w:w="2206"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开标时间和地点</w:t>
            </w:r>
          </w:p>
        </w:tc>
        <w:tc>
          <w:tcPr>
            <w:tcW w:w="6224" w:type="dxa"/>
            <w:vAlign w:val="center"/>
          </w:tcPr>
          <w:p>
            <w:pPr>
              <w:keepNext w:val="0"/>
              <w:keepLines w:val="0"/>
              <w:pageBreakBefore w:val="0"/>
              <w:widowControl w:val="0"/>
              <w:kinsoku/>
              <w:wordWrap/>
              <w:overflowPunct/>
              <w:topLinePunct w:val="0"/>
              <w:bidi w:val="0"/>
              <w:adjustRightInd w:val="0"/>
              <w:snapToGrid w:val="0"/>
              <w:spacing w:line="500" w:lineRule="exact"/>
              <w:textAlignment w:val="auto"/>
              <w:rPr>
                <w:rFonts w:ascii="宋体" w:hAnsi="宋体"/>
                <w:sz w:val="24"/>
                <w:szCs w:val="24"/>
              </w:rPr>
            </w:pPr>
            <w:r>
              <w:rPr>
                <w:rFonts w:hint="eastAsia" w:ascii="宋体" w:hAnsi="宋体"/>
                <w:sz w:val="24"/>
                <w:szCs w:val="24"/>
              </w:rPr>
              <w:t>开标时间：同投标截止时间。登录远程开标大厅，凭制作投标文件所用的企业 CA 密匙在线签到、解密文件等，解密时间为投标截止时后30分钟内。</w:t>
            </w:r>
          </w:p>
          <w:p>
            <w:pPr>
              <w:keepNext w:val="0"/>
              <w:keepLines w:val="0"/>
              <w:pageBreakBefore w:val="0"/>
              <w:widowControl w:val="0"/>
              <w:kinsoku/>
              <w:wordWrap/>
              <w:overflowPunct/>
              <w:topLinePunct w:val="0"/>
              <w:bidi w:val="0"/>
              <w:spacing w:line="500" w:lineRule="exact"/>
              <w:ind w:left="700" w:hanging="700"/>
              <w:jc w:val="left"/>
              <w:textAlignment w:val="auto"/>
              <w:rPr>
                <w:rFonts w:hint="eastAsia" w:ascii="宋体" w:hAnsi="宋体"/>
                <w:sz w:val="24"/>
                <w:szCs w:val="24"/>
                <w:lang w:eastAsia="zh-CN"/>
              </w:rPr>
            </w:pPr>
            <w:r>
              <w:rPr>
                <w:rFonts w:hint="eastAsia" w:ascii="宋体" w:hAnsi="宋体"/>
                <w:sz w:val="24"/>
                <w:szCs w:val="24"/>
                <w:highlight w:val="none"/>
              </w:rPr>
              <w:t>现场开标地点</w:t>
            </w:r>
            <w:r>
              <w:rPr>
                <w:rFonts w:hint="eastAsia" w:ascii="宋体" w:hAnsi="宋体"/>
                <w:sz w:val="24"/>
                <w:szCs w:val="24"/>
              </w:rPr>
              <w:t>：博爱县公共资源交易中心二楼</w:t>
            </w:r>
            <w:r>
              <w:rPr>
                <w:rFonts w:hint="eastAsia" w:ascii="宋体" w:hAnsi="宋体"/>
                <w:sz w:val="24"/>
                <w:szCs w:val="24"/>
                <w:lang w:val="en-US" w:eastAsia="zh-CN"/>
              </w:rPr>
              <w:t>不见面</w:t>
            </w:r>
            <w:r>
              <w:rPr>
                <w:rFonts w:hint="eastAsia" w:ascii="宋体" w:hAnsi="宋体"/>
                <w:sz w:val="24"/>
                <w:szCs w:val="24"/>
              </w:rPr>
              <w:t>开</w:t>
            </w:r>
            <w:r>
              <w:rPr>
                <w:rFonts w:hint="eastAsia" w:ascii="宋体" w:hAnsi="宋体"/>
                <w:sz w:val="24"/>
                <w:szCs w:val="24"/>
                <w:lang w:eastAsia="zh-CN"/>
              </w:rPr>
              <w:t>标</w:t>
            </w:r>
          </w:p>
          <w:p>
            <w:pPr>
              <w:keepNext w:val="0"/>
              <w:keepLines w:val="0"/>
              <w:pageBreakBefore w:val="0"/>
              <w:widowControl w:val="0"/>
              <w:kinsoku/>
              <w:wordWrap/>
              <w:overflowPunct/>
              <w:topLinePunct w:val="0"/>
              <w:bidi w:val="0"/>
              <w:spacing w:line="500" w:lineRule="exact"/>
              <w:ind w:left="700" w:hanging="700"/>
              <w:jc w:val="left"/>
              <w:textAlignment w:val="auto"/>
              <w:rPr>
                <w:rFonts w:asciiTheme="minorEastAsia" w:hAnsiTheme="minorEastAsia" w:eastAsiaTheme="minorEastAsia" w:cstheme="minorEastAsia"/>
                <w:sz w:val="24"/>
                <w:szCs w:val="24"/>
              </w:rPr>
            </w:pPr>
            <w:r>
              <w:rPr>
                <w:rFonts w:hint="eastAsia" w:ascii="宋体" w:hAnsi="宋体"/>
                <w:sz w:val="24"/>
                <w:szCs w:val="24"/>
                <w:lang w:eastAsia="zh-CN"/>
              </w:rPr>
              <w:t>二</w:t>
            </w:r>
            <w:r>
              <w:rPr>
                <w:rFonts w:hint="eastAsia" w:ascii="宋体" w:hAnsi="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评标委员会的组建</w:t>
            </w:r>
          </w:p>
        </w:tc>
        <w:tc>
          <w:tcPr>
            <w:tcW w:w="6224" w:type="dxa"/>
            <w:vAlign w:val="center"/>
          </w:tcPr>
          <w:p>
            <w:pPr>
              <w:keepNext w:val="0"/>
              <w:keepLines w:val="0"/>
              <w:pageBreakBefore w:val="0"/>
              <w:widowControl w:val="0"/>
              <w:kinsoku/>
              <w:wordWrap/>
              <w:overflowPunct/>
              <w:topLinePunct w:val="0"/>
              <w:bidi w:val="0"/>
              <w:adjustRightInd w:val="0"/>
              <w:snapToGrid w:val="0"/>
              <w:spacing w:line="500" w:lineRule="exact"/>
              <w:textAlignment w:val="auto"/>
              <w:rPr>
                <w:rFonts w:ascii="宋体" w:hAnsi="宋体"/>
                <w:sz w:val="24"/>
                <w:szCs w:val="24"/>
                <w:highlight w:val="red"/>
                <w:u w:val="single"/>
              </w:rPr>
            </w:pPr>
            <w:r>
              <w:rPr>
                <w:rFonts w:hint="eastAsia" w:ascii="宋体" w:hAnsi="宋体"/>
                <w:sz w:val="24"/>
                <w:szCs w:val="24"/>
                <w:highlight w:val="none"/>
              </w:rPr>
              <w:t>评标委员会构成：</w:t>
            </w:r>
            <w:r>
              <w:rPr>
                <w:rFonts w:hint="eastAsia" w:ascii="宋体" w:hAnsi="宋体"/>
                <w:sz w:val="24"/>
                <w:szCs w:val="24"/>
              </w:rPr>
              <w:t>由采购人代表1名和政府采购专家库中随机抽取的评审专家4名共5人组成。</w:t>
            </w:r>
            <w:r>
              <w:rPr>
                <w:rFonts w:hint="eastAsia" w:ascii="宋体" w:hAnsi="宋体"/>
                <w:b/>
                <w:bCs/>
                <w:sz w:val="24"/>
                <w:szCs w:val="24"/>
              </w:rPr>
              <w:t>注</w:t>
            </w:r>
            <w:r>
              <w:rPr>
                <w:rFonts w:hint="eastAsia" w:ascii="宋体" w:hAnsi="宋体"/>
                <w:sz w:val="24"/>
                <w:szCs w:val="24"/>
              </w:rPr>
              <w:t>：</w:t>
            </w:r>
            <w:r>
              <w:rPr>
                <w:rFonts w:hint="eastAsia" w:ascii="宋体" w:hAnsi="宋体"/>
                <w:b/>
                <w:bCs/>
                <w:sz w:val="24"/>
                <w:szCs w:val="24"/>
                <w:u w:val="single"/>
              </w:rPr>
              <w:t>根据《财政部令第87号》第四十五条规定，采购人代表不得担任评标委员会组长。</w:t>
            </w:r>
          </w:p>
          <w:p>
            <w:pPr>
              <w:keepNext w:val="0"/>
              <w:keepLines w:val="0"/>
              <w:pageBreakBefore w:val="0"/>
              <w:widowControl w:val="0"/>
              <w:kinsoku/>
              <w:wordWrap/>
              <w:overflowPunct/>
              <w:topLinePunct w:val="0"/>
              <w:bidi w:val="0"/>
              <w:spacing w:line="500" w:lineRule="exact"/>
              <w:jc w:val="left"/>
              <w:textAlignment w:val="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是否授权评标委员会确定中标人</w:t>
            </w:r>
          </w:p>
        </w:tc>
        <w:tc>
          <w:tcPr>
            <w:tcW w:w="6224" w:type="dxa"/>
            <w:vAlign w:val="center"/>
          </w:tcPr>
          <w:p>
            <w:pPr>
              <w:keepNext w:val="0"/>
              <w:keepLines w:val="0"/>
              <w:pageBreakBefore w:val="0"/>
              <w:widowControl w:val="0"/>
              <w:kinsoku/>
              <w:wordWrap/>
              <w:overflowPunct/>
              <w:topLinePunct w:val="0"/>
              <w:bidi w:val="0"/>
              <w:spacing w:line="500" w:lineRule="exact"/>
              <w:ind w:firstLine="480" w:firstLineChars="200"/>
              <w:jc w:val="lef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否，由评标委员会从认定的合理报价中，按得分由高到低的顺序，依次推荐1～3名中标候选人。</w:t>
            </w:r>
          </w:p>
          <w:p>
            <w:pPr>
              <w:keepNext w:val="0"/>
              <w:keepLines w:val="0"/>
              <w:pageBreakBefore w:val="0"/>
              <w:widowControl w:val="0"/>
              <w:kinsoku/>
              <w:wordWrap/>
              <w:overflowPunct/>
              <w:topLinePunct w:val="0"/>
              <w:bidi w:val="0"/>
              <w:spacing w:line="5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keepNext w:val="0"/>
              <w:keepLines w:val="0"/>
              <w:pageBreakBefore w:val="0"/>
              <w:widowControl w:val="0"/>
              <w:kinsoku/>
              <w:wordWrap/>
              <w:overflowPunct/>
              <w:topLinePunct w:val="0"/>
              <w:bidi w:val="0"/>
              <w:spacing w:line="5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7.3.1</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6224" w:type="dxa"/>
            <w:vAlign w:val="center"/>
          </w:tcPr>
          <w:p>
            <w:pPr>
              <w:keepNext w:val="0"/>
              <w:keepLines w:val="0"/>
              <w:pageBreakBefore w:val="0"/>
              <w:widowControl w:val="0"/>
              <w:kinsoku/>
              <w:wordWrap/>
              <w:overflowPunct/>
              <w:topLinePunct w:val="0"/>
              <w:bidi w:val="0"/>
              <w:spacing w:line="50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keepNext w:val="0"/>
              <w:keepLines w:val="0"/>
              <w:pageBreakBefore w:val="0"/>
              <w:widowControl w:val="0"/>
              <w:kinsoku/>
              <w:wordWrap/>
              <w:overflowPunct/>
              <w:topLinePunct w:val="0"/>
              <w:bidi w:val="0"/>
              <w:spacing w:line="500" w:lineRule="exact"/>
              <w:jc w:val="center"/>
              <w:textAlignment w:val="auto"/>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7.3.2</w:t>
            </w:r>
          </w:p>
        </w:tc>
        <w:tc>
          <w:tcPr>
            <w:tcW w:w="2206" w:type="dxa"/>
            <w:shd w:val="clear" w:color="auto" w:fill="auto"/>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6224" w:type="dxa"/>
            <w:shd w:val="clear" w:color="auto" w:fill="auto"/>
            <w:vAlign w:val="center"/>
          </w:tcPr>
          <w:p>
            <w:pPr>
              <w:keepNext w:val="0"/>
              <w:keepLines w:val="0"/>
              <w:pageBreakBefore w:val="0"/>
              <w:widowControl w:val="0"/>
              <w:kinsoku/>
              <w:wordWrap/>
              <w:overflowPunct/>
              <w:topLinePunct w:val="0"/>
              <w:bidi w:val="0"/>
              <w:spacing w:line="50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10</w:t>
            </w:r>
          </w:p>
        </w:tc>
        <w:tc>
          <w:tcPr>
            <w:tcW w:w="8430" w:type="dxa"/>
            <w:gridSpan w:val="2"/>
            <w:vAlign w:val="bottom"/>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预算金额</w:t>
            </w:r>
            <w:r>
              <w:rPr>
                <w:rFonts w:hint="eastAsia" w:asciiTheme="minorEastAsia" w:hAnsiTheme="minorEastAsia" w:eastAsiaTheme="minorEastAsia" w:cstheme="minorEastAsia"/>
                <w:sz w:val="24"/>
                <w:szCs w:val="24"/>
                <w:lang w:eastAsia="zh-CN"/>
              </w:rPr>
              <w:t>（控制价）</w:t>
            </w:r>
          </w:p>
        </w:tc>
        <w:tc>
          <w:tcPr>
            <w:tcW w:w="6224" w:type="dxa"/>
            <w:vAlign w:val="bottom"/>
          </w:tcPr>
          <w:p>
            <w:pPr>
              <w:keepNext w:val="0"/>
              <w:keepLines w:val="0"/>
              <w:pageBreakBefore w:val="0"/>
              <w:widowControl w:val="0"/>
              <w:kinsoku/>
              <w:wordWrap/>
              <w:overflowPunct/>
              <w:topLinePunct w:val="0"/>
              <w:bidi w:val="0"/>
              <w:spacing w:line="50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本项目预算金额为：2400000.00元。</w:t>
            </w:r>
          </w:p>
          <w:p>
            <w:pPr>
              <w:keepNext w:val="0"/>
              <w:keepLines w:val="0"/>
              <w:pageBreakBefore w:val="0"/>
              <w:widowControl w:val="0"/>
              <w:kinsoku/>
              <w:wordWrap/>
              <w:overflowPunct/>
              <w:topLinePunct w:val="0"/>
              <w:bidi w:val="0"/>
              <w:spacing w:line="50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控制价是采购人设置的最高限价，供应商的投标报价高于控制价的视为无效报价，其投标予以拒绝；</w:t>
            </w:r>
          </w:p>
          <w:p>
            <w:pPr>
              <w:keepNext w:val="0"/>
              <w:keepLines w:val="0"/>
              <w:pageBreakBefore w:val="0"/>
              <w:widowControl w:val="0"/>
              <w:kinsoku/>
              <w:wordWrap/>
              <w:overflowPunct/>
              <w:topLinePunct w:val="0"/>
              <w:bidi w:val="0"/>
              <w:spacing w:line="50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小型或微型企业（含监狱企业）</w:t>
            </w:r>
          </w:p>
        </w:tc>
        <w:tc>
          <w:tcPr>
            <w:tcW w:w="6224" w:type="dxa"/>
            <w:vAlign w:val="center"/>
          </w:tcPr>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w:t>
            </w:r>
            <w:r>
              <w:rPr>
                <w:rFonts w:hint="eastAsia" w:ascii="宋体" w:hAnsi="宋体" w:cs="宋体"/>
                <w:kern w:val="0"/>
                <w:sz w:val="24"/>
                <w:szCs w:val="24"/>
              </w:rPr>
              <w:t>对小型或微型企业投标的扶持：(如有）</w:t>
            </w: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宋体" w:hAnsi="宋体" w:cs="宋体"/>
                <w:kern w:val="0"/>
                <w:sz w:val="24"/>
                <w:szCs w:val="24"/>
              </w:rPr>
            </w:pPr>
            <w:r>
              <w:rPr>
                <w:rFonts w:hint="eastAsia" w:ascii="宋体" w:hAnsi="宋体" w:cs="宋体"/>
                <w:kern w:val="0"/>
                <w:sz w:val="24"/>
                <w:szCs w:val="24"/>
              </w:rPr>
              <w:t>1.1</w:t>
            </w:r>
            <w:r>
              <w:rPr>
                <w:rFonts w:hint="eastAsia" w:ascii="宋体" w:hAnsi="宋体" w:cs="宋体"/>
                <w:kern w:val="0"/>
                <w:sz w:val="24"/>
                <w:szCs w:val="24"/>
                <w:lang w:val="en-US" w:eastAsia="zh-CN"/>
              </w:rPr>
              <w:t xml:space="preserve"> </w:t>
            </w:r>
            <w:r>
              <w:rPr>
                <w:rFonts w:hint="eastAsia" w:ascii="宋体" w:hAnsi="宋体" w:cs="宋体"/>
                <w:kern w:val="0"/>
                <w:sz w:val="24"/>
                <w:szCs w:val="24"/>
              </w:rPr>
              <w:t>投标供应商为小型或微型企业时，报价给予C1的价格扣除（C1的取值为20%），即：评标价＝投标报价（最后报价）×(1－C1）；</w:t>
            </w: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宋体" w:hAnsi="宋体" w:cs="宋体"/>
                <w:kern w:val="0"/>
                <w:sz w:val="24"/>
                <w:szCs w:val="24"/>
              </w:rPr>
            </w:pPr>
            <w:r>
              <w:rPr>
                <w:rFonts w:hint="eastAsia" w:ascii="宋体" w:hAnsi="宋体" w:cs="宋体"/>
                <w:kern w:val="0"/>
                <w:sz w:val="24"/>
                <w:szCs w:val="24"/>
              </w:rPr>
              <w:t>小微企业应当列明本项目中所投的“小型和微型企业产品的清单”并提供《中小企业声明函》（见格式）。</w:t>
            </w: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宋体" w:hAnsi="宋体" w:cs="宋体"/>
                <w:kern w:val="0"/>
                <w:sz w:val="24"/>
                <w:szCs w:val="24"/>
              </w:rPr>
            </w:pPr>
            <w:r>
              <w:rPr>
                <w:rFonts w:hint="eastAsia" w:ascii="宋体" w:hAnsi="宋体" w:cs="宋体"/>
                <w:kern w:val="0"/>
                <w:sz w:val="24"/>
                <w:szCs w:val="24"/>
              </w:rPr>
              <w:t>1.2</w:t>
            </w:r>
            <w:r>
              <w:rPr>
                <w:rFonts w:hint="eastAsia" w:ascii="宋体" w:hAnsi="宋体" w:cs="宋体"/>
                <w:kern w:val="0"/>
                <w:sz w:val="24"/>
                <w:szCs w:val="24"/>
                <w:lang w:val="en-US" w:eastAsia="zh-CN"/>
              </w:rPr>
              <w:t xml:space="preserve"> </w:t>
            </w:r>
            <w:r>
              <w:rPr>
                <w:rFonts w:hint="eastAsia" w:ascii="宋体" w:hAnsi="宋体" w:cs="宋体"/>
                <w:kern w:val="0"/>
                <w:sz w:val="24"/>
                <w:szCs w:val="24"/>
              </w:rPr>
              <w:t>按照《政府采购促进中小企业发展管理办法》有关规定，中小企业的标准为：</w:t>
            </w: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宋体" w:hAnsi="宋体" w:cs="宋体"/>
                <w:kern w:val="0"/>
                <w:sz w:val="24"/>
                <w:szCs w:val="24"/>
              </w:rPr>
            </w:pPr>
            <w:r>
              <w:rPr>
                <w:rFonts w:hint="eastAsia" w:ascii="宋体" w:hAnsi="宋体" w:cs="宋体"/>
                <w:kern w:val="0"/>
                <w:sz w:val="24"/>
                <w:szCs w:val="24"/>
              </w:rPr>
              <w:t>1.2.1</w:t>
            </w:r>
            <w:r>
              <w:rPr>
                <w:rFonts w:hint="eastAsia" w:ascii="宋体" w:hAnsi="宋体" w:cs="宋体"/>
                <w:kern w:val="0"/>
                <w:sz w:val="24"/>
                <w:szCs w:val="24"/>
                <w:lang w:val="en-US" w:eastAsia="zh-CN"/>
              </w:rPr>
              <w:t xml:space="preserve"> </w:t>
            </w:r>
            <w:r>
              <w:rPr>
                <w:rFonts w:hint="eastAsia" w:ascii="宋体" w:hAnsi="宋体" w:cs="宋体"/>
                <w:kern w:val="0"/>
                <w:sz w:val="24"/>
                <w:szCs w:val="24"/>
              </w:rPr>
              <w:t>提供本企业制造的货物、承担的工程或者服务，或者提供其他中小企业制造的货物，不包括提供或使用大型企业注册商标的货物；</w:t>
            </w: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宋体" w:hAnsi="宋体" w:cs="宋体"/>
                <w:kern w:val="0"/>
                <w:sz w:val="24"/>
                <w:szCs w:val="24"/>
              </w:rPr>
            </w:pPr>
            <w:r>
              <w:rPr>
                <w:rFonts w:hint="eastAsia" w:ascii="宋体" w:hAnsi="宋体" w:cs="宋体"/>
                <w:kern w:val="0"/>
                <w:sz w:val="24"/>
                <w:szCs w:val="24"/>
              </w:rPr>
              <w:t>1.2.2</w:t>
            </w:r>
            <w:r>
              <w:rPr>
                <w:rFonts w:hint="eastAsia" w:ascii="宋体" w:hAnsi="宋体" w:cs="宋体"/>
                <w:kern w:val="0"/>
                <w:sz w:val="24"/>
                <w:szCs w:val="24"/>
                <w:lang w:val="en-US" w:eastAsia="zh-CN"/>
              </w:rPr>
              <w:t xml:space="preserve"> </w:t>
            </w:r>
            <w:r>
              <w:rPr>
                <w:rFonts w:hint="eastAsia" w:ascii="宋体" w:hAnsi="宋体" w:cs="宋体"/>
                <w:kern w:val="0"/>
                <w:sz w:val="24"/>
                <w:szCs w:val="24"/>
              </w:rPr>
              <w:t>本规定所称中小企业划分标准，是指国务院有关部门根据企业从业人员、营业收入、资产总额等指标制定的中小企业划型标准（工信部联企业[2011]300号）；</w:t>
            </w: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宋体" w:hAnsi="宋体" w:cs="宋体"/>
                <w:kern w:val="0"/>
                <w:sz w:val="24"/>
                <w:szCs w:val="24"/>
              </w:rPr>
            </w:pPr>
            <w:r>
              <w:rPr>
                <w:rFonts w:hint="eastAsia" w:ascii="宋体" w:hAnsi="宋体" w:cs="宋体"/>
                <w:kern w:val="0"/>
                <w:sz w:val="24"/>
                <w:szCs w:val="24"/>
              </w:rPr>
              <w:t>1.2.3</w:t>
            </w:r>
            <w:r>
              <w:rPr>
                <w:rFonts w:hint="eastAsia" w:ascii="宋体" w:hAnsi="宋体" w:cs="宋体"/>
                <w:kern w:val="0"/>
                <w:sz w:val="24"/>
                <w:szCs w:val="24"/>
                <w:lang w:val="en-US" w:eastAsia="zh-CN"/>
              </w:rPr>
              <w:t xml:space="preserve"> </w:t>
            </w:r>
            <w:r>
              <w:rPr>
                <w:rFonts w:hint="eastAsia" w:ascii="宋体" w:hAnsi="宋体" w:cs="宋体"/>
                <w:kern w:val="0"/>
                <w:sz w:val="24"/>
                <w:szCs w:val="24"/>
              </w:rPr>
              <w:t>小型、微型企业提供有中型企业制造的货物的，视同为中型企业；小型、微型、中型企业提供有大型企业制造的货物的，视同为大型企业。</w:t>
            </w:r>
          </w:p>
          <w:p>
            <w:pPr>
              <w:keepNext w:val="0"/>
              <w:keepLines w:val="0"/>
              <w:pageBreakBefore w:val="0"/>
              <w:widowControl w:val="0"/>
              <w:kinsoku/>
              <w:wordWrap/>
              <w:overflowPunct/>
              <w:topLinePunct w:val="0"/>
              <w:bidi w:val="0"/>
              <w:spacing w:line="500" w:lineRule="exact"/>
              <w:textAlignment w:val="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pPr>
              <w:keepNext w:val="0"/>
              <w:keepLines w:val="0"/>
              <w:pageBreakBefore w:val="0"/>
              <w:widowControl w:val="0"/>
              <w:kinsoku/>
              <w:wordWrap/>
              <w:overflowPunct/>
              <w:topLinePunct w:val="0"/>
              <w:bidi w:val="0"/>
              <w:spacing w:line="500" w:lineRule="exact"/>
              <w:ind w:firstLine="480" w:firstLineChars="200"/>
              <w:textAlignment w:val="auto"/>
              <w:rPr>
                <w:rFonts w:asciiTheme="minorEastAsia" w:hAnsiTheme="minorEastAsia" w:eastAsiaTheme="minorEastAsia" w:cstheme="minorEastAsia"/>
                <w:sz w:val="24"/>
                <w:szCs w:val="24"/>
              </w:rPr>
            </w:pPr>
            <w:r>
              <w:rPr>
                <w:rFonts w:hint="eastAsia" w:ascii="宋体" w:hAnsi="宋体" w:cs="宋体"/>
                <w:bCs/>
                <w:sz w:val="24"/>
                <w:szCs w:val="24"/>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ascii="宋体" w:hAnsi="宋体" w:cs="宋体"/>
                <w:bCs/>
                <w:sz w:val="24"/>
                <w:szCs w:val="24"/>
              </w:rPr>
            </w:pPr>
            <w:r>
              <w:rPr>
                <w:rFonts w:hint="eastAsia" w:ascii="宋体" w:hAnsi="宋体" w:cs="宋体"/>
                <w:bCs/>
                <w:sz w:val="24"/>
                <w:szCs w:val="24"/>
              </w:rPr>
              <w:t>付款方式</w:t>
            </w:r>
          </w:p>
        </w:tc>
        <w:tc>
          <w:tcPr>
            <w:tcW w:w="6224" w:type="dxa"/>
            <w:vAlign w:val="center"/>
          </w:tcPr>
          <w:p>
            <w:pPr>
              <w:keepNext w:val="0"/>
              <w:keepLines w:val="0"/>
              <w:pageBreakBefore w:val="0"/>
              <w:widowControl w:val="0"/>
              <w:kinsoku/>
              <w:wordWrap/>
              <w:overflowPunct/>
              <w:topLinePunct w:val="0"/>
              <w:bidi w:val="0"/>
              <w:spacing w:line="500" w:lineRule="exact"/>
              <w:textAlignment w:val="auto"/>
              <w:rPr>
                <w:rFonts w:ascii="宋体" w:hAnsi="宋体" w:cs="宋体"/>
                <w:bCs/>
                <w:sz w:val="24"/>
                <w:szCs w:val="24"/>
              </w:rPr>
            </w:pPr>
            <w:r>
              <w:rPr>
                <w:rFonts w:hint="eastAsia" w:ascii="宋体" w:hAnsi="宋体" w:cs="宋体"/>
                <w:bCs/>
                <w:sz w:val="24"/>
                <w:szCs w:val="24"/>
              </w:rPr>
              <w:t>供货完毕验收</w:t>
            </w:r>
            <w:r>
              <w:rPr>
                <w:rFonts w:hint="eastAsia" w:ascii="宋体" w:hAnsi="宋体" w:cs="宋体"/>
                <w:bCs/>
                <w:sz w:val="24"/>
                <w:szCs w:val="24"/>
                <w:highlight w:val="none"/>
              </w:rPr>
              <w:t>合格后付合同额的70%，联调联试并通过验收，符合国家质量验收合格标准后支付剩余30%。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ascii="宋体" w:hAnsi="宋体" w:cs="宋体"/>
                <w:bCs/>
                <w:sz w:val="24"/>
                <w:szCs w:val="24"/>
              </w:rPr>
            </w:pPr>
            <w:r>
              <w:rPr>
                <w:rFonts w:hint="eastAsia" w:ascii="宋体" w:hAnsi="宋体" w:cs="宋体"/>
                <w:bCs/>
                <w:sz w:val="24"/>
                <w:szCs w:val="24"/>
              </w:rPr>
              <w:t>供货要求</w:t>
            </w:r>
          </w:p>
        </w:tc>
        <w:tc>
          <w:tcPr>
            <w:tcW w:w="6224" w:type="dxa"/>
            <w:vAlign w:val="center"/>
          </w:tcPr>
          <w:p>
            <w:pPr>
              <w:keepNext w:val="0"/>
              <w:keepLines w:val="0"/>
              <w:pageBreakBefore w:val="0"/>
              <w:widowControl w:val="0"/>
              <w:kinsoku/>
              <w:wordWrap/>
              <w:overflowPunct/>
              <w:topLinePunct w:val="0"/>
              <w:bidi w:val="0"/>
              <w:spacing w:line="500" w:lineRule="exact"/>
              <w:textAlignment w:val="auto"/>
              <w:rPr>
                <w:rFonts w:ascii="宋体" w:hAnsi="宋体" w:cs="宋体"/>
                <w:bCs/>
                <w:sz w:val="24"/>
                <w:szCs w:val="24"/>
              </w:rPr>
            </w:pPr>
            <w:r>
              <w:rPr>
                <w:rFonts w:hint="eastAsia" w:ascii="宋体" w:hAnsi="宋体" w:cs="宋体"/>
                <w:bCs/>
                <w:sz w:val="24"/>
                <w:szCs w:val="24"/>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w:t>
            </w:r>
          </w:p>
        </w:tc>
        <w:tc>
          <w:tcPr>
            <w:tcW w:w="2206"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招标代理服务费</w:t>
            </w:r>
          </w:p>
        </w:tc>
        <w:tc>
          <w:tcPr>
            <w:tcW w:w="6224" w:type="dxa"/>
            <w:vAlign w:val="center"/>
          </w:tcPr>
          <w:p>
            <w:pPr>
              <w:keepNext w:val="0"/>
              <w:keepLines w:val="0"/>
              <w:pageBreakBefore w:val="0"/>
              <w:widowControl w:val="0"/>
              <w:kinsoku/>
              <w:wordWrap/>
              <w:overflowPunct/>
              <w:topLinePunct w:val="0"/>
              <w:bidi w:val="0"/>
              <w:spacing w:line="500" w:lineRule="exact"/>
              <w:textAlignment w:val="auto"/>
              <w:rPr>
                <w:sz w:val="24"/>
                <w:szCs w:val="24"/>
              </w:rPr>
            </w:pPr>
            <w:r>
              <w:rPr>
                <w:rFonts w:hint="eastAsia" w:ascii="宋体" w:hAnsi="宋体" w:cs="宋体"/>
                <w:bCs/>
                <w:sz w:val="24"/>
                <w:szCs w:val="24"/>
              </w:rPr>
              <w:t>招标代理服务费</w:t>
            </w:r>
            <w:r>
              <w:rPr>
                <w:rFonts w:hint="eastAsia" w:ascii="宋体" w:hAnsi="宋体" w:cs="宋体"/>
                <w:bCs/>
                <w:sz w:val="24"/>
                <w:szCs w:val="24"/>
                <w:lang w:val="en-US" w:eastAsia="zh-CN"/>
              </w:rPr>
              <w:t>参照豫招协[2023]002号《河南省招标代理服务收费指导意见》中的标准收取</w:t>
            </w:r>
            <w:r>
              <w:rPr>
                <w:rFonts w:hint="eastAsia" w:ascii="宋体" w:hAnsi="宋体" w:cs="宋体"/>
                <w:bCs/>
                <w:sz w:val="24"/>
                <w:szCs w:val="24"/>
              </w:rPr>
              <w:t>，由中标人支付。招标代理费由招标代理机构通知中标企业结清后，领取中标通知书。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w:t>
            </w:r>
          </w:p>
        </w:tc>
        <w:tc>
          <w:tcPr>
            <w:tcW w:w="2206" w:type="dxa"/>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ascii="宋体" w:hAnsi="宋体" w:cs="宋体"/>
                <w:bCs/>
                <w:sz w:val="24"/>
                <w:szCs w:val="24"/>
              </w:rPr>
            </w:pPr>
            <w:r>
              <w:rPr>
                <w:rFonts w:hint="eastAsia" w:ascii="宋体" w:hAnsi="宋体" w:cs="宋体"/>
                <w:bCs/>
                <w:sz w:val="24"/>
                <w:szCs w:val="24"/>
              </w:rPr>
              <w:t>认定为不响应招标文件的其它条件</w:t>
            </w:r>
          </w:p>
        </w:tc>
        <w:tc>
          <w:tcPr>
            <w:tcW w:w="6224" w:type="dxa"/>
            <w:vAlign w:val="center"/>
          </w:tcPr>
          <w:p>
            <w:pPr>
              <w:pStyle w:val="31"/>
              <w:keepNext w:val="0"/>
              <w:keepLines w:val="0"/>
              <w:pageBreakBefore w:val="0"/>
              <w:widowControl w:val="0"/>
              <w:kinsoku/>
              <w:wordWrap/>
              <w:overflowPunct/>
              <w:topLinePunct w:val="0"/>
              <w:bidi w:val="0"/>
              <w:spacing w:line="500" w:lineRule="exact"/>
              <w:ind w:firstLine="0" w:firstLineChars="0"/>
              <w:textAlignment w:val="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未按招标文件明示的规定签字盖章的；</w:t>
            </w:r>
          </w:p>
          <w:p>
            <w:pPr>
              <w:pStyle w:val="31"/>
              <w:keepNext w:val="0"/>
              <w:keepLines w:val="0"/>
              <w:pageBreakBefore w:val="0"/>
              <w:widowControl w:val="0"/>
              <w:kinsoku/>
              <w:wordWrap/>
              <w:overflowPunct/>
              <w:topLinePunct w:val="0"/>
              <w:bidi w:val="0"/>
              <w:spacing w:line="500" w:lineRule="exact"/>
              <w:ind w:firstLine="0" w:firstLineChars="0"/>
              <w:textAlignment w:val="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投标文件的关键内容（供货安装期、质量标准、品牌、型号等）未填写或填写字迹模糊、达不到采购要求的；</w:t>
            </w:r>
          </w:p>
          <w:p>
            <w:pPr>
              <w:pStyle w:val="31"/>
              <w:keepNext w:val="0"/>
              <w:keepLines w:val="0"/>
              <w:pageBreakBefore w:val="0"/>
              <w:widowControl w:val="0"/>
              <w:kinsoku/>
              <w:wordWrap/>
              <w:overflowPunct/>
              <w:topLinePunct w:val="0"/>
              <w:bidi w:val="0"/>
              <w:spacing w:line="500" w:lineRule="exact"/>
              <w:ind w:firstLine="0" w:firstLineChars="0"/>
              <w:textAlignment w:val="auto"/>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投标报价超出招标控制价的；</w:t>
            </w:r>
          </w:p>
          <w:p>
            <w:pPr>
              <w:pStyle w:val="31"/>
              <w:keepNext w:val="0"/>
              <w:keepLines w:val="0"/>
              <w:pageBreakBefore w:val="0"/>
              <w:widowControl w:val="0"/>
              <w:kinsoku/>
              <w:wordWrap/>
              <w:overflowPunct/>
              <w:topLinePunct w:val="0"/>
              <w:bidi w:val="0"/>
              <w:spacing w:line="500" w:lineRule="exact"/>
              <w:ind w:firstLine="0" w:firstLineChars="0"/>
              <w:textAlignment w:val="auto"/>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val="en-US" w:eastAsia="zh-CN"/>
              </w:rPr>
              <w:t>.</w:t>
            </w:r>
            <w:r>
              <w:rPr>
                <w:rFonts w:hint="eastAsia" w:ascii="宋体" w:hAnsi="宋体" w:cs="宋体"/>
                <w:bCs/>
                <w:sz w:val="24"/>
                <w:szCs w:val="24"/>
              </w:rPr>
              <w:t>供应商递交两份或多份内容不同的投标文件，或在一份投标文件中对同一招标项目有两个或多个报价，且未声明哪一个有效的；</w:t>
            </w:r>
          </w:p>
          <w:p>
            <w:pPr>
              <w:pStyle w:val="31"/>
              <w:keepNext w:val="0"/>
              <w:keepLines w:val="0"/>
              <w:pageBreakBefore w:val="0"/>
              <w:widowControl w:val="0"/>
              <w:kinsoku/>
              <w:wordWrap/>
              <w:overflowPunct/>
              <w:topLinePunct w:val="0"/>
              <w:bidi w:val="0"/>
              <w:spacing w:line="500" w:lineRule="exact"/>
              <w:ind w:firstLine="0" w:firstLineChars="0"/>
              <w:textAlignment w:val="auto"/>
              <w:rPr>
                <w:rFonts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val="en-US" w:eastAsia="zh-CN"/>
              </w:rPr>
              <w:t>.</w:t>
            </w:r>
            <w:r>
              <w:rPr>
                <w:rFonts w:hint="eastAsia" w:ascii="宋体" w:hAnsi="宋体" w:cs="宋体"/>
                <w:bCs/>
                <w:sz w:val="24"/>
                <w:szCs w:val="24"/>
              </w:rPr>
              <w:t>相关资格证明文件不合格的；</w:t>
            </w:r>
          </w:p>
          <w:p>
            <w:pPr>
              <w:pStyle w:val="31"/>
              <w:keepNext w:val="0"/>
              <w:keepLines w:val="0"/>
              <w:pageBreakBefore w:val="0"/>
              <w:widowControl w:val="0"/>
              <w:kinsoku/>
              <w:wordWrap/>
              <w:overflowPunct/>
              <w:topLinePunct w:val="0"/>
              <w:bidi w:val="0"/>
              <w:spacing w:line="500" w:lineRule="exact"/>
              <w:ind w:firstLine="0" w:firstLineChars="0"/>
              <w:textAlignment w:val="auto"/>
              <w:rPr>
                <w:rFonts w:hint="eastAsia" w:ascii="宋体" w:hAnsi="宋体" w:eastAsia="宋体" w:cs="宋体"/>
                <w:bCs/>
                <w:sz w:val="24"/>
                <w:szCs w:val="24"/>
                <w:lang w:val="en-US" w:eastAsia="zh-CN"/>
              </w:rPr>
            </w:pPr>
            <w:r>
              <w:rPr>
                <w:rFonts w:hint="eastAsia" w:ascii="宋体" w:hAnsi="宋体" w:cs="宋体"/>
                <w:bCs/>
                <w:sz w:val="24"/>
                <w:szCs w:val="24"/>
              </w:rPr>
              <w:t>6</w:t>
            </w:r>
            <w:r>
              <w:rPr>
                <w:rFonts w:hint="eastAsia" w:ascii="宋体" w:hAnsi="宋体" w:cs="宋体"/>
                <w:bCs/>
                <w:sz w:val="24"/>
                <w:szCs w:val="24"/>
                <w:lang w:val="en-US" w:eastAsia="zh-CN"/>
              </w:rPr>
              <w:t>.</w:t>
            </w:r>
            <w:r>
              <w:rPr>
                <w:rFonts w:hint="eastAsia" w:ascii="宋体" w:hAnsi="宋体" w:cs="宋体"/>
                <w:bCs/>
                <w:sz w:val="24"/>
                <w:szCs w:val="24"/>
              </w:rPr>
              <w:t>未按要求在报价明细表中标明品牌、型号及技术参数的</w:t>
            </w:r>
            <w:r>
              <w:rPr>
                <w:rFonts w:hint="eastAsia" w:ascii="宋体" w:hAnsi="宋体" w:cs="宋体"/>
                <w:bCs/>
                <w:sz w:val="24"/>
                <w:szCs w:val="24"/>
                <w:lang w:eastAsia="zh-CN"/>
              </w:rPr>
              <w:t>；</w:t>
            </w:r>
          </w:p>
          <w:p>
            <w:pPr>
              <w:pStyle w:val="31"/>
              <w:keepNext w:val="0"/>
              <w:keepLines w:val="0"/>
              <w:pageBreakBefore w:val="0"/>
              <w:widowControl w:val="0"/>
              <w:kinsoku/>
              <w:wordWrap/>
              <w:overflowPunct/>
              <w:topLinePunct w:val="0"/>
              <w:bidi w:val="0"/>
              <w:spacing w:line="500" w:lineRule="exact"/>
              <w:ind w:firstLine="0" w:firstLineChars="0"/>
              <w:textAlignment w:val="auto"/>
              <w:rPr>
                <w:rFonts w:ascii="宋体" w:hAnsi="宋体" w:cs="宋体"/>
                <w:bCs/>
                <w:sz w:val="24"/>
                <w:szCs w:val="24"/>
              </w:rPr>
            </w:pPr>
            <w:r>
              <w:rPr>
                <w:rFonts w:hint="eastAsia" w:ascii="宋体" w:hAnsi="宋体" w:cs="宋体"/>
                <w:bCs/>
                <w:sz w:val="24"/>
                <w:szCs w:val="24"/>
              </w:rPr>
              <w:t>7</w:t>
            </w:r>
            <w:r>
              <w:rPr>
                <w:rFonts w:hint="eastAsia" w:ascii="宋体" w:hAnsi="宋体" w:cs="宋体"/>
                <w:bCs/>
                <w:sz w:val="24"/>
                <w:szCs w:val="24"/>
                <w:lang w:val="en-US" w:eastAsia="zh-CN"/>
              </w:rPr>
              <w:t>.</w:t>
            </w:r>
            <w:r>
              <w:rPr>
                <w:rFonts w:hint="eastAsia" w:ascii="宋体" w:hAnsi="宋体" w:cs="宋体"/>
                <w:bCs/>
                <w:sz w:val="24"/>
                <w:szCs w:val="24"/>
              </w:rPr>
              <w:t>附有采购人不能接受的条件的；</w:t>
            </w:r>
          </w:p>
          <w:p>
            <w:pPr>
              <w:pStyle w:val="31"/>
              <w:keepNext w:val="0"/>
              <w:keepLines w:val="0"/>
              <w:pageBreakBefore w:val="0"/>
              <w:widowControl w:val="0"/>
              <w:kinsoku/>
              <w:wordWrap/>
              <w:overflowPunct/>
              <w:topLinePunct w:val="0"/>
              <w:bidi w:val="0"/>
              <w:spacing w:line="500" w:lineRule="exact"/>
              <w:ind w:firstLine="0" w:firstLineChars="0"/>
              <w:textAlignment w:val="auto"/>
              <w:rPr>
                <w:rFonts w:ascii="宋体" w:hAnsi="宋体" w:cs="宋体"/>
                <w:bCs/>
                <w:sz w:val="24"/>
                <w:szCs w:val="24"/>
              </w:rPr>
            </w:pPr>
            <w:r>
              <w:rPr>
                <w:rFonts w:hint="eastAsia" w:ascii="宋体" w:hAnsi="宋体" w:cs="宋体"/>
                <w:bCs/>
                <w:sz w:val="24"/>
                <w:szCs w:val="24"/>
              </w:rPr>
              <w:t>8</w:t>
            </w:r>
            <w:r>
              <w:rPr>
                <w:rFonts w:hint="eastAsia" w:ascii="宋体" w:hAnsi="宋体" w:cs="宋体"/>
                <w:bCs/>
                <w:sz w:val="24"/>
                <w:szCs w:val="24"/>
                <w:lang w:val="en-US" w:eastAsia="zh-CN"/>
              </w:rPr>
              <w:t>.</w:t>
            </w:r>
            <w:r>
              <w:rPr>
                <w:rFonts w:hint="eastAsia" w:ascii="宋体" w:hAnsi="宋体" w:cs="宋体"/>
                <w:bCs/>
                <w:sz w:val="24"/>
                <w:szCs w:val="24"/>
              </w:rPr>
              <w:t>评标过程中，如因两个或两个以上投标人在同一台计算或同一个IP上传响应文件，而被不见面开标系统提示为“投标文件制作机器码一致”的，则视其投标无效。</w:t>
            </w:r>
          </w:p>
          <w:p>
            <w:pPr>
              <w:pStyle w:val="31"/>
              <w:keepNext w:val="0"/>
              <w:keepLines w:val="0"/>
              <w:pageBreakBefore w:val="0"/>
              <w:widowControl w:val="0"/>
              <w:kinsoku/>
              <w:wordWrap/>
              <w:overflowPunct/>
              <w:topLinePunct w:val="0"/>
              <w:bidi w:val="0"/>
              <w:spacing w:line="500" w:lineRule="exact"/>
              <w:ind w:firstLine="0" w:firstLineChars="0"/>
              <w:textAlignment w:val="auto"/>
              <w:rPr>
                <w:rFonts w:ascii="宋体" w:hAnsi="宋体" w:cs="宋体"/>
                <w:bCs/>
                <w:sz w:val="24"/>
                <w:szCs w:val="24"/>
              </w:rPr>
            </w:pPr>
            <w:r>
              <w:rPr>
                <w:rFonts w:hint="eastAsia" w:ascii="宋体" w:hAnsi="宋体" w:cs="宋体"/>
                <w:bCs/>
                <w:sz w:val="24"/>
                <w:szCs w:val="24"/>
              </w:rPr>
              <w:t>9</w:t>
            </w:r>
            <w:r>
              <w:rPr>
                <w:rFonts w:hint="eastAsia" w:ascii="宋体" w:hAnsi="宋体" w:cs="宋体"/>
                <w:bCs/>
                <w:sz w:val="24"/>
                <w:szCs w:val="24"/>
                <w:lang w:val="en-US" w:eastAsia="zh-CN"/>
              </w:rPr>
              <w:t>.</w:t>
            </w:r>
            <w:r>
              <w:rPr>
                <w:rFonts w:hint="eastAsia" w:ascii="宋体" w:hAnsi="宋体" w:cs="宋体"/>
                <w:bCs/>
                <w:sz w:val="24"/>
                <w:szCs w:val="24"/>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keepNext w:val="0"/>
              <w:keepLines w:val="0"/>
              <w:pageBreakBefore w:val="0"/>
              <w:widowControl w:val="0"/>
              <w:kinsoku/>
              <w:wordWrap/>
              <w:overflowPunct/>
              <w:topLinePunct w:val="0"/>
              <w:bidi w:val="0"/>
              <w:spacing w:line="50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w:t>
            </w:r>
          </w:p>
        </w:tc>
        <w:tc>
          <w:tcPr>
            <w:tcW w:w="8430" w:type="dxa"/>
            <w:gridSpan w:val="2"/>
            <w:vAlign w:val="center"/>
          </w:tcPr>
          <w:p>
            <w:pPr>
              <w:pStyle w:val="31"/>
              <w:keepNext w:val="0"/>
              <w:keepLines w:val="0"/>
              <w:pageBreakBefore w:val="0"/>
              <w:widowControl w:val="0"/>
              <w:tabs>
                <w:tab w:val="left" w:pos="1268"/>
              </w:tabs>
              <w:kinsoku/>
              <w:wordWrap/>
              <w:overflowPunct/>
              <w:topLinePunct w:val="0"/>
              <w:bidi w:val="0"/>
              <w:spacing w:line="500" w:lineRule="exact"/>
              <w:ind w:firstLine="0" w:firstLineChars="0"/>
              <w:textAlignment w:val="auto"/>
              <w:rPr>
                <w:rFonts w:ascii="宋体" w:hAnsi="宋体" w:cs="宋体"/>
                <w:bCs/>
                <w:sz w:val="24"/>
                <w:szCs w:val="24"/>
              </w:rPr>
            </w:pPr>
            <w:r>
              <w:rPr>
                <w:rFonts w:hint="eastAsia" w:asciiTheme="minorEastAsia" w:hAnsiTheme="minorEastAsia" w:eastAsiaTheme="minorEastAsia" w:cstheme="minorEastAsia"/>
                <w:sz w:val="24"/>
                <w:szCs w:val="24"/>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31"/>
              <w:keepNext w:val="0"/>
              <w:keepLines w:val="0"/>
              <w:pageBreakBefore w:val="0"/>
              <w:widowControl w:val="0"/>
              <w:kinsoku/>
              <w:wordWrap/>
              <w:overflowPunct/>
              <w:topLinePunct w:val="0"/>
              <w:bidi w:val="0"/>
              <w:spacing w:line="500" w:lineRule="exact"/>
              <w:ind w:firstLine="480"/>
              <w:textAlignment w:val="auto"/>
              <w:rPr>
                <w:rFonts w:ascii="宋体" w:hAnsi="宋体" w:cs="宋体"/>
                <w:bCs/>
                <w:sz w:val="24"/>
                <w:szCs w:val="24"/>
              </w:rPr>
            </w:pPr>
            <w:r>
              <w:rPr>
                <w:rFonts w:hint="eastAsia" w:asciiTheme="minorEastAsia" w:hAnsiTheme="minorEastAsia" w:eastAsiaTheme="minorEastAsia" w:cstheme="minorEastAsia"/>
                <w:sz w:val="24"/>
                <w:szCs w:val="24"/>
              </w:rPr>
              <w:t>本项目采购货物在质保期内属于货物质量问题的，成交供应商应免费维修，不能维修的应及时更换新货物，供应商须针对质保期内的质量问题提供承诺函。</w:t>
            </w:r>
          </w:p>
        </w:tc>
      </w:tr>
    </w:tbl>
    <w:p>
      <w:pPr>
        <w:pStyle w:val="28"/>
        <w:keepNext w:val="0"/>
        <w:keepLines w:val="0"/>
        <w:pageBreakBefore w:val="0"/>
        <w:kinsoku/>
        <w:wordWrap/>
        <w:overflowPunct/>
        <w:topLinePunct w:val="0"/>
        <w:bidi w:val="0"/>
        <w:snapToGrid/>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12" w:name="_Toc23576"/>
      <w:bookmarkStart w:id="13" w:name="_Toc9048"/>
      <w:bookmarkStart w:id="14" w:name="_Toc15892"/>
      <w:bookmarkStart w:id="15" w:name="_Toc23082"/>
      <w:bookmarkStart w:id="16" w:name="_Toc403122491"/>
      <w:bookmarkStart w:id="17" w:name="_Toc426369479"/>
      <w:bookmarkStart w:id="18" w:name="_Toc26894"/>
      <w:bookmarkStart w:id="19" w:name="_Toc426369491"/>
      <w:bookmarkStart w:id="20" w:name="_Toc403122503"/>
      <w:r>
        <w:rPr>
          <w:rFonts w:hint="eastAsia" w:ascii="宋体" w:hAnsi="宋体" w:eastAsia="宋体" w:cs="宋体"/>
          <w:sz w:val="24"/>
          <w:szCs w:val="24"/>
        </w:rPr>
        <w:t>1. 总则</w:t>
      </w:r>
      <w:bookmarkEnd w:id="12"/>
      <w:bookmarkEnd w:id="13"/>
      <w:bookmarkEnd w:id="14"/>
      <w:bookmarkEnd w:id="15"/>
      <w:bookmarkEnd w:id="16"/>
      <w:bookmarkEnd w:id="17"/>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21" w:name="_Toc403122492"/>
      <w:bookmarkStart w:id="22" w:name="_Toc426369480"/>
      <w:bookmarkStart w:id="23" w:name="_Toc274249575"/>
      <w:bookmarkStart w:id="24" w:name="_Toc279599771"/>
      <w:r>
        <w:rPr>
          <w:rFonts w:hint="eastAsia" w:ascii="宋体" w:hAnsi="宋体" w:eastAsia="宋体" w:cs="宋体"/>
          <w:b/>
          <w:bCs/>
          <w:sz w:val="24"/>
          <w:szCs w:val="24"/>
        </w:rPr>
        <w:t>1.1 项目概况</w:t>
      </w:r>
      <w:bookmarkEnd w:id="21"/>
      <w:bookmarkEnd w:id="22"/>
      <w:bookmarkEnd w:id="23"/>
      <w:bookmarkEnd w:id="24"/>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根据</w:t>
      </w:r>
      <w:r>
        <w:rPr>
          <w:rFonts w:hint="eastAsia" w:ascii="宋体" w:hAnsi="宋体" w:eastAsia="宋体" w:cs="宋体"/>
          <w:bCs/>
          <w:sz w:val="24"/>
          <w:szCs w:val="24"/>
        </w:rPr>
        <w:t>《中华人民共和国政府采购法》</w:t>
      </w:r>
      <w:r>
        <w:rPr>
          <w:rFonts w:hint="eastAsia" w:ascii="宋体" w:hAnsi="宋体" w:eastAsia="宋体" w:cs="宋体"/>
          <w:sz w:val="24"/>
          <w:szCs w:val="24"/>
        </w:rPr>
        <w:t xml:space="preserve">等有关法律、法规和规章的规定，本招标项目已具备招标条件，现对本招标项目进行公开招标。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1.1.2  本招标项目采购人：见供应商须知前附表。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1.1.3  本招标项目采购代理机构：见供应商须知前附表。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1.1.4  本招标项目名称：见供应商须知前附表。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25" w:name="_Toc403122493"/>
      <w:bookmarkStart w:id="26" w:name="_Toc274249576"/>
      <w:bookmarkStart w:id="27" w:name="_Toc426369481"/>
      <w:bookmarkStart w:id="28" w:name="_Toc279599772"/>
      <w:r>
        <w:rPr>
          <w:rFonts w:hint="eastAsia" w:ascii="宋体" w:hAnsi="宋体" w:eastAsia="宋体" w:cs="宋体"/>
          <w:b/>
          <w:bCs/>
          <w:sz w:val="24"/>
          <w:szCs w:val="24"/>
        </w:rPr>
        <w:t>1.2 资金来源和落实情况</w:t>
      </w:r>
      <w:bookmarkEnd w:id="25"/>
      <w:bookmarkEnd w:id="26"/>
      <w:bookmarkEnd w:id="27"/>
      <w:bookmarkEnd w:id="28"/>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1.2.1  本招标项目的资金来源：见供应商须知前附表。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1.2.2  本招标项目的资金落实情况：见供应商须知前附表。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29" w:name="_Toc426369482"/>
      <w:bookmarkStart w:id="30" w:name="_Toc403122494"/>
      <w:bookmarkStart w:id="31" w:name="_Toc274249577"/>
      <w:bookmarkStart w:id="32" w:name="_Toc279599773"/>
      <w:r>
        <w:rPr>
          <w:rFonts w:hint="eastAsia" w:ascii="宋体" w:hAnsi="宋体" w:eastAsia="宋体" w:cs="宋体"/>
          <w:b/>
          <w:bCs/>
          <w:sz w:val="24"/>
          <w:szCs w:val="24"/>
        </w:rPr>
        <w:t>1.3 采购内容、</w:t>
      </w:r>
      <w:r>
        <w:rPr>
          <w:rFonts w:hint="eastAsia" w:ascii="宋体" w:hAnsi="宋体" w:cs="宋体"/>
          <w:b/>
          <w:bCs/>
          <w:sz w:val="24"/>
          <w:szCs w:val="24"/>
          <w:lang w:eastAsia="zh-CN"/>
        </w:rPr>
        <w:t>合同履行期限</w:t>
      </w:r>
      <w:r>
        <w:rPr>
          <w:rFonts w:hint="eastAsia" w:ascii="宋体" w:hAnsi="宋体" w:eastAsia="宋体" w:cs="宋体"/>
          <w:b/>
          <w:bCs/>
          <w:sz w:val="24"/>
          <w:szCs w:val="24"/>
        </w:rPr>
        <w:t>和质量</w:t>
      </w:r>
      <w:bookmarkEnd w:id="29"/>
      <w:bookmarkEnd w:id="30"/>
      <w:bookmarkEnd w:id="31"/>
      <w:bookmarkEnd w:id="32"/>
      <w:r>
        <w:rPr>
          <w:rFonts w:hint="eastAsia" w:ascii="宋体" w:hAnsi="宋体" w:eastAsia="宋体" w:cs="宋体"/>
          <w:b/>
          <w:bCs/>
          <w:sz w:val="24"/>
          <w:szCs w:val="24"/>
        </w:rPr>
        <w:t>标准</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1.3.1  本次招标采购内容：见供应商须知前附表。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  本次招标的</w:t>
      </w:r>
      <w:r>
        <w:rPr>
          <w:rFonts w:hint="eastAsia" w:ascii="宋体" w:hAnsi="宋体" w:cs="宋体"/>
          <w:sz w:val="24"/>
          <w:szCs w:val="24"/>
          <w:lang w:eastAsia="zh-CN"/>
        </w:rPr>
        <w:t>合同履行期限（</w:t>
      </w:r>
      <w:r>
        <w:rPr>
          <w:rFonts w:hint="eastAsia" w:ascii="宋体" w:hAnsi="宋体" w:eastAsia="宋体" w:cs="宋体"/>
          <w:sz w:val="24"/>
          <w:szCs w:val="24"/>
          <w:lang w:eastAsia="zh-CN"/>
        </w:rPr>
        <w:t>供货安装期</w:t>
      </w:r>
      <w:r>
        <w:rPr>
          <w:rFonts w:hint="eastAsia" w:ascii="宋体" w:hAnsi="宋体" w:cs="宋体"/>
          <w:sz w:val="24"/>
          <w:szCs w:val="24"/>
          <w:lang w:eastAsia="zh-CN"/>
        </w:rPr>
        <w:t>）</w:t>
      </w:r>
      <w:r>
        <w:rPr>
          <w:rFonts w:hint="eastAsia" w:ascii="宋体" w:hAnsi="宋体" w:eastAsia="宋体" w:cs="宋体"/>
          <w:sz w:val="24"/>
          <w:szCs w:val="24"/>
        </w:rPr>
        <w:t xml:space="preserve">：见供应商须知前附表。 </w:t>
      </w:r>
    </w:p>
    <w:p>
      <w:pPr>
        <w:keepNext w:val="0"/>
        <w:keepLines w:val="0"/>
        <w:pageBreakBefore w:val="0"/>
        <w:tabs>
          <w:tab w:val="right" w:pos="9040"/>
        </w:tabs>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1.3.3  本次招标的质量要求：见供应商须知前附表。 </w:t>
      </w:r>
    </w:p>
    <w:p>
      <w:pPr>
        <w:keepNext w:val="0"/>
        <w:keepLines w:val="0"/>
        <w:pageBreakBefore w:val="0"/>
        <w:tabs>
          <w:tab w:val="right" w:pos="9040"/>
        </w:tabs>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1.3.4  本次招标的质保期要求：见供应商须知前附表。 </w:t>
      </w:r>
      <w:r>
        <w:rPr>
          <w:rFonts w:hint="eastAsia" w:ascii="宋体" w:hAnsi="宋体" w:eastAsia="宋体" w:cs="宋体"/>
          <w:sz w:val="24"/>
          <w:szCs w:val="24"/>
        </w:rPr>
        <w:tab/>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33" w:name="_Toc403122495"/>
      <w:bookmarkStart w:id="34" w:name="_Toc426369483"/>
      <w:bookmarkStart w:id="35" w:name="_Toc279599774"/>
      <w:bookmarkStart w:id="36" w:name="_Toc274249578"/>
      <w:r>
        <w:rPr>
          <w:rFonts w:hint="eastAsia" w:ascii="宋体" w:hAnsi="宋体" w:eastAsia="宋体" w:cs="宋体"/>
          <w:b/>
          <w:bCs/>
          <w:sz w:val="24"/>
          <w:szCs w:val="24"/>
        </w:rPr>
        <w:t>1.4 供应商资格要求</w:t>
      </w:r>
      <w:bookmarkEnd w:id="33"/>
      <w:bookmarkEnd w:id="34"/>
      <w:bookmarkEnd w:id="35"/>
      <w:bookmarkEnd w:id="36"/>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1.4.1 供应商应具备承担本招标项目的资质条件。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（1）供应商资质条件：见供应商须知前附表；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bookmarkStart w:id="37" w:name="_Toc279599775"/>
      <w:bookmarkStart w:id="38" w:name="_Toc274249579"/>
      <w:bookmarkStart w:id="39" w:name="_Toc403122496"/>
      <w:r>
        <w:rPr>
          <w:rFonts w:hint="eastAsia" w:ascii="宋体" w:hAnsi="宋体" w:eastAsia="宋体" w:cs="宋体"/>
          <w:sz w:val="24"/>
          <w:szCs w:val="24"/>
        </w:rPr>
        <w:t>1.4.2 本次招标不接受联合体投标。</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40" w:name="_Toc426369484"/>
      <w:r>
        <w:rPr>
          <w:rFonts w:hint="eastAsia" w:ascii="宋体" w:hAnsi="宋体" w:eastAsia="宋体" w:cs="宋体"/>
          <w:b/>
          <w:bCs/>
          <w:sz w:val="24"/>
          <w:szCs w:val="24"/>
        </w:rPr>
        <w:t>1.5 费用承担</w:t>
      </w:r>
      <w:bookmarkEnd w:id="37"/>
      <w:bookmarkEnd w:id="38"/>
      <w:bookmarkEnd w:id="39"/>
      <w:bookmarkEnd w:id="40"/>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供应商准备和参加投标活动发生的费用自理。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41" w:name="_Toc403122497"/>
      <w:bookmarkStart w:id="42" w:name="_Toc426369485"/>
      <w:r>
        <w:rPr>
          <w:rFonts w:hint="eastAsia" w:ascii="宋体" w:hAnsi="宋体" w:eastAsia="宋体" w:cs="宋体"/>
          <w:b/>
          <w:bCs/>
          <w:sz w:val="24"/>
          <w:szCs w:val="24"/>
        </w:rPr>
        <w:t>1.6 保密</w:t>
      </w:r>
      <w:bookmarkEnd w:id="41"/>
      <w:bookmarkEnd w:id="42"/>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参与招标投标活动的各方应对招标文件和投标文件中的商业和技术等秘密保密，违者应对由此造成的后果承担法律责任。</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43" w:name="_Toc274249581"/>
      <w:bookmarkStart w:id="44" w:name="_Toc279599777"/>
      <w:bookmarkStart w:id="45" w:name="_Toc426369486"/>
      <w:bookmarkStart w:id="46" w:name="_Toc403122498"/>
      <w:r>
        <w:rPr>
          <w:rFonts w:hint="eastAsia" w:ascii="宋体" w:hAnsi="宋体" w:eastAsia="宋体" w:cs="宋体"/>
          <w:b/>
          <w:bCs/>
          <w:sz w:val="24"/>
          <w:szCs w:val="24"/>
        </w:rPr>
        <w:t>1.7 语言文字</w:t>
      </w:r>
      <w:bookmarkEnd w:id="43"/>
      <w:bookmarkEnd w:id="44"/>
      <w:bookmarkEnd w:id="45"/>
      <w:bookmarkEnd w:id="46"/>
      <w:r>
        <w:rPr>
          <w:rFonts w:hint="eastAsia" w:ascii="宋体" w:hAnsi="宋体" w:eastAsia="宋体" w:cs="宋体"/>
          <w:b/>
          <w:bCs/>
          <w:sz w:val="24"/>
          <w:szCs w:val="24"/>
        </w:rPr>
        <w:t xml:space="preserve">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采购文件以及投标人与采购人、采购代理机构就有关投标事宜的所有来往函电均应使用简体中文书写。</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7" w:name="_Toc426369487"/>
      <w:bookmarkStart w:id="48" w:name="_Toc403122499"/>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1.8 计量单位</w:t>
      </w:r>
      <w:bookmarkEnd w:id="47"/>
      <w:bookmarkEnd w:id="48"/>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1.8.1关于投标计量单位，采购文件已有明确规定的，使用采购文件规定的计量单位；采购文件没有规定的，应采用中华人民共和国法定计量单位。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1.8.2本响应性文件所表述的时间均为北京时间。</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49" w:name="_Toc279599779"/>
      <w:bookmarkStart w:id="50" w:name="_Toc403122500"/>
      <w:bookmarkStart w:id="51" w:name="_Toc274249583"/>
      <w:bookmarkStart w:id="52" w:name="_Toc426369488"/>
      <w:r>
        <w:rPr>
          <w:rFonts w:hint="eastAsia" w:ascii="宋体" w:hAnsi="宋体" w:eastAsia="宋体" w:cs="宋体"/>
          <w:b/>
          <w:bCs/>
          <w:sz w:val="24"/>
          <w:szCs w:val="24"/>
        </w:rPr>
        <w:t>1.9 踏勘现场</w:t>
      </w:r>
      <w:bookmarkEnd w:id="49"/>
      <w:bookmarkEnd w:id="50"/>
      <w:bookmarkEnd w:id="51"/>
      <w:bookmarkEnd w:id="52"/>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1.9.1  由于项目特殊性，本次招标需供应商自行勘查。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53" w:name="_Toc274249584"/>
      <w:bookmarkStart w:id="54" w:name="_Toc426369489"/>
      <w:bookmarkStart w:id="55" w:name="_Toc403122501"/>
      <w:bookmarkStart w:id="56" w:name="_Toc279599780"/>
      <w:r>
        <w:rPr>
          <w:rFonts w:hint="eastAsia" w:ascii="宋体" w:hAnsi="宋体" w:eastAsia="宋体" w:cs="宋体"/>
          <w:b/>
          <w:bCs/>
          <w:sz w:val="24"/>
          <w:szCs w:val="24"/>
        </w:rPr>
        <w:t>1.10 投标预备会</w:t>
      </w:r>
      <w:bookmarkEnd w:id="53"/>
      <w:bookmarkEnd w:id="54"/>
      <w:bookmarkEnd w:id="55"/>
      <w:bookmarkEnd w:id="56"/>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1.10.1 本次招标不召开投标预备会。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1.10.2 供应商应在供应商须知前附表规定的时间前，以书面形式将提出的问题送达招标代理人。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1.10.3 采购人在供应商须知前附表规定的时间内，将对供应商所提问题的澄清，以书面方式通知所有已领取招标文件的供应商。该澄清内容为招标文件的组成部分。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57" w:name="_Toc274249585"/>
      <w:bookmarkStart w:id="58" w:name="_Toc403122502"/>
      <w:bookmarkStart w:id="59" w:name="_Toc426369490"/>
      <w:bookmarkStart w:id="60" w:name="_Toc279599781"/>
      <w:r>
        <w:rPr>
          <w:rFonts w:hint="eastAsia" w:ascii="宋体" w:hAnsi="宋体" w:eastAsia="宋体" w:cs="宋体"/>
          <w:b/>
          <w:bCs/>
          <w:sz w:val="24"/>
          <w:szCs w:val="24"/>
        </w:rPr>
        <w:t>1.11 分包</w:t>
      </w:r>
      <w:bookmarkEnd w:id="57"/>
      <w:bookmarkEnd w:id="58"/>
      <w:bookmarkEnd w:id="59"/>
      <w:bookmarkEnd w:id="60"/>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本次招标项目不允许分包。 </w:t>
      </w:r>
    </w:p>
    <w:p>
      <w:pPr>
        <w:pStyle w:val="28"/>
        <w:keepNext w:val="0"/>
        <w:keepLines w:val="0"/>
        <w:pageBreakBefore w:val="0"/>
        <w:kinsoku/>
        <w:wordWrap/>
        <w:overflowPunct/>
        <w:topLinePunct w:val="0"/>
        <w:bidi w:val="0"/>
        <w:snapToGrid/>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61" w:name="_Toc27006"/>
      <w:bookmarkStart w:id="62" w:name="_Toc28663"/>
      <w:bookmarkStart w:id="63" w:name="_Toc9121"/>
      <w:r>
        <w:rPr>
          <w:rFonts w:hint="eastAsia" w:ascii="宋体" w:hAnsi="宋体" w:eastAsia="宋体" w:cs="宋体"/>
          <w:sz w:val="24"/>
          <w:szCs w:val="24"/>
        </w:rPr>
        <w:t>2. 招标文件</w:t>
      </w:r>
      <w:bookmarkEnd w:id="18"/>
      <w:bookmarkEnd w:id="19"/>
      <w:bookmarkEnd w:id="20"/>
      <w:bookmarkEnd w:id="61"/>
      <w:bookmarkEnd w:id="62"/>
      <w:bookmarkEnd w:id="63"/>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64" w:name="_Toc274249587"/>
      <w:bookmarkStart w:id="65" w:name="_Toc426369492"/>
      <w:bookmarkStart w:id="66" w:name="_Toc279599783"/>
      <w:bookmarkStart w:id="67" w:name="_Toc403122504"/>
      <w:r>
        <w:rPr>
          <w:rFonts w:hint="eastAsia" w:ascii="宋体" w:hAnsi="宋体" w:eastAsia="宋体" w:cs="宋体"/>
          <w:b/>
          <w:bCs/>
          <w:sz w:val="24"/>
          <w:szCs w:val="24"/>
        </w:rPr>
        <w:t>2.1 招标文件的组成</w:t>
      </w:r>
      <w:bookmarkEnd w:id="64"/>
      <w:bookmarkEnd w:id="65"/>
      <w:bookmarkEnd w:id="66"/>
      <w:bookmarkEnd w:id="67"/>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本招标文件包括： </w:t>
      </w:r>
    </w:p>
    <w:p>
      <w:pPr>
        <w:keepNext w:val="0"/>
        <w:keepLines w:val="0"/>
        <w:pageBreakBefore w:val="0"/>
        <w:numPr>
          <w:ilvl w:val="0"/>
          <w:numId w:val="4"/>
        </w:numPr>
        <w:tabs>
          <w:tab w:val="left" w:pos="525"/>
          <w:tab w:val="left" w:pos="630"/>
        </w:tabs>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招标公告；</w:t>
      </w:r>
    </w:p>
    <w:p>
      <w:pPr>
        <w:keepNext w:val="0"/>
        <w:keepLines w:val="0"/>
        <w:pageBreakBefore w:val="0"/>
        <w:numPr>
          <w:ilvl w:val="0"/>
          <w:numId w:val="4"/>
        </w:numPr>
        <w:tabs>
          <w:tab w:val="left" w:pos="525"/>
          <w:tab w:val="left" w:pos="630"/>
        </w:tabs>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供应商须知； </w:t>
      </w:r>
    </w:p>
    <w:p>
      <w:pPr>
        <w:keepNext w:val="0"/>
        <w:keepLines w:val="0"/>
        <w:pageBreakBefore w:val="0"/>
        <w:numPr>
          <w:ilvl w:val="0"/>
          <w:numId w:val="4"/>
        </w:numPr>
        <w:tabs>
          <w:tab w:val="left" w:pos="525"/>
          <w:tab w:val="left" w:pos="630"/>
        </w:tabs>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评标办法（综合评分法）； </w:t>
      </w:r>
    </w:p>
    <w:p>
      <w:pPr>
        <w:keepNext w:val="0"/>
        <w:keepLines w:val="0"/>
        <w:pageBreakBefore w:val="0"/>
        <w:numPr>
          <w:ilvl w:val="0"/>
          <w:numId w:val="4"/>
        </w:numPr>
        <w:tabs>
          <w:tab w:val="left" w:pos="525"/>
          <w:tab w:val="left" w:pos="630"/>
        </w:tabs>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合同条款及格式； </w:t>
      </w:r>
    </w:p>
    <w:p>
      <w:pPr>
        <w:keepNext w:val="0"/>
        <w:keepLines w:val="0"/>
        <w:pageBreakBefore w:val="0"/>
        <w:numPr>
          <w:ilvl w:val="0"/>
          <w:numId w:val="4"/>
        </w:numPr>
        <w:tabs>
          <w:tab w:val="left" w:pos="525"/>
          <w:tab w:val="left" w:pos="630"/>
        </w:tabs>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采购需求及参数；</w:t>
      </w:r>
    </w:p>
    <w:p>
      <w:pPr>
        <w:keepNext w:val="0"/>
        <w:keepLines w:val="0"/>
        <w:pageBreakBefore w:val="0"/>
        <w:numPr>
          <w:ilvl w:val="0"/>
          <w:numId w:val="4"/>
        </w:numPr>
        <w:tabs>
          <w:tab w:val="left" w:pos="525"/>
          <w:tab w:val="left" w:pos="630"/>
        </w:tabs>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投标文件格式；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根据本章第 1.10 款、第 2.2 款和第2.3款对招标文件所作的澄清、修改，构成招标文件的组成部分。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68" w:name="_Toc403122505"/>
      <w:bookmarkStart w:id="69" w:name="_Toc279599784"/>
      <w:bookmarkStart w:id="70" w:name="_Toc426369493"/>
      <w:bookmarkStart w:id="71" w:name="_Toc274249588"/>
      <w:r>
        <w:rPr>
          <w:rFonts w:hint="eastAsia" w:ascii="宋体" w:hAnsi="宋体" w:eastAsia="宋体" w:cs="宋体"/>
          <w:b/>
          <w:bCs/>
          <w:sz w:val="24"/>
          <w:szCs w:val="24"/>
        </w:rPr>
        <w:t>2.2 招标文件的澄清</w:t>
      </w:r>
      <w:bookmarkEnd w:id="68"/>
      <w:bookmarkEnd w:id="69"/>
      <w:bookmarkEnd w:id="70"/>
      <w:bookmarkEnd w:id="71"/>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2.2.3 供应商在收到澄清后，应在供应商须知前附表规定的时间内以书面形式通知采购人，确认已收到该澄清。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72" w:name="_Toc274249589"/>
      <w:bookmarkStart w:id="73" w:name="_Toc403122506"/>
      <w:bookmarkStart w:id="74" w:name="_Toc279599785"/>
      <w:bookmarkStart w:id="75" w:name="_Toc426369494"/>
      <w:r>
        <w:rPr>
          <w:rFonts w:hint="eastAsia" w:ascii="宋体" w:hAnsi="宋体" w:eastAsia="宋体" w:cs="宋体"/>
          <w:b/>
          <w:bCs/>
          <w:sz w:val="24"/>
          <w:szCs w:val="24"/>
        </w:rPr>
        <w:t>2.3 招标文件的修改</w:t>
      </w:r>
      <w:bookmarkEnd w:id="72"/>
      <w:bookmarkEnd w:id="73"/>
      <w:bookmarkEnd w:id="74"/>
      <w:bookmarkEnd w:id="75"/>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2.3.1  在投标截止时间 15天前，采购人可以书面形式修改招标文件，并通知所有已购买招标文件的供应商。如果修改招标文件的时间距投标截止时间不足 15 天，相应延长投标截止时间。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2.3.2  供应商收到修改内容后，应在供应商须知前附表规定的时间内以书面形式通知采购人，确认已收到该修改。 </w:t>
      </w:r>
      <w:bookmarkStart w:id="76" w:name="_Toc403122507"/>
      <w:bookmarkStart w:id="77" w:name="_Toc426369495"/>
      <w:bookmarkStart w:id="78" w:name="_Toc23265"/>
    </w:p>
    <w:p>
      <w:pPr>
        <w:pStyle w:val="28"/>
        <w:keepNext w:val="0"/>
        <w:keepLines w:val="0"/>
        <w:pageBreakBefore w:val="0"/>
        <w:kinsoku/>
        <w:wordWrap/>
        <w:overflowPunct/>
        <w:topLinePunct w:val="0"/>
        <w:bidi w:val="0"/>
        <w:snapToGrid/>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79" w:name="_Toc13865"/>
      <w:bookmarkStart w:id="80" w:name="_Toc226"/>
      <w:bookmarkStart w:id="81" w:name="_Toc22914"/>
      <w:r>
        <w:rPr>
          <w:rFonts w:hint="eastAsia" w:ascii="宋体" w:hAnsi="宋体" w:eastAsia="宋体" w:cs="宋体"/>
          <w:sz w:val="24"/>
          <w:szCs w:val="24"/>
        </w:rPr>
        <w:t>3. 投标文件</w:t>
      </w:r>
      <w:bookmarkEnd w:id="76"/>
      <w:bookmarkEnd w:id="77"/>
      <w:bookmarkEnd w:id="78"/>
      <w:bookmarkEnd w:id="79"/>
      <w:bookmarkEnd w:id="80"/>
      <w:bookmarkEnd w:id="81"/>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82" w:name="_Toc279599787"/>
      <w:bookmarkStart w:id="83" w:name="_Toc274249591"/>
      <w:bookmarkStart w:id="84" w:name="_Toc426369496"/>
      <w:bookmarkStart w:id="85" w:name="_Toc403122508"/>
      <w:r>
        <w:rPr>
          <w:rFonts w:hint="eastAsia" w:ascii="宋体" w:hAnsi="宋体" w:eastAsia="宋体" w:cs="宋体"/>
          <w:b/>
          <w:bCs/>
          <w:sz w:val="24"/>
          <w:szCs w:val="24"/>
        </w:rPr>
        <w:t>3.1 投标文件的组成</w:t>
      </w:r>
      <w:bookmarkEnd w:id="82"/>
      <w:bookmarkEnd w:id="83"/>
      <w:bookmarkEnd w:id="84"/>
      <w:bookmarkEnd w:id="85"/>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3.1.1 投标文件应包括下列内容：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bookmarkStart w:id="86" w:name="_Toc279599788"/>
      <w:bookmarkStart w:id="87" w:name="_Toc403122509"/>
      <w:bookmarkStart w:id="88" w:name="_Toc426369497"/>
      <w:bookmarkStart w:id="89" w:name="_Toc274249592"/>
      <w:r>
        <w:rPr>
          <w:rFonts w:hint="eastAsia" w:ascii="宋体" w:hAnsi="宋体" w:eastAsia="宋体" w:cs="宋体"/>
          <w:sz w:val="24"/>
          <w:szCs w:val="24"/>
        </w:rPr>
        <w:t>一、投标函及开标一览表</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（一）投标函</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（二）开标一览表</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（三）报价明细表</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三、授权委托书</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四、项目实施方案等</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五、资格证明文件；</w:t>
      </w:r>
    </w:p>
    <w:p>
      <w:pPr>
        <w:keepNext w:val="0"/>
        <w:keepLines w:val="0"/>
        <w:pageBreakBefore w:val="0"/>
        <w:kinsoku/>
        <w:wordWrap/>
        <w:overflowPunct/>
        <w:topLinePunct w:val="0"/>
        <w:bidi w:val="0"/>
        <w:snapToGrid/>
        <w:spacing w:line="500" w:lineRule="exact"/>
        <w:ind w:firstLine="480" w:firstLineChars="200"/>
        <w:rPr>
          <w:rFonts w:hint="default" w:ascii="宋体" w:hAnsi="宋体" w:eastAsia="宋体" w:cs="宋体"/>
          <w:sz w:val="24"/>
          <w:szCs w:val="24"/>
        </w:rPr>
      </w:pPr>
      <w:r>
        <w:rPr>
          <w:rFonts w:hint="eastAsia" w:ascii="宋体" w:hAnsi="宋体" w:eastAsia="宋体" w:cs="宋体"/>
          <w:sz w:val="24"/>
          <w:szCs w:val="24"/>
        </w:rPr>
        <w:t>六、供应商服务承诺和优惠承诺</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七、供应商所投产品属于当期政府采购清单规定的节能环保产品的证明材料；</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八、中小企业声明函（如为中小企业）；</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九、残疾人福利性单位声明函（如有）；</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十、招标文件要求的或投标人认为需要加以说明的其他内容。</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 投标报价</w:t>
      </w:r>
      <w:bookmarkEnd w:id="86"/>
      <w:bookmarkEnd w:id="87"/>
      <w:bookmarkEnd w:id="88"/>
      <w:bookmarkEnd w:id="89"/>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w:t>
      </w:r>
      <w:r>
        <w:rPr>
          <w:rFonts w:hint="eastAsia" w:ascii="宋体" w:hAnsi="宋体" w:cs="宋体"/>
          <w:sz w:val="24"/>
          <w:szCs w:val="24"/>
          <w:lang w:eastAsia="zh-CN"/>
        </w:rPr>
        <w:t>投标</w:t>
      </w:r>
      <w:r>
        <w:rPr>
          <w:rFonts w:hint="eastAsia" w:ascii="宋体" w:hAnsi="宋体" w:eastAsia="宋体" w:cs="宋体"/>
          <w:sz w:val="24"/>
          <w:szCs w:val="24"/>
        </w:rPr>
        <w:t>文件将被作为非响应性投标而予以拒绝。</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3.2.2投标报价在中标后不得修改。</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3.2.3供应商只能提出一个不变价格，采购人不接受任何选择价。</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3.2.4供应商必须对招标范围内的所有货物投标，不允许只对其中一种或几种货物投标。</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3.2.5全部报价均应以人民币为计量币种，并以人民币进行结算。</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3.2.6投标报价原则是各供应商依据自身实力、管理水平，结合企业所在地区的人工工资标准，在确保项目质量，确保项目成本的基础上，自主报价、自负盈亏。</w:t>
      </w:r>
    </w:p>
    <w:p>
      <w:pPr>
        <w:keepNext w:val="0"/>
        <w:keepLines w:val="0"/>
        <w:pageBreakBefore w:val="0"/>
        <w:widowControl/>
        <w:kinsoku/>
        <w:wordWrap/>
        <w:overflowPunct/>
        <w:topLinePunct w:val="0"/>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90" w:name="_Toc403122510"/>
      <w:bookmarkStart w:id="91" w:name="_Toc426369498"/>
      <w:bookmarkStart w:id="92" w:name="_Toc279599789"/>
      <w:bookmarkStart w:id="93" w:name="_Toc274249593"/>
      <w:r>
        <w:rPr>
          <w:rFonts w:hint="eastAsia" w:ascii="宋体" w:hAnsi="宋体" w:eastAsia="宋体" w:cs="宋体"/>
          <w:b/>
          <w:bCs/>
          <w:sz w:val="24"/>
          <w:szCs w:val="24"/>
        </w:rPr>
        <w:t>3.3 投标有效期</w:t>
      </w:r>
      <w:bookmarkEnd w:id="90"/>
      <w:bookmarkEnd w:id="91"/>
      <w:bookmarkEnd w:id="92"/>
      <w:bookmarkEnd w:id="93"/>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3.3.1在供应商须知前附表规定的投标有效期内，供应商不得要求撤销或修改其投标文件。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94" w:name="_Toc279599791"/>
      <w:bookmarkStart w:id="95" w:name="_Toc274249595"/>
      <w:bookmarkStart w:id="96" w:name="_Toc426369501"/>
      <w:bookmarkStart w:id="97" w:name="_Toc403122512"/>
      <w:r>
        <w:rPr>
          <w:rFonts w:hint="eastAsia" w:ascii="宋体" w:hAnsi="宋体" w:eastAsia="宋体" w:cs="宋体"/>
          <w:b/>
          <w:bCs/>
          <w:sz w:val="24"/>
          <w:szCs w:val="24"/>
        </w:rPr>
        <w:t>3.5 资格审查资料</w:t>
      </w:r>
      <w:bookmarkEnd w:id="94"/>
      <w:bookmarkEnd w:id="95"/>
      <w:bookmarkEnd w:id="96"/>
      <w:bookmarkEnd w:id="97"/>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3.5.1</w:t>
      </w:r>
      <w:r>
        <w:rPr>
          <w:rFonts w:hint="eastAsia" w:ascii="宋体" w:hAnsi="宋体" w:eastAsia="宋体" w:cs="宋体"/>
          <w:kern w:val="0"/>
          <w:sz w:val="24"/>
          <w:szCs w:val="24"/>
        </w:rPr>
        <w:t>依</w:t>
      </w:r>
      <w:r>
        <w:rPr>
          <w:rFonts w:hint="eastAsia" w:ascii="宋体" w:hAnsi="宋体" w:eastAsia="宋体" w:cs="宋体"/>
          <w:kern w:val="0"/>
          <w:sz w:val="24"/>
          <w:szCs w:val="24"/>
          <w:highlight w:val="none"/>
        </w:rPr>
        <w:t>据“投标人须知”</w:t>
      </w:r>
      <w:r>
        <w:rPr>
          <w:rFonts w:hint="eastAsia" w:ascii="宋体" w:hAnsi="宋体" w:eastAsia="宋体" w:cs="宋体"/>
          <w:kern w:val="0"/>
          <w:sz w:val="24"/>
          <w:szCs w:val="24"/>
        </w:rPr>
        <w:t>中的要求提交相应的资格证明文件，作为投标文件的一部分，以证明其有资格进行投标和有能力履行合同</w:t>
      </w:r>
      <w:r>
        <w:rPr>
          <w:rFonts w:hint="eastAsia" w:ascii="宋体" w:hAnsi="宋体" w:eastAsia="宋体" w:cs="宋体"/>
          <w:sz w:val="24"/>
          <w:szCs w:val="24"/>
        </w:rPr>
        <w:t xml:space="preserve">。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3.5.2招标文件规定的供应商资格条件。</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98" w:name="_Toc403122513"/>
      <w:bookmarkStart w:id="99" w:name="_Toc274249596"/>
      <w:bookmarkStart w:id="100" w:name="_Toc426369502"/>
      <w:bookmarkStart w:id="101" w:name="_Toc279599792"/>
      <w:r>
        <w:rPr>
          <w:rFonts w:hint="eastAsia" w:ascii="宋体" w:hAnsi="宋体" w:eastAsia="宋体" w:cs="宋体"/>
          <w:b/>
          <w:bCs/>
          <w:sz w:val="24"/>
          <w:szCs w:val="24"/>
        </w:rPr>
        <w:t>3.6 备选投标方案</w:t>
      </w:r>
      <w:bookmarkEnd w:id="98"/>
      <w:bookmarkEnd w:id="99"/>
      <w:bookmarkEnd w:id="100"/>
      <w:bookmarkEnd w:id="101"/>
    </w:p>
    <w:p>
      <w:pPr>
        <w:keepNext w:val="0"/>
        <w:keepLines w:val="0"/>
        <w:pageBreakBefore w:val="0"/>
        <w:tabs>
          <w:tab w:val="left" w:pos="3570"/>
        </w:tabs>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供应商不得递交备选投标方案。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02" w:name="_Toc279599793"/>
      <w:bookmarkStart w:id="103" w:name="_Toc426369503"/>
      <w:bookmarkStart w:id="104" w:name="_Toc403122514"/>
      <w:bookmarkStart w:id="105" w:name="_Toc274249597"/>
      <w:r>
        <w:rPr>
          <w:rFonts w:hint="eastAsia" w:ascii="宋体" w:hAnsi="宋体" w:eastAsia="宋体" w:cs="宋体"/>
          <w:b/>
          <w:bCs/>
          <w:sz w:val="24"/>
          <w:szCs w:val="24"/>
        </w:rPr>
        <w:t>3.7 投标文件的编制</w:t>
      </w:r>
      <w:bookmarkEnd w:id="102"/>
      <w:bookmarkEnd w:id="103"/>
      <w:bookmarkEnd w:id="104"/>
      <w:bookmarkEnd w:id="105"/>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3.7.1 投标文件应按招标文件中要求</w:t>
      </w:r>
      <w:r>
        <w:rPr>
          <w:rFonts w:hint="eastAsia" w:ascii="宋体" w:hAnsi="宋体" w:eastAsia="宋体" w:cs="宋体"/>
          <w:kern w:val="0"/>
          <w:sz w:val="24"/>
          <w:szCs w:val="24"/>
        </w:rPr>
        <w:t>使用焦作市公共资源交易系统投标文件制作专用工具软件编制</w:t>
      </w:r>
      <w:r>
        <w:rPr>
          <w:rFonts w:hint="eastAsia" w:ascii="宋体" w:hAnsi="宋体" w:eastAsia="宋体" w:cs="宋体"/>
          <w:sz w:val="24"/>
          <w:szCs w:val="24"/>
        </w:rPr>
        <w:t xml:space="preserve">。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3.7.2  投标文件应当对招标文件有关供货安装期、投标有效期、质量标准、采购要求及服务内容、等实质性内容作出响应。</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3.7.3 </w:t>
      </w:r>
      <w:r>
        <w:rPr>
          <w:rFonts w:hint="eastAsia" w:ascii="宋体" w:hAnsi="宋体" w:eastAsia="宋体" w:cs="宋体"/>
          <w:kern w:val="0"/>
          <w:sz w:val="24"/>
          <w:szCs w:val="24"/>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28"/>
        <w:keepNext w:val="0"/>
        <w:keepLines w:val="0"/>
        <w:pageBreakBefore w:val="0"/>
        <w:kinsoku/>
        <w:wordWrap/>
        <w:overflowPunct/>
        <w:topLinePunct w:val="0"/>
        <w:bidi w:val="0"/>
        <w:snapToGrid/>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106" w:name="_Toc31809"/>
      <w:bookmarkStart w:id="107" w:name="_Toc12797"/>
      <w:bookmarkStart w:id="108" w:name="_Toc426369504"/>
      <w:bookmarkStart w:id="109" w:name="_Toc26998"/>
      <w:bookmarkStart w:id="110" w:name="_Toc30100"/>
      <w:bookmarkStart w:id="111" w:name="_Toc403122515"/>
      <w:r>
        <w:rPr>
          <w:rFonts w:hint="eastAsia" w:ascii="宋体" w:hAnsi="宋体" w:eastAsia="宋体" w:cs="宋体"/>
          <w:sz w:val="24"/>
          <w:szCs w:val="24"/>
        </w:rPr>
        <w:t>4. 投标</w:t>
      </w:r>
      <w:bookmarkEnd w:id="106"/>
      <w:bookmarkEnd w:id="107"/>
      <w:bookmarkEnd w:id="108"/>
      <w:bookmarkEnd w:id="109"/>
      <w:bookmarkEnd w:id="110"/>
      <w:bookmarkEnd w:id="111"/>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12" w:name="_Toc403122516"/>
      <w:bookmarkStart w:id="113" w:name="_Toc426369505"/>
      <w:bookmarkStart w:id="114" w:name="_Toc274249599"/>
      <w:bookmarkStart w:id="115" w:name="_Toc279599795"/>
      <w:r>
        <w:rPr>
          <w:rFonts w:hint="eastAsia" w:ascii="宋体" w:hAnsi="宋体" w:eastAsia="宋体" w:cs="宋体"/>
          <w:b/>
          <w:bCs/>
          <w:sz w:val="24"/>
          <w:szCs w:val="24"/>
        </w:rPr>
        <w:t>4.1 投标文件的密封和标记</w:t>
      </w:r>
      <w:bookmarkEnd w:id="112"/>
      <w:bookmarkEnd w:id="113"/>
      <w:bookmarkEnd w:id="114"/>
      <w:bookmarkEnd w:id="115"/>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4.1.1.本项目采用</w:t>
      </w:r>
      <w:r>
        <w:rPr>
          <w:rFonts w:hint="eastAsia" w:ascii="宋体" w:hAnsi="宋体" w:eastAsia="宋体" w:cs="宋体"/>
          <w:kern w:val="0"/>
          <w:sz w:val="24"/>
          <w:szCs w:val="24"/>
          <w:lang w:val="zh-CN"/>
        </w:rPr>
        <w:t>网上上传的电子投标文件</w:t>
      </w:r>
      <w:r>
        <w:rPr>
          <w:rFonts w:hint="eastAsia" w:ascii="宋体" w:hAnsi="宋体" w:eastAsia="宋体" w:cs="宋体"/>
          <w:kern w:val="0"/>
          <w:sz w:val="24"/>
          <w:szCs w:val="24"/>
        </w:rPr>
        <w:t>,</w:t>
      </w:r>
      <w:r>
        <w:rPr>
          <w:rFonts w:hint="eastAsia" w:ascii="宋体" w:hAnsi="宋体" w:eastAsia="宋体" w:cs="宋体"/>
          <w:kern w:val="0"/>
          <w:sz w:val="24"/>
          <w:szCs w:val="24"/>
          <w:lang w:val="zh-CN"/>
        </w:rPr>
        <w:t>应使用数字证书认证并加密。</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16" w:name="_Toc279599796"/>
      <w:bookmarkStart w:id="117" w:name="_Toc403122517"/>
      <w:bookmarkStart w:id="118" w:name="_Toc274249600"/>
      <w:bookmarkStart w:id="119" w:name="_Toc426369506"/>
      <w:r>
        <w:rPr>
          <w:rFonts w:hint="eastAsia" w:ascii="宋体" w:hAnsi="宋体" w:eastAsia="宋体" w:cs="宋体"/>
          <w:b/>
          <w:bCs/>
          <w:sz w:val="24"/>
          <w:szCs w:val="24"/>
        </w:rPr>
        <w:t>4.2 投标文件的递交</w:t>
      </w:r>
      <w:bookmarkEnd w:id="116"/>
      <w:bookmarkEnd w:id="117"/>
      <w:bookmarkEnd w:id="118"/>
      <w:bookmarkEnd w:id="119"/>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rPr>
        <w:t>4.2.1</w:t>
      </w:r>
      <w:r>
        <w:rPr>
          <w:rFonts w:hint="eastAsia" w:ascii="宋体" w:hAnsi="宋体" w:eastAsia="宋体" w:cs="宋体"/>
          <w:kern w:val="0"/>
          <w:sz w:val="24"/>
          <w:szCs w:val="24"/>
          <w:lang w:val="zh-CN"/>
        </w:rPr>
        <w:t>所有投标文件必须在本招标文件中规定的投标截止时间之前</w:t>
      </w:r>
      <w:r>
        <w:rPr>
          <w:rFonts w:hint="eastAsia" w:ascii="宋体" w:hAnsi="宋体" w:eastAsia="宋体" w:cs="宋体"/>
          <w:kern w:val="0"/>
          <w:sz w:val="24"/>
          <w:szCs w:val="24"/>
        </w:rPr>
        <w:t>提前上传，按要求</w:t>
      </w:r>
      <w:r>
        <w:rPr>
          <w:rFonts w:hint="eastAsia" w:ascii="宋体" w:hAnsi="宋体" w:eastAsia="宋体" w:cs="宋体"/>
          <w:sz w:val="24"/>
          <w:szCs w:val="24"/>
        </w:rPr>
        <w:t>在线签到、解密文件等，解密时间为投标截止时后30分钟内，</w:t>
      </w:r>
      <w:r>
        <w:rPr>
          <w:rFonts w:hint="eastAsia" w:ascii="宋体" w:hAnsi="宋体" w:eastAsia="宋体" w:cs="宋体"/>
          <w:kern w:val="0"/>
          <w:sz w:val="24"/>
          <w:szCs w:val="24"/>
        </w:rPr>
        <w:t>不能按时上传、解密者视为自动放弃投标。</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4.2.</w:t>
      </w:r>
      <w:r>
        <w:rPr>
          <w:rFonts w:hint="eastAsia" w:ascii="宋体" w:hAnsi="宋体" w:eastAsia="宋体" w:cs="宋体"/>
          <w:kern w:val="0"/>
          <w:sz w:val="24"/>
          <w:szCs w:val="24"/>
          <w:lang w:val="zh-CN"/>
        </w:rPr>
        <w:t>2.采购人拒绝接收在投标文件递交截止时间后上传的投标文件。</w:t>
      </w:r>
      <w:bookmarkStart w:id="120" w:name="_Hlt26954862"/>
      <w:bookmarkEnd w:id="120"/>
      <w:bookmarkStart w:id="121" w:name="_Hlt26954754"/>
      <w:bookmarkEnd w:id="121"/>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22" w:name="_Toc403122518"/>
      <w:bookmarkStart w:id="123" w:name="_Toc274249601"/>
      <w:bookmarkStart w:id="124" w:name="_Toc426369507"/>
      <w:bookmarkStart w:id="125" w:name="_Toc279599797"/>
      <w:r>
        <w:rPr>
          <w:rFonts w:hint="eastAsia" w:ascii="宋体" w:hAnsi="宋体" w:eastAsia="宋体" w:cs="宋体"/>
          <w:b/>
          <w:bCs/>
          <w:sz w:val="24"/>
          <w:szCs w:val="24"/>
        </w:rPr>
        <w:t>4.3 投标文件的修改与撤回</w:t>
      </w:r>
      <w:bookmarkEnd w:id="122"/>
      <w:bookmarkEnd w:id="123"/>
      <w:bookmarkEnd w:id="124"/>
      <w:bookmarkEnd w:id="125"/>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4.3.1  在本章第 2.2.2 项规定的投标截止时间前，供应商可以修改或撤回已递交的投标文件。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4.3.2  供应商修改或撤回已递交投标文件的书面通知应按照本章第 3.7.3 项的要求签字盖章。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4.3.3  修改的内容为投标文件的组成部分。修改的投标文件应按照本章第 3 条、第 4 条规定进行编制、密封、标记和递交，并标明“修改”字样。 </w:t>
      </w:r>
    </w:p>
    <w:p>
      <w:pPr>
        <w:pStyle w:val="28"/>
        <w:keepNext w:val="0"/>
        <w:keepLines w:val="0"/>
        <w:pageBreakBefore w:val="0"/>
        <w:kinsoku/>
        <w:wordWrap/>
        <w:overflowPunct/>
        <w:topLinePunct w:val="0"/>
        <w:bidi w:val="0"/>
        <w:snapToGrid/>
        <w:spacing w:before="120" w:after="120" w:line="500" w:lineRule="exact"/>
        <w:ind w:right="-1029" w:rightChars="-490" w:firstLine="482" w:firstLineChars="200"/>
        <w:jc w:val="left"/>
        <w:outlineLvl w:val="1"/>
        <w:rPr>
          <w:rFonts w:hint="eastAsia" w:ascii="宋体" w:hAnsi="宋体" w:eastAsia="宋体" w:cs="宋体"/>
          <w:sz w:val="24"/>
          <w:szCs w:val="24"/>
        </w:rPr>
      </w:pPr>
      <w:bookmarkStart w:id="126" w:name="_Toc11336"/>
      <w:bookmarkStart w:id="127" w:name="_Toc403122519"/>
      <w:bookmarkStart w:id="128" w:name="_Toc426369508"/>
      <w:bookmarkStart w:id="129" w:name="_Toc5457"/>
      <w:bookmarkStart w:id="130" w:name="_Toc18170"/>
      <w:bookmarkStart w:id="131" w:name="_Toc32449"/>
      <w:r>
        <w:rPr>
          <w:rFonts w:hint="eastAsia" w:ascii="宋体" w:hAnsi="宋体" w:eastAsia="宋体" w:cs="宋体"/>
          <w:sz w:val="24"/>
          <w:szCs w:val="24"/>
        </w:rPr>
        <w:t>5. 开标</w:t>
      </w:r>
      <w:bookmarkEnd w:id="126"/>
      <w:bookmarkEnd w:id="127"/>
      <w:bookmarkEnd w:id="128"/>
      <w:bookmarkEnd w:id="129"/>
      <w:bookmarkEnd w:id="130"/>
      <w:bookmarkEnd w:id="131"/>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所有投标文件必须在本招标文件中规定的投标截止时间之前提前上传投标文件，按要求解密投标文件，不能按时上传、解密者视为自动放弃投标。</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5.1.2投标人不足3家的，不得开标。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32" w:name="_Toc426369509"/>
      <w:bookmarkStart w:id="133" w:name="_Toc274249603"/>
      <w:bookmarkStart w:id="134" w:name="_Toc403122520"/>
      <w:bookmarkStart w:id="135" w:name="_Toc279599799"/>
      <w:r>
        <w:rPr>
          <w:rFonts w:hint="eastAsia" w:ascii="宋体" w:hAnsi="宋体" w:eastAsia="宋体" w:cs="宋体"/>
          <w:b/>
          <w:bCs/>
          <w:sz w:val="24"/>
          <w:szCs w:val="24"/>
        </w:rPr>
        <w:t>5.2 开标时间和地点</w:t>
      </w:r>
      <w:bookmarkEnd w:id="132"/>
      <w:bookmarkEnd w:id="133"/>
      <w:bookmarkEnd w:id="134"/>
      <w:bookmarkEnd w:id="135"/>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采购人在本章第 2.2.2 项规定的投标截止时间（开标时间）和供应商须知前附表规定的地点公开开标。</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36" w:name="_Toc426369510"/>
      <w:bookmarkStart w:id="137" w:name="_Toc274249604"/>
      <w:bookmarkStart w:id="138" w:name="_Toc279599800"/>
      <w:bookmarkStart w:id="139" w:name="_Toc403122521"/>
      <w:r>
        <w:rPr>
          <w:rFonts w:hint="eastAsia" w:ascii="宋体" w:hAnsi="宋体" w:eastAsia="宋体" w:cs="宋体"/>
          <w:b/>
          <w:bCs/>
          <w:sz w:val="24"/>
          <w:szCs w:val="24"/>
        </w:rPr>
        <w:t>5.3开标程序</w:t>
      </w:r>
      <w:bookmarkEnd w:id="136"/>
      <w:bookmarkEnd w:id="137"/>
      <w:bookmarkEnd w:id="138"/>
      <w:bookmarkEnd w:id="139"/>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bookmarkStart w:id="140" w:name="_Toc426369511"/>
      <w:r>
        <w:rPr>
          <w:rFonts w:hint="eastAsia" w:ascii="宋体" w:hAnsi="宋体" w:eastAsia="宋体" w:cs="宋体"/>
          <w:sz w:val="24"/>
          <w:szCs w:val="24"/>
        </w:rPr>
        <w:t>5.3</w:t>
      </w:r>
      <w:r>
        <w:rPr>
          <w:rFonts w:hint="eastAsia" w:ascii="宋体" w:hAnsi="宋体" w:eastAsia="宋体" w:cs="宋体"/>
          <w:sz w:val="24"/>
          <w:szCs w:val="24"/>
          <w:lang w:val="zh-CN"/>
        </w:rPr>
        <w:t>.1本</w:t>
      </w:r>
      <w:r>
        <w:rPr>
          <w:rFonts w:hint="eastAsia" w:ascii="宋体" w:hAnsi="宋体" w:eastAsia="宋体" w:cs="宋体"/>
          <w:sz w:val="24"/>
          <w:szCs w:val="24"/>
        </w:rPr>
        <w:t>项目</w:t>
      </w:r>
      <w:r>
        <w:rPr>
          <w:rFonts w:hint="eastAsia" w:ascii="宋体" w:hAnsi="宋体" w:eastAsia="宋体" w:cs="宋体"/>
          <w:sz w:val="24"/>
          <w:szCs w:val="24"/>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主持人按下列程序进行开标：</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）宣布投标截止时间已到，不再接收投标文件；</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）宣布开标人、唱标人、记录人、监标人等有关人员姓名；</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）电子投标文件解密；</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）宣布投标文件开标顺序，电子唱标并记录在案；</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）投标人代表、采购人、监标人等有关人员在开标记录上签字确认；</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）开标结束。</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5.3.</w:t>
      </w:r>
      <w:r>
        <w:rPr>
          <w:rFonts w:hint="eastAsia" w:ascii="宋体" w:hAnsi="宋体" w:eastAsia="宋体" w:cs="宋体"/>
          <w:sz w:val="24"/>
          <w:szCs w:val="24"/>
        </w:rPr>
        <w:t>2</w:t>
      </w:r>
      <w:r>
        <w:rPr>
          <w:rFonts w:hint="eastAsia" w:ascii="宋体" w:hAnsi="宋体" w:eastAsia="宋体" w:cs="宋体"/>
          <w:sz w:val="24"/>
          <w:szCs w:val="24"/>
          <w:lang w:val="zh-CN"/>
        </w:rPr>
        <w:t>开标时出现下列情况的，采购人将拒绝其投标文件</w:t>
      </w:r>
      <w:r>
        <w:rPr>
          <w:rFonts w:hint="eastAsia" w:ascii="宋体" w:hAnsi="宋体" w:cs="宋体"/>
          <w:sz w:val="24"/>
          <w:szCs w:val="24"/>
          <w:lang w:val="zh-CN"/>
        </w:rPr>
        <w:t>：</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（1）经检查数字证书无效的投标文件；</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（2）投标人未按投标人须知前附表规定的时间内解密投标文件的</w:t>
      </w:r>
      <w:r>
        <w:rPr>
          <w:rFonts w:hint="eastAsia" w:ascii="宋体" w:hAnsi="宋体" w:cs="宋体"/>
          <w:sz w:val="24"/>
          <w:szCs w:val="24"/>
          <w:lang w:val="zh-CN"/>
        </w:rPr>
        <w:t>。</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5.4开标异议</w:t>
      </w:r>
      <w:bookmarkEnd w:id="140"/>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bookmarkStart w:id="141" w:name="_Toc12881"/>
      <w:bookmarkStart w:id="142" w:name="_Toc426369512"/>
      <w:bookmarkStart w:id="143" w:name="_Toc403122522"/>
      <w:bookmarkStart w:id="144" w:name="_Toc21662"/>
      <w:r>
        <w:rPr>
          <w:rFonts w:hint="eastAsia" w:ascii="宋体" w:hAnsi="宋体" w:eastAsia="宋体" w:cs="宋体"/>
          <w:sz w:val="24"/>
          <w:szCs w:val="24"/>
        </w:rPr>
        <w:t>5.4.1</w:t>
      </w:r>
      <w:r>
        <w:rPr>
          <w:rFonts w:hint="eastAsia" w:ascii="宋体" w:hAnsi="宋体" w:eastAsia="宋体" w:cs="宋体"/>
          <w:sz w:val="24"/>
          <w:szCs w:val="24"/>
          <w:lang w:val="zh-CN"/>
        </w:rPr>
        <w:t>投标人对开标有异议的，应当在开标现场提出（</w:t>
      </w:r>
      <w:bookmarkStart w:id="145" w:name="_Toc12998"/>
      <w:r>
        <w:rPr>
          <w:rFonts w:hint="eastAsia" w:ascii="宋体" w:hAnsi="宋体" w:eastAsia="宋体" w:cs="宋体"/>
          <w:sz w:val="24"/>
          <w:szCs w:val="24"/>
          <w:lang w:val="zh-CN"/>
        </w:rPr>
        <w:t>语音异议</w:t>
      </w:r>
      <w:bookmarkEnd w:id="145"/>
      <w:r>
        <w:rPr>
          <w:rFonts w:hint="eastAsia" w:ascii="宋体" w:hAnsi="宋体" w:eastAsia="宋体" w:cs="宋体"/>
          <w:sz w:val="24"/>
          <w:szCs w:val="24"/>
          <w:lang w:val="zh-CN"/>
        </w:rPr>
        <w:t>、</w:t>
      </w:r>
      <w:bookmarkStart w:id="146" w:name="_Toc20745"/>
      <w:r>
        <w:rPr>
          <w:rFonts w:hint="eastAsia" w:ascii="宋体" w:hAnsi="宋体" w:eastAsia="宋体" w:cs="宋体"/>
          <w:sz w:val="24"/>
          <w:szCs w:val="24"/>
          <w:lang w:val="zh-CN"/>
        </w:rPr>
        <w:t>文字异议</w:t>
      </w:r>
      <w:bookmarkEnd w:id="146"/>
      <w:r>
        <w:rPr>
          <w:rFonts w:hint="eastAsia" w:ascii="宋体" w:hAnsi="宋体" w:eastAsia="宋体" w:cs="宋体"/>
          <w:sz w:val="24"/>
          <w:szCs w:val="24"/>
          <w:lang w:val="zh-CN"/>
        </w:rPr>
        <w:t>），</w:t>
      </w:r>
      <w:r>
        <w:rPr>
          <w:rFonts w:hint="eastAsia" w:ascii="宋体" w:hAnsi="宋体" w:eastAsia="宋体" w:cs="宋体"/>
          <w:sz w:val="24"/>
          <w:szCs w:val="24"/>
        </w:rPr>
        <w:t>采购</w:t>
      </w:r>
      <w:r>
        <w:rPr>
          <w:rFonts w:hint="eastAsia" w:ascii="宋体" w:hAnsi="宋体" w:eastAsia="宋体" w:cs="宋体"/>
          <w:sz w:val="24"/>
          <w:szCs w:val="24"/>
          <w:lang w:val="zh-CN"/>
        </w:rPr>
        <w:t>人当场作出答复，并制作记录。</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5.4.2</w:t>
      </w:r>
      <w:r>
        <w:rPr>
          <w:rFonts w:hint="eastAsia" w:ascii="宋体" w:hAnsi="宋体" w:eastAsia="宋体" w:cs="宋体"/>
          <w:sz w:val="24"/>
          <w:szCs w:val="24"/>
          <w:lang w:val="zh-CN"/>
        </w:rPr>
        <w:t>开标异常处理</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当出现以下情况时，应对未开标的项目中止电子开标，对原有资料及信息作出妥善保密处理，并在恢复正常后及时安排时间开标：</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）系统服务器发生故障，无法访问或无法使用系统；</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zh-CN"/>
        </w:rPr>
        <w:t>系统的软件或数据库出现错误，不能进行正常操作；</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）系统发现有安全漏洞，有潜在的泄密危险；</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）出现断电事故且短时间内无法恢复供电；</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 xml:space="preserve">（5） </w:t>
      </w:r>
      <w:r>
        <w:rPr>
          <w:rFonts w:hint="eastAsia" w:ascii="宋体" w:hAnsi="宋体" w:eastAsia="宋体" w:cs="宋体"/>
          <w:sz w:val="24"/>
          <w:szCs w:val="24"/>
          <w:lang w:val="zh-CN"/>
        </w:rPr>
        <w:t>其他无法保证招投标过程正常进行的情形</w:t>
      </w:r>
      <w:r>
        <w:rPr>
          <w:rFonts w:hint="eastAsia" w:ascii="宋体" w:hAnsi="宋体" w:cs="宋体"/>
          <w:sz w:val="24"/>
          <w:szCs w:val="24"/>
          <w:lang w:val="zh-CN"/>
        </w:rPr>
        <w:t>。</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w:t>
      </w:r>
      <w:bookmarkStart w:id="147" w:name="_Toc13445"/>
      <w:bookmarkStart w:id="148" w:name="_Toc9927"/>
      <w:r>
        <w:rPr>
          <w:rFonts w:hint="eastAsia" w:ascii="宋体" w:hAnsi="宋体" w:eastAsia="宋体" w:cs="宋体"/>
          <w:b/>
          <w:bCs/>
          <w:sz w:val="24"/>
          <w:szCs w:val="24"/>
        </w:rPr>
        <w:t>5</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资格审查工作</w:t>
      </w:r>
      <w:bookmarkEnd w:id="147"/>
      <w:bookmarkEnd w:id="148"/>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bookmarkStart w:id="149" w:name="_Toc15919"/>
      <w:bookmarkStart w:id="150" w:name="_Toc18806"/>
      <w:bookmarkStart w:id="151" w:name="_Toc18803"/>
      <w:bookmarkStart w:id="152" w:name="_Toc22488"/>
      <w:bookmarkStart w:id="153" w:name="_Toc25275"/>
      <w:bookmarkStart w:id="154" w:name="_Toc18888"/>
      <w:bookmarkStart w:id="155" w:name="_Toc25448"/>
      <w:r>
        <w:rPr>
          <w:rFonts w:hint="eastAsia" w:ascii="宋体" w:hAnsi="宋体" w:eastAsia="宋体" w:cs="宋体"/>
          <w:sz w:val="24"/>
          <w:szCs w:val="24"/>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9"/>
      <w:bookmarkEnd w:id="150"/>
      <w:bookmarkEnd w:id="151"/>
      <w:bookmarkEnd w:id="152"/>
      <w:bookmarkEnd w:id="153"/>
      <w:bookmarkEnd w:id="154"/>
      <w:bookmarkEnd w:id="155"/>
    </w:p>
    <w:p>
      <w:pPr>
        <w:pStyle w:val="28"/>
        <w:keepNext w:val="0"/>
        <w:keepLines w:val="0"/>
        <w:pageBreakBefore w:val="0"/>
        <w:kinsoku/>
        <w:wordWrap/>
        <w:overflowPunct/>
        <w:topLinePunct w:val="0"/>
        <w:bidi w:val="0"/>
        <w:snapToGrid/>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156" w:name="_Toc6889"/>
      <w:bookmarkStart w:id="157" w:name="_Toc31294"/>
      <w:r>
        <w:rPr>
          <w:rFonts w:hint="eastAsia" w:ascii="宋体" w:hAnsi="宋体" w:eastAsia="宋体" w:cs="宋体"/>
          <w:sz w:val="24"/>
          <w:szCs w:val="24"/>
        </w:rPr>
        <w:t>6.评标</w:t>
      </w:r>
      <w:bookmarkEnd w:id="141"/>
      <w:bookmarkEnd w:id="142"/>
      <w:bookmarkEnd w:id="143"/>
      <w:bookmarkEnd w:id="144"/>
      <w:bookmarkEnd w:id="156"/>
      <w:bookmarkEnd w:id="157"/>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58" w:name="_Toc403122523"/>
      <w:bookmarkStart w:id="159" w:name="_Toc426369513"/>
      <w:bookmarkStart w:id="160" w:name="_Toc279599802"/>
      <w:bookmarkStart w:id="161" w:name="_Toc274249606"/>
      <w:r>
        <w:rPr>
          <w:rFonts w:hint="eastAsia" w:ascii="宋体" w:hAnsi="宋体" w:eastAsia="宋体" w:cs="宋体"/>
          <w:b/>
          <w:bCs/>
          <w:sz w:val="24"/>
          <w:szCs w:val="24"/>
        </w:rPr>
        <w:t>6.1 评标委员会</w:t>
      </w:r>
      <w:bookmarkEnd w:id="158"/>
      <w:bookmarkEnd w:id="159"/>
      <w:bookmarkEnd w:id="160"/>
      <w:bookmarkEnd w:id="161"/>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6.1.1  评标由采购人依法组建的评标委员会负责。评标委员会由采购人代表和评审专家组成。评标委员会成员人数以及评审专家的确定方式见供应商须知前附表。</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6.1.2  评标委员会成员有下列情形之一的，应当回避：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供应商</w:t>
      </w:r>
      <w:r>
        <w:rPr>
          <w:rFonts w:hint="eastAsia" w:ascii="宋体" w:hAnsi="宋体" w:eastAsia="宋体" w:cs="宋体"/>
          <w:sz w:val="24"/>
          <w:szCs w:val="24"/>
        </w:rPr>
        <w:t xml:space="preserve">或供应商的主要负责人的近亲属；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（2）项目主管部门或者行政监督部门的人员；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（3）与供应商有经济利益关系，可能影响对投标公正评审的；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（4）曾因在招标、评标以及其他与招标投标有关活动中从事违法行为而受过行政处罚或刑事处罚的。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62" w:name="_Toc426369514"/>
      <w:bookmarkStart w:id="163" w:name="_Toc403122524"/>
      <w:bookmarkStart w:id="164" w:name="_Toc274249607"/>
      <w:bookmarkStart w:id="165" w:name="_Toc279599803"/>
      <w:r>
        <w:rPr>
          <w:rFonts w:hint="eastAsia" w:ascii="宋体" w:hAnsi="宋体" w:eastAsia="宋体" w:cs="宋体"/>
          <w:b/>
          <w:bCs/>
          <w:sz w:val="24"/>
          <w:szCs w:val="24"/>
        </w:rPr>
        <w:t>6.2 评标原则</w:t>
      </w:r>
      <w:bookmarkEnd w:id="162"/>
      <w:bookmarkEnd w:id="163"/>
      <w:bookmarkEnd w:id="164"/>
      <w:bookmarkEnd w:id="165"/>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评标活动遵循公平、公正、科学和择优的原则。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sz w:val="24"/>
          <w:szCs w:val="24"/>
        </w:rPr>
      </w:pPr>
      <w:bookmarkStart w:id="166" w:name="_Toc274249608"/>
      <w:bookmarkStart w:id="167" w:name="_Toc403122525"/>
      <w:bookmarkStart w:id="168" w:name="_Toc279599804"/>
      <w:bookmarkStart w:id="169" w:name="_Toc426369515"/>
      <w:r>
        <w:rPr>
          <w:rFonts w:hint="eastAsia" w:ascii="宋体" w:hAnsi="宋体" w:eastAsia="宋体" w:cs="宋体"/>
          <w:b/>
          <w:bCs/>
          <w:sz w:val="24"/>
          <w:szCs w:val="24"/>
        </w:rPr>
        <w:t>6.3 评标</w:t>
      </w:r>
      <w:bookmarkEnd w:id="166"/>
      <w:bookmarkEnd w:id="167"/>
      <w:bookmarkEnd w:id="168"/>
      <w:bookmarkEnd w:id="169"/>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6.3.1在评审过程中，评标委员会发现投标人有下列情形之一的，视为投标人相互串通投标，按照无效投标处理并依据法律、法规追究其相关责任。具体表现形式如下：</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不</w:t>
      </w:r>
      <w:r>
        <w:rPr>
          <w:rFonts w:hint="eastAsia" w:ascii="宋体" w:hAnsi="宋体" w:eastAsia="宋体" w:cs="宋体"/>
          <w:sz w:val="24"/>
          <w:szCs w:val="24"/>
        </w:rPr>
        <w:t>同投标人的投标文件由同一单位或者个人编制；</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（6）有证据证明投标人与采购人、采购代理机构或者其他投标人串通的其他情形；</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6.3.2评标委员会应当按照招标文件中规定的评标方法和标准，对符合性审查合格的投标文件进行商务和技术评估，综合比较与评价。招标文件没有规定的评标方法、评审因素和标准，不作为评标依据。</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6.3.3评标时，评标委员会各成员应当独立对每个投标人的投标文件进行评价，并汇总每个投标人的得分。</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评标完成后，评标委员会应当向采购人提交书面评标报告和中标候选人名单。评标委员会推荐中标候选人的人数见投标人须知前附表。</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6.3.4</w:t>
      </w:r>
      <w:r>
        <w:rPr>
          <w:rFonts w:hint="eastAsia" w:ascii="宋体" w:hAnsi="宋体" w:eastAsia="宋体" w:cs="宋体"/>
          <w:sz w:val="24"/>
          <w:szCs w:val="24"/>
        </w:rPr>
        <w:t xml:space="preserve"> 评标委员会负责具体评标事务，并独立履行下列职责：</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（1）审查、评价投标文件是否符合招标文件的实质性要求；</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（2）要求投标人对投标文件有关事项作出澄清或者说明；</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（3）对投标文件进行比较和评价；</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（4）确定中标候选人名单；</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（5）向采购人、采购代理机构或者有关部门报告评标中发现的违法行为。</w:t>
      </w:r>
    </w:p>
    <w:p>
      <w:pPr>
        <w:keepNext w:val="0"/>
        <w:keepLines w:val="0"/>
        <w:pageBreakBefore w:val="0"/>
        <w:kinsoku/>
        <w:wordWrap/>
        <w:overflowPunct/>
        <w:topLinePunct w:val="0"/>
        <w:autoSpaceDE w:val="0"/>
        <w:autoSpaceDN w:val="0"/>
        <w:bidi w:val="0"/>
        <w:adjustRightInd w:val="0"/>
        <w:snapToGrid/>
        <w:spacing w:line="500" w:lineRule="exact"/>
        <w:ind w:left="237" w:right="-20"/>
        <w:jc w:val="left"/>
        <w:rPr>
          <w:rFonts w:hint="eastAsia" w:ascii="宋体" w:hAnsi="宋体" w:eastAsia="宋体" w:cs="宋体"/>
          <w:b/>
          <w:bCs/>
          <w:spacing w:val="1"/>
          <w:kern w:val="0"/>
          <w:sz w:val="24"/>
          <w:szCs w:val="24"/>
        </w:rPr>
      </w:pPr>
      <w:r>
        <w:rPr>
          <w:rFonts w:hint="eastAsia" w:ascii="宋体" w:hAnsi="宋体" w:eastAsia="宋体" w:cs="宋体"/>
          <w:b/>
          <w:bCs/>
          <w:spacing w:val="1"/>
          <w:kern w:val="0"/>
          <w:sz w:val="24"/>
          <w:szCs w:val="24"/>
        </w:rPr>
        <w:t>6.4 废标</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招标采购中，出现下列情形之一的，应予废标：</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（1）符合专业条件的投标人或者对招标文件作实质响应的投标人不足三家的；</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（3）投标人的报价均超过了采购预算，采购人不能支付的；</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（4）因重大变故，采购任务取消的。废标后，采购人应当将废标理由通知所有投标人。</w:t>
      </w:r>
    </w:p>
    <w:p>
      <w:pPr>
        <w:pStyle w:val="28"/>
        <w:keepNext w:val="0"/>
        <w:keepLines w:val="0"/>
        <w:pageBreakBefore w:val="0"/>
        <w:kinsoku/>
        <w:wordWrap/>
        <w:overflowPunct/>
        <w:topLinePunct w:val="0"/>
        <w:bidi w:val="0"/>
        <w:snapToGrid/>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170" w:name="_Toc26569"/>
      <w:bookmarkStart w:id="171" w:name="_Toc403122526"/>
      <w:bookmarkStart w:id="172" w:name="_Toc22968"/>
      <w:bookmarkStart w:id="173" w:name="_Toc26823"/>
      <w:bookmarkStart w:id="174" w:name="_Toc426369516"/>
      <w:bookmarkStart w:id="175" w:name="_Toc17811"/>
      <w:r>
        <w:rPr>
          <w:rFonts w:hint="eastAsia" w:ascii="宋体" w:hAnsi="宋体" w:eastAsia="宋体" w:cs="宋体"/>
          <w:sz w:val="24"/>
          <w:szCs w:val="24"/>
        </w:rPr>
        <w:t>7. 合同授予</w:t>
      </w:r>
      <w:bookmarkEnd w:id="170"/>
      <w:bookmarkEnd w:id="171"/>
      <w:bookmarkEnd w:id="172"/>
      <w:bookmarkEnd w:id="173"/>
      <w:bookmarkEnd w:id="174"/>
      <w:bookmarkEnd w:id="175"/>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76" w:name="_Toc403122527"/>
      <w:bookmarkStart w:id="177" w:name="_Toc279599806"/>
      <w:bookmarkStart w:id="178" w:name="_Toc426369517"/>
      <w:bookmarkStart w:id="179" w:name="_Toc274249610"/>
      <w:r>
        <w:rPr>
          <w:rFonts w:hint="eastAsia" w:ascii="宋体" w:hAnsi="宋体" w:eastAsia="宋体" w:cs="宋体"/>
          <w:b/>
          <w:bCs/>
          <w:sz w:val="24"/>
          <w:szCs w:val="24"/>
        </w:rPr>
        <w:t>7.1 定标方式</w:t>
      </w:r>
      <w:bookmarkEnd w:id="176"/>
      <w:bookmarkEnd w:id="177"/>
      <w:bookmarkEnd w:id="178"/>
      <w:bookmarkEnd w:id="179"/>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7.1.1采购人依据评标委员会推荐的中标候选人确定中标人，评标委员会推荐中标人候选人的人数见供应商须知前附表。</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7.1.2 中标或者成交投标人拒绝与采购人签订合同的，采购人可以按照</w:t>
      </w:r>
      <w:r>
        <w:rPr>
          <w:rFonts w:hint="eastAsia" w:ascii="宋体" w:hAnsi="宋体" w:eastAsia="宋体" w:cs="宋体"/>
          <w:sz w:val="24"/>
          <w:szCs w:val="24"/>
          <w:lang w:eastAsia="zh-CN"/>
        </w:rPr>
        <w:t>评标</w:t>
      </w:r>
      <w:r>
        <w:rPr>
          <w:rFonts w:hint="eastAsia" w:ascii="宋体" w:hAnsi="宋体" w:eastAsia="宋体" w:cs="宋体"/>
          <w:sz w:val="24"/>
          <w:szCs w:val="24"/>
        </w:rPr>
        <w:t>报告推荐的中标或者成交候选人名单排序，确定下一候选人为中标或者成交投标人，也可以重新开展政府采购活动。</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80" w:name="_Toc426369518"/>
      <w:bookmarkStart w:id="181" w:name="_Toc403122528"/>
      <w:bookmarkStart w:id="182" w:name="_Toc279599807"/>
      <w:bookmarkStart w:id="183" w:name="_Toc274249611"/>
      <w:r>
        <w:rPr>
          <w:rFonts w:hint="eastAsia" w:ascii="宋体" w:hAnsi="宋体" w:eastAsia="宋体" w:cs="宋体"/>
          <w:b/>
          <w:bCs/>
          <w:sz w:val="24"/>
          <w:szCs w:val="24"/>
        </w:rPr>
        <w:t>7.2 中标通知</w:t>
      </w:r>
      <w:bookmarkEnd w:id="180"/>
      <w:bookmarkEnd w:id="181"/>
      <w:bookmarkEnd w:id="182"/>
      <w:bookmarkEnd w:id="183"/>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7.2.1 在本章第3.3款规定的投标有效期内，采购人以书面形式向中标人发出中标通知书，同时将中标结果通知未中标的投标人。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7.2.2中标人在领取中标通知书后应及时到相关部门办理中标后的备案手续。</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84" w:name="_Toc274249612"/>
      <w:bookmarkStart w:id="185" w:name="_Toc311550376"/>
      <w:bookmarkStart w:id="186" w:name="_Toc279599808"/>
      <w:bookmarkStart w:id="187" w:name="_Toc426369519"/>
      <w:bookmarkStart w:id="188" w:name="_Toc403122529"/>
      <w:r>
        <w:rPr>
          <w:rFonts w:hint="eastAsia" w:ascii="宋体" w:hAnsi="宋体" w:eastAsia="宋体" w:cs="宋体"/>
          <w:b/>
          <w:bCs/>
          <w:sz w:val="24"/>
          <w:szCs w:val="24"/>
        </w:rPr>
        <w:t>7.3履约</w:t>
      </w:r>
      <w:bookmarkEnd w:id="184"/>
      <w:bookmarkEnd w:id="185"/>
      <w:bookmarkEnd w:id="186"/>
      <w:r>
        <w:rPr>
          <w:rFonts w:hint="eastAsia" w:ascii="宋体" w:hAnsi="宋体" w:eastAsia="宋体" w:cs="宋体"/>
          <w:b/>
          <w:bCs/>
          <w:sz w:val="24"/>
          <w:szCs w:val="24"/>
        </w:rPr>
        <w:t>保证金</w:t>
      </w:r>
      <w:bookmarkEnd w:id="187"/>
      <w:bookmarkEnd w:id="188"/>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7.3.1履约保证金：无</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7.3.2投标保证金：无</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89" w:name="_Toc426369520"/>
      <w:bookmarkStart w:id="190" w:name="_Toc279599809"/>
      <w:bookmarkStart w:id="191" w:name="_Toc274249613"/>
      <w:bookmarkStart w:id="192" w:name="_Toc403122530"/>
      <w:r>
        <w:rPr>
          <w:rFonts w:hint="eastAsia" w:ascii="宋体" w:hAnsi="宋体" w:eastAsia="宋体" w:cs="宋体"/>
          <w:b/>
          <w:bCs/>
          <w:sz w:val="24"/>
          <w:szCs w:val="24"/>
        </w:rPr>
        <w:t>7.4 签订合同</w:t>
      </w:r>
      <w:bookmarkEnd w:id="189"/>
      <w:bookmarkEnd w:id="190"/>
      <w:bookmarkEnd w:id="191"/>
      <w:bookmarkEnd w:id="192"/>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7.4.1 中标人的投标报价为中标</w:t>
      </w:r>
      <w:r>
        <w:rPr>
          <w:rFonts w:hint="eastAsia" w:ascii="宋体" w:hAnsi="宋体" w:eastAsia="宋体" w:cs="宋体"/>
          <w:sz w:val="24"/>
          <w:szCs w:val="24"/>
          <w:highlight w:val="none"/>
        </w:rPr>
        <w:t>价，中标价即为合同价（当中标人的投标报价高于控制价的95%时，该中标人的中标价按控制价的95%执行）。采</w:t>
      </w:r>
      <w:r>
        <w:rPr>
          <w:rFonts w:hint="eastAsia" w:ascii="宋体" w:hAnsi="宋体" w:eastAsia="宋体" w:cs="宋体"/>
          <w:sz w:val="24"/>
          <w:szCs w:val="24"/>
        </w:rPr>
        <w:t>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7.4.2 发出中标通知书后，采购人无正当理由拒签合同的，给中标人造成损失的，还应当赔偿损失。</w:t>
      </w:r>
    </w:p>
    <w:p>
      <w:pPr>
        <w:pStyle w:val="28"/>
        <w:keepNext w:val="0"/>
        <w:keepLines w:val="0"/>
        <w:pageBreakBefore w:val="0"/>
        <w:kinsoku/>
        <w:wordWrap/>
        <w:overflowPunct/>
        <w:topLinePunct w:val="0"/>
        <w:bidi w:val="0"/>
        <w:snapToGrid/>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193" w:name="_Toc10012"/>
      <w:bookmarkStart w:id="194" w:name="_Toc30009"/>
      <w:bookmarkStart w:id="195" w:name="_Toc403122531"/>
      <w:bookmarkStart w:id="196" w:name="_Toc10417"/>
      <w:bookmarkStart w:id="197" w:name="_Toc10541"/>
      <w:bookmarkStart w:id="198" w:name="_Toc426369521"/>
      <w:r>
        <w:rPr>
          <w:rFonts w:hint="eastAsia" w:ascii="宋体" w:hAnsi="宋体" w:eastAsia="宋体" w:cs="宋体"/>
          <w:sz w:val="24"/>
          <w:szCs w:val="24"/>
        </w:rPr>
        <w:t>8. 重新招标</w:t>
      </w:r>
      <w:bookmarkEnd w:id="193"/>
      <w:bookmarkEnd w:id="194"/>
      <w:bookmarkEnd w:id="195"/>
      <w:bookmarkEnd w:id="196"/>
      <w:bookmarkEnd w:id="197"/>
      <w:bookmarkEnd w:id="198"/>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199" w:name="_Toc279599811"/>
      <w:bookmarkStart w:id="200" w:name="_Toc426369522"/>
      <w:bookmarkStart w:id="201" w:name="_Toc403122532"/>
      <w:bookmarkStart w:id="202" w:name="_Toc274249615"/>
      <w:r>
        <w:rPr>
          <w:rFonts w:hint="eastAsia" w:ascii="宋体" w:hAnsi="宋体" w:eastAsia="宋体" w:cs="宋体"/>
          <w:b/>
          <w:bCs/>
          <w:sz w:val="24"/>
          <w:szCs w:val="24"/>
        </w:rPr>
        <w:t>8.1 重新招标</w:t>
      </w:r>
      <w:bookmarkEnd w:id="199"/>
      <w:bookmarkEnd w:id="200"/>
      <w:bookmarkEnd w:id="201"/>
      <w:bookmarkEnd w:id="202"/>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有下列情形之一的，采购人将重新招标：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（1）投标截止时间止，供应商少于3个的； </w:t>
      </w:r>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（2）经评标委员会评审后否决所有投标的。 </w:t>
      </w:r>
    </w:p>
    <w:p>
      <w:pPr>
        <w:pStyle w:val="28"/>
        <w:keepNext w:val="0"/>
        <w:keepLines w:val="0"/>
        <w:pageBreakBefore w:val="0"/>
        <w:kinsoku/>
        <w:wordWrap/>
        <w:overflowPunct/>
        <w:topLinePunct w:val="0"/>
        <w:bidi w:val="0"/>
        <w:snapToGrid/>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203" w:name="_Toc21696"/>
      <w:bookmarkStart w:id="204" w:name="_Toc27398"/>
      <w:bookmarkStart w:id="205" w:name="_Toc10372"/>
      <w:bookmarkStart w:id="206" w:name="_Toc3760"/>
      <w:bookmarkStart w:id="207" w:name="_Toc403122533"/>
      <w:bookmarkStart w:id="208" w:name="_Toc426369523"/>
      <w:r>
        <w:rPr>
          <w:rFonts w:hint="eastAsia" w:ascii="宋体" w:hAnsi="宋体" w:eastAsia="宋体" w:cs="宋体"/>
          <w:sz w:val="24"/>
          <w:szCs w:val="24"/>
        </w:rPr>
        <w:t>9. 纪律和监督</w:t>
      </w:r>
      <w:bookmarkEnd w:id="203"/>
      <w:bookmarkEnd w:id="204"/>
      <w:bookmarkEnd w:id="205"/>
      <w:bookmarkEnd w:id="206"/>
      <w:bookmarkEnd w:id="207"/>
      <w:bookmarkEnd w:id="208"/>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209" w:name="_Toc403122534"/>
      <w:bookmarkStart w:id="210" w:name="_Toc279599814"/>
      <w:bookmarkStart w:id="211" w:name="_Toc426369524"/>
      <w:bookmarkStart w:id="212" w:name="_Toc274249618"/>
      <w:r>
        <w:rPr>
          <w:rFonts w:hint="eastAsia" w:ascii="宋体" w:hAnsi="宋体" w:eastAsia="宋体" w:cs="宋体"/>
          <w:b/>
          <w:bCs/>
          <w:sz w:val="24"/>
          <w:szCs w:val="24"/>
        </w:rPr>
        <w:t>9.1 对采购人的纪律要求</w:t>
      </w:r>
      <w:bookmarkEnd w:id="209"/>
      <w:bookmarkEnd w:id="210"/>
      <w:bookmarkEnd w:id="211"/>
      <w:bookmarkEnd w:id="212"/>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采购人不得泄漏招标投标活动中应当保密的情况和资料，不得与供应商串通损害国家利益、社会公共利益或者他人合法权益。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213" w:name="_Toc426369525"/>
      <w:bookmarkStart w:id="214" w:name="_Toc279599815"/>
      <w:bookmarkStart w:id="215" w:name="_Toc403122535"/>
      <w:bookmarkStart w:id="216" w:name="_Toc274249619"/>
      <w:r>
        <w:rPr>
          <w:rFonts w:hint="eastAsia" w:ascii="宋体" w:hAnsi="宋体" w:eastAsia="宋体" w:cs="宋体"/>
          <w:b/>
          <w:bCs/>
          <w:sz w:val="24"/>
          <w:szCs w:val="24"/>
        </w:rPr>
        <w:t>9.2 对投标人的纪律要求</w:t>
      </w:r>
      <w:bookmarkEnd w:id="213"/>
      <w:bookmarkEnd w:id="214"/>
      <w:bookmarkEnd w:id="215"/>
      <w:bookmarkEnd w:id="216"/>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217" w:name="_Toc426369526"/>
      <w:bookmarkStart w:id="218" w:name="_Toc403122536"/>
      <w:bookmarkStart w:id="219" w:name="_Toc279599816"/>
      <w:bookmarkStart w:id="220" w:name="_Toc274249620"/>
      <w:r>
        <w:rPr>
          <w:rFonts w:hint="eastAsia" w:ascii="宋体" w:hAnsi="宋体" w:eastAsia="宋体" w:cs="宋体"/>
          <w:b/>
          <w:bCs/>
          <w:sz w:val="24"/>
          <w:szCs w:val="24"/>
        </w:rPr>
        <w:t>9.3 对评标委员会成员的纪律要求</w:t>
      </w:r>
      <w:bookmarkEnd w:id="217"/>
      <w:bookmarkEnd w:id="218"/>
      <w:bookmarkEnd w:id="219"/>
      <w:bookmarkEnd w:id="220"/>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221" w:name="_Toc426369527"/>
      <w:bookmarkStart w:id="222" w:name="_Toc403122537"/>
      <w:bookmarkStart w:id="223" w:name="_Toc279599817"/>
      <w:bookmarkStart w:id="224" w:name="_Toc274249621"/>
      <w:r>
        <w:rPr>
          <w:rFonts w:hint="eastAsia" w:ascii="宋体" w:hAnsi="宋体" w:eastAsia="宋体" w:cs="宋体"/>
          <w:b/>
          <w:bCs/>
          <w:sz w:val="24"/>
          <w:szCs w:val="24"/>
        </w:rPr>
        <w:t>9.4 对与评标活动有关的工作人员的纪律要求</w:t>
      </w:r>
      <w:bookmarkEnd w:id="221"/>
      <w:bookmarkEnd w:id="222"/>
      <w:bookmarkEnd w:id="223"/>
      <w:bookmarkEnd w:id="224"/>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sz w:val="24"/>
          <w:szCs w:val="24"/>
        </w:rPr>
      </w:pPr>
      <w:bookmarkStart w:id="225" w:name="_Toc426369528"/>
      <w:bookmarkStart w:id="226" w:name="_Toc274249622"/>
      <w:bookmarkStart w:id="227" w:name="_Toc279599818"/>
      <w:bookmarkStart w:id="228" w:name="_Toc403122538"/>
      <w:r>
        <w:rPr>
          <w:rFonts w:hint="eastAsia" w:ascii="宋体" w:hAnsi="宋体" w:eastAsia="宋体" w:cs="宋体"/>
          <w:b/>
          <w:bCs/>
          <w:sz w:val="24"/>
          <w:szCs w:val="24"/>
        </w:rPr>
        <w:t>9.5 投诉</w:t>
      </w:r>
      <w:bookmarkEnd w:id="225"/>
      <w:bookmarkEnd w:id="226"/>
      <w:bookmarkEnd w:id="227"/>
      <w:bookmarkEnd w:id="228"/>
    </w:p>
    <w:p>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供应商和其他利害关系人认为本次招标活动违反法律、法规和规章规定的，有权向有关行政监督部门投诉。 </w:t>
      </w:r>
    </w:p>
    <w:p>
      <w:pPr>
        <w:pStyle w:val="28"/>
        <w:keepNext w:val="0"/>
        <w:keepLines w:val="0"/>
        <w:pageBreakBefore w:val="0"/>
        <w:kinsoku/>
        <w:wordWrap/>
        <w:overflowPunct/>
        <w:topLinePunct w:val="0"/>
        <w:bidi w:val="0"/>
        <w:snapToGrid/>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229" w:name="_Toc25080"/>
      <w:bookmarkStart w:id="230" w:name="_Toc16026"/>
      <w:bookmarkStart w:id="231" w:name="_Toc13281"/>
      <w:bookmarkStart w:id="232" w:name="_Toc403122539"/>
      <w:bookmarkStart w:id="233" w:name="_Toc426369529"/>
      <w:bookmarkStart w:id="234" w:name="_Toc10880"/>
      <w:r>
        <w:rPr>
          <w:rFonts w:hint="eastAsia" w:ascii="宋体" w:hAnsi="宋体" w:eastAsia="宋体" w:cs="宋体"/>
          <w:sz w:val="24"/>
          <w:szCs w:val="24"/>
        </w:rPr>
        <w:t>10. 需要补充的其他内容</w:t>
      </w:r>
      <w:bookmarkEnd w:id="229"/>
      <w:bookmarkEnd w:id="230"/>
      <w:bookmarkEnd w:id="231"/>
      <w:bookmarkEnd w:id="232"/>
      <w:bookmarkEnd w:id="233"/>
      <w:bookmarkEnd w:id="234"/>
    </w:p>
    <w:p>
      <w:pPr>
        <w:keepNext w:val="0"/>
        <w:keepLines w:val="0"/>
        <w:pageBreakBefore w:val="0"/>
        <w:kinsoku/>
        <w:wordWrap/>
        <w:overflowPunct/>
        <w:topLinePunct w:val="0"/>
        <w:autoSpaceDE w:val="0"/>
        <w:autoSpaceDN w:val="0"/>
        <w:bidi w:val="0"/>
        <w:adjustRightInd w:val="0"/>
        <w:snapToGrid/>
        <w:spacing w:line="500" w:lineRule="exact"/>
        <w:ind w:firstLine="482" w:firstLineChars="200"/>
        <w:rPr>
          <w:rFonts w:hint="eastAsia" w:ascii="宋体" w:hAnsi="宋体" w:eastAsia="宋体" w:cs="宋体"/>
          <w:kern w:val="0"/>
          <w:sz w:val="24"/>
          <w:szCs w:val="24"/>
        </w:rPr>
      </w:pPr>
      <w:r>
        <w:rPr>
          <w:rFonts w:hint="eastAsia" w:ascii="宋体" w:hAnsi="宋体" w:eastAsia="宋体" w:cs="宋体"/>
          <w:b/>
          <w:kern w:val="0"/>
          <w:sz w:val="24"/>
          <w:szCs w:val="24"/>
        </w:rPr>
        <w:t>10.1 费用承担</w:t>
      </w:r>
    </w:p>
    <w:p>
      <w:pPr>
        <w:keepNext w:val="0"/>
        <w:keepLines w:val="0"/>
        <w:pageBreakBefore w:val="0"/>
        <w:kinsoku/>
        <w:wordWrap/>
        <w:overflowPunct/>
        <w:topLinePunct w:val="0"/>
        <w:autoSpaceDE w:val="0"/>
        <w:autoSpaceDN w:val="0"/>
        <w:bidi w:val="0"/>
        <w:adjustRightInd w:val="0"/>
        <w:snapToGrid/>
        <w:spacing w:line="500" w:lineRule="exact"/>
        <w:ind w:left="17" w:leftChars="8" w:firstLine="480" w:firstLineChars="200"/>
        <w:jc w:val="left"/>
        <w:rPr>
          <w:rFonts w:hint="eastAsia" w:ascii="宋体" w:hAnsi="宋体" w:eastAsia="宋体" w:cs="宋体"/>
          <w:sz w:val="24"/>
          <w:szCs w:val="24"/>
        </w:rPr>
      </w:pPr>
      <w:r>
        <w:rPr>
          <w:rFonts w:hint="eastAsia" w:ascii="宋体" w:hAnsi="宋体" w:eastAsia="宋体" w:cs="宋体"/>
          <w:sz w:val="24"/>
          <w:szCs w:val="24"/>
        </w:rPr>
        <w:t>（1）无论投标结果如何，投标人应自行承担所有参与投标的全部费用，采购人和采购代理机构在任何情况下均无义务和责任承担上述费用。</w:t>
      </w:r>
    </w:p>
    <w:p>
      <w:pPr>
        <w:keepNext w:val="0"/>
        <w:keepLines w:val="0"/>
        <w:pageBreakBefore w:val="0"/>
        <w:kinsoku/>
        <w:wordWrap/>
        <w:overflowPunct/>
        <w:topLinePunct w:val="0"/>
        <w:autoSpaceDE w:val="0"/>
        <w:autoSpaceDN w:val="0"/>
        <w:bidi w:val="0"/>
        <w:adjustRightInd w:val="0"/>
        <w:snapToGrid/>
        <w:spacing w:line="500" w:lineRule="exact"/>
        <w:ind w:firstLine="420"/>
        <w:jc w:val="left"/>
        <w:rPr>
          <w:rFonts w:hint="eastAsia" w:ascii="宋体" w:hAnsi="宋体" w:eastAsia="宋体" w:cs="宋体"/>
          <w:sz w:val="24"/>
          <w:szCs w:val="24"/>
        </w:rPr>
      </w:pPr>
      <w:r>
        <w:rPr>
          <w:rFonts w:hint="eastAsia" w:ascii="宋体" w:hAnsi="宋体" w:eastAsia="宋体" w:cs="宋体"/>
          <w:sz w:val="24"/>
          <w:szCs w:val="24"/>
        </w:rPr>
        <w:t>（2）招标代理服务费由中标人支付。</w:t>
      </w:r>
    </w:p>
    <w:p>
      <w:pPr>
        <w:keepNext w:val="0"/>
        <w:keepLines w:val="0"/>
        <w:pageBreakBefore w:val="0"/>
        <w:kinsoku/>
        <w:wordWrap/>
        <w:overflowPunct/>
        <w:topLinePunct w:val="0"/>
        <w:autoSpaceDE w:val="0"/>
        <w:autoSpaceDN w:val="0"/>
        <w:bidi w:val="0"/>
        <w:adjustRightInd w:val="0"/>
        <w:snapToGrid/>
        <w:spacing w:line="500" w:lineRule="exact"/>
        <w:ind w:firstLine="420"/>
        <w:jc w:val="left"/>
        <w:rPr>
          <w:rFonts w:hint="eastAsia" w:ascii="宋体" w:hAnsi="宋体" w:eastAsia="宋体" w:cs="宋体"/>
          <w:sz w:val="24"/>
          <w:szCs w:val="24"/>
        </w:rPr>
      </w:pPr>
      <w:r>
        <w:rPr>
          <w:rFonts w:hint="eastAsia" w:ascii="宋体" w:hAnsi="宋体" w:eastAsia="宋体" w:cs="宋体"/>
          <w:sz w:val="24"/>
          <w:szCs w:val="24"/>
        </w:rPr>
        <w:t>（3）供应商与采购人签订合同后，将合同报采购代理机构备案。</w:t>
      </w:r>
    </w:p>
    <w:p>
      <w:pPr>
        <w:pStyle w:val="5"/>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10.2本招标文件未尽事宜，按《中华人民共和国政府采购法》等法律法规的有关规定执行。</w:t>
      </w:r>
    </w:p>
    <w:p>
      <w:pPr>
        <w:pStyle w:val="16"/>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6"/>
        <w:pageBreakBefore w:val="0"/>
        <w:numPr>
          <w:ilvl w:val="0"/>
          <w:numId w:val="5"/>
        </w:numPr>
        <w:kinsoku/>
        <w:wordWrap/>
        <w:overflowPunct/>
        <w:topLinePunct w:val="0"/>
        <w:autoSpaceDE/>
        <w:autoSpaceDN/>
        <w:bidi w:val="0"/>
        <w:adjustRightInd/>
        <w:snapToGrid/>
        <w:spacing w:line="500" w:lineRule="exact"/>
        <w:textAlignment w:val="auto"/>
        <w:rPr>
          <w:sz w:val="32"/>
          <w:szCs w:val="32"/>
        </w:rPr>
      </w:pPr>
      <w:bookmarkStart w:id="235" w:name="_Toc426369530"/>
      <w:bookmarkStart w:id="236" w:name="_Toc403122540"/>
      <w:bookmarkStart w:id="237" w:name="_Toc28433"/>
      <w:bookmarkStart w:id="238" w:name="_Toc8251"/>
      <w:bookmarkStart w:id="239" w:name="_Toc25260"/>
      <w:r>
        <w:rPr>
          <w:rFonts w:hint="eastAsia"/>
          <w:sz w:val="32"/>
          <w:szCs w:val="32"/>
        </w:rPr>
        <w:t>评标办法</w:t>
      </w:r>
      <w:bookmarkEnd w:id="235"/>
      <w:bookmarkEnd w:id="236"/>
      <w:bookmarkEnd w:id="237"/>
      <w:r>
        <w:rPr>
          <w:rFonts w:hint="eastAsia"/>
          <w:sz w:val="32"/>
          <w:szCs w:val="32"/>
        </w:rPr>
        <w:t>（综合评分法）</w:t>
      </w:r>
      <w:bookmarkEnd w:id="238"/>
      <w:bookmarkEnd w:id="239"/>
    </w:p>
    <w:p>
      <w:pPr>
        <w:pStyle w:val="45"/>
        <w:pageBreakBefore w:val="0"/>
        <w:kinsoku/>
        <w:wordWrap/>
        <w:overflowPunct/>
        <w:topLinePunct w:val="0"/>
        <w:autoSpaceDE/>
        <w:autoSpaceDN/>
        <w:bidi w:val="0"/>
        <w:adjustRightInd/>
        <w:snapToGrid/>
        <w:spacing w:line="500" w:lineRule="exact"/>
        <w:jc w:val="center"/>
        <w:textAlignment w:val="auto"/>
        <w:outlineLvl w:val="1"/>
        <w:rPr>
          <w:rFonts w:asciiTheme="minorEastAsia" w:hAnsiTheme="minorEastAsia" w:eastAsiaTheme="minorEastAsia" w:cstheme="minorEastAsia"/>
          <w:b/>
          <w:bCs/>
          <w:sz w:val="28"/>
          <w:szCs w:val="28"/>
        </w:rPr>
      </w:pPr>
      <w:bookmarkStart w:id="240" w:name="_Toc29947"/>
      <w:bookmarkStart w:id="241" w:name="_Toc30933"/>
      <w:bookmarkStart w:id="242" w:name="_Toc9561"/>
      <w:bookmarkStart w:id="243" w:name="_Toc17859"/>
      <w:bookmarkStart w:id="244" w:name="_Toc21885"/>
      <w:bookmarkStart w:id="245" w:name="_Toc16529"/>
      <w:bookmarkStart w:id="246" w:name="_Toc2761070"/>
      <w:r>
        <w:rPr>
          <w:rFonts w:hint="eastAsia" w:asciiTheme="minorEastAsia" w:hAnsiTheme="minorEastAsia" w:eastAsiaTheme="minorEastAsia" w:cstheme="minorEastAsia"/>
          <w:b/>
          <w:bCs/>
          <w:sz w:val="28"/>
          <w:szCs w:val="28"/>
        </w:rPr>
        <w:t>评分办法前附表</w:t>
      </w:r>
      <w:bookmarkEnd w:id="240"/>
      <w:bookmarkEnd w:id="241"/>
      <w:bookmarkEnd w:id="242"/>
      <w:bookmarkEnd w:id="243"/>
      <w:bookmarkEnd w:id="244"/>
    </w:p>
    <w:bookmarkEnd w:id="245"/>
    <w:tbl>
      <w:tblPr>
        <w:tblStyle w:val="32"/>
        <w:tblpPr w:leftFromText="180" w:rightFromText="180" w:vertAnchor="text" w:horzAnchor="page" w:tblpX="1063" w:tblpY="363"/>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38"/>
        <w:gridCol w:w="2033"/>
        <w:gridCol w:w="5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bookmarkStart w:id="247" w:name="_Toc403122541"/>
            <w:bookmarkStart w:id="248" w:name="_Toc31084"/>
            <w:bookmarkStart w:id="249" w:name="_Toc426369531"/>
            <w:r>
              <w:rPr>
                <w:rFonts w:hint="eastAsia" w:ascii="宋体" w:hAnsi="宋体" w:eastAsia="宋体" w:cs="宋体"/>
                <w:b/>
                <w:bCs/>
                <w:sz w:val="24"/>
                <w:szCs w:val="24"/>
              </w:rPr>
              <w:t>审查主体</w:t>
            </w:r>
          </w:p>
        </w:tc>
        <w:tc>
          <w:tcPr>
            <w:tcW w:w="3071"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2"/>
              <w:jc w:val="center"/>
              <w:textAlignment w:val="auto"/>
              <w:rPr>
                <w:rFonts w:hint="eastAsia" w:ascii="宋体" w:hAnsi="宋体" w:eastAsia="宋体" w:cs="宋体"/>
                <w:b/>
                <w:sz w:val="24"/>
                <w:szCs w:val="24"/>
              </w:rPr>
            </w:pPr>
            <w:r>
              <w:rPr>
                <w:rFonts w:hint="eastAsia" w:ascii="宋体" w:hAnsi="宋体" w:eastAsia="宋体" w:cs="宋体"/>
                <w:b/>
                <w:sz w:val="24"/>
                <w:szCs w:val="24"/>
              </w:rPr>
              <w:t>评审因素</w:t>
            </w:r>
          </w:p>
        </w:tc>
        <w:tc>
          <w:tcPr>
            <w:tcW w:w="5710" w:type="dxa"/>
            <w:vAlign w:val="center"/>
          </w:tcPr>
          <w:p>
            <w:pPr>
              <w:keepNext w:val="0"/>
              <w:keepLines w:val="0"/>
              <w:pageBreakBefore w:val="0"/>
              <w:widowControl w:val="0"/>
              <w:tabs>
                <w:tab w:val="left" w:pos="417"/>
                <w:tab w:val="center" w:pos="2999"/>
              </w:tabs>
              <w:kinsoku/>
              <w:wordWrap/>
              <w:overflowPunct/>
              <w:topLinePunct w:val="0"/>
              <w:autoSpaceDE/>
              <w:autoSpaceDN/>
              <w:bidi w:val="0"/>
              <w:adjustRightInd/>
              <w:snapToGrid/>
              <w:spacing w:line="500" w:lineRule="exact"/>
              <w:ind w:firstLine="562"/>
              <w:jc w:val="center"/>
              <w:textAlignment w:val="auto"/>
              <w:rPr>
                <w:rFonts w:hint="eastAsia" w:ascii="宋体" w:hAnsi="宋体" w:eastAsia="宋体" w:cs="宋体"/>
                <w:b/>
                <w:sz w:val="24"/>
                <w:szCs w:val="24"/>
              </w:rPr>
            </w:pPr>
            <w:r>
              <w:rPr>
                <w:rFonts w:hint="eastAsia" w:ascii="宋体" w:hAnsi="宋体" w:eastAsia="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资格审查小组</w:t>
            </w:r>
          </w:p>
        </w:tc>
        <w:tc>
          <w:tcPr>
            <w:tcW w:w="1038"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资格评审标准</w:t>
            </w:r>
          </w:p>
        </w:tc>
        <w:tc>
          <w:tcPr>
            <w:tcW w:w="2033" w:type="dxa"/>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营业执照、税务登记证、组织机构代码证</w:t>
            </w:r>
          </w:p>
        </w:tc>
        <w:tc>
          <w:tcPr>
            <w:tcW w:w="5710" w:type="dxa"/>
            <w:vAlign w:val="center"/>
          </w:tcPr>
          <w:p>
            <w:pPr>
              <w:spacing w:line="560" w:lineRule="exact"/>
              <w:rPr>
                <w:rFonts w:hint="eastAsia" w:ascii="宋体" w:hAnsi="宋体" w:eastAsia="宋体" w:cs="宋体"/>
                <w:sz w:val="24"/>
                <w:szCs w:val="24"/>
              </w:rPr>
            </w:pPr>
            <w:r>
              <w:rPr>
                <w:rFonts w:hint="eastAsia" w:ascii="宋体" w:hAnsi="宋体" w:eastAsia="宋体" w:cs="宋体"/>
                <w:sz w:val="24"/>
                <w:szCs w:val="24"/>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法定代表人证明或法定代表人授权委托书</w:t>
            </w:r>
          </w:p>
        </w:tc>
        <w:tc>
          <w:tcPr>
            <w:tcW w:w="571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法定代表人（负责人）证明或法定代表人授权委托书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信誉要求</w:t>
            </w:r>
          </w:p>
        </w:tc>
        <w:tc>
          <w:tcPr>
            <w:tcW w:w="57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103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20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其他要求</w:t>
            </w:r>
          </w:p>
        </w:tc>
        <w:tc>
          <w:tcPr>
            <w:tcW w:w="571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评标委员会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eastAsia="zh-CN"/>
              </w:rPr>
              <w:t>二、</w:t>
            </w:r>
            <w:r>
              <w:rPr>
                <w:rFonts w:hint="eastAsia" w:ascii="宋体" w:hAnsi="宋体" w:eastAsia="宋体" w:cs="宋体"/>
                <w:sz w:val="24"/>
                <w:szCs w:val="24"/>
              </w:rPr>
              <w:t>形式评审标准</w:t>
            </w: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供应商名称</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投标函签字盖章</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报价唯一</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jc w:val="center"/>
              <w:textAlignment w:val="auto"/>
              <w:rPr>
                <w:rFonts w:hint="eastAsia" w:ascii="宋体" w:hAnsi="宋体" w:eastAsia="宋体" w:cs="宋体"/>
                <w:sz w:val="24"/>
                <w:szCs w:val="24"/>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eastAsia="zh-CN"/>
              </w:rPr>
              <w:t>三、</w:t>
            </w:r>
            <w:r>
              <w:rPr>
                <w:rFonts w:hint="eastAsia" w:ascii="宋体" w:hAnsi="宋体" w:eastAsia="宋体" w:cs="宋体"/>
                <w:sz w:val="24"/>
                <w:szCs w:val="24"/>
              </w:rPr>
              <w:t>响应性评审标准</w:t>
            </w: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sz w:val="24"/>
                <w:szCs w:val="24"/>
                <w:lang w:eastAsia="zh-CN"/>
              </w:rPr>
            </w:pPr>
            <w:r>
              <w:rPr>
                <w:rFonts w:hint="eastAsia" w:ascii="宋体" w:hAnsi="宋体" w:cs="宋体"/>
                <w:sz w:val="24"/>
                <w:szCs w:val="24"/>
                <w:lang w:eastAsia="zh-CN"/>
              </w:rPr>
              <w:t>合同履行期限</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（供货安装期）</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质量标准</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质保期</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权利义务</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采购内容及技术要求</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符合第五章“采购内容及技术要求”规定，若不符合</w:t>
            </w:r>
            <w:r>
              <w:rPr>
                <w:rFonts w:hint="eastAsia" w:ascii="宋体" w:hAnsi="宋体" w:eastAsia="宋体" w:cs="宋体"/>
                <w:color w:val="000000"/>
                <w:sz w:val="24"/>
                <w:szCs w:val="24"/>
              </w:rPr>
              <w:t>采购内容及技术要求</w:t>
            </w:r>
            <w:r>
              <w:rPr>
                <w:rFonts w:hint="eastAsia" w:ascii="宋体" w:hAnsi="宋体" w:eastAsia="宋体" w:cs="宋体"/>
                <w:sz w:val="24"/>
                <w:szCs w:val="24"/>
              </w:rPr>
              <w:t>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投标文件的其他响应</w:t>
            </w:r>
          </w:p>
        </w:tc>
        <w:tc>
          <w:tcPr>
            <w:tcW w:w="5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符合法律、法规和招标文件中规定的其他实质性要求的</w:t>
            </w:r>
          </w:p>
        </w:tc>
      </w:tr>
    </w:tbl>
    <w:p>
      <w:pPr>
        <w:pStyle w:val="17"/>
        <w:rPr>
          <w:rFonts w:hint="eastAsia"/>
        </w:rPr>
      </w:pPr>
      <w:bookmarkStart w:id="250" w:name="_Toc466017207"/>
      <w:bookmarkStart w:id="251" w:name="_Toc19403"/>
      <w:bookmarkStart w:id="252" w:name="_Toc21064"/>
      <w:bookmarkStart w:id="253" w:name="_Toc465502579"/>
      <w:bookmarkStart w:id="254" w:name="_Toc454147538"/>
    </w:p>
    <w:tbl>
      <w:tblPr>
        <w:tblStyle w:val="32"/>
        <w:tblW w:w="53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17"/>
        <w:gridCol w:w="735"/>
        <w:gridCol w:w="885"/>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4"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27"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内容</w:t>
            </w:r>
          </w:p>
        </w:tc>
        <w:tc>
          <w:tcPr>
            <w:tcW w:w="835"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评标因素</w:t>
            </w: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4"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27"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投标报价（30分）</w:t>
            </w:r>
          </w:p>
        </w:tc>
        <w:tc>
          <w:tcPr>
            <w:tcW w:w="835"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投标报价</w:t>
            </w: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满足招标文件要求且投标价格最低的投标报价（含小微企业、监狱企业和残疾人福利性单位产品的评标价）为评标基准价，其价格分为满分30分。其他投标人的价格得分，统一按照下列公式计算：投标报价得分=(评标基准价/评标价)×30，计算过程按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4"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技术部分（40分）</w:t>
            </w:r>
          </w:p>
        </w:tc>
        <w:tc>
          <w:tcPr>
            <w:tcW w:w="379"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技术参数</w:t>
            </w:r>
          </w:p>
        </w:tc>
        <w:tc>
          <w:tcPr>
            <w:tcW w:w="3678"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投标货物的技术参数完全满足招标文件中技术参数要求的，得基本分20分；</w:t>
            </w:r>
          </w:p>
          <w:p>
            <w:pPr>
              <w:pStyle w:val="16"/>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以下要求的参数，如果能满足并按照要求提供相应证明文件的，在基本分基础上加分。</w:t>
            </w:r>
            <w:r>
              <w:rPr>
                <w:rFonts w:hint="eastAsia" w:ascii="宋体" w:hAnsi="宋体" w:eastAsia="宋体" w:cs="宋体"/>
                <w:sz w:val="24"/>
                <w:szCs w:val="24"/>
                <w:lang w:eastAsia="zh-CN"/>
              </w:rPr>
              <w:t>（</w:t>
            </w:r>
            <w:r>
              <w:rPr>
                <w:rFonts w:hint="eastAsia" w:ascii="宋体" w:hAnsi="宋体" w:eastAsia="宋体" w:cs="宋体"/>
                <w:b/>
                <w:sz w:val="24"/>
                <w:szCs w:val="24"/>
              </w:rPr>
              <w:t>须提供检测评测机构出具的检测报告复印件并加盖制造商公章，否则不</w:t>
            </w:r>
            <w:r>
              <w:rPr>
                <w:rFonts w:hint="eastAsia" w:ascii="宋体" w:hAnsi="宋体" w:eastAsia="宋体" w:cs="宋体"/>
                <w:b/>
                <w:sz w:val="24"/>
                <w:szCs w:val="24"/>
                <w:lang w:eastAsia="zh-CN"/>
              </w:rPr>
              <w:t>加</w:t>
            </w:r>
            <w:r>
              <w:rPr>
                <w:rFonts w:hint="eastAsia" w:ascii="宋体" w:hAnsi="宋体" w:eastAsia="宋体" w:cs="宋体"/>
                <w:b/>
                <w:sz w:val="24"/>
                <w:szCs w:val="24"/>
              </w:rPr>
              <w:t>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一、智能球型布控一体机（3分）</w:t>
            </w: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设备可响应平台下发的获取可视域信息指令，上报设备视场角、可视距离、安装位置、镜头指向方位。其中设备视场角、可视距离能够随着倍率变化，得1分；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支持数据感知功能，可同时支持多路web监听通道，设备响应web端发送的查询请求，并返回对应的感知数据；断网重连后，报警信息可继续上传，得1分；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支持硬件微引导程序、uboot、OS、应用软件逐级校验功能。非法篡改的uboot、OS、应用软件固件包，不能通过命令行、浏览器、客户端方式进行升级，得1分；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二、出入口管控全局一体机（4分）</w:t>
            </w: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在联动模式下，球机和全景通道可进行全结构化抓拍和属性分析。在全景通道检测到移动目标后，可联动球机进行人脸、人体的抓拍和属性分析，得1分；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设备支持全景通道检测到移动目标后，可联动球机进行人脸、人体抓拍，全景检测宽度≥15米，得1分；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设备具有人脸马赛克配置选项，启用后可对人脸抓拍小图和对应背景图进行人脸马赛克叠加，叠加位置为人脸的眼睛部位，得1分；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设备全景和球机通道可分别或同时对行人、非机动车、机动车进行检测、跟踪、抓拍，可支持人脸、车牌、非机动车车牌抠图，可将人脸与人体、车牌与车辆关联显示，得1分；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三、磁盘阵列（4分）</w:t>
            </w: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并对硬盘健康状态进行分级分类，包括健康、亚健康、故障等，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根据数据对象的重要性、访问频率等属性按照预先设定的分层存储区域可进行自动分层存储并可实现快速访问，得1分；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可对指定事件的1个或多个不同时间段的录像段添加标签，并自动备份到存档卷中，使之不会被覆盖删除，并根据标签查询录像，可将相同标签的录像进行统一回放、下载；可对录像卷和存档卷配置不同的存储周期，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四、周界防护智能分析一体机（3分）</w:t>
            </w: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支持周界报警去误报功能，对IPC上报的越界侦测报警和区域入侵报警进行去误报，可去除由树叶、灯光、车辆、小动物引起的误报，得1分；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具有存储安全保障功能，当存储压力过高或硬盘出现性能不足时，可优先录像业务存储，得1分；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五、综合安防管理平台（6分）</w:t>
            </w: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支持部署组件（服务）到服务器 集群，并进行集群管理，得1分；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支持根据用户使用习惯自定义配置快捷功能入口，支持首页投放大屏展示，支持最近7天每日的用户活跃数统计，得1分；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支持以中心管理服务为核心的网络拓扑结构，支持对系统中的分组、服务器、组件等统计概览、查看，得1分；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支持多色彩（红、橙、黄）展示运行告警状态，支持告警统计、概览、处理，支持告警记录查看、查询，支持告警单条、批量处理；支持系统最近7天每日告警数统计，支持评分量化系统监控指数，显示系统运行状态，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14"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79"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56"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支持软件包（组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支持在线、离线授权反激活，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314" w:type="pct"/>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27" w:type="pct"/>
            <w:vMerge w:val="restar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商务部分（30分）</w:t>
            </w:r>
          </w:p>
        </w:tc>
        <w:tc>
          <w:tcPr>
            <w:tcW w:w="835" w:type="pct"/>
            <w:gridSpan w:val="2"/>
            <w:vMerge w:val="restart"/>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综合实力</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10分）</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供应商所投主要产品（周界防范热成像警戒摄像机、磁盘阵列、综合安防管理平台）制造商应具备较强的技术研发实力，获得过国家级科学技术进步奖的，得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314" w:type="pct"/>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835"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供应商所投主要产品（周界防范热成像警戒摄像机、磁盘阵列、综合安防管理平台）制造商具有“全国产品和服务质量诚信示范企业”荣誉的，得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14" w:type="pct"/>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835"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供应商所投主要产品（周界防范热成像警戒摄像机、磁盘阵列、综合安防管理平台）制造商成为由国家工业和信息化部颁布的两化融合管理体系贯标试点企业的，得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14" w:type="pct"/>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835"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供应商所投主要产品（周界防范热成像警戒摄像机、磁盘阵列、综合安防管理平台）制造商获得由权威认证机构颁发的绿色供应链评价证书的，三星级的</w:t>
            </w:r>
            <w:r>
              <w:rPr>
                <w:rFonts w:hint="eastAsia" w:ascii="宋体" w:hAnsi="宋体" w:eastAsia="宋体" w:cs="宋体"/>
                <w:sz w:val="24"/>
                <w:szCs w:val="24"/>
                <w:lang w:eastAsia="zh-CN"/>
              </w:rPr>
              <w:t>不得</w:t>
            </w:r>
            <w:r>
              <w:rPr>
                <w:rFonts w:hint="eastAsia" w:ascii="宋体" w:hAnsi="宋体" w:eastAsia="宋体" w:cs="宋体"/>
                <w:sz w:val="24"/>
                <w:szCs w:val="24"/>
              </w:rPr>
              <w:t>分，四星级的得</w:t>
            </w:r>
            <w:r>
              <w:rPr>
                <w:rFonts w:hint="eastAsia" w:ascii="宋体" w:hAnsi="宋体" w:eastAsia="宋体" w:cs="宋体"/>
                <w:sz w:val="24"/>
                <w:szCs w:val="24"/>
                <w:lang w:val="en-US" w:eastAsia="zh-CN"/>
              </w:rPr>
              <w:t>1</w:t>
            </w:r>
            <w:r>
              <w:rPr>
                <w:rFonts w:hint="eastAsia" w:ascii="宋体" w:hAnsi="宋体" w:eastAsia="宋体" w:cs="宋体"/>
                <w:sz w:val="24"/>
                <w:szCs w:val="24"/>
              </w:rPr>
              <w:t>分，五星认证的得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14" w:type="pct"/>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835"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供应商所投主要产品（周界防范热成像警戒摄像机、磁盘阵列、综合安防管理平台）制造商具有省级认定企业技术中心的，得1分；具有国家部委级颁发的国家认定企业技术中心的，得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14" w:type="pct"/>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27" w:type="pct"/>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057" w:type="pct"/>
            <w:gridSpan w:val="3"/>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备注：以上1-5项开标时须提供所有证明文件的复印件并加盖产品制造商公章，否则不得分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314" w:type="pct"/>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27" w:type="pct"/>
            <w:vMerge w:val="continue"/>
            <w:vAlign w:val="center"/>
          </w:tcPr>
          <w:p>
            <w:pPr>
              <w:pStyle w:val="64"/>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rPr>
            </w:pPr>
          </w:p>
        </w:tc>
        <w:tc>
          <w:tcPr>
            <w:tcW w:w="835" w:type="pct"/>
            <w:gridSpan w:val="2"/>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售后服务</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8分</w:t>
            </w:r>
            <w:r>
              <w:rPr>
                <w:rFonts w:hint="eastAsia" w:ascii="宋体" w:hAnsi="宋体" w:eastAsia="宋体" w:cs="宋体"/>
                <w:sz w:val="24"/>
                <w:szCs w:val="24"/>
                <w:lang w:eastAsia="zh-CN"/>
              </w:rPr>
              <w:t>）</w:t>
            </w: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eastAsia="zh-CN"/>
              </w:rPr>
              <w:t>根据投标人</w:t>
            </w:r>
            <w:r>
              <w:rPr>
                <w:rFonts w:hint="eastAsia" w:ascii="宋体" w:hAnsi="宋体" w:eastAsia="宋体" w:cs="宋体"/>
                <w:sz w:val="24"/>
                <w:szCs w:val="24"/>
              </w:rPr>
              <w:t>提出完整的服务内容、服务形式、质保期内及质保期外服务承诺、维修单位及地点、技术人员情况、应急维修时间安排，根据所提供的内容</w:t>
            </w:r>
            <w:r>
              <w:rPr>
                <w:rFonts w:hint="eastAsia" w:ascii="宋体" w:hAnsi="宋体" w:eastAsia="宋体" w:cs="宋体"/>
                <w:sz w:val="24"/>
                <w:szCs w:val="24"/>
                <w:lang w:val="zh-CN"/>
              </w:rPr>
              <w:t>非常详细，科学合理、可行性强的得</w:t>
            </w:r>
            <w:r>
              <w:rPr>
                <w:rFonts w:hint="eastAsia" w:ascii="宋体" w:hAnsi="宋体" w:eastAsia="宋体" w:cs="宋体"/>
                <w:sz w:val="24"/>
                <w:szCs w:val="24"/>
              </w:rPr>
              <w:t>5-6</w:t>
            </w:r>
            <w:r>
              <w:rPr>
                <w:rFonts w:hint="eastAsia" w:ascii="宋体" w:hAnsi="宋体" w:eastAsia="宋体" w:cs="宋体"/>
                <w:sz w:val="24"/>
                <w:szCs w:val="24"/>
                <w:lang w:val="zh-CN"/>
              </w:rPr>
              <w:t>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服务内容</w:t>
            </w:r>
            <w:r>
              <w:rPr>
                <w:rFonts w:hint="eastAsia" w:ascii="宋体" w:hAnsi="宋体" w:eastAsia="宋体" w:cs="宋体"/>
                <w:sz w:val="24"/>
                <w:szCs w:val="24"/>
                <w:lang w:val="zh-CN"/>
              </w:rPr>
              <w:t>比较完整、较科学合理、可行性较强的得</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服务内容</w:t>
            </w:r>
            <w:r>
              <w:rPr>
                <w:rFonts w:hint="eastAsia" w:ascii="宋体" w:hAnsi="宋体" w:eastAsia="宋体" w:cs="宋体"/>
                <w:sz w:val="24"/>
                <w:szCs w:val="24"/>
                <w:lang w:val="zh-CN"/>
              </w:rPr>
              <w:t>比较简单、有可行性的得1-2分；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ascii="宋体" w:hAnsi="宋体" w:eastAsia="宋体" w:cs="宋体"/>
                <w:sz w:val="24"/>
                <w:szCs w:val="24"/>
                <w:lang w:val="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314" w:type="pct"/>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27" w:type="pct"/>
            <w:vMerge w:val="continue"/>
            <w:vAlign w:val="center"/>
          </w:tcPr>
          <w:p>
            <w:pPr>
              <w:pStyle w:val="64"/>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rPr>
            </w:pPr>
          </w:p>
        </w:tc>
        <w:tc>
          <w:tcPr>
            <w:tcW w:w="835"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所投主要产品生产厂商提供针对本项目的售后服务承诺书加盖厂家公章的，得2分，否则不得分；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14" w:type="pct"/>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27" w:type="pct"/>
            <w:vMerge w:val="continue"/>
            <w:vAlign w:val="center"/>
          </w:tcPr>
          <w:p>
            <w:pPr>
              <w:pStyle w:val="64"/>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0"/>
                <w:sz w:val="24"/>
                <w:szCs w:val="24"/>
              </w:rPr>
            </w:pPr>
          </w:p>
        </w:tc>
        <w:tc>
          <w:tcPr>
            <w:tcW w:w="835"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服务方案</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根据投标人</w:t>
            </w:r>
            <w:r>
              <w:rPr>
                <w:rFonts w:hint="eastAsia" w:ascii="宋体" w:hAnsi="宋体" w:eastAsia="宋体" w:cs="宋体"/>
                <w:sz w:val="24"/>
                <w:szCs w:val="24"/>
              </w:rPr>
              <w:t>提出完整的运行方案、资源配置、安全、质量保证、维护方案、维护标准，根据所提供</w:t>
            </w:r>
            <w:r>
              <w:rPr>
                <w:rFonts w:hint="eastAsia" w:ascii="宋体" w:hAnsi="宋体" w:eastAsia="宋体" w:cs="宋体"/>
                <w:sz w:val="24"/>
                <w:szCs w:val="24"/>
                <w:lang w:eastAsia="zh-CN"/>
              </w:rPr>
              <w:t>方案</w:t>
            </w:r>
            <w:r>
              <w:rPr>
                <w:rFonts w:hint="eastAsia" w:ascii="宋体" w:hAnsi="宋体" w:eastAsia="宋体" w:cs="宋体"/>
                <w:sz w:val="24"/>
                <w:szCs w:val="24"/>
              </w:rPr>
              <w:t>内容完整性及合理性，得</w:t>
            </w:r>
            <w:r>
              <w:rPr>
                <w:rFonts w:hint="eastAsia" w:ascii="宋体" w:hAnsi="宋体" w:eastAsia="宋体" w:cs="宋体"/>
                <w:sz w:val="24"/>
                <w:szCs w:val="24"/>
                <w:lang w:val="en-US" w:eastAsia="zh-CN"/>
              </w:rPr>
              <w:t>5-6</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eastAsia="zh-CN"/>
              </w:rPr>
              <w:t>方案</w:t>
            </w:r>
            <w:r>
              <w:rPr>
                <w:rFonts w:hint="eastAsia" w:ascii="宋体" w:hAnsi="宋体" w:eastAsia="宋体" w:cs="宋体"/>
                <w:sz w:val="24"/>
                <w:szCs w:val="24"/>
              </w:rPr>
              <w:t>内容</w:t>
            </w:r>
            <w:r>
              <w:rPr>
                <w:rFonts w:hint="eastAsia" w:ascii="宋体" w:hAnsi="宋体" w:eastAsia="宋体" w:cs="宋体"/>
                <w:sz w:val="24"/>
                <w:szCs w:val="24"/>
                <w:lang w:val="zh-CN"/>
              </w:rPr>
              <w:t>比较完整、较科学合理的得</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eastAsia="zh-CN"/>
              </w:rPr>
              <w:t>方案</w:t>
            </w:r>
            <w:r>
              <w:rPr>
                <w:rFonts w:hint="eastAsia" w:ascii="宋体" w:hAnsi="宋体" w:eastAsia="宋体" w:cs="宋体"/>
                <w:sz w:val="24"/>
                <w:szCs w:val="24"/>
              </w:rPr>
              <w:t>内容</w:t>
            </w:r>
            <w:r>
              <w:rPr>
                <w:rFonts w:hint="eastAsia" w:ascii="宋体" w:hAnsi="宋体" w:eastAsia="宋体" w:cs="宋体"/>
                <w:sz w:val="24"/>
                <w:szCs w:val="24"/>
                <w:lang w:val="zh-CN"/>
              </w:rPr>
              <w:t>比较简单、科学合理性一般的得1-2分；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ascii="宋体" w:hAnsi="宋体" w:eastAsia="宋体" w:cs="宋体"/>
                <w:sz w:val="24"/>
                <w:szCs w:val="24"/>
                <w:lang w:val="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14" w:type="pct"/>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27" w:type="pct"/>
            <w:vMerge w:val="continue"/>
            <w:vAlign w:val="center"/>
          </w:tcPr>
          <w:p>
            <w:pPr>
              <w:pStyle w:val="64"/>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0"/>
                <w:sz w:val="24"/>
                <w:szCs w:val="24"/>
              </w:rPr>
            </w:pPr>
          </w:p>
        </w:tc>
        <w:tc>
          <w:tcPr>
            <w:tcW w:w="835" w:type="pct"/>
            <w:gridSpan w:val="2"/>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培训计划</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（6分）</w:t>
            </w:r>
          </w:p>
        </w:tc>
        <w:tc>
          <w:tcPr>
            <w:tcW w:w="3222" w:type="pct"/>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根据</w:t>
            </w:r>
            <w:r>
              <w:rPr>
                <w:rFonts w:hint="eastAsia" w:ascii="宋体" w:hAnsi="宋体" w:eastAsia="宋体" w:cs="宋体"/>
                <w:sz w:val="24"/>
                <w:szCs w:val="24"/>
              </w:rPr>
              <w:t>投标人提供的培训内容、培训教材、培训方式、培训承诺，根据所提供内容完整性及合理性，得</w:t>
            </w:r>
            <w:r>
              <w:rPr>
                <w:rFonts w:hint="eastAsia" w:ascii="宋体" w:hAnsi="宋体" w:cs="宋体"/>
                <w:sz w:val="24"/>
                <w:szCs w:val="24"/>
                <w:lang w:val="en-US" w:eastAsia="zh-CN"/>
              </w:rPr>
              <w:t>5-6</w:t>
            </w:r>
            <w:r>
              <w:rPr>
                <w:rFonts w:hint="eastAsia" w:ascii="宋体" w:hAnsi="宋体" w:eastAsia="宋体" w:cs="宋体"/>
                <w:sz w:val="24"/>
                <w:szCs w:val="24"/>
              </w:rPr>
              <w:t xml:space="preserve">分； </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eastAsia="zh-CN"/>
              </w:rPr>
              <w:t>培训计划</w:t>
            </w:r>
            <w:r>
              <w:rPr>
                <w:rFonts w:hint="eastAsia" w:ascii="宋体" w:hAnsi="宋体" w:eastAsia="宋体" w:cs="宋体"/>
                <w:sz w:val="24"/>
                <w:szCs w:val="24"/>
              </w:rPr>
              <w:t>内容</w:t>
            </w:r>
            <w:r>
              <w:rPr>
                <w:rFonts w:hint="eastAsia" w:ascii="宋体" w:hAnsi="宋体" w:eastAsia="宋体" w:cs="宋体"/>
                <w:sz w:val="24"/>
                <w:szCs w:val="24"/>
                <w:lang w:val="zh-CN"/>
              </w:rPr>
              <w:t>比较完整、培训方式可行性较强、培训承诺基本科学合理的得</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eastAsia="zh-CN"/>
              </w:rPr>
              <w:t>培训计划</w:t>
            </w:r>
            <w:r>
              <w:rPr>
                <w:rFonts w:hint="eastAsia" w:ascii="宋体" w:hAnsi="宋体" w:eastAsia="宋体" w:cs="宋体"/>
                <w:sz w:val="24"/>
                <w:szCs w:val="24"/>
              </w:rPr>
              <w:t>内容</w:t>
            </w:r>
            <w:r>
              <w:rPr>
                <w:rFonts w:hint="eastAsia" w:ascii="宋体" w:hAnsi="宋体" w:eastAsia="宋体" w:cs="宋体"/>
                <w:sz w:val="24"/>
                <w:szCs w:val="24"/>
                <w:lang w:val="zh-CN"/>
              </w:rPr>
              <w:t>比较简单、培训方式可行性较差、培训承诺科学合理性一般的得1-2分；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缺项不得分。</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tbl>
      <w:tblPr>
        <w:tblStyle w:val="33"/>
        <w:tblpPr w:leftFromText="180" w:rightFromText="180" w:vertAnchor="text" w:tblpX="11104" w:tblpY="-14501"/>
        <w:tblOverlap w:val="never"/>
        <w:tblW w:w="7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96" w:type="pct"/>
          </w:tcPr>
          <w:p>
            <w:pPr>
              <w:pageBreakBefore w:val="0"/>
              <w:widowControl w:val="0"/>
              <w:numPr>
                <w:ilvl w:val="0"/>
                <w:numId w:val="6"/>
              </w:numPr>
              <w:tabs>
                <w:tab w:val="left" w:pos="170"/>
                <w:tab w:val="left" w:pos="303"/>
                <w:tab w:val="left" w:pos="420"/>
              </w:tabs>
              <w:kinsoku/>
              <w:wordWrap/>
              <w:overflowPunct/>
              <w:topLinePunct w:val="0"/>
              <w:bidi w:val="0"/>
              <w:adjustRightInd w:val="0"/>
              <w:snapToGrid w:val="0"/>
              <w:spacing w:line="500" w:lineRule="exact"/>
              <w:textAlignment w:val="auto"/>
              <w:outlineLvl w:val="1"/>
              <w:rPr>
                <w:rFonts w:hint="eastAsia" w:ascii="宋体" w:hAnsi="宋体" w:eastAsia="宋体" w:cs="宋体"/>
                <w:b/>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pageBreakBefore w:val="0"/>
              <w:widowControl w:val="0"/>
              <w:numPr>
                <w:ilvl w:val="0"/>
                <w:numId w:val="6"/>
              </w:numPr>
              <w:tabs>
                <w:tab w:val="left" w:pos="170"/>
                <w:tab w:val="left" w:pos="303"/>
                <w:tab w:val="left" w:pos="420"/>
              </w:tabs>
              <w:kinsoku/>
              <w:wordWrap/>
              <w:overflowPunct/>
              <w:topLinePunct w:val="0"/>
              <w:bidi w:val="0"/>
              <w:adjustRightInd w:val="0"/>
              <w:snapToGrid w:val="0"/>
              <w:spacing w:line="500" w:lineRule="exact"/>
              <w:textAlignment w:val="auto"/>
              <w:outlineLvl w:val="1"/>
              <w:rPr>
                <w:rFonts w:hint="eastAsia" w:ascii="宋体" w:hAnsi="宋体" w:eastAsia="宋体" w:cs="宋体"/>
                <w:b/>
                <w:sz w:val="24"/>
                <w:szCs w:val="24"/>
                <w:vertAlign w:val="baseline"/>
              </w:rPr>
            </w:pPr>
          </w:p>
        </w:tc>
      </w:tr>
    </w:tbl>
    <w:p>
      <w:pPr>
        <w:keepNext w:val="0"/>
        <w:keepLines w:val="0"/>
        <w:pageBreakBefore w:val="0"/>
        <w:widowControl w:val="0"/>
        <w:numPr>
          <w:ilvl w:val="0"/>
          <w:numId w:val="0"/>
        </w:numPr>
        <w:tabs>
          <w:tab w:val="left" w:pos="170"/>
          <w:tab w:val="left" w:pos="303"/>
          <w:tab w:val="left" w:pos="420"/>
        </w:tabs>
        <w:kinsoku/>
        <w:wordWrap/>
        <w:overflowPunct/>
        <w:topLinePunct w:val="0"/>
        <w:bidi w:val="0"/>
        <w:adjustRightInd w:val="0"/>
        <w:snapToGrid w:val="0"/>
        <w:spacing w:line="480" w:lineRule="exact"/>
        <w:ind w:leftChars="0"/>
        <w:textAlignment w:val="auto"/>
        <w:outlineLvl w:val="1"/>
        <w:rPr>
          <w:rFonts w:hint="eastAsia" w:ascii="宋体" w:hAnsi="宋体" w:eastAsia="宋体" w:cs="宋体"/>
          <w:b/>
          <w:sz w:val="24"/>
          <w:szCs w:val="24"/>
        </w:rPr>
      </w:pPr>
      <w:r>
        <w:rPr>
          <w:rFonts w:hint="eastAsia" w:ascii="宋体" w:hAnsi="宋体" w:cs="宋体"/>
          <w:b/>
          <w:sz w:val="24"/>
          <w:szCs w:val="24"/>
          <w:lang w:val="en-US" w:eastAsia="zh-CN"/>
        </w:rPr>
        <w:t>1.</w:t>
      </w:r>
      <w:r>
        <w:rPr>
          <w:rFonts w:hint="eastAsia" w:ascii="宋体" w:hAnsi="宋体" w:eastAsia="宋体" w:cs="宋体"/>
          <w:b/>
          <w:sz w:val="24"/>
          <w:szCs w:val="24"/>
        </w:rPr>
        <w:t xml:space="preserve"> </w:t>
      </w:r>
      <w:bookmarkStart w:id="255" w:name="_Toc6843"/>
      <w:r>
        <w:rPr>
          <w:rFonts w:hint="eastAsia" w:ascii="宋体" w:hAnsi="宋体" w:eastAsia="宋体" w:cs="宋体"/>
          <w:b/>
          <w:sz w:val="24"/>
          <w:szCs w:val="24"/>
        </w:rPr>
        <w:t>评标准则和评标方法</w:t>
      </w:r>
      <w:bookmarkEnd w:id="250"/>
      <w:bookmarkEnd w:id="251"/>
      <w:bookmarkEnd w:id="252"/>
      <w:bookmarkEnd w:id="253"/>
      <w:bookmarkEnd w:id="254"/>
      <w:bookmarkEnd w:id="255"/>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.1 评标过程将遵循“公平、公正、科学、择优”的原则进行。</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.2 评标将严格按照招标文件的要求和条件进行。</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.3 本次评标采用综合评分法。</w:t>
      </w:r>
    </w:p>
    <w:p>
      <w:pPr>
        <w:keepNext w:val="0"/>
        <w:keepLines w:val="0"/>
        <w:pageBreakBefore w:val="0"/>
        <w:widowControl w:val="0"/>
        <w:numPr>
          <w:ilvl w:val="0"/>
          <w:numId w:val="0"/>
        </w:numPr>
        <w:tabs>
          <w:tab w:val="left" w:pos="170"/>
          <w:tab w:val="left" w:pos="303"/>
          <w:tab w:val="left" w:pos="420"/>
        </w:tabs>
        <w:kinsoku/>
        <w:wordWrap/>
        <w:overflowPunct/>
        <w:topLinePunct w:val="0"/>
        <w:bidi w:val="0"/>
        <w:adjustRightInd w:val="0"/>
        <w:snapToGrid w:val="0"/>
        <w:spacing w:line="480" w:lineRule="exact"/>
        <w:ind w:leftChars="0"/>
        <w:textAlignment w:val="auto"/>
        <w:outlineLvl w:val="1"/>
        <w:rPr>
          <w:rFonts w:hint="eastAsia" w:ascii="宋体" w:hAnsi="宋体" w:eastAsia="宋体" w:cs="宋体"/>
          <w:b/>
          <w:sz w:val="24"/>
          <w:szCs w:val="24"/>
        </w:rPr>
      </w:pPr>
      <w:bookmarkStart w:id="256" w:name="_Toc15449"/>
      <w:bookmarkStart w:id="257" w:name="_Toc465502580"/>
      <w:bookmarkStart w:id="258" w:name="_Toc466017208"/>
      <w:bookmarkStart w:id="259" w:name="_Toc454147539"/>
      <w:bookmarkStart w:id="260" w:name="_Toc13195"/>
      <w:bookmarkStart w:id="261" w:name="_Toc7951"/>
      <w:r>
        <w:rPr>
          <w:rFonts w:hint="eastAsia" w:ascii="宋体" w:hAnsi="宋体" w:cs="宋体"/>
          <w:b/>
          <w:sz w:val="24"/>
          <w:szCs w:val="24"/>
          <w:lang w:val="en-US" w:eastAsia="zh-CN"/>
        </w:rPr>
        <w:t>2.</w:t>
      </w:r>
      <w:r>
        <w:rPr>
          <w:rFonts w:hint="eastAsia" w:ascii="宋体" w:hAnsi="宋体" w:eastAsia="宋体" w:cs="宋体"/>
          <w:b/>
          <w:sz w:val="24"/>
          <w:szCs w:val="24"/>
        </w:rPr>
        <w:t>评审标准</w:t>
      </w:r>
      <w:bookmarkEnd w:id="256"/>
      <w:bookmarkEnd w:id="257"/>
      <w:bookmarkEnd w:id="258"/>
      <w:bookmarkEnd w:id="259"/>
      <w:bookmarkEnd w:id="260"/>
      <w:bookmarkEnd w:id="261"/>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.1 资格评审标准：详见《评分办法前附表》中资格评审标准。</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 xml:space="preserve">.2 </w:t>
      </w:r>
      <w:r>
        <w:rPr>
          <w:rFonts w:hint="eastAsia" w:ascii="宋体" w:hAnsi="宋体" w:eastAsia="宋体" w:cs="宋体"/>
          <w:sz w:val="24"/>
          <w:szCs w:val="24"/>
          <w:lang w:eastAsia="zh-CN"/>
        </w:rPr>
        <w:t>详细评审</w:t>
      </w:r>
      <w:r>
        <w:rPr>
          <w:rFonts w:hint="eastAsia" w:ascii="宋体" w:hAnsi="宋体" w:eastAsia="宋体" w:cs="宋体"/>
          <w:sz w:val="24"/>
          <w:szCs w:val="24"/>
        </w:rPr>
        <w:t>标准：详见《评分办法前附</w:t>
      </w:r>
      <w:r>
        <w:rPr>
          <w:rFonts w:hint="eastAsia" w:ascii="宋体" w:hAnsi="宋体" w:eastAsia="宋体" w:cs="宋体"/>
          <w:sz w:val="24"/>
          <w:szCs w:val="24"/>
          <w:highlight w:val="none"/>
        </w:rPr>
        <w:t>表》报价部分、</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部分、商务部分评审</w:t>
      </w:r>
      <w:r>
        <w:rPr>
          <w:rFonts w:hint="eastAsia" w:ascii="宋体" w:hAnsi="宋体" w:eastAsia="宋体" w:cs="宋体"/>
          <w:sz w:val="24"/>
          <w:szCs w:val="24"/>
        </w:rPr>
        <w:t>因素。</w:t>
      </w:r>
    </w:p>
    <w:p>
      <w:pPr>
        <w:keepNext w:val="0"/>
        <w:keepLines w:val="0"/>
        <w:pageBreakBefore w:val="0"/>
        <w:widowControl w:val="0"/>
        <w:numPr>
          <w:ilvl w:val="0"/>
          <w:numId w:val="6"/>
        </w:numPr>
        <w:tabs>
          <w:tab w:val="left" w:pos="170"/>
          <w:tab w:val="left" w:pos="303"/>
          <w:tab w:val="left" w:pos="420"/>
        </w:tabs>
        <w:kinsoku/>
        <w:wordWrap/>
        <w:overflowPunct/>
        <w:topLinePunct w:val="0"/>
        <w:bidi w:val="0"/>
        <w:adjustRightInd w:val="0"/>
        <w:snapToGrid w:val="0"/>
        <w:spacing w:line="480" w:lineRule="exact"/>
        <w:ind w:left="0" w:firstLine="0"/>
        <w:textAlignment w:val="auto"/>
        <w:outlineLvl w:val="1"/>
        <w:rPr>
          <w:rFonts w:hint="eastAsia" w:ascii="宋体" w:hAnsi="宋体" w:eastAsia="宋体" w:cs="宋体"/>
          <w:b/>
          <w:sz w:val="24"/>
          <w:szCs w:val="24"/>
        </w:rPr>
      </w:pPr>
      <w:bookmarkStart w:id="262" w:name="_Toc19609"/>
      <w:bookmarkStart w:id="263" w:name="_Toc11065"/>
      <w:r>
        <w:rPr>
          <w:rFonts w:hint="eastAsia" w:ascii="宋体" w:hAnsi="宋体" w:eastAsia="宋体" w:cs="宋体"/>
          <w:b/>
          <w:sz w:val="24"/>
          <w:szCs w:val="24"/>
        </w:rPr>
        <w:t>评标程序</w:t>
      </w:r>
      <w:bookmarkEnd w:id="262"/>
      <w:bookmarkEnd w:id="263"/>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.1初步评审</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1 </w:t>
      </w:r>
      <w:r>
        <w:rPr>
          <w:rFonts w:hint="eastAsia" w:ascii="宋体" w:hAnsi="宋体" w:eastAsia="宋体" w:cs="宋体"/>
          <w:sz w:val="24"/>
          <w:szCs w:val="24"/>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2 </w:t>
      </w:r>
      <w:r>
        <w:rPr>
          <w:rFonts w:hint="eastAsia" w:ascii="宋体" w:hAnsi="宋体" w:eastAsia="宋体" w:cs="宋体"/>
          <w:sz w:val="24"/>
          <w:szCs w:val="24"/>
          <w:lang w:val="zh-CN"/>
        </w:rPr>
        <w:t>投标文件属下列情况之一的，应当在资格性、符合性检查时按照无效投标处理：</w:t>
      </w:r>
    </w:p>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未按照招标文件规定要求签署、盖章的；</w:t>
      </w:r>
    </w:p>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不具备招标文件中规定资格要求的；</w:t>
      </w:r>
    </w:p>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不符合法律、法规和招标文件中规定的其他实质性要求的。</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.1.3 </w:t>
      </w:r>
      <w:r>
        <w:rPr>
          <w:rFonts w:hint="eastAsia" w:ascii="宋体" w:hAnsi="宋体" w:eastAsia="宋体" w:cs="宋体"/>
          <w:sz w:val="24"/>
          <w:szCs w:val="24"/>
          <w:lang w:val="zh-CN"/>
        </w:rPr>
        <w:t>投标报价有算数错误的，评标委员会按以下原则对投标报价进行修正，修正的价格经投标人书面确认后具有约束力。投标人不接受修正价格的，其投标作无效投标处理。</w:t>
      </w:r>
    </w:p>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投标文件中的大写金额与小写金额不一致的，以大写金额为准；</w:t>
      </w:r>
    </w:p>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投标文件中开标一览表内容与投标文件中明细表内容不一致的，以开标一览表为准。</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.2 详细评审</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 xml:space="preserve">.2.1 </w:t>
      </w:r>
      <w:r>
        <w:rPr>
          <w:rFonts w:hint="eastAsia" w:ascii="宋体" w:hAnsi="宋体" w:eastAsia="宋体" w:cs="宋体"/>
          <w:sz w:val="24"/>
          <w:szCs w:val="24"/>
          <w:lang w:val="zh-CN"/>
        </w:rPr>
        <w:t>评标委员会按本章</w:t>
      </w:r>
      <w:r>
        <w:rPr>
          <w:rFonts w:hint="eastAsia" w:ascii="宋体" w:hAnsi="宋体" w:eastAsia="宋体" w:cs="宋体"/>
          <w:sz w:val="24"/>
          <w:szCs w:val="24"/>
        </w:rPr>
        <w:t>的</w:t>
      </w:r>
      <w:r>
        <w:rPr>
          <w:rFonts w:hint="eastAsia" w:ascii="宋体" w:hAnsi="宋体" w:eastAsia="宋体" w:cs="宋体"/>
          <w:sz w:val="24"/>
          <w:szCs w:val="24"/>
          <w:lang w:val="zh-CN"/>
        </w:rPr>
        <w:t>评分标准进行打分，并计算出综合评审得分。</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 xml:space="preserve">.2.2 </w:t>
      </w:r>
      <w:r>
        <w:rPr>
          <w:rFonts w:hint="eastAsia" w:ascii="宋体" w:hAnsi="宋体" w:eastAsia="宋体" w:cs="宋体"/>
          <w:sz w:val="24"/>
          <w:szCs w:val="24"/>
          <w:lang w:val="zh-CN"/>
        </w:rPr>
        <w:t>评标委员会发现投标人的投标总报价</w:t>
      </w:r>
      <w:r>
        <w:rPr>
          <w:rFonts w:hint="eastAsia" w:ascii="宋体" w:hAnsi="宋体" w:eastAsia="宋体" w:cs="宋体"/>
          <w:sz w:val="24"/>
          <w:szCs w:val="24"/>
        </w:rPr>
        <w:t>高</w:t>
      </w:r>
      <w:r>
        <w:rPr>
          <w:rFonts w:hint="eastAsia" w:ascii="宋体" w:hAnsi="宋体" w:eastAsia="宋体" w:cs="宋体"/>
          <w:sz w:val="24"/>
          <w:szCs w:val="24"/>
          <w:lang w:val="zh-CN"/>
        </w:rPr>
        <w:t>于</w:t>
      </w:r>
      <w:r>
        <w:rPr>
          <w:rFonts w:hint="eastAsia" w:ascii="宋体" w:hAnsi="宋体" w:eastAsia="宋体" w:cs="宋体"/>
          <w:sz w:val="24"/>
          <w:szCs w:val="24"/>
        </w:rPr>
        <w:t>招标文件规定的控制价</w:t>
      </w:r>
      <w:r>
        <w:rPr>
          <w:rFonts w:hint="eastAsia" w:ascii="宋体" w:hAnsi="宋体" w:eastAsia="宋体" w:cs="宋体"/>
          <w:sz w:val="24"/>
          <w:szCs w:val="24"/>
          <w:lang w:val="zh-CN"/>
        </w:rPr>
        <w:t>，评标委员会应按无效投标处理。</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.3 投标文件的澄清和补正</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 xml:space="preserve">.3.1 </w:t>
      </w:r>
      <w:r>
        <w:rPr>
          <w:rFonts w:hint="eastAsia" w:ascii="宋体" w:hAnsi="宋体" w:eastAsia="宋体" w:cs="宋体"/>
          <w:sz w:val="24"/>
          <w:szCs w:val="24"/>
          <w:lang w:val="zh-CN"/>
        </w:rPr>
        <w:t>在评标过程中，评标委员会可以书面形式要求投标人对所提交投标文件中不明确的内容进行书面澄清或说明，或者对细微偏差进行补正。</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 xml:space="preserve">.3.2 </w:t>
      </w:r>
      <w:r>
        <w:rPr>
          <w:rFonts w:hint="eastAsia" w:ascii="宋体" w:hAnsi="宋体" w:eastAsia="宋体" w:cs="宋体"/>
          <w:sz w:val="24"/>
          <w:szCs w:val="24"/>
          <w:lang w:val="zh-CN"/>
        </w:rPr>
        <w:t>澄清、说明和补正不得改变投标文件的实质性内容（算术性错误修正的除外）。投标人的书面澄清、说明和补正属于投标文件的组成部分。</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.4 评标结果</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.4.1 </w:t>
      </w:r>
      <w:r>
        <w:rPr>
          <w:rFonts w:hint="eastAsia" w:ascii="宋体" w:hAnsi="宋体" w:eastAsia="宋体" w:cs="宋体"/>
          <w:sz w:val="24"/>
          <w:szCs w:val="24"/>
          <w:highlight w:val="none"/>
          <w:lang w:val="zh-CN"/>
        </w:rPr>
        <w:t>投标人得分=投标报价得分+</w:t>
      </w:r>
      <w:r>
        <w:rPr>
          <w:rFonts w:hint="eastAsia" w:ascii="宋体" w:hAnsi="宋体" w:eastAsia="宋体" w:cs="宋体"/>
          <w:sz w:val="24"/>
          <w:szCs w:val="24"/>
          <w:highlight w:val="none"/>
        </w:rPr>
        <w:t>技术部分得分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商务部分得分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.4.2</w:t>
      </w:r>
      <w:r>
        <w:rPr>
          <w:rFonts w:hint="eastAsia" w:ascii="宋体" w:hAnsi="宋体" w:eastAsia="宋体" w:cs="宋体"/>
          <w:sz w:val="24"/>
          <w:szCs w:val="24"/>
          <w:lang w:val="zh-CN"/>
        </w:rPr>
        <w:t>投标人最终得分为评标委员会完成评审后所有评分的算术平均值，作为该投标人最终得分。</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 xml:space="preserve">.4.3 </w:t>
      </w:r>
      <w:r>
        <w:rPr>
          <w:rFonts w:hint="eastAsia" w:ascii="宋体" w:hAnsi="宋体" w:eastAsia="宋体" w:cs="宋体"/>
          <w:sz w:val="24"/>
          <w:szCs w:val="24"/>
          <w:lang w:val="zh-CN"/>
        </w:rPr>
        <w:t>投标人最终得分相同的，投标报价</w:t>
      </w:r>
      <w:r>
        <w:rPr>
          <w:rFonts w:hint="eastAsia" w:ascii="宋体" w:hAnsi="宋体" w:eastAsia="宋体" w:cs="宋体"/>
          <w:sz w:val="24"/>
          <w:szCs w:val="24"/>
        </w:rPr>
        <w:t>低</w:t>
      </w:r>
      <w:r>
        <w:rPr>
          <w:rFonts w:hint="eastAsia" w:ascii="宋体" w:hAnsi="宋体" w:eastAsia="宋体" w:cs="宋体"/>
          <w:sz w:val="24"/>
          <w:szCs w:val="24"/>
          <w:lang w:val="zh-CN"/>
        </w:rPr>
        <w:t>的优先，</w:t>
      </w:r>
      <w:r>
        <w:rPr>
          <w:rFonts w:hint="eastAsia" w:ascii="宋体" w:hAnsi="宋体" w:eastAsia="宋体" w:cs="宋体"/>
          <w:sz w:val="24"/>
          <w:szCs w:val="24"/>
        </w:rPr>
        <w:t>投标报价也相同的以技术得分高的优先，技术得分也相同的由采购人自行确定</w:t>
      </w:r>
      <w:r>
        <w:rPr>
          <w:rFonts w:hint="eastAsia" w:ascii="宋体" w:hAnsi="宋体" w:eastAsia="宋体" w:cs="宋体"/>
          <w:sz w:val="24"/>
          <w:szCs w:val="24"/>
          <w:lang w:val="zh-CN"/>
        </w:rPr>
        <w:t>。</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 xml:space="preserve">.4.4 </w:t>
      </w:r>
      <w:r>
        <w:rPr>
          <w:rFonts w:hint="eastAsia" w:ascii="宋体" w:hAnsi="宋体" w:eastAsia="宋体" w:cs="宋体"/>
          <w:sz w:val="24"/>
          <w:szCs w:val="24"/>
          <w:lang w:val="zh-CN"/>
        </w:rPr>
        <w:t>计分过程中按四舍五入的法则，最终结果取至小数点后两位。</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 xml:space="preserve">.4.5 </w:t>
      </w:r>
      <w:r>
        <w:rPr>
          <w:rFonts w:hint="eastAsia" w:ascii="宋体" w:hAnsi="宋体" w:eastAsia="宋体" w:cs="宋体"/>
          <w:sz w:val="24"/>
          <w:szCs w:val="24"/>
          <w:lang w:val="zh-CN"/>
        </w:rPr>
        <w:t>评标委员会按照得分由高到低的顺序推荐</w:t>
      </w:r>
      <w:r>
        <w:rPr>
          <w:rFonts w:hint="eastAsia" w:ascii="宋体" w:hAnsi="宋体" w:eastAsia="宋体" w:cs="宋体"/>
          <w:sz w:val="24"/>
          <w:szCs w:val="24"/>
        </w:rPr>
        <w:t>1-3名</w:t>
      </w:r>
      <w:r>
        <w:rPr>
          <w:rFonts w:hint="eastAsia" w:ascii="宋体" w:hAnsi="宋体" w:eastAsia="宋体" w:cs="宋体"/>
          <w:sz w:val="24"/>
          <w:szCs w:val="24"/>
          <w:lang w:val="zh-CN"/>
        </w:rPr>
        <w:t>中标候选人。</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 xml:space="preserve">.4.6 </w:t>
      </w:r>
      <w:r>
        <w:rPr>
          <w:rFonts w:hint="eastAsia" w:ascii="宋体" w:hAnsi="宋体" w:eastAsia="宋体" w:cs="宋体"/>
          <w:sz w:val="24"/>
          <w:szCs w:val="24"/>
          <w:lang w:val="zh-CN"/>
        </w:rPr>
        <w:t>评标委员会完成评标后，应当向采购人提交书面评标报告。</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b/>
          <w:bCs/>
          <w:sz w:val="24"/>
          <w:szCs w:val="24"/>
          <w:lang w:val="zh-CN"/>
        </w:rPr>
      </w:pPr>
      <w:r>
        <w:rPr>
          <w:rFonts w:hint="eastAsia" w:ascii="宋体" w:hAnsi="宋体" w:cs="宋体"/>
          <w:b/>
          <w:bCs/>
          <w:sz w:val="24"/>
          <w:szCs w:val="24"/>
          <w:lang w:val="en-US" w:eastAsia="zh-CN"/>
        </w:rPr>
        <w:t>3</w:t>
      </w:r>
      <w:r>
        <w:rPr>
          <w:rFonts w:hint="eastAsia" w:ascii="宋体" w:hAnsi="宋体" w:eastAsia="宋体" w:cs="宋体"/>
          <w:b/>
          <w:bCs/>
          <w:sz w:val="24"/>
          <w:szCs w:val="24"/>
        </w:rPr>
        <w:t xml:space="preserve">.5 </w:t>
      </w:r>
      <w:r>
        <w:rPr>
          <w:rFonts w:hint="eastAsia" w:ascii="宋体" w:hAnsi="宋体" w:eastAsia="宋体" w:cs="宋体"/>
          <w:b/>
          <w:bCs/>
          <w:sz w:val="24"/>
          <w:szCs w:val="24"/>
          <w:lang w:val="zh-CN"/>
        </w:rPr>
        <w:t>顺延中标人或重新招标</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中标人因不可抗力不能履行政府采购合同的，采购人可以与排位在中标人之后第一位的中标候选人签订政府采购合同，或者重新采购。</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b/>
          <w:bCs/>
          <w:sz w:val="24"/>
          <w:szCs w:val="24"/>
        </w:rPr>
      </w:pPr>
      <w:bookmarkStart w:id="264" w:name="_Toc28863"/>
      <w:bookmarkStart w:id="265" w:name="_Toc11630"/>
      <w:bookmarkStart w:id="266" w:name="_Toc7468"/>
      <w:bookmarkStart w:id="267" w:name="_Toc17922"/>
      <w:bookmarkStart w:id="268" w:name="_Toc54"/>
      <w:bookmarkStart w:id="269" w:name="_Toc19590"/>
      <w:bookmarkStart w:id="270" w:name="_Toc16293"/>
      <w:r>
        <w:rPr>
          <w:rFonts w:hint="eastAsia" w:ascii="宋体" w:hAnsi="宋体" w:cs="宋体"/>
          <w:b/>
          <w:bCs/>
          <w:sz w:val="24"/>
          <w:szCs w:val="24"/>
          <w:lang w:val="en-US" w:eastAsia="zh-CN"/>
        </w:rPr>
        <w:t>3</w:t>
      </w:r>
      <w:r>
        <w:rPr>
          <w:rFonts w:hint="eastAsia" w:ascii="宋体" w:hAnsi="宋体" w:eastAsia="宋体" w:cs="宋体"/>
          <w:b/>
          <w:bCs/>
          <w:sz w:val="24"/>
          <w:szCs w:val="24"/>
        </w:rPr>
        <w:t>.6 保密及其他注意事项</w:t>
      </w:r>
      <w:bookmarkEnd w:id="264"/>
      <w:bookmarkEnd w:id="265"/>
      <w:bookmarkEnd w:id="266"/>
      <w:bookmarkEnd w:id="267"/>
      <w:bookmarkEnd w:id="268"/>
      <w:bookmarkEnd w:id="269"/>
      <w:bookmarkEnd w:id="270"/>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 xml:space="preserve">.6.1 </w:t>
      </w:r>
      <w:r>
        <w:rPr>
          <w:rFonts w:hint="eastAsia" w:ascii="宋体" w:hAnsi="宋体" w:eastAsia="宋体" w:cs="宋体"/>
          <w:sz w:val="24"/>
          <w:szCs w:val="24"/>
          <w:lang w:val="zh-CN"/>
        </w:rPr>
        <w:t>在评标期间，投标企业不得向评标委员会成员询问评标情况，不得进行旨在影响中标结果的活动。</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rPr>
        <w:t xml:space="preserve">.6.2 </w:t>
      </w:r>
      <w:r>
        <w:rPr>
          <w:rFonts w:hint="eastAsia" w:ascii="宋体" w:hAnsi="宋体" w:eastAsia="宋体" w:cs="宋体"/>
          <w:sz w:val="24"/>
          <w:szCs w:val="24"/>
          <w:lang w:val="zh-CN"/>
        </w:rPr>
        <w:t>在评标结束后，凡与评标情况有接触的任何人不得也不应将评标情况扩散出评标委员会成员之外。</w:t>
      </w:r>
    </w:p>
    <w:p>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.6.3</w:t>
      </w:r>
      <w:r>
        <w:rPr>
          <w:rFonts w:hint="eastAsia" w:ascii="宋体" w:hAnsi="宋体" w:eastAsia="宋体" w:cs="宋体"/>
          <w:sz w:val="24"/>
          <w:szCs w:val="24"/>
          <w:lang w:val="zh-CN"/>
        </w:rPr>
        <w:t>招标代理机构不向落标方解释落标原因，不退还投标文件。</w:t>
      </w:r>
    </w:p>
    <w:p>
      <w:pPr>
        <w:keepNext w:val="0"/>
        <w:keepLines w:val="0"/>
        <w:pageBreakBefore w:val="0"/>
        <w:widowControl w:val="0"/>
        <w:tabs>
          <w:tab w:val="left" w:pos="720"/>
        </w:tabs>
        <w:kinsoku/>
        <w:wordWrap/>
        <w:overflowPunct/>
        <w:topLinePunct w:val="0"/>
        <w:bidi w:val="0"/>
        <w:spacing w:line="480" w:lineRule="exact"/>
        <w:ind w:firstLine="420" w:firstLineChars="200"/>
        <w:textAlignment w:val="auto"/>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6"/>
        <w:pageBreakBefore w:val="0"/>
        <w:widowControl w:val="0"/>
        <w:numPr>
          <w:ilvl w:val="0"/>
          <w:numId w:val="0"/>
        </w:numPr>
        <w:kinsoku/>
        <w:wordWrap/>
        <w:overflowPunct/>
        <w:topLinePunct w:val="0"/>
        <w:autoSpaceDE/>
        <w:autoSpaceDN/>
        <w:bidi w:val="0"/>
        <w:snapToGrid/>
        <w:spacing w:line="500" w:lineRule="exact"/>
        <w:jc w:val="center"/>
        <w:rPr>
          <w:rFonts w:ascii="宋体" w:hAnsi="宋体" w:cs="宋体"/>
          <w:sz w:val="32"/>
          <w:szCs w:val="32"/>
        </w:rPr>
      </w:pPr>
      <w:bookmarkStart w:id="271" w:name="_Toc7325"/>
      <w:bookmarkStart w:id="272" w:name="_Toc25544"/>
      <w:r>
        <w:rPr>
          <w:rFonts w:hint="eastAsia"/>
          <w:sz w:val="32"/>
          <w:szCs w:val="32"/>
          <w:lang w:eastAsia="zh-CN"/>
        </w:rPr>
        <w:t>第四章</w:t>
      </w:r>
      <w:r>
        <w:rPr>
          <w:rFonts w:hint="eastAsia"/>
          <w:sz w:val="32"/>
          <w:szCs w:val="32"/>
          <w:lang w:val="en-US" w:eastAsia="zh-CN"/>
        </w:rPr>
        <w:t xml:space="preserve"> </w:t>
      </w:r>
      <w:r>
        <w:rPr>
          <w:rFonts w:hint="eastAsia"/>
          <w:sz w:val="32"/>
          <w:szCs w:val="32"/>
        </w:rPr>
        <w:t>合同条款及格式</w:t>
      </w:r>
      <w:bookmarkEnd w:id="247"/>
      <w:bookmarkEnd w:id="248"/>
      <w:bookmarkEnd w:id="249"/>
      <w:bookmarkEnd w:id="271"/>
      <w:r>
        <w:rPr>
          <w:rFonts w:hint="eastAsia"/>
          <w:sz w:val="32"/>
          <w:szCs w:val="32"/>
        </w:rPr>
        <w:t xml:space="preserve"> （仅供参考）</w:t>
      </w:r>
      <w:bookmarkEnd w:id="272"/>
      <w:bookmarkStart w:id="273" w:name="_Toc12807"/>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甲方：（采购单位）</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乙方：（供应商 ）</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甲、乙双方持采购人、采购代理公司签发的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采购项目成交通知书，根据采购文件、响应性文件的内容，并经双方协商一致，达成以下合同条款：</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二、货物质量要求及乙方对质量负责条件和期限：</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乙方提供的货物达到乙方响应文件及澄清中的技术标准。（售后服务要求按采购文件及响应性文件相应条款制订）</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三、交货时间、地点、方式、验收：</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乙方应于2023年 月 日前按甲方要求在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（甲方指定地点）将货物运送达到验收条件。货物运送产生的费用由乙方负责。由甲方组织相关人员进行验收。</w:t>
      </w:r>
    </w:p>
    <w:p>
      <w:pPr>
        <w:pageBreakBefore w:val="0"/>
        <w:widowControl w:val="0"/>
        <w:numPr>
          <w:ilvl w:val="0"/>
          <w:numId w:val="9"/>
        </w:numPr>
        <w:kinsoku/>
        <w:wordWrap/>
        <w:overflowPunct/>
        <w:topLinePunct w:val="0"/>
        <w:autoSpaceDE/>
        <w:autoSpaceDN/>
        <w:bidi w:val="0"/>
        <w:adjustRightInd w:val="0"/>
        <w:snapToGrid/>
        <w:spacing w:line="500" w:lineRule="exact"/>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r>
        <w:rPr>
          <w:rFonts w:hint="eastAsia" w:ascii="宋体" w:hAnsi="宋体" w:cs="宋体"/>
          <w:bCs/>
          <w:sz w:val="24"/>
          <w:szCs w:val="24"/>
        </w:rPr>
        <w:t>供货完毕验收合格后付合同额的70%，联调联试并通过验收，符合国家质量验收合格标</w:t>
      </w:r>
      <w:r>
        <w:rPr>
          <w:rFonts w:hint="eastAsia" w:ascii="宋体" w:hAnsi="宋体" w:cs="宋体"/>
          <w:bCs/>
          <w:sz w:val="24"/>
          <w:szCs w:val="24"/>
          <w:highlight w:val="none"/>
        </w:rPr>
        <w:t>准后支付剩余30%。</w:t>
      </w:r>
    </w:p>
    <w:p>
      <w:pPr>
        <w:pageBreakBefore w:val="0"/>
        <w:widowControl w:val="0"/>
        <w:numPr>
          <w:ilvl w:val="0"/>
          <w:numId w:val="9"/>
        </w:numPr>
        <w:kinsoku/>
        <w:wordWrap/>
        <w:overflowPunct/>
        <w:topLinePunct w:val="0"/>
        <w:autoSpaceDE/>
        <w:autoSpaceDN/>
        <w:bidi w:val="0"/>
        <w:adjustRightInd w:val="0"/>
        <w:snapToGrid/>
        <w:spacing w:line="500" w:lineRule="exact"/>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违约责任：甲方无正当理由拒收货物、拒付货款的，向乙方偿付拒收拒付部分货物款总额的________违约金。</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乙方所交货物的规格型号、技术要求、质量品质等不符合合同规定，甲方有权拒收货物，乙方应负责更换并承担因更换而支付的全部实际费用。因更换而造成逾期交货，则按逾期交货处理。</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乙方不能交付货物的，乙方向甲方支付未交付部分货物款总额____违约金。</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若因中标人原因不能按期按质供货的，将扣除中标人2万元的违约金，同时每超过一天另扣除合同金额的千分之一。</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六、因货物的质量问题发生争议，由甲方所在地市级技术监督单位进行质量鉴定。</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七、甲乙双方应严格遵守投标要求和供应商须知，如有违反，按投标要求和供应商须知规定予以处理。</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八、采购文件及其修改补充、投标文件及其修改补充澄清均为本合同的组成部分。</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十、合同生效及其它：</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本合同经甲、乙双方代表签字、加盖公章和骑缝章后生效。本合同一式五份，甲乙双方各持两份。合同签订后在2个工作日内，采购人将合同在焦作市政府采购网公示并备案。</w:t>
      </w:r>
    </w:p>
    <w:p>
      <w:pPr>
        <w:pStyle w:val="16"/>
      </w:pP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甲方：</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地址：</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                   法定代表人：</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                   委托代理人：</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电话：</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开户银行：</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银行账号：</w:t>
      </w:r>
    </w:p>
    <w:p>
      <w:pPr>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                     签约地点：</w:t>
      </w:r>
    </w:p>
    <w:p>
      <w:pPr>
        <w:pageBreakBefore w:val="0"/>
        <w:widowControl w:val="0"/>
        <w:kinsoku/>
        <w:wordWrap/>
        <w:overflowPunct/>
        <w:topLinePunct w:val="0"/>
        <w:autoSpaceDE/>
        <w:autoSpaceDN/>
        <w:bidi w:val="0"/>
        <w:adjustRightInd w:val="0"/>
        <w:snapToGrid/>
        <w:spacing w:line="500" w:lineRule="exact"/>
        <w:ind w:firstLine="482" w:firstLineChars="200"/>
        <w:textAlignment w:val="baseline"/>
        <w:rPr>
          <w:rFonts w:hint="eastAsia" w:asciiTheme="minorEastAsia" w:hAnsiTheme="minorEastAsia" w:eastAsiaTheme="minorEastAsia" w:cstheme="minorEastAsia"/>
          <w:b/>
          <w:bCs/>
          <w:sz w:val="24"/>
          <w:szCs w:val="24"/>
        </w:rPr>
      </w:pPr>
    </w:p>
    <w:p>
      <w:pPr>
        <w:pageBreakBefore w:val="0"/>
        <w:widowControl w:val="0"/>
        <w:kinsoku/>
        <w:wordWrap/>
        <w:overflowPunct/>
        <w:topLinePunct w:val="0"/>
        <w:autoSpaceDE/>
        <w:autoSpaceDN/>
        <w:bidi w:val="0"/>
        <w:adjustRightInd w:val="0"/>
        <w:snapToGrid/>
        <w:spacing w:line="500" w:lineRule="exact"/>
        <w:ind w:firstLine="482" w:firstLineChars="200"/>
        <w:textAlignment w:val="baseline"/>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重要提示：以上合同文本作为签订合同的重要依据，涉及付款方式、供应商名称等实质性内容不得变更。</w:t>
      </w: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both"/>
        <w:rPr>
          <w:b/>
          <w:bCs/>
          <w:sz w:val="32"/>
          <w:szCs w:val="32"/>
        </w:rPr>
      </w:pPr>
    </w:p>
    <w:p>
      <w:pPr>
        <w:pStyle w:val="6"/>
        <w:pageBreakBefore w:val="0"/>
        <w:widowControl w:val="0"/>
        <w:kinsoku/>
        <w:wordWrap/>
        <w:overflowPunct/>
        <w:topLinePunct w:val="0"/>
        <w:autoSpaceDE/>
        <w:autoSpaceDN/>
        <w:bidi w:val="0"/>
        <w:adjustRightInd/>
        <w:snapToGrid/>
        <w:spacing w:line="500" w:lineRule="exact"/>
        <w:textAlignment w:val="auto"/>
        <w:rPr>
          <w:sz w:val="32"/>
          <w:szCs w:val="32"/>
        </w:rPr>
      </w:pPr>
      <w:bookmarkStart w:id="274" w:name="_Toc8682"/>
      <w:r>
        <w:rPr>
          <w:rFonts w:hint="eastAsia"/>
          <w:sz w:val="32"/>
          <w:szCs w:val="32"/>
          <w:lang w:eastAsia="zh-CN"/>
        </w:rPr>
        <w:t>第五章</w:t>
      </w:r>
      <w:r>
        <w:rPr>
          <w:rFonts w:hint="eastAsia"/>
          <w:sz w:val="32"/>
          <w:szCs w:val="32"/>
          <w:lang w:val="en-US" w:eastAsia="zh-CN"/>
        </w:rPr>
        <w:t xml:space="preserve"> </w:t>
      </w:r>
      <w:r>
        <w:rPr>
          <w:rFonts w:hint="eastAsia"/>
          <w:sz w:val="32"/>
          <w:szCs w:val="32"/>
        </w:rPr>
        <w:t>采购内容及技术要求</w:t>
      </w:r>
      <w:bookmarkEnd w:id="274"/>
    </w:p>
    <w:p>
      <w:pPr>
        <w:pStyle w:val="16"/>
        <w:outlineLvl w:val="1"/>
        <w:rPr>
          <w:rFonts w:ascii="宋体" w:hAnsi="宋体" w:cs="宋体"/>
          <w:color w:val="323232"/>
          <w:sz w:val="24"/>
        </w:rPr>
      </w:pPr>
      <w:r>
        <w:rPr>
          <w:rFonts w:hint="eastAsia" w:ascii="宋体" w:hAnsi="宋体" w:cs="宋体"/>
          <w:b/>
          <w:bCs/>
          <w:color w:val="323232"/>
          <w:sz w:val="24"/>
        </w:rPr>
        <w:t>一、产品技术参数及数量</w:t>
      </w:r>
    </w:p>
    <w:tbl>
      <w:tblPr>
        <w:tblStyle w:val="32"/>
        <w:tblW w:w="9825" w:type="dxa"/>
        <w:jc w:val="center"/>
        <w:tblLayout w:type="fixed"/>
        <w:tblCellMar>
          <w:top w:w="0" w:type="dxa"/>
          <w:left w:w="0" w:type="dxa"/>
          <w:bottom w:w="0" w:type="dxa"/>
          <w:right w:w="0" w:type="dxa"/>
        </w:tblCellMar>
      </w:tblPr>
      <w:tblGrid>
        <w:gridCol w:w="735"/>
        <w:gridCol w:w="1740"/>
        <w:gridCol w:w="5115"/>
        <w:gridCol w:w="720"/>
        <w:gridCol w:w="615"/>
        <w:gridCol w:w="900"/>
      </w:tblGrid>
      <w:tr>
        <w:tblPrEx>
          <w:tblCellMar>
            <w:top w:w="0" w:type="dxa"/>
            <w:left w:w="0" w:type="dxa"/>
            <w:bottom w:w="0" w:type="dxa"/>
            <w:right w:w="0" w:type="dxa"/>
          </w:tblCellMar>
        </w:tblPrEx>
        <w:trPr>
          <w:trHeight w:val="33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商品名称</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技术参数要求</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备注</w:t>
            </w:r>
          </w:p>
        </w:tc>
      </w:tr>
      <w:tr>
        <w:tblPrEx>
          <w:tblCellMar>
            <w:top w:w="0" w:type="dxa"/>
            <w:left w:w="0" w:type="dxa"/>
            <w:bottom w:w="0" w:type="dxa"/>
            <w:right w:w="0" w:type="dxa"/>
          </w:tblCellMar>
        </w:tblPrEx>
        <w:trPr>
          <w:trHeight w:val="495" w:hRule="atLeast"/>
          <w:jc w:val="center"/>
        </w:trPr>
        <w:tc>
          <w:tcPr>
            <w:tcW w:w="98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一、视频监控子系统</w:t>
            </w: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智能球型布控一体机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800万像素+400万像素4K拼接全彩枪球摄像机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支持在摄像机的实时视频画面中添加≥500个AR标签，且可实现标签与标签联动的功能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支持点击全景画面联动特写镜头，手动跟踪运动目标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支持全景路≥3840×1080@25fps高清画面输出，细节路最大≥3840×2160@25fps高清画面输出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支持宽动态≥120dB，适合逆光环境监控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支持3D数字降噪、强光抑制、混合防抖、SmartIR</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≥1路音频输入和1路音频输出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内置多路报警输入和多路报警输出，支持报警联动功能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≥256 GB的MicroSD/MicroSDHC/MicroSDXC卡存储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具备声音警戒功能，可设置10种以上警戒音、提示音、自定义语音，报警次数1～50次可设；可通过区域入侵侦测、越界侦测、进入区域侦测、离开区域侦测等报警事件，联动声音报警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前端建模比对：前端存储人脸图片进行建模后，对场景中抓拍的人脸进行比对并输出结果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≥IP67; 6000V 防雷、防浪涌、防突波</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800万全彩枪机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800万像素全彩网络摄像机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全彩级高灵敏度传感器，恒定超大光圈变焦镜头，为智能应用提供更清晰的视频流输入，全面提升智能业务处理的准确度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最高分辨率≥800万像素，并在此分辨率下可输出30 fps实时图像，图像更流畅，支持透雾、电子防抖，支持宽动态≥120 dB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音频：≥1路输入（Line in），1路输出（Line out），2个内置麦克风，1个内置扬声器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同一场景相同图像质量下，将设备视频编解码格式设置为H.265，开启智能功能与未开启智能功能相比，码率可节约1/2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支持四码流技术，主码流分辨率≥4096x2160@25fps，子码流≥704x576@25fps，第三码流≥1920x1080@25fps，第四码流≥704x576@25fps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设备水平中心分辨力≥2000TVL</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防护：≥IP67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出入口管控全局一体机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4K全局结构化采集摄像机，采用全景枪机通道结合球机细节通道进行全局管控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支持人脸抓拍，非机动车识别、机动车车牌识别等全结构化采集功能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内置高效暖白光全彩阵列灯，夜间能正常进行人脸、人体、车辆抓拍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支持多镜头联动抓拍模式，多镜头同时进行全结构化属性采集模式等</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多个通道均支持对镜头前盖玻璃加热，去除玻璃上的冰状和水状附着物</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具备电瓶车牌识别功能，设备可在智能展示界面显示电瓶车的车牌，触发电瓶车报警时，可实时显示电瓶车小图、电瓶车大图和电瓶车车牌小图</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宽动态：120 dB超宽动态</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网络接口：RJ45网口，自适应10 M/100 M/1000 M网络数据</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SD卡扩展：内置Micro SD卡插槽，最大支持256 GB</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报警：不少于1路报警输入</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报警输出：不少于1路报警输出</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音频：不少于1路音频输入，音频峰值：2~2.4 V[p-p]，输入阻抗：1 kΩ ± 10%</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音频输出：不少于1路音频输出，线性电平，阻抗:600Ω</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防护：≥IP66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外围防控一体机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800万像素+800万像素防控一体机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支持断网续传功能保证录像不丢失，配合后端设备实现事件录像的智能后检索、分析和浓缩播放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当监控场景无目标时，补光灯处于低亮模式；当设备全景采集通道检测到目标后，可自动将补光灯调节至高亮模式，并支持目标跟踪、检测、筛选、抓拍、分析属性信息和上报功能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可同时对不同速度、明亮度、反光度的行人、非机动车、机动车分类曝光，可实时检测、跟踪、抓拍行进的行人人脸、人体、非机动车及车上人员、机动车车牌、机动车；可识别人脸及车牌号码，同时抓拍的人脸和车牌号码图片应清晰可辨，无过曝、过暗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支持混合抓拍模式，可同时对行人、非机动车、机动车进行检测、跟踪及抓拍，行人、非机动车和机动车目标捕获率≥99%，并支持行人、非机动车和机动车的分类计数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支持单场景同时检出≥40张人脸图片，并支持面部跟踪；支持批量导入人脸库，人脸库图片信息可更改；支持人脸比对，比对准确率≥99%</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支持对镜头前盖玻璃加热，去除玻璃上的冰状和水状附着物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≥IP66防护等级、IK10防暴等级</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室外定向拾音器</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室外防水定向拾音器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拾音范围: ≥30米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灵敏度: ≥-35dB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频率响应:≥ 20Hz ～ 20kHz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信噪比: ≥90dB （@1 kHz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有效消除环境噪声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工作环境温度: -25℃~70℃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防水等级: ≥IP67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室外全向拾音器</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室外防水全向拾音器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拾音范围:≥70平方米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音频传输距离:≥200米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灵敏度:≥-43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信噪比:≥58dB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防水等级≥:IP66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室内拾音器</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室内全向拾音器；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拾音范围≥70平方米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音频传输距离≥3000米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灵敏度≥-41dB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信噪比≥ 75dB</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周界防范热成像警戒摄像机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热成像周界防范筒型摄像机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热成像：分辨率：≥256×192；视场角：18°× 13.5°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可见光：分辨率：≥2688×1520；视场角：39.4° × 22.1°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人员周界报警距离（目标人员≥1.8米*0.5米）：≥100m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电源方式：DC 12 V（±25%）或PoE (802.3af, class 3)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工作温度和湿度：-40℃~70℃，湿度小于95%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防护等级：≥IP67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室内防火预警摄像机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热成像半球防火预警网络摄像机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热成像：分辨率：≥256 × 192；视场角：50.0°x37.3°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可见光：分辨率：≥2688×1520；视场角： 84.0° × 43.1°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测温范围：≥-20℃~550℃；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火点报警距离（目标物≥0.1米*0.1米）：≥18m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吸烟检测报警距离：≥4.5m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电源方式：DC 12 V（±25%）或PoE (802.3af, class 3)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工作温度和湿度：-40℃~70℃，湿度小于95%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防护等级：≥IP66</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LCD显示单元</w:t>
            </w:r>
          </w:p>
        </w:tc>
        <w:tc>
          <w:tcPr>
            <w:tcW w:w="5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显示尺寸：≥55 inch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物理分辨率：≥1920 × 1080@60 Hz（向下兼容）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亮度：≥500 cd/m²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可视角：≥178°(水平) / 178°(垂直)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边框宽度：≤3.5 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边框宽度公差：≤±0.8mm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对比度：≥1200 : 1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音视频输入接口：HDMI × 1, DVI × 1, VGA × 1, CVBS × 1, USB × 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音视频输出接口：HDMI × 1, VGA × 1, CVBS × 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控制接口（不少于）：RS232 IN × 1，RS232 OUT × 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支持实时检测输入信号的刷新频率，动态调节背光PWM波频率，确保输入信号源和背光PWM波频率同频，解决摩尔纹问题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支持实时分析当前画面亮度分布比例，自动调整亮度值的功能，具有动态调节画面对比度，可提高暗阶画面亮度，增强暗画面显示细节的功能</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解码器</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超高清解码器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设备最低要求如下：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支持HDMI、BNC输出口解码输出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支持H.265、H.264、MPEG4、MJPEG等多种编码码流解码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支持H.265、H.264、MPEG4、MJPEG等主流的编码格式的解码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支持PS、RTP、TS、ES等主流的封装格式的解码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支持H.265、H.264的Baseline、Main、High-profile编码级别的解码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支持G.722、G.711A、G.726、G.711U、MPEG2-L2、AAC音频格式的解码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支持开窗、窗口漫游、窗口分屏功能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支持直连前端设备解码上墙和通过流媒体转发的方式解码上墙</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视频监控管理系统</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视频监控应用提供视频管理服务，支持编码设备通过各种主流协议接入平台，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一、视频预览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1、支持视频实时预览能力，实现预览窗口布局切换、预览画面自适应及全屏切换；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2、支持云台控制、实时抓图、紧急录像、即时回放、主子码流切换、声音开启\关闭、辅屏预览（1个辅屏）、对讲、广播、报警输出控制的能力；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3、支持智能规则展示的能力（如：针对热成像设备温度信息实时展示）；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4、支持资源视图管理能力，以视图形式管理监控点、视频预览轮巡等自定义资源组，其中视图类型包含公有视图和私有视图；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5、支持全景视频监控预览能力，支持全景模式；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二、录像回放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1、支持录像计划管理能力，支持实时录像计划、录像回传计划；</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2、支持录像回放能力，支持多画面同步回放和异步回放切换、超高倍速回放、分段回放、录像下载、录像剪辑、录像标签、录像锁定、录像抓图；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三、图片监控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1、支持视频预览与图片实时监控模式切换能力，实现图片监控模式；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2、支持图片查询回放能力，实现按监控点、时间段展示抓拍图片；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3、支持图片自动播放能力，支持图片自动播放速度可设置；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4、支持图片下载能力；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四、视频上墙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1、支持电视墙场景管理能力，实现场景窗口配置、场景切换计划配置以及轮巡计划的管理；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2、支持上墙控制能力，实现场景一键上墙、场景切换、电视墙切换、监控点上下墙、轮巡控制操作；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四、视频事件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1、支持视频事件布撤防能力，可按计划模版进行布防，事件类型包括移动侦测、视频丢失、视频遮挡、报警输入、报警输出；</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视频质量诊断管理系统</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视频质量诊断应用，提供视频图像诊断和监测服务。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1、支持监控点通道的图像质量诊断结果统计和查看。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2、支持图像模糊、图像过亮、图像偏色、图像过暗、图像过亮、视频抖动、视频丢帧、场景变换、视频遮挡、对比度、条纹干扰、噪声干扰、信号丢失、黑白图像指标诊断。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3、支持码流分辨率、编码格式指标采集。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4、支持诊断对比图查看和诊断结果矫正功能。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5、支持巡检计划配置，可以按照类型和资源以及自定义的巡检周期进行巡检计划配置。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6、支持监控点图像质量统计报表，展现各类诊断故障数量。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视频联网应用</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视频级联应用主要为视频监控业务提供级联服务，专注于平台域间视频联网，基于视频通用标准协议（GB/T28181-2011,GB/T28181-2016）与外域平台互联互通，实现上级平台对下级平台视频资源点位的操作控制。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1、支持上下级域注册管理能力，实现平台数据级联；</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2、支持资源同步能力；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3、支持级联视频点位实时预览、录像回放、录像下载、语音对讲能力；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4、支持级联视频点位设备操作控制能力；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5、支持下级平台推送到本级平台视频点位路数控制能力，通过级联点位授权路数控制；</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95" w:hRule="atLeast"/>
          <w:jc w:val="center"/>
        </w:trPr>
        <w:tc>
          <w:tcPr>
            <w:tcW w:w="98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二、室外信息发布子系统</w:t>
            </w:r>
          </w:p>
        </w:tc>
      </w:tr>
      <w:tr>
        <w:tblPrEx>
          <w:tblCellMar>
            <w:top w:w="0" w:type="dxa"/>
            <w:left w:w="0" w:type="dxa"/>
            <w:bottom w:w="0" w:type="dxa"/>
            <w:right w:w="0" w:type="dxa"/>
          </w:tblCellMar>
        </w:tblPrEx>
        <w:trPr>
          <w:trHeight w:val="116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机柜式大屏支架</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含安装</w:t>
            </w:r>
          </w:p>
        </w:tc>
      </w:tr>
      <w:tr>
        <w:tblPrEx>
          <w:tblCellMar>
            <w:top w:w="0" w:type="dxa"/>
            <w:left w:w="0" w:type="dxa"/>
            <w:bottom w:w="0" w:type="dxa"/>
            <w:right w:w="0"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户外信息发布屏</w:t>
            </w:r>
          </w:p>
        </w:tc>
        <w:tc>
          <w:tcPr>
            <w:tcW w:w="5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产品类别：LED户外园区屏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像素结构：表贴三合一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像素间距：≤5 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灯珠尺寸：≥1921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模组尺寸：320（W）mm×160（H）mm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模组分辨率：64×32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像素密度：≥40000点/㎡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屏体尺寸：3200（W）mm× 1920（H）mm× 97.5（D） 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屏体分辨率：≥640×384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屏体面积：≥6.144m²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防护等级：≥IP65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电源规格：5V 60A 300W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白平衡亮度：4500-5500cd/m²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色温：1000K-10000K可调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可视角：≥140°(H)/120°(V)</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亮度均匀性：≥97％</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色度均匀性：±0.003Cx，Cy之内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对比度：≥5000：1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显示比例：5：3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最佳视距：5-15M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驱动方式：1/8恒流驱动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换帧频率：≥60Hz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刷新率：3840 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灰度等级：红、绿、蓝各14bits</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信息发布盒</w:t>
            </w:r>
          </w:p>
        </w:tc>
        <w:tc>
          <w:tcPr>
            <w:tcW w:w="5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信息发布盒子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4K节目发布：支持4K节目单的新建、编辑、删除、搜索以及4K日程的发布。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任意方向遥控：采用无线433通信的遥控器可以任意方向与终端交互控制。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素材类型多样：包括图片、音频、视频、滚动字幕、PDF文档、网页、实时监控画面、叫号、弹图等。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节目编排灵活：支持多种素材自由排版、分区显示； 支持多种播放方式，按日、按周、轮播、自定义等。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终端集中管理：支持终端统一远程管理和控制，定时开关机设置、一键开关机、显示亮度/音量定时调节、播放画面截图预览等；支持网络远程下发节目和无网络本地（U盘）节目更新。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分级管理权限：支持≥5级组织管理素材、节目、终端、用户等资源；支持创建自定义用户，精确分配多种用户的权限，多种权限模板可选。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多重安全保障：素材、节目、日程三级审核，防误播误报，终端屏保密码功能，保障系统播出内容安全；数据存储、数据传输加密，防数据篡改； 客户自行激活设置初始密码，保障密码安全</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配电柜</w:t>
            </w:r>
          </w:p>
        </w:tc>
        <w:tc>
          <w:tcPr>
            <w:tcW w:w="5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类型：10KW户外配电柜，带防雷模块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输入电压：380V</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输出电压：220V</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输出回路：3个单向回路</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10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信息发布子系统</w:t>
            </w:r>
          </w:p>
        </w:tc>
        <w:tc>
          <w:tcPr>
            <w:tcW w:w="5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提供信息发布屏和诱导LED屏管理，终端监控、素材管理、节目管理、日程管理、发布管理和审核管理等。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95" w:hRule="atLeast"/>
          <w:jc w:val="center"/>
        </w:trPr>
        <w:tc>
          <w:tcPr>
            <w:tcW w:w="98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三、室内报警子系统</w:t>
            </w: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室内双鉴探测器</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有线室内双鉴探测器；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探测方式：被动红外+微波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探测范围：12m / 90° ；全范围PIR辅以24GHz微波探测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测速范围：0.2～3m/s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灵敏度：自动；30Kg 防宠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支持自动灵敏度和数字温度补偿；光学密封，下视窗保护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支持下视窗保护；支持数字温度补偿；支持智能算法；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微波频段：24GHz(24.15～24.25GHz)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防拆保护：开盖；报警输出：常闭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标称功耗：17mA(最大)；设备供电：9 - 16 VDC；标称电压：12 VDC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安装高度：1.8m ～ 2.4m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工作温度：-10 °C ～ 55 °C；储存温度：-20 °C ～ 60 °C；工作湿度：10% - 90%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安装方式：壁装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使用场景：室内</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只</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总线报警主机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总线式网络报警主机；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8个板载有线防区，可扩展≥256个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4个板载触发器输出，可扩展至≥256个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支持≥8个无线485模块，每个模块可以连接≥8个无线探测器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支持≥8000条报警事件记录，2000条操作日志和1500条管理记录，支持远程搜索查询事件日志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支持定时布撤防（日常计划、优先计划）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支持CID 报告，支持话机复用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支持防区报警、系统状态事件联动输出，发生/恢复事件和时间可灵活配置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支持≥32个LCD键盘包括1个全局键盘和31个子系统键盘，键盘总线总长度≥1.2km（Φ1.5mm）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支持外置蓄电池，蓄电池电压实时监测，主辅电源可自动切换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支持远程升级,远程导入导出配置参数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支持两条总线，总线无极性，支持手牵手总线拓扑，每条可达≥2400m（RVV2*1.5mm2）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用户：网络用户≥32个，包括管理员、操作员、安装员，制造商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功耗：≤60W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电源：AC220V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工作温度：–10℃～+55℃；工作湿度：10％--90％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报警扩展模块</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总线网络报警主机单防区扩展模块/1个扩展防区数/248最大级联数/0.8mA静态电流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报警键盘</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LCD报警键盘； 连接到报警主机，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可以对报警主机进行操作和编程，通过指示灯和报警音提示报警；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支持连接遥控器进行远程布撤防，支持双向遥控器，遥控器LED显示操作结果；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键盘最多所能支持的无线遥控器数量由主机决定，≥32个遥控器；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支持刷卡布撤防，但刷卡不支持消警功能，卡片数量由主机限制，网络主机≥32张卡片；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主机状态指示灯：系统故障（橙色），网络链接状态（绿色），报警（红色），布撤防（蓝色），配置状态（红绿双色） 功能键：≥8个，工程、查询，旁路，一键，火警，紧急，左键，右键；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防拆功能：支持；与主机通讯：485；键盘警情输出：蜂鸣器；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功能特性：对主机编程、撤布防、消警、旁路/旁路恢复、工程测试、子系统操作、继电器操作、主机状态查询；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工作温度：-10℃～＋55℃；工作湿度：10％～90％；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声光报警器</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声光报警器，声压≥108分贝,电流≤250毫安,防水,一般用于室外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工作电压：12V 工作电流：工作电流：250 mA   声压指数：≥108dB 声调频率：3.8KHZ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只</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配套电源</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探测器开关电源；直流电压：12V；额定电流：3A；电流范围：0~3A；额定功率：36w；电压调整范围：10.2~13.8V；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工作温度：-30~+70℃；工作湿度：20~90%RH，无冷凝；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入侵报警管理系统</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入侵报警应用基于前端防区探测器进行园区范围内的入侵行为或意外事件的迅速感知和处理，实现针对园区内部的高效安全防范。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1、支持报警子系统管理能力，包含布防、撤防、消警控制操作；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2、支持防区管理能力，包含旁路、旁路恢复操作；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3、支持实时入侵报警能力；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4、支持历史入侵报警事件查询及导出能力</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95" w:hRule="atLeast"/>
          <w:jc w:val="center"/>
        </w:trPr>
        <w:tc>
          <w:tcPr>
            <w:tcW w:w="98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四、人员出入门禁子系统</w:t>
            </w: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人员出入口摆闸（右边机）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设备采用直流无刷伺服电机，最少支持600万次无故障通行；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设备可联网运行，支持远程控制管理功能，也可单机离线运行；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设备支持人数统计功能，可针对进出方向分别进行统计；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设备集成语音模块，可根据用户需求自定义语音播报内容；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设备集成门禁主控板，可扩展人脸识别组件、读卡器、二维码、指纹等多种认证方式；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设备具有消防联动接口，当消防信号触发时，门翼自动打开，快速引导人员疏散；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设备标配超级电容，断电时门翼处于打开状态，人员可自由通行，防止恐慌；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设备采用不少于20对红外检测传感器，采用防尾随跟踪控制技术，授权人员才能通过，未经授权人员尾随闯入时会发出声光报警；并能在睛天、雨天等复杂环境下稳定运行，不产生误报。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设备具备防夹功能，在门翼复位的过程中遇阻时电机自动停止工作,防止人员受伤；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设备具备防冲撞功能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箱体材质：SUS304拉丝不锈钢，1.5±0.15mm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门翼材质：亚克力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工作温度：-20℃~70℃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人员出入口摆闸（左边机）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设备采用直流无刷伺服电机，最少支持600万次无故障通行；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设备可联网运行，支持远程控制管理功能，也可单机离线运行；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设备支持人数统计功能，可针对进出方向分别进行统计；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设备集成语音模块，可根据用户需求自定义语音播报内容；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设备集成门禁主控板，可扩展人脸识别组件、读卡器、二维码、指纹等多种认证方式；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设备具有消防联动接口，当消防信号触发时，门翼自动打开，快速引导人员疏散；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设备标配超级电容，断电时门翼处于打开状态，人员可自由通行，防止恐慌；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设备采用不少于20对红外检测传感器，采用防尾随跟踪控制技术，授权人员才能通过，未经授权人员尾随闯入时会发出声光报警；并能在睛天、雨天等复杂环境下稳定运行，不产生误报。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设备具备防夹功能，在门翼复位的过程中遇阻时电机自动停止工作,防止人员受伤；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设备具备防冲撞功能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箱体材质：SUS304拉丝不锈钢，1.5±0.15mm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门翼材质：亚克力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工作温度：-20℃~70℃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人员出入口摆闸（中间机）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设备采用直流无刷伺服电机，最少支持600万次无故障通行；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设备可联网运行，支持远程控制管理功能，也可单机离线运行；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设备支持人数统计功能，可针对进出方向分别进行统计；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设备集成语音模块，可根据用户需求自定义语音播报内容；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设备集成门禁主控板，可扩展人脸识别组件、读卡器、二维码、指纹等多种认证方式；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设备具有消防联动接口，当消防信号触发时，门翼自动打开，快速引导人员疏散；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设备标配超级电容，断电时门翼处于打开状态，人员可自由通行，防止恐慌；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设备采用不少于20对红外检测传感器，采用防尾随跟踪控制技术，授权人员才能通过，未经授权人员尾随闯入时会发出声光报警；并能在睛天、雨天等复杂环境下稳定运行，不产生误报。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设备具备防夹功能，在门翼复位的过程中遇阻时电机自动停止工作,防止人员受伤；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设备具备防冲撞功能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箱体材质：SUS304拉丝不锈钢，1.5±0.15mm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门翼材质：亚克力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工作温度：-20℃~70℃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人证比对-身份证阅读器</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可读取二/三代居民身份证、港澳台居民居住证、外国人永久居留身份证的信息；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通信接口：USB2.0接口；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工作电压：DC 5V；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工作电流：0.3A（Max）</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人证比对-人脸识别组件</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屏幕参数： 10.1英寸LCD触摸显示屏，屏幕比例9:16，屏幕分辨率600*1024；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摄像头参数：采用宽动态200万双目摄像头；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认证方式：支持人脸、密码、二维码（通过摄像头识别）认证方式，可通过 485 接口外接读卡器，也通过 USB 接口外接身份证，实现人证比对功能；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人脸识别：支持照片、视频防假；1:N人脸识别速度≤0.2s，人脸验证准确率≥99%；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存储容量：本地支持50000张人脸、50000张卡（外接读卡器），100000条事件记录；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硬件接口：LAN*1、RS485*1、韦根*1（双向 26/34）、USB*1、电锁*1、门磁*1、报警输入*2、报警输出*1、开门按钮*1；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通信方式及网络协议：有线网络、WiFi；</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使用环境：IP65，室内外环境；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工作电压： DC 12V/2A；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口罩检测：支持口罩检测模式，可配置提醒戴口罩模式、强制戴口罩模式，关联门禁控制；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监控室门禁主机（含磁力锁锁）</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屏幕参数： 7英寸触摸显示屏，屏幕比例9:16，屏幕分辨率600*1024；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摄像头参数：采用宽动态200万双目摄像头；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认证方式：支持人脸、刷卡（IC卡、手机NFC卡、CPU卡序列号/内容、身份证卡序列号）、密码认证方式，可外接身份证、指纹、蓝牙、二维码功能模块；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人脸识别：支持单人或多人识别（最多5人同时认证）功能；支持照片、视频防假；1:N人脸识别速度≤0.2s，人脸验证准确率≥99%；</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存储容量：本地支持≥10000人脸库、50000张卡，15万条事件记录；</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硬件接口（不少于）：LAN*1、RS485*1、Wiegand * 1(支持双向)、typeC类型USB接口*1、电锁*1、门磁*1、报警输入*2、报警输出*1、开门按钮*1、SD卡槽*1（≥512GB）、3.5mm音频输出接口*1；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通信方式及网络协议：有线网络；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使用环境：IP65，室内外环境；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安装方式：壁挂安装；</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门禁管理系统</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基础门禁管理通过接入多种门禁设备，利用卡片、人脸、指纹介质，实现人员身份识别、出入管控等智能应用，主要提供门禁权限管理、事件管理、门禁状态查看、门禁远程控制、人员出入记录实时展示、远程呼叫对讲等应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一、提供门禁权限管理应用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1、支持按组织、人员、人员分组、门禁点维度配置权限；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2、支持设置权限有效期、计划模板、假日计划；</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3、支持按人员特征属性生成人员分组，如证件类型、岗位等级、职称等；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4、支持权限增量下发、初始化下发；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5、支持按时段配置门的常开常闭状态；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6、支持认证方式设置，可按不同时段设置不同的认证方式，如刷卡+人脸、刷卡+指纹；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7、支持首卡常开，刷首卡可使门保持常开至常开时间段结束，若此期间再次刷首卡，门恢复正常状态；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8、支持特殊卡设置，包括残疾人卡（可延长开门时间）、黑名单卡（无法开门）、胁迫卡（正常开门并上报胁迫报警）、超级卡（不受限于门常闭、刷卡+密码认证需要密码确认的规则，刷卡直接开门）；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9、针对刷卡开门方式，即使卡片权限未同步到设备，也可通过中心平台完成权限认证开门。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10、支持调整已超出或即将超出设备容量的人员生物特征；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11、支持按门禁点、人员、组织、区域等多维度，综合查询权限配置、下发状态等信息；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二、提供门禁事件管理应用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1、支持配置平台接收到事件类型；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2、支持配置事件保存时长；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3、支持查询人员出入事件和设备事件；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三、提供门禁状态查看及远程控制应用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1、支持查看门禁状态，包括开关状态、在离线状态；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2、支持对门禁点反控，包括对门进行开、关、常开、常闭的反控操作；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3、支持远程呼叫应用，门禁一体机呼叫中心发起开门请求，cs客户端弹窗显示一体机视频，中心可选择接听、拒绝、开门；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四、提供人员出入记录实时展示应用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1、支持人员进出事件实时展示，包括人员基础信息、抓拍图片、进出时间、设备名称等，可全屏展示</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95" w:hRule="atLeast"/>
          <w:jc w:val="center"/>
        </w:trPr>
        <w:tc>
          <w:tcPr>
            <w:tcW w:w="98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五、紧急报警子系统</w:t>
            </w: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紧急报警箱</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支持语音对讲功能，内置高灵敏度麦克风，可实现≥5米对讲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支持视频采集功能，内置200W 自动红外超广角高清摄像头，实现全天候24小时实时监控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支持H.264、 H.264SVC和H.265视频编码格式，支持G.711U和G.726音频压缩标准，支持宽动态、强光抑制，场景适应性好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音频接口：1个音频输入、1个音频输出接口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警灯输出：1个红蓝双色警灯，可独立控制；报警输出：2路；警号输出：1个声音110分贝，可独立控制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报警输入：2路；扬声器：内置1路3W扬声器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补光方式：红外补光；视频压缩标准：H.264;H.265；日夜转换模式：ICR红外滤片式自动切换；镜头视场角：水平视场角:128°；帧率：帧率25fps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IP等级：IP65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21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紧急报警盒</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支持网络自适应、音视频自适应功能，在网络丢包情况下，实现音视频低延迟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支持视频采集功能，内置200W高清彩色摄像头，实现全天候24小时实时监控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支持语音对讲功能，内置高灵敏度麦克风，可实现5米对讲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支持多种网络通信协议：TCP/IP、SNMP、RTSP、GB28181(2016)、ONVIF，满足公网传输</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支持音频扩展，3.5mm标准音频接口可外接有源音箱和麦克风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硬件接口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音频接口：支持1路3.5mm音频插口用于外接音频输入支持1路3.5mm音频插口用于外接音频输出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SD卡：标准Micro SD卡插槽，支持 Micro SD/SDHC/SDXC卡（支持256G）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警灯输出：1路外接，可独立控制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报警输出：2路IO输出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警号输出：1路外接，可独立控制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电话线接口：1路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网络接口：2个RJ45 10M/100M自适应以太网口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报警输入：2路IO输入</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紧急报警管理机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10.1寸触摸屏紧急报警管理机；集成视频查看、双向对讲、呼叫前端等功能，用于管理前端一键求助报警产品。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支持≥1080P视频显示，≥H.264/H.265解码，≥256G Micro SD卡存储；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支持4路开关量输入，4路继电器输出；支持VGA、HDMI同源输出；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支持1路3.5mm音频输入，1路3.5mm音频输出；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话柄、鹅颈话筒杆可拆卸，支持DC12V、PoE(IEEE 802.3 at/af)供电</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紧急报警管理系统</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紧急报警应用基于紧急报警设备和事件联动应用服务能力，通过视频、语音对讲能力处理突发的紧急事件、紧急求助，完成报警求助接警业务。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1、支持紧急报警实时监测能力，可实时查看现场视频画面，并可与报警人员对讲沟通；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2、支持历史报警事件查询及导出能力；</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95" w:hRule="atLeast"/>
          <w:jc w:val="center"/>
        </w:trPr>
        <w:tc>
          <w:tcPr>
            <w:tcW w:w="98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六、中心管控大脑</w:t>
            </w: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周界防护智能分析一体机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≥16路视频周界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硬件规格：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2U标准机架式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≥2个HDMI，2个VGA，HDMI+VGA组内同源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≥8盘位，可满配10T硬盘 ，支持硬盘热插拔，已内置4块8T硬盘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≥2个千兆网口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≥2个USB2.0接口、1个USB3.0接口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≥1个eSATA接口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报警IO：≥16进8出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软件性能：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输入带宽：≥320M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≥32路H.264、H.265混合接入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最大支持16×1080P解码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支持H.265、H.264解码</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磁盘阵列</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机架式，≥8U 72盘位，≥1536Mbps接入带宽，包含≥72块6T企业级SATA硬盘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服务器配置：≥1颗64位多核处理器，≥4GB内存，内存支持扩展到≥128GB，内置SSD固态硬盘（可以扩展到2个SSD作为缓存盘），配置≥6个风扇，可热插拔冗余温控调速风扇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标配≥2个千兆网口，可增扩≥6个千兆网口，或可增扩≥4个10Gb光纤接口；支持≥12级扩展柜级联扩展；可支持12GB SAS扩展口</w:t>
            </w:r>
          </w:p>
          <w:p>
            <w:pPr>
              <w:pStyle w:val="16"/>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sz w:val="24"/>
                <w:szCs w:val="24"/>
              </w:rPr>
            </w:pPr>
            <w:r>
              <w:rPr>
                <w:rFonts w:hint="eastAsia" w:ascii="宋体" w:hAnsi="宋体" w:eastAsia="宋体" w:cs="宋体"/>
                <w:color w:val="000000"/>
                <w:kern w:val="0"/>
                <w:sz w:val="24"/>
                <w:szCs w:val="24"/>
              </w:rPr>
              <w:t>主要存储设备，设备质保要求≥3年，硬盘质保要求≥5年</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人脸智能分析比对一体机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产品功能：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算法类型：人脸算法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人员管理：名单管库理、名单人员管理、身份确认、目标布控、人员聚类、人员档案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智能分析：实况视频流分析、历史视频流分析、离线视频文件分析、实时图片分析、离线图片分析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智能报警：名单报警、陌生人报警、高频报警、低频报警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智能应用：1V1比对、属性检索、以图搜图、布控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产品性能：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视频/图片/录像人脸分析、比对、聚类；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支持≥8路1080P视频人脸分析、比对；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支持≥100万人脸名单库比对报警，支持128个名单库；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支持≥100万人脸静态库；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支持≥3对/秒人脸图片1V1；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支持≥10张/秒身份确认能力（GPU）；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支持≥1张/秒身份确认能力（CPU）；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支持导入录像分析；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支持≥100万条图片、结构化属性、模型存储；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平台管理服务器</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2U标准机架式服务器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CPU：至少配置1颗intel至强4210R处理器，核数≥10核，主频≥2.4GHz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内存：配置≥64G DDR4，16根内存插槽，支持扩展至2TB内存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硬盘：配置≥2块1.2T 10K 2.5寸 SAS硬盘；   支持12块3.5寸(兼容2.5寸)热插拔SAS/SATA硬盘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阵列卡：配置SAS_HBA卡，支持RAID 0/1/10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PCIE扩展：支持≥6个PCIE扩展插槽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网口：板载≥2个千兆电口；   支持选配10GbE、25GbE SFP+等多种网络接口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其他接口：至少1个RJ45管理接口，后置2个USB 3.0接口，前置2个USB2.0接口，1个VGA接口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电源：标配550W（1+1）高效铂金CRPS冗余电源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综合安防管理平台</w:t>
            </w:r>
          </w:p>
        </w:tc>
        <w:tc>
          <w:tcPr>
            <w:tcW w:w="5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支持对用户、角色、组织、区域、人员、车辆、卡片、设备等基础资源进行管理调配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支持用户权限管理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支持BS、CS客户端以及IOS、Android移动端应用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支持用户权限根据组织、资源点进行权限配置；支持用户账号启用、禁用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支持AD域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支持为第三方对接提供数据型、应用型、资源型接口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运行管理中心提供统一的认证、授权管理机制，支持HTTPS以及密码安全加密访问认证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支持验证码、连续登陆尝试次数、用户IP地址限制等多种验证方式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支持用户密码有效时间段进行设置管理，支持用户IP绑定，指定IP地址用户才能登陆平台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支持身份认证和信息防篡改校验，供内部程序对授权信息的访问，避免外部程序破解授权文件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支持数据库的管理，支持数据库的备份和恢复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支持对组织架构及信息查看、查询、添加、删除、修改、导入、导出；支持对人员信息查看、添加、删除、批量导入；支持对用户人员查看、添加、注销，支持对用户密码修改，账号启用、禁用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支持在1/2/3/4/6/8/9/10/13/14/16/17/24/25画面分隔模式间进行监控点轮巡预览，轮巡时间可设置，支持全屏显示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支持在预览监控点画面时进行一键上墙、 云台控制、语音对讲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要求支持视频画面叠加水印，包括视频预览、录像回放、即时回放、录像剪辑、手动录像和录像下载时叠加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支持定时录像、报警录像和移动侦测录像等录像模式，不同类型录像以不同颜色进行区分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支持录像标签功能，支持搜索、修改、删除标签，并可通过标签定位录像并回放；支持通过车牌搜索定位录像并回放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支持人员事件查询，并按照性别、年龄、是否戴眼镜进行筛选；车辆事件查询，并按照车牌、车辆特征进行筛选；支持浓缩播放，并可以设置非关注和关注的播放倍速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支持设备录像回传至中心存储，可以支持计划回传和手动回传两种模式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支持获取报警主机的防区信息及扩展防区信息；支持对扩展防区进行布防、撤防、旁路、旁路恢复操作；支持接收扩展防区的上报事件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支持通过客户端对报警子系统进行布/撤防、消警操作，支持报警子系统批量进行布/撤防，支持防区布/撤防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支持对监控点、编码设备的在线状态进行设备巡检，并以统计图方式展示巡检结果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对监控的图像进行视频质量诊断，图像异常项包括图像偏色、噪声干扰、图像过暗、图像过亮、视频丢帧、视频抖动、对比度异常、条纹干扰、视频遮挡、信号丢失、图像黑白、图像模糊、场景变换、视频剧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支持对历史录像的完整率进行监控，统计项包括录像完整数、录像丢失数、巡检失败数、未检测数、监控点总数；支持以统计图展现指定区域的录像完整情况</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监控主机</w:t>
            </w:r>
          </w:p>
        </w:tc>
        <w:tc>
          <w:tcPr>
            <w:tcW w:w="5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安防配套监控主机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CPU：≥Intel i7-10700（8核 2.9 GHz)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内存：≥16GB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硬盘：M.2_256G SSD*1+SATA_2T HDD*1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显卡：R7 430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兼容操作系统：WIN10 IoT版（含授权）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显示器：23.8寸LCD*1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其他：光驱/含键鼠套装</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网络键盘</w:t>
            </w:r>
          </w:p>
        </w:tc>
        <w:tc>
          <w:tcPr>
            <w:tcW w:w="5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显示屏：10.1英寸TFT LCD</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控制方式：网络方式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支持在触控屏上预览图像或通过HDMI/DVI将图像投到外接显示屏上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支持云台控制，支持预置点、巡航和轨迹的设置与调用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支持回放硬盘录像机上的录像文件，支持控制解码器回放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支持抓图、录像功能，文件保存至U盘或上传至FTP服务器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支持最多添加8000台设备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支持通过excel批量添加监控点位，借助U盘导入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支持U盘升级及导入/导出配置文件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支持语音识别，通过指定的语音指令实现快捷切换操作。</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网络机柜</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42U，网孔门，落地 空机柜</w:t>
            </w:r>
            <w:r>
              <w:rPr>
                <w:rFonts w:hint="eastAsia" w:ascii="宋体" w:hAnsi="宋体" w:eastAsia="宋体" w:cs="宋体"/>
                <w:color w:val="000000"/>
                <w:kern w:val="0"/>
                <w:sz w:val="24"/>
                <w:szCs w:val="24"/>
                <w:highlight w:val="red"/>
              </w:rPr>
              <w:br w:type="textWrapping"/>
            </w:r>
            <w:r>
              <w:rPr>
                <w:rFonts w:hint="eastAsia" w:ascii="宋体" w:hAnsi="宋体" w:eastAsia="宋体" w:cs="宋体"/>
                <w:color w:val="000000"/>
                <w:kern w:val="0"/>
                <w:sz w:val="24"/>
                <w:szCs w:val="24"/>
              </w:rPr>
              <w:t>前后门材质：前单开网孔门，后双开网孔门，冷轧板 T=1.5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门敞开百分比：前门78%，后门77.2%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侧门材质：冷轧板 T=1.0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门框左右立柱材质：冷轧板 T=2.0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左右支架：冷轧板 T=1.5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横梁：冷轧板 T=1.5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层板：1个，宽470*深750*高48  mm，L型隔条/支架：1对，长750*宽38*高38  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PDU：1个，8口PDU，输入10A，带2M线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滚轮：支持，4个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脚撑：支持，4个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尺寸（宽*深*高）：600*1200*2000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UPS不间断电源</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在线式三进三出 UPS主机，27KW/30KVA,长延时机型，高频机，塔式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额定容量：27KW/30KVA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相数：三相五线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额定输入电压：380/400/415Vac</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输入电压范围：208～478Vac</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输入频率范围：40~70Hz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输入功率因数：100%负载≥0.999；50%负载≥0.996；30%负载≥0.990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输入电流谐波成份：100%负载≤3.7%；50%负载≤5.6%；30%负载≤7.8%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输出电压：380/400/415(±1%)Vac</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输出稳压精度：≤0.2%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输出频率：市电模式：与输入同步；当市电频率超出最大±10%（可设置±1%、±2%、±4%、±5%）时，输出频率50/60(±0.1); 电池模式：50/60(±0.1)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输出波形失真：阻性市电≤0.9%，电池：≤1.0%；非线性市电≤2.7%，电池：≤2.8%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整机效率：100%负载≥95.2%；50%负载≥95.5%；30%负载≥94.8%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过载能力：≤110%，60min；≤125%，10min；≤150% 1min；＞150% 立即转旁路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输出电流峰值系数：≥3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功率因数：0.9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备电1小时，</w:t>
            </w:r>
          </w:p>
        </w:tc>
      </w:tr>
      <w:tr>
        <w:tblPrEx>
          <w:tblCellMar>
            <w:top w:w="0" w:type="dxa"/>
            <w:left w:w="0" w:type="dxa"/>
            <w:bottom w:w="0" w:type="dxa"/>
            <w:right w:w="0" w:type="dxa"/>
          </w:tblCellMar>
        </w:tblPrEx>
        <w:trPr>
          <w:trHeight w:val="495" w:hRule="atLeast"/>
          <w:jc w:val="center"/>
        </w:trPr>
        <w:tc>
          <w:tcPr>
            <w:tcW w:w="98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七、传输子系统</w:t>
            </w: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接入交换机（非POE）</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提供8个千兆电口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交换容量：≥20 Gbps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包转发率：≥14.88 Mpps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支持IEEE 802.3、IEEE 802.3u、IEEE 802.3x、IEEE 802.3ab标准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支持安防网络拓扑管理、端口管理，支持远程升级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支持VLAN</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支持SNMPv1/v2c协议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支持DHCP Snooping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支持静态链路聚合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支持远程升级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坚固式高强度金属外壳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无风扇设计，高可靠性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安装方式：桌面式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供电方式：5 VDC，1 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浪涌防护：网口6 KV</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接入交换机（POE）</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提供8个千兆PoE电口、2个千兆光口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支持IEEE 802.3at/af标准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支持IEEE 802.3、IEEE 802.3u、IEEE 802.3x、IEEE 802.3ab、IEEE 802.3z标准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支持安防网络拓扑管理、链路聚合、端口管理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支持远程升级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支持≥6 KV防浪涌（PoE口）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支持PoE输出功率管理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汇聚交换机</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24口千兆全网管二层交换机，机架式，24个千兆电口，4个万兆SFP+万口，支持通过console口管理。交换容量：≥336Gbps/3.36Tbps，包转发率：108Mpps/126Mpps，1U高度，19英寸宽，工作温度：0℃～45℃，满负荷功耗10W。支持VLAN,流量控制，ACL，QOS，环网RRPP，支持SNMP V1/V2c/V3网管。</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6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网络拓扑管理系统</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支持交换机、服务器设备自动发现；支持交换机、服务器、摄像机拓扑可视化监控展现；支持拓扑告警信息查看和处理；支持的单个设备线路查看；支持拓扑编辑。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95" w:hRule="atLeast"/>
          <w:jc w:val="center"/>
        </w:trPr>
        <w:tc>
          <w:tcPr>
            <w:tcW w:w="98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八、系统集成服务</w:t>
            </w:r>
          </w:p>
        </w:tc>
      </w:tr>
      <w:tr>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线路传输</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网线、光纤、电源线、光纤收发器等一切辅助材料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辅材管件</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支架、立杆、万向节、管材、配电箱等一切辅助材料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系统集成</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其他子系统、子软件的系统集成服务</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p>
        </w:tc>
      </w:tr>
    </w:tbl>
    <w:p>
      <w:pPr>
        <w:widowControl/>
        <w:numPr>
          <w:ilvl w:val="0"/>
          <w:numId w:val="0"/>
        </w:numPr>
        <w:spacing w:line="560" w:lineRule="exact"/>
        <w:ind w:firstLine="482" w:firstLineChars="200"/>
        <w:rPr>
          <w:rFonts w:hint="eastAsia"/>
          <w:b/>
          <w:bCs/>
          <w:sz w:val="24"/>
          <w:lang w:eastAsia="zh-CN"/>
        </w:rPr>
      </w:pPr>
      <w:r>
        <w:rPr>
          <w:rFonts w:hint="eastAsia"/>
          <w:b/>
          <w:bCs/>
          <w:sz w:val="24"/>
          <w:lang w:eastAsia="zh-CN"/>
        </w:rPr>
        <w:t>二、商务要求</w:t>
      </w:r>
    </w:p>
    <w:p>
      <w:pPr>
        <w:widowControl/>
        <w:spacing w:line="560" w:lineRule="exact"/>
        <w:ind w:firstLine="482"/>
        <w:rPr>
          <w:rFonts w:hint="eastAsia" w:ascii="宋体" w:hAnsi="宋体" w:cs="宋体"/>
          <w:kern w:val="0"/>
          <w:sz w:val="24"/>
          <w:szCs w:val="24"/>
        </w:rPr>
      </w:pPr>
      <w:r>
        <w:rPr>
          <w:rFonts w:hint="eastAsia" w:ascii="宋体" w:hAnsi="宋体" w:cs="宋体"/>
          <w:kern w:val="0"/>
          <w:sz w:val="24"/>
          <w:szCs w:val="24"/>
          <w:lang w:val="en-US" w:eastAsia="zh-CN"/>
        </w:rPr>
        <w:t>1.合同履行期限（</w:t>
      </w:r>
      <w:r>
        <w:rPr>
          <w:rFonts w:hint="eastAsia" w:ascii="宋体" w:hAnsi="宋体" w:cs="宋体"/>
          <w:kern w:val="0"/>
          <w:sz w:val="24"/>
          <w:szCs w:val="24"/>
        </w:rPr>
        <w:t>供货安装期</w:t>
      </w:r>
      <w:r>
        <w:rPr>
          <w:rFonts w:hint="eastAsia" w:ascii="宋体" w:hAnsi="宋体" w:cs="宋体"/>
          <w:kern w:val="0"/>
          <w:sz w:val="24"/>
          <w:szCs w:val="24"/>
          <w:lang w:eastAsia="zh-CN"/>
        </w:rPr>
        <w:t>）：</w:t>
      </w:r>
      <w:r>
        <w:rPr>
          <w:rFonts w:hint="eastAsia" w:ascii="宋体" w:hAnsi="宋体" w:cs="宋体"/>
          <w:kern w:val="0"/>
          <w:sz w:val="24"/>
          <w:szCs w:val="24"/>
        </w:rPr>
        <w:t>合同签订后60日历天</w:t>
      </w:r>
    </w:p>
    <w:p>
      <w:pPr>
        <w:widowControl/>
        <w:spacing w:line="560" w:lineRule="exact"/>
        <w:ind w:firstLine="482"/>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质量标准</w:t>
      </w:r>
      <w:r>
        <w:rPr>
          <w:rFonts w:hint="eastAsia" w:ascii="宋体" w:hAnsi="宋体" w:cs="宋体"/>
          <w:kern w:val="0"/>
          <w:sz w:val="24"/>
          <w:szCs w:val="24"/>
          <w:lang w:eastAsia="zh-CN"/>
        </w:rPr>
        <w:t>：</w:t>
      </w:r>
      <w:r>
        <w:rPr>
          <w:rFonts w:hint="eastAsia" w:ascii="宋体" w:hAnsi="宋体" w:cs="宋体"/>
          <w:kern w:val="0"/>
          <w:sz w:val="24"/>
          <w:szCs w:val="24"/>
        </w:rPr>
        <w:t>合格，符合国家及行业规范标准。</w:t>
      </w:r>
    </w:p>
    <w:p>
      <w:pPr>
        <w:widowControl/>
        <w:spacing w:line="560" w:lineRule="exact"/>
        <w:ind w:firstLine="482"/>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质保期</w:t>
      </w:r>
      <w:r>
        <w:rPr>
          <w:rFonts w:hint="eastAsia" w:ascii="宋体" w:hAnsi="宋体" w:cs="宋体"/>
          <w:kern w:val="0"/>
          <w:sz w:val="24"/>
          <w:szCs w:val="24"/>
          <w:lang w:eastAsia="zh-CN"/>
        </w:rPr>
        <w:t>：</w:t>
      </w:r>
      <w:r>
        <w:rPr>
          <w:rFonts w:hint="eastAsia" w:ascii="宋体" w:hAnsi="宋体" w:cs="宋体"/>
          <w:kern w:val="0"/>
          <w:sz w:val="24"/>
          <w:szCs w:val="24"/>
        </w:rPr>
        <w:t>1年</w:t>
      </w:r>
    </w:p>
    <w:p>
      <w:pPr>
        <w:widowControl/>
        <w:spacing w:line="560" w:lineRule="exact"/>
        <w:ind w:firstLine="482"/>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付款方式</w:t>
      </w:r>
      <w:r>
        <w:rPr>
          <w:rFonts w:hint="eastAsia" w:ascii="宋体" w:hAnsi="宋体" w:cs="宋体"/>
          <w:kern w:val="0"/>
          <w:sz w:val="24"/>
          <w:szCs w:val="24"/>
          <w:lang w:eastAsia="zh-CN"/>
        </w:rPr>
        <w:t>：</w:t>
      </w:r>
      <w:r>
        <w:rPr>
          <w:rFonts w:hint="eastAsia" w:ascii="宋体" w:hAnsi="宋体" w:cs="宋体"/>
          <w:kern w:val="0"/>
          <w:sz w:val="24"/>
          <w:szCs w:val="24"/>
        </w:rPr>
        <w:t>供货完毕验收合格后付合同额的70%，联调联试并通过验收，符合国家质量验收合格标准后支付剩余30%。</w:t>
      </w:r>
    </w:p>
    <w:p>
      <w:pPr>
        <w:keepNext w:val="0"/>
        <w:keepLines w:val="0"/>
        <w:pageBreakBefore w:val="0"/>
        <w:widowControl w:val="0"/>
        <w:kinsoku/>
        <w:wordWrap/>
        <w:overflowPunct/>
        <w:topLinePunct w:val="0"/>
        <w:autoSpaceDE/>
        <w:autoSpaceDN/>
        <w:bidi w:val="0"/>
        <w:adjustRightInd/>
        <w:snapToGrid/>
        <w:spacing w:line="498" w:lineRule="exact"/>
        <w:ind w:firstLine="480" w:firstLineChars="200"/>
        <w:jc w:val="left"/>
        <w:textAlignment w:val="auto"/>
        <w:rPr>
          <w:rFonts w:hint="eastAsia"/>
        </w:rPr>
      </w:pPr>
      <w:r>
        <w:rPr>
          <w:rFonts w:hint="eastAsia" w:ascii="宋体" w:hAnsi="宋体" w:cs="宋体"/>
          <w:kern w:val="0"/>
          <w:sz w:val="24"/>
          <w:szCs w:val="24"/>
          <w:lang w:val="en-US" w:eastAsia="zh-CN"/>
        </w:rPr>
        <w:t>5.</w:t>
      </w:r>
      <w:r>
        <w:rPr>
          <w:rFonts w:hint="eastAsia" w:ascii="宋体" w:hAnsi="宋体" w:cs="宋体"/>
          <w:sz w:val="24"/>
          <w:lang w:eastAsia="zh-CN"/>
        </w:rPr>
        <w:t>投标</w:t>
      </w:r>
      <w:r>
        <w:rPr>
          <w:rFonts w:hint="eastAsia" w:ascii="宋体" w:hAnsi="宋体" w:cs="宋体"/>
          <w:sz w:val="24"/>
        </w:rPr>
        <w:t>单位对</w:t>
      </w:r>
      <w:r>
        <w:rPr>
          <w:rFonts w:hint="eastAsia" w:ascii="宋体" w:hAnsi="宋体" w:cs="宋体"/>
          <w:sz w:val="24"/>
          <w:lang w:eastAsia="zh-CN"/>
        </w:rPr>
        <w:t>工程采购安装</w:t>
      </w:r>
      <w:r>
        <w:rPr>
          <w:rFonts w:hint="eastAsia" w:ascii="宋体" w:hAnsi="宋体" w:cs="宋体"/>
          <w:sz w:val="24"/>
        </w:rPr>
        <w:t>过程中的一切安全问题负责，</w:t>
      </w:r>
      <w:r>
        <w:rPr>
          <w:rFonts w:hint="eastAsia" w:ascii="宋体" w:hAnsi="宋体" w:cs="宋体"/>
          <w:sz w:val="24"/>
          <w:lang w:eastAsia="zh-CN"/>
        </w:rPr>
        <w:t>并</w:t>
      </w:r>
      <w:r>
        <w:rPr>
          <w:rFonts w:hint="eastAsia" w:ascii="宋体" w:hAnsi="宋体" w:cs="宋体"/>
          <w:sz w:val="24"/>
        </w:rPr>
        <w:t>对此项作出承诺，否则按废标处理。</w:t>
      </w:r>
    </w:p>
    <w:p>
      <w:pPr>
        <w:pStyle w:val="16"/>
        <w:rPr>
          <w:rFonts w:hint="default" w:eastAsia="宋体"/>
          <w:lang w:val="en-US" w:eastAsia="zh-CN"/>
        </w:rPr>
      </w:pPr>
    </w:p>
    <w:p>
      <w:pPr>
        <w:widowControl/>
        <w:spacing w:line="560" w:lineRule="exact"/>
        <w:ind w:firstLine="482"/>
        <w:rPr>
          <w:rFonts w:asciiTheme="minorEastAsia" w:hAnsiTheme="minorEastAsia" w:eastAsiaTheme="minorEastAsia"/>
          <w:b/>
          <w:bCs/>
          <w:color w:val="auto"/>
          <w:sz w:val="24"/>
        </w:rPr>
      </w:pPr>
      <w:r>
        <w:rPr>
          <w:b/>
          <w:bCs/>
          <w:sz w:val="24"/>
        </w:rPr>
        <w:t>注：本</w:t>
      </w:r>
      <w:r>
        <w:rPr>
          <w:b/>
          <w:bCs/>
          <w:color w:val="auto"/>
          <w:sz w:val="24"/>
        </w:rPr>
        <w:t>招标项目必须要实质性满足技术要求和商务要求：</w:t>
      </w:r>
    </w:p>
    <w:p>
      <w:pPr>
        <w:widowControl/>
        <w:spacing w:line="560" w:lineRule="exact"/>
        <w:ind w:firstLine="482"/>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1</w:t>
      </w:r>
      <w:r>
        <w:rPr>
          <w:rFonts w:hint="eastAsia" w:asciiTheme="minorEastAsia" w:hAnsiTheme="minorEastAsia" w:eastAsiaTheme="minorEastAsia"/>
          <w:b/>
          <w:bCs/>
          <w:color w:val="FF0000"/>
          <w:sz w:val="24"/>
          <w:lang w:eastAsia="zh-CN"/>
        </w:rPr>
        <w:t>.</w:t>
      </w:r>
      <w:r>
        <w:rPr>
          <w:rFonts w:asciiTheme="minorEastAsia" w:hAnsiTheme="minorEastAsia" w:eastAsiaTheme="minorEastAsia"/>
          <w:b/>
          <w:bCs/>
          <w:color w:val="FF0000"/>
          <w:sz w:val="24"/>
        </w:rPr>
        <w:t>此次招标核心产品为</w:t>
      </w:r>
      <w:r>
        <w:rPr>
          <w:rFonts w:hint="eastAsia" w:asciiTheme="minorEastAsia" w:hAnsiTheme="minorEastAsia" w:eastAsiaTheme="minorEastAsia"/>
          <w:b/>
          <w:bCs/>
          <w:color w:val="FF0000"/>
          <w:sz w:val="24"/>
        </w:rPr>
        <w:t>周界防范热成像警戒摄像机、磁盘阵列、综合安防管理平台。</w:t>
      </w:r>
    </w:p>
    <w:p>
      <w:pPr>
        <w:pStyle w:val="16"/>
        <w:spacing w:line="560" w:lineRule="exact"/>
        <w:ind w:firstLine="482"/>
        <w:rPr>
          <w:rFonts w:asciiTheme="minorEastAsia" w:hAnsiTheme="minorEastAsia" w:eastAsiaTheme="minorEastAsia"/>
          <w:b/>
          <w:bCs/>
          <w:sz w:val="24"/>
        </w:rPr>
      </w:pPr>
      <w:r>
        <w:rPr>
          <w:rFonts w:hint="eastAsia" w:asciiTheme="minorEastAsia" w:hAnsiTheme="minorEastAsia" w:eastAsiaTheme="minorEastAsia"/>
          <w:b/>
          <w:bCs/>
          <w:color w:val="auto"/>
          <w:sz w:val="24"/>
        </w:rPr>
        <w:t>2</w:t>
      </w:r>
      <w:r>
        <w:rPr>
          <w:rFonts w:hint="eastAsia" w:asciiTheme="minorEastAsia" w:hAnsiTheme="minorEastAsia" w:eastAsiaTheme="minorEastAsia"/>
          <w:b/>
          <w:bCs/>
          <w:color w:val="auto"/>
          <w:sz w:val="24"/>
          <w:lang w:eastAsia="zh-CN"/>
        </w:rPr>
        <w:t>.</w:t>
      </w:r>
      <w:r>
        <w:rPr>
          <w:rFonts w:asciiTheme="minorEastAsia" w:hAnsiTheme="minorEastAsia" w:eastAsiaTheme="minorEastAsia"/>
          <w:b/>
          <w:bCs/>
          <w:color w:val="auto"/>
          <w:sz w:val="24"/>
        </w:rPr>
        <w:t>投标人提供的</w:t>
      </w:r>
      <w:r>
        <w:rPr>
          <w:rFonts w:asciiTheme="minorEastAsia" w:hAnsiTheme="minorEastAsia" w:eastAsiaTheme="minorEastAsia"/>
          <w:b/>
          <w:bCs/>
          <w:sz w:val="24"/>
        </w:rPr>
        <w:t>货物必须是原装全新、高于或等于招标文件规定技术参数的产品。</w:t>
      </w:r>
    </w:p>
    <w:p>
      <w:pPr>
        <w:widowControl/>
        <w:spacing w:line="560" w:lineRule="exact"/>
        <w:ind w:firstLine="482"/>
        <w:rPr>
          <w:b/>
          <w:bCs/>
          <w:color w:val="323232"/>
          <w:sz w:val="24"/>
        </w:rPr>
      </w:pPr>
      <w:r>
        <w:rPr>
          <w:rFonts w:hint="eastAsia" w:asciiTheme="minorEastAsia" w:hAnsiTheme="minorEastAsia" w:eastAsiaTheme="minorEastAsia"/>
          <w:b/>
          <w:bCs/>
          <w:sz w:val="24"/>
        </w:rPr>
        <w:t>3</w:t>
      </w:r>
      <w:r>
        <w:rPr>
          <w:rFonts w:hint="eastAsia" w:asciiTheme="minorEastAsia" w:hAnsiTheme="minorEastAsia" w:eastAsiaTheme="minorEastAsia"/>
          <w:b/>
          <w:bCs/>
          <w:sz w:val="24"/>
          <w:lang w:eastAsia="zh-CN"/>
        </w:rPr>
        <w:t>.</w:t>
      </w:r>
      <w:r>
        <w:rPr>
          <w:b/>
          <w:bCs/>
          <w:color w:val="323232"/>
          <w:sz w:val="24"/>
        </w:rPr>
        <w:t>属于节能产品政府采购</w:t>
      </w:r>
      <w:r>
        <w:rPr>
          <w:rFonts w:hint="eastAsia"/>
          <w:b/>
          <w:bCs/>
          <w:color w:val="323232"/>
          <w:sz w:val="24"/>
        </w:rPr>
        <w:t>品目</w:t>
      </w:r>
      <w:r>
        <w:rPr>
          <w:b/>
          <w:bCs/>
          <w:color w:val="323232"/>
          <w:sz w:val="24"/>
        </w:rPr>
        <w:t>清单规定必须强制采购的</w:t>
      </w:r>
      <w:r>
        <w:rPr>
          <w:rFonts w:hint="eastAsia"/>
          <w:b/>
          <w:bCs/>
          <w:color w:val="323232"/>
          <w:sz w:val="24"/>
        </w:rPr>
        <w:t>；</w:t>
      </w:r>
      <w:r>
        <w:rPr>
          <w:b/>
          <w:bCs/>
          <w:color w:val="323232"/>
          <w:sz w:val="24"/>
        </w:rPr>
        <w:t>必须采购当期节能产品政府采购</w:t>
      </w:r>
      <w:r>
        <w:rPr>
          <w:rFonts w:hint="eastAsia"/>
          <w:b/>
          <w:bCs/>
          <w:color w:val="323232"/>
          <w:sz w:val="24"/>
        </w:rPr>
        <w:t>品目</w:t>
      </w:r>
      <w:r>
        <w:rPr>
          <w:b/>
          <w:bCs/>
          <w:color w:val="323232"/>
          <w:sz w:val="24"/>
        </w:rPr>
        <w:t>清单内设备或产品；在价格、技术、服务等指标同等条件下，优先采购节能、环保产品（需提供</w:t>
      </w:r>
      <w:r>
        <w:rPr>
          <w:rFonts w:hint="eastAsia"/>
          <w:b/>
          <w:bCs/>
          <w:color w:val="323232"/>
          <w:sz w:val="24"/>
        </w:rPr>
        <w:t>供应商</w:t>
      </w:r>
      <w:r>
        <w:rPr>
          <w:b/>
          <w:bCs/>
          <w:color w:val="323232"/>
          <w:sz w:val="24"/>
        </w:rPr>
        <w:t>所投产品属于政府采购</w:t>
      </w:r>
      <w:r>
        <w:rPr>
          <w:rFonts w:hint="eastAsia"/>
          <w:b/>
          <w:bCs/>
          <w:color w:val="323232"/>
          <w:sz w:val="24"/>
        </w:rPr>
        <w:t>品目</w:t>
      </w:r>
      <w:r>
        <w:rPr>
          <w:b/>
          <w:bCs/>
          <w:color w:val="323232"/>
          <w:sz w:val="24"/>
        </w:rPr>
        <w:t>清单规定的节能环保产品的证明材料）。</w:t>
      </w:r>
    </w:p>
    <w:p>
      <w:pPr>
        <w:widowControl/>
        <w:spacing w:line="560" w:lineRule="exact"/>
        <w:ind w:firstLine="482"/>
        <w:rPr>
          <w:rFonts w:asciiTheme="minorEastAsia" w:hAnsiTheme="minorEastAsia" w:eastAsiaTheme="minorEastAsia"/>
          <w:b/>
          <w:bCs/>
          <w:sz w:val="24"/>
        </w:rPr>
      </w:pPr>
    </w:p>
    <w:p>
      <w:pPr>
        <w:pStyle w:val="15"/>
        <w:widowControl w:val="0"/>
        <w:numPr>
          <w:ilvl w:val="0"/>
          <w:numId w:val="0"/>
        </w:numPr>
        <w:spacing w:after="120"/>
        <w:jc w:val="center"/>
        <w:outlineLvl w:val="0"/>
        <w:rPr>
          <w:b/>
          <w:bCs/>
          <w:sz w:val="32"/>
          <w:szCs w:val="32"/>
        </w:rPr>
      </w:pPr>
    </w:p>
    <w:bookmarkEnd w:id="273"/>
    <w:p>
      <w:pPr>
        <w:widowControl/>
        <w:spacing w:line="560" w:lineRule="exact"/>
        <w:ind w:firstLine="482"/>
        <w:rPr>
          <w:rFonts w:asciiTheme="minorEastAsia" w:hAnsiTheme="minorEastAsia" w:eastAsiaTheme="minorEastAsia"/>
          <w:b/>
          <w:bCs/>
          <w:sz w:val="24"/>
        </w:rPr>
      </w:pPr>
      <w:bookmarkStart w:id="275" w:name="_Toc403122572"/>
      <w:bookmarkStart w:id="276" w:name="_Toc7906"/>
      <w:bookmarkStart w:id="277" w:name="_Toc426369533"/>
    </w:p>
    <w:p>
      <w:pPr>
        <w:sectPr>
          <w:headerReference r:id="rId4" w:type="default"/>
          <w:footerReference r:id="rId5" w:type="default"/>
          <w:pgSz w:w="11907" w:h="16840"/>
          <w:pgMar w:top="1440" w:right="1519" w:bottom="1440" w:left="1576" w:header="850" w:footer="998" w:gutter="0"/>
          <w:pgNumType w:fmt="numberInDash"/>
          <w:cols w:space="720" w:num="1"/>
          <w:docGrid w:type="lines" w:linePitch="380" w:charSpace="0"/>
        </w:sectPr>
      </w:pPr>
    </w:p>
    <w:p>
      <w:pPr>
        <w:pStyle w:val="6"/>
        <w:pageBreakBefore w:val="0"/>
        <w:widowControl w:val="0"/>
        <w:kinsoku/>
        <w:wordWrap/>
        <w:overflowPunct/>
        <w:topLinePunct w:val="0"/>
        <w:autoSpaceDE/>
        <w:autoSpaceDN/>
        <w:bidi w:val="0"/>
        <w:adjustRightInd/>
        <w:snapToGrid/>
        <w:spacing w:before="0" w:after="0" w:line="500" w:lineRule="exact"/>
        <w:jc w:val="center"/>
        <w:textAlignment w:val="auto"/>
        <w:rPr>
          <w:sz w:val="32"/>
          <w:szCs w:val="32"/>
        </w:rPr>
      </w:pPr>
      <w:bookmarkStart w:id="278" w:name="_Toc18132"/>
      <w:r>
        <w:rPr>
          <w:rFonts w:hint="eastAsia"/>
          <w:sz w:val="32"/>
          <w:szCs w:val="32"/>
        </w:rPr>
        <w:t>第六章 质疑与投诉</w:t>
      </w:r>
      <w:bookmarkEnd w:id="278"/>
    </w:p>
    <w:p>
      <w:pPr>
        <w:pageBreakBefore w:val="0"/>
        <w:widowControl w:val="0"/>
        <w:kinsoku/>
        <w:wordWrap/>
        <w:overflowPunct/>
        <w:topLinePunct w:val="0"/>
        <w:autoSpaceDE/>
        <w:autoSpaceDN/>
        <w:bidi w:val="0"/>
        <w:adjustRightInd/>
        <w:snapToGrid/>
        <w:spacing w:line="500" w:lineRule="exact"/>
        <w:textAlignment w:val="auto"/>
      </w:pPr>
    </w:p>
    <w:p>
      <w:pPr>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rPr>
      </w:pPr>
      <w:r>
        <w:rPr>
          <w:rFonts w:hint="eastAsia"/>
          <w:b/>
          <w:bCs/>
          <w:sz w:val="28"/>
          <w:szCs w:val="28"/>
        </w:rPr>
        <w:t>一、质疑与答复</w:t>
      </w:r>
    </w:p>
    <w:p>
      <w:pPr>
        <w:pStyle w:val="30"/>
        <w:pageBreakBefore w:val="0"/>
        <w:widowControl w:val="0"/>
        <w:kinsoku/>
        <w:wordWrap/>
        <w:overflowPunct/>
        <w:topLinePunct w:val="0"/>
        <w:autoSpaceDE/>
        <w:autoSpaceDN/>
        <w:bidi w:val="0"/>
        <w:adjustRightInd/>
        <w:snapToGrid/>
        <w:spacing w:line="500" w:lineRule="exact"/>
        <w:ind w:firstLineChars="200"/>
        <w:textAlignment w:val="auto"/>
        <w:rPr>
          <w:rFonts w:hint="eastAsia" w:ascii="宋体" w:hAnsi="宋体" w:eastAsia="宋体" w:cs="宋体"/>
          <w:sz w:val="24"/>
          <w:szCs w:val="24"/>
        </w:rPr>
      </w:pPr>
      <w:r>
        <w:rPr>
          <w:rFonts w:hint="eastAsia" w:ascii="宋体" w:hAnsi="宋体" w:eastAsia="宋体" w:cs="宋体"/>
          <w:sz w:val="24"/>
          <w:szCs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31"/>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 供应商提出质疑应当提交质疑函和必要的证明材料。政府采购供应商质疑函范本下载地址：</w:t>
      </w:r>
    </w:p>
    <w:p>
      <w:pPr>
        <w:pStyle w:val="31"/>
        <w:pageBreakBefore w:val="0"/>
        <w:widowControl w:val="0"/>
        <w:kinsoku/>
        <w:wordWrap/>
        <w:overflowPunct/>
        <w:topLinePunct w:val="0"/>
        <w:autoSpaceDE/>
        <w:autoSpaceDN/>
        <w:bidi w:val="0"/>
        <w:adjustRightInd/>
        <w:snapToGrid/>
        <w:spacing w:line="500" w:lineRule="exact"/>
        <w:ind w:left="420" w:leftChars="20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"http://download.ccgp.gov.cn/2018/zhiyihanfanben.zip；" </w:instrText>
      </w:r>
      <w:r>
        <w:rPr>
          <w:rFonts w:hint="eastAsia" w:ascii="宋体" w:hAnsi="宋体" w:eastAsia="宋体" w:cs="宋体"/>
          <w:sz w:val="24"/>
          <w:szCs w:val="24"/>
        </w:rPr>
        <w:fldChar w:fldCharType="separate"/>
      </w:r>
      <w:r>
        <w:rPr>
          <w:rStyle w:val="35"/>
          <w:rFonts w:hint="eastAsia" w:ascii="宋体" w:hAnsi="宋体" w:eastAsia="宋体" w:cs="宋体"/>
          <w:color w:val="auto"/>
          <w:sz w:val="24"/>
          <w:szCs w:val="24"/>
        </w:rPr>
        <w:t>http://download.ccgp.gov.cn/2018/zhiyihanfanben.zip；</w:t>
      </w:r>
      <w:r>
        <w:rPr>
          <w:rStyle w:val="35"/>
          <w:rFonts w:hint="eastAsia" w:ascii="宋体" w:hAnsi="宋体" w:eastAsia="宋体" w:cs="宋体"/>
          <w:color w:val="auto"/>
          <w:sz w:val="24"/>
          <w:szCs w:val="24"/>
        </w:rPr>
        <w:fldChar w:fldCharType="end"/>
      </w:r>
    </w:p>
    <w:p>
      <w:pPr>
        <w:pageBreakBefore w:val="0"/>
        <w:widowControl w:val="0"/>
        <w:numPr>
          <w:ilvl w:val="0"/>
          <w:numId w:val="1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采购人、采购代理机构不得拒收质疑供应商在法定质疑期内发出的质疑函，应当在收到质疑函后7个工作日内作出答复，并以书面形式通知质疑供应商和其他有关供应商。</w:t>
      </w:r>
    </w:p>
    <w:p>
      <w:pPr>
        <w:pageBreakBefore w:val="0"/>
        <w:widowControl w:val="0"/>
        <w:numPr>
          <w:ilvl w:val="0"/>
          <w:numId w:val="1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供应商提出质疑应当提交质疑函和必要的证明材料。质疑函应当包括下列内容：</w:t>
      </w:r>
    </w:p>
    <w:p>
      <w:pPr>
        <w:pageBreakBefore w:val="0"/>
        <w:widowControl w:val="0"/>
        <w:numPr>
          <w:ilvl w:val="1"/>
          <w:numId w:val="10"/>
        </w:numPr>
        <w:kinsoku/>
        <w:wordWrap/>
        <w:overflowPunct/>
        <w:topLinePunct w:val="0"/>
        <w:autoSpaceDE/>
        <w:autoSpaceDN/>
        <w:bidi w:val="0"/>
        <w:adjustRightInd/>
        <w:snapToGrid/>
        <w:spacing w:line="50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供应商的姓名或者名称、地址、邮编、联系人及联系电话；</w:t>
      </w:r>
    </w:p>
    <w:p>
      <w:pPr>
        <w:pageBreakBefore w:val="0"/>
        <w:widowControl w:val="0"/>
        <w:numPr>
          <w:ilvl w:val="1"/>
          <w:numId w:val="10"/>
        </w:numPr>
        <w:kinsoku/>
        <w:wordWrap/>
        <w:overflowPunct/>
        <w:topLinePunct w:val="0"/>
        <w:autoSpaceDE/>
        <w:autoSpaceDN/>
        <w:bidi w:val="0"/>
        <w:adjustRightInd/>
        <w:snapToGrid/>
        <w:spacing w:line="50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质疑项目的名称、编号；</w:t>
      </w:r>
    </w:p>
    <w:p>
      <w:pPr>
        <w:pageBreakBefore w:val="0"/>
        <w:widowControl w:val="0"/>
        <w:numPr>
          <w:ilvl w:val="1"/>
          <w:numId w:val="10"/>
        </w:numPr>
        <w:kinsoku/>
        <w:wordWrap/>
        <w:overflowPunct/>
        <w:topLinePunct w:val="0"/>
        <w:autoSpaceDE/>
        <w:autoSpaceDN/>
        <w:bidi w:val="0"/>
        <w:adjustRightInd/>
        <w:snapToGrid/>
        <w:spacing w:line="50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具体、明确的质疑事项和与质疑事项相关的请求；</w:t>
      </w:r>
    </w:p>
    <w:p>
      <w:pPr>
        <w:pageBreakBefore w:val="0"/>
        <w:widowControl w:val="0"/>
        <w:numPr>
          <w:ilvl w:val="1"/>
          <w:numId w:val="10"/>
        </w:numPr>
        <w:kinsoku/>
        <w:wordWrap/>
        <w:overflowPunct/>
        <w:topLinePunct w:val="0"/>
        <w:autoSpaceDE/>
        <w:autoSpaceDN/>
        <w:bidi w:val="0"/>
        <w:adjustRightInd/>
        <w:snapToGrid/>
        <w:spacing w:line="50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事实依据；</w:t>
      </w:r>
    </w:p>
    <w:p>
      <w:pPr>
        <w:pageBreakBefore w:val="0"/>
        <w:widowControl w:val="0"/>
        <w:numPr>
          <w:ilvl w:val="1"/>
          <w:numId w:val="10"/>
        </w:numPr>
        <w:kinsoku/>
        <w:wordWrap/>
        <w:overflowPunct/>
        <w:topLinePunct w:val="0"/>
        <w:autoSpaceDE/>
        <w:autoSpaceDN/>
        <w:bidi w:val="0"/>
        <w:adjustRightInd/>
        <w:snapToGrid/>
        <w:spacing w:line="50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必要的法律依据；</w:t>
      </w:r>
    </w:p>
    <w:p>
      <w:pPr>
        <w:pageBreakBefore w:val="0"/>
        <w:widowControl w:val="0"/>
        <w:numPr>
          <w:ilvl w:val="1"/>
          <w:numId w:val="10"/>
        </w:numPr>
        <w:kinsoku/>
        <w:wordWrap/>
        <w:overflowPunct/>
        <w:topLinePunct w:val="0"/>
        <w:autoSpaceDE/>
        <w:autoSpaceDN/>
        <w:bidi w:val="0"/>
        <w:adjustRightInd/>
        <w:snapToGrid/>
        <w:spacing w:line="50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提出质疑的日期；</w:t>
      </w:r>
    </w:p>
    <w:p>
      <w:pPr>
        <w:pageBreakBefore w:val="0"/>
        <w:widowControl w:val="0"/>
        <w:numPr>
          <w:ilvl w:val="1"/>
          <w:numId w:val="10"/>
        </w:numPr>
        <w:kinsoku/>
        <w:wordWrap/>
        <w:overflowPunct/>
        <w:topLinePunct w:val="0"/>
        <w:autoSpaceDE/>
        <w:autoSpaceDN/>
        <w:bidi w:val="0"/>
        <w:adjustRightInd/>
        <w:snapToGrid/>
        <w:spacing w:line="50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获取招标文件的凭证；</w:t>
      </w:r>
    </w:p>
    <w:p>
      <w:pPr>
        <w:pageBreakBefore w:val="0"/>
        <w:widowControl w:val="0"/>
        <w:numPr>
          <w:ilvl w:val="1"/>
          <w:numId w:val="10"/>
        </w:numPr>
        <w:kinsoku/>
        <w:wordWrap/>
        <w:overflowPunct/>
        <w:topLinePunct w:val="0"/>
        <w:autoSpaceDE/>
        <w:autoSpaceDN/>
        <w:bidi w:val="0"/>
        <w:adjustRightInd/>
        <w:snapToGrid/>
        <w:spacing w:line="50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以上资料一式二份（采购人、采购代理机构各执一份）。</w:t>
      </w:r>
    </w:p>
    <w:p>
      <w:pPr>
        <w:pageBreakBefore w:val="0"/>
        <w:widowControl w:val="0"/>
        <w:numPr>
          <w:ilvl w:val="0"/>
          <w:numId w:val="1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投标人不得虚假质疑和恶意质疑，并对质疑内容的真实性承担责任。</w:t>
      </w:r>
    </w:p>
    <w:p>
      <w:pPr>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rPr>
      </w:pPr>
      <w:r>
        <w:rPr>
          <w:rFonts w:hint="eastAsia"/>
          <w:b/>
          <w:bCs/>
          <w:sz w:val="28"/>
          <w:szCs w:val="28"/>
        </w:rPr>
        <w:t>二、投诉与处理</w:t>
      </w:r>
    </w:p>
    <w:p>
      <w:pPr>
        <w:pStyle w:val="30"/>
        <w:pageBreakBefore w:val="0"/>
        <w:widowControl w:val="0"/>
        <w:kinsoku/>
        <w:wordWrap/>
        <w:overflowPunct/>
        <w:topLinePunct w:val="0"/>
        <w:autoSpaceDE/>
        <w:autoSpaceDN/>
        <w:bidi w:val="0"/>
        <w:adjustRightInd/>
        <w:snapToGrid/>
        <w:spacing w:line="500" w:lineRule="exact"/>
        <w:ind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质疑供应商对采购人、采购代理机构的答复不满意，或者采购人、采购代理机构未在规定时间内作出答复的，可以在答复期满后15个工作日内向本办法第六条规定的财政部门提起投诉。</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质疑供应商对采购人、采购代理机构的答复不满意，或者采购人、采购代理机构未在规定时间内作出答复的，可以在答复期满后15个工作日内向财政部门提起投诉。</w:t>
      </w:r>
    </w:p>
    <w:p>
      <w:pPr>
        <w:pStyle w:val="30"/>
        <w:pageBreakBefore w:val="0"/>
        <w:widowControl w:val="0"/>
        <w:kinsoku/>
        <w:wordWrap/>
        <w:overflowPunct/>
        <w:topLinePunct w:val="0"/>
        <w:autoSpaceDE/>
        <w:autoSpaceDN/>
        <w:bidi w:val="0"/>
        <w:adjustRightInd/>
        <w:snapToGrid/>
        <w:spacing w:line="500" w:lineRule="exact"/>
        <w:ind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投诉人投诉时,应当提交投诉书和必要的证明材料，并按照被投诉采购人、采购代理机构（以下简称被投诉人）和与投诉事项有关的供应商数量提供投诉书的副本。政府采购供应商投诉书范本下载地址：</w:t>
      </w:r>
    </w:p>
    <w:p>
      <w:pPr>
        <w:pStyle w:val="3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"http://download.ccgp.gov.cn/2018/tousushufanben.zip" </w:instrText>
      </w:r>
      <w:r>
        <w:rPr>
          <w:rFonts w:hint="eastAsia" w:ascii="宋体" w:hAnsi="宋体" w:eastAsia="宋体" w:cs="宋体"/>
          <w:sz w:val="24"/>
          <w:szCs w:val="24"/>
        </w:rPr>
        <w:fldChar w:fldCharType="separate"/>
      </w:r>
      <w:r>
        <w:rPr>
          <w:rStyle w:val="35"/>
          <w:rFonts w:hint="eastAsia" w:ascii="宋体" w:hAnsi="宋体" w:eastAsia="宋体" w:cs="宋体"/>
          <w:color w:val="auto"/>
          <w:sz w:val="24"/>
          <w:szCs w:val="24"/>
        </w:rPr>
        <w:t>http://download.ccgp.gov.cn/2018/tousushufanben.zip</w:t>
      </w:r>
      <w:r>
        <w:rPr>
          <w:rStyle w:val="35"/>
          <w:rFonts w:hint="eastAsia" w:ascii="宋体" w:hAnsi="宋体" w:eastAsia="宋体" w:cs="宋体"/>
          <w:color w:val="auto"/>
          <w:sz w:val="24"/>
          <w:szCs w:val="24"/>
        </w:rPr>
        <w:fldChar w:fldCharType="end"/>
      </w:r>
    </w:p>
    <w:p>
      <w:pPr>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财政部门自收到投诉之日起30个工作日内，对投诉事项作出处理决定并公示。</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投诉人在全国范围12个月内三次以上投诉查无实据的，由财政部门列入不良行为记录名单。</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投诉人有财政部94号令第三十七条情形的，属于虚假、恶意投诉，由财政部门列入不良行为记录名单，禁止其1至3年内参加政府采购活动。</w:t>
      </w:r>
    </w:p>
    <w:p>
      <w:pPr>
        <w:pStyle w:val="31"/>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投诉联系电话：0391-8683273  </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sz w:val="24"/>
          <w:szCs w:val="24"/>
        </w:rPr>
        <w:t xml:space="preserve">地址：博爱县机关综合办公楼主楼1213室 </w:t>
      </w:r>
    </w:p>
    <w:p>
      <w:pPr>
        <w:rPr>
          <w:rFonts w:ascii="宋体" w:hAnsi="宋体" w:cs="宋体"/>
          <w:szCs w:val="21"/>
        </w:rPr>
      </w:pPr>
    </w:p>
    <w:p>
      <w:pPr>
        <w:rPr>
          <w:szCs w:val="21"/>
        </w:rPr>
      </w:pPr>
    </w:p>
    <w:p>
      <w:pPr>
        <w:rPr>
          <w:szCs w:val="21"/>
        </w:rPr>
      </w:pPr>
    </w:p>
    <w:p>
      <w:pPr>
        <w:rPr>
          <w:szCs w:val="21"/>
        </w:rPr>
      </w:pPr>
    </w:p>
    <w:p>
      <w:pPr>
        <w:rPr>
          <w:szCs w:val="21"/>
        </w:rPr>
      </w:pPr>
    </w:p>
    <w:p>
      <w:pPr>
        <w:rPr>
          <w:szCs w:val="21"/>
        </w:rPr>
      </w:pPr>
    </w:p>
    <w:p/>
    <w:p/>
    <w:p>
      <w:pPr>
        <w:pStyle w:val="16"/>
      </w:pPr>
    </w:p>
    <w:p>
      <w:pPr>
        <w:pStyle w:val="17"/>
      </w:pPr>
    </w:p>
    <w:p>
      <w:pPr>
        <w:pStyle w:val="16"/>
      </w:pPr>
    </w:p>
    <w:p>
      <w:pPr>
        <w:pStyle w:val="17"/>
      </w:pPr>
    </w:p>
    <w:p>
      <w:pPr>
        <w:pStyle w:val="17"/>
      </w:pPr>
    </w:p>
    <w:p>
      <w:pPr>
        <w:pStyle w:val="6"/>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bookmarkStart w:id="279" w:name="_Toc3861"/>
      <w:r>
        <w:rPr>
          <w:rFonts w:hint="eastAsia" w:ascii="宋体" w:hAnsi="宋体" w:eastAsia="宋体" w:cs="宋体"/>
          <w:sz w:val="32"/>
          <w:szCs w:val="32"/>
        </w:rPr>
        <w:t>第七章 履约验收</w:t>
      </w:r>
      <w:bookmarkEnd w:id="279"/>
    </w:p>
    <w:p>
      <w:pPr>
        <w:pStyle w:val="30"/>
        <w:pageBreakBefore w:val="0"/>
        <w:widowControl w:val="0"/>
        <w:kinsoku/>
        <w:wordWrap/>
        <w:overflowPunct/>
        <w:topLinePunct w:val="0"/>
        <w:autoSpaceDE/>
        <w:autoSpaceDN/>
        <w:bidi w:val="0"/>
        <w:adjustRightInd/>
        <w:snapToGrid/>
        <w:spacing w:line="500" w:lineRule="exact"/>
        <w:ind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供应商履约完成后，向采购人提出验收建议，采购人自收到验收建议之日起五个工作日内，采购人组织供应商参与，共同完成验收。技术复杂、专业性强等项目可适当延长验收时间。验收流程如下：</w:t>
      </w:r>
    </w:p>
    <w:p>
      <w:pPr>
        <w:pStyle w:val="30"/>
        <w:pageBreakBefore w:val="0"/>
        <w:widowControl w:val="0"/>
        <w:numPr>
          <w:ilvl w:val="0"/>
          <w:numId w:val="11"/>
        </w:numPr>
        <w:kinsoku/>
        <w:wordWrap/>
        <w:overflowPunct/>
        <w:topLinePunct w:val="0"/>
        <w:autoSpaceDE/>
        <w:autoSpaceDN/>
        <w:bidi w:val="0"/>
        <w:adjustRightInd/>
        <w:snapToGrid/>
        <w:spacing w:line="500" w:lineRule="exact"/>
        <w:ind w:firstLineChars="200"/>
        <w:textAlignment w:val="auto"/>
        <w:rPr>
          <w:rFonts w:hint="eastAsia" w:ascii="宋体" w:hAnsi="宋体" w:eastAsia="宋体" w:cs="宋体"/>
          <w:sz w:val="24"/>
          <w:szCs w:val="24"/>
        </w:rPr>
      </w:pPr>
      <w:r>
        <w:rPr>
          <w:rFonts w:hint="eastAsia" w:ascii="宋体" w:hAnsi="宋体" w:eastAsia="宋体" w:cs="宋体"/>
          <w:sz w:val="24"/>
          <w:szCs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30"/>
        <w:pageBreakBefore w:val="0"/>
        <w:widowControl w:val="0"/>
        <w:numPr>
          <w:ilvl w:val="0"/>
          <w:numId w:val="11"/>
        </w:numPr>
        <w:kinsoku/>
        <w:wordWrap/>
        <w:overflowPunct/>
        <w:topLinePunct w:val="0"/>
        <w:autoSpaceDE/>
        <w:autoSpaceDN/>
        <w:bidi w:val="0"/>
        <w:adjustRightInd/>
        <w:snapToGrid/>
        <w:spacing w:line="500" w:lineRule="exact"/>
        <w:ind w:firstLineChars="200"/>
        <w:textAlignment w:val="auto"/>
        <w:rPr>
          <w:rFonts w:hint="eastAsia" w:ascii="宋体" w:hAnsi="宋体" w:eastAsia="宋体" w:cs="宋体"/>
          <w:sz w:val="24"/>
          <w:szCs w:val="24"/>
        </w:rPr>
      </w:pPr>
      <w:r>
        <w:rPr>
          <w:rFonts w:hint="eastAsia" w:ascii="宋体" w:hAnsi="宋体" w:eastAsia="宋体" w:cs="宋体"/>
          <w:sz w:val="24"/>
          <w:szCs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30"/>
        <w:pageBreakBefore w:val="0"/>
        <w:widowControl w:val="0"/>
        <w:numPr>
          <w:ilvl w:val="0"/>
          <w:numId w:val="11"/>
        </w:numPr>
        <w:kinsoku/>
        <w:wordWrap/>
        <w:overflowPunct/>
        <w:topLinePunct w:val="0"/>
        <w:autoSpaceDE/>
        <w:autoSpaceDN/>
        <w:bidi w:val="0"/>
        <w:adjustRightInd/>
        <w:snapToGrid/>
        <w:spacing w:line="500" w:lineRule="exact"/>
        <w:ind w:firstLineChars="200"/>
        <w:textAlignment w:val="auto"/>
        <w:rPr>
          <w:rFonts w:hint="eastAsia" w:ascii="宋体" w:hAnsi="宋体" w:eastAsia="宋体" w:cs="宋体"/>
          <w:sz w:val="24"/>
          <w:szCs w:val="24"/>
        </w:rPr>
      </w:pPr>
      <w:r>
        <w:rPr>
          <w:rFonts w:hint="eastAsia" w:ascii="宋体" w:hAnsi="宋体" w:eastAsia="宋体" w:cs="宋体"/>
          <w:sz w:val="24"/>
          <w:szCs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30"/>
        <w:pageBreakBefore w:val="0"/>
        <w:widowControl w:val="0"/>
        <w:numPr>
          <w:ilvl w:val="0"/>
          <w:numId w:val="11"/>
        </w:numPr>
        <w:kinsoku/>
        <w:wordWrap/>
        <w:overflowPunct/>
        <w:topLinePunct w:val="0"/>
        <w:autoSpaceDE/>
        <w:autoSpaceDN/>
        <w:bidi w:val="0"/>
        <w:adjustRightInd/>
        <w:snapToGrid/>
        <w:spacing w:line="500" w:lineRule="exact"/>
        <w:ind w:firstLineChars="200"/>
        <w:textAlignment w:val="auto"/>
        <w:rPr>
          <w:rFonts w:hint="eastAsia" w:ascii="宋体" w:hAnsi="宋体" w:eastAsia="宋体" w:cs="宋体"/>
          <w:sz w:val="24"/>
          <w:szCs w:val="24"/>
        </w:rPr>
      </w:pPr>
      <w:r>
        <w:rPr>
          <w:rFonts w:hint="eastAsia" w:ascii="宋体" w:hAnsi="宋体" w:eastAsia="宋体" w:cs="宋体"/>
          <w:sz w:val="24"/>
          <w:szCs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16"/>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pStyle w:val="17"/>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pStyle w:val="16"/>
        <w:rPr>
          <w:rFonts w:asciiTheme="minorEastAsia" w:hAnsiTheme="minorEastAsia" w:eastAsiaTheme="minorEastAsia" w:cstheme="minorEastAsia"/>
          <w:szCs w:val="21"/>
        </w:rPr>
      </w:pPr>
    </w:p>
    <w:p>
      <w:pPr>
        <w:pStyle w:val="17"/>
        <w:rPr>
          <w:rFonts w:asciiTheme="minorEastAsia" w:hAnsiTheme="minorEastAsia" w:eastAsiaTheme="minorEastAsia" w:cstheme="minorEastAsia"/>
          <w:szCs w:val="21"/>
        </w:rPr>
      </w:pPr>
    </w:p>
    <w:p>
      <w:pPr>
        <w:pStyle w:val="16"/>
        <w:rPr>
          <w:rFonts w:asciiTheme="minorEastAsia" w:hAnsiTheme="minorEastAsia" w:eastAsiaTheme="minorEastAsia" w:cstheme="minorEastAsia"/>
          <w:szCs w:val="21"/>
        </w:rPr>
      </w:pPr>
    </w:p>
    <w:p>
      <w:pPr>
        <w:pStyle w:val="16"/>
      </w:pPr>
    </w:p>
    <w:p>
      <w:pPr>
        <w:pStyle w:val="6"/>
        <w:bidi w:val="0"/>
        <w:rPr>
          <w:sz w:val="32"/>
          <w:szCs w:val="32"/>
        </w:rPr>
      </w:pPr>
      <w:bookmarkStart w:id="280" w:name="_Toc21125"/>
      <w:bookmarkStart w:id="281" w:name="_Toc12999"/>
      <w:r>
        <w:rPr>
          <w:rFonts w:hint="eastAsia"/>
          <w:sz w:val="32"/>
          <w:szCs w:val="32"/>
        </w:rPr>
        <w:t>第八章  投标文件格式</w:t>
      </w:r>
      <w:bookmarkEnd w:id="275"/>
      <w:bookmarkEnd w:id="276"/>
      <w:bookmarkEnd w:id="277"/>
      <w:bookmarkEnd w:id="280"/>
      <w:bookmarkEnd w:id="281"/>
    </w:p>
    <w:p>
      <w:pPr>
        <w:rPr>
          <w:rFonts w:asciiTheme="minorEastAsia" w:hAnsiTheme="minorEastAsia" w:eastAsiaTheme="minorEastAsia" w:cstheme="minorEastAsia"/>
        </w:rPr>
      </w:pPr>
      <w:bookmarkStart w:id="282" w:name="_Toc27452"/>
      <w:bookmarkStart w:id="283" w:name="_Toc403122573"/>
      <w:bookmarkStart w:id="284" w:name="_Toc402961301"/>
      <w:bookmarkStart w:id="285" w:name="_Toc18905"/>
    </w:p>
    <w:bookmarkEnd w:id="282"/>
    <w:bookmarkEnd w:id="283"/>
    <w:bookmarkEnd w:id="284"/>
    <w:bookmarkEnd w:id="285"/>
    <w:p>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p>
    <w:p>
      <w:pPr>
        <w:spacing w:line="360" w:lineRule="auto"/>
        <w:jc w:val="center"/>
        <w:rPr>
          <w:rFonts w:asciiTheme="minorEastAsia" w:hAnsiTheme="minorEastAsia" w:eastAsiaTheme="minorEastAsia" w:cstheme="minorEastAsia"/>
          <w:b/>
          <w:sz w:val="32"/>
          <w:szCs w:val="32"/>
        </w:rPr>
      </w:pPr>
    </w:p>
    <w:p>
      <w:pPr>
        <w:pStyle w:val="31"/>
      </w:pPr>
    </w:p>
    <w:p>
      <w:pPr>
        <w:pStyle w:val="31"/>
      </w:pPr>
    </w:p>
    <w:p>
      <w:pPr>
        <w:pStyle w:val="31"/>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13"/>
        <w:ind w:firstLine="3360" w:firstLineChars="1400"/>
        <w:rPr>
          <w:rFonts w:hint="eastAsia" w:eastAsiaTheme="minorEastAsia"/>
          <w:lang w:eastAsia="zh-CN"/>
        </w:rPr>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21"/>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21"/>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21"/>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pStyle w:val="31"/>
        <w:ind w:firstLine="883"/>
        <w:rPr>
          <w:rFonts w:asciiTheme="minorEastAsia" w:hAnsiTheme="minorEastAsia" w:eastAsiaTheme="minorEastAsia" w:cstheme="minorEastAsia"/>
          <w:b/>
          <w:bCs/>
          <w:sz w:val="44"/>
          <w:szCs w:val="44"/>
        </w:rPr>
      </w:pPr>
    </w:p>
    <w:p>
      <w:pPr>
        <w:jc w:val="both"/>
        <w:rPr>
          <w:rFonts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600" w:lineRule="exact"/>
        <w:jc w:val="center"/>
        <w:outlineLvl w:val="1"/>
        <w:rPr>
          <w:rFonts w:asciiTheme="minorEastAsia" w:hAnsiTheme="minorEastAsia" w:eastAsiaTheme="minorEastAsia" w:cstheme="minorEastAsia"/>
          <w:b/>
          <w:bCs/>
          <w:sz w:val="28"/>
          <w:szCs w:val="28"/>
        </w:rPr>
      </w:pPr>
      <w:bookmarkStart w:id="286" w:name="_Toc31547"/>
      <w:bookmarkStart w:id="287" w:name="_Toc2130"/>
      <w:r>
        <w:rPr>
          <w:rFonts w:hint="eastAsia" w:asciiTheme="minorEastAsia" w:hAnsiTheme="minorEastAsia" w:eastAsiaTheme="minorEastAsia" w:cstheme="minorEastAsia"/>
          <w:szCs w:val="21"/>
          <w:lang w:eastAsia="zh-CN"/>
        </w:rPr>
        <w:t>（自拟）</w:t>
      </w:r>
      <w:r>
        <w:rPr>
          <w:rFonts w:hint="eastAsia" w:asciiTheme="minorEastAsia" w:hAnsiTheme="minorEastAsia" w:eastAsiaTheme="minorEastAsia" w:cstheme="minorEastAsia"/>
          <w:szCs w:val="21"/>
        </w:rPr>
        <w:br w:type="page"/>
      </w:r>
      <w:bookmarkStart w:id="288" w:name="_Toc1921"/>
      <w:r>
        <w:rPr>
          <w:rFonts w:hint="eastAsia" w:asciiTheme="minorEastAsia" w:hAnsiTheme="minorEastAsia" w:eastAsiaTheme="minorEastAsia" w:cstheme="minorEastAsia"/>
          <w:b/>
          <w:bCs/>
          <w:sz w:val="30"/>
          <w:szCs w:val="30"/>
        </w:rPr>
        <w:t>一、投标函</w:t>
      </w:r>
      <w:bookmarkEnd w:id="286"/>
      <w:r>
        <w:rPr>
          <w:rFonts w:hint="eastAsia" w:asciiTheme="minorEastAsia" w:hAnsiTheme="minorEastAsia" w:eastAsiaTheme="minorEastAsia" w:cstheme="minorEastAsia"/>
          <w:b/>
          <w:bCs/>
          <w:sz w:val="30"/>
          <w:szCs w:val="30"/>
        </w:rPr>
        <w:t>及开标一览表</w:t>
      </w:r>
      <w:bookmarkEnd w:id="287"/>
      <w:bookmarkEnd w:id="288"/>
    </w:p>
    <w:p>
      <w:pPr>
        <w:numPr>
          <w:ilvl w:val="0"/>
          <w:numId w:val="12"/>
        </w:numPr>
        <w:spacing w:line="600" w:lineRule="exact"/>
        <w:jc w:val="center"/>
        <w:outlineLvl w:val="2"/>
        <w:rPr>
          <w:rFonts w:asciiTheme="minorEastAsia" w:hAnsiTheme="minorEastAsia" w:eastAsiaTheme="minorEastAsia" w:cstheme="minorEastAsia"/>
          <w:b/>
          <w:sz w:val="28"/>
          <w:szCs w:val="28"/>
        </w:rPr>
      </w:pPr>
      <w:bookmarkStart w:id="289" w:name="_Toc27218"/>
      <w:bookmarkStart w:id="290" w:name="_Toc600"/>
      <w:bookmarkStart w:id="291" w:name="_Toc12044"/>
      <w:bookmarkStart w:id="292" w:name="_Toc28684"/>
      <w:r>
        <w:rPr>
          <w:rFonts w:hint="eastAsia" w:asciiTheme="minorEastAsia" w:hAnsiTheme="minorEastAsia" w:eastAsiaTheme="minorEastAsia" w:cstheme="minorEastAsia"/>
          <w:b/>
          <w:sz w:val="28"/>
          <w:szCs w:val="28"/>
        </w:rPr>
        <w:t>投标函</w:t>
      </w:r>
      <w:bookmarkEnd w:id="289"/>
      <w:bookmarkEnd w:id="290"/>
      <w:bookmarkEnd w:id="291"/>
      <w:bookmarkEnd w:id="292"/>
    </w:p>
    <w:p>
      <w:pPr>
        <w:pStyle w:val="31"/>
        <w:ind w:firstLine="0" w:firstLineChars="0"/>
      </w:pPr>
    </w:p>
    <w:p>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30"/>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w:t>
      </w:r>
      <w:r>
        <w:rPr>
          <w:rFonts w:hint="eastAsia" w:ascii="宋体" w:hAnsi="宋体" w:eastAsia="宋体"/>
          <w:sz w:val="24"/>
          <w:lang w:eastAsia="zh-CN"/>
        </w:rPr>
        <w:t>采购</w:t>
      </w:r>
      <w:r>
        <w:rPr>
          <w:rFonts w:ascii="宋体" w:hAnsi="宋体" w:eastAsia="宋体"/>
          <w:sz w:val="24"/>
        </w:rPr>
        <w:t>编号：</w:t>
      </w:r>
      <w:r>
        <w:rPr>
          <w:rFonts w:ascii="宋体" w:hAnsi="宋体" w:eastAsia="宋体"/>
          <w:sz w:val="24"/>
          <w:u w:val="single"/>
        </w:rPr>
        <w:t xml:space="preserve">      </w:t>
      </w:r>
      <w:r>
        <w:rPr>
          <w:rFonts w:ascii="宋体" w:hAnsi="宋体" w:eastAsia="宋体"/>
          <w:sz w:val="24"/>
        </w:rPr>
        <w:t xml:space="preserve"> ）采购文件及有关纪要通知，现对参与投标及中标后工作，做出如下郑重承诺：</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w:t>
      </w:r>
      <w:r>
        <w:rPr>
          <w:rFonts w:hint="eastAsia" w:ascii="宋体" w:hAnsi="宋体"/>
          <w:sz w:val="24"/>
          <w:lang w:eastAsia="zh-CN"/>
        </w:rPr>
        <w:t>合同履行期限（</w:t>
      </w:r>
      <w:r>
        <w:rPr>
          <w:rFonts w:hint="eastAsia" w:ascii="宋体" w:hAnsi="宋体"/>
          <w:sz w:val="24"/>
        </w:rPr>
        <w:t>供货安装期</w:t>
      </w:r>
      <w:r>
        <w:rPr>
          <w:rFonts w:hint="eastAsia" w:ascii="宋体" w:hAnsi="宋体"/>
          <w:sz w:val="24"/>
          <w:lang w:eastAsia="zh-CN"/>
        </w:rPr>
        <w:t>）</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，按合同约定实施和完成本项目。 </w:t>
      </w:r>
    </w:p>
    <w:p>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adjustRightInd w:val="0"/>
        <w:snapToGrid w:val="0"/>
        <w:spacing w:before="156" w:beforeLines="50" w:line="360" w:lineRule="auto"/>
        <w:ind w:right="960"/>
        <w:rPr>
          <w:rFonts w:hint="eastAsia" w:ascii="宋体" w:hAnsi="宋体" w:eastAsia="宋体" w:cs="宋体"/>
          <w:sz w:val="24"/>
          <w:szCs w:val="24"/>
        </w:rPr>
      </w:pPr>
      <w:r>
        <w:rPr>
          <w:rFonts w:hint="eastAsia" w:ascii="宋体" w:hAnsi="宋体" w:eastAsia="宋体" w:cs="宋体"/>
          <w:sz w:val="24"/>
          <w:szCs w:val="24"/>
        </w:rPr>
        <w:t>供应商名称（单位电子签章）：</w:t>
      </w:r>
    </w:p>
    <w:p>
      <w:pPr>
        <w:adjustRightInd w:val="0"/>
        <w:snapToGrid w:val="0"/>
        <w:spacing w:before="156" w:beforeLines="50" w:line="360" w:lineRule="auto"/>
        <w:ind w:right="420"/>
        <w:jc w:val="both"/>
        <w:rPr>
          <w:rFonts w:hint="eastAsia" w:ascii="宋体" w:hAnsi="宋体" w:eastAsia="宋体" w:cs="宋体"/>
          <w:sz w:val="24"/>
          <w:szCs w:val="24"/>
        </w:rPr>
      </w:pPr>
      <w:r>
        <w:rPr>
          <w:rFonts w:hint="eastAsia" w:ascii="宋体" w:hAnsi="宋体"/>
          <w:color w:val="auto"/>
          <w:kern w:val="0"/>
          <w:sz w:val="24"/>
          <w:highlight w:val="none"/>
        </w:rPr>
        <w:t>法定代表人或授权委托代理人：（签字或盖章）</w:t>
      </w:r>
    </w:p>
    <w:p>
      <w:pPr>
        <w:adjustRightInd w:val="0"/>
        <w:snapToGrid w:val="0"/>
        <w:spacing w:line="440" w:lineRule="exact"/>
        <w:ind w:firstLine="5400" w:firstLineChars="2250"/>
        <w:rPr>
          <w:rFonts w:hint="eastAsia" w:ascii="宋体" w:hAnsi="宋体" w:eastAsia="宋体" w:cs="宋体"/>
          <w:sz w:val="24"/>
          <w:szCs w:val="24"/>
        </w:rPr>
      </w:pPr>
      <w:r>
        <w:rPr>
          <w:rFonts w:hint="eastAsia" w:ascii="宋体" w:hAnsi="宋体" w:eastAsia="宋体" w:cs="宋体"/>
          <w:sz w:val="24"/>
          <w:szCs w:val="24"/>
        </w:rPr>
        <w:t>年   月    日</w:t>
      </w: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93" w:name="_Toc31291"/>
      <w:bookmarkStart w:id="294" w:name="_Toc208"/>
      <w:bookmarkStart w:id="295" w:name="_Toc14778"/>
      <w:bookmarkStart w:id="296" w:name="_Toc9543"/>
      <w:r>
        <w:rPr>
          <w:rFonts w:hint="eastAsia" w:asciiTheme="minorEastAsia" w:hAnsiTheme="minorEastAsia" w:eastAsiaTheme="minorEastAsia" w:cstheme="minorEastAsia"/>
          <w:b/>
          <w:bCs/>
          <w:sz w:val="28"/>
          <w:szCs w:val="28"/>
        </w:rPr>
        <w:t>（二） 开标一览表</w:t>
      </w:r>
      <w:bookmarkEnd w:id="293"/>
      <w:bookmarkEnd w:id="294"/>
      <w:bookmarkEnd w:id="295"/>
      <w:bookmarkEnd w:id="296"/>
    </w:p>
    <w:p>
      <w:pPr>
        <w:jc w:val="center"/>
        <w:rPr>
          <w:rFonts w:asciiTheme="minorEastAsia" w:hAnsiTheme="minorEastAsia" w:eastAsiaTheme="minorEastAsia" w:cstheme="minorEastAsia"/>
          <w:b/>
          <w:bCs/>
          <w:sz w:val="28"/>
        </w:rPr>
      </w:pPr>
    </w:p>
    <w:tbl>
      <w:tblPr>
        <w:tblStyle w:val="32"/>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1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1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18"/>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18"/>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1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合同履行期限</w:t>
            </w:r>
          </w:p>
          <w:p>
            <w:pPr>
              <w:spacing w:line="300" w:lineRule="exact"/>
              <w:jc w:val="center"/>
              <w:rPr>
                <w:rFonts w:hint="eastAsia" w:asciiTheme="minorEastAsia" w:hAnsiTheme="minorEastAsia" w:eastAsiaTheme="minorEastAsia" w:cstheme="minorEastAsia"/>
                <w:sz w:val="24"/>
                <w:highlight w:val="yellow"/>
                <w:lang w:eastAsia="zh-CN"/>
              </w:rPr>
            </w:pPr>
            <w:r>
              <w:rPr>
                <w:rFonts w:hint="eastAsia" w:asciiTheme="minorEastAsia" w:hAnsiTheme="minorEastAsia" w:eastAsiaTheme="minorEastAsia" w:cstheme="minorEastAsia"/>
                <w:sz w:val="24"/>
                <w:lang w:eastAsia="zh-CN"/>
              </w:rPr>
              <w:t>（供货安装期）</w:t>
            </w:r>
          </w:p>
        </w:tc>
        <w:tc>
          <w:tcPr>
            <w:tcW w:w="5898" w:type="dxa"/>
            <w:vAlign w:val="center"/>
          </w:tcPr>
          <w:p>
            <w:pPr>
              <w:pStyle w:val="1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质保期</w:t>
            </w:r>
          </w:p>
        </w:tc>
        <w:tc>
          <w:tcPr>
            <w:tcW w:w="5898" w:type="dxa"/>
            <w:vAlign w:val="center"/>
          </w:tcPr>
          <w:p>
            <w:pPr>
              <w:pStyle w:val="1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投标有效期</w:t>
            </w:r>
          </w:p>
        </w:tc>
        <w:tc>
          <w:tcPr>
            <w:tcW w:w="5898" w:type="dxa"/>
            <w:vAlign w:val="center"/>
          </w:tcPr>
          <w:p>
            <w:pPr>
              <w:pStyle w:val="1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8"/>
              <w:spacing w:line="400" w:lineRule="exact"/>
              <w:ind w:left="0" w:leftChars="0" w:firstLine="0" w:firstLineChars="0"/>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1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8"/>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pStyle w:val="16"/>
      </w:pPr>
    </w:p>
    <w:p>
      <w:pPr>
        <w:keepNext w:val="0"/>
        <w:keepLines w:val="0"/>
        <w:pageBreakBefore w:val="0"/>
        <w:widowControl w:val="0"/>
        <w:kinsoku/>
        <w:wordWrap/>
        <w:overflowPunct/>
        <w:topLinePunct w:val="0"/>
        <w:autoSpaceDE/>
        <w:autoSpaceDN/>
        <w:bidi w:val="0"/>
        <w:adjustRightInd w:val="0"/>
        <w:snapToGrid w:val="0"/>
        <w:spacing w:before="156" w:beforeLines="50" w:line="500" w:lineRule="exact"/>
        <w:ind w:right="960"/>
        <w:textAlignment w:val="auto"/>
        <w:rPr>
          <w:rFonts w:hint="eastAsia" w:ascii="宋体" w:hAnsi="宋体" w:eastAsia="宋体" w:cs="宋体"/>
          <w:sz w:val="24"/>
          <w:szCs w:val="24"/>
        </w:rPr>
      </w:pPr>
      <w:r>
        <w:rPr>
          <w:rFonts w:hint="eastAsia" w:ascii="宋体" w:hAnsi="宋体" w:eastAsia="宋体" w:cs="宋体"/>
          <w:sz w:val="24"/>
          <w:szCs w:val="24"/>
        </w:rPr>
        <w:t>供应商名称（单位电子签章）：</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Style w:val="16"/>
        <w:keepNext w:val="0"/>
        <w:keepLines w:val="0"/>
        <w:pageBreakBefore w:val="0"/>
        <w:widowControl w:val="0"/>
        <w:kinsoku/>
        <w:wordWrap/>
        <w:overflowPunct/>
        <w:topLinePunct w:val="0"/>
        <w:autoSpaceDE/>
        <w:autoSpaceDN/>
        <w:bidi w:val="0"/>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cs="宋体"/>
          <w:sz w:val="24"/>
          <w:szCs w:val="24"/>
          <w:lang w:eastAsia="zh-CN"/>
        </w:rPr>
        <w:t>期：</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16"/>
        <w:rPr>
          <w:rFonts w:asciiTheme="minorEastAsia" w:hAnsiTheme="minorEastAsia" w:eastAsiaTheme="minorEastAsia" w:cstheme="minorEastAsia"/>
          <w:sz w:val="24"/>
        </w:rPr>
      </w:pPr>
    </w:p>
    <w:p>
      <w:pPr>
        <w:pStyle w:val="28"/>
        <w:spacing w:before="120" w:after="120" w:line="500" w:lineRule="exact"/>
        <w:ind w:right="29" w:rightChars="14"/>
        <w:outlineLvl w:val="9"/>
        <w:rPr>
          <w:rFonts w:asciiTheme="minorEastAsia" w:hAnsiTheme="minorEastAsia" w:eastAsiaTheme="minorEastAsia" w:cstheme="minorEastAsia"/>
          <w:sz w:val="24"/>
        </w:rPr>
      </w:pPr>
    </w:p>
    <w:p>
      <w:pPr>
        <w:pStyle w:val="28"/>
        <w:spacing w:before="120" w:after="120" w:line="500" w:lineRule="exact"/>
        <w:ind w:right="29" w:rightChars="14"/>
        <w:outlineLvl w:val="1"/>
        <w:rPr>
          <w:rFonts w:asciiTheme="minorEastAsia" w:hAnsiTheme="minorEastAsia" w:eastAsiaTheme="minorEastAsia" w:cstheme="minorEastAsia"/>
          <w:sz w:val="24"/>
        </w:rPr>
        <w:sectPr>
          <w:pgSz w:w="11907" w:h="16840"/>
          <w:pgMar w:top="1440" w:right="1519" w:bottom="1440" w:left="1576" w:header="850" w:footer="998" w:gutter="0"/>
          <w:pgNumType w:fmt="numberInDash"/>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（三）报价明细表</w:t>
      </w:r>
    </w:p>
    <w:p>
      <w:pPr>
        <w:spacing w:line="440" w:lineRule="exact"/>
        <w:ind w:firstLine="308" w:firstLineChars="147"/>
        <w:rPr>
          <w:rFonts w:ascii="宋体" w:hAnsi="宋体" w:cs="宋体"/>
          <w:bCs/>
          <w:szCs w:val="21"/>
        </w:rPr>
      </w:pPr>
    </w:p>
    <w:tbl>
      <w:tblPr>
        <w:tblStyle w:val="3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307" w:type="dxa"/>
            <w:vMerge w:val="restart"/>
            <w:tcBorders>
              <w:top w:val="single" w:color="auto" w:sz="4" w:space="0"/>
              <w:left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pPr>
              <w:pStyle w:val="27"/>
              <w:widowControl w:val="0"/>
              <w:adjustRightInd w:val="0"/>
              <w:spacing w:before="0" w:beforeAutospacing="0" w:after="0" w:afterAutospacing="0" w:line="480" w:lineRule="exact"/>
              <w:ind w:firstLine="235" w:firstLineChars="98"/>
              <w:jc w:val="center"/>
              <w:rPr>
                <w:bCs/>
              </w:rPr>
            </w:pPr>
          </w:p>
          <w:p>
            <w:pPr>
              <w:pStyle w:val="27"/>
              <w:widowControl w:val="0"/>
              <w:adjustRightInd w:val="0"/>
              <w:spacing w:before="0" w:beforeAutospacing="0" w:after="0" w:afterAutospacing="0" w:line="480" w:lineRule="exact"/>
              <w:jc w:val="center"/>
              <w:rPr>
                <w:bCs/>
              </w:rPr>
            </w:pPr>
            <w:r>
              <w:rPr>
                <w:rFonts w:hint="eastAsia"/>
                <w:bCs/>
              </w:rPr>
              <w:t>单价（元）</w:t>
            </w:r>
          </w:p>
          <w:p>
            <w:pPr>
              <w:pStyle w:val="27"/>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pPr>
              <w:pStyle w:val="27"/>
              <w:widowControl w:val="0"/>
              <w:adjustRightInd w:val="0"/>
              <w:spacing w:before="0" w:beforeAutospacing="0" w:after="0" w:afterAutospacing="0" w:line="480" w:lineRule="exact"/>
              <w:jc w:val="both"/>
              <w:rPr>
                <w:bCs/>
              </w:rPr>
            </w:pPr>
            <w:r>
              <w:rPr>
                <w:rFonts w:hint="eastAsia"/>
                <w:bCs/>
              </w:rPr>
              <w:t xml:space="preserve"> </w:t>
            </w:r>
          </w:p>
          <w:p>
            <w:pPr>
              <w:pStyle w:val="27"/>
              <w:widowControl w:val="0"/>
              <w:adjustRightInd w:val="0"/>
              <w:spacing w:before="0" w:beforeAutospacing="0" w:after="0" w:afterAutospacing="0" w:line="480" w:lineRule="exact"/>
              <w:jc w:val="both"/>
              <w:rPr>
                <w:bCs/>
              </w:rPr>
            </w:pPr>
            <w:r>
              <w:rPr>
                <w:rFonts w:hint="eastAsia"/>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07" w:type="dxa"/>
            <w:vMerge w:val="continue"/>
            <w:tcBorders>
              <w:left w:val="single" w:color="auto" w:sz="4" w:space="0"/>
              <w:bottom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pPr>
              <w:pStyle w:val="27"/>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pPr>
              <w:pStyle w:val="27"/>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pPr>
              <w:pStyle w:val="27"/>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r>
              <w:rPr>
                <w:rFonts w:hint="eastAsia" w:ascii="宋体" w:hAnsi="宋体" w:cs="宋体"/>
                <w:bCs/>
                <w:sz w:val="24"/>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hint="eastAsia" w:ascii="宋体" w:hAnsi="宋体" w:cs="宋体"/>
                <w:b/>
                <w:sz w:val="24"/>
              </w:rPr>
            </w:pPr>
            <w:r>
              <w:rPr>
                <w:rFonts w:hint="eastAsia" w:ascii="宋体" w:hAnsi="宋体" w:cs="宋体"/>
                <w:b/>
                <w:sz w:val="24"/>
              </w:rPr>
              <w:t>重要提示：1</w:t>
            </w:r>
            <w:r>
              <w:rPr>
                <w:rFonts w:hint="eastAsia" w:ascii="宋体" w:hAnsi="宋体" w:cs="宋体"/>
                <w:b/>
                <w:sz w:val="24"/>
                <w:lang w:val="en-US" w:eastAsia="zh-CN"/>
              </w:rPr>
              <w:t>.</w:t>
            </w:r>
            <w:r>
              <w:rPr>
                <w:rFonts w:hint="eastAsia" w:ascii="宋体" w:hAnsi="宋体" w:cs="宋体"/>
                <w:b/>
                <w:sz w:val="24"/>
              </w:rPr>
              <w:t>本表的每一页须加盖企业印章；</w:t>
            </w:r>
          </w:p>
          <w:p>
            <w:pPr>
              <w:spacing w:line="480" w:lineRule="exact"/>
              <w:rPr>
                <w:rFonts w:ascii="宋体" w:hAnsi="宋体" w:cs="宋体"/>
                <w:bCs/>
                <w:sz w:val="24"/>
              </w:rPr>
            </w:pPr>
            <w:r>
              <w:rPr>
                <w:rFonts w:hint="eastAsia" w:ascii="宋体" w:hAnsi="宋体" w:cs="宋体"/>
                <w:b/>
                <w:sz w:val="24"/>
              </w:rPr>
              <w:t>2</w:t>
            </w:r>
            <w:r>
              <w:rPr>
                <w:rFonts w:hint="eastAsia" w:ascii="宋体" w:hAnsi="宋体" w:cs="宋体"/>
                <w:b/>
                <w:sz w:val="24"/>
                <w:lang w:val="en-US" w:eastAsia="zh-CN"/>
              </w:rPr>
              <w:t>.</w:t>
            </w:r>
            <w:r>
              <w:rPr>
                <w:rFonts w:hint="eastAsia" w:ascii="宋体" w:hAnsi="宋体" w:cs="宋体"/>
                <w:b/>
                <w:sz w:val="24"/>
              </w:rPr>
              <w:t>涉及有国家标准的产品，须填写名称、品牌、型号及技术参数、报价等本表内容（若品牌、型号等填写的与实际不符，按照无效标处理）。</w:t>
            </w:r>
          </w:p>
        </w:tc>
      </w:tr>
    </w:tbl>
    <w:p>
      <w:pPr>
        <w:adjustRightInd w:val="0"/>
        <w:snapToGrid w:val="0"/>
        <w:spacing w:before="156" w:beforeLines="50" w:line="360" w:lineRule="auto"/>
        <w:ind w:right="960"/>
        <w:rPr>
          <w:rFonts w:hint="eastAsia" w:ascii="宋体" w:hAnsi="宋体" w:eastAsia="宋体" w:cs="宋体"/>
          <w:sz w:val="24"/>
          <w:szCs w:val="24"/>
        </w:rPr>
      </w:pPr>
      <w:r>
        <w:rPr>
          <w:rFonts w:hint="eastAsia" w:ascii="宋体" w:hAnsi="宋体" w:eastAsia="宋体" w:cs="宋体"/>
          <w:sz w:val="24"/>
          <w:szCs w:val="24"/>
        </w:rPr>
        <w:t>供应商名称（单位电子签章）：</w:t>
      </w:r>
    </w:p>
    <w:p>
      <w:pPr>
        <w:spacing w:line="480" w:lineRule="exact"/>
        <w:jc w:val="both"/>
        <w:rPr>
          <w:rFonts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hint="eastAsia" w:ascii="宋体" w:hAnsi="宋体" w:cs="宋体"/>
          <w:bCs/>
          <w:sz w:val="24"/>
        </w:rPr>
      </w:pPr>
      <w:r>
        <w:rPr>
          <w:rFonts w:hint="eastAsia" w:ascii="宋体" w:hAnsi="宋体" w:cs="宋体"/>
          <w:bCs/>
          <w:sz w:val="24"/>
        </w:rPr>
        <w:t xml:space="preserve">               </w:t>
      </w:r>
    </w:p>
    <w:p>
      <w:pPr>
        <w:ind w:left="1050" w:leftChars="500"/>
        <w:jc w:val="right"/>
        <w:rPr>
          <w:rFonts w:ascii="宋体" w:hAnsi="宋体" w:cs="宋体"/>
          <w:bCs/>
          <w:sz w:val="24"/>
        </w:rPr>
      </w:pPr>
      <w:r>
        <w:rPr>
          <w:rFonts w:hint="eastAsia" w:ascii="宋体" w:hAnsi="宋体" w:cs="宋体"/>
          <w:bCs/>
          <w:sz w:val="24"/>
        </w:rPr>
        <w:t xml:space="preserve"> 日  期：     年   月   日</w:t>
      </w: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32"/>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7"/>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注：投标人须对照招标文件技术规格，将自己所投的所有货物的功能、技术性能、配置等内容按照上表格式与招标文件要求逐条填写，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对应项中的所有技术参数、性能和配置全部符合招标文件要求的才能填写“符合”；</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rPr>
      </w:pPr>
    </w:p>
    <w:p>
      <w:pPr>
        <w:adjustRightInd w:val="0"/>
        <w:snapToGrid w:val="0"/>
        <w:spacing w:before="156" w:beforeLines="50" w:line="360" w:lineRule="auto"/>
        <w:ind w:right="960"/>
        <w:rPr>
          <w:rFonts w:hint="eastAsia" w:ascii="宋体" w:hAnsi="宋体" w:eastAsia="宋体" w:cs="宋体"/>
          <w:sz w:val="24"/>
          <w:szCs w:val="24"/>
        </w:rPr>
      </w:pPr>
      <w:r>
        <w:rPr>
          <w:rFonts w:hint="eastAsia" w:ascii="宋体" w:hAnsi="宋体" w:eastAsia="宋体" w:cs="宋体"/>
          <w:sz w:val="24"/>
          <w:szCs w:val="24"/>
        </w:rPr>
        <w:t>供应商名称（单位电子签章）：</w:t>
      </w:r>
    </w:p>
    <w:p>
      <w:pPr>
        <w:spacing w:line="480" w:lineRule="exact"/>
        <w:jc w:val="both"/>
        <w:rPr>
          <w:rFonts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w:t>
      </w:r>
    </w:p>
    <w:p>
      <w:pPr>
        <w:ind w:left="1050" w:leftChars="500"/>
        <w:jc w:val="right"/>
        <w:rPr>
          <w:rFonts w:ascii="宋体" w:hAnsi="宋体" w:cs="宋体"/>
          <w:bCs/>
          <w:sz w:val="24"/>
        </w:rPr>
      </w:pPr>
      <w:r>
        <w:rPr>
          <w:rFonts w:hint="eastAsia" w:ascii="宋体" w:hAnsi="宋体" w:cs="宋体"/>
          <w:bCs/>
          <w:sz w:val="24"/>
        </w:rPr>
        <w:t xml:space="preserve"> 日  期：     年   月   日</w:t>
      </w:r>
    </w:p>
    <w:p>
      <w:pPr>
        <w:pStyle w:val="31"/>
        <w:ind w:firstLine="480"/>
        <w:rPr>
          <w:rFonts w:asciiTheme="minorEastAsia" w:hAnsiTheme="minorEastAsia" w:eastAsiaTheme="minorEastAsia" w:cstheme="minorEastAsia"/>
          <w:sz w:val="24"/>
        </w:rPr>
      </w:pPr>
    </w:p>
    <w:p>
      <w:pPr>
        <w:numPr>
          <w:ilvl w:val="0"/>
          <w:numId w:val="14"/>
        </w:numPr>
        <w:bidi w:val="0"/>
        <w:jc w:val="center"/>
        <w:rPr>
          <w:b/>
          <w:bCs/>
          <w:sz w:val="28"/>
          <w:szCs w:val="28"/>
        </w:rPr>
      </w:pPr>
      <w:bookmarkStart w:id="297" w:name="_Toc26698"/>
      <w:bookmarkStart w:id="298" w:name="_Toc5614"/>
      <w:bookmarkStart w:id="299" w:name="_Toc2213"/>
      <w:r>
        <w:rPr>
          <w:rFonts w:hint="eastAsia"/>
          <w:b/>
          <w:bCs/>
          <w:sz w:val="28"/>
          <w:szCs w:val="28"/>
        </w:rPr>
        <w:t>法定代表人身份证明书</w:t>
      </w:r>
      <w:bookmarkEnd w:id="297"/>
      <w:bookmarkEnd w:id="298"/>
      <w:bookmarkEnd w:id="299"/>
    </w:p>
    <w:p/>
    <w:p>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pPr>
        <w:spacing w:line="360" w:lineRule="auto"/>
        <w:ind w:firstLine="480" w:firstLineChars="200"/>
        <w:rPr>
          <w:rFonts w:ascii="宋体" w:hAnsi="宋体"/>
          <w:sz w:val="24"/>
        </w:rPr>
      </w:pPr>
      <w:r>
        <w:rPr>
          <w:rFonts w:hint="eastAsia" w:ascii="宋体" w:hAnsi="宋体"/>
          <w:sz w:val="24"/>
        </w:rPr>
        <w:t>特此证明。</w:t>
      </w:r>
    </w:p>
    <w:p>
      <w:pP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aGfVz&#10;2QAAAAoBAAAPAAAAAAAAAAEAIAAAACIAAABkcnMvZG93bnJldi54bWxQSwECFAAUAAAACACHTuJA&#10;x7IXkSACAABTBAAADgAAAAAAAAABACAAAAAoAQAAZHJzL2Uyb0RvYy54bWxQSwUGAAAAAAYABgBZ&#10;AQAAugUA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fill on="t" focussize="0,0"/>
                <v:stroke color="#000000" joinstyle="miter"/>
                <v:imagedata o:title=""/>
                <o:lock v:ext="edit" aspectratio="f"/>
                <v:textbox>
                  <w:txbxContent>
                    <w:p/>
                  </w:txbxContent>
                </v:textbox>
              </v:shape>
            </w:pict>
          </mc:Fallback>
        </mc:AlternateContent>
      </w:r>
    </w:p>
    <w:p>
      <w:pPr>
        <w:rPr>
          <w:rFonts w:ascii="宋体" w:hAnsi="宋体"/>
          <w:sz w:val="24"/>
        </w:rPr>
      </w:pPr>
    </w:p>
    <w:p>
      <w:pP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270760" cy="677545"/>
                <wp:effectExtent l="4445" t="4445" r="10795" b="22860"/>
                <wp:wrapNone/>
                <wp:docPr id="2" name="文本框 5"/>
                <wp:cNvGraphicFramePr/>
                <a:graphic xmlns:a="http://schemas.openxmlformats.org/drawingml/2006/main">
                  <a:graphicData uri="http://schemas.microsoft.com/office/word/2010/wordprocessingShape">
                    <wps:wsp>
                      <wps:cNvSpPr txBox="1"/>
                      <wps:spPr>
                        <a:xfrm>
                          <a:off x="0" y="0"/>
                          <a:ext cx="2270760" cy="677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53.35pt;width:178.8pt;z-index:251660288;mso-width-relative:page;mso-height-relative:page;" fillcolor="#FFFFFF" filled="t" stroked="t" coordsize="21600,21600" o:gfxdata="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F4MEtkAAAAKAQAADwAAAAAA&#10;AAABACAAAAAiAAAAZHJzL2Rvd25yZXYueG1sUEsBAhQAFAAAAAgAh07iQPutkqMSAgAARAQAAA4A&#10;AAAAAAAAAQAgAAAAKAEAAGRycy9lMm9Eb2MueG1sUEsFBgAAAAAGAAYAWQEAAKwFA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578735" cy="889635"/>
                <wp:effectExtent l="5080" t="4445" r="6985" b="20320"/>
                <wp:wrapNone/>
                <wp:docPr id="4" name="文本框 4"/>
                <wp:cNvGraphicFramePr/>
                <a:graphic xmlns:a="http://schemas.openxmlformats.org/drawingml/2006/main">
                  <a:graphicData uri="http://schemas.microsoft.com/office/word/2010/wordprocessingShape">
                    <wps:wsp>
                      <wps:cNvSpPr txBox="1"/>
                      <wps:spPr>
                        <a:xfrm>
                          <a:off x="0" y="0"/>
                          <a:ext cx="2578735" cy="889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9pt;margin-top:28.45pt;height:70.05pt;width:203.05pt;z-index:251662336;mso-width-relative:page;mso-height-relative:page;" fillcolor="#FFFFFF" filled="t" stroked="t" coordsize="21600,21600" o:gfxdata="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zI422QAAAAoBAAAPAAAAAAAA&#10;AAEAIAAAACIAAABkcnMvZG93bnJldi54bWxQSwECFAAUAAAACACHTuJArUuFoxECAABEBAAADgAA&#10;AAAAAAABACAAAAAoAQAAZHJzL2Uyb0RvYy54bWxQSwUGAAAAAAYABgBZAQAAqwU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p>
    <w:p>
      <w:pPr>
        <w:rPr>
          <w:rFonts w:ascii="宋体" w:hAnsi="宋体"/>
          <w:sz w:val="24"/>
        </w:rPr>
      </w:pPr>
    </w:p>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供应商： （盖单位章）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w:t>
      </w:r>
      <w:r>
        <w:rPr>
          <w:rFonts w:hint="eastAsia" w:ascii="宋体" w:hAnsi="宋体" w:cs="宋体"/>
          <w:color w:val="auto"/>
          <w:sz w:val="24"/>
          <w:szCs w:val="24"/>
          <w:highlight w:val="none"/>
        </w:rPr>
        <w:t>企业电子签章</w:t>
      </w:r>
      <w:r>
        <w:rPr>
          <w:rFonts w:hint="eastAsia" w:ascii="宋体" w:hAnsi="宋体" w:eastAsia="宋体" w:cs="Times New Roman"/>
          <w:color w:val="auto"/>
          <w:sz w:val="24"/>
          <w:highlight w:val="none"/>
        </w:rPr>
        <w:t>）</w:t>
      </w:r>
    </w:p>
    <w:p>
      <w:pPr>
        <w:spacing w:line="360" w:lineRule="auto"/>
        <w:ind w:firstLine="5760" w:firstLineChars="2400"/>
        <w:rPr>
          <w:rFonts w:hint="eastAsia" w:ascii="宋体" w:hAnsi="宋体"/>
          <w:sz w:val="24"/>
        </w:rPr>
      </w:pPr>
    </w:p>
    <w:p>
      <w:pPr>
        <w:spacing w:line="360" w:lineRule="auto"/>
        <w:ind w:firstLine="5760" w:firstLineChars="2400"/>
        <w:rPr>
          <w:rFonts w:ascii="宋体" w:hAnsi="宋体"/>
          <w:sz w:val="24"/>
        </w:rPr>
      </w:pPr>
      <w:r>
        <w:rPr>
          <w:rFonts w:hint="eastAsia" w:ascii="宋体" w:hAnsi="宋体"/>
          <w:sz w:val="24"/>
          <w:lang w:eastAsia="zh-CN"/>
        </w:rPr>
        <w:t>日期：</w:t>
      </w:r>
      <w:r>
        <w:rPr>
          <w:rFonts w:hint="eastAsia" w:ascii="宋体" w:hAnsi="宋体"/>
          <w:sz w:val="24"/>
          <w:lang w:val="en-US" w:eastAsia="zh-CN"/>
        </w:rPr>
        <w:t xml:space="preserve">  </w:t>
      </w:r>
      <w:r>
        <w:rPr>
          <w:rFonts w:hint="eastAsia" w:ascii="宋体" w:hAnsi="宋体"/>
          <w:sz w:val="24"/>
        </w:rPr>
        <w:t>年    月     日</w:t>
      </w:r>
    </w:p>
    <w:p>
      <w:pPr>
        <w:spacing w:line="440" w:lineRule="exact"/>
        <w:rPr>
          <w:rFonts w:asciiTheme="minorEastAsia" w:hAnsiTheme="minorEastAsia" w:eastAsiaTheme="minorEastAsia" w:cstheme="minorEastAsia"/>
        </w:rPr>
      </w:pPr>
    </w:p>
    <w:p>
      <w:pPr>
        <w:pStyle w:val="28"/>
        <w:spacing w:before="120" w:after="120" w:line="500" w:lineRule="exact"/>
        <w:ind w:right="29" w:rightChars="14"/>
        <w:outlineLvl w:val="9"/>
        <w:rPr>
          <w:rFonts w:asciiTheme="minorEastAsia" w:hAnsiTheme="minorEastAsia" w:eastAsiaTheme="minorEastAsia" w:cstheme="minorEastAsia"/>
          <w:sz w:val="30"/>
          <w:szCs w:val="30"/>
        </w:rPr>
      </w:pPr>
      <w:bookmarkStart w:id="300" w:name="_Toc15395"/>
      <w:bookmarkStart w:id="301" w:name="_Toc6009"/>
    </w:p>
    <w:p>
      <w:pPr>
        <w:pStyle w:val="28"/>
        <w:spacing w:before="120" w:after="120" w:line="500" w:lineRule="exact"/>
        <w:ind w:right="29" w:rightChars="14"/>
        <w:outlineLvl w:val="1"/>
        <w:rPr>
          <w:rFonts w:asciiTheme="minorEastAsia" w:hAnsiTheme="minorEastAsia" w:eastAsiaTheme="minorEastAsia" w:cstheme="minorEastAsia"/>
          <w:sz w:val="30"/>
          <w:szCs w:val="30"/>
        </w:rPr>
      </w:pPr>
      <w:bookmarkStart w:id="302" w:name="_Toc17980"/>
    </w:p>
    <w:p>
      <w:pPr>
        <w:pStyle w:val="28"/>
        <w:spacing w:before="120" w:after="120" w:line="500" w:lineRule="exact"/>
        <w:ind w:right="29" w:rightChars="14"/>
        <w:jc w:val="both"/>
        <w:outlineLvl w:val="1"/>
        <w:rPr>
          <w:rFonts w:asciiTheme="minorEastAsia" w:hAnsiTheme="minorEastAsia" w:eastAsiaTheme="minorEastAsia" w:cstheme="minorEastAsia"/>
          <w:sz w:val="30"/>
          <w:szCs w:val="30"/>
        </w:rPr>
      </w:pPr>
    </w:p>
    <w:p>
      <w:pPr>
        <w:bidi w:val="0"/>
        <w:jc w:val="center"/>
        <w:rPr>
          <w:b/>
          <w:bCs/>
          <w:sz w:val="28"/>
          <w:szCs w:val="28"/>
        </w:rPr>
      </w:pPr>
      <w:r>
        <w:rPr>
          <w:rFonts w:hint="eastAsia"/>
          <w:b/>
          <w:bCs/>
          <w:sz w:val="28"/>
          <w:szCs w:val="28"/>
        </w:rPr>
        <w:t>三、授权委托书</w:t>
      </w:r>
      <w:bookmarkEnd w:id="300"/>
      <w:bookmarkEnd w:id="301"/>
      <w:bookmarkEnd w:id="302"/>
    </w:p>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7" o:spid="_x0000_s1026" o:spt="176" type="#_x0000_t176" style="position:absolute;left:0pt;margin-left:-28.65pt;margin-top:12.5pt;height:176pt;width:240.2pt;z-index:251663360;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mb2NgA&#10;AAAKAQAADwAAAAAAAAABACAAAAAiAAAAZHJzL2Rvd25yZXYueG1sUEsBAhQAFAAAAAgAh07iQPrM&#10;wq8fAgAAUwQAAA4AAAAAAAAAAQAgAAAAJwEAAGRycy9lMm9Eb2MueG1sUEsFBgAAAAAGAAYAWQEA&#10;ALgFAA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fill on="t" focussize="0,0"/>
                <v:stroke color="#000000" joinstyle="miter"/>
                <v:imagedata o:title=""/>
                <o:lock v:ext="edit" aspectratio="f"/>
              </v:shape>
            </w:pict>
          </mc:Fallback>
        </mc:AlternateConten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249170" cy="730250"/>
                <wp:effectExtent l="5080" t="4445" r="12700" b="8255"/>
                <wp:wrapNone/>
                <wp:docPr id="7" name="文本框 8"/>
                <wp:cNvGraphicFramePr/>
                <a:graphic xmlns:a="http://schemas.openxmlformats.org/drawingml/2006/main">
                  <a:graphicData uri="http://schemas.microsoft.com/office/word/2010/wordprocessingShape">
                    <wps:wsp>
                      <wps:cNvSpPr txBox="1"/>
                      <wps:spPr>
                        <a:xfrm>
                          <a:off x="0" y="0"/>
                          <a:ext cx="2249170" cy="730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0.9pt;margin-top:21.5pt;height:57.5pt;width:177.1pt;z-index:251665408;mso-width-relative:page;mso-height-relative:page;" fillcolor="#FFFFFF" filled="t" stroked="t" coordsize="21600,21600" o:gfxdata="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eoJg7ZAAAACgEAAA8AAAAA&#10;AAAAAQAgAAAAIgAAAGRycy9kb3ducmV2LnhtbFBLAQIUABQAAAAIAIdO4kAYk4tTEwIAAEQEAAAO&#10;AAAAAAAAAAEAIAAAACgBAABkcnMvZTJvRG9jLnhtbFBLBQYAAAAABgAGAFkBAACtBQ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430145" cy="741045"/>
                <wp:effectExtent l="4445" t="4445" r="22860" b="16510"/>
                <wp:wrapNone/>
                <wp:docPr id="8" name="文本框 9"/>
                <wp:cNvGraphicFramePr/>
                <a:graphic xmlns:a="http://schemas.openxmlformats.org/drawingml/2006/main">
                  <a:graphicData uri="http://schemas.microsoft.com/office/word/2010/wordprocessingShape">
                    <wps:wsp>
                      <wps:cNvSpPr txBox="1"/>
                      <wps:spPr>
                        <a:xfrm>
                          <a:off x="0" y="0"/>
                          <a:ext cx="2430145" cy="741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22.45pt;margin-top:18.5pt;height:58.35pt;width:191.35pt;z-index:251666432;mso-width-relative:page;mso-height-relative:page;" fillcolor="#FFFFFF" filled="t" stroked="t" coordsize="21600,21600" o:gfxdata="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PwbltkAAAAKAQAADwAAAAAAAAAB&#10;ACAAAAAiAAAAZHJzL2Rvd25yZXYueG1sUEsBAhQAFAAAAAgAh07iQDPMMZsPAgAARAQAAA4AAAAA&#10;AAAAAQAgAAAAKAEAAGRycy9lMm9Eb2MueG1sUEsFBgAAAAAGAAYAWQEAAKkFA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bookmarkEnd w:id="246"/>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rPr>
        <w:t>供应商：</w:t>
      </w:r>
      <w:r>
        <w:rPr>
          <w:rFonts w:hint="eastAsia" w:ascii="宋体" w:hAnsi="宋体" w:eastAsia="宋体" w:cs="Times New Roman"/>
          <w:sz w:val="24"/>
          <w:u w:val="single"/>
        </w:rPr>
        <w:t xml:space="preserve">              </w:t>
      </w:r>
      <w:r>
        <w:rPr>
          <w:rFonts w:hint="eastAsia" w:ascii="宋体" w:hAnsi="宋体" w:eastAsia="宋体" w:cs="Times New Roman"/>
          <w:sz w:val="24"/>
        </w:rPr>
        <w:t>（</w:t>
      </w:r>
      <w:r>
        <w:rPr>
          <w:rFonts w:hint="eastAsia" w:ascii="宋体" w:hAnsi="宋体" w:eastAsia="宋体" w:cs="Times New Roman"/>
          <w:sz w:val="24"/>
          <w:lang w:eastAsia="zh-CN"/>
        </w:rPr>
        <w:t>企业电子签章</w:t>
      </w:r>
      <w:r>
        <w:rPr>
          <w:rFonts w:hint="eastAsia" w:ascii="宋体" w:hAnsi="宋体" w:eastAsia="宋体" w:cs="Times New Roman"/>
          <w:sz w:val="24"/>
        </w:rPr>
        <w:t>）</w:t>
      </w:r>
      <w:r>
        <w:rPr>
          <w:rFonts w:hint="eastAsia" w:ascii="宋体" w:hAnsi="宋体" w:eastAsia="宋体" w:cs="Times New Roman"/>
          <w:sz w:val="24"/>
          <w:lang w:val="en-US" w:eastAsia="zh-CN"/>
        </w:rPr>
        <w:t xml:space="preserve"> </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法定代表人：</w:t>
      </w:r>
      <w:r>
        <w:rPr>
          <w:rFonts w:hint="eastAsia" w:ascii="宋体" w:hAnsi="宋体" w:eastAsia="宋体" w:cs="Times New Roman"/>
          <w:sz w:val="24"/>
          <w:u w:val="single"/>
        </w:rPr>
        <w:t xml:space="preserve">              </w:t>
      </w:r>
      <w:r>
        <w:rPr>
          <w:rFonts w:hint="eastAsia" w:ascii="宋体" w:hAnsi="宋体" w:eastAsia="宋体" w:cs="Times New Roman"/>
          <w:sz w:val="24"/>
        </w:rPr>
        <w:t>（签字或盖章）</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委托代理人：</w:t>
      </w:r>
      <w:r>
        <w:rPr>
          <w:rFonts w:hint="eastAsia" w:ascii="宋体" w:hAnsi="宋体" w:eastAsia="宋体" w:cs="Times New Roman"/>
          <w:sz w:val="24"/>
          <w:u w:val="single"/>
        </w:rPr>
        <w:t xml:space="preserve">                </w:t>
      </w:r>
      <w:r>
        <w:rPr>
          <w:rFonts w:hint="eastAsia" w:ascii="宋体" w:hAnsi="宋体" w:eastAsia="宋体" w:cs="Times New Roman"/>
          <w:sz w:val="24"/>
        </w:rPr>
        <w:t>（签字或盖章）</w:t>
      </w:r>
    </w:p>
    <w:p>
      <w:pPr>
        <w:pStyle w:val="2"/>
        <w:rPr>
          <w:rFonts w:hint="eastAsia"/>
        </w:rPr>
      </w:pPr>
    </w:p>
    <w:p>
      <w:pPr>
        <w:adjustRightInd w:val="0"/>
        <w:snapToGrid w:val="0"/>
        <w:spacing w:line="440" w:lineRule="exact"/>
        <w:ind w:firstLine="5400" w:firstLineChars="2250"/>
        <w:rPr>
          <w:rFonts w:hint="eastAsia" w:ascii="宋体" w:hAnsi="宋体" w:eastAsia="宋体" w:cs="宋体"/>
          <w:sz w:val="24"/>
          <w:szCs w:val="24"/>
        </w:rPr>
      </w:pPr>
      <w:r>
        <w:rPr>
          <w:rFonts w:hint="eastAsia" w:ascii="宋体" w:hAnsi="宋体" w:cs="宋体"/>
          <w:sz w:val="24"/>
          <w:szCs w:val="24"/>
          <w:lang w:eastAsia="zh-CN"/>
        </w:rPr>
        <w:t>日期：</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pPr>
        <w:pStyle w:val="27"/>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03" w:name="_Toc8304"/>
      <w:bookmarkStart w:id="304" w:name="_Toc25161"/>
    </w:p>
    <w:p>
      <w:pPr>
        <w:pStyle w:val="27"/>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kern w:val="2"/>
          <w:sz w:val="30"/>
          <w:szCs w:val="30"/>
        </w:rPr>
        <w:t>四、</w:t>
      </w:r>
      <w:bookmarkEnd w:id="303"/>
      <w:bookmarkEnd w:id="304"/>
      <w:r>
        <w:rPr>
          <w:rFonts w:hint="eastAsia" w:asciiTheme="minorEastAsia" w:hAnsiTheme="minorEastAsia" w:eastAsiaTheme="minorEastAsia" w:cstheme="minorEastAsia"/>
          <w:b/>
          <w:kern w:val="2"/>
          <w:sz w:val="30"/>
          <w:szCs w:val="30"/>
          <w:lang w:eastAsia="zh-CN"/>
        </w:rPr>
        <w:t>项目实施方案等</w:t>
      </w: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31"/>
        <w:rPr>
          <w:rFonts w:hint="eastAsia" w:ascii="宋体" w:hAnsi="宋体" w:eastAsia="宋体" w:cs="宋体"/>
          <w:sz w:val="24"/>
          <w:szCs w:val="24"/>
        </w:rPr>
      </w:pPr>
    </w:p>
    <w:p>
      <w:pPr>
        <w:rPr>
          <w:rFonts w:hint="eastAsia" w:ascii="宋体" w:hAnsi="宋体" w:eastAsia="宋体" w:cs="宋体"/>
        </w:rPr>
      </w:pPr>
    </w:p>
    <w:p>
      <w:pPr>
        <w:spacing w:line="360" w:lineRule="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8"/>
          <w:szCs w:val="28"/>
        </w:rPr>
      </w:pPr>
      <w:r>
        <w:rPr>
          <w:rFonts w:hint="eastAsia" w:ascii="宋体" w:hAnsi="宋体" w:cs="宋体"/>
          <w:b/>
          <w:sz w:val="28"/>
          <w:szCs w:val="28"/>
          <w:lang w:val="en-US" w:eastAsia="zh-CN"/>
        </w:rPr>
        <w:t>五、</w:t>
      </w:r>
      <w:r>
        <w:rPr>
          <w:rFonts w:hint="eastAsia" w:ascii="宋体" w:hAnsi="宋体" w:eastAsia="宋体" w:cs="宋体"/>
          <w:b/>
          <w:sz w:val="28"/>
          <w:szCs w:val="28"/>
          <w:lang w:val="en-US" w:eastAsia="zh-CN"/>
        </w:rPr>
        <w:t>供应商资格</w:t>
      </w:r>
      <w:r>
        <w:rPr>
          <w:rFonts w:hint="eastAsia" w:ascii="宋体" w:hAnsi="宋体" w:cs="宋体"/>
          <w:b/>
          <w:sz w:val="28"/>
          <w:szCs w:val="28"/>
          <w:lang w:val="en-US" w:eastAsia="zh-CN"/>
        </w:rPr>
        <w:t>证明</w:t>
      </w:r>
      <w:r>
        <w:rPr>
          <w:rFonts w:hint="eastAsia" w:ascii="宋体" w:hAnsi="宋体" w:eastAsia="宋体" w:cs="宋体"/>
          <w:b/>
          <w:sz w:val="28"/>
          <w:szCs w:val="28"/>
          <w:lang w:val="en-US" w:eastAsia="zh-CN"/>
        </w:rPr>
        <w:t>承诺函</w:t>
      </w:r>
    </w:p>
    <w:p>
      <w:pPr>
        <w:keepNext w:val="0"/>
        <w:keepLines w:val="0"/>
        <w:pageBreakBefore w:val="0"/>
        <w:widowControl w:val="0"/>
        <w:kinsoku/>
        <w:wordWrap/>
        <w:overflowPunct/>
        <w:topLinePunct w:val="0"/>
        <w:autoSpaceDE/>
        <w:autoSpaceDN/>
        <w:bidi w:val="0"/>
        <w:adjustRightInd/>
        <w:snapToGrid/>
        <w:spacing w:line="460" w:lineRule="exact"/>
        <w:ind w:right="330" w:rightChars="157"/>
        <w:textAlignment w:val="auto"/>
        <w:rPr>
          <w:rFonts w:hint="eastAsia"/>
          <w:sz w:val="24"/>
          <w:szCs w:val="24"/>
        </w:rPr>
      </w:pPr>
      <w:r>
        <w:rPr>
          <w:rFonts w:hint="eastAsia"/>
          <w:sz w:val="24"/>
          <w:szCs w:val="24"/>
          <w:lang w:val="en-US" w:eastAsia="zh-CN"/>
        </w:rPr>
        <w:t xml:space="preserve">致（采购人） ：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sz w:val="24"/>
          <w:szCs w:val="24"/>
        </w:rPr>
      </w:pPr>
      <w:r>
        <w:rPr>
          <w:rFonts w:hint="eastAsia"/>
          <w:sz w:val="24"/>
          <w:szCs w:val="24"/>
          <w:lang w:val="en-US" w:eastAsia="zh-CN"/>
        </w:rPr>
        <w:t>供应商名称：</w:t>
      </w:r>
      <w:r>
        <w:rPr>
          <w:rFonts w:hint="eastAsia" w:ascii="宋体" w:hAnsi="宋体" w:cs="宋体"/>
          <w:color w:val="000000"/>
          <w:sz w:val="24"/>
          <w:u w:val="single"/>
        </w:rPr>
        <w:t xml:space="preserve">                             </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default"/>
          <w:sz w:val="24"/>
          <w:szCs w:val="24"/>
          <w:lang w:val="en-US"/>
        </w:rPr>
      </w:pPr>
      <w:r>
        <w:rPr>
          <w:rFonts w:hint="eastAsia"/>
          <w:sz w:val="24"/>
          <w:szCs w:val="24"/>
          <w:lang w:val="en-US" w:eastAsia="zh-CN"/>
        </w:rPr>
        <w:t>统一社会信用代码：</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jc w:val="left"/>
        <w:textAlignment w:val="auto"/>
        <w:rPr>
          <w:rFonts w:hint="eastAsia"/>
          <w:sz w:val="24"/>
          <w:szCs w:val="24"/>
          <w:u w:val="single"/>
        </w:rPr>
      </w:pPr>
      <w:r>
        <w:rPr>
          <w:rFonts w:hint="eastAsia"/>
          <w:sz w:val="24"/>
          <w:szCs w:val="24"/>
          <w:lang w:val="en-US" w:eastAsia="zh-CN"/>
        </w:rPr>
        <w:t>供应商地址：</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我单位自愿参加本次政府采购活动，严格遵守《中华人民共和国政府采购法》及相关法律法规，依法诚信经营，无条件遵守本次政府采购活动的各项规定。我单位郑重承诺</w:t>
      </w:r>
      <w:r>
        <w:rPr>
          <w:rFonts w:hint="eastAsia" w:ascii="宋体" w:hAnsi="宋体" w:cs="宋体"/>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二、我</w:t>
      </w:r>
      <w:r>
        <w:rPr>
          <w:rFonts w:hint="eastAsia" w:ascii="宋体" w:hAnsi="宋体" w:eastAsia="宋体" w:cs="宋体"/>
          <w:sz w:val="24"/>
          <w:szCs w:val="24"/>
          <w:lang w:val="en-US" w:eastAsia="zh-CN"/>
        </w:rPr>
        <w:t xml:space="preserve">单位符合《中华人民共和国政府采购法》第二十二条规定的条件：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1.我单位具有符合采购文件资格要求独立承担民事责任的能力。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2.我单位具有符合采购文件资格要求的财务状况报告。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3.我单位具有符合采购文件资格要求的依法缴纳税收和社会保障记录的良好记录。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4.我单位具有符合采购文件资格要求履行合同所必需的设备和专业技术能力。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sz w:val="24"/>
          <w:szCs w:val="24"/>
        </w:rPr>
      </w:pPr>
      <w:r>
        <w:rPr>
          <w:rFonts w:hint="eastAsia" w:ascii="宋体" w:hAnsi="宋体" w:eastAsia="宋体" w:cs="宋体"/>
          <w:sz w:val="24"/>
          <w:szCs w:val="24"/>
          <w:lang w:val="en-US" w:eastAsia="zh-CN"/>
        </w:rPr>
        <w:t>若我单位承诺不实，自愿承担提供虚假</w:t>
      </w:r>
      <w:r>
        <w:rPr>
          <w:rFonts w:hint="eastAsia"/>
          <w:sz w:val="24"/>
          <w:szCs w:val="24"/>
          <w:lang w:val="en-US" w:eastAsia="zh-CN"/>
        </w:rPr>
        <w:t>材料谋取中标、成交的法律责任。</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3120" w:firstLineChars="1300"/>
        <w:textAlignment w:val="auto"/>
        <w:rPr>
          <w:rFonts w:hint="eastAsia"/>
          <w:sz w:val="24"/>
          <w:szCs w:val="24"/>
        </w:rPr>
      </w:pPr>
      <w:r>
        <w:rPr>
          <w:rFonts w:hint="eastAsia"/>
          <w:sz w:val="24"/>
          <w:szCs w:val="24"/>
          <w:lang w:val="en-US" w:eastAsia="zh-CN"/>
        </w:rPr>
        <w:t xml:space="preserve">承诺供应商（全称并加盖公章）：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3120" w:firstLineChars="1300"/>
        <w:textAlignment w:val="auto"/>
        <w:rPr>
          <w:rFonts w:hint="eastAsia"/>
          <w:sz w:val="24"/>
          <w:szCs w:val="24"/>
        </w:rPr>
      </w:pPr>
      <w:r>
        <w:rPr>
          <w:rFonts w:hint="eastAsia"/>
          <w:sz w:val="24"/>
          <w:szCs w:val="24"/>
          <w:lang w:val="en-US" w:eastAsia="zh-CN"/>
        </w:rPr>
        <w:t xml:space="preserve">法定代表人或授权代表(签字或签章)：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0" w:firstLineChars="2000"/>
        <w:textAlignment w:val="auto"/>
        <w:rPr>
          <w:rFonts w:hint="eastAsia"/>
          <w:sz w:val="24"/>
          <w:szCs w:val="24"/>
        </w:rPr>
      </w:pPr>
      <w:r>
        <w:rPr>
          <w:rFonts w:hint="eastAsia"/>
          <w:sz w:val="24"/>
          <w:szCs w:val="24"/>
          <w:lang w:val="en-US" w:eastAsia="zh-CN"/>
        </w:rPr>
        <w:t xml:space="preserve">日期： 年 月 日 </w:t>
      </w:r>
    </w:p>
    <w:p>
      <w:pPr>
        <w:keepNext w:val="0"/>
        <w:keepLines w:val="0"/>
        <w:pageBreakBefore w:val="0"/>
        <w:widowControl w:val="0"/>
        <w:kinsoku/>
        <w:wordWrap/>
        <w:overflowPunct/>
        <w:topLinePunct w:val="0"/>
        <w:autoSpaceDE/>
        <w:autoSpaceDN/>
        <w:bidi w:val="0"/>
        <w:adjustRightInd/>
        <w:snapToGrid/>
        <w:spacing w:line="460" w:lineRule="exact"/>
        <w:ind w:right="330" w:rightChars="157"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注：供应商须在投标文件中按此模板提供承诺函，未提供视为未实质性响应招标文件要求，按无效投标处理。(除营业执照外，其他按以上要求书面承诺符合资格条件即可，无需附其他相应证明材料)。</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lang w:val="en-US" w:eastAsia="zh-CN"/>
        </w:rPr>
      </w:pPr>
    </w:p>
    <w:p>
      <w:pPr>
        <w:spacing w:line="360" w:lineRule="auto"/>
        <w:rPr>
          <w:rFonts w:hint="eastAsia" w:ascii="宋体" w:hAnsi="宋体" w:eastAsia="宋体" w:cs="宋体"/>
          <w:szCs w:val="24"/>
        </w:rPr>
      </w:pPr>
    </w:p>
    <w:p>
      <w:pPr>
        <w:pStyle w:val="7"/>
        <w:pageBreakBefore w:val="0"/>
        <w:numPr>
          <w:ilvl w:val="0"/>
          <w:numId w:val="0"/>
        </w:numPr>
        <w:kinsoku/>
        <w:wordWrap/>
        <w:overflowPunct/>
        <w:topLinePunct w:val="0"/>
        <w:autoSpaceDE/>
        <w:autoSpaceDN/>
        <w:bidi w:val="0"/>
        <w:spacing w:line="440" w:lineRule="exact"/>
        <w:ind w:leftChars="0" w:firstLine="241" w:firstLineChars="100"/>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后附</w:t>
      </w:r>
      <w:r>
        <w:rPr>
          <w:rFonts w:hint="eastAsia" w:ascii="宋体" w:hAnsi="宋体" w:eastAsia="宋体" w:cs="宋体"/>
          <w:b/>
          <w:bCs/>
          <w:color w:val="auto"/>
          <w:sz w:val="24"/>
          <w:szCs w:val="24"/>
          <w:highlight w:val="none"/>
          <w:lang w:val="en-US" w:eastAsia="zh-CN"/>
        </w:rPr>
        <w:t>营业执照</w:t>
      </w:r>
      <w:r>
        <w:rPr>
          <w:rFonts w:hint="eastAsia" w:ascii="宋体" w:hAnsi="宋体" w:cs="宋体"/>
          <w:b/>
          <w:bCs/>
          <w:color w:val="auto"/>
          <w:sz w:val="24"/>
          <w:szCs w:val="24"/>
          <w:highlight w:val="none"/>
          <w:lang w:val="en-US" w:eastAsia="zh-CN"/>
        </w:rPr>
        <w:t>扫描件加盖单位公章</w:t>
      </w:r>
    </w:p>
    <w:p>
      <w:pPr>
        <w:pStyle w:val="31"/>
        <w:ind w:left="0" w:leftChars="0" w:firstLine="0" w:firstLineChars="0"/>
      </w:pPr>
    </w:p>
    <w:p>
      <w:pPr>
        <w:pStyle w:val="27"/>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rPr>
      </w:pPr>
      <w:bookmarkStart w:id="305" w:name="_Toc8330"/>
      <w:bookmarkStart w:id="306" w:name="_Toc6465"/>
      <w:bookmarkStart w:id="307" w:name="_Toc31553"/>
    </w:p>
    <w:p>
      <w:pPr>
        <w:pStyle w:val="2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08" w:name="_Toc4390"/>
      <w:r>
        <w:rPr>
          <w:rFonts w:hint="eastAsia" w:asciiTheme="minorEastAsia" w:hAnsiTheme="minorEastAsia" w:eastAsiaTheme="minorEastAsia" w:cstheme="minorEastAsia"/>
          <w:b/>
          <w:kern w:val="2"/>
          <w:sz w:val="30"/>
          <w:szCs w:val="30"/>
          <w:lang w:eastAsia="zh-CN"/>
        </w:rPr>
        <w:t>六</w:t>
      </w:r>
      <w:r>
        <w:rPr>
          <w:rFonts w:hint="eastAsia" w:asciiTheme="minorEastAsia" w:hAnsiTheme="minorEastAsia" w:eastAsiaTheme="minorEastAsia" w:cstheme="minorEastAsia"/>
          <w:b/>
          <w:kern w:val="2"/>
          <w:sz w:val="30"/>
          <w:szCs w:val="30"/>
        </w:rPr>
        <w:t>、供应商服务承诺和优惠承诺</w:t>
      </w:r>
      <w:bookmarkEnd w:id="308"/>
    </w:p>
    <w:p>
      <w:pPr>
        <w:pStyle w:val="2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spacing w:line="360" w:lineRule="auto"/>
        <w:rPr>
          <w:rFonts w:hint="eastAsia" w:ascii="宋体" w:hAnsi="宋体" w:eastAsia="宋体" w:cs="宋体"/>
          <w:sz w:val="24"/>
          <w:szCs w:val="24"/>
        </w:rPr>
      </w:pPr>
      <w:bookmarkStart w:id="309" w:name="_Toc700"/>
    </w:p>
    <w:p>
      <w:pPr>
        <w:pStyle w:val="2"/>
        <w:rPr>
          <w:rFonts w:hint="eastAsia" w:ascii="宋体" w:hAnsi="宋体" w:eastAsia="宋体" w:cs="宋体"/>
          <w:sz w:val="24"/>
          <w:szCs w:val="24"/>
        </w:rPr>
      </w:pPr>
    </w:p>
    <w:p>
      <w:pPr>
        <w:pStyle w:val="3"/>
        <w:rPr>
          <w:rFonts w:hint="eastAsia" w:ascii="宋体" w:hAnsi="宋体" w:eastAsia="宋体" w:cs="宋体"/>
          <w:sz w:val="24"/>
          <w:szCs w:val="24"/>
        </w:rPr>
      </w:pPr>
    </w:p>
    <w:p>
      <w:pPr>
        <w:pStyle w:val="4"/>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3"/>
        <w:rPr>
          <w:rFonts w:hint="eastAsia" w:ascii="宋体" w:hAnsi="宋体" w:eastAsia="宋体" w:cs="宋体"/>
          <w:sz w:val="24"/>
          <w:szCs w:val="24"/>
        </w:rPr>
      </w:pPr>
    </w:p>
    <w:p>
      <w:pPr>
        <w:pStyle w:val="4"/>
        <w:rPr>
          <w:rFonts w:hint="eastAsia" w:ascii="宋体" w:hAnsi="宋体" w:eastAsia="宋体" w:cs="宋体"/>
          <w:sz w:val="24"/>
          <w:szCs w:val="24"/>
        </w:rPr>
      </w:pPr>
    </w:p>
    <w:p>
      <w:pPr>
        <w:pStyle w:val="5"/>
        <w:rPr>
          <w:rFonts w:hint="eastAsia"/>
        </w:rPr>
      </w:pPr>
    </w:p>
    <w:p>
      <w:pPr>
        <w:pStyle w:val="27"/>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rPr>
      </w:pPr>
    </w:p>
    <w:p>
      <w:pPr>
        <w:pStyle w:val="2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lang w:eastAsia="zh-CN"/>
        </w:rPr>
        <w:t>七、</w:t>
      </w:r>
      <w:r>
        <w:rPr>
          <w:rFonts w:hint="eastAsia" w:asciiTheme="minorEastAsia" w:hAnsiTheme="minorEastAsia" w:eastAsiaTheme="minorEastAsia" w:cstheme="minorEastAsia"/>
          <w:b/>
          <w:kern w:val="2"/>
          <w:sz w:val="30"/>
          <w:szCs w:val="30"/>
        </w:rPr>
        <w:t>供应商所投产品属于当期政府采购清单规定的节能环保产品的</w:t>
      </w:r>
      <w:bookmarkEnd w:id="305"/>
      <w:bookmarkEnd w:id="309"/>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10" w:name="_Toc24210"/>
      <w:bookmarkStart w:id="311" w:name="_Toc18925"/>
      <w:bookmarkStart w:id="312" w:name="_Toc28422"/>
      <w:bookmarkStart w:id="313" w:name="_Toc21287"/>
      <w:r>
        <w:rPr>
          <w:rFonts w:hint="eastAsia" w:asciiTheme="minorEastAsia" w:hAnsiTheme="minorEastAsia" w:eastAsiaTheme="minorEastAsia" w:cstheme="minorEastAsia"/>
          <w:b/>
          <w:kern w:val="2"/>
          <w:sz w:val="30"/>
          <w:szCs w:val="30"/>
        </w:rPr>
        <w:t>证明材料</w:t>
      </w:r>
      <w:bookmarkEnd w:id="306"/>
      <w:bookmarkEnd w:id="310"/>
      <w:bookmarkEnd w:id="311"/>
      <w:bookmarkEnd w:id="312"/>
      <w:r>
        <w:rPr>
          <w:rFonts w:hint="eastAsia" w:asciiTheme="minorEastAsia" w:hAnsiTheme="minorEastAsia" w:eastAsiaTheme="minorEastAsia" w:cstheme="minorEastAsia"/>
          <w:b/>
          <w:kern w:val="2"/>
          <w:sz w:val="30"/>
          <w:szCs w:val="30"/>
        </w:rPr>
        <w:t>（如有）</w:t>
      </w:r>
      <w:bookmarkEnd w:id="313"/>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14" w:name="_Toc24850"/>
      <w:bookmarkStart w:id="315" w:name="_Toc10717"/>
      <w:bookmarkStart w:id="316" w:name="_Toc23227"/>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lang w:eastAsia="zh-CN"/>
        </w:rPr>
        <w:t>八</w:t>
      </w:r>
      <w:r>
        <w:rPr>
          <w:rFonts w:hint="eastAsia" w:asciiTheme="minorEastAsia" w:hAnsiTheme="minorEastAsia" w:eastAsiaTheme="minorEastAsia" w:cstheme="minorEastAsia"/>
          <w:b/>
          <w:kern w:val="2"/>
          <w:sz w:val="30"/>
          <w:szCs w:val="30"/>
        </w:rPr>
        <w:t>、中小企业声明函（如有）</w:t>
      </w:r>
      <w:bookmarkEnd w:id="314"/>
      <w:bookmarkEnd w:id="315"/>
      <w:bookmarkEnd w:id="316"/>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15"/>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ascii="宋体" w:hAnsi="宋体" w:cs="宋体"/>
          <w:color w:val="auto"/>
          <w:sz w:val="24"/>
          <w:u w:val="single"/>
        </w:rPr>
        <w:t>（采购文件中明确的所属行业）</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15"/>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ascii="宋体" w:hAnsi="宋体" w:cs="宋体"/>
          <w:color w:val="auto"/>
          <w:sz w:val="24"/>
          <w:u w:val="single"/>
        </w:rPr>
        <w:t>（采购文件中明确的所属行业）</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31"/>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317" w:name="_Toc352061202"/>
      <w:bookmarkStart w:id="318" w:name="_Toc309736882"/>
      <w:bookmarkStart w:id="319" w:name="_Toc12390"/>
    </w:p>
    <w:bookmarkEnd w:id="317"/>
    <w:bookmarkEnd w:id="318"/>
    <w:bookmarkEnd w:id="319"/>
    <w:p>
      <w:pPr>
        <w:pStyle w:val="2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20" w:name="_Toc11708"/>
      <w:bookmarkStart w:id="321" w:name="_Toc20881"/>
      <w:bookmarkStart w:id="322" w:name="_Toc14292"/>
      <w:bookmarkStart w:id="323" w:name="_Toc30170"/>
      <w:r>
        <w:rPr>
          <w:rFonts w:hint="eastAsia" w:asciiTheme="minorEastAsia" w:hAnsiTheme="minorEastAsia" w:eastAsiaTheme="minorEastAsia" w:cstheme="minorEastAsia"/>
          <w:b/>
          <w:kern w:val="2"/>
          <w:sz w:val="30"/>
          <w:szCs w:val="30"/>
          <w:lang w:eastAsia="zh-CN"/>
        </w:rPr>
        <w:t>九</w:t>
      </w:r>
      <w:r>
        <w:rPr>
          <w:rFonts w:hint="eastAsia" w:asciiTheme="minorEastAsia" w:hAnsiTheme="minorEastAsia" w:eastAsiaTheme="minorEastAsia" w:cstheme="minorEastAsia"/>
          <w:b/>
          <w:kern w:val="2"/>
          <w:sz w:val="30"/>
          <w:szCs w:val="30"/>
        </w:rPr>
        <w:t>、残疾人福利性单位声明函（如有）</w:t>
      </w:r>
      <w:bookmarkEnd w:id="320"/>
      <w:bookmarkEnd w:id="321"/>
    </w:p>
    <w:p>
      <w:pPr>
        <w:spacing w:line="588"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588" w:lineRule="exact"/>
        <w:ind w:firstLine="504" w:firstLineChars="200"/>
        <w:rPr>
          <w:rFonts w:hint="eastAsia" w:ascii="宋体" w:hAnsi="宋体" w:eastAsia="宋体" w:cs="宋体"/>
          <w:spacing w:val="6"/>
          <w:sz w:val="24"/>
          <w:szCs w:val="24"/>
        </w:rPr>
      </w:pPr>
    </w:p>
    <w:p>
      <w:pPr>
        <w:spacing w:line="588" w:lineRule="exact"/>
        <w:ind w:firstLine="504" w:firstLineChars="200"/>
        <w:rPr>
          <w:rFonts w:hint="eastAsia" w:ascii="宋体" w:hAnsi="宋体" w:eastAsia="宋体" w:cs="宋体"/>
          <w:spacing w:val="6"/>
          <w:sz w:val="24"/>
          <w:szCs w:val="24"/>
        </w:rPr>
      </w:pPr>
    </w:p>
    <w:p>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单位名称（单位电子签章）：</w:t>
      </w:r>
    </w:p>
    <w:p>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日  期：</w:t>
      </w: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bookmarkEnd w:id="307"/>
    <w:bookmarkEnd w:id="322"/>
    <w:bookmarkEnd w:id="323"/>
    <w:p>
      <w:pPr>
        <w:pStyle w:val="27"/>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324" w:name="_Toc18605"/>
      <w:bookmarkStart w:id="325" w:name="_Toc16608"/>
      <w:r>
        <w:rPr>
          <w:rFonts w:hint="eastAsia" w:asciiTheme="minorEastAsia" w:hAnsiTheme="minorEastAsia" w:eastAsiaTheme="minorEastAsia" w:cstheme="minorEastAsia"/>
          <w:b/>
          <w:kern w:val="2"/>
          <w:sz w:val="30"/>
          <w:szCs w:val="30"/>
        </w:rPr>
        <w:t>十、招标文件要求的或供应商认为须提交的其他材料</w:t>
      </w:r>
      <w:bookmarkEnd w:id="324"/>
      <w:bookmarkEnd w:id="325"/>
    </w:p>
    <w:p>
      <w:pPr>
        <w:spacing w:line="360" w:lineRule="auto"/>
        <w:rPr>
          <w:rFonts w:asciiTheme="minorEastAsia" w:hAnsiTheme="minorEastAsia" w:eastAsiaTheme="minorEastAsia" w:cstheme="minorEastAsia"/>
          <w:sz w:val="24"/>
          <w:shd w:val="clear" w:color="FFFFFF" w:fill="D9D9D9"/>
        </w:rPr>
      </w:pP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spacing w:line="440" w:lineRule="exact"/>
        <w:jc w:val="both"/>
        <w:rPr>
          <w:rFonts w:ascii="宋体" w:hAnsi="宋体" w:cs="宋体"/>
          <w:b/>
          <w:sz w:val="36"/>
          <w:szCs w:val="36"/>
        </w:rPr>
      </w:pPr>
    </w:p>
    <w:p>
      <w:pPr>
        <w:spacing w:line="440" w:lineRule="exact"/>
        <w:jc w:val="center"/>
        <w:rPr>
          <w:rFonts w:ascii="宋体" w:hAnsi="宋体" w:cs="宋体"/>
          <w:b/>
          <w:sz w:val="36"/>
          <w:szCs w:val="36"/>
        </w:rPr>
      </w:pPr>
    </w:p>
    <w:p>
      <w:pPr>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
      <w:pPr>
        <w:pStyle w:val="2"/>
      </w:pPr>
    </w:p>
    <w:p>
      <w:pPr>
        <w:pStyle w:val="3"/>
      </w:pPr>
    </w:p>
    <w:p>
      <w:pPr>
        <w:pStyle w:val="4"/>
      </w:pPr>
    </w:p>
    <w:p>
      <w:pPr>
        <w:pStyle w:val="5"/>
      </w:pPr>
    </w:p>
    <w:p/>
    <w:p>
      <w:pPr>
        <w:pStyle w:val="2"/>
      </w:pPr>
    </w:p>
    <w:p>
      <w:pPr>
        <w:pStyle w:val="3"/>
      </w:pPr>
    </w:p>
    <w:p>
      <w:pPr>
        <w:pStyle w:val="4"/>
      </w:pPr>
    </w:p>
    <w:p>
      <w:pPr>
        <w:pStyle w:val="5"/>
      </w:pPr>
    </w:p>
    <w:p/>
    <w:p>
      <w:pPr>
        <w:pStyle w:val="2"/>
      </w:pPr>
    </w:p>
    <w:p>
      <w:pPr>
        <w:pStyle w:val="3"/>
      </w:pPr>
    </w:p>
    <w:p>
      <w:pPr>
        <w:pStyle w:val="4"/>
      </w:pPr>
    </w:p>
    <w:p>
      <w:pPr>
        <w:pStyle w:val="5"/>
      </w:pPr>
    </w:p>
    <w:p>
      <w:pPr>
        <w:pStyle w:val="2"/>
      </w:pPr>
    </w:p>
    <w:p>
      <w:pPr>
        <w:pageBreakBefore w:val="0"/>
        <w:kinsoku/>
        <w:wordWrap/>
        <w:overflowPunct/>
        <w:topLinePunct w:val="0"/>
        <w:bidi w:val="0"/>
        <w:spacing w:beforeAutospacing="0" w:afterAutospacing="0" w:line="360" w:lineRule="auto"/>
        <w:ind w:left="0" w:leftChars="0" w:firstLine="0" w:firstLineChars="0"/>
        <w:jc w:val="center"/>
        <w:rPr>
          <w:rFonts w:hint="eastAsia" w:asciiTheme="majorEastAsia" w:hAnsiTheme="majorEastAsia" w:eastAsiaTheme="majorEastAsia" w:cstheme="majorEastAsia"/>
          <w:b/>
          <w:bCs w:val="0"/>
          <w:color w:val="auto"/>
          <w:sz w:val="36"/>
          <w:szCs w:val="36"/>
          <w:highlight w:val="none"/>
        </w:rPr>
      </w:pPr>
      <w:r>
        <w:rPr>
          <w:rFonts w:hint="eastAsia" w:asciiTheme="majorEastAsia" w:hAnsiTheme="majorEastAsia" w:eastAsiaTheme="majorEastAsia" w:cstheme="majorEastAsia"/>
          <w:b/>
          <w:bCs w:val="0"/>
          <w:color w:val="auto"/>
          <w:sz w:val="36"/>
          <w:szCs w:val="36"/>
          <w:highlight w:val="none"/>
        </w:rPr>
        <w:t>优化和提升政府采购政策</w:t>
      </w:r>
    </w:p>
    <w:p>
      <w:pPr>
        <w:pStyle w:val="2"/>
        <w:rPr>
          <w:rFonts w:hint="eastAsia"/>
          <w:color w:val="auto"/>
          <w:highlight w:val="none"/>
        </w:rPr>
      </w:pP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三、评标结果确认时限。自评标（评审）结束后应2个工作日内确定中标供应商，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个工作日内公告结果，同时发送中标通知书。</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四、合同签订时限。自中标通知书发出之日起</w:t>
      </w:r>
      <w:r>
        <w:rPr>
          <w:rFonts w:hint="eastAsia" w:asciiTheme="minorEastAsia" w:hAnsiTheme="minorEastAsia" w:eastAsia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rPr>
        <w:t xml:space="preserve">日内，按照采购文件和投标文件确定的事项签订政府采购合同。 </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七、资金支付。按照合同约定的条件及时支付资金，不得因机构变更、人员更替、政策调整等原因拒绝或延迟资金支付。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监督单位：</w:t>
      </w:r>
      <w:r>
        <w:rPr>
          <w:rFonts w:hint="eastAsia" w:asciiTheme="minorEastAsia" w:hAnsiTheme="minorEastAsia" w:eastAsiaTheme="minorEastAsia" w:cstheme="minorEastAsia"/>
          <w:color w:val="auto"/>
          <w:sz w:val="24"/>
          <w:szCs w:val="24"/>
          <w:highlight w:val="none"/>
          <w:shd w:val="clear" w:color="auto" w:fill="FFFFFF"/>
          <w:lang w:eastAsia="zh-CN"/>
        </w:rPr>
        <w:t>博爱县</w:t>
      </w:r>
      <w:r>
        <w:rPr>
          <w:rFonts w:hint="eastAsia" w:asciiTheme="minorEastAsia" w:hAnsiTheme="minorEastAsia" w:eastAsiaTheme="minorEastAsia" w:cstheme="minorEastAsia"/>
          <w:color w:val="auto"/>
          <w:sz w:val="24"/>
          <w:szCs w:val="24"/>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地址：博爱县发展大道188号机关综合办公楼主楼1213室</w:t>
      </w: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pStyle w:val="7"/>
        <w:rPr>
          <w:rFonts w:hint="eastAsia" w:ascii="宋体" w:hAnsi="宋体" w:cs="宋体"/>
          <w:b/>
          <w:color w:val="auto"/>
          <w:sz w:val="36"/>
          <w:szCs w:val="36"/>
          <w:highlight w:val="none"/>
        </w:rPr>
      </w:pPr>
    </w:p>
    <w:p>
      <w:pPr>
        <w:spacing w:line="440" w:lineRule="exact"/>
        <w:jc w:val="both"/>
        <w:rPr>
          <w:rFonts w:hint="eastAsia" w:ascii="宋体" w:hAnsi="宋体" w:cs="宋体"/>
          <w:b/>
          <w:color w:val="auto"/>
          <w:sz w:val="36"/>
          <w:szCs w:val="36"/>
          <w:highlight w:val="none"/>
        </w:rPr>
      </w:pPr>
    </w:p>
    <w:p>
      <w:pPr>
        <w:pStyle w:val="2"/>
        <w:rPr>
          <w:rFonts w:hint="eastAsia"/>
          <w:color w:val="auto"/>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各供应商：</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欢迎贵公司参与河南省政府采购活动！</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3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2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35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2064"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558"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2064"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2064"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r>
        <w:rPr>
          <w:rFonts w:hint="eastAsia" w:ascii="宋体" w:hAnsi="宋体" w:cs="宋体"/>
          <w:color w:val="auto"/>
          <w:sz w:val="24"/>
          <w:highlight w:val="none"/>
        </w:rPr>
        <w:t>备注：融资服务机构名单和人员联系方式会随时变化。具体情况可登录“焦作市政府采购网”政府采购合同融资平台查询。</w:t>
      </w:r>
    </w:p>
    <w:sectPr>
      <w:pgSz w:w="11907" w:h="16840"/>
      <w:pgMar w:top="1440" w:right="1519" w:bottom="1440" w:left="1576"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3"/>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7CCEAB9"/>
    <w:multiLevelType w:val="singleLevel"/>
    <w:tmpl w:val="B7CCEAB9"/>
    <w:lvl w:ilvl="0" w:tentative="0">
      <w:start w:val="1"/>
      <w:numFmt w:val="decimal"/>
      <w:suff w:val="space"/>
      <w:lvlText w:val="%1."/>
      <w:lvlJc w:val="left"/>
      <w:pPr>
        <w:ind w:left="600" w:firstLine="0"/>
      </w:pPr>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C58BAF0"/>
    <w:multiLevelType w:val="singleLevel"/>
    <w:tmpl w:val="1C58BAF0"/>
    <w:lvl w:ilvl="0" w:tentative="0">
      <w:start w:val="1"/>
      <w:numFmt w:val="decimal"/>
      <w:suff w:val="nothing"/>
      <w:lvlText w:val="（%1）"/>
      <w:lvlJc w:val="left"/>
    </w:lvl>
  </w:abstractNum>
  <w:abstractNum w:abstractNumId="9">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2E675402"/>
    <w:multiLevelType w:val="singleLevel"/>
    <w:tmpl w:val="2E675402"/>
    <w:lvl w:ilvl="0" w:tentative="0">
      <w:start w:val="1"/>
      <w:numFmt w:val="chineseCounting"/>
      <w:suff w:val="nothing"/>
      <w:lvlText w:val="（%1）"/>
      <w:lvlJc w:val="left"/>
      <w:rPr>
        <w:rFonts w:hint="eastAsia"/>
      </w:rPr>
    </w:lvl>
  </w:abstractNum>
  <w:abstractNum w:abstractNumId="11">
    <w:nsid w:val="59CCA2E1"/>
    <w:multiLevelType w:val="singleLevel"/>
    <w:tmpl w:val="59CCA2E1"/>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4">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7"/>
  </w:num>
  <w:num w:numId="2">
    <w:abstractNumId w:val="2"/>
  </w:num>
  <w:num w:numId="3">
    <w:abstractNumId w:val="13"/>
  </w:num>
  <w:num w:numId="4">
    <w:abstractNumId w:val="6"/>
  </w:num>
  <w:num w:numId="5">
    <w:abstractNumId w:val="12"/>
  </w:num>
  <w:num w:numId="6">
    <w:abstractNumId w:val="0"/>
  </w:num>
  <w:num w:numId="7">
    <w:abstractNumId w:val="8"/>
  </w:num>
  <w:num w:numId="8">
    <w:abstractNumId w:val="5"/>
  </w:num>
  <w:num w:numId="9">
    <w:abstractNumId w:val="14"/>
  </w:num>
  <w:num w:numId="10">
    <w:abstractNumId w:val="9"/>
  </w:num>
  <w:num w:numId="11">
    <w:abstractNumId w:val="3"/>
  </w:num>
  <w:num w:numId="12">
    <w:abstractNumId w:val="10"/>
  </w:num>
  <w:num w:numId="13">
    <w:abstractNumId w:val="11"/>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WM0ZTNkYWM2ZjMyM2EyOGEyYWU3YjdhM2M5NDEifQ=="/>
  </w:docVars>
  <w:rsids>
    <w:rsidRoot w:val="00CF3BAF"/>
    <w:rsid w:val="00013DD1"/>
    <w:rsid w:val="00081779"/>
    <w:rsid w:val="00205DE3"/>
    <w:rsid w:val="002075F5"/>
    <w:rsid w:val="00227539"/>
    <w:rsid w:val="00236004"/>
    <w:rsid w:val="00261DC9"/>
    <w:rsid w:val="00272A9F"/>
    <w:rsid w:val="00281BCC"/>
    <w:rsid w:val="0034193D"/>
    <w:rsid w:val="00382698"/>
    <w:rsid w:val="00387019"/>
    <w:rsid w:val="0042593E"/>
    <w:rsid w:val="0044589E"/>
    <w:rsid w:val="00451A98"/>
    <w:rsid w:val="00471CF0"/>
    <w:rsid w:val="004856FA"/>
    <w:rsid w:val="004B78BE"/>
    <w:rsid w:val="004E3BC3"/>
    <w:rsid w:val="004E4875"/>
    <w:rsid w:val="00536F66"/>
    <w:rsid w:val="005542F2"/>
    <w:rsid w:val="005A2870"/>
    <w:rsid w:val="005E14C7"/>
    <w:rsid w:val="005F220F"/>
    <w:rsid w:val="00631E63"/>
    <w:rsid w:val="00651B64"/>
    <w:rsid w:val="00651BA7"/>
    <w:rsid w:val="00656FFA"/>
    <w:rsid w:val="00666E50"/>
    <w:rsid w:val="006B2CA3"/>
    <w:rsid w:val="006C7E0E"/>
    <w:rsid w:val="00712D43"/>
    <w:rsid w:val="007145D8"/>
    <w:rsid w:val="00783CF9"/>
    <w:rsid w:val="007C65BE"/>
    <w:rsid w:val="007E2B28"/>
    <w:rsid w:val="00826247"/>
    <w:rsid w:val="00850F37"/>
    <w:rsid w:val="008672C4"/>
    <w:rsid w:val="00884C5F"/>
    <w:rsid w:val="008B741E"/>
    <w:rsid w:val="008D2851"/>
    <w:rsid w:val="008D314A"/>
    <w:rsid w:val="009368F4"/>
    <w:rsid w:val="009A0E66"/>
    <w:rsid w:val="009B3631"/>
    <w:rsid w:val="009F60C5"/>
    <w:rsid w:val="00A52CAF"/>
    <w:rsid w:val="00AD577B"/>
    <w:rsid w:val="00B32984"/>
    <w:rsid w:val="00B34D9F"/>
    <w:rsid w:val="00BC19AF"/>
    <w:rsid w:val="00BF3DA8"/>
    <w:rsid w:val="00C63E59"/>
    <w:rsid w:val="00C86DE2"/>
    <w:rsid w:val="00C93CF9"/>
    <w:rsid w:val="00C94A06"/>
    <w:rsid w:val="00C94AF7"/>
    <w:rsid w:val="00C95C63"/>
    <w:rsid w:val="00CF3BAF"/>
    <w:rsid w:val="00DE7C62"/>
    <w:rsid w:val="00E61A34"/>
    <w:rsid w:val="00ED32EC"/>
    <w:rsid w:val="00F16816"/>
    <w:rsid w:val="00F5227C"/>
    <w:rsid w:val="00FB3E02"/>
    <w:rsid w:val="00FC0F08"/>
    <w:rsid w:val="015A0ED7"/>
    <w:rsid w:val="018B79D4"/>
    <w:rsid w:val="01930027"/>
    <w:rsid w:val="019C74BD"/>
    <w:rsid w:val="01A249C3"/>
    <w:rsid w:val="01A90C02"/>
    <w:rsid w:val="01CD0413"/>
    <w:rsid w:val="0224187C"/>
    <w:rsid w:val="024768DF"/>
    <w:rsid w:val="02534437"/>
    <w:rsid w:val="02781E5F"/>
    <w:rsid w:val="02A079AD"/>
    <w:rsid w:val="02AD7AC3"/>
    <w:rsid w:val="02B2279A"/>
    <w:rsid w:val="02C572FD"/>
    <w:rsid w:val="02D346FD"/>
    <w:rsid w:val="02DF753E"/>
    <w:rsid w:val="03EF01A2"/>
    <w:rsid w:val="04035DC5"/>
    <w:rsid w:val="041F1D93"/>
    <w:rsid w:val="04351B1E"/>
    <w:rsid w:val="046F0DBE"/>
    <w:rsid w:val="04730C9A"/>
    <w:rsid w:val="04955EBF"/>
    <w:rsid w:val="049A5F70"/>
    <w:rsid w:val="04B80A56"/>
    <w:rsid w:val="04F44273"/>
    <w:rsid w:val="05476DA0"/>
    <w:rsid w:val="0587053C"/>
    <w:rsid w:val="05CF063D"/>
    <w:rsid w:val="061F1094"/>
    <w:rsid w:val="064662A5"/>
    <w:rsid w:val="06494301"/>
    <w:rsid w:val="064B3EA8"/>
    <w:rsid w:val="067B2348"/>
    <w:rsid w:val="06F1337E"/>
    <w:rsid w:val="07310D7F"/>
    <w:rsid w:val="074D4119"/>
    <w:rsid w:val="07997BA5"/>
    <w:rsid w:val="08161B2A"/>
    <w:rsid w:val="08355432"/>
    <w:rsid w:val="083A174E"/>
    <w:rsid w:val="083B347B"/>
    <w:rsid w:val="083D3697"/>
    <w:rsid w:val="0885658D"/>
    <w:rsid w:val="08910593"/>
    <w:rsid w:val="08B6562F"/>
    <w:rsid w:val="09102B5A"/>
    <w:rsid w:val="098B21E0"/>
    <w:rsid w:val="0A127867"/>
    <w:rsid w:val="0A3D6877"/>
    <w:rsid w:val="0A406050"/>
    <w:rsid w:val="0A645EB1"/>
    <w:rsid w:val="0A8B4CEF"/>
    <w:rsid w:val="0AFE4F5A"/>
    <w:rsid w:val="0B057D70"/>
    <w:rsid w:val="0B2D5070"/>
    <w:rsid w:val="0B440CBC"/>
    <w:rsid w:val="0B664CB3"/>
    <w:rsid w:val="0B7902B3"/>
    <w:rsid w:val="0B8C1399"/>
    <w:rsid w:val="0C051155"/>
    <w:rsid w:val="0C076843"/>
    <w:rsid w:val="0C2D57D1"/>
    <w:rsid w:val="0CD05128"/>
    <w:rsid w:val="0D270828"/>
    <w:rsid w:val="0D792EC2"/>
    <w:rsid w:val="0D81592D"/>
    <w:rsid w:val="0D8716C8"/>
    <w:rsid w:val="0D974D65"/>
    <w:rsid w:val="0E2200DA"/>
    <w:rsid w:val="0E651252"/>
    <w:rsid w:val="0E8C0D4D"/>
    <w:rsid w:val="0EA33B28"/>
    <w:rsid w:val="0EA67121"/>
    <w:rsid w:val="0EDC105C"/>
    <w:rsid w:val="0EDE6CBA"/>
    <w:rsid w:val="0EF32EFA"/>
    <w:rsid w:val="0F0410E0"/>
    <w:rsid w:val="0FDE2EA6"/>
    <w:rsid w:val="0FE73EE9"/>
    <w:rsid w:val="100420C3"/>
    <w:rsid w:val="1012372A"/>
    <w:rsid w:val="10544429"/>
    <w:rsid w:val="10586A77"/>
    <w:rsid w:val="107D20E4"/>
    <w:rsid w:val="11920A50"/>
    <w:rsid w:val="119A56B6"/>
    <w:rsid w:val="119B16ED"/>
    <w:rsid w:val="11A25357"/>
    <w:rsid w:val="11B34CF4"/>
    <w:rsid w:val="11F2782C"/>
    <w:rsid w:val="120C0D33"/>
    <w:rsid w:val="12253216"/>
    <w:rsid w:val="12F25439"/>
    <w:rsid w:val="134734DE"/>
    <w:rsid w:val="13732E71"/>
    <w:rsid w:val="13B32A60"/>
    <w:rsid w:val="143C687A"/>
    <w:rsid w:val="144162BD"/>
    <w:rsid w:val="144353ED"/>
    <w:rsid w:val="14860849"/>
    <w:rsid w:val="14E629C1"/>
    <w:rsid w:val="152E231F"/>
    <w:rsid w:val="15545B7C"/>
    <w:rsid w:val="159D7523"/>
    <w:rsid w:val="16493207"/>
    <w:rsid w:val="16504596"/>
    <w:rsid w:val="165F3BC6"/>
    <w:rsid w:val="166D59E0"/>
    <w:rsid w:val="16997753"/>
    <w:rsid w:val="169D288C"/>
    <w:rsid w:val="179C380B"/>
    <w:rsid w:val="17AC6DF4"/>
    <w:rsid w:val="17D3631C"/>
    <w:rsid w:val="183D74A2"/>
    <w:rsid w:val="196A7BE4"/>
    <w:rsid w:val="19EE17C2"/>
    <w:rsid w:val="19EF2318"/>
    <w:rsid w:val="1A1025AF"/>
    <w:rsid w:val="1A2B26E2"/>
    <w:rsid w:val="1A3B0CC2"/>
    <w:rsid w:val="1A913822"/>
    <w:rsid w:val="1B0F127C"/>
    <w:rsid w:val="1B33310F"/>
    <w:rsid w:val="1BD529D4"/>
    <w:rsid w:val="1BE9127A"/>
    <w:rsid w:val="1C211654"/>
    <w:rsid w:val="1C2D32A0"/>
    <w:rsid w:val="1C753023"/>
    <w:rsid w:val="1C9363D1"/>
    <w:rsid w:val="1CC37618"/>
    <w:rsid w:val="1CD57C9C"/>
    <w:rsid w:val="1D1E6C5C"/>
    <w:rsid w:val="1D2A77A9"/>
    <w:rsid w:val="1D5A65E9"/>
    <w:rsid w:val="1DA06BBC"/>
    <w:rsid w:val="1DC13FCB"/>
    <w:rsid w:val="1DDA0B91"/>
    <w:rsid w:val="1E212A6F"/>
    <w:rsid w:val="1E360353"/>
    <w:rsid w:val="1E4779B9"/>
    <w:rsid w:val="1E7C3987"/>
    <w:rsid w:val="1E921418"/>
    <w:rsid w:val="1EB33136"/>
    <w:rsid w:val="1EE937D9"/>
    <w:rsid w:val="1EF55393"/>
    <w:rsid w:val="1F111512"/>
    <w:rsid w:val="1F3F59B3"/>
    <w:rsid w:val="1FA91310"/>
    <w:rsid w:val="1FBB33A3"/>
    <w:rsid w:val="1FCF0C21"/>
    <w:rsid w:val="1FD46237"/>
    <w:rsid w:val="20AB64FD"/>
    <w:rsid w:val="20E259AF"/>
    <w:rsid w:val="218872DA"/>
    <w:rsid w:val="219C4D8C"/>
    <w:rsid w:val="21A96F53"/>
    <w:rsid w:val="22821933"/>
    <w:rsid w:val="22851F14"/>
    <w:rsid w:val="22937A29"/>
    <w:rsid w:val="22E0486C"/>
    <w:rsid w:val="22E7389D"/>
    <w:rsid w:val="236C0699"/>
    <w:rsid w:val="23A75A11"/>
    <w:rsid w:val="23C21A0E"/>
    <w:rsid w:val="24364D63"/>
    <w:rsid w:val="24565832"/>
    <w:rsid w:val="24581EC9"/>
    <w:rsid w:val="245D7AC3"/>
    <w:rsid w:val="246511FA"/>
    <w:rsid w:val="24845123"/>
    <w:rsid w:val="255249D2"/>
    <w:rsid w:val="26211AAB"/>
    <w:rsid w:val="264840A1"/>
    <w:rsid w:val="2671382C"/>
    <w:rsid w:val="26AB160B"/>
    <w:rsid w:val="26AF355A"/>
    <w:rsid w:val="26D40659"/>
    <w:rsid w:val="27070CA1"/>
    <w:rsid w:val="27144052"/>
    <w:rsid w:val="27B228CA"/>
    <w:rsid w:val="27CF39BA"/>
    <w:rsid w:val="287019A1"/>
    <w:rsid w:val="28BD1C36"/>
    <w:rsid w:val="291F753F"/>
    <w:rsid w:val="29AD1F3E"/>
    <w:rsid w:val="29FC7FCE"/>
    <w:rsid w:val="2A1118F0"/>
    <w:rsid w:val="2A334727"/>
    <w:rsid w:val="2AA84457"/>
    <w:rsid w:val="2ABE19E5"/>
    <w:rsid w:val="2B1105F0"/>
    <w:rsid w:val="2B2362C5"/>
    <w:rsid w:val="2B9A5BB7"/>
    <w:rsid w:val="2C5243EF"/>
    <w:rsid w:val="2CC20013"/>
    <w:rsid w:val="2CF34593"/>
    <w:rsid w:val="2D4759F0"/>
    <w:rsid w:val="2D4B17C9"/>
    <w:rsid w:val="2DA17287"/>
    <w:rsid w:val="2DEF0B6D"/>
    <w:rsid w:val="2E2F7C70"/>
    <w:rsid w:val="2E7164C1"/>
    <w:rsid w:val="2ECE479A"/>
    <w:rsid w:val="2ED658FB"/>
    <w:rsid w:val="2ED80964"/>
    <w:rsid w:val="2F3D38F1"/>
    <w:rsid w:val="2F662BA9"/>
    <w:rsid w:val="2FA713A3"/>
    <w:rsid w:val="30204B81"/>
    <w:rsid w:val="3054090C"/>
    <w:rsid w:val="30766F52"/>
    <w:rsid w:val="30A7457C"/>
    <w:rsid w:val="30AF513E"/>
    <w:rsid w:val="311B58CA"/>
    <w:rsid w:val="312875A3"/>
    <w:rsid w:val="31432453"/>
    <w:rsid w:val="315C20A8"/>
    <w:rsid w:val="315E08FB"/>
    <w:rsid w:val="327012C3"/>
    <w:rsid w:val="32AC094E"/>
    <w:rsid w:val="32DD09B1"/>
    <w:rsid w:val="334616B1"/>
    <w:rsid w:val="336B5FF6"/>
    <w:rsid w:val="3398566D"/>
    <w:rsid w:val="339B530E"/>
    <w:rsid w:val="33B71CA0"/>
    <w:rsid w:val="34375174"/>
    <w:rsid w:val="34490FA6"/>
    <w:rsid w:val="34BF0E0C"/>
    <w:rsid w:val="35400F5E"/>
    <w:rsid w:val="356103C1"/>
    <w:rsid w:val="35624307"/>
    <w:rsid w:val="35EF40B4"/>
    <w:rsid w:val="36F2243E"/>
    <w:rsid w:val="37316346"/>
    <w:rsid w:val="376D0FF4"/>
    <w:rsid w:val="379522F8"/>
    <w:rsid w:val="37BB5BE3"/>
    <w:rsid w:val="37C3064D"/>
    <w:rsid w:val="37C94B02"/>
    <w:rsid w:val="385E298D"/>
    <w:rsid w:val="38C51FA1"/>
    <w:rsid w:val="38C56745"/>
    <w:rsid w:val="38ED5B17"/>
    <w:rsid w:val="391F5908"/>
    <w:rsid w:val="3AAA205E"/>
    <w:rsid w:val="3AAB47A9"/>
    <w:rsid w:val="3AC405E4"/>
    <w:rsid w:val="3B27182E"/>
    <w:rsid w:val="3B5755D8"/>
    <w:rsid w:val="3B680882"/>
    <w:rsid w:val="3BEE3DAF"/>
    <w:rsid w:val="3C3E4D0D"/>
    <w:rsid w:val="3C5740DD"/>
    <w:rsid w:val="3C806CA2"/>
    <w:rsid w:val="3C875BD5"/>
    <w:rsid w:val="3D3F6549"/>
    <w:rsid w:val="3D6E3B32"/>
    <w:rsid w:val="3DA476DF"/>
    <w:rsid w:val="3DA9026A"/>
    <w:rsid w:val="3E007463"/>
    <w:rsid w:val="3E3D322B"/>
    <w:rsid w:val="3E8D79E9"/>
    <w:rsid w:val="3E8E1D06"/>
    <w:rsid w:val="3F1C6570"/>
    <w:rsid w:val="3F51170A"/>
    <w:rsid w:val="3FD66319"/>
    <w:rsid w:val="40507902"/>
    <w:rsid w:val="405204BF"/>
    <w:rsid w:val="407A6954"/>
    <w:rsid w:val="407C1AED"/>
    <w:rsid w:val="40AE6405"/>
    <w:rsid w:val="40E2372C"/>
    <w:rsid w:val="416F7716"/>
    <w:rsid w:val="4176039B"/>
    <w:rsid w:val="417B430D"/>
    <w:rsid w:val="41A82C28"/>
    <w:rsid w:val="420C4EF5"/>
    <w:rsid w:val="42181E5B"/>
    <w:rsid w:val="421F4DB9"/>
    <w:rsid w:val="42881AA6"/>
    <w:rsid w:val="42E02E33"/>
    <w:rsid w:val="42F65BA4"/>
    <w:rsid w:val="434C47FE"/>
    <w:rsid w:val="4364501E"/>
    <w:rsid w:val="44443036"/>
    <w:rsid w:val="4453447A"/>
    <w:rsid w:val="44E855CD"/>
    <w:rsid w:val="44F64D49"/>
    <w:rsid w:val="459B770E"/>
    <w:rsid w:val="45D313A6"/>
    <w:rsid w:val="45D94A67"/>
    <w:rsid w:val="45E375FE"/>
    <w:rsid w:val="46316751"/>
    <w:rsid w:val="46642C04"/>
    <w:rsid w:val="46C978C9"/>
    <w:rsid w:val="46FF153C"/>
    <w:rsid w:val="47103BFA"/>
    <w:rsid w:val="47195F8F"/>
    <w:rsid w:val="471C20EE"/>
    <w:rsid w:val="472509CB"/>
    <w:rsid w:val="473C24B5"/>
    <w:rsid w:val="478A2A55"/>
    <w:rsid w:val="479E38D8"/>
    <w:rsid w:val="47EB734B"/>
    <w:rsid w:val="48167CD1"/>
    <w:rsid w:val="486E372E"/>
    <w:rsid w:val="48934AEB"/>
    <w:rsid w:val="492E33C0"/>
    <w:rsid w:val="495261A3"/>
    <w:rsid w:val="495D6F47"/>
    <w:rsid w:val="498A0C86"/>
    <w:rsid w:val="499A379E"/>
    <w:rsid w:val="4A0550BC"/>
    <w:rsid w:val="4A0B4816"/>
    <w:rsid w:val="4A107CDA"/>
    <w:rsid w:val="4A79782A"/>
    <w:rsid w:val="4AE901CC"/>
    <w:rsid w:val="4AF33166"/>
    <w:rsid w:val="4C4814B5"/>
    <w:rsid w:val="4CD16F98"/>
    <w:rsid w:val="4CD722EC"/>
    <w:rsid w:val="4D8C494F"/>
    <w:rsid w:val="4E4C44BA"/>
    <w:rsid w:val="4E7C3AE4"/>
    <w:rsid w:val="4E7D486E"/>
    <w:rsid w:val="4EB6646D"/>
    <w:rsid w:val="4EBE5C67"/>
    <w:rsid w:val="4F2A2BCF"/>
    <w:rsid w:val="4F5E692A"/>
    <w:rsid w:val="4FA766A8"/>
    <w:rsid w:val="4FDA48F5"/>
    <w:rsid w:val="504413AB"/>
    <w:rsid w:val="50964CC0"/>
    <w:rsid w:val="51171D45"/>
    <w:rsid w:val="51404F43"/>
    <w:rsid w:val="519805C3"/>
    <w:rsid w:val="51B11685"/>
    <w:rsid w:val="51F82BBB"/>
    <w:rsid w:val="522B7DE8"/>
    <w:rsid w:val="522D3402"/>
    <w:rsid w:val="527728CF"/>
    <w:rsid w:val="52DC6BD6"/>
    <w:rsid w:val="52EB6588"/>
    <w:rsid w:val="53157C48"/>
    <w:rsid w:val="5324413E"/>
    <w:rsid w:val="53AC11E6"/>
    <w:rsid w:val="542D2B1D"/>
    <w:rsid w:val="54413DC6"/>
    <w:rsid w:val="5472334E"/>
    <w:rsid w:val="54D77655"/>
    <w:rsid w:val="54F634F2"/>
    <w:rsid w:val="551C7980"/>
    <w:rsid w:val="5549056E"/>
    <w:rsid w:val="555E5F8A"/>
    <w:rsid w:val="55C81AB9"/>
    <w:rsid w:val="55FF6EF7"/>
    <w:rsid w:val="56325CFA"/>
    <w:rsid w:val="5664557C"/>
    <w:rsid w:val="56913258"/>
    <w:rsid w:val="56BB3C75"/>
    <w:rsid w:val="56C3089C"/>
    <w:rsid w:val="56DE7067"/>
    <w:rsid w:val="570955B4"/>
    <w:rsid w:val="5725657E"/>
    <w:rsid w:val="57527C3E"/>
    <w:rsid w:val="5783793E"/>
    <w:rsid w:val="57CC2BA0"/>
    <w:rsid w:val="580956C4"/>
    <w:rsid w:val="587B1836"/>
    <w:rsid w:val="58DC7930"/>
    <w:rsid w:val="58DF3A45"/>
    <w:rsid w:val="59257C80"/>
    <w:rsid w:val="597C73A7"/>
    <w:rsid w:val="598D26AC"/>
    <w:rsid w:val="599F77C9"/>
    <w:rsid w:val="59C70988"/>
    <w:rsid w:val="59C95F43"/>
    <w:rsid w:val="59DE214B"/>
    <w:rsid w:val="59F53571"/>
    <w:rsid w:val="5A0045B8"/>
    <w:rsid w:val="5A772767"/>
    <w:rsid w:val="5A93268F"/>
    <w:rsid w:val="5AB2046A"/>
    <w:rsid w:val="5AC82B93"/>
    <w:rsid w:val="5AE14D89"/>
    <w:rsid w:val="5AE6318E"/>
    <w:rsid w:val="5AFB13A2"/>
    <w:rsid w:val="5BFF13ED"/>
    <w:rsid w:val="5C8E651C"/>
    <w:rsid w:val="5D120EE1"/>
    <w:rsid w:val="5D3A5D7E"/>
    <w:rsid w:val="5D7C6FEB"/>
    <w:rsid w:val="5DB443B5"/>
    <w:rsid w:val="5DC012A8"/>
    <w:rsid w:val="5DCA7D57"/>
    <w:rsid w:val="5E313880"/>
    <w:rsid w:val="5E803BCC"/>
    <w:rsid w:val="5E8A187A"/>
    <w:rsid w:val="5EAE4FD3"/>
    <w:rsid w:val="5F09244A"/>
    <w:rsid w:val="5F9177D9"/>
    <w:rsid w:val="5FD41D53"/>
    <w:rsid w:val="600C2AB9"/>
    <w:rsid w:val="602A334A"/>
    <w:rsid w:val="60B25AEA"/>
    <w:rsid w:val="615C6151"/>
    <w:rsid w:val="616017BB"/>
    <w:rsid w:val="61BD2A1D"/>
    <w:rsid w:val="62047871"/>
    <w:rsid w:val="622B3906"/>
    <w:rsid w:val="62494283"/>
    <w:rsid w:val="62EF46F3"/>
    <w:rsid w:val="642B7DAF"/>
    <w:rsid w:val="646D3E65"/>
    <w:rsid w:val="64914748"/>
    <w:rsid w:val="64C93ECA"/>
    <w:rsid w:val="64CA3CB4"/>
    <w:rsid w:val="64CB0731"/>
    <w:rsid w:val="64EC0669"/>
    <w:rsid w:val="65044496"/>
    <w:rsid w:val="65693C54"/>
    <w:rsid w:val="65714A10"/>
    <w:rsid w:val="65776156"/>
    <w:rsid w:val="65B705EA"/>
    <w:rsid w:val="65EF7DA6"/>
    <w:rsid w:val="66BA6E26"/>
    <w:rsid w:val="66F10A4A"/>
    <w:rsid w:val="67477DD7"/>
    <w:rsid w:val="6788637E"/>
    <w:rsid w:val="67923FAF"/>
    <w:rsid w:val="67997816"/>
    <w:rsid w:val="67A856DC"/>
    <w:rsid w:val="67AB689B"/>
    <w:rsid w:val="682E6AFE"/>
    <w:rsid w:val="6843464A"/>
    <w:rsid w:val="68A501F9"/>
    <w:rsid w:val="68AF4719"/>
    <w:rsid w:val="68B476C6"/>
    <w:rsid w:val="68D250A1"/>
    <w:rsid w:val="69194288"/>
    <w:rsid w:val="69676C0C"/>
    <w:rsid w:val="698D10CC"/>
    <w:rsid w:val="69A00505"/>
    <w:rsid w:val="69AE1092"/>
    <w:rsid w:val="69C959DF"/>
    <w:rsid w:val="6A576495"/>
    <w:rsid w:val="6A753B41"/>
    <w:rsid w:val="6AC00E8A"/>
    <w:rsid w:val="6AC33D7B"/>
    <w:rsid w:val="6AC515DC"/>
    <w:rsid w:val="6B0335F9"/>
    <w:rsid w:val="6BA30B8B"/>
    <w:rsid w:val="6BC664F4"/>
    <w:rsid w:val="6BD36CF4"/>
    <w:rsid w:val="6CDE2D6D"/>
    <w:rsid w:val="6CDF630A"/>
    <w:rsid w:val="6D0A63C2"/>
    <w:rsid w:val="6D0E40DB"/>
    <w:rsid w:val="6D2120C6"/>
    <w:rsid w:val="6D2917A9"/>
    <w:rsid w:val="6D2C01D4"/>
    <w:rsid w:val="6D4E6E2B"/>
    <w:rsid w:val="6D514B1A"/>
    <w:rsid w:val="6DCD6F00"/>
    <w:rsid w:val="6DD70987"/>
    <w:rsid w:val="6DD85753"/>
    <w:rsid w:val="6DDE05B9"/>
    <w:rsid w:val="6E6C0E13"/>
    <w:rsid w:val="6E8615C7"/>
    <w:rsid w:val="6E886FBB"/>
    <w:rsid w:val="6EA23ED2"/>
    <w:rsid w:val="6EA4707E"/>
    <w:rsid w:val="6EDD1581"/>
    <w:rsid w:val="6EE37D9F"/>
    <w:rsid w:val="6F33431F"/>
    <w:rsid w:val="6F627C19"/>
    <w:rsid w:val="6FD71E92"/>
    <w:rsid w:val="6FE0340A"/>
    <w:rsid w:val="70227EC6"/>
    <w:rsid w:val="703F60A8"/>
    <w:rsid w:val="70822713"/>
    <w:rsid w:val="70B46F74"/>
    <w:rsid w:val="70E02081"/>
    <w:rsid w:val="714E772A"/>
    <w:rsid w:val="71FB028A"/>
    <w:rsid w:val="724B5262"/>
    <w:rsid w:val="72875C50"/>
    <w:rsid w:val="729130E1"/>
    <w:rsid w:val="72D134DE"/>
    <w:rsid w:val="72FD1EE3"/>
    <w:rsid w:val="73900C02"/>
    <w:rsid w:val="73940F35"/>
    <w:rsid w:val="73BE334D"/>
    <w:rsid w:val="73D253BE"/>
    <w:rsid w:val="740E0F6C"/>
    <w:rsid w:val="746C5BB4"/>
    <w:rsid w:val="74A909A2"/>
    <w:rsid w:val="74E538AA"/>
    <w:rsid w:val="74EB0EC0"/>
    <w:rsid w:val="74FA2CFF"/>
    <w:rsid w:val="7529519B"/>
    <w:rsid w:val="75360D61"/>
    <w:rsid w:val="75AB44BA"/>
    <w:rsid w:val="75CC203F"/>
    <w:rsid w:val="75F6021B"/>
    <w:rsid w:val="767D2702"/>
    <w:rsid w:val="76A52F33"/>
    <w:rsid w:val="76AD3EE0"/>
    <w:rsid w:val="76B40FB3"/>
    <w:rsid w:val="77463913"/>
    <w:rsid w:val="778154D2"/>
    <w:rsid w:val="77B3710F"/>
    <w:rsid w:val="77E4782D"/>
    <w:rsid w:val="77F14B39"/>
    <w:rsid w:val="784E6FD5"/>
    <w:rsid w:val="7982320E"/>
    <w:rsid w:val="79992F3A"/>
    <w:rsid w:val="79AE33E5"/>
    <w:rsid w:val="79DF3E60"/>
    <w:rsid w:val="79EC68CF"/>
    <w:rsid w:val="7A921700"/>
    <w:rsid w:val="7A9D7487"/>
    <w:rsid w:val="7ADF7850"/>
    <w:rsid w:val="7B447C52"/>
    <w:rsid w:val="7BBF4CC5"/>
    <w:rsid w:val="7BE44282"/>
    <w:rsid w:val="7BEB23A7"/>
    <w:rsid w:val="7C1A207B"/>
    <w:rsid w:val="7C30076C"/>
    <w:rsid w:val="7C537629"/>
    <w:rsid w:val="7C9712F4"/>
    <w:rsid w:val="7CC04CEF"/>
    <w:rsid w:val="7CC83F86"/>
    <w:rsid w:val="7CCA3711"/>
    <w:rsid w:val="7D1F193A"/>
    <w:rsid w:val="7D2E5A63"/>
    <w:rsid w:val="7D86745E"/>
    <w:rsid w:val="7D9A12A0"/>
    <w:rsid w:val="7DE00C30"/>
    <w:rsid w:val="7DEE4676"/>
    <w:rsid w:val="7DFE187A"/>
    <w:rsid w:val="7E0706D0"/>
    <w:rsid w:val="7E331077"/>
    <w:rsid w:val="7E6D055E"/>
    <w:rsid w:val="7E8A7362"/>
    <w:rsid w:val="7ED25A6D"/>
    <w:rsid w:val="7EF95A5A"/>
    <w:rsid w:val="7F2E09F5"/>
    <w:rsid w:val="7F531E4A"/>
    <w:rsid w:val="7F6F1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7">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8">
    <w:name w:val="heading 3"/>
    <w:basedOn w:val="1"/>
    <w:next w:val="1"/>
    <w:qFormat/>
    <w:uiPriority w:val="0"/>
    <w:pPr>
      <w:keepNext/>
      <w:keepLines/>
      <w:spacing w:before="260" w:after="260" w:line="416" w:lineRule="auto"/>
      <w:outlineLvl w:val="2"/>
    </w:pPr>
    <w:rPr>
      <w:b/>
      <w:bCs/>
      <w:kern w:val="0"/>
      <w:sz w:val="32"/>
      <w:szCs w:val="32"/>
    </w:rPr>
  </w:style>
  <w:style w:type="paragraph" w:styleId="9">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qFormat/>
    <w:uiPriority w:val="0"/>
    <w:pPr>
      <w:spacing w:line="400" w:lineRule="exact"/>
    </w:pPr>
    <w:rPr>
      <w:sz w:val="24"/>
    </w:rPr>
  </w:style>
  <w:style w:type="paragraph" w:customStyle="1" w:styleId="3">
    <w:name w:val="正文（首行缩进） Char"/>
    <w:basedOn w:val="1"/>
    <w:next w:val="4"/>
    <w:qFormat/>
    <w:uiPriority w:val="0"/>
    <w:pPr>
      <w:spacing w:line="360" w:lineRule="auto"/>
      <w:ind w:firstLine="480"/>
    </w:pPr>
    <w:rPr>
      <w:rFonts w:ascii="Arial" w:eastAsia="宋体"/>
      <w:color w:val="000000"/>
      <w:sz w:val="24"/>
    </w:rPr>
  </w:style>
  <w:style w:type="paragraph" w:customStyle="1" w:styleId="4">
    <w:name w:val="2号黑体加粗"/>
    <w:basedOn w:val="1"/>
    <w:next w:val="5"/>
    <w:qFormat/>
    <w:uiPriority w:val="0"/>
    <w:pPr>
      <w:jc w:val="center"/>
    </w:pPr>
    <w:rPr>
      <w:rFonts w:ascii="Calibri" w:eastAsia="黑体"/>
      <w:b/>
      <w:sz w:val="44"/>
    </w:rPr>
  </w:style>
  <w:style w:type="paragraph" w:customStyle="1" w:styleId="5">
    <w:name w:val="表格文字"/>
    <w:basedOn w:val="1"/>
    <w:next w:val="1"/>
    <w:qFormat/>
    <w:uiPriority w:val="0"/>
    <w:pPr>
      <w:adjustRightInd w:val="0"/>
      <w:spacing w:line="420" w:lineRule="atLeast"/>
      <w:jc w:val="left"/>
      <w:textAlignment w:val="baseline"/>
    </w:pPr>
    <w:rPr>
      <w:kern w:val="0"/>
    </w:rPr>
  </w:style>
  <w:style w:type="paragraph" w:styleId="10">
    <w:name w:val="table of authorities"/>
    <w:basedOn w:val="1"/>
    <w:next w:val="1"/>
    <w:unhideWhenUsed/>
    <w:qFormat/>
    <w:uiPriority w:val="99"/>
    <w:pPr>
      <w:ind w:left="420" w:leftChars="200"/>
    </w:pPr>
  </w:style>
  <w:style w:type="paragraph" w:styleId="11">
    <w:name w:val="Normal Indent"/>
    <w:basedOn w:val="1"/>
    <w:unhideWhenUsed/>
    <w:qFormat/>
    <w:uiPriority w:val="99"/>
    <w:pPr>
      <w:ind w:firstLine="420"/>
    </w:pPr>
    <w:rPr>
      <w:rFonts w:ascii="Calibri" w:hAnsi="Calibri"/>
      <w:szCs w:val="20"/>
    </w:rPr>
  </w:style>
  <w:style w:type="paragraph" w:styleId="12">
    <w:name w:val="caption"/>
    <w:basedOn w:val="1"/>
    <w:next w:val="1"/>
    <w:qFormat/>
    <w:uiPriority w:val="0"/>
    <w:rPr>
      <w:rFonts w:ascii="Arial" w:hAnsi="Arial" w:eastAsia="黑体" w:cstheme="minorBidi"/>
      <w:sz w:val="20"/>
    </w:rPr>
  </w:style>
  <w:style w:type="paragraph" w:styleId="13">
    <w:name w:val="toa heading"/>
    <w:basedOn w:val="1"/>
    <w:next w:val="1"/>
    <w:unhideWhenUsed/>
    <w:qFormat/>
    <w:uiPriority w:val="99"/>
    <w:pPr>
      <w:spacing w:before="120"/>
    </w:pPr>
    <w:rPr>
      <w:rFonts w:ascii="Arial" w:hAnsi="Arial" w:cs="Arial"/>
      <w:sz w:val="24"/>
    </w:rPr>
  </w:style>
  <w:style w:type="paragraph" w:styleId="14">
    <w:name w:val="annotation text"/>
    <w:basedOn w:val="1"/>
    <w:link w:val="60"/>
    <w:qFormat/>
    <w:uiPriority w:val="0"/>
    <w:pPr>
      <w:jc w:val="left"/>
    </w:pPr>
  </w:style>
  <w:style w:type="paragraph" w:styleId="15">
    <w:name w:val="Body Text 3"/>
    <w:basedOn w:val="1"/>
    <w:unhideWhenUsed/>
    <w:qFormat/>
    <w:uiPriority w:val="0"/>
    <w:pPr>
      <w:spacing w:after="120"/>
    </w:pPr>
    <w:rPr>
      <w:rFonts w:ascii="Times New Roman" w:hAnsi="Times New Roman"/>
      <w:sz w:val="16"/>
      <w:szCs w:val="16"/>
    </w:rPr>
  </w:style>
  <w:style w:type="paragraph" w:styleId="16">
    <w:name w:val="Body Text"/>
    <w:basedOn w:val="1"/>
    <w:next w:val="17"/>
    <w:qFormat/>
    <w:uiPriority w:val="0"/>
    <w:rPr>
      <w:rFonts w:ascii="Times New Roman" w:hAnsi="Times New Roman"/>
    </w:rPr>
  </w:style>
  <w:style w:type="paragraph" w:styleId="17">
    <w:name w:val="Body Text 2"/>
    <w:basedOn w:val="1"/>
    <w:next w:val="16"/>
    <w:unhideWhenUsed/>
    <w:qFormat/>
    <w:uiPriority w:val="0"/>
    <w:pPr>
      <w:spacing w:after="120" w:line="480" w:lineRule="auto"/>
    </w:pPr>
    <w:rPr>
      <w:rFonts w:ascii="Times New Roman" w:hAnsi="Times New Roman"/>
    </w:rPr>
  </w:style>
  <w:style w:type="paragraph" w:styleId="18">
    <w:name w:val="Body Text Indent"/>
    <w:basedOn w:val="1"/>
    <w:next w:val="19"/>
    <w:qFormat/>
    <w:uiPriority w:val="0"/>
    <w:pPr>
      <w:ind w:firstLine="560" w:firstLineChars="200"/>
    </w:pPr>
    <w:rPr>
      <w:rFonts w:ascii="Times New Roman" w:hAnsi="Times New Roman"/>
    </w:rPr>
  </w:style>
  <w:style w:type="paragraph" w:styleId="19">
    <w:name w:val="envelope return"/>
    <w:basedOn w:val="1"/>
    <w:qFormat/>
    <w:uiPriority w:val="99"/>
    <w:pPr>
      <w:snapToGrid w:val="0"/>
    </w:pPr>
    <w:rPr>
      <w:rFonts w:ascii="Arial" w:hAnsi="Arial" w:cs="Arial"/>
    </w:rPr>
  </w:style>
  <w:style w:type="paragraph" w:styleId="20">
    <w:name w:val="toc 3"/>
    <w:basedOn w:val="1"/>
    <w:next w:val="1"/>
    <w:qFormat/>
    <w:uiPriority w:val="0"/>
    <w:pPr>
      <w:ind w:left="840" w:leftChars="400"/>
    </w:pPr>
  </w:style>
  <w:style w:type="paragraph" w:styleId="21">
    <w:name w:val="Plain Text"/>
    <w:basedOn w:val="1"/>
    <w:qFormat/>
    <w:uiPriority w:val="0"/>
    <w:rPr>
      <w:rFonts w:hint="eastAsia" w:ascii="宋体" w:hAnsi="Courier New"/>
      <w:szCs w:val="21"/>
    </w:rPr>
  </w:style>
  <w:style w:type="paragraph" w:styleId="22">
    <w:name w:val="Balloon Text"/>
    <w:basedOn w:val="1"/>
    <w:link w:val="62"/>
    <w:qFormat/>
    <w:uiPriority w:val="0"/>
    <w:rPr>
      <w:sz w:val="18"/>
      <w:szCs w:val="18"/>
    </w:rPr>
  </w:style>
  <w:style w:type="paragraph" w:styleId="2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5">
    <w:name w:val="toc 1"/>
    <w:basedOn w:val="1"/>
    <w:next w:val="1"/>
    <w:qFormat/>
    <w:uiPriority w:val="0"/>
    <w:rPr>
      <w:rFonts w:ascii="Times New Roman" w:hAnsi="Times New Roman"/>
    </w:rPr>
  </w:style>
  <w:style w:type="paragraph" w:styleId="26">
    <w:name w:val="toc 2"/>
    <w:basedOn w:val="1"/>
    <w:next w:val="1"/>
    <w:qFormat/>
    <w:uiPriority w:val="0"/>
    <w:pPr>
      <w:ind w:left="420" w:leftChars="200"/>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9">
    <w:name w:val="annotation subject"/>
    <w:basedOn w:val="14"/>
    <w:next w:val="14"/>
    <w:link w:val="61"/>
    <w:qFormat/>
    <w:uiPriority w:val="0"/>
    <w:rPr>
      <w:b/>
      <w:bCs/>
    </w:rPr>
  </w:style>
  <w:style w:type="paragraph" w:styleId="30">
    <w:name w:val="Body Text First Indent"/>
    <w:basedOn w:val="16"/>
    <w:next w:val="31"/>
    <w:unhideWhenUsed/>
    <w:qFormat/>
    <w:uiPriority w:val="0"/>
    <w:pPr>
      <w:ind w:firstLine="420" w:firstLineChars="100"/>
    </w:pPr>
    <w:rPr>
      <w:rFonts w:hint="eastAsia" w:ascii="楷体_GB2312" w:eastAsia="楷体_GB2312"/>
      <w:sz w:val="32"/>
    </w:rPr>
  </w:style>
  <w:style w:type="paragraph" w:styleId="31">
    <w:name w:val="Body Text First Indent 2"/>
    <w:basedOn w:val="18"/>
    <w:next w:val="11"/>
    <w:qFormat/>
    <w:uiPriority w:val="0"/>
    <w:pPr>
      <w:ind w:firstLine="420"/>
    </w:p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Hyperlink"/>
    <w:basedOn w:val="34"/>
    <w:qFormat/>
    <w:uiPriority w:val="99"/>
    <w:rPr>
      <w:rFonts w:cs="Times New Roman"/>
      <w:color w:val="0000FF"/>
      <w:u w:val="single"/>
    </w:rPr>
  </w:style>
  <w:style w:type="character" w:styleId="36">
    <w:name w:val="annotation reference"/>
    <w:basedOn w:val="34"/>
    <w:qFormat/>
    <w:uiPriority w:val="0"/>
    <w:rPr>
      <w:sz w:val="21"/>
      <w:szCs w:val="21"/>
    </w:rPr>
  </w:style>
  <w:style w:type="paragraph" w:customStyle="1" w:styleId="37">
    <w:name w:val="style4"/>
    <w:basedOn w:val="38"/>
    <w:next w:val="39"/>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qFormat/>
    <w:uiPriority w:val="0"/>
    <w:pPr>
      <w:ind w:firstLine="200" w:firstLineChars="200"/>
    </w:pPr>
    <w:rPr>
      <w:rFonts w:ascii="宋体" w:hAnsi="宋体"/>
      <w:szCs w:val="22"/>
    </w:rPr>
  </w:style>
  <w:style w:type="paragraph" w:customStyle="1" w:styleId="42">
    <w:name w:val="Body Text First Indent1"/>
    <w:basedOn w:val="16"/>
    <w:qFormat/>
    <w:uiPriority w:val="0"/>
    <w:pPr>
      <w:ind w:firstLine="420" w:firstLineChars="100"/>
    </w:pPr>
  </w:style>
  <w:style w:type="paragraph" w:customStyle="1" w:styleId="4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45">
    <w:name w:val="p0"/>
    <w:basedOn w:val="46"/>
    <w:qFormat/>
    <w:uiPriority w:val="0"/>
    <w:pPr>
      <w:widowControl/>
    </w:pPr>
    <w:rPr>
      <w:kern w:val="0"/>
      <w:szCs w:val="21"/>
    </w:rPr>
  </w:style>
  <w:style w:type="paragraph" w:customStyle="1" w:styleId="46">
    <w:name w:val="正文1"/>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1"/>
    <w:basedOn w:val="46"/>
    <w:qFormat/>
    <w:uiPriority w:val="99"/>
    <w:rPr>
      <w:rFonts w:eastAsia="楷体_GB2312"/>
      <w:sz w:val="28"/>
    </w:rPr>
  </w:style>
  <w:style w:type="character" w:customStyle="1" w:styleId="48">
    <w:name w:val="NormalCharacter"/>
    <w:qFormat/>
    <w:uiPriority w:val="0"/>
    <w:rPr>
      <w:rFonts w:ascii="Book Antiqua" w:hAnsi="Book Antiqua" w:eastAsia="宋体" w:cs="Times New Roman"/>
      <w:kern w:val="2"/>
      <w:sz w:val="21"/>
      <w:szCs w:val="24"/>
      <w:lang w:val="en-US" w:eastAsia="zh-CN" w:bidi="ar-SA"/>
    </w:rPr>
  </w:style>
  <w:style w:type="paragraph" w:customStyle="1" w:styleId="49">
    <w:name w:val="BodyText1I"/>
    <w:basedOn w:val="50"/>
    <w:next w:val="52"/>
    <w:qFormat/>
    <w:uiPriority w:val="0"/>
    <w:pPr>
      <w:ind w:firstLine="420" w:firstLineChars="100"/>
    </w:pPr>
    <w:rPr>
      <w:rFonts w:ascii="楷体_GB2312"/>
      <w:sz w:val="32"/>
    </w:rPr>
  </w:style>
  <w:style w:type="paragraph" w:customStyle="1" w:styleId="50">
    <w:name w:val="BodyText"/>
    <w:basedOn w:val="1"/>
    <w:next w:val="51"/>
    <w:qFormat/>
    <w:uiPriority w:val="0"/>
    <w:pPr>
      <w:textAlignment w:val="baseline"/>
    </w:pPr>
    <w:rPr>
      <w:rFonts w:ascii="Calibri" w:hAnsi="Calibri" w:eastAsia="楷体_GB2312"/>
      <w:kern w:val="0"/>
      <w:sz w:val="28"/>
    </w:rPr>
  </w:style>
  <w:style w:type="paragraph" w:customStyle="1" w:styleId="51">
    <w:name w:val="BodyText2"/>
    <w:basedOn w:val="1"/>
    <w:next w:val="50"/>
    <w:qFormat/>
    <w:uiPriority w:val="0"/>
    <w:pPr>
      <w:spacing w:after="120" w:line="480" w:lineRule="auto"/>
      <w:textAlignment w:val="baseline"/>
    </w:pPr>
  </w:style>
  <w:style w:type="paragraph" w:customStyle="1" w:styleId="52">
    <w:name w:val="BodyText1I2"/>
    <w:basedOn w:val="53"/>
    <w:qFormat/>
    <w:uiPriority w:val="0"/>
    <w:pPr>
      <w:ind w:firstLine="420" w:firstLineChars="200"/>
    </w:pPr>
  </w:style>
  <w:style w:type="paragraph" w:customStyle="1" w:styleId="53">
    <w:name w:val="BodyTextIndent"/>
    <w:basedOn w:val="1"/>
    <w:qFormat/>
    <w:uiPriority w:val="0"/>
    <w:pPr>
      <w:spacing w:after="120"/>
      <w:ind w:left="420" w:leftChars="200"/>
      <w:textAlignment w:val="baseline"/>
    </w:pPr>
  </w:style>
  <w:style w:type="paragraph" w:customStyle="1" w:styleId="54">
    <w:name w:val="TOAHeading"/>
    <w:basedOn w:val="1"/>
    <w:next w:val="1"/>
    <w:qFormat/>
    <w:uiPriority w:val="0"/>
    <w:pPr>
      <w:spacing w:before="120"/>
      <w:textAlignment w:val="baseline"/>
    </w:pPr>
    <w:rPr>
      <w:rFonts w:ascii="Arial" w:hAnsi="Arial"/>
      <w:sz w:val="24"/>
      <w:szCs w:val="22"/>
    </w:rPr>
  </w:style>
  <w:style w:type="paragraph" w:customStyle="1" w:styleId="55">
    <w:name w:val="Table Paragraph"/>
    <w:basedOn w:val="1"/>
    <w:qFormat/>
    <w:uiPriority w:val="1"/>
    <w:rPr>
      <w:rFonts w:ascii="宋体" w:hAnsi="宋体" w:cs="宋体"/>
      <w:lang w:val="zh-CN" w:bidi="zh-CN"/>
    </w:rPr>
  </w:style>
  <w:style w:type="paragraph" w:styleId="56">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7">
    <w:name w:val="_Style 41"/>
    <w:basedOn w:val="1"/>
    <w:next w:val="56"/>
    <w:qFormat/>
    <w:uiPriority w:val="34"/>
    <w:pPr>
      <w:ind w:firstLine="420" w:firstLineChars="200"/>
    </w:pPr>
    <w:rPr>
      <w:rFonts w:ascii="等线" w:hAnsi="等线" w:eastAsia="等线"/>
      <w:szCs w:val="22"/>
    </w:rPr>
  </w:style>
  <w:style w:type="paragraph" w:customStyle="1" w:styleId="58">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批注文字 字符"/>
    <w:basedOn w:val="34"/>
    <w:link w:val="14"/>
    <w:qFormat/>
    <w:uiPriority w:val="0"/>
    <w:rPr>
      <w:rFonts w:ascii="Book Antiqua" w:hAnsi="Book Antiqua"/>
      <w:kern w:val="2"/>
      <w:sz w:val="21"/>
      <w:szCs w:val="24"/>
    </w:rPr>
  </w:style>
  <w:style w:type="character" w:customStyle="1" w:styleId="61">
    <w:name w:val="批注主题 字符"/>
    <w:basedOn w:val="60"/>
    <w:link w:val="29"/>
    <w:qFormat/>
    <w:uiPriority w:val="0"/>
    <w:rPr>
      <w:rFonts w:ascii="Book Antiqua" w:hAnsi="Book Antiqua"/>
      <w:b/>
      <w:bCs/>
      <w:kern w:val="2"/>
      <w:sz w:val="21"/>
      <w:szCs w:val="24"/>
    </w:rPr>
  </w:style>
  <w:style w:type="character" w:customStyle="1" w:styleId="62">
    <w:name w:val="批注框文本 字符"/>
    <w:basedOn w:val="34"/>
    <w:link w:val="22"/>
    <w:qFormat/>
    <w:uiPriority w:val="0"/>
    <w:rPr>
      <w:rFonts w:ascii="Book Antiqua" w:hAnsi="Book Antiqua"/>
      <w:kern w:val="2"/>
      <w:sz w:val="18"/>
      <w:szCs w:val="18"/>
    </w:rPr>
  </w:style>
  <w:style w:type="paragraph" w:customStyle="1" w:styleId="63">
    <w:name w:val="修订1"/>
    <w:hidden/>
    <w:semiHidden/>
    <w:qFormat/>
    <w:uiPriority w:val="99"/>
    <w:rPr>
      <w:rFonts w:ascii="Book Antiqua" w:hAnsi="Book Antiqua" w:eastAsia="宋体" w:cs="Times New Roman"/>
      <w:kern w:val="2"/>
      <w:sz w:val="21"/>
      <w:szCs w:val="24"/>
      <w:lang w:val="en-US" w:eastAsia="zh-CN" w:bidi="ar-SA"/>
    </w:rPr>
  </w:style>
  <w:style w:type="paragraph" w:customStyle="1" w:styleId="64">
    <w:name w:val="正文首行缩进 21"/>
    <w:basedOn w:val="1"/>
    <w:qFormat/>
    <w:uiPriority w:val="0"/>
    <w:pPr>
      <w:tabs>
        <w:tab w:val="left" w:pos="945"/>
        <w:tab w:val="left" w:pos="1155"/>
      </w:tabs>
      <w:ind w:firstLine="42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35105</Words>
  <Characters>38992</Characters>
  <Lines>302</Lines>
  <Paragraphs>85</Paragraphs>
  <TotalTime>57</TotalTime>
  <ScaleCrop>false</ScaleCrop>
  <LinksUpToDate>false</LinksUpToDate>
  <CharactersWithSpaces>40829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2023-03-01T00:37:00Z</dcterms:created>
  <dc:creator>DELL</dc:creator>
  <cp:lastModifiedBy>Administrator</cp:lastModifiedBy>
  <cp:lastPrinted>2023-06-12T09:08:00Z</cp:lastPrinted>
  <dcterms:modified xsi:type="dcterms:W3CDTF">2023-06-14T01:26:36Z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8241247B6B9C4FA59140A97BCD22EF94_13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ies>
</file>