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auto"/>
          <w:sz w:val="28"/>
          <w:szCs w:val="28"/>
          <w:highlight w:val="none"/>
        </w:rPr>
      </w:pPr>
      <w:bookmarkStart w:id="0" w:name="_Toc152042286"/>
      <w:bookmarkStart w:id="1" w:name="_Toc144974478"/>
      <w:bookmarkStart w:id="2" w:name="_Toc427913647"/>
      <w:bookmarkStart w:id="3" w:name="_Toc300834926"/>
      <w:bookmarkStart w:id="4" w:name="_Toc247527532"/>
    </w:p>
    <w:p>
      <w:pPr>
        <w:spacing w:line="360" w:lineRule="auto"/>
        <w:jc w:val="center"/>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eastAsia="zh-CN"/>
        </w:rPr>
        <w:t>焦作市博爱县未来食品冷链物流科创产业园建设项目</w:t>
      </w:r>
    </w:p>
    <w:p>
      <w:pPr>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w:t>
      </w:r>
      <w:r>
        <w:rPr>
          <w:rFonts w:hint="eastAsia" w:ascii="宋体" w:hAnsi="宋体" w:eastAsia="宋体" w:cs="Times New Roman"/>
          <w:b/>
          <w:bCs/>
          <w:color w:val="auto"/>
          <w:sz w:val="36"/>
          <w:szCs w:val="36"/>
          <w:highlight w:val="none"/>
          <w:lang w:eastAsia="zh-CN"/>
        </w:rPr>
        <w:t>一标段：</w:t>
      </w:r>
      <w:bookmarkStart w:id="5" w:name="_Hlk131060921"/>
      <w:r>
        <w:rPr>
          <w:rFonts w:hint="eastAsia" w:ascii="宋体" w:hAnsi="宋体" w:eastAsia="宋体" w:cs="Times New Roman"/>
          <w:b/>
          <w:bCs/>
          <w:color w:val="auto"/>
          <w:sz w:val="36"/>
          <w:szCs w:val="36"/>
          <w:highlight w:val="none"/>
          <w:lang w:eastAsia="zh-CN"/>
        </w:rPr>
        <w:t>EPC工程总承包</w:t>
      </w:r>
      <w:bookmarkEnd w:id="5"/>
      <w:r>
        <w:rPr>
          <w:rFonts w:hint="eastAsia" w:ascii="宋体" w:hAnsi="宋体" w:eastAsia="宋体" w:cs="Times New Roman"/>
          <w:b/>
          <w:bCs/>
          <w:color w:val="auto"/>
          <w:sz w:val="36"/>
          <w:szCs w:val="36"/>
          <w:highlight w:val="none"/>
          <w:lang w:val="en-US" w:eastAsia="zh-CN"/>
        </w:rPr>
        <w:t>)</w:t>
      </w:r>
    </w:p>
    <w:p>
      <w:pPr>
        <w:pStyle w:val="45"/>
        <w:rPr>
          <w:rFonts w:hint="eastAsia" w:ascii="宋体" w:hAnsi="宋体"/>
          <w:color w:val="auto"/>
          <w:highlight w:val="none"/>
        </w:rPr>
      </w:pPr>
    </w:p>
    <w:p>
      <w:pPr>
        <w:rPr>
          <w:rFonts w:hint="eastAsia"/>
          <w:color w:val="auto"/>
          <w:highlight w:val="none"/>
        </w:rPr>
      </w:pPr>
    </w:p>
    <w:p>
      <w:pPr>
        <w:pStyle w:val="45"/>
        <w:spacing w:line="360" w:lineRule="auto"/>
        <w:rPr>
          <w:rFonts w:hint="eastAsia" w:ascii="宋体" w:hAnsi="宋体"/>
          <w:color w:val="auto"/>
          <w:highlight w:val="none"/>
        </w:rPr>
      </w:pPr>
    </w:p>
    <w:p>
      <w:pPr>
        <w:spacing w:line="360" w:lineRule="auto"/>
        <w:jc w:val="center"/>
        <w:rPr>
          <w:rFonts w:hint="eastAsia" w:ascii="宋体" w:hAnsi="宋体"/>
          <w:b/>
          <w:bCs/>
          <w:color w:val="auto"/>
          <w:sz w:val="96"/>
          <w:szCs w:val="96"/>
          <w:highlight w:val="none"/>
        </w:rPr>
      </w:pPr>
      <w:r>
        <w:rPr>
          <w:rFonts w:hint="eastAsia" w:ascii="宋体" w:hAnsi="宋体"/>
          <w:b/>
          <w:bCs/>
          <w:color w:val="auto"/>
          <w:sz w:val="96"/>
          <w:szCs w:val="96"/>
          <w:highlight w:val="none"/>
        </w:rPr>
        <w:t>招标文件</w:t>
      </w:r>
    </w:p>
    <w:p>
      <w:pPr>
        <w:spacing w:line="360" w:lineRule="auto"/>
        <w:jc w:val="center"/>
        <w:rPr>
          <w:rFonts w:hint="eastAsia" w:ascii="宋体" w:hAnsi="宋体"/>
          <w:color w:val="auto"/>
          <w:sz w:val="28"/>
          <w:highlight w:val="none"/>
          <w:lang w:val="en-US" w:eastAsia="zh-CN"/>
        </w:rPr>
      </w:pPr>
      <w:r>
        <w:rPr>
          <w:rFonts w:ascii="宋体" w:hAnsi="宋体"/>
          <w:color w:val="auto"/>
          <w:sz w:val="28"/>
          <w:highlight w:val="none"/>
        </w:rPr>
        <w:t xml:space="preserve">  </w:t>
      </w:r>
      <w:r>
        <w:rPr>
          <w:rFonts w:hint="eastAsia" w:ascii="宋体" w:hAnsi="宋体"/>
          <w:b/>
          <w:bCs/>
          <w:color w:val="auto"/>
          <w:sz w:val="28"/>
          <w:highlight w:val="none"/>
          <w:lang w:eastAsia="zh-CN"/>
        </w:rPr>
        <w:t>采购编号：博政采购〔202</w:t>
      </w:r>
      <w:r>
        <w:rPr>
          <w:rFonts w:hint="eastAsia" w:ascii="宋体" w:hAnsi="宋体"/>
          <w:b/>
          <w:bCs/>
          <w:color w:val="auto"/>
          <w:sz w:val="28"/>
          <w:highlight w:val="none"/>
          <w:lang w:val="en-US" w:eastAsia="zh-CN"/>
        </w:rPr>
        <w:t>3</w:t>
      </w:r>
      <w:r>
        <w:rPr>
          <w:rFonts w:hint="eastAsia" w:ascii="宋体" w:hAnsi="宋体"/>
          <w:b/>
          <w:bCs/>
          <w:color w:val="auto"/>
          <w:sz w:val="28"/>
          <w:highlight w:val="none"/>
          <w:lang w:eastAsia="zh-CN"/>
        </w:rPr>
        <w:t>〕</w:t>
      </w:r>
      <w:r>
        <w:rPr>
          <w:rFonts w:hint="eastAsia" w:ascii="宋体" w:hAnsi="宋体"/>
          <w:b/>
          <w:bCs/>
          <w:color w:val="auto"/>
          <w:sz w:val="28"/>
          <w:highlight w:val="none"/>
          <w:lang w:val="en-US" w:eastAsia="zh-CN"/>
        </w:rPr>
        <w:t>50</w:t>
      </w:r>
      <w:r>
        <w:rPr>
          <w:rFonts w:hint="eastAsia" w:ascii="宋体" w:hAnsi="宋体"/>
          <w:b/>
          <w:bCs/>
          <w:color w:val="auto"/>
          <w:sz w:val="28"/>
          <w:highlight w:val="none"/>
          <w:lang w:eastAsia="zh-CN"/>
        </w:rPr>
        <w:t>号</w:t>
      </w:r>
    </w:p>
    <w:p>
      <w:pPr>
        <w:pStyle w:val="197"/>
        <w:rPr>
          <w:rFonts w:hint="eastAsia" w:ascii="宋体" w:hAnsi="宋体"/>
          <w:color w:val="auto"/>
          <w:sz w:val="28"/>
          <w:highlight w:val="none"/>
          <w:lang w:val="en-US" w:eastAsia="zh-CN"/>
        </w:rPr>
      </w:pPr>
    </w:p>
    <w:p>
      <w:pPr>
        <w:pStyle w:val="197"/>
        <w:rPr>
          <w:rFonts w:hint="eastAsia" w:ascii="宋体" w:hAnsi="宋体"/>
          <w:color w:val="auto"/>
          <w:sz w:val="28"/>
          <w:highlight w:val="none"/>
          <w:lang w:val="en-US" w:eastAsia="zh-CN"/>
        </w:rPr>
      </w:pPr>
      <w:r>
        <w:rPr>
          <w:rFonts w:hint="eastAsia" w:ascii="宋体" w:hAnsi="宋体" w:cs="宋体"/>
          <w:color w:val="auto"/>
          <w:sz w:val="24"/>
          <w:highlight w:val="none"/>
        </w:rPr>
        <w:drawing>
          <wp:anchor distT="0" distB="0" distL="114300" distR="114300" simplePos="0" relativeHeight="251660288" behindDoc="0" locked="0" layoutInCell="1" allowOverlap="1">
            <wp:simplePos x="0" y="0"/>
            <wp:positionH relativeFrom="column">
              <wp:posOffset>1407160</wp:posOffset>
            </wp:positionH>
            <wp:positionV relativeFrom="paragraph">
              <wp:posOffset>19050</wp:posOffset>
            </wp:positionV>
            <wp:extent cx="2348865" cy="1891665"/>
            <wp:effectExtent l="0" t="0" r="13335" b="1333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348865" cy="1891665"/>
                    </a:xfrm>
                    <a:prstGeom prst="rect">
                      <a:avLst/>
                    </a:prstGeom>
                    <a:noFill/>
                    <a:ln>
                      <a:noFill/>
                    </a:ln>
                  </pic:spPr>
                </pic:pic>
              </a:graphicData>
            </a:graphic>
          </wp:anchor>
        </w:drawing>
      </w:r>
    </w:p>
    <w:p>
      <w:pPr>
        <w:pStyle w:val="197"/>
        <w:rPr>
          <w:rFonts w:hint="eastAsia" w:ascii="宋体" w:hAnsi="宋体"/>
          <w:color w:val="auto"/>
          <w:sz w:val="28"/>
          <w:highlight w:val="none"/>
          <w:lang w:val="en-US" w:eastAsia="zh-CN"/>
        </w:rPr>
      </w:pPr>
    </w:p>
    <w:p>
      <w:pPr>
        <w:pStyle w:val="44"/>
        <w:tabs>
          <w:tab w:val="left" w:pos="219"/>
        </w:tabs>
        <w:spacing w:line="360" w:lineRule="auto"/>
        <w:ind w:firstLine="210"/>
        <w:rPr>
          <w:color w:val="auto"/>
          <w:highlight w:val="none"/>
          <w:lang w:val="en-US" w:eastAsia="zh-CN"/>
        </w:rPr>
      </w:pPr>
    </w:p>
    <w:p>
      <w:pPr>
        <w:spacing w:line="360" w:lineRule="auto"/>
        <w:jc w:val="center"/>
        <w:rPr>
          <w:rFonts w:hint="eastAsia" w:ascii="宋体" w:hAnsi="宋体"/>
          <w:color w:val="auto"/>
          <w:sz w:val="28"/>
          <w:highlight w:val="none"/>
        </w:rPr>
      </w:pPr>
    </w:p>
    <w:p>
      <w:pPr>
        <w:spacing w:line="360" w:lineRule="auto"/>
        <w:rPr>
          <w:rFonts w:hint="eastAsia" w:ascii="宋体" w:hAnsi="宋体"/>
          <w:color w:val="auto"/>
          <w:sz w:val="28"/>
          <w:highlight w:val="none"/>
        </w:rPr>
      </w:pPr>
      <w:r>
        <w:rPr>
          <w:rFonts w:ascii="宋体" w:hAnsi="宋体"/>
          <w:color w:val="auto"/>
          <w:sz w:val="28"/>
          <w:highlight w:val="none"/>
        </w:rPr>
        <w:t xml:space="preserve">  </w:t>
      </w:r>
    </w:p>
    <w:p>
      <w:pPr>
        <w:pStyle w:val="44"/>
        <w:tabs>
          <w:tab w:val="left" w:pos="219"/>
        </w:tabs>
        <w:spacing w:line="360" w:lineRule="auto"/>
        <w:ind w:firstLine="210"/>
        <w:rPr>
          <w:rFonts w:hint="eastAsia"/>
          <w:color w:val="auto"/>
          <w:highlight w:val="none"/>
          <w:lang w:val="en-US" w:eastAsia="zh-CN"/>
        </w:rPr>
      </w:pPr>
    </w:p>
    <w:p>
      <w:pPr>
        <w:pStyle w:val="45"/>
        <w:rPr>
          <w:rFonts w:hint="eastAsia"/>
          <w:color w:val="auto"/>
          <w:highlight w:val="none"/>
          <w:lang w:val="en-US" w:eastAsia="zh-CN"/>
        </w:rPr>
      </w:pPr>
    </w:p>
    <w:p>
      <w:pPr>
        <w:spacing w:line="360" w:lineRule="auto"/>
        <w:rPr>
          <w:rFonts w:hint="eastAsia" w:ascii="宋体" w:hAnsi="宋体"/>
          <w:color w:val="auto"/>
          <w:sz w:val="28"/>
          <w:highlight w:val="none"/>
        </w:rPr>
      </w:pPr>
    </w:p>
    <w:p>
      <w:pPr>
        <w:pStyle w:val="197"/>
        <w:rPr>
          <w:rFonts w:hint="eastAsia" w:ascii="宋体" w:hAnsi="宋体" w:cs="宋体"/>
          <w:b/>
          <w:bCs/>
          <w:color w:val="auto"/>
          <w:sz w:val="32"/>
          <w:szCs w:val="32"/>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1584" w:firstLineChars="493"/>
        <w:textAlignment w:val="auto"/>
        <w:rPr>
          <w:rFonts w:hint="default" w:ascii="宋体" w:hAnsi="宋体" w:eastAsia="Calibri" w:cs="宋体"/>
          <w:b/>
          <w:bCs/>
          <w:color w:val="auto"/>
          <w:sz w:val="32"/>
          <w:szCs w:val="32"/>
          <w:highlight w:val="none"/>
          <w:u w:val="single"/>
          <w:lang w:val="en-US"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u w:val="single"/>
          <w:lang w:val="en-US" w:eastAsia="zh-CN"/>
        </w:rPr>
        <w:t xml:space="preserve"> 博爱县康安服务有限公司  </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493"/>
        <w:textAlignment w:val="auto"/>
        <w:rPr>
          <w:rFonts w:hint="eastAsia" w:ascii="宋体" w:hAnsi="宋体" w:eastAsia="Calibri" w:cs="宋体"/>
          <w:b/>
          <w:bCs/>
          <w:color w:val="auto"/>
          <w:sz w:val="32"/>
          <w:szCs w:val="32"/>
          <w:highlight w:val="none"/>
          <w:u w:val="single"/>
          <w:lang w:eastAsia="zh-CN"/>
        </w:rPr>
      </w:pPr>
      <w:r>
        <w:rPr>
          <w:rFonts w:hint="eastAsia" w:ascii="宋体" w:hAnsi="宋体" w:cs="宋体"/>
          <w:b/>
          <w:bCs/>
          <w:color w:val="auto"/>
          <w:sz w:val="32"/>
          <w:szCs w:val="32"/>
          <w:highlight w:val="none"/>
        </w:rPr>
        <w:t>代理机构：</w:t>
      </w:r>
      <w:r>
        <w:rPr>
          <w:rFonts w:hint="eastAsia" w:ascii="宋体" w:hAnsi="宋体" w:cs="宋体"/>
          <w:b/>
          <w:bCs/>
          <w:color w:val="auto"/>
          <w:sz w:val="32"/>
          <w:szCs w:val="32"/>
          <w:highlight w:val="none"/>
          <w:u w:val="single"/>
          <w:lang w:eastAsia="zh-CN"/>
        </w:rPr>
        <w:t>智博国际工程咨询有限公司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u w:val="single"/>
          <w:lang w:val="en-US" w:eastAsia="zh-CN"/>
        </w:rPr>
        <w:sectPr>
          <w:headerReference r:id="rId3" w:type="default"/>
          <w:pgSz w:w="11906" w:h="16838"/>
          <w:pgMar w:top="1440" w:right="1800" w:bottom="1440" w:left="1800" w:header="1077" w:footer="1077" w:gutter="0"/>
          <w:pgNumType w:fmt="decimal"/>
          <w:cols w:space="720" w:num="1"/>
          <w:titlePg/>
          <w:docGrid w:linePitch="326" w:charSpace="0"/>
        </w:sectPr>
      </w:pPr>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二零二</w:t>
      </w:r>
      <w:r>
        <w:rPr>
          <w:rFonts w:hint="eastAsia" w:ascii="宋体" w:hAnsi="宋体" w:cs="宋体"/>
          <w:b/>
          <w:bCs/>
          <w:color w:val="auto"/>
          <w:sz w:val="32"/>
          <w:szCs w:val="32"/>
          <w:highlight w:val="none"/>
          <w:u w:val="single"/>
          <w:lang w:eastAsia="zh-CN"/>
        </w:rPr>
        <w:t>三</w:t>
      </w:r>
      <w:r>
        <w:rPr>
          <w:rFonts w:hint="eastAsia" w:ascii="宋体" w:hAnsi="宋体" w:cs="宋体"/>
          <w:b/>
          <w:bCs/>
          <w:color w:val="auto"/>
          <w:sz w:val="32"/>
          <w:szCs w:val="32"/>
          <w:highlight w:val="none"/>
          <w:u w:val="single"/>
        </w:rPr>
        <w:t xml:space="preserve"> 年 </w:t>
      </w:r>
      <w:r>
        <w:rPr>
          <w:rFonts w:hint="eastAsia" w:ascii="宋体" w:hAnsi="宋体" w:cs="宋体"/>
          <w:b/>
          <w:bCs/>
          <w:color w:val="auto"/>
          <w:sz w:val="32"/>
          <w:szCs w:val="32"/>
          <w:highlight w:val="none"/>
          <w:u w:val="single"/>
          <w:lang w:eastAsia="zh-CN"/>
        </w:rPr>
        <w:t>七</w:t>
      </w:r>
      <w:r>
        <w:rPr>
          <w:rFonts w:hint="eastAsia" w:ascii="宋体" w:hAnsi="宋体" w:cs="宋体"/>
          <w:b/>
          <w:bCs/>
          <w:color w:val="auto"/>
          <w:sz w:val="32"/>
          <w:szCs w:val="32"/>
          <w:highlight w:val="none"/>
          <w:u w:val="single"/>
        </w:rPr>
        <w:t xml:space="preserve"> 月</w:t>
      </w:r>
      <w:r>
        <w:rPr>
          <w:rFonts w:hint="eastAsia" w:ascii="宋体" w:hAnsi="宋体" w:cs="宋体"/>
          <w:b/>
          <w:bCs/>
          <w:color w:val="auto"/>
          <w:sz w:val="32"/>
          <w:szCs w:val="32"/>
          <w:highlight w:val="none"/>
          <w:u w:val="single"/>
          <w:lang w:val="en-US" w:eastAsia="zh-CN"/>
        </w:rPr>
        <w:t xml:space="preserve">    </w:t>
      </w:r>
    </w:p>
    <w:p>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bookmarkEnd w:id="0"/>
      <w:bookmarkEnd w:id="1"/>
      <w:bookmarkEnd w:id="2"/>
      <w:bookmarkEnd w:id="3"/>
      <w:bookmarkEnd w:id="4"/>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color w:val="auto"/>
          <w:sz w:val="24"/>
          <w:szCs w:val="24"/>
          <w:highlight w:val="none"/>
        </w:rPr>
      </w:pPr>
      <w:bookmarkStart w:id="6" w:name="_Toc247527533"/>
      <w:bookmarkStart w:id="7" w:name="_Toc247513932"/>
      <w:bookmarkStart w:id="8" w:name="_Toc144974479"/>
      <w:bookmarkStart w:id="9" w:name="_Toc152042287"/>
      <w:bookmarkStart w:id="10" w:name="_Toc152045511"/>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TOC \o "1-4" \h \u </w:instrText>
      </w:r>
      <w:r>
        <w:rPr>
          <w:rFonts w:ascii="宋体" w:hAnsi="宋体" w:cs="宋体"/>
          <w:color w:val="auto"/>
          <w:sz w:val="21"/>
          <w:szCs w:val="21"/>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发包人要求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tabs>
          <w:tab w:val="right" w:leader="dot" w:pos="8306"/>
        </w:tabs>
        <w:ind w:left="0" w:leftChars="0" w:firstLine="0" w:firstLineChars="0"/>
        <w:rPr>
          <w:color w:val="auto"/>
          <w:highlight w:val="none"/>
        </w:rPr>
      </w:pPr>
    </w:p>
    <w:p>
      <w:pPr>
        <w:tabs>
          <w:tab w:val="right" w:leader="dot" w:pos="8364"/>
        </w:tabs>
        <w:spacing w:line="360" w:lineRule="auto"/>
        <w:contextualSpacing/>
        <w:jc w:val="center"/>
        <w:rPr>
          <w:rFonts w:ascii="宋体" w:hAnsi="宋体" w:cs="宋体"/>
          <w:color w:val="auto"/>
          <w:szCs w:val="21"/>
          <w:highlight w:val="none"/>
        </w:rPr>
      </w:pPr>
      <w:r>
        <w:rPr>
          <w:rFonts w:ascii="宋体" w:hAnsi="宋体" w:cs="宋体"/>
          <w:color w:val="auto"/>
          <w:szCs w:val="21"/>
          <w:highlight w:val="none"/>
        </w:rPr>
        <w:fldChar w:fldCharType="end"/>
      </w:r>
      <w:bookmarkEnd w:id="6"/>
      <w:bookmarkEnd w:id="7"/>
      <w:bookmarkStart w:id="11" w:name="_Toc247527534"/>
      <w:bookmarkStart w:id="12" w:name="_Toc14536"/>
      <w:bookmarkStart w:id="13" w:name="_Toc42"/>
      <w:bookmarkStart w:id="14" w:name="_Toc247513933"/>
    </w:p>
    <w:p>
      <w:pPr>
        <w:rPr>
          <w:rFonts w:ascii="宋体" w:hAnsi="宋体" w:cs="宋体"/>
          <w:color w:val="auto"/>
          <w:szCs w:val="21"/>
          <w:highlight w:val="none"/>
        </w:rPr>
      </w:pPr>
      <w:r>
        <w:rPr>
          <w:rFonts w:ascii="宋体" w:hAnsi="宋体" w:cs="宋体"/>
          <w:color w:val="auto"/>
          <w:szCs w:val="21"/>
          <w:highlight w:val="none"/>
        </w:rPr>
        <w:br w:type="page"/>
      </w:r>
    </w:p>
    <w:p>
      <w:pPr>
        <w:pStyle w:val="2"/>
        <w:rPr>
          <w:color w:val="auto"/>
          <w:highlight w:val="none"/>
        </w:rPr>
      </w:pPr>
    </w:p>
    <w:p>
      <w:pPr>
        <w:tabs>
          <w:tab w:val="right" w:leader="dot" w:pos="8364"/>
        </w:tabs>
        <w:spacing w:line="360" w:lineRule="auto"/>
        <w:jc w:val="center"/>
        <w:rPr>
          <w:rStyle w:val="65"/>
          <w:rFonts w:ascii="宋体" w:hAnsi="宋体"/>
          <w:color w:val="auto"/>
          <w:highlight w:val="none"/>
        </w:rPr>
      </w:pPr>
      <w:bookmarkStart w:id="15" w:name="_Toc7095"/>
      <w:r>
        <w:rPr>
          <w:rStyle w:val="65"/>
          <w:rFonts w:hint="eastAsia" w:ascii="宋体" w:hAnsi="宋体"/>
          <w:color w:val="auto"/>
          <w:highlight w:val="none"/>
        </w:rPr>
        <w:t>第一章 招标公告</w:t>
      </w:r>
    </w:p>
    <w:bookmarkEnd w:id="8"/>
    <w:bookmarkEnd w:id="9"/>
    <w:bookmarkEnd w:id="10"/>
    <w:bookmarkEnd w:id="11"/>
    <w:bookmarkEnd w:id="12"/>
    <w:bookmarkEnd w:id="13"/>
    <w:bookmarkEnd w:id="14"/>
    <w:bookmarkEnd w:id="15"/>
    <w:p>
      <w:pPr>
        <w:spacing w:line="360" w:lineRule="auto"/>
        <w:ind w:firstLine="482" w:firstLineChars="200"/>
        <w:jc w:val="center"/>
        <w:rPr>
          <w:rFonts w:hint="eastAsia" w:ascii="宋体" w:hAnsi="宋体" w:eastAsia="宋体"/>
          <w:b/>
          <w:bCs/>
          <w:color w:val="auto"/>
          <w:sz w:val="24"/>
          <w:szCs w:val="24"/>
          <w:highlight w:val="none"/>
          <w:lang w:eastAsia="zh-CN"/>
        </w:rPr>
      </w:pPr>
      <w:bookmarkStart w:id="16" w:name="_Hlk75381577"/>
      <w:bookmarkStart w:id="17" w:name="_Toc152042303"/>
      <w:bookmarkStart w:id="18" w:name="_Toc152045527"/>
      <w:bookmarkStart w:id="19" w:name="_Toc247513950"/>
      <w:bookmarkStart w:id="20" w:name="_Toc30099"/>
      <w:bookmarkStart w:id="21" w:name="_Toc7088"/>
      <w:bookmarkStart w:id="22" w:name="_Toc144974495"/>
      <w:bookmarkStart w:id="23" w:name="_Toc247527551"/>
      <w:r>
        <w:rPr>
          <w:rFonts w:hint="eastAsia" w:ascii="宋体" w:hAnsi="宋体"/>
          <w:b/>
          <w:bCs/>
          <w:color w:val="auto"/>
          <w:sz w:val="24"/>
          <w:szCs w:val="24"/>
          <w:highlight w:val="none"/>
          <w:lang w:eastAsia="zh-CN"/>
        </w:rPr>
        <w:t>焦作市博爱县未来食品冷链物流科创产业园建设项目</w:t>
      </w:r>
    </w:p>
    <w:p>
      <w:pPr>
        <w:spacing w:line="360" w:lineRule="auto"/>
        <w:ind w:firstLine="482" w:firstLineChars="200"/>
        <w:jc w:val="center"/>
        <w:rPr>
          <w:rFonts w:ascii="宋体" w:hAnsi="宋体"/>
          <w:b/>
          <w:bCs/>
          <w:color w:val="auto"/>
          <w:sz w:val="24"/>
          <w:szCs w:val="24"/>
          <w:highlight w:val="none"/>
        </w:rPr>
      </w:pPr>
      <w:r>
        <w:rPr>
          <w:rFonts w:hint="eastAsia" w:ascii="宋体" w:hAnsi="宋体"/>
          <w:b/>
          <w:bCs/>
          <w:color w:val="auto"/>
          <w:sz w:val="24"/>
          <w:szCs w:val="24"/>
          <w:highlight w:val="none"/>
        </w:rPr>
        <w:t>招标公告</w:t>
      </w:r>
    </w:p>
    <w:p>
      <w:pPr>
        <w:keepNext w:val="0"/>
        <w:keepLines w:val="0"/>
        <w:pageBreakBefore w:val="0"/>
        <w:kinsoku/>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一标段：采购编号：博政采购〔2023〕50号、二标段：采购编号：博政采购〔2023〕51号</w:t>
      </w:r>
    </w:p>
    <w:bookmarkEnd w:id="16"/>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bookmarkStart w:id="24" w:name="_Toc66975037"/>
      <w:bookmarkStart w:id="25" w:name="_Toc62586896"/>
      <w:bookmarkStart w:id="26" w:name="_Toc49099695"/>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招标条件</w:t>
      </w:r>
      <w:bookmarkEnd w:id="24"/>
      <w:bookmarkEnd w:id="25"/>
      <w:bookmarkEnd w:id="26"/>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bookmarkStart w:id="27" w:name="_Hlk67249196"/>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lang w:eastAsia="zh-CN"/>
        </w:rPr>
        <w:t>焦作市博爱县未来食品冷链物流科创产业园建设项目</w:t>
      </w:r>
      <w:r>
        <w:rPr>
          <w:rFonts w:hint="eastAsia" w:ascii="宋体" w:hAnsi="宋体" w:eastAsia="宋体" w:cs="宋体"/>
          <w:color w:val="auto"/>
          <w:sz w:val="21"/>
          <w:szCs w:val="21"/>
          <w:highlight w:val="none"/>
        </w:rPr>
        <w:t>已由相关部门批准建设，招标人为</w:t>
      </w:r>
      <w:r>
        <w:rPr>
          <w:rFonts w:hint="eastAsia" w:ascii="宋体" w:hAnsi="宋体" w:eastAsia="宋体" w:cs="宋体"/>
          <w:color w:val="auto"/>
          <w:sz w:val="21"/>
          <w:szCs w:val="21"/>
          <w:highlight w:val="none"/>
          <w:lang w:eastAsia="zh-CN"/>
        </w:rPr>
        <w:t>博爱县康安服务有限公司</w:t>
      </w:r>
      <w:r>
        <w:rPr>
          <w:rFonts w:hint="eastAsia" w:ascii="宋体" w:hAnsi="宋体" w:eastAsia="宋体" w:cs="宋体"/>
          <w:color w:val="auto"/>
          <w:sz w:val="21"/>
          <w:szCs w:val="21"/>
          <w:highlight w:val="none"/>
        </w:rPr>
        <w:t>，建设资金来自专项债资金、地方财政配套资金、社会融资资金，项目已具备招标条件，现对该项目进行公开招标</w:t>
      </w:r>
      <w:bookmarkEnd w:id="27"/>
      <w:r>
        <w:rPr>
          <w:rFonts w:hint="eastAsia" w:ascii="宋体" w:hAnsi="宋体" w:eastAsia="宋体" w:cs="宋体"/>
          <w:color w:val="auto"/>
          <w:sz w:val="21"/>
          <w:szCs w:val="21"/>
          <w:highlight w:val="none"/>
        </w:rPr>
        <w:t>。</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bookmarkStart w:id="28" w:name="_Toc66975038"/>
      <w:bookmarkStart w:id="29" w:name="_Toc62586897"/>
      <w:bookmarkStart w:id="30" w:name="_Toc49099696"/>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项目概况与招标范围</w:t>
      </w:r>
      <w:bookmarkEnd w:id="28"/>
      <w:bookmarkEnd w:id="29"/>
      <w:bookmarkEnd w:id="30"/>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项目概况：</w:t>
      </w:r>
      <w:bookmarkStart w:id="31" w:name="_Hlk67249208"/>
      <w:bookmarkStart w:id="32" w:name="_Hlk61374418"/>
      <w:r>
        <w:rPr>
          <w:rFonts w:hint="eastAsia" w:ascii="宋体" w:hAnsi="宋体" w:eastAsia="宋体" w:cs="宋体"/>
          <w:color w:val="auto"/>
          <w:sz w:val="21"/>
          <w:szCs w:val="21"/>
          <w:highlight w:val="none"/>
        </w:rPr>
        <w:t>本项目占地247亩，总建筑面积约265005㎡。具体建设内容如下：9栋标准化厂房、1栋展销中心、1栋商业中心、1栋研发中心、1栋公共服务中心、冷藏库、冷冻库恒温分拣库、综合运营中心、物流配送中心、门卫室及相关配套设施。另购置安装大型制冷压缩机、冷却器、分离器、标准化冷藏车等生产配套设备。</w:t>
      </w:r>
      <w:bookmarkEnd w:id="31"/>
      <w:bookmarkEnd w:id="32"/>
      <w:r>
        <w:rPr>
          <w:rFonts w:hint="eastAsia" w:ascii="宋体" w:hAnsi="宋体" w:eastAsia="宋体" w:cs="宋体"/>
          <w:color w:val="auto"/>
          <w:sz w:val="21"/>
          <w:szCs w:val="21"/>
          <w:highlight w:val="none"/>
        </w:rPr>
        <w:t xml:space="preserve"> </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bookmarkStart w:id="33" w:name="_Toc49099697"/>
      <w:bookmarkStart w:id="34" w:name="_Toc62586898"/>
      <w:bookmarkStart w:id="35" w:name="_Toc66975039"/>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建设地点：</w:t>
      </w:r>
      <w:bookmarkEnd w:id="33"/>
      <w:r>
        <w:rPr>
          <w:rFonts w:hint="eastAsia" w:ascii="宋体" w:hAnsi="宋体" w:eastAsia="宋体" w:cs="宋体"/>
          <w:color w:val="auto"/>
          <w:sz w:val="21"/>
          <w:szCs w:val="21"/>
          <w:highlight w:val="none"/>
        </w:rPr>
        <w:t>本项目位于博爱经济技术开发区东部片区青天河路西侧、大中里村北侧。</w:t>
      </w:r>
      <w:bookmarkEnd w:id="34"/>
      <w:bookmarkEnd w:id="35"/>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标段划分：本项目共设两个标段，一标段：EPC工程总承包；二标段：监理；</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招标范围：</w:t>
      </w:r>
      <w:bookmarkStart w:id="36" w:name="_Hlk130570483"/>
      <w:bookmarkStart w:id="37" w:name="_Hlk130406765"/>
    </w:p>
    <w:bookmarkEnd w:id="36"/>
    <w:bookmarkEnd w:id="37"/>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招标范围：包含与本项目相关的勘察、设计（包含方案设计、初步设计、施工图设计等费用）、不可竞争费（不可竞争费=安全文明施工费+规费+税金）、预算编制、材料和设备采购、施工、调试、验收、保修、试运行及配合招标人对手续办理等全过程即交钥匙工程产生的一切费用（监理费除外）。</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二标段招标范围：施工及缺陷责任期阶段的全过程监理工作等服务。</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38" w:name="_Hlk130406588"/>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计划工期：</w:t>
      </w:r>
      <w:bookmarkEnd w:id="38"/>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一标段：计划工期：两年，其中设计周期：2个月，施工工期：22个月。</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二标段：工期控制目标：同施工合同约定工期；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质量标准及要求：</w:t>
      </w:r>
      <w:bookmarkStart w:id="39" w:name="_Hlk130406798"/>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一标段：设计质量要求：各阶段设计成果文件均符合国家、省、市有关工程设计方面的规范、文件规定的内容及深度和招标人的具体要求</w:t>
      </w:r>
      <w:r>
        <w:rPr>
          <w:rFonts w:hint="eastAsia" w:ascii="宋体" w:hAnsi="宋体" w:eastAsia="宋体" w:cs="宋体"/>
          <w:color w:val="auto"/>
          <w:sz w:val="21"/>
          <w:szCs w:val="21"/>
          <w:highlight w:val="none"/>
          <w:lang w:eastAsia="zh-CN"/>
        </w:rPr>
        <w:t>；</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一标段：施工质量要求：满足国家相关规范要求及招标文件的技术要求，达到合格标准</w:t>
      </w:r>
      <w:r>
        <w:rPr>
          <w:rFonts w:hint="eastAsia" w:ascii="宋体" w:hAnsi="宋体" w:eastAsia="宋体" w:cs="宋体"/>
          <w:color w:val="auto"/>
          <w:sz w:val="21"/>
          <w:szCs w:val="21"/>
          <w:highlight w:val="none"/>
          <w:lang w:eastAsia="zh-CN"/>
        </w:rPr>
        <w:t>；</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二标段：质量控制目标：合格</w:t>
      </w:r>
      <w:r>
        <w:rPr>
          <w:rFonts w:hint="eastAsia" w:ascii="宋体" w:hAnsi="宋体" w:eastAsia="宋体" w:cs="宋体"/>
          <w:color w:val="auto"/>
          <w:sz w:val="21"/>
          <w:szCs w:val="21"/>
          <w:highlight w:val="none"/>
          <w:lang w:eastAsia="zh-CN"/>
        </w:rPr>
        <w:t>；</w:t>
      </w:r>
    </w:p>
    <w:bookmarkEnd w:id="39"/>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3.投标人资格要求</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一标段：EPC工程总承包</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bookmarkStart w:id="40" w:name="_Hlk130408856"/>
      <w:r>
        <w:rPr>
          <w:rFonts w:hint="eastAsia" w:ascii="宋体" w:hAnsi="宋体" w:eastAsia="宋体" w:cs="宋体"/>
          <w:color w:val="auto"/>
          <w:sz w:val="21"/>
          <w:szCs w:val="21"/>
          <w:highlight w:val="none"/>
        </w:rPr>
        <w:t>投标人应在中华人民共和国境内注册且具有独立法人资格；在人员、设备、资金等方面应具相应的能力；</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投标人须具有独立法人资格；须具备建筑工程施工总承包壹级及以上资质和同时具有工程设计建筑行业（建筑工程）甲级或工程设计综合甲级资质，持有有效的企业安全生产许可证。</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拟派项目经理（施工负责人）需具备建筑工程专业壹级注册建造师执业资格（不含临时），具有有效期内的安全生产考核合格证书（B证），且未担任其他在建工程项目，需出具无在建工程承诺书（法定代表人签字并加盖单位公章）及需具有本单位近半年社保证明；拟派设计负责人需具有国家一级注册建筑师资格（不含临时）且需具有本单位近半年社保证明；拟派施工技术负责人需具备相关专业中级及以上技术职称，需具有本单位近半年社保证明。</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财务要求：投标人近三年（2019-2021年度）财务状况良好，没有处于被责令停业或破产状态，且资产未被重组、接管和冻结（提供2019-2021年度经审计部门或会计师事务所出具的财务审计报告，如投标单位为新成立企业，提供自注册年度后的财务审计报告）；</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3.5信誉要求：</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处于被责令停业、投标资格被取消或者财产被接管、冻结和破产状态；企业没有因骗取中标或者严重违约以及发生重大工程质量、安全生产事故等问题、没有被有关部门暂停投标资格并在暂停期内的（由投标人出具承诺，格式自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企业被列入失信被执行人名单的及企业法定代表人、拟派项目经理、设计负责人被列入失信被执行人均拒绝参与本项目招标投标活动（提供在“信用中国”网站企业“失信被执行人”查询结果；企业法定代表人、拟派项目经理、设计负责人的“失信被执行人”查询结果，自然人查询须填写姓名及身份号）；查询时间自招标公告发布日期之后，查询结果应显示查询时间并加盖投标人公章；</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3.6其他要求：</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（1）投标人须提供无行贿犯罪承诺书，内容应包含企业、法定代表人、拟派项目经理、设计负责人（由投标人出具承诺，格式自拟）；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（2）单位负责人为同一人或者存在控股、管理关系的不同单位，不得同时参加本项目的投标（提供加盖投标人公章的“国家企业信用信息公示系统”中公示的公司信息、股东或投资人信息）；</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参与投标竞争的单位，须承诺遵守《保障农民工工资支付条例》，且未被列入拖欠农民工工资黑名单，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由投标人对上述出具承诺，格式自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3.7本</w:t>
      </w:r>
      <w:r>
        <w:rPr>
          <w:rFonts w:hint="eastAsia" w:ascii="宋体" w:hAnsi="宋体" w:eastAsia="宋体" w:cs="宋体"/>
          <w:color w:val="auto"/>
          <w:sz w:val="21"/>
          <w:szCs w:val="21"/>
          <w:highlight w:val="none"/>
          <w:lang w:eastAsia="zh-CN"/>
        </w:rPr>
        <w:t>标段</w:t>
      </w:r>
      <w:r>
        <w:rPr>
          <w:rFonts w:hint="eastAsia" w:ascii="宋体" w:hAnsi="宋体" w:eastAsia="宋体" w:cs="宋体"/>
          <w:color w:val="auto"/>
          <w:sz w:val="21"/>
          <w:szCs w:val="21"/>
          <w:highlight w:val="none"/>
        </w:rPr>
        <w:t>接受联合体投标。1）联合体成员不超过2家；2）联合体各方应签订联合体协议书明确各方权利义务；3）联合体各成员法定代表人应当出具授权委托书，授权委托同一人作为代理人，办理投标事宜，授权委托书由联合体各成员法定代表人共同签署并加盖各自单位公章，联合体中各方不得再以自己名义单独或参加其他联合体在同一合同段中投标；4）联合体中有同类资质的投标人按照联合体分工承担相同工作的，应当按照资质等级较低的投标人确定资质等级；5）联合体牵头人须是负责本项目的施工企业。牵头人的法定代表人或其授权的委托代理人负责签署本次招标活动的相关资料，需要盖章的由牵头人盖单位公章，联合体各方必须签订联合体协议对此予以认可。</w:t>
      </w:r>
    </w:p>
    <w:bookmarkEnd w:id="40"/>
    <w:p>
      <w:pPr>
        <w:keepNext w:val="0"/>
        <w:keepLines w:val="0"/>
        <w:pageBreakBefore w:val="0"/>
        <w:kinsoku/>
        <w:topLinePunct w:val="0"/>
        <w:bidi w:val="0"/>
        <w:spacing w:line="440" w:lineRule="exact"/>
        <w:rPr>
          <w:rFonts w:hint="eastAsia" w:ascii="宋体" w:hAnsi="宋体" w:eastAsia="宋体" w:cs="宋体"/>
          <w:b/>
          <w:bCs/>
          <w:color w:val="auto"/>
          <w:sz w:val="21"/>
          <w:szCs w:val="21"/>
          <w:highlight w:val="none"/>
          <w:lang w:eastAsia="zh-CN"/>
        </w:rPr>
      </w:pPr>
      <w:bookmarkStart w:id="41" w:name="_Toc66975040"/>
      <w:bookmarkStart w:id="42" w:name="_Toc62586899"/>
      <w:bookmarkStart w:id="43" w:name="_Toc49099698"/>
      <w:r>
        <w:rPr>
          <w:rFonts w:hint="eastAsia" w:ascii="宋体" w:hAnsi="宋体" w:eastAsia="宋体" w:cs="宋体"/>
          <w:b/>
          <w:bCs/>
          <w:color w:val="auto"/>
          <w:sz w:val="21"/>
          <w:szCs w:val="21"/>
          <w:highlight w:val="none"/>
          <w:lang w:eastAsia="zh-CN"/>
        </w:rPr>
        <w:t>二标段：监理</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3.1投标人应在中华人民共和国境内注册且具有独立法人资格；在人员、设备、资金等方面应具相应的能力；</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3.2投标人须具备建设行政主管部门核发的房屋建筑工程监理甲级及以上资质</w:t>
      </w:r>
      <w:r>
        <w:rPr>
          <w:rFonts w:hint="eastAsia" w:ascii="宋体" w:hAnsi="宋体" w:eastAsia="宋体" w:cs="宋体"/>
          <w:color w:val="auto"/>
          <w:sz w:val="21"/>
          <w:szCs w:val="21"/>
          <w:highlight w:val="none"/>
        </w:rPr>
        <w:t>。</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3.3拟派项目总监具备房屋建筑工程专业国家监理工程师注册执业资格</w:t>
      </w:r>
      <w:r>
        <w:rPr>
          <w:rFonts w:hint="eastAsia" w:ascii="宋体" w:hAnsi="宋体" w:eastAsia="宋体" w:cs="宋体"/>
          <w:color w:val="auto"/>
          <w:sz w:val="21"/>
          <w:szCs w:val="21"/>
          <w:highlight w:val="none"/>
        </w:rPr>
        <w:t>，需具有本单位近半年社保证明；</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财务要求：投标人近三年（2019-2021年度）财务状况良好，没有处于被责令停业或破产状态，且资产未被重组、接管和冻结（提供2019-2021年度经审计部门或会计师事务所出具的财务审计报告，如投标单位为新成立企业，提供自注册年度后的财务审计报告）；</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3.5信誉要求：</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处于被责令停业、投标资格被取消或者财产被接管、冻结和破产状态；企业没有因骗取中标或者严重违约以及发生重大工程质量、安全生产事故等问题、没有被有关部门暂停投标资格并在暂停期内的（由投标人出具承诺，格式自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（2）投标人企业被列入失信被执行人名单的及企业法定代表人、拟派项目</w:t>
      </w:r>
      <w:r>
        <w:rPr>
          <w:rFonts w:hint="eastAsia" w:ascii="宋体" w:hAnsi="宋体" w:eastAsia="宋体" w:cs="宋体"/>
          <w:color w:val="auto"/>
          <w:sz w:val="21"/>
          <w:szCs w:val="21"/>
          <w:highlight w:val="none"/>
          <w:lang w:eastAsia="zh-CN"/>
        </w:rPr>
        <w:t>总监</w:t>
      </w:r>
      <w:r>
        <w:rPr>
          <w:rFonts w:hint="eastAsia" w:ascii="宋体" w:hAnsi="宋体" w:eastAsia="宋体" w:cs="宋体"/>
          <w:color w:val="auto"/>
          <w:sz w:val="21"/>
          <w:szCs w:val="21"/>
          <w:highlight w:val="none"/>
        </w:rPr>
        <w:t>被列入失信被执行人均拒绝参与本项目招标投标活动（提供在“信用中国”网站企业“失信被执行人”查询结果；企业法定代表人、拟派项目</w:t>
      </w:r>
      <w:r>
        <w:rPr>
          <w:rFonts w:hint="eastAsia" w:ascii="宋体" w:hAnsi="宋体" w:eastAsia="宋体" w:cs="宋体"/>
          <w:color w:val="auto"/>
          <w:sz w:val="21"/>
          <w:szCs w:val="21"/>
          <w:highlight w:val="none"/>
          <w:lang w:eastAsia="zh-CN"/>
        </w:rPr>
        <w:t>总监的</w:t>
      </w:r>
      <w:r>
        <w:rPr>
          <w:rFonts w:hint="eastAsia" w:ascii="宋体" w:hAnsi="宋体" w:eastAsia="宋体" w:cs="宋体"/>
          <w:color w:val="auto"/>
          <w:sz w:val="21"/>
          <w:szCs w:val="21"/>
          <w:highlight w:val="none"/>
        </w:rPr>
        <w:t>“失信被执行人”查询结果，自然人查询须填写姓名及身份号）；查询时间自招标公告发布日期之后，查询结果应显示查询时间并加盖投标人公章；</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3.6其他要求：</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（1）投标人须提供无行贿犯罪承诺书，内容应包含企业、法定代表人、拟派项目</w:t>
      </w:r>
      <w:r>
        <w:rPr>
          <w:rFonts w:hint="eastAsia" w:ascii="宋体" w:hAnsi="宋体" w:eastAsia="宋体" w:cs="宋体"/>
          <w:color w:val="auto"/>
          <w:sz w:val="21"/>
          <w:szCs w:val="21"/>
          <w:highlight w:val="none"/>
          <w:lang w:eastAsia="zh-CN"/>
        </w:rPr>
        <w:t>总监</w:t>
      </w:r>
      <w:r>
        <w:rPr>
          <w:rFonts w:hint="eastAsia" w:ascii="宋体" w:hAnsi="宋体" w:eastAsia="宋体" w:cs="宋体"/>
          <w:color w:val="auto"/>
          <w:sz w:val="21"/>
          <w:szCs w:val="21"/>
          <w:highlight w:val="none"/>
        </w:rPr>
        <w:t>（由投标人出具承诺，格式自拟）；</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（2）单位负责人为同一人或者存在控股、管理关系的不同单位，不得同时参加本项目的投标（提供加盖投标人公章的“国家企业信用信息公示系统”中公示的公司信息、股东或投资人信息）；</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3.7本</w:t>
      </w:r>
      <w:r>
        <w:rPr>
          <w:rFonts w:hint="eastAsia" w:ascii="宋体" w:hAnsi="宋体" w:eastAsia="宋体" w:cs="宋体"/>
          <w:color w:val="auto"/>
          <w:sz w:val="21"/>
          <w:szCs w:val="21"/>
          <w:highlight w:val="none"/>
          <w:lang w:eastAsia="zh-CN"/>
        </w:rPr>
        <w:t>标段不</w:t>
      </w:r>
      <w:r>
        <w:rPr>
          <w:rFonts w:hint="eastAsia" w:ascii="宋体" w:hAnsi="宋体" w:eastAsia="宋体" w:cs="宋体"/>
          <w:color w:val="auto"/>
          <w:sz w:val="21"/>
          <w:szCs w:val="21"/>
          <w:highlight w:val="none"/>
        </w:rPr>
        <w:t>接受联合体投标。</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招标文件的获取</w:t>
      </w:r>
      <w:bookmarkEnd w:id="41"/>
      <w:bookmarkEnd w:id="42"/>
      <w:bookmarkEnd w:id="43"/>
    </w:p>
    <w:p>
      <w:pPr>
        <w:keepNext w:val="0"/>
        <w:keepLines w:val="0"/>
        <w:pageBreakBefore w:val="0"/>
        <w:widowControl/>
        <w:kinsoku/>
        <w:wordWrap w:val="0"/>
        <w:topLinePunct w:val="0"/>
        <w:bidi w:val="0"/>
        <w:spacing w:line="440" w:lineRule="exact"/>
        <w:ind w:firstLine="420" w:firstLineChars="200"/>
        <w:jc w:val="left"/>
        <w:rPr>
          <w:rFonts w:hint="eastAsia" w:ascii="宋体" w:hAnsi="宋体" w:eastAsia="宋体" w:cs="宋体"/>
          <w:color w:val="auto"/>
          <w:kern w:val="0"/>
          <w:sz w:val="21"/>
          <w:szCs w:val="21"/>
          <w:highlight w:val="none"/>
        </w:rPr>
      </w:pPr>
      <w:bookmarkStart w:id="44" w:name="_Toc49099701"/>
      <w:bookmarkStart w:id="45" w:name="_Toc62586902"/>
      <w:bookmarkStart w:id="46" w:name="_Toc66975043"/>
      <w:r>
        <w:rPr>
          <w:rFonts w:hint="eastAsia" w:ascii="宋体" w:hAnsi="宋体" w:eastAsia="宋体" w:cs="宋体"/>
          <w:color w:val="auto"/>
          <w:kern w:val="0"/>
          <w:sz w:val="21"/>
          <w:szCs w:val="21"/>
          <w:highlight w:val="none"/>
        </w:rPr>
        <w:t>4.1招标文件获取方式：网上获取，凡有意参加投标者，请登录焦作市公共资源交易中心官网进行网上下载招标文件。</w:t>
      </w:r>
    </w:p>
    <w:p>
      <w:pPr>
        <w:keepNext w:val="0"/>
        <w:keepLines w:val="0"/>
        <w:pageBreakBefore w:val="0"/>
        <w:widowControl/>
        <w:kinsoku/>
        <w:wordWrap w:val="0"/>
        <w:topLinePunct w:val="0"/>
        <w:bidi w:val="0"/>
        <w:spacing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4.2下载招标文件时间：202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日至20</w:t>
      </w:r>
      <w:r>
        <w:rPr>
          <w:rFonts w:hint="eastAsia" w:ascii="宋体" w:hAnsi="宋体" w:eastAsia="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日。</w:t>
      </w:r>
    </w:p>
    <w:bookmarkEnd w:id="44"/>
    <w:bookmarkEnd w:id="45"/>
    <w:bookmarkEnd w:id="46"/>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资格审查方式：本次招标采用资格后审。</w:t>
      </w:r>
      <w:r>
        <w:rPr>
          <w:rFonts w:hint="eastAsia" w:ascii="宋体" w:hAnsi="宋体" w:eastAsia="宋体" w:cs="宋体"/>
          <w:b/>
          <w:bCs/>
          <w:color w:val="auto"/>
          <w:sz w:val="21"/>
          <w:szCs w:val="21"/>
          <w:highlight w:val="none"/>
        </w:rPr>
        <w:tab/>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bookmarkStart w:id="47" w:name="_Toc66975044"/>
      <w:bookmarkStart w:id="48" w:name="_Toc62586903"/>
      <w:bookmarkStart w:id="49" w:name="_Toc49099702"/>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投标文件的递交</w:t>
      </w:r>
      <w:bookmarkEnd w:id="47"/>
      <w:bookmarkEnd w:id="48"/>
      <w:bookmarkEnd w:id="49"/>
    </w:p>
    <w:p>
      <w:pPr>
        <w:keepNext w:val="0"/>
        <w:keepLines w:val="0"/>
        <w:pageBreakBefore w:val="0"/>
        <w:widowControl/>
        <w:kinsoku/>
        <w:wordWrap w:val="0"/>
        <w:topLinePunct w:val="0"/>
        <w:bidi w:val="0"/>
        <w:spacing w:line="440" w:lineRule="exact"/>
        <w:ind w:firstLine="420" w:firstLineChars="200"/>
        <w:jc w:val="left"/>
        <w:rPr>
          <w:rFonts w:hint="eastAsia" w:ascii="宋体" w:hAnsi="宋体" w:eastAsia="宋体" w:cs="宋体"/>
          <w:color w:val="auto"/>
          <w:kern w:val="0"/>
          <w:sz w:val="21"/>
          <w:szCs w:val="21"/>
          <w:highlight w:val="none"/>
        </w:rPr>
      </w:pPr>
      <w:bookmarkStart w:id="50" w:name="_Toc62586909"/>
      <w:bookmarkStart w:id="51" w:name="_Toc66975050"/>
      <w:bookmarkStart w:id="52" w:name="_Toc61376994"/>
      <w:bookmarkStart w:id="53" w:name="_Toc49099703"/>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.1投标文件递交的截止时间：202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08</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04</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分（北京时间）。</w:t>
      </w:r>
    </w:p>
    <w:p>
      <w:pPr>
        <w:keepNext w:val="0"/>
        <w:keepLines w:val="0"/>
        <w:pageBreakBefore w:val="0"/>
        <w:widowControl/>
        <w:kinsoku/>
        <w:wordWrap w:val="0"/>
        <w:topLinePunct w:val="0"/>
        <w:bidi w:val="0"/>
        <w:spacing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.2提交方式：网上提交。加密电子投标文件须在焦作市公共资源交易中心电子交易平台中加密上传，上传时必须得到电脑“上传成功”的确认回复后方为上传成功。</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开标时间及地点：</w:t>
      </w:r>
    </w:p>
    <w:p>
      <w:pPr>
        <w:keepNext w:val="0"/>
        <w:keepLines w:val="0"/>
        <w:pageBreakBefore w:val="0"/>
        <w:widowControl/>
        <w:kinsoku/>
        <w:wordWrap w:val="0"/>
        <w:overflowPunct w:val="0"/>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.1开标时间：202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pPr>
        <w:keepNext w:val="0"/>
        <w:keepLines w:val="0"/>
        <w:pageBreakBefore w:val="0"/>
        <w:widowControl/>
        <w:kinsoku/>
        <w:wordWrap w:val="0"/>
        <w:overflowPunct w:val="0"/>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.2现场开标地点：博爱县公共资源交易中心二楼第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开标室。</w:t>
      </w:r>
    </w:p>
    <w:p>
      <w:pPr>
        <w:keepNext w:val="0"/>
        <w:keepLines w:val="0"/>
        <w:pageBreakBefore w:val="0"/>
        <w:widowControl/>
        <w:kinsoku/>
        <w:wordWrap w:val="0"/>
        <w:overflowPunct w:val="0"/>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.3中标结果请登录发布本招标公告的媒介查看中标结果公示栏，中标结果不再另行通知。</w:t>
      </w:r>
    </w:p>
    <w:bookmarkEnd w:id="50"/>
    <w:bookmarkEnd w:id="51"/>
    <w:bookmarkEnd w:id="52"/>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bookmarkStart w:id="54" w:name="_Toc66975051"/>
      <w:bookmarkStart w:id="55" w:name="_Toc62586910"/>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发布公告的媒介</w:t>
      </w:r>
      <w:bookmarkEnd w:id="53"/>
      <w:bookmarkEnd w:id="54"/>
      <w:bookmarkEnd w:id="55"/>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本次招标公告在中国招标投标公共服务平台、河南省政府采购网、焦作市政府采购网、焦作市公共资源交易中心网、博爱县人民政府网、博爱县公共资源交易中心网站上http://www.baxggzyjyzx.cn/发布。 </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特别提醒</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bookmarkStart w:id="56" w:name="_Toc62586912"/>
      <w:bookmarkStart w:id="57" w:name="_Toc66975053"/>
      <w:bookmarkStart w:id="58" w:name="_Toc49099704"/>
      <w:r>
        <w:rPr>
          <w:rFonts w:hint="eastAsia" w:ascii="宋体" w:hAnsi="宋体" w:eastAsia="宋体" w:cs="宋体"/>
          <w:color w:val="auto"/>
          <w:sz w:val="21"/>
          <w:szCs w:val="21"/>
          <w:highlight w:val="none"/>
        </w:rPr>
        <w:t>本项目采用不见面开标方式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平台统一技术服务电话：400-998-0000；      服务QQ：4008503300；</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清单造价技术问题请联系人刘工：13721426615；</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服务时间：周一至周日8：00-17：30。</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联系方式</w:t>
      </w:r>
      <w:bookmarkEnd w:id="56"/>
      <w:bookmarkEnd w:id="57"/>
      <w:bookmarkEnd w:id="58"/>
    </w:p>
    <w:p>
      <w:pPr>
        <w:keepNext w:val="0"/>
        <w:keepLines w:val="0"/>
        <w:pageBreakBefore w:val="0"/>
        <w:widowControl/>
        <w:kinsoku/>
        <w:wordWrap w:val="0"/>
        <w:topLinePunct w:val="0"/>
        <w:bidi w:val="0"/>
        <w:adjustRightInd w:val="0"/>
        <w:snapToGrid w:val="0"/>
        <w:spacing w:line="44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招标人：</w:t>
      </w:r>
      <w:r>
        <w:rPr>
          <w:rFonts w:hint="eastAsia" w:ascii="宋体" w:hAnsi="宋体" w:eastAsia="宋体" w:cs="宋体"/>
          <w:color w:val="auto"/>
          <w:kern w:val="0"/>
          <w:sz w:val="21"/>
          <w:szCs w:val="21"/>
          <w:highlight w:val="none"/>
          <w:lang w:eastAsia="zh-CN"/>
        </w:rPr>
        <w:t>博爱县康安服务有限公司</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 河南省焦作市博爱县柏山镇博爱经济技术开发区管理委员会四楼</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人:冯少辉</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话:0391-86911105</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代理机构: </w:t>
      </w:r>
      <w:r>
        <w:rPr>
          <w:rFonts w:hint="eastAsia" w:ascii="宋体" w:hAnsi="宋体" w:eastAsia="宋体" w:cs="宋体"/>
          <w:color w:val="auto"/>
          <w:sz w:val="21"/>
          <w:szCs w:val="21"/>
          <w:highlight w:val="none"/>
          <w:lang w:eastAsia="zh-CN"/>
        </w:rPr>
        <w:t>智博国际工程咨询有限公司</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郑州市西三环与北三环交叉口国家大学科技园（东区）18号楼D座2层</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黄天鹏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刘勇琪、刘莎</w:t>
      </w:r>
    </w:p>
    <w:p>
      <w:pPr>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话：0371-68638111</w:t>
      </w:r>
    </w:p>
    <w:p>
      <w:pPr>
        <w:keepNext w:val="0"/>
        <w:keepLines w:val="0"/>
        <w:pageBreakBefore w:val="0"/>
        <w:kinsoku/>
        <w:topLinePunct w:val="0"/>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监督部门</w:t>
      </w:r>
    </w:p>
    <w:p>
      <w:pPr>
        <w:pStyle w:val="192"/>
        <w:keepNext w:val="0"/>
        <w:keepLines w:val="0"/>
        <w:pageBreakBefore w:val="0"/>
        <w:kinsoku/>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博爱县住房和城乡建设局          电话：0391-8682396</w:t>
      </w:r>
    </w:p>
    <w:p>
      <w:pPr>
        <w:pStyle w:val="2"/>
        <w:keepNext w:val="0"/>
        <w:keepLines w:val="0"/>
        <w:pageBreakBefore w:val="0"/>
        <w:kinsoku/>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keepNext w:val="0"/>
        <w:keepLines w:val="0"/>
        <w:pageBreakBefore w:val="0"/>
        <w:kinsoku/>
        <w:topLinePunct w:val="0"/>
        <w:bidi w:val="0"/>
        <w:spacing w:line="440" w:lineRule="exact"/>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博爱县康安服务有限公司</w:t>
      </w:r>
    </w:p>
    <w:p>
      <w:pPr>
        <w:keepNext w:val="0"/>
        <w:keepLines w:val="0"/>
        <w:pageBreakBefore w:val="0"/>
        <w:kinsoku/>
        <w:topLinePunct w:val="0"/>
        <w:bidi w:val="0"/>
        <w:spacing w:line="440" w:lineRule="exact"/>
        <w:ind w:firstLine="420" w:firstLineChars="20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智博国际工程咨询有限公司</w:t>
      </w:r>
    </w:p>
    <w:p>
      <w:pPr>
        <w:bidi w:val="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2023年07月13日</w:t>
      </w:r>
    </w:p>
    <w:p>
      <w:pPr>
        <w:keepNext w:val="0"/>
        <w:keepLines w:val="0"/>
        <w:pageBreakBefore w:val="0"/>
        <w:kinsoku/>
        <w:topLinePunct w:val="0"/>
        <w:bidi w:val="0"/>
        <w:spacing w:line="440" w:lineRule="exact"/>
        <w:ind w:firstLine="420" w:firstLineChars="200"/>
        <w:jc w:val="right"/>
        <w:rPr>
          <w:color w:val="auto"/>
          <w:highlight w:val="none"/>
        </w:rPr>
      </w:pPr>
      <w:r>
        <w:rPr>
          <w:rFonts w:hint="eastAsia"/>
          <w:color w:val="auto"/>
          <w:highlight w:val="none"/>
          <w:lang w:val="en-US" w:eastAsia="zh-CN"/>
        </w:rPr>
        <w:br w:type="page"/>
      </w:r>
    </w:p>
    <w:p>
      <w:pPr>
        <w:pStyle w:val="3"/>
        <w:spacing w:before="120" w:after="120" w:line="360" w:lineRule="auto"/>
        <w:jc w:val="center"/>
        <w:rPr>
          <w:rFonts w:ascii="宋体" w:hAnsi="宋体"/>
          <w:color w:val="auto"/>
          <w:highlight w:val="none"/>
        </w:rPr>
      </w:pPr>
      <w:bookmarkStart w:id="59" w:name="_Toc2033"/>
      <w:r>
        <w:rPr>
          <w:rFonts w:hint="eastAsia" w:ascii="宋体" w:hAnsi="宋体"/>
          <w:color w:val="auto"/>
          <w:highlight w:val="none"/>
        </w:rPr>
        <w:t>第二章 投标人须知</w:t>
      </w:r>
      <w:bookmarkEnd w:id="17"/>
      <w:bookmarkEnd w:id="18"/>
      <w:bookmarkEnd w:id="19"/>
      <w:bookmarkEnd w:id="20"/>
      <w:bookmarkEnd w:id="21"/>
      <w:bookmarkEnd w:id="22"/>
      <w:bookmarkEnd w:id="23"/>
      <w:bookmarkEnd w:id="59"/>
    </w:p>
    <w:p>
      <w:pPr>
        <w:pStyle w:val="4"/>
        <w:spacing w:before="120" w:after="120" w:line="360" w:lineRule="auto"/>
        <w:jc w:val="center"/>
        <w:rPr>
          <w:rFonts w:ascii="宋体" w:hAnsi="宋体" w:eastAsia="宋体"/>
          <w:color w:val="auto"/>
          <w:highlight w:val="none"/>
        </w:rPr>
      </w:pPr>
      <w:bookmarkStart w:id="60" w:name="_Toc152042304"/>
      <w:bookmarkStart w:id="61" w:name="_Toc6055"/>
      <w:bookmarkStart w:id="62" w:name="_Toc25902"/>
      <w:bookmarkStart w:id="63" w:name="_Toc144974496"/>
      <w:bookmarkStart w:id="64" w:name="_Toc152045528"/>
      <w:bookmarkStart w:id="65" w:name="_Toc247513951"/>
      <w:bookmarkStart w:id="66" w:name="_Toc10315"/>
      <w:bookmarkStart w:id="67" w:name="_Toc247527552"/>
      <w:bookmarkStart w:id="68" w:name="_Toc7082"/>
      <w:bookmarkStart w:id="69" w:name="_Toc9787"/>
      <w:r>
        <w:rPr>
          <w:rFonts w:hint="eastAsia" w:ascii="宋体" w:hAnsi="宋体" w:eastAsia="宋体"/>
          <w:color w:val="auto"/>
          <w:highlight w:val="none"/>
        </w:rPr>
        <w:t>投标人须知前附表</w:t>
      </w:r>
      <w:bookmarkEnd w:id="60"/>
      <w:bookmarkEnd w:id="61"/>
      <w:bookmarkEnd w:id="62"/>
      <w:bookmarkEnd w:id="63"/>
      <w:bookmarkEnd w:id="64"/>
      <w:bookmarkEnd w:id="65"/>
      <w:bookmarkEnd w:id="66"/>
      <w:bookmarkEnd w:id="67"/>
      <w:bookmarkEnd w:id="68"/>
      <w:bookmarkEnd w:id="69"/>
    </w:p>
    <w:tbl>
      <w:tblPr>
        <w:tblStyle w:val="46"/>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59"/>
        <w:gridCol w:w="602"/>
        <w:gridCol w:w="94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1561" w:type="dxa"/>
            <w:gridSpan w:val="2"/>
            <w:shd w:val="clear" w:color="auto" w:fill="auto"/>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 款 名 称</w:t>
            </w:r>
          </w:p>
        </w:tc>
        <w:tc>
          <w:tcPr>
            <w:tcW w:w="6945" w:type="dxa"/>
            <w:gridSpan w:val="2"/>
            <w:shd w:val="clear" w:color="auto" w:fill="auto"/>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招标人</w:t>
            </w:r>
          </w:p>
        </w:tc>
        <w:tc>
          <w:tcPr>
            <w:tcW w:w="6945" w:type="dxa"/>
            <w:gridSpan w:val="2"/>
            <w:shd w:val="clear" w:color="auto" w:fill="auto"/>
            <w:vAlign w:val="center"/>
          </w:tcPr>
          <w:p>
            <w:pPr>
              <w:spacing w:line="360" w:lineRule="auto"/>
              <w:ind w:firstLine="33" w:firstLineChars="16"/>
              <w:rPr>
                <w:rFonts w:hint="eastAsia" w:ascii="宋体" w:hAnsi="宋体"/>
                <w:color w:val="auto"/>
                <w:szCs w:val="21"/>
                <w:highlight w:val="none"/>
                <w:lang w:eastAsia="zh-CN"/>
              </w:rPr>
            </w:pPr>
            <w:r>
              <w:rPr>
                <w:rFonts w:hint="eastAsia" w:ascii="宋体" w:hAnsi="宋体"/>
                <w:color w:val="auto"/>
                <w:szCs w:val="21"/>
                <w:highlight w:val="none"/>
              </w:rPr>
              <w:t>招标人：</w:t>
            </w:r>
            <w:r>
              <w:rPr>
                <w:rFonts w:hint="eastAsia" w:ascii="宋体" w:hAnsi="宋体"/>
                <w:color w:val="auto"/>
                <w:szCs w:val="21"/>
                <w:highlight w:val="none"/>
                <w:lang w:eastAsia="zh-CN"/>
              </w:rPr>
              <w:t>博爱县康安服务有限公司</w:t>
            </w:r>
          </w:p>
          <w:p>
            <w:pPr>
              <w:spacing w:line="360" w:lineRule="auto"/>
              <w:ind w:firstLine="33" w:firstLineChars="16"/>
              <w:rPr>
                <w:rFonts w:hint="eastAsia" w:ascii="宋体" w:hAnsi="宋体"/>
                <w:color w:val="auto"/>
                <w:szCs w:val="21"/>
                <w:highlight w:val="none"/>
                <w:lang w:val="en-US" w:eastAsia="zh-CN"/>
              </w:rPr>
            </w:pPr>
            <w:r>
              <w:rPr>
                <w:rFonts w:hint="eastAsia" w:ascii="宋体" w:hAnsi="宋体"/>
                <w:color w:val="auto"/>
                <w:szCs w:val="21"/>
                <w:highlight w:val="none"/>
              </w:rPr>
              <w:t>地   址: 河南省焦作市博爱县柏山镇博爱经济技术开发区管理委员会四楼</w:t>
            </w:r>
          </w:p>
          <w:p>
            <w:pPr>
              <w:spacing w:line="360" w:lineRule="auto"/>
              <w:ind w:firstLine="33" w:firstLineChars="16"/>
              <w:rPr>
                <w:rFonts w:hint="eastAsia" w:ascii="宋体" w:hAnsi="宋体"/>
                <w:color w:val="auto"/>
                <w:szCs w:val="21"/>
                <w:highlight w:val="none"/>
              </w:rPr>
            </w:pPr>
            <w:r>
              <w:rPr>
                <w:rFonts w:hint="eastAsia" w:ascii="宋体" w:hAnsi="宋体"/>
                <w:color w:val="auto"/>
                <w:szCs w:val="21"/>
                <w:highlight w:val="none"/>
              </w:rPr>
              <w:t>联 系 人:冯少辉</w:t>
            </w:r>
          </w:p>
          <w:p>
            <w:pPr>
              <w:spacing w:line="360" w:lineRule="auto"/>
              <w:ind w:firstLine="33" w:firstLineChars="16"/>
              <w:rPr>
                <w:rFonts w:ascii="宋体" w:hAnsi="宋体"/>
                <w:color w:val="auto"/>
                <w:szCs w:val="21"/>
                <w:highlight w:val="none"/>
              </w:rPr>
            </w:pPr>
            <w:r>
              <w:rPr>
                <w:rFonts w:hint="eastAsia" w:ascii="宋体" w:hAnsi="宋体"/>
                <w:color w:val="auto"/>
                <w:szCs w:val="21"/>
                <w:highlight w:val="none"/>
              </w:rPr>
              <w:t>电   话:0391-86911105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招标代理机构</w:t>
            </w:r>
          </w:p>
        </w:tc>
        <w:tc>
          <w:tcPr>
            <w:tcW w:w="6945" w:type="dxa"/>
            <w:gridSpan w:val="2"/>
            <w:shd w:val="clear" w:color="auto" w:fill="auto"/>
            <w:vAlign w:val="center"/>
          </w:tcPr>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 xml:space="preserve">代理机构: </w:t>
            </w:r>
            <w:r>
              <w:rPr>
                <w:rFonts w:hint="eastAsia" w:ascii="宋体" w:hAnsi="宋体" w:cs="宋体"/>
                <w:color w:val="auto"/>
                <w:kern w:val="0"/>
                <w:szCs w:val="21"/>
                <w:highlight w:val="none"/>
                <w:lang w:eastAsia="zh-CN"/>
              </w:rPr>
              <w:t>智博国际工程咨询有限公司</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地   址: 郑州市西三环与北三环交叉口国家大学科技园（东区）18号楼D座2层</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黄天鹏</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刘勇琪、刘莎</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  话：0371-68638111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1.1.4</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项目名称</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lang w:val="zh-CN"/>
              </w:rPr>
              <w:t>焦作市博爱县未来食品冷链物流科创产业园建设项目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1.1.5</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建设地点</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本项目位于博爱经济技术开发区东部片区青天河路西侧、大中里村北侧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.1.6</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工程概况</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本项目占地247亩，总建筑面积约265005㎡。具体建设内容如下：9栋标准化厂房、1栋展销中心、1栋商业中心、1栋研发中心、1栋公共服务中心、冷藏库、冷冻库恒温分拣库、综合运营中心、物流配送中心、门卫室及相关配套设施。另购置安装大型制冷压缩机、冷却器、分离器、标准化冷藏车等生产配套设备</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1.2.1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资金来源</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专项债资金、地方财政配套资金、社会融资资金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资金</w:t>
            </w:r>
            <w:r>
              <w:rPr>
                <w:rFonts w:ascii="宋体" w:hAnsi="宋体"/>
                <w:color w:val="auto"/>
                <w:szCs w:val="21"/>
                <w:highlight w:val="none"/>
              </w:rPr>
              <w:t>落实情况</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招标范围</w:t>
            </w:r>
          </w:p>
        </w:tc>
        <w:tc>
          <w:tcPr>
            <w:tcW w:w="6945" w:type="dxa"/>
            <w:gridSpan w:val="2"/>
            <w:shd w:val="clear" w:color="auto" w:fill="auto"/>
            <w:vAlign w:val="center"/>
          </w:tcPr>
          <w:p>
            <w:pPr>
              <w:spacing w:line="360" w:lineRule="auto"/>
              <w:rPr>
                <w:rFonts w:ascii="宋体" w:hAnsi="宋体"/>
                <w:color w:val="auto"/>
                <w:kern w:val="0"/>
                <w:szCs w:val="21"/>
                <w:highlight w:val="none"/>
              </w:rPr>
            </w:pPr>
            <w:r>
              <w:rPr>
                <w:rFonts w:hint="eastAsia" w:ascii="宋体" w:hAnsi="宋体"/>
                <w:color w:val="auto"/>
                <w:kern w:val="0"/>
                <w:szCs w:val="21"/>
                <w:highlight w:val="none"/>
              </w:rPr>
              <w:t>包含与本项目相关的勘察、设计（包含方案设计、初步设计、施工图设计等费用）、不可竞争费（不可竞争费=安全文明施工费+规费+税金）、预算编制、材料和设备采购、施工、调试、验收、保修、试运行及配合招标人对手续办理等全过程即交钥匙工程产生的一切费用（监理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1.3.2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计划工期</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两年，其中设计周期：2个月，施工工期：22个月。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1.3.3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标准</w:t>
            </w:r>
          </w:p>
        </w:tc>
        <w:tc>
          <w:tcPr>
            <w:tcW w:w="6945" w:type="dxa"/>
            <w:gridSpan w:val="2"/>
            <w:shd w:val="clear" w:color="auto" w:fill="auto"/>
            <w:vAlign w:val="center"/>
          </w:tcPr>
          <w:p>
            <w:pPr>
              <w:spacing w:line="360" w:lineRule="auto"/>
              <w:rPr>
                <w:rFonts w:hint="eastAsia"/>
                <w:color w:val="auto"/>
                <w:highlight w:val="none"/>
                <w:lang w:eastAsia="zh-CN"/>
              </w:rPr>
            </w:pPr>
            <w:r>
              <w:rPr>
                <w:rFonts w:hint="eastAsia"/>
                <w:color w:val="auto"/>
                <w:highlight w:val="none"/>
              </w:rPr>
              <w:t>设计质量要求：各阶段设计成果文件均符合国家、省、市有关工程设计方面的规范、文件规定的内容及深度和招标人的具体要求</w:t>
            </w:r>
            <w:r>
              <w:rPr>
                <w:rFonts w:hint="eastAsia"/>
                <w:color w:val="auto"/>
                <w:highlight w:val="none"/>
                <w:lang w:eastAsia="zh-CN"/>
              </w:rPr>
              <w:t>；</w:t>
            </w:r>
          </w:p>
          <w:p>
            <w:pPr>
              <w:spacing w:line="360" w:lineRule="auto"/>
              <w:rPr>
                <w:color w:val="auto"/>
                <w:highlight w:val="none"/>
              </w:rPr>
            </w:pPr>
            <w:r>
              <w:rPr>
                <w:rFonts w:hint="eastAsia"/>
                <w:color w:val="auto"/>
                <w:highlight w:val="none"/>
              </w:rPr>
              <w:t>施工质量要求：满足国家相关规范要求及招标文件的技术要求，达到合格标准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s="仿宋_GB2312"/>
                <w:color w:val="auto"/>
                <w:kern w:val="0"/>
                <w:szCs w:val="21"/>
                <w:highlight w:val="none"/>
              </w:rPr>
            </w:pPr>
            <w:r>
              <w:rPr>
                <w:rFonts w:hint="eastAsia" w:ascii="宋体" w:hAnsi="宋体"/>
                <w:color w:val="auto"/>
                <w:szCs w:val="21"/>
                <w:highlight w:val="none"/>
              </w:rPr>
              <w:t>1.3.4</w:t>
            </w:r>
          </w:p>
        </w:tc>
        <w:tc>
          <w:tcPr>
            <w:tcW w:w="1561" w:type="dxa"/>
            <w:gridSpan w:val="2"/>
            <w:shd w:val="clear" w:color="auto" w:fill="auto"/>
            <w:vAlign w:val="center"/>
          </w:tcPr>
          <w:p>
            <w:pPr>
              <w:pStyle w:val="2"/>
              <w:tabs>
                <w:tab w:val="left" w:pos="900"/>
              </w:tabs>
              <w:spacing w:line="360" w:lineRule="auto"/>
              <w:jc w:val="center"/>
              <w:rPr>
                <w:rFonts w:hAnsi="宋体" w:cs="仿宋_GB2312"/>
                <w:color w:val="auto"/>
                <w:sz w:val="21"/>
                <w:szCs w:val="21"/>
                <w:highlight w:val="none"/>
              </w:rPr>
            </w:pPr>
            <w:r>
              <w:rPr>
                <w:rFonts w:hint="eastAsia" w:hAnsi="宋体" w:cs="仿宋_GB2312"/>
                <w:color w:val="auto"/>
                <w:sz w:val="21"/>
                <w:szCs w:val="21"/>
                <w:highlight w:val="none"/>
              </w:rPr>
              <w:t>安全要求</w:t>
            </w:r>
          </w:p>
        </w:tc>
        <w:tc>
          <w:tcPr>
            <w:tcW w:w="6945" w:type="dxa"/>
            <w:gridSpan w:val="2"/>
            <w:shd w:val="clear" w:color="auto" w:fill="auto"/>
            <w:vAlign w:val="center"/>
          </w:tcPr>
          <w:p>
            <w:pPr>
              <w:spacing w:line="360" w:lineRule="auto"/>
              <w:rPr>
                <w:rFonts w:ascii="宋体" w:hAnsi="宋体" w:cs="仿宋_GB2312"/>
                <w:color w:val="auto"/>
                <w:kern w:val="0"/>
                <w:szCs w:val="21"/>
                <w:highlight w:val="none"/>
              </w:rPr>
            </w:pPr>
            <w:r>
              <w:rPr>
                <w:rFonts w:hint="eastAsia" w:ascii="宋体" w:hAnsi="宋体" w:cs="仿宋_GB2312"/>
                <w:color w:val="auto"/>
                <w:kern w:val="0"/>
                <w:szCs w:val="21"/>
                <w:highlight w:val="none"/>
              </w:rPr>
              <w:t>确保不发生安全生产事故。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1.3.5</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标段划分</w:t>
            </w:r>
          </w:p>
        </w:tc>
        <w:tc>
          <w:tcPr>
            <w:tcW w:w="6945" w:type="dxa"/>
            <w:gridSpan w:val="2"/>
            <w:shd w:val="clear" w:color="auto" w:fill="auto"/>
            <w:vAlign w:val="center"/>
          </w:tcPr>
          <w:p>
            <w:pPr>
              <w:spacing w:line="360" w:lineRule="auto"/>
              <w:rPr>
                <w:rFonts w:ascii="宋体" w:hAnsi="宋体" w:cs="仿宋_GB2312"/>
                <w:color w:val="auto"/>
                <w:kern w:val="0"/>
                <w:szCs w:val="21"/>
                <w:highlight w:val="none"/>
              </w:rPr>
            </w:pPr>
            <w:r>
              <w:rPr>
                <w:rFonts w:hint="eastAsia" w:ascii="宋体" w:hAnsi="宋体"/>
                <w:color w:val="auto"/>
                <w:szCs w:val="21"/>
                <w:highlight w:val="none"/>
              </w:rPr>
              <w:t>共</w:t>
            </w:r>
            <w:r>
              <w:rPr>
                <w:rFonts w:hint="eastAsia" w:ascii="宋体" w:hAnsi="宋体"/>
                <w:color w:val="auto"/>
                <w:szCs w:val="21"/>
                <w:highlight w:val="none"/>
                <w:lang w:eastAsia="zh-CN"/>
              </w:rPr>
              <w:t>二</w:t>
            </w:r>
            <w:r>
              <w:rPr>
                <w:rFonts w:hint="eastAsia" w:ascii="宋体" w:hAnsi="宋体"/>
                <w:color w:val="auto"/>
                <w:szCs w:val="21"/>
                <w:highlight w:val="none"/>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1.4.1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投标人资质条件、能力和信誉</w:t>
            </w:r>
          </w:p>
        </w:tc>
        <w:tc>
          <w:tcPr>
            <w:tcW w:w="6945" w:type="dxa"/>
            <w:gridSpan w:val="2"/>
            <w:shd w:val="clear" w:color="auto" w:fill="auto"/>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投标人应在中华人民共和国境内注册且具有独立法人资格；在人员、设备、资金等方面应具相应的能力；</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投标人须具有独立法人资格；须具备建筑工程施工总承包壹级及以上资质和同时具有工程设计建筑行业（建筑工程）甲级或工程设计综合甲级资质，持有有效的企业安全生产许可证。</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拟派项目经理（施工负责人）需具备建筑工程专业壹级注册建造师执业资格（不含临时），具有有效期内的安全生产考核合格证书（B证），且未担任其他在建工程项目，需出具无在建工程承诺书（法定代表人签字并加盖单位公章）及需具有本单位近半年社保证明；拟派设计负责人需具有国家一级注册建筑师资格（不含临时）且需具有本单位近半年社保证明；拟派施工技术负责人需具备相关专业中级及以上技术职称，需具有本单位近半年社保证明。</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财务要求：投标人近三年（2019-2021年度）财务状况良好，没有处于被责令停业或破产状态，且资产未被重组、接管和冻结（提供2019-2021年度经审计部门或会计师事务所出具的财务审计报告，如投标单位为新成立企业，提供自注册年度后的财务审计报告）；</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信誉要求：</w:t>
            </w:r>
          </w:p>
          <w:p>
            <w:pPr>
              <w:spacing w:line="360" w:lineRule="auto"/>
              <w:rPr>
                <w:rFonts w:hint="eastAsia" w:ascii="宋体" w:hAnsi="宋体"/>
                <w:color w:val="auto"/>
                <w:szCs w:val="21"/>
                <w:highlight w:val="none"/>
              </w:rPr>
            </w:pPr>
            <w:r>
              <w:rPr>
                <w:rFonts w:hint="eastAsia" w:ascii="宋体" w:hAnsi="宋体"/>
                <w:color w:val="auto"/>
                <w:szCs w:val="21"/>
                <w:highlight w:val="none"/>
              </w:rPr>
              <w:t>（1）未处于被责令停业、投标资格被取消或者财产被接管、冻结和破产状态；企业没有因骗取中标或者严重违约以及发生重大工程质量、安全生产事故等问题、没有被有关部门暂停投标资格并在暂停期内的（由投标人出具承诺，格式自拟）；</w:t>
            </w:r>
          </w:p>
          <w:p>
            <w:pPr>
              <w:spacing w:line="360" w:lineRule="auto"/>
              <w:rPr>
                <w:rFonts w:hint="eastAsia" w:ascii="宋体" w:hAnsi="宋体"/>
                <w:color w:val="auto"/>
                <w:szCs w:val="21"/>
                <w:highlight w:val="none"/>
              </w:rPr>
            </w:pPr>
            <w:r>
              <w:rPr>
                <w:rFonts w:hint="eastAsia" w:ascii="宋体" w:hAnsi="宋体"/>
                <w:color w:val="auto"/>
                <w:szCs w:val="21"/>
                <w:highlight w:val="none"/>
              </w:rPr>
              <w:t>（2）投标人企业被列入失信被执行人名单的及企业法定代表人、拟派项目经理、设计负责人被列入失信被执行人均拒绝参与本项目招标投标活动（提供在“信用中国”网站企业“失信被执行人”查询结果；企业法定代表人、拟派项目经理、设计负责人的“失信被执行人”查询结果，自然人查询须填写姓名及身份号）；查询时间自招标公告发布日期之后，查询结果应显示查询时间并加盖投标人公章；</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其他要求：</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（1）投标人须提供无行贿犯罪承诺书，内容应包含企业、法定代表人、拟派项目经理、设计负责人（由投标人出具承诺，格式自拟）；</w:t>
            </w:r>
          </w:p>
          <w:p>
            <w:pPr>
              <w:spacing w:line="360" w:lineRule="auto"/>
              <w:rPr>
                <w:rFonts w:hint="eastAsia" w:ascii="宋体" w:hAnsi="宋体"/>
                <w:color w:val="auto"/>
                <w:szCs w:val="21"/>
                <w:highlight w:val="none"/>
              </w:rPr>
            </w:pPr>
            <w:r>
              <w:rPr>
                <w:rFonts w:hint="eastAsia" w:ascii="宋体" w:hAnsi="宋体"/>
                <w:color w:val="auto"/>
                <w:szCs w:val="21"/>
                <w:highlight w:val="none"/>
              </w:rPr>
              <w:t>（2）单位负责人为同一人或者存在控股、管理关系的不同单位，不得同时参加本项目的投标（提供加盖投标人公章的“国家企业信用信息公示系统”中公示的公司信息、股东或投资人信息）；</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参与投标竞争的单位，须承诺遵守《保障农民工工资支付条例》，且未被列入拖欠农民工工资黑名单，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由投标人对上述出具承诺，格式自拟）；</w:t>
            </w:r>
          </w:p>
          <w:p>
            <w:pPr>
              <w:spacing w:line="360" w:lineRule="auto"/>
              <w:rPr>
                <w:rFonts w:ascii="宋体" w:hAnsi="宋体"/>
                <w:b/>
                <w:bCs/>
                <w:color w:val="auto"/>
                <w:szCs w:val="21"/>
                <w:highlight w:val="none"/>
              </w:rPr>
            </w:pPr>
            <w:r>
              <w:rPr>
                <w:rFonts w:hint="eastAsia" w:ascii="宋体" w:hAnsi="宋体"/>
                <w:b/>
                <w:bCs/>
                <w:color w:val="auto"/>
                <w:szCs w:val="21"/>
                <w:highlight w:val="none"/>
              </w:rPr>
              <w:t>注：由于本项目为不见面开标，投标人无需到开标现场参与投标签到，无需递交任何纸质资料或证明，无需交纳原件（投标文件中应附清晰的扫描件，由于模糊不清导致评标委员会无法辨别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1.4.2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是否接受联合体投标</w:t>
            </w:r>
          </w:p>
        </w:tc>
        <w:tc>
          <w:tcPr>
            <w:tcW w:w="6945" w:type="dxa"/>
            <w:gridSpan w:val="2"/>
            <w:shd w:val="clear" w:color="auto" w:fill="auto"/>
            <w:vAlign w:val="center"/>
          </w:tcPr>
          <w:p>
            <w:pPr>
              <w:pStyle w:val="17"/>
              <w:topLinePunct/>
              <w:spacing w:line="360" w:lineRule="auto"/>
              <w:rPr>
                <w:rFonts w:hAnsi="宋体" w:cs="宋体"/>
                <w:color w:val="auto"/>
                <w:kern w:val="0"/>
                <w:sz w:val="21"/>
                <w:szCs w:val="21"/>
                <w:highlight w:val="none"/>
              </w:rPr>
            </w:pPr>
            <w:r>
              <w:rPr>
                <w:rFonts w:hint="eastAsia" w:hAnsi="宋体"/>
                <w:b/>
                <w:bCs/>
                <w:color w:val="auto"/>
                <w:sz w:val="21"/>
                <w:szCs w:val="21"/>
                <w:highlight w:val="none"/>
              </w:rPr>
              <w:t>本次招标接受联合体投标。</w:t>
            </w:r>
            <w:r>
              <w:rPr>
                <w:rFonts w:hint="eastAsia" w:hAnsi="宋体"/>
                <w:color w:val="auto"/>
                <w:sz w:val="21"/>
                <w:szCs w:val="21"/>
                <w:highlight w:val="none"/>
              </w:rPr>
              <w:t>1）联合体成员不超过2家；2）联合体各方应签订联合体协议书明确各方权利义务；3）联合体各成员法定代表人应当出具授权委托书，授权委托同一人作为代理人，办理投标事宜，授权委托书由联合体各成员法定代表人共同签署并加盖各自单位公章，联合体中各方不得再以自己名义单独或参加其他联合体在同一合同段中投标；4）联合体中有同类资质的投标人按照联合体分工承担相同工作的，应当按照资质等级较低的投标人确定资质等级；5）联合体牵头人须是负责本项目的施工企业。牵头人的法定代表人或其授权的委托代理人负责签署本次招标活动的相关资料，需要盖章的由牵头人盖单位公章，联合体各方必须签订联合体协议对此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费用承担和设计成果补偿</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踏勘</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1.10.1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投标预备会</w:t>
            </w:r>
          </w:p>
        </w:tc>
        <w:tc>
          <w:tcPr>
            <w:tcW w:w="6945" w:type="dxa"/>
            <w:gridSpan w:val="2"/>
            <w:shd w:val="clear" w:color="auto" w:fill="auto"/>
            <w:vAlign w:val="center"/>
          </w:tcPr>
          <w:p>
            <w:pPr>
              <w:pStyle w:val="17"/>
              <w:topLinePunct/>
              <w:spacing w:line="360" w:lineRule="auto"/>
              <w:rPr>
                <w:rFonts w:hAnsi="宋体"/>
                <w:color w:val="auto"/>
                <w:sz w:val="21"/>
                <w:szCs w:val="21"/>
                <w:highlight w:val="none"/>
              </w:rPr>
            </w:pPr>
            <w:r>
              <w:rPr>
                <w:rFonts w:hint="eastAsia" w:hAnsi="宋体"/>
                <w:color w:val="auto"/>
                <w:sz w:val="21"/>
                <w:szCs w:val="21"/>
                <w:highlight w:val="none"/>
              </w:rPr>
              <w:t>不</w:t>
            </w:r>
            <w:r>
              <w:rPr>
                <w:rFonts w:hAnsi="宋体"/>
                <w:color w:val="auto"/>
                <w:sz w:val="21"/>
                <w:szCs w:val="21"/>
                <w:highlight w:val="none"/>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1.10.2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投标人提</w:t>
            </w:r>
          </w:p>
          <w:p>
            <w:pPr>
              <w:spacing w:line="360" w:lineRule="auto"/>
              <w:jc w:val="center"/>
              <w:rPr>
                <w:rFonts w:ascii="宋体" w:hAnsi="宋体"/>
                <w:color w:val="auto"/>
                <w:szCs w:val="21"/>
                <w:highlight w:val="none"/>
              </w:rPr>
            </w:pPr>
            <w:r>
              <w:rPr>
                <w:rFonts w:ascii="宋体" w:hAnsi="宋体"/>
                <w:color w:val="auto"/>
                <w:szCs w:val="21"/>
                <w:highlight w:val="none"/>
              </w:rPr>
              <w:t>出问题的</w:t>
            </w:r>
          </w:p>
          <w:p>
            <w:pPr>
              <w:spacing w:line="360" w:lineRule="auto"/>
              <w:jc w:val="center"/>
              <w:rPr>
                <w:rFonts w:ascii="宋体" w:hAnsi="宋体"/>
                <w:color w:val="auto"/>
                <w:szCs w:val="21"/>
                <w:highlight w:val="none"/>
              </w:rPr>
            </w:pPr>
            <w:r>
              <w:rPr>
                <w:rFonts w:ascii="宋体" w:hAnsi="宋体"/>
                <w:color w:val="auto"/>
                <w:szCs w:val="21"/>
                <w:highlight w:val="none"/>
              </w:rPr>
              <w:t>截止时间</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投标人应在投标截止日</w:t>
            </w:r>
            <w:r>
              <w:rPr>
                <w:rFonts w:hint="eastAsia" w:ascii="宋体" w:hAnsi="宋体"/>
                <w:color w:val="auto"/>
                <w:szCs w:val="21"/>
                <w:highlight w:val="none"/>
                <w:u w:val="single"/>
              </w:rPr>
              <w:t>1</w:t>
            </w:r>
            <w:r>
              <w:rPr>
                <w:rFonts w:ascii="宋体" w:hAnsi="宋体"/>
                <w:color w:val="auto"/>
                <w:szCs w:val="21"/>
                <w:highlight w:val="none"/>
                <w:u w:val="single"/>
              </w:rPr>
              <w:t>0</w:t>
            </w:r>
            <w:r>
              <w:rPr>
                <w:rFonts w:hint="eastAsia" w:ascii="宋体" w:hAnsi="宋体"/>
                <w:color w:val="auto"/>
                <w:szCs w:val="21"/>
                <w:highlight w:val="none"/>
              </w:rPr>
              <w:t>日前</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1.10.3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招标人书</w:t>
            </w:r>
          </w:p>
          <w:p>
            <w:pPr>
              <w:spacing w:line="360" w:lineRule="auto"/>
              <w:jc w:val="center"/>
              <w:rPr>
                <w:rFonts w:ascii="宋体" w:hAnsi="宋体"/>
                <w:color w:val="auto"/>
                <w:szCs w:val="21"/>
                <w:highlight w:val="none"/>
              </w:rPr>
            </w:pPr>
            <w:r>
              <w:rPr>
                <w:rFonts w:ascii="宋体" w:hAnsi="宋体"/>
                <w:color w:val="auto"/>
                <w:szCs w:val="21"/>
                <w:highlight w:val="none"/>
              </w:rPr>
              <w:t>面澄清的</w:t>
            </w:r>
          </w:p>
          <w:p>
            <w:pPr>
              <w:spacing w:line="360" w:lineRule="auto"/>
              <w:jc w:val="center"/>
              <w:rPr>
                <w:rFonts w:ascii="宋体" w:hAnsi="宋体"/>
                <w:color w:val="auto"/>
                <w:szCs w:val="21"/>
                <w:highlight w:val="none"/>
              </w:rPr>
            </w:pPr>
            <w:r>
              <w:rPr>
                <w:rFonts w:ascii="宋体" w:hAnsi="宋体"/>
                <w:color w:val="auto"/>
                <w:szCs w:val="21"/>
                <w:highlight w:val="none"/>
              </w:rPr>
              <w:t>时间</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投标截止之日</w:t>
            </w:r>
            <w:r>
              <w:rPr>
                <w:rFonts w:hint="eastAsia" w:ascii="宋体" w:hAnsi="宋体"/>
                <w:color w:val="auto"/>
                <w:szCs w:val="21"/>
                <w:highlight w:val="none"/>
                <w:u w:val="single"/>
              </w:rPr>
              <w:t>15</w:t>
            </w:r>
            <w:r>
              <w:rPr>
                <w:rFonts w:hint="eastAsia" w:ascii="宋体" w:hAnsi="宋体"/>
                <w:color w:val="auto"/>
                <w:szCs w:val="21"/>
                <w:highlight w:val="none"/>
              </w:rPr>
              <w:t>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投标人拟</w:t>
            </w:r>
            <w:r>
              <w:rPr>
                <w:rFonts w:ascii="宋体" w:hAnsi="宋体"/>
                <w:color w:val="auto"/>
                <w:szCs w:val="21"/>
                <w:highlight w:val="none"/>
              </w:rPr>
              <w:t>分包</w:t>
            </w:r>
            <w:r>
              <w:rPr>
                <w:rFonts w:hint="eastAsia" w:ascii="宋体" w:hAnsi="宋体"/>
                <w:color w:val="auto"/>
                <w:szCs w:val="21"/>
                <w:highlight w:val="none"/>
              </w:rPr>
              <w:t>的工作</w:t>
            </w:r>
          </w:p>
        </w:tc>
        <w:tc>
          <w:tcPr>
            <w:tcW w:w="6945" w:type="dxa"/>
            <w:gridSpan w:val="2"/>
            <w:shd w:val="clear" w:color="auto" w:fill="auto"/>
            <w:vAlign w:val="center"/>
          </w:tcPr>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允许，</w:t>
            </w:r>
            <w:r>
              <w:rPr>
                <w:rFonts w:ascii="宋体" w:hAnsi="宋体"/>
                <w:color w:val="auto"/>
                <w:szCs w:val="21"/>
                <w:highlight w:val="none"/>
              </w:rPr>
              <w:t>分包内容</w:t>
            </w:r>
            <w:r>
              <w:rPr>
                <w:rFonts w:hint="eastAsia" w:ascii="宋体" w:hAnsi="宋体"/>
                <w:color w:val="auto"/>
                <w:szCs w:val="21"/>
                <w:highlight w:val="none"/>
              </w:rPr>
              <w:t>要求</w:t>
            </w:r>
            <w:r>
              <w:rPr>
                <w:rFonts w:ascii="宋体" w:hAnsi="宋体"/>
                <w:color w:val="auto"/>
                <w:szCs w:val="21"/>
                <w:highlight w:val="none"/>
              </w:rPr>
              <w:t>：</w:t>
            </w:r>
          </w:p>
          <w:p>
            <w:pPr>
              <w:numPr>
                <w:ilvl w:val="0"/>
                <w:numId w:val="11"/>
              </w:numPr>
              <w:adjustRightInd w:val="0"/>
              <w:snapToGrid w:val="0"/>
              <w:spacing w:line="360" w:lineRule="auto"/>
              <w:ind w:left="30" w:firstLine="390"/>
              <w:rPr>
                <w:rFonts w:ascii="宋体" w:hAnsi="宋体"/>
                <w:color w:val="auto"/>
                <w:szCs w:val="21"/>
                <w:highlight w:val="none"/>
                <w:u w:val="single"/>
              </w:rPr>
            </w:pPr>
            <w:r>
              <w:rPr>
                <w:rFonts w:hint="eastAsia" w:ascii="宋体" w:hAnsi="宋体"/>
                <w:color w:val="auto"/>
                <w:szCs w:val="21"/>
                <w:highlight w:val="none"/>
                <w:u w:val="single"/>
              </w:rPr>
              <w:t>分包单位的选择需经发包人的认可或同意，未经发包人认可或同意的，发包人有权对分包工程单独发包。</w:t>
            </w:r>
          </w:p>
          <w:p>
            <w:pPr>
              <w:numPr>
                <w:ilvl w:val="0"/>
                <w:numId w:val="11"/>
              </w:numPr>
              <w:adjustRightInd w:val="0"/>
              <w:snapToGrid w:val="0"/>
              <w:spacing w:line="360" w:lineRule="auto"/>
              <w:ind w:left="30" w:firstLine="390"/>
              <w:rPr>
                <w:rFonts w:ascii="宋体" w:hAnsi="宋体"/>
                <w:color w:val="auto"/>
                <w:szCs w:val="21"/>
                <w:highlight w:val="none"/>
                <w:u w:val="single"/>
              </w:rPr>
            </w:pPr>
            <w:r>
              <w:rPr>
                <w:rFonts w:hint="eastAsia" w:ascii="宋体" w:hAnsi="宋体"/>
                <w:color w:val="auto"/>
                <w:szCs w:val="21"/>
                <w:highlight w:val="none"/>
                <w:u w:val="single"/>
              </w:rPr>
              <w:t>不得将主体结构等其他法律法规规定的不得分包的施工业务分包给其他单位。</w:t>
            </w:r>
          </w:p>
          <w:p>
            <w:pPr>
              <w:numPr>
                <w:ilvl w:val="0"/>
                <w:numId w:val="11"/>
              </w:numPr>
              <w:adjustRightInd w:val="0"/>
              <w:snapToGrid w:val="0"/>
              <w:spacing w:line="360" w:lineRule="auto"/>
              <w:ind w:left="30" w:firstLine="390"/>
              <w:rPr>
                <w:rFonts w:ascii="宋体" w:hAnsi="宋体"/>
                <w:color w:val="auto"/>
                <w:szCs w:val="21"/>
                <w:highlight w:val="none"/>
                <w:u w:val="single"/>
              </w:rPr>
            </w:pPr>
            <w:r>
              <w:rPr>
                <w:rFonts w:hint="eastAsia" w:ascii="宋体" w:hAnsi="宋体"/>
                <w:color w:val="auto"/>
                <w:szCs w:val="21"/>
                <w:highlight w:val="none"/>
                <w:u w:val="single"/>
              </w:rPr>
              <w:t>分包人应当具备相应的资格条件，并不得再次分包。中标人应当就分包项目向招标人负责，分包人就分包项目与总承包单位共同向招标人承担连带责任。</w:t>
            </w:r>
          </w:p>
          <w:p>
            <w:pPr>
              <w:numPr>
                <w:ilvl w:val="0"/>
                <w:numId w:val="11"/>
              </w:numPr>
              <w:adjustRightInd w:val="0"/>
              <w:snapToGrid w:val="0"/>
              <w:spacing w:line="360" w:lineRule="auto"/>
              <w:ind w:left="30" w:firstLine="390"/>
              <w:rPr>
                <w:rFonts w:ascii="宋体" w:hAnsi="宋体"/>
                <w:color w:val="auto"/>
                <w:szCs w:val="21"/>
                <w:highlight w:val="none"/>
                <w:u w:val="single"/>
              </w:rPr>
            </w:pPr>
            <w:r>
              <w:rPr>
                <w:rFonts w:hint="eastAsia" w:ascii="宋体" w:hAnsi="宋体"/>
                <w:color w:val="auto"/>
                <w:szCs w:val="21"/>
                <w:highlight w:val="none"/>
                <w:u w:val="single"/>
              </w:rPr>
              <w:t>承包人应将专业分包工程的进度、资料纳入承包人统一管理。承包人应明确专业分包工程的完工时间并提交给各专业分包单位进行工期安排（需经承包方、分包方等各方共同认可，并报发包方备案），并按时为分包单位提供工作面。承包人应在分包单位提交工程资料后15天内审核、盖章完毕，承包人应做好各分包单位技术上、交叉施工中的管理和配合协调工作。若因承包人违规分包而造成的后果由承包人全权承担。</w:t>
            </w:r>
          </w:p>
          <w:p>
            <w:pPr>
              <w:numPr>
                <w:ilvl w:val="0"/>
                <w:numId w:val="11"/>
              </w:numPr>
              <w:adjustRightInd w:val="0"/>
              <w:snapToGrid w:val="0"/>
              <w:spacing w:line="360" w:lineRule="auto"/>
              <w:ind w:left="30" w:firstLine="390"/>
              <w:rPr>
                <w:rFonts w:ascii="宋体" w:hAnsi="宋体"/>
                <w:color w:val="auto"/>
                <w:szCs w:val="21"/>
                <w:highlight w:val="none"/>
                <w:u w:val="single"/>
              </w:rPr>
            </w:pPr>
            <w:r>
              <w:rPr>
                <w:rFonts w:hint="eastAsia" w:ascii="宋体" w:hAnsi="宋体"/>
                <w:color w:val="auto"/>
                <w:szCs w:val="21"/>
                <w:highlight w:val="none"/>
                <w:u w:val="single"/>
              </w:rPr>
              <w:t>设计或者专业工程的分包，招标人将视具体情况确定是否与承包人和分包人签订三方合同。</w:t>
            </w:r>
          </w:p>
          <w:p>
            <w:pPr>
              <w:spacing w:line="360" w:lineRule="auto"/>
              <w:rPr>
                <w:rFonts w:ascii="宋体" w:hAnsi="宋体"/>
                <w:color w:val="auto"/>
                <w:szCs w:val="21"/>
                <w:highlight w:val="none"/>
              </w:rPr>
            </w:pPr>
            <w:r>
              <w:rPr>
                <w:rFonts w:ascii="宋体" w:hAnsi="宋体"/>
                <w:color w:val="auto"/>
                <w:szCs w:val="21"/>
                <w:highlight w:val="none"/>
              </w:rPr>
              <w:t>分包金额</w:t>
            </w:r>
            <w:r>
              <w:rPr>
                <w:rFonts w:hint="eastAsia" w:ascii="宋体" w:hAnsi="宋体"/>
                <w:color w:val="auto"/>
                <w:szCs w:val="21"/>
                <w:highlight w:val="none"/>
              </w:rPr>
              <w:t>要求</w:t>
            </w:r>
            <w:r>
              <w:rPr>
                <w:rFonts w:ascii="宋体" w:hAnsi="宋体"/>
                <w:color w:val="auto"/>
                <w:szCs w:val="21"/>
                <w:highlight w:val="none"/>
              </w:rPr>
              <w:t>：</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对分包人的资质要求：</w:t>
            </w:r>
            <w:r>
              <w:rPr>
                <w:rFonts w:hint="eastAsia" w:ascii="宋体" w:hAnsi="宋体"/>
                <w:color w:val="auto"/>
                <w:szCs w:val="21"/>
                <w:highlight w:val="none"/>
                <w:u w:val="single"/>
              </w:rPr>
              <w:t xml:space="preserve"> 符合国家及省、市相关规定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1.12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w:t>
            </w:r>
          </w:p>
        </w:tc>
        <w:tc>
          <w:tcPr>
            <w:tcW w:w="6945" w:type="dxa"/>
            <w:gridSpan w:val="2"/>
            <w:shd w:val="clear" w:color="auto" w:fill="auto"/>
            <w:vAlign w:val="center"/>
          </w:tcPr>
          <w:p>
            <w:pPr>
              <w:pStyle w:val="17"/>
              <w:topLinePunct/>
              <w:spacing w:line="360" w:lineRule="auto"/>
              <w:rPr>
                <w:rFonts w:hAnsi="宋体"/>
                <w:color w:val="auto"/>
                <w:sz w:val="21"/>
                <w:szCs w:val="21"/>
                <w:highlight w:val="none"/>
              </w:rPr>
            </w:pPr>
            <w:r>
              <w:rPr>
                <w:rFonts w:hint="eastAsia" w:hAnsi="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构成招标文件的</w:t>
            </w:r>
          </w:p>
          <w:p>
            <w:pPr>
              <w:spacing w:line="360" w:lineRule="auto"/>
              <w:jc w:val="center"/>
              <w:rPr>
                <w:rFonts w:ascii="宋体" w:hAnsi="宋体"/>
                <w:color w:val="auto"/>
                <w:szCs w:val="21"/>
                <w:highlight w:val="none"/>
              </w:rPr>
            </w:pPr>
            <w:r>
              <w:rPr>
                <w:rFonts w:ascii="宋体" w:hAnsi="宋体"/>
                <w:color w:val="auto"/>
                <w:szCs w:val="21"/>
                <w:highlight w:val="none"/>
              </w:rPr>
              <w:t>其他</w:t>
            </w:r>
            <w:r>
              <w:rPr>
                <w:rFonts w:hint="eastAsia" w:ascii="宋体" w:hAnsi="宋体"/>
                <w:color w:val="auto"/>
                <w:szCs w:val="21"/>
                <w:highlight w:val="none"/>
              </w:rPr>
              <w:t>资</w:t>
            </w:r>
            <w:r>
              <w:rPr>
                <w:rFonts w:ascii="宋体" w:hAnsi="宋体"/>
                <w:color w:val="auto"/>
                <w:szCs w:val="21"/>
                <w:highlight w:val="none"/>
              </w:rPr>
              <w:t>料</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补充文件及答疑文件等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2.2.1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投标人要求澄清招标文件的截止时间</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hint="eastAsia" w:ascii="宋体" w:hAnsi="宋体" w:cs="宋体"/>
                <w:color w:val="auto"/>
                <w:szCs w:val="21"/>
                <w:highlight w:val="none"/>
              </w:rPr>
              <w:t>投标人应在投标截止日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日前，投标人应将要求澄清的疑问以扫描件及word电子版上传至焦作市公共资源电子招投标交易平台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2.2.2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投标截止时间</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u w:val="single"/>
              </w:rPr>
              <w:t>202</w:t>
            </w:r>
            <w:r>
              <w:rPr>
                <w:rFonts w:ascii="宋体" w:hAnsi="宋体"/>
                <w:color w:val="auto"/>
                <w:szCs w:val="21"/>
                <w:highlight w:val="none"/>
                <w:u w:val="single"/>
              </w:rPr>
              <w:t>3</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04</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9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00 </w:t>
            </w:r>
            <w:r>
              <w:rPr>
                <w:rFonts w:hint="eastAsia" w:ascii="宋体" w:hAnsi="宋体"/>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2.2.3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投标人确认收到招标文件澄清的时间</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在“焦作市公共资源电子招投标交易平台”发布，投标人自行下载，无需确认。招标文件澄清一经发出即视为投标人已确认收到，投标人应注意在投标截止时间前，每日浏览发布招标公告的平台主体系统内发布的澄清通知并自行下载，因投标人原因未及时获知澄清、修改内容而导致的任何风险或后果，概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2.3.2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投标人确认收到招标文件修改的时间</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在“焦作市公共资源电子招投标交易平台”发布，投标人自行下载，无需确认。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构成投标</w:t>
            </w:r>
          </w:p>
          <w:p>
            <w:pPr>
              <w:spacing w:line="360" w:lineRule="auto"/>
              <w:jc w:val="center"/>
              <w:rPr>
                <w:rFonts w:ascii="宋体" w:hAnsi="宋体"/>
                <w:color w:val="auto"/>
                <w:szCs w:val="21"/>
                <w:highlight w:val="none"/>
              </w:rPr>
            </w:pPr>
            <w:r>
              <w:rPr>
                <w:rFonts w:ascii="宋体" w:hAnsi="宋体"/>
                <w:color w:val="auto"/>
                <w:szCs w:val="21"/>
                <w:highlight w:val="none"/>
              </w:rPr>
              <w:t>文件的其</w:t>
            </w:r>
          </w:p>
          <w:p>
            <w:pPr>
              <w:spacing w:line="360" w:lineRule="auto"/>
              <w:jc w:val="center"/>
              <w:rPr>
                <w:rFonts w:ascii="宋体" w:hAnsi="宋体"/>
                <w:color w:val="auto"/>
                <w:szCs w:val="21"/>
                <w:highlight w:val="none"/>
              </w:rPr>
            </w:pPr>
            <w:r>
              <w:rPr>
                <w:rFonts w:ascii="宋体" w:hAnsi="宋体"/>
                <w:color w:val="auto"/>
                <w:szCs w:val="21"/>
                <w:highlight w:val="none"/>
              </w:rPr>
              <w:t>他</w:t>
            </w:r>
            <w:r>
              <w:rPr>
                <w:rFonts w:hint="eastAsia" w:ascii="宋体" w:hAnsi="宋体"/>
                <w:color w:val="auto"/>
                <w:szCs w:val="21"/>
                <w:highlight w:val="none"/>
              </w:rPr>
              <w:t>资</w:t>
            </w:r>
            <w:r>
              <w:rPr>
                <w:rFonts w:ascii="宋体" w:hAnsi="宋体"/>
                <w:color w:val="auto"/>
                <w:szCs w:val="21"/>
                <w:highlight w:val="none"/>
              </w:rPr>
              <w:t>料</w:t>
            </w:r>
          </w:p>
        </w:tc>
        <w:tc>
          <w:tcPr>
            <w:tcW w:w="6945" w:type="dxa"/>
            <w:gridSpan w:val="2"/>
            <w:shd w:val="clear" w:color="auto" w:fill="auto"/>
            <w:vAlign w:val="center"/>
          </w:tcPr>
          <w:p>
            <w:pPr>
              <w:spacing w:line="360" w:lineRule="auto"/>
              <w:jc w:val="left"/>
              <w:rPr>
                <w:rFonts w:hint="eastAsia" w:ascii="宋体" w:hAnsi="宋体"/>
                <w:color w:val="auto"/>
                <w:szCs w:val="21"/>
                <w:highlight w:val="none"/>
              </w:rPr>
            </w:pPr>
            <w:r>
              <w:rPr>
                <w:rFonts w:hint="eastAsia" w:ascii="宋体" w:hAnsi="宋体"/>
                <w:color w:val="auto"/>
                <w:szCs w:val="21"/>
                <w:highlight w:val="none"/>
              </w:rPr>
              <w:t>1、投标保证金交付证明或保函证明，作为其投标文件的组成部分。</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2、不拖欠农民工工资承诺，施工企业在竞标时必须承诺中标后能够按要求，及时、足额提交农民工工资保障金。</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3、施工企业在竞标时必须在标书中承诺：一旦其承建的工程项目中出现拖欠农民工工资情况的，可由建设行政主管部门从工资保障金中先予划支。</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4、有扬尘、噪声污染等防治内容和责任承诺。</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5、认真执行《河南省建筑工程安全文明标准化示范工地管理办法》豫建质安【2020】93号通知，做好文明施工、争创安全文明标准化示范工地。</w:t>
            </w:r>
          </w:p>
          <w:p>
            <w:pPr>
              <w:spacing w:line="360" w:lineRule="auto"/>
              <w:jc w:val="left"/>
              <w:rPr>
                <w:rFonts w:ascii="宋体" w:hAnsi="宋体"/>
                <w:color w:val="auto"/>
                <w:szCs w:val="21"/>
                <w:highlight w:val="none"/>
              </w:rPr>
            </w:pPr>
            <w:r>
              <w:rPr>
                <w:rFonts w:hint="eastAsia" w:ascii="宋体" w:hAnsi="宋体"/>
                <w:color w:val="auto"/>
                <w:szCs w:val="21"/>
                <w:highlight w:val="none"/>
              </w:rPr>
              <w:t>6、承诺不挂靠资质承包工程、不围标串标承接工程，一旦发生，招标人可以中止中标资格。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投标报价说明</w:t>
            </w:r>
          </w:p>
        </w:tc>
        <w:tc>
          <w:tcPr>
            <w:tcW w:w="6945" w:type="dxa"/>
            <w:gridSpan w:val="2"/>
            <w:shd w:val="clear" w:color="auto" w:fill="auto"/>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1、投标人应按照招标文件、招标文件澄清(答疑)纪要、招标文件修改补充通知等确定投标报价。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2、投标人应根据工程项目概况、现场情况、投标企业自身情况自主确定投标报价。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3、采用招标控制费率报价。</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4、最高投标限价是招标人控制招标工程造价的最高限价。有效报价是指不超过最高投标限价的报价。投标报价费率不得超过本项目中最高投标限价，否则按废标处理。</w:t>
            </w:r>
          </w:p>
          <w:p>
            <w:pPr>
              <w:pStyle w:val="22"/>
              <w:spacing w:line="360" w:lineRule="auto"/>
              <w:rPr>
                <w:rFonts w:hAnsi="宋体" w:eastAsia="宋体" w:cs="宋体"/>
                <w:color w:val="auto"/>
                <w:szCs w:val="21"/>
                <w:highlight w:val="none"/>
              </w:rPr>
            </w:pPr>
            <w:r>
              <w:rPr>
                <w:rFonts w:hint="eastAsia" w:hAnsi="宋体" w:eastAsia="宋体" w:cs="宋体"/>
                <w:color w:val="auto"/>
                <w:szCs w:val="21"/>
                <w:highlight w:val="none"/>
                <w:lang w:val="en-US" w:eastAsia="zh-CN"/>
              </w:rPr>
              <w:t>5</w:t>
            </w:r>
            <w:r>
              <w:rPr>
                <w:rFonts w:hint="eastAsia" w:hAnsi="宋体" w:eastAsia="宋体" w:cs="宋体"/>
                <w:color w:val="auto"/>
                <w:szCs w:val="21"/>
                <w:highlight w:val="none"/>
              </w:rPr>
              <w:t>、工程费报价依据中标人完成的满足招标人需求并经审核通过的图纸，中标人在约定的工期及其他合同条款的条件下，最终完成合同约定范围内所有项目所发生的全部费用的投标费率（含各项检测、监测等费用）【工程</w:t>
            </w:r>
            <w:r>
              <w:rPr>
                <w:rFonts w:hint="eastAsia" w:hAnsi="宋体" w:eastAsia="宋体" w:cs="宋体"/>
                <w:color w:val="auto"/>
                <w:szCs w:val="21"/>
                <w:highlight w:val="none"/>
                <w:lang w:eastAsia="zh-Hans"/>
              </w:rPr>
              <w:t>费</w:t>
            </w:r>
            <w:r>
              <w:rPr>
                <w:rFonts w:hint="eastAsia" w:hAnsi="宋体" w:eastAsia="宋体" w:cs="宋体"/>
                <w:color w:val="auto"/>
                <w:szCs w:val="21"/>
                <w:highlight w:val="none"/>
              </w:rPr>
              <w:t>结算价＝</w:t>
            </w:r>
            <w:r>
              <w:rPr>
                <w:rFonts w:hint="eastAsia" w:hAnsi="宋体" w:eastAsia="宋体" w:cs="宋体"/>
                <w:color w:val="auto"/>
                <w:szCs w:val="21"/>
                <w:highlight w:val="none"/>
                <w:lang w:eastAsia="zh-CN"/>
              </w:rPr>
              <w:t>博爱</w:t>
            </w:r>
            <w:r>
              <w:rPr>
                <w:rFonts w:hint="eastAsia" w:hAnsi="宋体" w:eastAsia="宋体" w:cs="宋体"/>
                <w:color w:val="auto"/>
                <w:szCs w:val="21"/>
                <w:highlight w:val="none"/>
              </w:rPr>
              <w:t>县财政局评审中心或第三方审计单位审计总承包工程费×中标工程费率（安全文明施工费、规费、税金不参与优惠）】。</w:t>
            </w:r>
          </w:p>
          <w:p>
            <w:pPr>
              <w:pStyle w:val="22"/>
              <w:spacing w:line="360" w:lineRule="auto"/>
              <w:rPr>
                <w:color w:val="auto"/>
                <w:highlight w:val="none"/>
              </w:rPr>
            </w:pPr>
            <w:r>
              <w:rPr>
                <w:rFonts w:hint="eastAsia" w:hAnsi="宋体" w:eastAsia="宋体" w:cs="宋体"/>
                <w:color w:val="auto"/>
                <w:szCs w:val="21"/>
                <w:highlight w:val="none"/>
                <w:lang w:eastAsia="zh-Hans"/>
              </w:rPr>
              <w:t>工程费</w:t>
            </w:r>
            <w:r>
              <w:rPr>
                <w:rFonts w:hint="eastAsia" w:hAnsi="宋体" w:eastAsia="宋体" w:cs="宋体"/>
                <w:color w:val="auto"/>
                <w:szCs w:val="21"/>
                <w:highlight w:val="none"/>
              </w:rPr>
              <w:t>结算执行《建设工程工程量清单计价规范》（2013版）、《河南省房屋建筑与装饰工程预算定额》（HA</w:t>
            </w:r>
            <w:r>
              <w:rPr>
                <w:rFonts w:hAnsi="宋体" w:eastAsia="宋体" w:cs="宋体"/>
                <w:color w:val="auto"/>
                <w:szCs w:val="21"/>
                <w:highlight w:val="none"/>
              </w:rPr>
              <w:t>01</w:t>
            </w:r>
            <w:r>
              <w:rPr>
                <w:rFonts w:hint="eastAsia" w:hAnsi="宋体" w:eastAsia="宋体" w:cs="宋体"/>
                <w:color w:val="auto"/>
                <w:szCs w:val="21"/>
                <w:highlight w:val="none"/>
              </w:rPr>
              <w:t>-31-2016）、《河南省通用安装工程预算定额》（HA02-31-2016）；绿化工程图纸设计范围内执行《河南省建设工程工程量清单综合单价》(2008)及相关配套文件、定额解释；国家、省、市建设行政主管部门颁发的有关计量计费依据和规定；材料价格按照施工期地方的材料信息价确定，信息价中都没有的材料价格由发包人、承包人及监理人通过市场调查共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3.2.5</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最高投标限价（招标控制费率）</w:t>
            </w:r>
          </w:p>
        </w:tc>
        <w:tc>
          <w:tcPr>
            <w:tcW w:w="6945" w:type="dxa"/>
            <w:gridSpan w:val="2"/>
            <w:shd w:val="clear" w:color="auto" w:fill="auto"/>
            <w:vAlign w:val="center"/>
          </w:tcPr>
          <w:p>
            <w:pPr>
              <w:spacing w:line="360" w:lineRule="auto"/>
              <w:jc w:val="left"/>
              <w:rPr>
                <w:rFonts w:ascii="宋体" w:hAnsi="宋体"/>
                <w:color w:val="auto"/>
                <w:szCs w:val="21"/>
                <w:highlight w:val="none"/>
              </w:rPr>
            </w:pPr>
            <w:r>
              <w:rPr>
                <w:rFonts w:ascii="宋体" w:hAnsi="宋体"/>
                <w:color w:val="auto"/>
                <w:szCs w:val="21"/>
                <w:highlight w:val="none"/>
              </w:rPr>
              <w:t xml:space="preserve"> 招标控制费率为100%</w:t>
            </w:r>
            <w:r>
              <w:rPr>
                <w:rFonts w:hint="eastAsia" w:ascii="宋体" w:hAnsi="宋体"/>
                <w:color w:val="auto"/>
                <w:szCs w:val="21"/>
                <w:highlight w:val="none"/>
              </w:rPr>
              <w:t>。本工程</w:t>
            </w:r>
            <w:r>
              <w:rPr>
                <w:rFonts w:ascii="宋体" w:hAnsi="宋体"/>
                <w:color w:val="auto"/>
                <w:szCs w:val="21"/>
                <w:highlight w:val="none"/>
              </w:rPr>
              <w:t>招标控制</w:t>
            </w:r>
            <w:r>
              <w:rPr>
                <w:rFonts w:hint="eastAsia" w:ascii="宋体" w:hAnsi="宋体"/>
                <w:color w:val="auto"/>
                <w:szCs w:val="21"/>
                <w:highlight w:val="none"/>
              </w:rPr>
              <w:t>费率包含与本项目相关的勘察、设计（包含方案设计、初步设计、施工图设计等所有费用）、不可竞争费（不可竞争费=安全文明施工费+规费+税金）、预算编制、材料和设备采购、施工、调试、验收、保修、检测、试运行及配合招标人对手续办理等全过程即交钥匙工程产生的一切费用（监理费除外）。</w:t>
            </w:r>
          </w:p>
          <w:p>
            <w:pPr>
              <w:spacing w:line="360" w:lineRule="auto"/>
              <w:jc w:val="left"/>
              <w:rPr>
                <w:rFonts w:hAnsi="宋体"/>
                <w:color w:val="auto"/>
                <w:szCs w:val="21"/>
                <w:highlight w:val="none"/>
              </w:rPr>
            </w:pPr>
            <w:r>
              <w:rPr>
                <w:rFonts w:hint="eastAsia" w:ascii="宋体" w:hAnsi="宋体"/>
                <w:color w:val="auto"/>
                <w:szCs w:val="21"/>
                <w:highlight w:val="none"/>
              </w:rPr>
              <w:t>注：投标人的投标报价不得高于最高投标限价（招标控制费率），否则投标人的投标文件按否决投标处理。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jc w:val="center"/>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.1</w:t>
            </w:r>
          </w:p>
        </w:tc>
        <w:tc>
          <w:tcPr>
            <w:tcW w:w="1561" w:type="dxa"/>
            <w:gridSpan w:val="2"/>
            <w:shd w:val="clear" w:color="auto" w:fill="auto"/>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945" w:type="dxa"/>
            <w:gridSpan w:val="2"/>
            <w:shd w:val="clear" w:color="auto" w:fill="auto"/>
            <w:vAlign w:val="center"/>
          </w:tcPr>
          <w:p>
            <w:pPr>
              <w:jc w:val="left"/>
              <w:rPr>
                <w:rFonts w:ascii="宋体" w:hAnsi="宋体"/>
                <w:color w:val="auto"/>
                <w:szCs w:val="21"/>
                <w:highlight w:val="none"/>
              </w:rPr>
            </w:pPr>
            <w:r>
              <w:rPr>
                <w:rFonts w:hint="eastAsia" w:ascii="宋体" w:hAnsi="宋体"/>
                <w:color w:val="auto"/>
                <w:szCs w:val="21"/>
                <w:highlight w:val="none"/>
              </w:rPr>
              <w:t>投标截止之日起</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0</w:t>
            </w:r>
            <w:r>
              <w:rPr>
                <w:rFonts w:hint="eastAsia" w:ascii="宋体" w:hAnsi="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3.4.1</w:t>
            </w:r>
          </w:p>
        </w:tc>
        <w:tc>
          <w:tcPr>
            <w:tcW w:w="1561" w:type="dxa"/>
            <w:gridSpan w:val="2"/>
            <w:shd w:val="clear" w:color="auto" w:fill="auto"/>
            <w:vAlign w:val="center"/>
          </w:tcPr>
          <w:p>
            <w:pPr>
              <w:pStyle w:val="22"/>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r>
              <w:rPr>
                <w:rFonts w:hint="eastAsia"/>
                <w:color w:val="auto"/>
                <w:szCs w:val="21"/>
                <w:highlight w:val="none"/>
              </w:rPr>
              <w:t>投标保证金</w:t>
            </w:r>
          </w:p>
        </w:tc>
        <w:tc>
          <w:tcPr>
            <w:tcW w:w="694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是否要求投标人递交投标保证金：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val="en-US" w:eastAsia="zh-CN"/>
              </w:rPr>
              <w:t xml:space="preserve">不要求   </w:t>
            </w:r>
            <w:r>
              <w:rPr>
                <w:rFonts w:hint="eastAsia" w:ascii="宋体" w:hAnsi="宋体" w:eastAsia="宋体" w:cs="宋体"/>
                <w:b/>
                <w:bCs/>
                <w:color w:val="auto"/>
                <w:sz w:val="21"/>
                <w:szCs w:val="21"/>
                <w:highlight w:val="none"/>
                <w:lang w:val="en-US" w:eastAsia="zh-CN"/>
              </w:rPr>
              <w:t>☑ 要求</w:t>
            </w:r>
          </w:p>
          <w:p>
            <w:pPr>
              <w:pStyle w:val="4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投标保证金的形式：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第一类：☑银行转账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第二类：☑银行保函 ☑担保机构担保 ☑保证保险</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b/>
                <w:bCs/>
                <w:color w:val="auto"/>
                <w:highlight w:val="none"/>
              </w:rPr>
            </w:pPr>
            <w:r>
              <w:rPr>
                <w:rFonts w:hint="eastAsia" w:ascii="宋体" w:hAnsi="宋体" w:eastAsia="宋体" w:cs="宋体"/>
                <w:b/>
                <w:bCs/>
                <w:color w:val="auto"/>
                <w:kern w:val="0"/>
                <w:sz w:val="21"/>
                <w:szCs w:val="21"/>
                <w:highlight w:val="none"/>
                <w:lang w:val="en-US" w:eastAsia="zh-CN" w:bidi="ar"/>
              </w:rPr>
              <w:t>第三类：</w:t>
            </w:r>
            <w:r>
              <w:rPr>
                <w:rFonts w:ascii="Segoe UI Symbol" w:hAnsi="Segoe UI Symbol" w:eastAsia="Segoe UI Symbol" w:cs="Segoe UI Symbol"/>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 xml:space="preserve">电子保函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b/>
                <w:bCs/>
                <w:color w:val="auto"/>
                <w:highlight w:val="none"/>
                <w:lang w:val="en-US" w:eastAsia="zh-CN"/>
              </w:rPr>
            </w:pPr>
            <w:r>
              <w:rPr>
                <w:rFonts w:hint="eastAsia" w:ascii="宋体" w:hAnsi="宋体" w:eastAsia="宋体" w:cs="宋体"/>
                <w:b/>
                <w:bCs/>
                <w:color w:val="auto"/>
                <w:kern w:val="0"/>
                <w:sz w:val="21"/>
                <w:szCs w:val="21"/>
                <w:highlight w:val="none"/>
                <w:lang w:val="en-US" w:eastAsia="zh-CN" w:bidi="ar"/>
              </w:rPr>
              <w:t>注：为减轻投标人负担，鼓励优先使用电子保函形式。</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w:t>
            </w:r>
            <w:r>
              <w:rPr>
                <w:rFonts w:hint="eastAsia" w:ascii="宋体" w:hAnsi="宋体" w:eastAsia="宋体" w:cs="宋体"/>
                <w:b w:val="0"/>
                <w:bCs w:val="0"/>
                <w:color w:val="auto"/>
                <w:sz w:val="21"/>
                <w:szCs w:val="21"/>
                <w:highlight w:val="none"/>
                <w:lang w:val="en-US" w:eastAsia="zh-CN"/>
              </w:rPr>
              <w:t>的金额</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人民币</w:t>
            </w:r>
            <w:r>
              <w:rPr>
                <w:rFonts w:hint="eastAsia" w:ascii="宋体" w:hAnsi="宋体" w:cs="宋体"/>
                <w:b/>
                <w:bCs/>
                <w:color w:val="auto"/>
                <w:sz w:val="21"/>
                <w:szCs w:val="21"/>
                <w:highlight w:val="none"/>
                <w:u w:val="single"/>
                <w:lang w:val="en-US" w:eastAsia="zh-CN"/>
              </w:rPr>
              <w:t>800000.00</w:t>
            </w:r>
            <w:r>
              <w:rPr>
                <w:rFonts w:hint="eastAsia" w:ascii="宋体" w:hAnsi="宋体" w:eastAsia="宋体" w:cs="宋体"/>
                <w:b/>
                <w:bCs/>
                <w:color w:val="auto"/>
                <w:sz w:val="21"/>
                <w:szCs w:val="21"/>
                <w:highlight w:val="none"/>
                <w:u w:val="single"/>
              </w:rPr>
              <w:t>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递交要求：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）如采用第一类形式：</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①投标保证金的到账截止时间：</w:t>
            </w:r>
            <w:r>
              <w:rPr>
                <w:rFonts w:hint="eastAsia" w:ascii="宋体" w:hAnsi="Courier New" w:eastAsia="宋体" w:cs="Times New Roman"/>
                <w:b/>
                <w:bCs/>
                <w:color w:val="auto"/>
                <w:sz w:val="21"/>
                <w:szCs w:val="21"/>
                <w:highlight w:val="none"/>
                <w:lang w:val="en-US" w:eastAsia="zh-CN"/>
              </w:rPr>
              <w:t>202</w:t>
            </w:r>
            <w:r>
              <w:rPr>
                <w:rFonts w:hint="eastAsia" w:ascii="宋体" w:hAnsi="Courier New" w:cs="Times New Roman"/>
                <w:b/>
                <w:bCs/>
                <w:color w:val="auto"/>
                <w:sz w:val="21"/>
                <w:szCs w:val="21"/>
                <w:highlight w:val="none"/>
                <w:lang w:val="en-US" w:eastAsia="zh-CN"/>
              </w:rPr>
              <w:t>3</w:t>
            </w:r>
            <w:r>
              <w:rPr>
                <w:rFonts w:hint="eastAsia" w:ascii="宋体" w:hAnsi="Courier New" w:eastAsia="宋体" w:cs="Times New Roman"/>
                <w:b/>
                <w:bCs/>
                <w:color w:val="auto"/>
                <w:sz w:val="21"/>
                <w:szCs w:val="21"/>
                <w:highlight w:val="none"/>
                <w:lang w:val="en-US" w:eastAsia="zh-CN"/>
              </w:rPr>
              <w:t>年</w:t>
            </w:r>
            <w:r>
              <w:rPr>
                <w:rFonts w:hint="eastAsia" w:ascii="宋体" w:hAnsi="Courier New" w:cs="Times New Roman"/>
                <w:b/>
                <w:bCs/>
                <w:color w:val="auto"/>
                <w:sz w:val="21"/>
                <w:szCs w:val="21"/>
                <w:highlight w:val="none"/>
                <w:lang w:val="en-US" w:eastAsia="zh-CN"/>
              </w:rPr>
              <w:t>08</w:t>
            </w:r>
            <w:r>
              <w:rPr>
                <w:rFonts w:hint="eastAsia" w:ascii="宋体" w:hAnsi="Courier New" w:eastAsia="宋体" w:cs="Times New Roman"/>
                <w:b/>
                <w:bCs/>
                <w:color w:val="auto"/>
                <w:sz w:val="21"/>
                <w:szCs w:val="21"/>
                <w:highlight w:val="none"/>
                <w:lang w:val="en-US" w:eastAsia="zh-CN"/>
              </w:rPr>
              <w:t>月</w:t>
            </w:r>
            <w:r>
              <w:rPr>
                <w:rFonts w:hint="eastAsia" w:ascii="宋体" w:hAnsi="Courier New" w:cs="Times New Roman"/>
                <w:b/>
                <w:bCs/>
                <w:color w:val="auto"/>
                <w:sz w:val="21"/>
                <w:szCs w:val="21"/>
                <w:highlight w:val="none"/>
                <w:lang w:val="en-US" w:eastAsia="zh-CN"/>
              </w:rPr>
              <w:t>03</w:t>
            </w:r>
            <w:r>
              <w:rPr>
                <w:rFonts w:hint="eastAsia" w:ascii="宋体" w:hAnsi="Courier New" w:eastAsia="宋体" w:cs="Times New Roman"/>
                <w:b/>
                <w:bCs/>
                <w:color w:val="auto"/>
                <w:sz w:val="21"/>
                <w:szCs w:val="21"/>
                <w:highlight w:val="none"/>
                <w:lang w:val="en-US" w:eastAsia="zh-CN"/>
              </w:rPr>
              <w:t>日17时</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②投标保证金应当从投标人基本账户转出，转出保证金的账户与投标人投标文件提供的基本账户不一致的，视为未按招标文件规定要求递交投标保证金。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③转入的开户银行及账号：</w:t>
            </w:r>
          </w:p>
          <w:p>
            <w:pPr>
              <w:pStyle w:val="2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收款人名称: 博爱县公共资源交易中心。</w:t>
            </w:r>
          </w:p>
          <w:p>
            <w:pPr>
              <w:pStyle w:val="22"/>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开户行1：中国邮政储蓄银行股份有限公司博爱县清化镇支行</w:t>
            </w:r>
          </w:p>
          <w:p>
            <w:pPr>
              <w:pStyle w:val="22"/>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银行账号：100549513510010002</w:t>
            </w:r>
          </w:p>
          <w:p>
            <w:pPr>
              <w:pStyle w:val="22"/>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开户行2：中国银行股份有限公司博爱支行</w:t>
            </w:r>
          </w:p>
          <w:p>
            <w:pPr>
              <w:pStyle w:val="22"/>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银行帐号：262419116795</w:t>
            </w:r>
          </w:p>
          <w:p>
            <w:pPr>
              <w:pStyle w:val="2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④保证金退还方式：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1.对未中标人保证金的退还：在中标结果公示期满后，一个工作日内原路退还未中标人的投标保证金。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对中标人保证金的退还：中标人签订合同</w:t>
            </w:r>
            <w:r>
              <w:rPr>
                <w:rFonts w:hint="eastAsia" w:ascii="宋体" w:hAnsi="宋体" w:cs="宋体"/>
                <w:color w:val="auto"/>
                <w:kern w:val="0"/>
                <w:sz w:val="21"/>
                <w:szCs w:val="21"/>
                <w:highlight w:val="none"/>
                <w:lang w:val="en-US" w:eastAsia="zh-CN" w:bidi="ar"/>
              </w:rPr>
              <w:t>并上传焦作市公共资源交易中心系统</w:t>
            </w:r>
            <w:r>
              <w:rPr>
                <w:rFonts w:hint="eastAsia" w:ascii="宋体" w:hAnsi="宋体" w:eastAsia="宋体" w:cs="宋体"/>
                <w:color w:val="auto"/>
                <w:kern w:val="0"/>
                <w:sz w:val="21"/>
                <w:szCs w:val="21"/>
                <w:highlight w:val="none"/>
                <w:lang w:val="en-US" w:eastAsia="zh-CN" w:bidi="ar"/>
              </w:rPr>
              <w:t>后，一个工作日内原路退还中标人的投标保证金。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2.投标人退还保证金咨询电话0391-3859600。</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Times New Roman" w:hAnsi="Times New Roman" w:eastAsia="宋体" w:cs="Times New Roman"/>
                <w:b/>
                <w:bCs/>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）如采用第二类形式</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①采用保函形式提交保证金的须将扫描件做入投标文件，作为其投标文件的组成部分。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②如中标单位保证金以保函形式提交的，须在领取中标通知书时，将保函证明材料交于招标人或代理机构，且原件须与投标文件中提供的扫描件一致，如存在未按规定提交或提交内容不一致，或发现弄虚作假的，招标人应当报监管部门依法处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b/>
                <w:bCs/>
                <w:color w:val="auto"/>
                <w:highlight w:val="none"/>
              </w:rPr>
            </w:pPr>
            <w:r>
              <w:rPr>
                <w:rFonts w:hint="eastAsia" w:ascii="宋体" w:hAnsi="宋体" w:eastAsia="宋体" w:cs="宋体"/>
                <w:b/>
                <w:bCs/>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 xml:space="preserve">）如采用第三类形式： </w:t>
            </w:r>
          </w:p>
          <w:p>
            <w:pPr>
              <w:pStyle w:val="178"/>
              <w:keepNext w:val="0"/>
              <w:keepLines w:val="0"/>
              <w:pageBreakBefore w:val="0"/>
              <w:tabs>
                <w:tab w:val="left" w:pos="720"/>
              </w:tabs>
              <w:kinsoku/>
              <w:wordWrap/>
              <w:overflowPunct/>
              <w:topLinePunct w:val="0"/>
              <w:autoSpaceDE/>
              <w:autoSpaceDN/>
              <w:bidi w:val="0"/>
              <w:adjustRightInd/>
              <w:snapToGrid/>
              <w:spacing w:line="440" w:lineRule="exact"/>
              <w:textAlignment w:val="auto"/>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投标人自行登录博爱县公共资源交易中心网站（http://www.baxggzyjyzx.cn/），参照《博爱县公共资源交易中心关于推行电子投标保函的通知》，下载《电子保函申请操作手册》操作。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3.5.</w:t>
            </w:r>
            <w:r>
              <w:rPr>
                <w:rFonts w:hint="eastAsia" w:ascii="宋体" w:hAnsi="宋体"/>
                <w:color w:val="auto"/>
                <w:szCs w:val="21"/>
                <w:highlight w:val="none"/>
              </w:rPr>
              <w:t>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近年财务状况</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投标企业近三年财务状况良好，需提供20</w:t>
            </w:r>
            <w:r>
              <w:rPr>
                <w:rFonts w:ascii="宋体" w:hAnsi="宋体"/>
                <w:color w:val="auto"/>
                <w:szCs w:val="21"/>
                <w:highlight w:val="none"/>
              </w:rPr>
              <w:t>19</w:t>
            </w:r>
            <w:r>
              <w:rPr>
                <w:rFonts w:hint="eastAsia" w:ascii="宋体" w:hAnsi="宋体"/>
                <w:color w:val="auto"/>
                <w:szCs w:val="21"/>
                <w:highlight w:val="none"/>
              </w:rPr>
              <w:t>、20</w:t>
            </w:r>
            <w:r>
              <w:rPr>
                <w:rFonts w:ascii="宋体" w:hAnsi="宋体"/>
                <w:color w:val="auto"/>
                <w:szCs w:val="21"/>
                <w:highlight w:val="none"/>
              </w:rPr>
              <w:t>20</w:t>
            </w:r>
            <w:r>
              <w:rPr>
                <w:rFonts w:hint="eastAsia" w:ascii="宋体" w:hAnsi="宋体"/>
                <w:color w:val="auto"/>
                <w:szCs w:val="21"/>
                <w:highlight w:val="none"/>
              </w:rPr>
              <w:t>、2</w:t>
            </w:r>
            <w:r>
              <w:rPr>
                <w:rFonts w:ascii="宋体" w:hAnsi="宋体"/>
                <w:color w:val="auto"/>
                <w:szCs w:val="21"/>
                <w:highlight w:val="none"/>
              </w:rPr>
              <w:t>021</w:t>
            </w:r>
            <w:r>
              <w:rPr>
                <w:rFonts w:hint="eastAsia" w:ascii="宋体" w:hAnsi="宋体"/>
                <w:color w:val="auto"/>
                <w:szCs w:val="21"/>
                <w:highlight w:val="none"/>
              </w:rPr>
              <w:t>年度财务审计报告（新成立的企业从成立之日起计）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3.5.</w:t>
            </w:r>
            <w:r>
              <w:rPr>
                <w:rFonts w:hint="eastAsia" w:ascii="宋体" w:hAnsi="宋体"/>
                <w:color w:val="auto"/>
                <w:szCs w:val="21"/>
                <w:highlight w:val="none"/>
              </w:rPr>
              <w:t>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近年完成的类似项目</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20</w:t>
            </w:r>
            <w:r>
              <w:rPr>
                <w:rFonts w:hint="eastAsia" w:ascii="宋体" w:hAnsi="宋体"/>
                <w:color w:val="auto"/>
                <w:szCs w:val="21"/>
                <w:highlight w:val="none"/>
              </w:rPr>
              <w:t>年1月 1 日起至投标截止时间止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3.6</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是否允许</w:t>
            </w:r>
            <w:r>
              <w:rPr>
                <w:rFonts w:hint="eastAsia" w:ascii="宋体" w:hAnsi="宋体"/>
                <w:color w:val="auto"/>
                <w:szCs w:val="21"/>
                <w:highlight w:val="none"/>
              </w:rPr>
              <w:t>递交备</w:t>
            </w:r>
            <w:r>
              <w:rPr>
                <w:rFonts w:ascii="宋体" w:hAnsi="宋体"/>
                <w:color w:val="auto"/>
                <w:szCs w:val="21"/>
                <w:highlight w:val="none"/>
              </w:rPr>
              <w:t>选投标方案</w:t>
            </w:r>
          </w:p>
        </w:tc>
        <w:tc>
          <w:tcPr>
            <w:tcW w:w="6945" w:type="dxa"/>
            <w:gridSpan w:val="2"/>
            <w:shd w:val="clear" w:color="auto" w:fill="auto"/>
            <w:vAlign w:val="center"/>
          </w:tcPr>
          <w:p>
            <w:pPr>
              <w:pStyle w:val="17"/>
              <w:topLinePunct/>
              <w:spacing w:line="360" w:lineRule="auto"/>
              <w:rPr>
                <w:rFonts w:hAnsi="宋体"/>
                <w:color w:val="auto"/>
                <w:szCs w:val="21"/>
                <w:highlight w:val="none"/>
              </w:rPr>
            </w:pPr>
            <w:r>
              <w:rPr>
                <w:rFonts w:hint="eastAsia" w:hAnsi="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3.7.3</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签字和（或）盖章要求</w:t>
            </w:r>
          </w:p>
        </w:tc>
        <w:tc>
          <w:tcPr>
            <w:tcW w:w="6945" w:type="dxa"/>
            <w:gridSpan w:val="2"/>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电子投标文件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⑴所有要求投标人电子签章处或投标人盖章处都应用投标人的CA印章进行签章。</w:t>
            </w:r>
          </w:p>
          <w:p>
            <w:pPr>
              <w:spacing w:line="360" w:lineRule="auto"/>
              <w:rPr>
                <w:rFonts w:ascii="宋体" w:hAnsi="宋体"/>
                <w:color w:val="auto"/>
                <w:szCs w:val="21"/>
                <w:highlight w:val="none"/>
              </w:rPr>
            </w:pPr>
            <w:r>
              <w:rPr>
                <w:rFonts w:hint="eastAsia" w:ascii="宋体" w:hAnsi="宋体" w:cs="宋体"/>
                <w:color w:val="auto"/>
                <w:szCs w:val="21"/>
                <w:highlight w:val="none"/>
              </w:rPr>
              <w:t>⑵所有要求法定代表人签字或盖章的地方都应用法定代表人的CA锁进行签章。若有要求委托代理人签字的地方，都应用委托代理人CA锁进行签章，若委托代理人没有CA锁，则投标文件需上传有手写签名后的扫描图片替换到相应格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3.7.4</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投标文件份数</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4.2.2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递交投标文件地点</w:t>
            </w:r>
          </w:p>
        </w:tc>
        <w:tc>
          <w:tcPr>
            <w:tcW w:w="6945" w:type="dxa"/>
            <w:gridSpan w:val="2"/>
            <w:shd w:val="clear" w:color="auto" w:fill="auto"/>
            <w:vAlign w:val="center"/>
          </w:tcPr>
          <w:p>
            <w:pPr>
              <w:pStyle w:val="121"/>
              <w:kinsoku w:val="0"/>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本项目采用“远程不见面”开标方式，远程开标大厅网址为http://ggzy.jiaozuo.gov.cn/BidOpeningHall/bidhall/default/login。投标人不需要到开标现场参加开标会议和提交原件资料等；</w:t>
            </w:r>
          </w:p>
          <w:p>
            <w:pPr>
              <w:pStyle w:val="121"/>
              <w:kinsoku w:val="0"/>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 xml:space="preserve">投标人应及时完善诚信库信息。 </w:t>
            </w:r>
          </w:p>
          <w:p>
            <w:pPr>
              <w:pStyle w:val="121"/>
              <w:kinsoku w:val="0"/>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（1）电子投标文件的递交</w:t>
            </w:r>
          </w:p>
          <w:p>
            <w:pPr>
              <w:pStyle w:val="121"/>
              <w:kinsoku w:val="0"/>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a、各投标人应在投标截止时间前上传加密的电子投标文件</w:t>
            </w:r>
          </w:p>
          <w:p>
            <w:pPr>
              <w:pStyle w:val="121"/>
              <w:kinsoku w:val="0"/>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（.jztf 格式）到会员系统的指定位置。上传时必须得到电脑“上传成功”的确认回复。请投标人在上传时认真检查上传投标文件是否完整、正确。</w:t>
            </w:r>
          </w:p>
          <w:p>
            <w:pPr>
              <w:pStyle w:val="121"/>
              <w:kinsoku w:val="0"/>
              <w:spacing w:line="360" w:lineRule="auto"/>
              <w:rPr>
                <w:rFonts w:hint="eastAsia" w:ascii="宋体" w:hAnsi="宋体" w:eastAsia="宋体"/>
                <w:color w:val="auto"/>
                <w:szCs w:val="21"/>
                <w:highlight w:val="none"/>
                <w:lang w:eastAsia="zh-CN"/>
              </w:rPr>
            </w:pPr>
            <w:r>
              <w:rPr>
                <w:rFonts w:hint="eastAsia" w:ascii="宋体" w:hAnsi="宋体" w:cs="宋体"/>
                <w:color w:val="auto"/>
                <w:highlight w:val="none"/>
                <w:lang w:eastAsia="zh-CN"/>
              </w:rPr>
              <w:t>b、如系统故故障需上传非加密文件时，投标人应按照招标人指示将非加密文件递交给招标人。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92" w:type="dxa"/>
            <w:shd w:val="clear" w:color="auto" w:fill="auto"/>
            <w:vAlign w:val="center"/>
          </w:tcPr>
          <w:p>
            <w:pPr>
              <w:jc w:val="center"/>
              <w:rPr>
                <w:rFonts w:ascii="宋体" w:hAnsi="宋体"/>
                <w:color w:val="auto"/>
                <w:szCs w:val="21"/>
                <w:highlight w:val="none"/>
              </w:rPr>
            </w:pPr>
            <w:r>
              <w:rPr>
                <w:rFonts w:ascii="宋体" w:hAnsi="宋体"/>
                <w:color w:val="auto"/>
                <w:szCs w:val="21"/>
                <w:highlight w:val="none"/>
              </w:rPr>
              <w:t>4.2.3</w:t>
            </w:r>
          </w:p>
        </w:tc>
        <w:tc>
          <w:tcPr>
            <w:tcW w:w="1561" w:type="dxa"/>
            <w:gridSpan w:val="2"/>
            <w:shd w:val="clear" w:color="auto" w:fill="auto"/>
            <w:vAlign w:val="center"/>
          </w:tcPr>
          <w:p>
            <w:pPr>
              <w:jc w:val="center"/>
              <w:rPr>
                <w:rFonts w:ascii="宋体" w:hAnsi="宋体"/>
                <w:color w:val="auto"/>
                <w:szCs w:val="21"/>
                <w:highlight w:val="none"/>
              </w:rPr>
            </w:pPr>
            <w:r>
              <w:rPr>
                <w:rFonts w:ascii="宋体" w:hAnsi="宋体"/>
                <w:color w:val="auto"/>
                <w:szCs w:val="21"/>
                <w:highlight w:val="none"/>
              </w:rPr>
              <w:t>是否退还投标文件</w:t>
            </w:r>
          </w:p>
        </w:tc>
        <w:tc>
          <w:tcPr>
            <w:tcW w:w="6945" w:type="dxa"/>
            <w:gridSpan w:val="2"/>
            <w:shd w:val="clear" w:color="auto" w:fill="auto"/>
            <w:vAlign w:val="center"/>
          </w:tcPr>
          <w:p>
            <w:pPr>
              <w:pStyle w:val="17"/>
              <w:topLinePunct/>
              <w:rPr>
                <w:rFonts w:hAnsi="宋体"/>
                <w:color w:val="auto"/>
                <w:sz w:val="21"/>
                <w:szCs w:val="21"/>
                <w:highlight w:val="none"/>
              </w:rPr>
            </w:pPr>
            <w:r>
              <w:rPr>
                <w:rFonts w:hint="eastAsia" w:hAnsi="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5.1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开标时间和地点</w:t>
            </w:r>
          </w:p>
        </w:tc>
        <w:tc>
          <w:tcPr>
            <w:tcW w:w="6945" w:type="dxa"/>
            <w:gridSpan w:val="2"/>
            <w:shd w:val="clear" w:color="auto" w:fill="auto"/>
            <w:vAlign w:val="center"/>
          </w:tcPr>
          <w:p>
            <w:pPr>
              <w:adjustRightInd w:val="0"/>
              <w:snapToGrid w:val="0"/>
              <w:spacing w:line="400" w:lineRule="exact"/>
              <w:jc w:val="left"/>
              <w:rPr>
                <w:rFonts w:ascii="宋体" w:hAnsi="宋体" w:cs="宋体"/>
                <w:color w:val="auto"/>
                <w:highlight w:val="none"/>
              </w:rPr>
            </w:pPr>
            <w:r>
              <w:rPr>
                <w:rFonts w:hint="eastAsia" w:ascii="宋体" w:hAnsi="宋体" w:cs="宋体"/>
                <w:color w:val="auto"/>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auto"/>
              <w:rPr>
                <w:rFonts w:ascii="宋体" w:hAnsi="宋体"/>
                <w:color w:val="auto"/>
                <w:szCs w:val="21"/>
                <w:highlight w:val="none"/>
              </w:rPr>
            </w:pPr>
            <w:r>
              <w:rPr>
                <w:rFonts w:hint="eastAsia" w:ascii="宋体" w:hAnsi="宋体" w:cs="宋体"/>
                <w:color w:val="auto"/>
                <w:highlight w:val="none"/>
              </w:rPr>
              <w:t>现场开标地点：博爱县公共资源交易中心二楼第</w:t>
            </w:r>
            <w:r>
              <w:rPr>
                <w:rFonts w:hint="eastAsia" w:ascii="宋体" w:hAnsi="宋体" w:cs="宋体"/>
                <w:color w:val="auto"/>
                <w:highlight w:val="none"/>
                <w:lang w:val="en-US" w:eastAsia="zh-CN"/>
              </w:rPr>
              <w:t>二</w:t>
            </w:r>
            <w:r>
              <w:rPr>
                <w:rFonts w:hint="eastAsia" w:ascii="宋体" w:hAnsi="宋体" w:cs="宋体"/>
                <w:color w:val="auto"/>
                <w:highlight w:val="none"/>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5.2</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开标程序</w:t>
            </w:r>
          </w:p>
        </w:tc>
        <w:tc>
          <w:tcPr>
            <w:tcW w:w="6945" w:type="dxa"/>
            <w:gridSpan w:val="2"/>
            <w:shd w:val="clear" w:color="auto" w:fill="auto"/>
            <w:vAlign w:val="center"/>
          </w:tcPr>
          <w:p>
            <w:pPr>
              <w:spacing w:line="400" w:lineRule="exact"/>
              <w:rPr>
                <w:rFonts w:ascii="宋体" w:hAnsi="宋体" w:cs="宋体"/>
                <w:color w:val="auto"/>
                <w:highlight w:val="none"/>
              </w:rPr>
            </w:pPr>
            <w:r>
              <w:rPr>
                <w:rFonts w:hint="eastAsia" w:ascii="宋体" w:hAnsi="宋体" w:cs="宋体"/>
                <w:color w:val="auto"/>
                <w:highlight w:val="none"/>
              </w:rPr>
              <w:t>1、登录焦作市公共资源交易中心电子交易平台；</w:t>
            </w:r>
          </w:p>
          <w:p>
            <w:pPr>
              <w:spacing w:line="400" w:lineRule="exact"/>
              <w:rPr>
                <w:rFonts w:ascii="宋体" w:hAnsi="宋体" w:cs="宋体"/>
                <w:color w:val="auto"/>
                <w:highlight w:val="none"/>
              </w:rPr>
            </w:pPr>
            <w:r>
              <w:rPr>
                <w:rFonts w:hint="eastAsia" w:ascii="宋体" w:hAnsi="宋体" w:cs="宋体"/>
                <w:color w:val="auto"/>
                <w:highlight w:val="none"/>
              </w:rPr>
              <w:t>2、公布投标人；</w:t>
            </w:r>
          </w:p>
          <w:p>
            <w:pPr>
              <w:spacing w:line="400" w:lineRule="exact"/>
              <w:rPr>
                <w:rFonts w:ascii="宋体" w:hAnsi="宋体" w:cs="宋体"/>
                <w:color w:val="auto"/>
                <w:highlight w:val="none"/>
              </w:rPr>
            </w:pPr>
            <w:r>
              <w:rPr>
                <w:rFonts w:hint="eastAsia" w:ascii="宋体" w:hAnsi="宋体" w:cs="宋体"/>
                <w:color w:val="auto"/>
                <w:highlight w:val="none"/>
              </w:rPr>
              <w:t>3、在监督人监督下进行投标文件现场解密。</w:t>
            </w:r>
          </w:p>
          <w:p>
            <w:pPr>
              <w:spacing w:line="400" w:lineRule="exact"/>
              <w:rPr>
                <w:rFonts w:ascii="宋体" w:hAnsi="宋体" w:cs="宋体"/>
                <w:color w:val="auto"/>
                <w:highlight w:val="none"/>
              </w:rPr>
            </w:pPr>
            <w:r>
              <w:rPr>
                <w:rFonts w:hint="eastAsia" w:ascii="宋体" w:hAnsi="宋体" w:cs="宋体"/>
                <w:color w:val="auto"/>
                <w:highlight w:val="none"/>
              </w:rPr>
              <w:t>4、电子投标文件必须凭制作投标文件所用的企业 CA 密匙在 30 分钟内完成解密。因加密电子投标文件未能成功上传或误传等自身原因而导致的解密失败,投标将被拒绝。</w:t>
            </w:r>
          </w:p>
          <w:p>
            <w:pPr>
              <w:spacing w:line="400" w:lineRule="exact"/>
              <w:rPr>
                <w:rFonts w:ascii="宋体" w:hAnsi="宋体" w:cs="宋体"/>
                <w:color w:val="auto"/>
                <w:highlight w:val="none"/>
              </w:rPr>
            </w:pPr>
            <w:r>
              <w:rPr>
                <w:rFonts w:hint="eastAsia" w:ascii="宋体" w:hAnsi="宋体" w:cs="宋体"/>
                <w:color w:val="auto"/>
                <w:highlight w:val="none"/>
              </w:rPr>
              <w:t>5、本工程采用电子开标，解密完成后各投标人的电子投标文件的实质性内容将自动显示在网页中。</w:t>
            </w:r>
          </w:p>
          <w:p>
            <w:pPr>
              <w:spacing w:line="360" w:lineRule="auto"/>
              <w:rPr>
                <w:rFonts w:ascii="宋体" w:hAnsi="宋体"/>
                <w:color w:val="auto"/>
                <w:szCs w:val="21"/>
                <w:highlight w:val="none"/>
              </w:rPr>
            </w:pPr>
            <w:r>
              <w:rPr>
                <w:rFonts w:hint="eastAsia" w:ascii="宋体" w:hAnsi="宋体" w:cs="宋体"/>
                <w:color w:val="auto"/>
                <w:highlight w:val="none"/>
              </w:rPr>
              <w:t>（具体程序以当天开标为准）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6.1.1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6945" w:type="dxa"/>
            <w:gridSpan w:val="2"/>
            <w:shd w:val="clear" w:color="auto" w:fill="auto"/>
            <w:vAlign w:val="center"/>
          </w:tcPr>
          <w:p>
            <w:pPr>
              <w:spacing w:line="360" w:lineRule="auto"/>
              <w:rPr>
                <w:rFonts w:ascii="宋体" w:hAnsi="宋体"/>
                <w:color w:val="auto"/>
                <w:szCs w:val="21"/>
                <w:highlight w:val="none"/>
              </w:rPr>
            </w:pPr>
            <w:r>
              <w:rPr>
                <w:rFonts w:ascii="宋体" w:hAnsi="宋体"/>
                <w:color w:val="auto"/>
                <w:szCs w:val="21"/>
                <w:highlight w:val="none"/>
              </w:rPr>
              <w:t>评标委员会</w:t>
            </w:r>
            <w:r>
              <w:rPr>
                <w:rFonts w:hint="eastAsia" w:ascii="宋体" w:hAnsi="宋体"/>
                <w:color w:val="auto"/>
                <w:szCs w:val="21"/>
                <w:highlight w:val="none"/>
              </w:rPr>
              <w:t>构成：由招标人代表和经济、技术专家共</w:t>
            </w:r>
            <w:r>
              <w:rPr>
                <w:rFonts w:hint="eastAsia" w:ascii="宋体" w:hAnsi="宋体"/>
                <w:color w:val="auto"/>
                <w:szCs w:val="21"/>
                <w:highlight w:val="none"/>
                <w:lang w:val="en-US" w:eastAsia="zh-CN"/>
              </w:rPr>
              <w:t>7</w:t>
            </w:r>
            <w:r>
              <w:rPr>
                <w:rFonts w:hint="eastAsia" w:ascii="宋体" w:hAnsi="宋体"/>
                <w:color w:val="auto"/>
                <w:szCs w:val="21"/>
                <w:highlight w:val="none"/>
              </w:rPr>
              <w:t>人组成，其中招标人代表</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人，其他相关经济、技术专家</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p>
          <w:p>
            <w:pPr>
              <w:spacing w:line="360" w:lineRule="auto"/>
              <w:rPr>
                <w:rFonts w:ascii="宋体" w:hAnsi="宋体"/>
                <w:color w:val="auto"/>
                <w:szCs w:val="21"/>
                <w:highlight w:val="none"/>
              </w:rPr>
            </w:pPr>
            <w:r>
              <w:rPr>
                <w:rFonts w:hint="eastAsia" w:ascii="宋体" w:hAnsi="宋体"/>
                <w:color w:val="auto"/>
                <w:szCs w:val="21"/>
                <w:highlight w:val="none"/>
              </w:rPr>
              <w:t>经济、技术</w:t>
            </w:r>
            <w:r>
              <w:rPr>
                <w:rFonts w:ascii="宋体" w:hAnsi="宋体"/>
                <w:color w:val="auto"/>
                <w:szCs w:val="21"/>
                <w:highlight w:val="none"/>
              </w:rPr>
              <w:t>专家确定方式</w:t>
            </w:r>
            <w:r>
              <w:rPr>
                <w:rFonts w:hint="eastAsia" w:ascii="宋体" w:hAnsi="宋体"/>
                <w:color w:val="auto"/>
                <w:szCs w:val="21"/>
                <w:highlight w:val="none"/>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7.1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6945" w:type="dxa"/>
            <w:gridSpan w:val="2"/>
            <w:shd w:val="clear" w:color="auto" w:fill="auto"/>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评标委员会按得分由高到低顺序，依次推荐1～3名中标候选人，并标明排序。</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pPr>
              <w:spacing w:line="360" w:lineRule="auto"/>
              <w:rPr>
                <w:rFonts w:ascii="宋体" w:hAnsi="宋体"/>
                <w:color w:val="auto"/>
                <w:szCs w:val="21"/>
                <w:highlight w:val="none"/>
              </w:rPr>
            </w:pPr>
            <w:r>
              <w:rPr>
                <w:rFonts w:hint="eastAsia" w:ascii="宋体" w:hAnsi="宋体" w:cs="宋体"/>
                <w:color w:val="auto"/>
                <w:szCs w:val="21"/>
                <w:highlight w:val="none"/>
              </w:rPr>
              <w:t>非因不可抗力因素放弃中标的，或排名第一的中标候选人未按规定期限与招标人签订合同的，该中标候选人的投标保证金不予退还</w:t>
            </w:r>
            <w:r>
              <w:rPr>
                <w:rFonts w:hint="eastAsia" w:ascii="宋体" w:hAnsi="宋体" w:cs="宋体"/>
                <w:color w:val="auto"/>
                <w:szCs w:val="21"/>
                <w:highlight w:val="none"/>
                <w:lang w:eastAsia="zh-CN"/>
              </w:rPr>
              <w:t>，还将由相关行政监督部门按规定处理。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4</w:t>
            </w:r>
            <w:r>
              <w:rPr>
                <w:rFonts w:ascii="宋体" w:hAnsi="宋体"/>
                <w:color w:val="auto"/>
                <w:szCs w:val="21"/>
                <w:highlight w:val="none"/>
              </w:rPr>
              <w:t>.1</w:t>
            </w:r>
          </w:p>
        </w:tc>
        <w:tc>
          <w:tcPr>
            <w:tcW w:w="1561" w:type="dxa"/>
            <w:gridSpan w:val="2"/>
            <w:shd w:val="clear" w:color="auto" w:fill="auto"/>
            <w:vAlign w:val="center"/>
          </w:tcPr>
          <w:p>
            <w:pPr>
              <w:spacing w:line="360" w:lineRule="auto"/>
              <w:jc w:val="center"/>
              <w:rPr>
                <w:rFonts w:ascii="宋体" w:hAnsi="宋体"/>
                <w:color w:val="auto"/>
                <w:szCs w:val="21"/>
                <w:highlight w:val="none"/>
              </w:rPr>
            </w:pPr>
            <w:r>
              <w:rPr>
                <w:rFonts w:ascii="宋体" w:hAnsi="宋体"/>
                <w:color w:val="auto"/>
                <w:szCs w:val="21"/>
                <w:highlight w:val="none"/>
              </w:rPr>
              <w:t>履约担保</w:t>
            </w:r>
          </w:p>
        </w:tc>
        <w:tc>
          <w:tcPr>
            <w:tcW w:w="6945" w:type="dxa"/>
            <w:gridSpan w:val="2"/>
            <w:shd w:val="clear" w:color="auto" w:fill="auto"/>
            <w:vAlign w:val="center"/>
          </w:tcPr>
          <w:p>
            <w:pPr>
              <w:spacing w:line="360" w:lineRule="auto"/>
              <w:rPr>
                <w:rFonts w:ascii="宋体" w:hAnsi="宋体"/>
                <w:color w:val="auto"/>
                <w:szCs w:val="21"/>
                <w:highlight w:val="none"/>
              </w:rPr>
            </w:pPr>
            <w:r>
              <w:rPr>
                <w:rFonts w:hint="eastAsia" w:ascii="宋体" w:hAnsi="宋体"/>
                <w:color w:val="auto"/>
                <w:szCs w:val="21"/>
                <w:highlight w:val="none"/>
              </w:rPr>
              <w:t>履约担保的形式：国有商业银行出具银行保函或转账</w:t>
            </w:r>
          </w:p>
          <w:p>
            <w:pPr>
              <w:spacing w:line="360" w:lineRule="auto"/>
              <w:rPr>
                <w:rFonts w:ascii="宋体" w:hAnsi="宋体"/>
                <w:color w:val="auto"/>
                <w:szCs w:val="21"/>
                <w:highlight w:val="none"/>
              </w:rPr>
            </w:pPr>
            <w:r>
              <w:rPr>
                <w:rFonts w:hint="eastAsia" w:ascii="宋体" w:hAnsi="宋体"/>
                <w:color w:val="auto"/>
                <w:szCs w:val="21"/>
                <w:highlight w:val="none"/>
              </w:rPr>
              <w:t>履约担保的金额：中标价的5%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Style w:val="22"/>
              <w:keepNext w:val="0"/>
              <w:keepLines w:val="0"/>
              <w:pageBreakBefore w:val="0"/>
              <w:kinsoku/>
              <w:wordWrap/>
              <w:overflowPunct/>
              <w:bidi w:val="0"/>
              <w:spacing w:line="500" w:lineRule="exact"/>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5</w:t>
            </w:r>
          </w:p>
        </w:tc>
        <w:tc>
          <w:tcPr>
            <w:tcW w:w="1561" w:type="dxa"/>
            <w:gridSpan w:val="2"/>
            <w:shd w:val="clear" w:color="auto" w:fill="auto"/>
            <w:vAlign w:val="center"/>
          </w:tcPr>
          <w:p>
            <w:pPr>
              <w:keepNext w:val="0"/>
              <w:keepLines w:val="0"/>
              <w:pageBreakBefore w:val="0"/>
              <w:kinsoku/>
              <w:wordWrap/>
              <w:overflowPunct/>
              <w:bidi w:val="0"/>
              <w:spacing w:line="5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签订合同</w:t>
            </w:r>
          </w:p>
        </w:tc>
        <w:tc>
          <w:tcPr>
            <w:tcW w:w="6945" w:type="dxa"/>
            <w:gridSpan w:val="2"/>
            <w:shd w:val="clear" w:color="auto" w:fill="auto"/>
            <w:vAlign w:val="center"/>
          </w:tcPr>
          <w:p>
            <w:pPr>
              <w:keepNext w:val="0"/>
              <w:keepLines w:val="0"/>
              <w:pageBreakBefore w:val="0"/>
              <w:kinsoku/>
              <w:wordWrap/>
              <w:overflowPunct/>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当投标人的投标费率超过招标控制费率的，招标人不予接受；当中标人投标费率高于招标控制费率的99%时，中标费率按照招标控制费率的99%执行。工程总承包费=县财政预算评审价×中标费率。</w:t>
            </w:r>
          </w:p>
          <w:p>
            <w:pPr>
              <w:keepNext w:val="0"/>
              <w:keepLines w:val="0"/>
              <w:pageBreakBefore w:val="0"/>
              <w:kinsoku/>
              <w:wordWrap/>
              <w:overflowPunct/>
              <w:bidi w:val="0"/>
              <w:spacing w:line="500" w:lineRule="exact"/>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自中标通知书发出之日起三十日内，招标人和中标人订立合同。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Style w:val="22"/>
              <w:keepNext w:val="0"/>
              <w:keepLines w:val="0"/>
              <w:pageBreakBefore w:val="0"/>
              <w:kinsoku/>
              <w:wordWrap/>
              <w:overflowPunct/>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w:t>
            </w:r>
          </w:p>
        </w:tc>
        <w:tc>
          <w:tcPr>
            <w:tcW w:w="1561" w:type="dxa"/>
            <w:gridSpan w:val="2"/>
            <w:shd w:val="clear" w:color="auto" w:fill="auto"/>
            <w:vAlign w:val="center"/>
          </w:tcPr>
          <w:p>
            <w:pPr>
              <w:keepNext w:val="0"/>
              <w:keepLines w:val="0"/>
              <w:pageBreakBefore w:val="0"/>
              <w:kinsoku/>
              <w:wordWrap/>
              <w:overflowPunct/>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6945" w:type="dxa"/>
            <w:gridSpan w:val="2"/>
            <w:shd w:val="clear" w:color="auto" w:fill="auto"/>
            <w:vAlign w:val="center"/>
          </w:tcPr>
          <w:p>
            <w:pPr>
              <w:keepNext w:val="0"/>
              <w:keepLines w:val="0"/>
              <w:pageBreakBefore w:val="0"/>
              <w:kinsoku/>
              <w:wordWrap/>
              <w:overflowPunct/>
              <w:bidi w:val="0"/>
              <w:spacing w:line="5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工程按每三个月支付工程进度款，每三个月支付已完工程量的75%，竣工结算完成并经财政、审计确认后付至最终决算价的97%，剩余3%为质量保证金。缺陷责任期为一年，缺陷责任期结束后十个工作日内一次付清。</w:t>
            </w:r>
          </w:p>
          <w:p>
            <w:pPr>
              <w:keepNext w:val="0"/>
              <w:keepLines w:val="0"/>
              <w:pageBreakBefore w:val="0"/>
              <w:kinsoku/>
              <w:wordWrap/>
              <w:overflowPunct/>
              <w:bidi w:val="0"/>
              <w:spacing w:line="5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注：工程竣工后工程款支付以县财政评审结果和审计部门的审计结果为结算依据。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Style w:val="22"/>
              <w:keepNext w:val="0"/>
              <w:keepLines w:val="0"/>
              <w:pageBreakBefore w:val="0"/>
              <w:kinsoku/>
              <w:wordWrap/>
              <w:overflowPunct/>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1561" w:type="dxa"/>
            <w:gridSpan w:val="2"/>
            <w:shd w:val="clear" w:color="auto" w:fill="auto"/>
            <w:vAlign w:val="center"/>
          </w:tcPr>
          <w:p>
            <w:pPr>
              <w:keepNext w:val="0"/>
              <w:keepLines w:val="0"/>
              <w:pageBreakBefore w:val="0"/>
              <w:kinsoku/>
              <w:wordWrap/>
              <w:overflowPunct/>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工期要求</w:t>
            </w:r>
          </w:p>
        </w:tc>
        <w:tc>
          <w:tcPr>
            <w:tcW w:w="6945" w:type="dxa"/>
            <w:gridSpan w:val="2"/>
            <w:shd w:val="clear" w:color="auto" w:fill="auto"/>
            <w:vAlign w:val="center"/>
          </w:tcPr>
          <w:p>
            <w:pPr>
              <w:keepNext w:val="0"/>
              <w:keepLines w:val="0"/>
              <w:pageBreakBefore w:val="0"/>
              <w:kinsoku/>
              <w:wordWrap/>
              <w:overflowPunct/>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如因施工方原因，未按期完成设计或施工工程延期的，每延迟一天罚款2万元，累计不超过合同价款的2%。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Style w:val="22"/>
              <w:keepNext w:val="0"/>
              <w:keepLines w:val="0"/>
              <w:pageBreakBefore w:val="0"/>
              <w:kinsoku/>
              <w:wordWrap/>
              <w:overflowPunct/>
              <w:bidi w:val="0"/>
              <w:spacing w:line="5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lang w:val="en-US" w:eastAsia="zh-CN"/>
              </w:rPr>
              <w:t>7.8</w:t>
            </w:r>
          </w:p>
        </w:tc>
        <w:tc>
          <w:tcPr>
            <w:tcW w:w="1561" w:type="dxa"/>
            <w:gridSpan w:val="2"/>
            <w:shd w:val="clear" w:color="auto" w:fill="auto"/>
            <w:vAlign w:val="center"/>
          </w:tcPr>
          <w:p>
            <w:pPr>
              <w:keepNext w:val="0"/>
              <w:keepLines w:val="0"/>
              <w:pageBreakBefore w:val="0"/>
              <w:kinsoku/>
              <w:wordWrap/>
              <w:overflowPunct/>
              <w:bidi w:val="0"/>
              <w:spacing w:line="500" w:lineRule="exact"/>
              <w:jc w:val="center"/>
              <w:textAlignment w:val="auto"/>
              <w:rPr>
                <w:rFonts w:ascii="宋体" w:hAnsi="宋体"/>
                <w:color w:val="auto"/>
                <w:szCs w:val="21"/>
                <w:highlight w:val="none"/>
              </w:rPr>
            </w:pPr>
            <w:r>
              <w:rPr>
                <w:rFonts w:hint="eastAsia" w:ascii="宋体" w:hAnsi="宋体" w:eastAsia="宋体" w:cs="宋体"/>
                <w:b w:val="0"/>
                <w:bCs w:val="0"/>
                <w:color w:val="auto"/>
                <w:sz w:val="21"/>
                <w:szCs w:val="21"/>
                <w:highlight w:val="none"/>
                <w:lang w:val="en-US" w:eastAsia="zh-CN"/>
              </w:rPr>
              <w:t>工程质量等级标准</w:t>
            </w:r>
          </w:p>
        </w:tc>
        <w:tc>
          <w:tcPr>
            <w:tcW w:w="6945" w:type="dxa"/>
            <w:gridSpan w:val="2"/>
            <w:shd w:val="clear" w:color="auto" w:fill="auto"/>
            <w:vAlign w:val="center"/>
          </w:tcPr>
          <w:p>
            <w:pPr>
              <w:keepNext w:val="0"/>
              <w:keepLines w:val="0"/>
              <w:pageBreakBefore w:val="0"/>
              <w:kinsoku/>
              <w:wordWrap/>
              <w:overflowPunct/>
              <w:bidi w:val="0"/>
              <w:spacing w:line="500" w:lineRule="exact"/>
              <w:textAlignment w:val="auto"/>
              <w:rPr>
                <w:rFonts w:hint="eastAsia" w:ascii="宋体" w:hAnsi="宋体"/>
                <w:color w:val="auto"/>
                <w:szCs w:val="21"/>
                <w:highlight w:val="none"/>
              </w:rPr>
            </w:pPr>
            <w:r>
              <w:rPr>
                <w:rFonts w:hint="eastAsia" w:ascii="宋体" w:hAnsi="宋体"/>
                <w:color w:val="auto"/>
                <w:szCs w:val="21"/>
                <w:highlight w:val="none"/>
              </w:rPr>
              <w:t>满足国家相关规范要求及招标文件的技术要求，达到合格标准。若因承包人原因造成质量达不到合格等级及标准的，应无条件无偿整改至合格等级。并对承包人处以工程总造价2%的违约金。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jc w:val="left"/>
              <w:rPr>
                <w:rFonts w:ascii="宋体" w:hAnsi="宋体"/>
                <w:b/>
                <w:color w:val="auto"/>
                <w:szCs w:val="21"/>
                <w:highlight w:val="none"/>
              </w:rPr>
            </w:pPr>
            <w:r>
              <w:rPr>
                <w:rFonts w:hint="eastAsia" w:ascii="宋体" w:hAnsi="宋体"/>
                <w:b/>
                <w:color w:val="auto"/>
                <w:szCs w:val="21"/>
                <w:highlight w:val="none"/>
              </w:rPr>
              <w:t>10. 需要</w:t>
            </w:r>
            <w:r>
              <w:rPr>
                <w:rFonts w:ascii="宋体" w:hAnsi="宋体"/>
                <w:b/>
                <w:color w:val="auto"/>
                <w:szCs w:val="21"/>
                <w:highlight w:val="none"/>
              </w:rPr>
              <w:t>补充</w:t>
            </w:r>
            <w:r>
              <w:rPr>
                <w:rFonts w:hint="eastAsia" w:ascii="宋体" w:hAnsi="宋体"/>
                <w:b/>
                <w:color w:val="auto"/>
                <w:szCs w:val="21"/>
                <w:highlight w:val="none"/>
              </w:rPr>
              <w:t>的其他</w:t>
            </w:r>
            <w:r>
              <w:rPr>
                <w:rFonts w:ascii="宋体" w:hAnsi="宋体"/>
                <w:b/>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构成招标文件组成部分的“通用合同条款”、“专用合同条款”和“技术标准和要求”等章节中出现的措辞“发包人”和“承包人”，在招标投标阶段应当分别按“招标人”和“投标人”进行理解。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见3.2.5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3</w:t>
            </w:r>
            <w:r>
              <w:rPr>
                <w:rFonts w:hint="eastAsia" w:ascii="宋体" w:hAnsi="宋体" w:cs="宋体"/>
                <w:color w:val="auto"/>
                <w:szCs w:val="21"/>
                <w:highlight w:val="none"/>
              </w:rPr>
              <w:t xml:space="preserve">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155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是否要求投标人在递交投标文件时，同时递交投标文件电子版</w:t>
            </w:r>
          </w:p>
        </w:tc>
        <w:tc>
          <w:tcPr>
            <w:tcW w:w="5996" w:type="dxa"/>
            <w:shd w:val="clear" w:color="auto" w:fill="auto"/>
            <w:vAlign w:val="center"/>
          </w:tcPr>
          <w:p>
            <w:pPr>
              <w:kinsoku w:val="0"/>
              <w:spacing w:line="360" w:lineRule="auto"/>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4</w:t>
            </w:r>
            <w:r>
              <w:rPr>
                <w:rFonts w:hint="eastAsia" w:ascii="宋体" w:hAnsi="宋体" w:cs="宋体"/>
                <w:color w:val="auto"/>
                <w:szCs w:val="21"/>
                <w:highlight w:val="none"/>
              </w:rPr>
              <w:t>电子招标投标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155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电子招标投标</w:t>
            </w:r>
          </w:p>
        </w:tc>
        <w:tc>
          <w:tcPr>
            <w:tcW w:w="5996" w:type="dxa"/>
            <w:shd w:val="clear" w:color="auto" w:fill="auto"/>
            <w:vAlign w:val="center"/>
          </w:tcPr>
          <w:p>
            <w:pPr>
              <w:kinsoku w:val="0"/>
              <w:spacing w:line="360" w:lineRule="auto"/>
              <w:rPr>
                <w:rFonts w:hAnsi="宋体"/>
                <w:color w:val="auto"/>
                <w:szCs w:val="21"/>
                <w:highlight w:val="none"/>
              </w:rPr>
            </w:pPr>
            <w:r>
              <w:rPr>
                <w:rFonts w:hint="eastAsia" w:ascii="宋体" w:hAnsi="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5</w:t>
            </w:r>
            <w:r>
              <w:rPr>
                <w:rFonts w:hint="eastAsia" w:ascii="宋体" w:hAnsi="宋体" w:cs="宋体"/>
                <w:color w:val="auto"/>
                <w:szCs w:val="21"/>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本项目为不见面开标，投标人无需到开标现场参与投标签到，无需提交原件、纸质资料或证明。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6</w:t>
            </w:r>
            <w:r>
              <w:rPr>
                <w:rFonts w:hint="eastAsia" w:ascii="宋体" w:hAnsi="宋体" w:cs="宋体"/>
                <w:color w:val="auto"/>
                <w:szCs w:val="21"/>
                <w:highlight w:val="none"/>
              </w:rPr>
              <w:t>中标候选人公示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中标候选人公示在发布招标公告的媒体上发布，公示期为3日</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7</w:t>
            </w:r>
            <w:r>
              <w:rPr>
                <w:rFonts w:hint="eastAsia" w:ascii="宋体" w:hAnsi="宋体" w:cs="宋体"/>
                <w:color w:val="auto"/>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8</w:t>
            </w:r>
            <w:r>
              <w:rPr>
                <w:rFonts w:hint="eastAsia" w:ascii="宋体" w:hAnsi="宋体" w:cs="宋体"/>
                <w:color w:val="auto"/>
                <w:szCs w:val="21"/>
                <w:highlight w:val="none"/>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9</w:t>
            </w:r>
            <w:r>
              <w:rPr>
                <w:rFonts w:hint="eastAsia" w:ascii="宋体" w:hAnsi="宋体" w:cs="宋体"/>
                <w:color w:val="auto"/>
                <w:szCs w:val="21"/>
                <w:highlight w:val="none"/>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10.1</w:t>
            </w:r>
            <w:r>
              <w:rPr>
                <w:rFonts w:ascii="宋体" w:hAnsi="宋体" w:cs="宋体"/>
                <w:color w:val="auto"/>
                <w:szCs w:val="21"/>
                <w:highlight w:val="none"/>
              </w:rPr>
              <w:t>0</w:t>
            </w:r>
            <w:r>
              <w:rPr>
                <w:rFonts w:hint="eastAsia" w:ascii="宋体" w:hAnsi="宋体" w:cs="宋体"/>
                <w:color w:val="auto"/>
                <w:szCs w:val="21"/>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auto"/>
            <w:vAlign w:val="center"/>
          </w:tcPr>
          <w:p>
            <w:pPr>
              <w:spacing w:line="360" w:lineRule="auto"/>
              <w:jc w:val="center"/>
              <w:rPr>
                <w:rFonts w:ascii="宋体" w:hAnsi="宋体"/>
                <w:color w:val="auto"/>
                <w:szCs w:val="21"/>
                <w:highlight w:val="none"/>
              </w:rPr>
            </w:pPr>
          </w:p>
        </w:tc>
        <w:tc>
          <w:tcPr>
            <w:tcW w:w="7547" w:type="dxa"/>
            <w:gridSpan w:val="3"/>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498" w:type="dxa"/>
            <w:gridSpan w:val="5"/>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10.1</w:t>
            </w:r>
            <w:r>
              <w:rPr>
                <w:rFonts w:ascii="宋体" w:hAnsi="宋体" w:cs="宋体"/>
                <w:color w:val="auto"/>
                <w:szCs w:val="21"/>
                <w:highlight w:val="none"/>
              </w:rPr>
              <w:t>1</w:t>
            </w:r>
            <w:r>
              <w:rPr>
                <w:rFonts w:hint="eastAsia" w:ascii="宋体" w:hAnsi="宋体" w:cs="宋体"/>
                <w:color w:val="auto"/>
                <w:szCs w:val="21"/>
                <w:highlight w:val="none"/>
              </w:rPr>
              <w:t xml:space="preserve">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shd w:val="clear" w:color="auto" w:fill="auto"/>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废标的其它条件</w:t>
            </w:r>
          </w:p>
        </w:tc>
        <w:tc>
          <w:tcPr>
            <w:tcW w:w="7547" w:type="dxa"/>
            <w:gridSpan w:val="3"/>
            <w:shd w:val="clear" w:color="auto" w:fill="auto"/>
            <w:vAlign w:val="center"/>
          </w:tcPr>
          <w:p>
            <w:pPr>
              <w:adjustRightInd w:val="0"/>
              <w:snapToGrid w:val="0"/>
              <w:spacing w:line="400" w:lineRule="exact"/>
              <w:rPr>
                <w:rFonts w:hint="eastAsia"/>
                <w:color w:val="auto"/>
                <w:szCs w:val="21"/>
                <w:highlight w:val="none"/>
              </w:rPr>
            </w:pPr>
            <w:r>
              <w:rPr>
                <w:rFonts w:hint="eastAsia"/>
                <w:color w:val="auto"/>
                <w:szCs w:val="21"/>
                <w:highlight w:val="none"/>
              </w:rPr>
              <w:t>（1）</w:t>
            </w:r>
            <w:r>
              <w:rPr>
                <w:rFonts w:hint="eastAsia" w:ascii="宋体" w:hAnsi="宋体"/>
                <w:color w:val="auto"/>
                <w:szCs w:val="21"/>
                <w:highlight w:val="none"/>
              </w:rPr>
              <w:t>未按招标文件的规定签字或盖章的</w:t>
            </w:r>
            <w:r>
              <w:rPr>
                <w:rFonts w:hint="eastAsia"/>
                <w:color w:val="auto"/>
                <w:szCs w:val="21"/>
                <w:highlight w:val="none"/>
              </w:rPr>
              <w:t>；</w:t>
            </w:r>
          </w:p>
          <w:p>
            <w:pPr>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（2）</w:t>
            </w:r>
            <w:r>
              <w:rPr>
                <w:rFonts w:hint="eastAsia" w:ascii="宋体" w:hAnsi="宋体"/>
                <w:color w:val="auto"/>
                <w:szCs w:val="21"/>
                <w:highlight w:val="none"/>
              </w:rPr>
              <w:t>未能通过投标人须知前附表1.4.1款资格审查的按废标处理；</w:t>
            </w:r>
            <w:r>
              <w:rPr>
                <w:rFonts w:hint="eastAsia"/>
                <w:color w:val="auto"/>
                <w:szCs w:val="21"/>
                <w:highlight w:val="none"/>
                <w:lang w:val="en-US" w:eastAsia="zh-CN"/>
              </w:rPr>
              <w:t xml:space="preserve"> </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）附有招标人不能接受的条件的；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）超过招标文件规定的工期或质量等级达不到招标文件规定的等级的；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）投标报价超出招标控制价的；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）投标文件的组成内容不符合招标文件要求的；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）以他人名义投标或以不正当手段谋取中标的；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w:t>
            </w:r>
            <w:r>
              <w:rPr>
                <w:rFonts w:hint="eastAsia"/>
                <w:color w:val="auto"/>
                <w:szCs w:val="21"/>
                <w:highlight w:val="none"/>
                <w:lang w:val="en-US" w:eastAsia="zh-CN"/>
              </w:rPr>
              <w:t>未按招标文件规定缴纳</w:t>
            </w:r>
            <w:r>
              <w:rPr>
                <w:rFonts w:hint="eastAsia"/>
                <w:color w:val="auto"/>
                <w:szCs w:val="21"/>
                <w:highlight w:val="none"/>
              </w:rPr>
              <w:t>投标保证金</w:t>
            </w:r>
            <w:r>
              <w:rPr>
                <w:rFonts w:hint="eastAsia"/>
                <w:color w:val="auto"/>
                <w:szCs w:val="21"/>
                <w:highlight w:val="none"/>
                <w:lang w:val="en-US" w:eastAsia="zh-CN"/>
              </w:rPr>
              <w:t>的</w:t>
            </w:r>
            <w:r>
              <w:rPr>
                <w:rFonts w:hint="eastAsia"/>
                <w:color w:val="auto"/>
                <w:szCs w:val="21"/>
                <w:highlight w:val="none"/>
              </w:rPr>
              <w:t>；</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9</w:t>
            </w:r>
            <w:r>
              <w:rPr>
                <w:rFonts w:hint="eastAsia"/>
                <w:color w:val="auto"/>
                <w:szCs w:val="21"/>
                <w:highlight w:val="none"/>
              </w:rPr>
              <w:t>）未附农民工工资保证金承诺的；</w:t>
            </w:r>
          </w:p>
          <w:p>
            <w:pPr>
              <w:adjustRightInd w:val="0"/>
              <w:snapToGrid w:val="0"/>
              <w:spacing w:line="400" w:lineRule="exact"/>
              <w:rPr>
                <w:rFonts w:hint="eastAsia"/>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0</w:t>
            </w:r>
            <w:r>
              <w:rPr>
                <w:rFonts w:hint="eastAsia"/>
                <w:color w:val="auto"/>
                <w:szCs w:val="21"/>
                <w:highlight w:val="none"/>
              </w:rPr>
              <w:t>）投标人递交两份或多份内容不同的投标文件，或在投标文件中对同一招标项目报有两个或多个报价，且未声明哪一个有效的</w:t>
            </w:r>
            <w:r>
              <w:rPr>
                <w:rFonts w:hint="eastAsia"/>
                <w:color w:val="auto"/>
                <w:szCs w:val="21"/>
                <w:highlight w:val="none"/>
                <w:lang w:eastAsia="zh-CN"/>
              </w:rPr>
              <w:t>；</w:t>
            </w:r>
          </w:p>
          <w:p>
            <w:pPr>
              <w:adjustRightInd w:val="0"/>
              <w:snapToGrid w:val="0"/>
              <w:spacing w:line="400" w:lineRule="exact"/>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1</w:t>
            </w:r>
            <w:r>
              <w:rPr>
                <w:rFonts w:hint="eastAsia"/>
                <w:color w:val="auto"/>
                <w:szCs w:val="21"/>
                <w:highlight w:val="none"/>
              </w:rPr>
              <w:t>）明显不符合技术规格、技术标准要求的；</w:t>
            </w:r>
          </w:p>
          <w:p>
            <w:pPr>
              <w:adjustRightInd w:val="0"/>
              <w:snapToGrid w:val="0"/>
              <w:spacing w:line="400" w:lineRule="exact"/>
              <w:rPr>
                <w:rFonts w:ascii="宋体" w:hAnsi="宋体" w:cs="宋体"/>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）其它由评标委员会认定不符合招标文件实质性要求的。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shd w:val="clear" w:color="auto" w:fill="auto"/>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中小企业划分标准（所属行业）</w:t>
            </w:r>
          </w:p>
        </w:tc>
        <w:tc>
          <w:tcPr>
            <w:tcW w:w="7547" w:type="dxa"/>
            <w:gridSpan w:val="3"/>
            <w:shd w:val="clear" w:color="auto" w:fill="auto"/>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zh-CN"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shd w:val="clear" w:color="auto" w:fill="auto"/>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本项目落实政府采购政策：</w:t>
            </w:r>
          </w:p>
        </w:tc>
        <w:tc>
          <w:tcPr>
            <w:tcW w:w="754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A</w:t>
            </w:r>
            <w:r>
              <w:rPr>
                <w:rFonts w:hint="eastAsia" w:ascii="宋体" w:hAnsi="宋体" w:eastAsia="宋体" w:cs="宋体"/>
                <w:color w:val="auto"/>
                <w:sz w:val="21"/>
                <w:szCs w:val="21"/>
                <w:highlight w:val="none"/>
                <w:lang w:val="en-US" w:eastAsia="zh-CN"/>
              </w:rPr>
              <w:t>.根据财政部、工信部关于印发《政府采购促进中小企业发展管理办法》的通知（财库〔2020〕46号 ）文件及财政部关于进一步加大政府采购支持中小企业力度的通知财库〔2022〕19号规定：</w:t>
            </w:r>
          </w:p>
          <w:p>
            <w:pPr>
              <w:keepNext w:val="0"/>
              <w:keepLines w:val="0"/>
              <w:pageBreakBefore w:val="0"/>
              <w:kinsoku/>
              <w:wordWrap/>
              <w:overflowPunct/>
              <w:topLinePunct w:val="0"/>
              <w:bidi w:val="0"/>
              <w:spacing w:after="0"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对于经主管预算单位统筹后未预留份额专门面向中小企业采购的采购项目，以及预留份额项目中的非预留部分采购包，应当对符合本办法规定的小微企业报价给予3%—5%的扣除，</w:t>
            </w:r>
            <w:r>
              <w:rPr>
                <w:rFonts w:hint="eastAsia" w:ascii="宋体" w:hAnsi="宋体" w:eastAsia="宋体" w:cs="宋体"/>
                <w:color w:val="auto"/>
                <w:sz w:val="21"/>
                <w:szCs w:val="21"/>
                <w:highlight w:val="none"/>
                <w:lang w:eastAsia="zh-CN"/>
              </w:rPr>
              <w:t>用扣除后的价格参加评审。适用招标投标法的政府采购工程建设项目，采用综合评估法但未采用低价优先法计算价格分的，评标时应当在采用原报价进行评分的基础上增加其价格得分的 3%—5%作为其价格分，本项目为适用招标投标法的政府采购工程建设项目，执行增加其价格得分的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%作为其价格分；</w:t>
            </w:r>
          </w:p>
          <w:p>
            <w:pPr>
              <w:keepNext w:val="0"/>
              <w:keepLines w:val="0"/>
              <w:pageBreakBefore w:val="0"/>
              <w:kinsoku/>
              <w:wordWrap/>
              <w:overflowPunct/>
              <w:topLinePunct w:val="0"/>
              <w:bidi w:val="0"/>
              <w:spacing w:after="0"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计算公式如下：</w:t>
            </w:r>
          </w:p>
          <w:p>
            <w:pPr>
              <w:keepNext w:val="0"/>
              <w:keepLines w:val="0"/>
              <w:pageBreakBefore w:val="0"/>
              <w:kinsoku/>
              <w:wordWrap/>
              <w:overflowPunct/>
              <w:topLinePunct w:val="0"/>
              <w:bidi w:val="0"/>
              <w:spacing w:after="0"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（1）小微企业扶持政策得分=采用原报价评审得分×</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bidi w:val="0"/>
              <w:spacing w:after="0"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（2）小微企业投标报价得分=采用原报价评审得分×（1+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bidi w:val="0"/>
              <w:spacing w:after="0" w:line="500" w:lineRule="exact"/>
              <w:ind w:firstLine="211" w:firstLineChars="100"/>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根据《财政部、司法部关于政府采购支持监狱企业发展有关问题的通知》（财库[2014]68 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根据《关于促进残疾人就业政府采购政策的通知》（财库〔2017〕141 号）文件规定，本项目支持残疾人福利性单位参与政府采购活动。符合条件的残疾人福利性单位参加本项目投标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根据《关于调整优化节能产品 环境标志产品政府采购执行机制的通知》（财库〔2019〕9 号）文件规定，本项目如涉及到品目清单范围内的产品，将依据国家确定的认证机构出具的、处于有效期之内的节能产品、环境标志产品认证证书，对获得证书的产品实施优先采购或强制采购。</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根据《政府采购进口产品管理办法》（财库[2007]119 号）规定，政府采购应当采购本国产品，不允许采购进口产品，确需采购进口产品的，实行审核管理。</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本办法所称进口产品是指通过中国海关报关验放进入中国境内且产自关境外的产  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根据政府采购政策，本项目如涉及到自主创新首购产品，应当采购由财政部会同科技部等部门制定的《政府采购自主创新产品目录》内的产品。</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根据政府采购政策，本项目如涉及到无线局域网产品，应当优先采购《无线局域网认证产品政府采购清单》内的产品，如涉及到信息安全产品，应当采购经国家认证的信息安全产品。</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H</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根据政府采购政策，本项目如涉及到计算机办公设备产品，供应商所投产品必  须是预装正版操作系统软件的计算机产品。</w:t>
            </w: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I</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951" w:type="dxa"/>
            <w:gridSpan w:val="2"/>
            <w:shd w:val="clear" w:color="auto" w:fill="auto"/>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重新确定中标人</w:t>
            </w:r>
          </w:p>
        </w:tc>
        <w:tc>
          <w:tcPr>
            <w:tcW w:w="7547" w:type="dxa"/>
            <w:gridSpan w:val="3"/>
            <w:shd w:val="clear" w:color="auto" w:fill="auto"/>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投标人须知第7.1条规定的情形确定的中标候选人出现下述情况：排名第一的中标候选人放弃中标/或者因不可抗力不能履行合同/或者不按照招标文件要求提交履约保证金/或者被查实存在影响中标结果的违法行为等情形，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特别提醒</w:t>
            </w:r>
          </w:p>
        </w:tc>
        <w:tc>
          <w:tcPr>
            <w:tcW w:w="7547" w:type="dxa"/>
            <w:gridSpan w:val="3"/>
            <w:shd w:val="clear" w:color="auto" w:fill="auto"/>
            <w:vAlign w:val="center"/>
          </w:tcPr>
          <w:p>
            <w:pPr>
              <w:widowControl/>
              <w:spacing w:line="360"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1.本项目采用“远程不见面”开标方式，电子投标文件格式文件必须使用焦作市公共资源交易系统指定的投标文件制作工具进行制作，投标文件为“.jztf” 格式。</w:t>
            </w:r>
          </w:p>
          <w:p>
            <w:pPr>
              <w:widowControl/>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的招标文件、图纸（如有）、招标文件所做的澄清、修改等内容（如果有的话）及有关附件均通过焦作市公共资源交易中心电子交易平台发布，请投标单位务必关注并及时查阅，否则，因未能及时查阅而可能导致的未响应招标文件的后果，由投标单位自行承担。</w:t>
            </w:r>
          </w:p>
          <w:p>
            <w:pPr>
              <w:pStyle w:val="121"/>
              <w:spacing w:line="360" w:lineRule="auto"/>
              <w:rPr>
                <w:rFonts w:ascii="宋体" w:hAnsi="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.本项目招标文件中要求“提供的证明材料加盖投标人公章复印件或扫描件”是指：</w:t>
            </w:r>
            <w:r>
              <w:rPr>
                <w:rFonts w:hint="eastAsia" w:ascii="宋体" w:hAnsi="宋体" w:cs="宋体"/>
                <w:b/>
                <w:bCs/>
                <w:color w:val="auto"/>
                <w:szCs w:val="21"/>
                <w:highlight w:val="none"/>
              </w:rPr>
              <w:t>如上传的证明材料为原件的复印件需加盖投标单位公章扫描上传并加盖企业电子公章；如上传的证明材料为原件扫描件，可直接上传并加盖企业电子公章。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1" w:type="dxa"/>
            <w:gridSpan w:val="2"/>
            <w:shd w:val="clear" w:color="auto" w:fill="auto"/>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7547" w:type="dxa"/>
            <w:gridSpan w:val="3"/>
            <w:shd w:val="clear" w:color="auto" w:fill="auto"/>
            <w:vAlign w:val="center"/>
          </w:tcPr>
          <w:p>
            <w:pPr>
              <w:autoSpaceDN w:val="0"/>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color w:val="auto"/>
                <w:highlight w:val="none"/>
                <w:lang w:val="en-US" w:eastAsia="zh-CN"/>
              </w:rPr>
              <w:t>招标代理服务费:参照豫招协[2023]002号《河南省招标代理服务收费指导意见》中的标准向中标人收取招标代理服务费,中标人在领取中标通知书前，向代理机构足额缴纳。</w:t>
            </w:r>
          </w:p>
          <w:p>
            <w:pPr>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此招标文件解释权归招标人，未尽事宜按国家相关法律法规执行。</w:t>
            </w:r>
          </w:p>
          <w:p>
            <w:pPr>
              <w:spacing w:line="360" w:lineRule="auto"/>
              <w:rPr>
                <w:rFonts w:ascii="宋体" w:hAnsi="宋体"/>
                <w:color w:val="auto"/>
                <w:highlight w:val="none"/>
              </w:rPr>
            </w:pPr>
            <w:r>
              <w:rPr>
                <w:rFonts w:ascii="宋体" w:hAnsi="宋体"/>
                <w:color w:val="auto"/>
                <w:szCs w:val="21"/>
                <w:highlight w:val="none"/>
              </w:rPr>
              <w:t>3</w:t>
            </w:r>
            <w:r>
              <w:rPr>
                <w:rFonts w:hint="eastAsia" w:ascii="宋体" w:hAnsi="宋体"/>
                <w:color w:val="auto"/>
                <w:szCs w:val="21"/>
                <w:highlight w:val="none"/>
              </w:rPr>
              <w:t>.招标公告与招标文件不一致的地方，以招标文件为准。</w:t>
            </w:r>
          </w:p>
        </w:tc>
      </w:tr>
    </w:tbl>
    <w:p>
      <w:pPr>
        <w:pStyle w:val="2"/>
        <w:rPr>
          <w:color w:val="auto"/>
          <w:sz w:val="32"/>
          <w:szCs w:val="32"/>
          <w:highlight w:val="none"/>
        </w:rPr>
      </w:pPr>
      <w:bookmarkStart w:id="70" w:name="_Toc247513952"/>
      <w:bookmarkStart w:id="71" w:name="_Toc144974497"/>
      <w:bookmarkStart w:id="72" w:name="_Toc8538"/>
      <w:bookmarkStart w:id="73" w:name="_Toc1675"/>
      <w:bookmarkStart w:id="74" w:name="_Toc247527553"/>
      <w:bookmarkStart w:id="75" w:name="_Toc31833"/>
      <w:bookmarkStart w:id="76" w:name="_Toc6158"/>
      <w:bookmarkStart w:id="77" w:name="_Toc152042305"/>
      <w:bookmarkStart w:id="78" w:name="_Toc152045529"/>
      <w:r>
        <w:rPr>
          <w:color w:val="auto"/>
          <w:highlight w:val="none"/>
        </w:rPr>
        <w:br w:type="page"/>
      </w:r>
    </w:p>
    <w:p>
      <w:pPr>
        <w:pStyle w:val="4"/>
        <w:spacing w:before="120" w:after="120" w:line="360" w:lineRule="auto"/>
        <w:rPr>
          <w:rFonts w:ascii="宋体" w:hAnsi="宋体" w:eastAsia="宋体"/>
          <w:color w:val="auto"/>
          <w:highlight w:val="none"/>
        </w:rPr>
      </w:pPr>
      <w:bookmarkStart w:id="79" w:name="_Toc5354"/>
      <w:r>
        <w:rPr>
          <w:rFonts w:hint="eastAsia" w:ascii="宋体" w:hAnsi="宋体" w:eastAsia="宋体"/>
          <w:color w:val="auto"/>
          <w:highlight w:val="none"/>
        </w:rPr>
        <w:t>1. 总则</w:t>
      </w:r>
      <w:bookmarkEnd w:id="70"/>
      <w:bookmarkEnd w:id="71"/>
      <w:bookmarkEnd w:id="72"/>
      <w:bookmarkEnd w:id="73"/>
      <w:bookmarkEnd w:id="74"/>
      <w:bookmarkEnd w:id="75"/>
      <w:bookmarkEnd w:id="76"/>
      <w:bookmarkEnd w:id="77"/>
      <w:bookmarkEnd w:id="78"/>
      <w:bookmarkEnd w:id="79"/>
    </w:p>
    <w:p>
      <w:pPr>
        <w:pStyle w:val="5"/>
        <w:spacing w:before="240" w:after="120" w:line="360" w:lineRule="auto"/>
        <w:rPr>
          <w:rFonts w:ascii="宋体" w:eastAsia="宋体"/>
          <w:color w:val="auto"/>
          <w:highlight w:val="none"/>
        </w:rPr>
      </w:pPr>
      <w:bookmarkStart w:id="80" w:name="_Toc22508"/>
      <w:bookmarkStart w:id="81" w:name="_Toc62586916"/>
      <w:bookmarkStart w:id="82" w:name="_Toc434565139"/>
      <w:bookmarkStart w:id="83" w:name="_Toc66975057"/>
      <w:bookmarkStart w:id="84" w:name="_Toc10100"/>
      <w:bookmarkStart w:id="85" w:name="_Toc247527554"/>
      <w:bookmarkStart w:id="86" w:name="_Toc119856019"/>
      <w:bookmarkStart w:id="87" w:name="_Toc152042306"/>
      <w:bookmarkStart w:id="88" w:name="_Toc15224"/>
      <w:bookmarkStart w:id="89" w:name="_Toc54803390"/>
      <w:bookmarkStart w:id="90" w:name="_Toc144974498"/>
      <w:bookmarkStart w:id="91" w:name="_Toc247513953"/>
      <w:bookmarkStart w:id="92" w:name="_Toc152045530"/>
      <w:bookmarkStart w:id="93" w:name="_Toc14412"/>
      <w:bookmarkStart w:id="94" w:name="_Toc4077"/>
      <w:bookmarkStart w:id="95" w:name="_Toc26572"/>
      <w:r>
        <w:rPr>
          <w:rFonts w:hint="eastAsia" w:ascii="宋体" w:eastAsia="宋体"/>
          <w:color w:val="auto"/>
          <w:highlight w:val="none"/>
        </w:rPr>
        <w:t>1.1 项目概况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360" w:lineRule="auto"/>
        <w:ind w:firstLine="420" w:firstLineChars="200"/>
        <w:rPr>
          <w:rFonts w:ascii="宋体" w:hAnsi="宋体"/>
          <w:color w:val="auto"/>
          <w:highlight w:val="none"/>
        </w:rPr>
      </w:pPr>
      <w:r>
        <w:rPr>
          <w:rFonts w:hint="eastAsia" w:ascii="宋体" w:hAnsi="宋体"/>
          <w:color w:val="auto"/>
          <w:highlight w:val="none"/>
        </w:rPr>
        <w:t>1.1.1根据《中华人民共和国招标投标法》等有关法律、法规和规章的规定，本招标项目已具备招标条件，现对该</w:t>
      </w:r>
      <w:r>
        <w:rPr>
          <w:rFonts w:hint="eastAsia" w:ascii="宋体" w:hAnsi="宋体"/>
          <w:color w:val="auto"/>
          <w:highlight w:val="none"/>
          <w:lang w:eastAsia="zh-CN"/>
        </w:rPr>
        <w:t>标段</w:t>
      </w:r>
      <w:r>
        <w:rPr>
          <w:rFonts w:hint="eastAsia" w:ascii="宋体" w:hAnsi="宋体"/>
          <w:color w:val="auto"/>
          <w:highlight w:val="none"/>
        </w:rPr>
        <w:t>E</w:t>
      </w:r>
      <w:r>
        <w:rPr>
          <w:rFonts w:ascii="宋体" w:hAnsi="宋体"/>
          <w:color w:val="auto"/>
          <w:highlight w:val="none"/>
        </w:rPr>
        <w:t>PC</w:t>
      </w:r>
      <w:r>
        <w:rPr>
          <w:rFonts w:hint="eastAsia" w:ascii="宋体" w:hAnsi="宋体"/>
          <w:color w:val="auto"/>
          <w:highlight w:val="none"/>
        </w:rPr>
        <w:t>总承包进行招标。</w:t>
      </w:r>
    </w:p>
    <w:p>
      <w:pPr>
        <w:spacing w:line="360" w:lineRule="auto"/>
        <w:ind w:firstLine="420" w:firstLineChars="200"/>
        <w:rPr>
          <w:rFonts w:ascii="宋体" w:hAnsi="宋体"/>
          <w:color w:val="auto"/>
          <w:highlight w:val="none"/>
        </w:rPr>
      </w:pPr>
      <w:r>
        <w:rPr>
          <w:rFonts w:hint="eastAsia" w:ascii="宋体" w:hAnsi="宋体"/>
          <w:color w:val="auto"/>
          <w:highlight w:val="none"/>
        </w:rPr>
        <w:t>1.1.2 招标人：见投标人须知前附表。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1.1.3 招标代理机构：见投标人须知前附表。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1.1.4 招标项目名称：见投标人须知前附表。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1.1.5 项目建设地点：见投标人须知前附表。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1.1.</w:t>
      </w:r>
      <w:r>
        <w:rPr>
          <w:rFonts w:ascii="宋体" w:hAnsi="宋体"/>
          <w:color w:val="auto"/>
          <w:highlight w:val="none"/>
        </w:rPr>
        <w:t>6</w:t>
      </w:r>
      <w:r>
        <w:rPr>
          <w:rFonts w:hint="eastAsia" w:ascii="宋体" w:hAnsi="宋体"/>
          <w:color w:val="auto"/>
          <w:highlight w:val="none"/>
        </w:rPr>
        <w:t xml:space="preserve"> 工程概况：见投标人须知前附表。</w:t>
      </w:r>
    </w:p>
    <w:p>
      <w:pPr>
        <w:pStyle w:val="5"/>
        <w:spacing w:before="240" w:after="120" w:line="360" w:lineRule="auto"/>
        <w:rPr>
          <w:rFonts w:ascii="宋体" w:eastAsia="宋体"/>
          <w:color w:val="auto"/>
          <w:highlight w:val="none"/>
        </w:rPr>
      </w:pPr>
      <w:bookmarkStart w:id="96" w:name="_Toc119856020"/>
      <w:bookmarkStart w:id="97" w:name="_Toc62586917"/>
      <w:bookmarkStart w:id="98" w:name="_Toc54803391"/>
      <w:bookmarkStart w:id="99" w:name="_Toc66975058"/>
      <w:bookmarkStart w:id="100" w:name="_Toc21469"/>
      <w:bookmarkStart w:id="101" w:name="_Toc14820"/>
      <w:bookmarkStart w:id="102" w:name="_Toc13160"/>
      <w:bookmarkStart w:id="103" w:name="_Toc10595"/>
      <w:bookmarkStart w:id="104" w:name="_Toc152042307"/>
      <w:bookmarkStart w:id="105" w:name="_Toc144974499"/>
      <w:bookmarkStart w:id="106" w:name="_Toc247527555"/>
      <w:bookmarkStart w:id="107" w:name="_Toc152045531"/>
      <w:bookmarkStart w:id="108" w:name="_Toc247513954"/>
      <w:bookmarkStart w:id="109" w:name="_Toc12849"/>
      <w:bookmarkStart w:id="110" w:name="_Toc434565140"/>
      <w:bookmarkStart w:id="111" w:name="_Toc24467"/>
      <w:r>
        <w:rPr>
          <w:rFonts w:hint="eastAsia" w:ascii="宋体" w:eastAsia="宋体"/>
          <w:color w:val="auto"/>
          <w:highlight w:val="none"/>
        </w:rPr>
        <w:t>1.2 项目的资金来源和落实情况</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360" w:lineRule="auto"/>
        <w:ind w:firstLine="420" w:firstLineChars="200"/>
        <w:rPr>
          <w:rFonts w:ascii="宋体" w:hAnsi="宋体"/>
          <w:color w:val="auto"/>
          <w:highlight w:val="none"/>
        </w:rPr>
      </w:pPr>
      <w:r>
        <w:rPr>
          <w:rFonts w:hint="eastAsia" w:ascii="宋体" w:hAnsi="宋体"/>
          <w:color w:val="auto"/>
          <w:highlight w:val="none"/>
        </w:rPr>
        <w:t>1.2.1 资金来源及比例：见投标人须知前附表。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1.2.2 资金落实情况：见投标人须知前附表。</w:t>
      </w:r>
    </w:p>
    <w:p>
      <w:pPr>
        <w:pStyle w:val="5"/>
        <w:spacing w:before="240" w:after="120" w:line="360" w:lineRule="auto"/>
        <w:rPr>
          <w:rFonts w:ascii="宋体" w:eastAsia="宋体"/>
          <w:color w:val="auto"/>
          <w:highlight w:val="none"/>
        </w:rPr>
      </w:pPr>
      <w:bookmarkStart w:id="112" w:name="_Toc247527556"/>
      <w:bookmarkStart w:id="113" w:name="_Toc152042308"/>
      <w:bookmarkStart w:id="114" w:name="_Toc152045532"/>
      <w:bookmarkStart w:id="115" w:name="_Toc247513955"/>
      <w:bookmarkStart w:id="116" w:name="_Toc144974500"/>
      <w:bookmarkStart w:id="117" w:name="_Toc119856021"/>
      <w:bookmarkStart w:id="118" w:name="_Toc19494"/>
      <w:bookmarkStart w:id="119" w:name="_Toc20156"/>
      <w:bookmarkStart w:id="120" w:name="_Toc257"/>
      <w:bookmarkStart w:id="121" w:name="_Toc27294"/>
      <w:bookmarkStart w:id="122" w:name="_Toc24839"/>
      <w:bookmarkStart w:id="123" w:name="_Toc434565141"/>
      <w:bookmarkStart w:id="124" w:name="_Toc66975059"/>
      <w:bookmarkStart w:id="125" w:name="_Toc62586918"/>
      <w:bookmarkStart w:id="126" w:name="_Toc54803392"/>
      <w:bookmarkStart w:id="127" w:name="_Toc8932"/>
      <w:r>
        <w:rPr>
          <w:rFonts w:hint="eastAsia" w:ascii="宋体" w:eastAsia="宋体"/>
          <w:color w:val="auto"/>
          <w:highlight w:val="none"/>
        </w:rPr>
        <w:t>1.3 招标范围、计划工期和</w:t>
      </w:r>
      <w:bookmarkEnd w:id="112"/>
      <w:bookmarkEnd w:id="113"/>
      <w:bookmarkEnd w:id="114"/>
      <w:bookmarkEnd w:id="115"/>
      <w:bookmarkEnd w:id="116"/>
      <w:r>
        <w:rPr>
          <w:rFonts w:hint="eastAsia" w:ascii="宋体" w:eastAsia="宋体"/>
          <w:color w:val="auto"/>
          <w:highlight w:val="none"/>
        </w:rPr>
        <w:t>质量标准</w:t>
      </w:r>
      <w:bookmarkEnd w:id="117"/>
      <w:bookmarkEnd w:id="118"/>
      <w:bookmarkEnd w:id="119"/>
      <w:bookmarkEnd w:id="120"/>
      <w:bookmarkEnd w:id="121"/>
      <w:bookmarkEnd w:id="122"/>
      <w:bookmarkEnd w:id="123"/>
      <w:bookmarkEnd w:id="124"/>
      <w:bookmarkEnd w:id="125"/>
      <w:bookmarkEnd w:id="126"/>
      <w:bookmarkEnd w:id="127"/>
    </w:p>
    <w:p>
      <w:pPr>
        <w:spacing w:line="360" w:lineRule="auto"/>
        <w:ind w:firstLine="420" w:firstLineChars="200"/>
        <w:rPr>
          <w:rFonts w:ascii="宋体" w:hAnsi="宋体"/>
          <w:color w:val="auto"/>
          <w:highlight w:val="none"/>
        </w:rPr>
      </w:pPr>
      <w:r>
        <w:rPr>
          <w:rFonts w:hint="eastAsia" w:ascii="宋体" w:hAnsi="宋体"/>
          <w:color w:val="auto"/>
          <w:highlight w:val="none"/>
        </w:rPr>
        <w:t>1.3.1 招标范围：见投标人须知前附表。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1.3.2 计划工期：见投标人须知前附表。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1.3.3 质量标准：见投标人须知前附表。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1.3.4 本工程的安全要求：见投标人须知前附表。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1.3.5 本工程的标段划分：见投标人须知前附表。</w:t>
      </w:r>
    </w:p>
    <w:p>
      <w:pPr>
        <w:pStyle w:val="5"/>
        <w:spacing w:before="240" w:after="120" w:line="360" w:lineRule="auto"/>
        <w:rPr>
          <w:rFonts w:ascii="宋体" w:eastAsia="宋体"/>
          <w:color w:val="auto"/>
          <w:highlight w:val="none"/>
        </w:rPr>
      </w:pPr>
      <w:bookmarkStart w:id="128" w:name="_Toc19233"/>
      <w:bookmarkStart w:id="129" w:name="_Toc62586919"/>
      <w:bookmarkStart w:id="130" w:name="_Toc54803393"/>
      <w:bookmarkStart w:id="131" w:name="_Toc15821"/>
      <w:bookmarkStart w:id="132" w:name="_Toc25214"/>
      <w:bookmarkStart w:id="133" w:name="_Toc22249"/>
      <w:bookmarkStart w:id="134" w:name="_Toc32405"/>
      <w:bookmarkStart w:id="135" w:name="_Toc66975060"/>
      <w:bookmarkStart w:id="136" w:name="_Toc119856022"/>
      <w:bookmarkStart w:id="137" w:name="_Toc9522"/>
      <w:bookmarkStart w:id="138" w:name="_Toc144974502"/>
      <w:bookmarkStart w:id="139" w:name="_Toc434565142"/>
      <w:bookmarkStart w:id="140" w:name="_Toc152042310"/>
      <w:bookmarkStart w:id="141" w:name="_Toc247513957"/>
      <w:bookmarkStart w:id="142" w:name="_Toc152045534"/>
      <w:bookmarkStart w:id="143" w:name="_Toc247527558"/>
      <w:r>
        <w:rPr>
          <w:rFonts w:hint="eastAsia" w:ascii="宋体" w:eastAsia="宋体"/>
          <w:color w:val="auto"/>
          <w:highlight w:val="none"/>
        </w:rPr>
        <w:t>1.4 投标人资格要求</w:t>
      </w:r>
      <w:bookmarkEnd w:id="128"/>
      <w:bookmarkEnd w:id="129"/>
      <w:bookmarkEnd w:id="130"/>
      <w:bookmarkEnd w:id="131"/>
      <w:bookmarkEnd w:id="132"/>
      <w:bookmarkEnd w:id="133"/>
      <w:bookmarkEnd w:id="134"/>
      <w:bookmarkEnd w:id="135"/>
      <w:bookmarkEnd w:id="136"/>
      <w:bookmarkEnd w:id="13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1.4.1投标人应具备承担本项目施工的资质条件、能力和信誉。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（1）资质要求：见投标人须知前附表；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（3）项目经理和设计负责人资质要求：见投标人须知前附表；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）信誉要求：见投标人须知前附表；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1.4.2 投标人须知前附表规定接受联合体投标的，除应符合本章第1.4.1项和投标人须知前附表的要求外，还应遵守以下规定：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（1）联合体各方应签订联合体协议书，格式自拟，明确联合体牵头人和各方权利义务；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（2）由同一专业的单位组成的联合体，按照资质等级较低的单位确定资质等级；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（4）联合体牵头人须是负责本项目的施工企业。牵头人的法定代表人或其授权的委托代理人负责签署本次招标活动的相关资料，需要盖章的由牵头人盖单位公章，联合体各方必须签订联合体协议对此予以认可。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 xml:space="preserve">（1）为招标人不具有独立法人资格的附属机构（单位）；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（2）为本项目前期准备提供设计或咨询服务的，但设计施工总承包的除外；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（3）为本项目的监理人；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（5）为本项目提供招标代理服务的；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（6）与本项目的监理人或招标代理机构同为一个法定代表人的；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（7）与本项目的监理人或或招标代理机构相互控股或参股的；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（8）与本项目的监理人或招标代理机构相互任职或工作的；</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（9）被责令停业的；</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（10）被暂停或取消投标资格的；</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（11）财产被接管或冻结的；</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（12）有骗取中标或严重违约或重大工程质量问题的（各有关机构作出的限制投标决定，对本项目产生直接影响且在有效期内的）；</w:t>
      </w:r>
    </w:p>
    <w:p>
      <w:pPr>
        <w:pStyle w:val="22"/>
        <w:spacing w:line="360" w:lineRule="auto"/>
        <w:ind w:firstLine="420" w:firstLineChars="200"/>
        <w:rPr>
          <w:rFonts w:hAnsi="宋体" w:eastAsia="宋体" w:cs="宋体"/>
          <w:color w:val="auto"/>
          <w:sz w:val="18"/>
          <w:szCs w:val="18"/>
          <w:highlight w:val="none"/>
        </w:rPr>
      </w:pPr>
      <w:r>
        <w:rPr>
          <w:rFonts w:hint="eastAsia" w:hAnsi="宋体" w:eastAsia="宋体" w:cs="宋体"/>
          <w:color w:val="auto"/>
          <w:highlight w:val="none"/>
        </w:rPr>
        <w:t>（13）被市场监督管理部门列入经营异常名录的（以信用中国查询为准）；</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（14）被列入严重违法失信企业名单的（以国家企业信用公示系统查询为准）；</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（15）被人民法院公布的失信被执行人（以信用中国查询为准）；</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（16）被列入重大税收违法案件当事人名单的（以信用中国查询为准）；</w:t>
      </w:r>
    </w:p>
    <w:p>
      <w:pPr>
        <w:pStyle w:val="22"/>
        <w:spacing w:line="360" w:lineRule="auto"/>
        <w:ind w:firstLine="420" w:firstLineChars="200"/>
        <w:rPr>
          <w:rFonts w:hAnsi="宋体" w:eastAsia="宋体" w:cs="宋体"/>
          <w:color w:val="auto"/>
          <w:highlight w:val="none"/>
        </w:rPr>
      </w:pPr>
      <w:r>
        <w:rPr>
          <w:rFonts w:hint="eastAsia" w:hAnsi="宋体" w:eastAsia="宋体" w:cs="宋体"/>
          <w:color w:val="auto"/>
          <w:highlight w:val="none"/>
        </w:rPr>
        <w:t>（17）有行贿犯罪记录的。</w:t>
      </w:r>
    </w:p>
    <w:p>
      <w:pPr>
        <w:pStyle w:val="22"/>
        <w:spacing w:line="360" w:lineRule="auto"/>
        <w:ind w:firstLine="420" w:firstLineChars="200"/>
        <w:rPr>
          <w:rFonts w:hAnsi="宋体"/>
          <w:color w:val="auto"/>
          <w:highlight w:val="none"/>
        </w:rPr>
      </w:pPr>
      <w:r>
        <w:rPr>
          <w:rFonts w:hint="eastAsia" w:hAnsi="宋体" w:eastAsia="宋体" w:cs="宋体"/>
          <w:color w:val="auto"/>
          <w:highlight w:val="none"/>
        </w:rPr>
        <w:t>注：信用中国及国家企业信用公示系统查询信息，以投标时间截止</w:t>
      </w:r>
      <w:r>
        <w:rPr>
          <w:rFonts w:hint="eastAsia" w:hAnsi="宋体" w:eastAsia="宋体" w:cs="宋体"/>
          <w:color w:val="auto"/>
          <w:highlight w:val="none"/>
          <w:lang w:eastAsia="zh-CN"/>
        </w:rPr>
        <w:t>当日</w:t>
      </w:r>
      <w:r>
        <w:rPr>
          <w:rFonts w:hint="eastAsia" w:hAnsi="宋体" w:eastAsia="宋体" w:cs="宋体"/>
          <w:color w:val="auto"/>
          <w:highlight w:val="none"/>
        </w:rPr>
        <w:t>招标人、招标代理机构在信用中国及国家企业信用公示系统网站查询结果为准。</w:t>
      </w:r>
      <w:bookmarkEnd w:id="138"/>
      <w:bookmarkEnd w:id="139"/>
      <w:bookmarkEnd w:id="140"/>
      <w:bookmarkEnd w:id="141"/>
      <w:bookmarkEnd w:id="142"/>
      <w:bookmarkEnd w:id="143"/>
    </w:p>
    <w:p>
      <w:pPr>
        <w:pStyle w:val="5"/>
        <w:spacing w:before="240" w:after="120" w:line="360" w:lineRule="auto"/>
        <w:rPr>
          <w:rFonts w:ascii="宋体" w:eastAsia="宋体"/>
          <w:color w:val="auto"/>
          <w:highlight w:val="none"/>
        </w:rPr>
      </w:pPr>
      <w:bookmarkStart w:id="144" w:name="_Toc247513958"/>
      <w:bookmarkStart w:id="145" w:name="_Toc152045535"/>
      <w:bookmarkStart w:id="146" w:name="_Toc152042311"/>
      <w:bookmarkStart w:id="147" w:name="_Toc144974503"/>
      <w:bookmarkStart w:id="148" w:name="_Toc247527559"/>
      <w:bookmarkStart w:id="149" w:name="_Toc5366"/>
      <w:bookmarkStart w:id="150" w:name="_Toc434565143"/>
      <w:bookmarkStart w:id="151" w:name="_Toc22048"/>
      <w:bookmarkStart w:id="152" w:name="_Toc54803394"/>
      <w:bookmarkStart w:id="153" w:name="_Toc62586920"/>
      <w:bookmarkStart w:id="154" w:name="_Toc23136"/>
      <w:bookmarkStart w:id="155" w:name="_Toc9383"/>
      <w:bookmarkStart w:id="156" w:name="_Toc1998"/>
      <w:bookmarkStart w:id="157" w:name="_Toc66975061"/>
      <w:bookmarkStart w:id="158" w:name="_Toc26354"/>
      <w:bookmarkStart w:id="159" w:name="_Toc119856023"/>
      <w:r>
        <w:rPr>
          <w:rFonts w:hint="eastAsia" w:ascii="宋体" w:eastAsia="宋体"/>
          <w:color w:val="auto"/>
          <w:highlight w:val="none"/>
        </w:rPr>
        <w:t>1.5 费用承担</w:t>
      </w:r>
      <w:bookmarkEnd w:id="144"/>
      <w:bookmarkEnd w:id="145"/>
      <w:bookmarkEnd w:id="146"/>
      <w:bookmarkEnd w:id="147"/>
      <w:bookmarkEnd w:id="148"/>
      <w:r>
        <w:rPr>
          <w:rFonts w:hint="eastAsia" w:ascii="宋体" w:eastAsia="宋体"/>
          <w:color w:val="auto"/>
          <w:highlight w:val="none"/>
        </w:rPr>
        <w:t>和设计成果补偿</w:t>
      </w:r>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20" w:firstLineChars="200"/>
        <w:rPr>
          <w:rFonts w:ascii="宋体" w:hAnsi="宋体"/>
          <w:color w:val="auto"/>
          <w:highlight w:val="none"/>
        </w:rPr>
      </w:pPr>
      <w:r>
        <w:rPr>
          <w:rFonts w:hint="eastAsia" w:ascii="宋体" w:hAnsi="宋体"/>
          <w:color w:val="auto"/>
          <w:highlight w:val="none"/>
        </w:rPr>
        <w:t>1.5.1 投标人准备和参加投标活动发生的费用自理，设计成果不补偿。</w:t>
      </w:r>
    </w:p>
    <w:p>
      <w:pPr>
        <w:pStyle w:val="5"/>
        <w:spacing w:before="240" w:after="120" w:line="360" w:lineRule="auto"/>
        <w:rPr>
          <w:rFonts w:ascii="宋体" w:eastAsia="宋体"/>
          <w:color w:val="auto"/>
          <w:highlight w:val="none"/>
        </w:rPr>
      </w:pPr>
      <w:bookmarkStart w:id="160" w:name="_Toc3916"/>
      <w:bookmarkStart w:id="161" w:name="_Toc22201"/>
      <w:bookmarkStart w:id="162" w:name="_Toc66975062"/>
      <w:bookmarkStart w:id="163" w:name="_Toc152042312"/>
      <w:bookmarkStart w:id="164" w:name="_Toc247513959"/>
      <w:bookmarkStart w:id="165" w:name="_Toc30850"/>
      <w:bookmarkStart w:id="166" w:name="_Toc119856024"/>
      <w:bookmarkStart w:id="167" w:name="_Toc54803395"/>
      <w:bookmarkStart w:id="168" w:name="_Toc62586921"/>
      <w:bookmarkStart w:id="169" w:name="_Toc144974504"/>
      <w:bookmarkStart w:id="170" w:name="_Toc31526"/>
      <w:bookmarkStart w:id="171" w:name="_Toc152045536"/>
      <w:bookmarkStart w:id="172" w:name="_Toc247527560"/>
      <w:bookmarkStart w:id="173" w:name="_Toc15654"/>
      <w:bookmarkStart w:id="174" w:name="_Toc4271"/>
      <w:bookmarkStart w:id="175" w:name="_Toc434565144"/>
      <w:r>
        <w:rPr>
          <w:rFonts w:hint="eastAsia" w:ascii="宋体" w:eastAsia="宋体"/>
          <w:color w:val="auto"/>
          <w:highlight w:val="none"/>
        </w:rPr>
        <w:t>1.6 保密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参与招标投标活动的各方应对招标文件和投标文件中的商业和技术等秘密保密，否则应承担相应的法律责任。 </w:t>
      </w:r>
    </w:p>
    <w:p>
      <w:pPr>
        <w:pStyle w:val="5"/>
        <w:spacing w:before="240" w:after="120" w:line="360" w:lineRule="auto"/>
        <w:rPr>
          <w:rFonts w:ascii="宋体" w:eastAsia="宋体"/>
          <w:color w:val="auto"/>
          <w:highlight w:val="none"/>
        </w:rPr>
      </w:pPr>
      <w:bookmarkStart w:id="176" w:name="_Toc144974505"/>
      <w:bookmarkStart w:id="177" w:name="_Toc62586922"/>
      <w:bookmarkStart w:id="178" w:name="_Toc247513960"/>
      <w:bookmarkStart w:id="179" w:name="_Toc12755"/>
      <w:bookmarkStart w:id="180" w:name="_Toc434565145"/>
      <w:bookmarkStart w:id="181" w:name="_Toc1855"/>
      <w:bookmarkStart w:id="182" w:name="_Toc7051"/>
      <w:bookmarkStart w:id="183" w:name="_Toc66975063"/>
      <w:bookmarkStart w:id="184" w:name="_Toc152042313"/>
      <w:bookmarkStart w:id="185" w:name="_Toc152045537"/>
      <w:bookmarkStart w:id="186" w:name="_Toc247527561"/>
      <w:bookmarkStart w:id="187" w:name="_Toc4496"/>
      <w:bookmarkStart w:id="188" w:name="_Toc119856025"/>
      <w:bookmarkStart w:id="189" w:name="_Toc54803396"/>
      <w:bookmarkStart w:id="190" w:name="_Toc15675"/>
      <w:bookmarkStart w:id="191" w:name="_Toc31319"/>
      <w:r>
        <w:rPr>
          <w:rFonts w:hint="eastAsia" w:ascii="宋体" w:eastAsia="宋体"/>
          <w:color w:val="auto"/>
          <w:highlight w:val="none"/>
        </w:rPr>
        <w:t>1.7 语言</w:t>
      </w:r>
      <w:bookmarkEnd w:id="176"/>
      <w:r>
        <w:rPr>
          <w:rFonts w:hint="eastAsia" w:ascii="宋体" w:eastAsia="宋体"/>
          <w:color w:val="auto"/>
          <w:highlight w:val="none"/>
        </w:rPr>
        <w:t>文字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ind w:firstLine="420" w:firstLineChars="200"/>
        <w:rPr>
          <w:rFonts w:ascii="宋体" w:hAnsi="宋体"/>
          <w:color w:val="auto"/>
          <w:highlight w:val="none"/>
        </w:rPr>
      </w:pPr>
      <w:r>
        <w:rPr>
          <w:rFonts w:hint="eastAsia" w:ascii="宋体" w:hAnsi="宋体"/>
          <w:color w:val="auto"/>
          <w:highlight w:val="none"/>
        </w:rPr>
        <w:t>招标投标文件使用的语言文字为中文。专用术语使用外文的，应附有中文注释。</w:t>
      </w:r>
    </w:p>
    <w:p>
      <w:pPr>
        <w:pStyle w:val="5"/>
        <w:spacing w:before="240" w:after="120" w:line="360" w:lineRule="auto"/>
        <w:rPr>
          <w:rFonts w:ascii="宋体" w:eastAsia="宋体"/>
          <w:color w:val="auto"/>
          <w:highlight w:val="none"/>
        </w:rPr>
      </w:pPr>
      <w:bookmarkStart w:id="192" w:name="_Toc9171"/>
      <w:bookmarkStart w:id="193" w:name="_Toc247513961"/>
      <w:bookmarkStart w:id="194" w:name="_Toc66975064"/>
      <w:bookmarkStart w:id="195" w:name="_Toc62586923"/>
      <w:bookmarkStart w:id="196" w:name="_Toc434565146"/>
      <w:bookmarkStart w:id="197" w:name="_Toc17688"/>
      <w:bookmarkStart w:id="198" w:name="_Toc3429"/>
      <w:bookmarkStart w:id="199" w:name="_Toc247527562"/>
      <w:bookmarkStart w:id="200" w:name="_Toc152045538"/>
      <w:bookmarkStart w:id="201" w:name="_Toc144974506"/>
      <w:bookmarkStart w:id="202" w:name="_Toc54803397"/>
      <w:bookmarkStart w:id="203" w:name="_Toc7332"/>
      <w:bookmarkStart w:id="204" w:name="_Toc152042314"/>
      <w:bookmarkStart w:id="205" w:name="_Toc119856026"/>
      <w:bookmarkStart w:id="206" w:name="_Toc14017"/>
      <w:bookmarkStart w:id="207" w:name="_Toc17984"/>
      <w:r>
        <w:rPr>
          <w:rFonts w:hint="eastAsia" w:ascii="宋体" w:eastAsia="宋体"/>
          <w:color w:val="auto"/>
          <w:highlight w:val="none"/>
        </w:rPr>
        <w:t>1.8 计量单位</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20" w:firstLineChars="200"/>
        <w:rPr>
          <w:rFonts w:ascii="宋体" w:hAnsi="宋体"/>
          <w:color w:val="auto"/>
          <w:highlight w:val="none"/>
        </w:rPr>
      </w:pPr>
      <w:r>
        <w:rPr>
          <w:rFonts w:hint="eastAsia" w:ascii="宋体" w:hAnsi="宋体"/>
          <w:color w:val="auto"/>
          <w:highlight w:val="none"/>
        </w:rPr>
        <w:t>所有计量均采用中华人民共和国法定计量单位。</w:t>
      </w:r>
    </w:p>
    <w:p>
      <w:pPr>
        <w:pStyle w:val="5"/>
        <w:spacing w:before="240" w:after="120" w:line="360" w:lineRule="auto"/>
        <w:rPr>
          <w:rFonts w:ascii="宋体" w:eastAsia="宋体"/>
          <w:color w:val="auto"/>
          <w:highlight w:val="none"/>
        </w:rPr>
      </w:pPr>
      <w:bookmarkStart w:id="208" w:name="_Toc10714"/>
      <w:bookmarkStart w:id="209" w:name="_Toc144974507"/>
      <w:bookmarkStart w:id="210" w:name="_Toc66975065"/>
      <w:bookmarkStart w:id="211" w:name="_Toc119856027"/>
      <w:bookmarkStart w:id="212" w:name="_Toc28116"/>
      <w:bookmarkStart w:id="213" w:name="_Toc12178"/>
      <w:bookmarkStart w:id="214" w:name="_Toc3726"/>
      <w:bookmarkStart w:id="215" w:name="_Toc14808"/>
      <w:bookmarkStart w:id="216" w:name="_Toc62586924"/>
      <w:bookmarkStart w:id="217" w:name="_Toc247527563"/>
      <w:bookmarkStart w:id="218" w:name="_Toc152042315"/>
      <w:bookmarkStart w:id="219" w:name="_Toc247513962"/>
      <w:bookmarkStart w:id="220" w:name="_Toc14539"/>
      <w:bookmarkStart w:id="221" w:name="_Toc434565147"/>
      <w:bookmarkStart w:id="222" w:name="_Toc54803398"/>
      <w:bookmarkStart w:id="223" w:name="_Toc152045539"/>
      <w:r>
        <w:rPr>
          <w:rFonts w:hint="eastAsia" w:ascii="宋体" w:eastAsia="宋体"/>
          <w:color w:val="auto"/>
          <w:highlight w:val="none"/>
        </w:rPr>
        <w:t>1.9 踏勘现场</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1.9.1 投标人须知前附表规定组织踏勘现场的，招标人按投标人须知前附表规定的时间、地点组织投标人踏勘项目现场。 </w:t>
      </w:r>
    </w:p>
    <w:p>
      <w:pPr>
        <w:spacing w:line="360" w:lineRule="auto"/>
        <w:ind w:firstLine="420" w:firstLineChars="200"/>
        <w:rPr>
          <w:rFonts w:ascii="宋体" w:hAnsi="宋体"/>
          <w:color w:val="auto"/>
          <w:highlight w:val="none"/>
        </w:rPr>
      </w:pPr>
      <w:r>
        <w:rPr>
          <w:rFonts w:hint="eastAsia" w:ascii="宋体" w:hAnsi="宋体"/>
          <w:color w:val="auto"/>
          <w:highlight w:val="none"/>
        </w:rPr>
        <w:t>1.9.2 投标人踏勘现场发生的费用自理。</w:t>
      </w:r>
    </w:p>
    <w:p>
      <w:pPr>
        <w:spacing w:line="360" w:lineRule="auto"/>
        <w:ind w:firstLine="42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pPr>
        <w:spacing w:line="360" w:lineRule="auto"/>
        <w:ind w:firstLine="420" w:firstLineChars="200"/>
        <w:rPr>
          <w:rFonts w:ascii="宋体" w:hAnsi="宋体"/>
          <w:color w:val="auto"/>
          <w:highlight w:val="none"/>
        </w:rPr>
      </w:pPr>
      <w:r>
        <w:rPr>
          <w:rFonts w:hint="eastAsia" w:ascii="宋体" w:hAnsi="宋体"/>
          <w:color w:val="auto"/>
          <w:highlight w:val="none"/>
        </w:rPr>
        <w:t>1.9.4 招标人在踏勘现场中介绍的工程场地和相关的周边环境情况，供投标人在编制投标文件时参考，招标人不对投标人据此作出的判断和决策负责。</w:t>
      </w:r>
    </w:p>
    <w:p>
      <w:pPr>
        <w:pStyle w:val="5"/>
        <w:spacing w:before="240" w:after="120" w:line="360" w:lineRule="auto"/>
        <w:rPr>
          <w:rFonts w:ascii="宋体" w:eastAsia="宋体"/>
          <w:color w:val="auto"/>
          <w:highlight w:val="none"/>
        </w:rPr>
      </w:pPr>
      <w:bookmarkStart w:id="224" w:name="_Toc119856028"/>
      <w:bookmarkStart w:id="225" w:name="_Toc7612"/>
      <w:bookmarkStart w:id="226" w:name="_Toc247527564"/>
      <w:bookmarkStart w:id="227" w:name="_Toc10169"/>
      <w:bookmarkStart w:id="228" w:name="_Toc20302"/>
      <w:bookmarkStart w:id="229" w:name="_Toc12000"/>
      <w:bookmarkStart w:id="230" w:name="_Toc247513963"/>
      <w:bookmarkStart w:id="231" w:name="_Toc434565148"/>
      <w:bookmarkStart w:id="232" w:name="_Toc66975066"/>
      <w:bookmarkStart w:id="233" w:name="_Toc17277"/>
      <w:bookmarkStart w:id="234" w:name="_Toc152042316"/>
      <w:bookmarkStart w:id="235" w:name="_Toc54803399"/>
      <w:bookmarkStart w:id="236" w:name="_Toc144974508"/>
      <w:bookmarkStart w:id="237" w:name="_Toc62586925"/>
      <w:bookmarkStart w:id="238" w:name="_Toc16600"/>
      <w:bookmarkStart w:id="239" w:name="_Toc152045540"/>
      <w:r>
        <w:rPr>
          <w:rFonts w:hint="eastAsia" w:ascii="宋体" w:eastAsia="宋体"/>
          <w:color w:val="auto"/>
          <w:highlight w:val="none"/>
        </w:rPr>
        <w:t>1.10 投标预备会</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spacing w:line="360" w:lineRule="auto"/>
        <w:ind w:firstLine="420" w:firstLineChars="200"/>
        <w:rPr>
          <w:rFonts w:ascii="宋体" w:hAnsi="宋体"/>
          <w:color w:val="auto"/>
          <w:highlight w:val="none"/>
        </w:rPr>
      </w:pPr>
      <w:r>
        <w:rPr>
          <w:rFonts w:hint="eastAsia" w:ascii="宋体" w:hAnsi="宋体"/>
          <w:color w:val="auto"/>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olor w:val="auto"/>
          <w:highlight w:val="none"/>
        </w:rPr>
      </w:pPr>
      <w:r>
        <w:rPr>
          <w:rFonts w:hint="eastAsia" w:ascii="宋体" w:hAnsi="宋体"/>
          <w:color w:val="auto"/>
          <w:highlight w:val="none"/>
        </w:rPr>
        <w:t>1.10.2 投标人应在投标人须知前附表规定的时间前，以书面形式将提出的问题送达招标人，以便招标人在会议期间澄清。</w:t>
      </w:r>
    </w:p>
    <w:p>
      <w:pPr>
        <w:spacing w:line="360" w:lineRule="auto"/>
        <w:ind w:firstLine="420" w:firstLineChars="200"/>
        <w:rPr>
          <w:rFonts w:ascii="宋体" w:hAnsi="宋体"/>
          <w:color w:val="auto"/>
          <w:highlight w:val="none"/>
        </w:rPr>
      </w:pPr>
      <w:r>
        <w:rPr>
          <w:rFonts w:hint="eastAsia" w:ascii="宋体" w:hAnsi="宋体"/>
          <w:color w:val="auto"/>
          <w:highlight w:val="none"/>
        </w:rPr>
        <w:t>1.10.3 投标预备会后，招标人在投标人须知前附表规定的时间内，将对投标人所提问题的澄清，以书面形式通知所有购买招标文件的投标人。该澄清内容为招标文件的组成部分。</w:t>
      </w:r>
    </w:p>
    <w:p>
      <w:pPr>
        <w:pStyle w:val="5"/>
        <w:spacing w:before="240" w:after="120" w:line="360" w:lineRule="auto"/>
        <w:rPr>
          <w:rFonts w:ascii="宋体" w:eastAsia="宋体"/>
          <w:color w:val="auto"/>
          <w:highlight w:val="none"/>
        </w:rPr>
      </w:pPr>
      <w:bookmarkStart w:id="240" w:name="_Toc17410"/>
      <w:bookmarkStart w:id="241" w:name="_Toc32760"/>
      <w:bookmarkStart w:id="242" w:name="_Toc54803400"/>
      <w:bookmarkStart w:id="243" w:name="_Toc434565149"/>
      <w:bookmarkStart w:id="244" w:name="_Toc247513964"/>
      <w:bookmarkStart w:id="245" w:name="_Toc152042317"/>
      <w:bookmarkStart w:id="246" w:name="_Toc8047"/>
      <w:bookmarkStart w:id="247" w:name="_Toc144974509"/>
      <w:bookmarkStart w:id="248" w:name="_Toc152045541"/>
      <w:bookmarkStart w:id="249" w:name="_Toc11905"/>
      <w:bookmarkStart w:id="250" w:name="_Toc29044"/>
      <w:bookmarkStart w:id="251" w:name="_Toc66975067"/>
      <w:bookmarkStart w:id="252" w:name="_Toc119856029"/>
      <w:bookmarkStart w:id="253" w:name="_Toc247527565"/>
      <w:bookmarkStart w:id="254" w:name="_Toc18424"/>
      <w:bookmarkStart w:id="255" w:name="_Toc62586926"/>
      <w:r>
        <w:rPr>
          <w:rFonts w:hint="eastAsia" w:ascii="宋体" w:eastAsia="宋体"/>
          <w:color w:val="auto"/>
          <w:highlight w:val="none"/>
        </w:rPr>
        <w:t>1.11 分包</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spacing w:line="360" w:lineRule="auto"/>
        <w:ind w:firstLine="567" w:firstLineChars="270"/>
        <w:rPr>
          <w:rFonts w:ascii="宋体" w:hAnsi="宋体"/>
          <w:color w:val="auto"/>
          <w:highlight w:val="none"/>
        </w:rPr>
      </w:pPr>
      <w:r>
        <w:rPr>
          <w:rFonts w:hint="eastAsia" w:ascii="宋体" w:hAnsi="宋体"/>
          <w:color w:val="auto"/>
          <w:highlight w:val="none"/>
        </w:rPr>
        <w:t>1.11.1中标人应根据合同约定并经招标人同意，将工程总承包合同中的设计或专业施工业务分包给具有相应资质的单位：</w:t>
      </w:r>
    </w:p>
    <w:p>
      <w:pPr>
        <w:spacing w:line="360" w:lineRule="auto"/>
        <w:ind w:firstLine="567" w:firstLineChars="270"/>
        <w:rPr>
          <w:rFonts w:ascii="宋体" w:hAnsi="宋体"/>
          <w:color w:val="auto"/>
          <w:highlight w:val="none"/>
        </w:rPr>
      </w:pPr>
      <w:r>
        <w:rPr>
          <w:rFonts w:hint="eastAsia" w:ascii="宋体" w:hAnsi="宋体"/>
          <w:color w:val="auto"/>
          <w:highlight w:val="none"/>
        </w:rPr>
        <w:t>①工程总承包单位同时具有相应的设计和施工资质的，可以将工程的设计或者专业施工业务分包给具备相应资质的单位。设计或专业分包单位的选择需经发包人的认可或同意，未经发包人认可或同意</w:t>
      </w:r>
      <w:r>
        <w:rPr>
          <w:rFonts w:hint="eastAsia" w:ascii="宋体" w:hAnsi="宋体"/>
          <w:color w:val="auto"/>
          <w:szCs w:val="21"/>
          <w:highlight w:val="none"/>
        </w:rPr>
        <w:t>的</w:t>
      </w:r>
      <w:r>
        <w:rPr>
          <w:rFonts w:hint="eastAsia" w:ascii="宋体" w:hAnsi="宋体"/>
          <w:color w:val="auto"/>
          <w:highlight w:val="none"/>
        </w:rPr>
        <w:t>，发包人有权对分包工程单独发包。</w:t>
      </w:r>
    </w:p>
    <w:p>
      <w:pPr>
        <w:spacing w:line="360" w:lineRule="auto"/>
        <w:ind w:firstLine="567" w:firstLineChars="270"/>
        <w:rPr>
          <w:rFonts w:ascii="宋体" w:hAnsi="宋体"/>
          <w:color w:val="auto"/>
          <w:highlight w:val="none"/>
        </w:rPr>
      </w:pPr>
      <w:r>
        <w:rPr>
          <w:rFonts w:hint="eastAsia" w:ascii="宋体" w:hAnsi="宋体"/>
          <w:color w:val="auto"/>
          <w:highlight w:val="none"/>
        </w:rPr>
        <w:t>②不得将主体结构等其他法律法规规定的不得分包的施工业务分包给其他单位。</w:t>
      </w:r>
    </w:p>
    <w:p>
      <w:pPr>
        <w:spacing w:line="360" w:lineRule="auto"/>
        <w:ind w:firstLine="567" w:firstLineChars="270"/>
        <w:rPr>
          <w:rFonts w:ascii="宋体" w:hAnsi="宋体"/>
          <w:color w:val="auto"/>
          <w:highlight w:val="none"/>
        </w:rPr>
      </w:pPr>
      <w:r>
        <w:rPr>
          <w:rFonts w:hint="eastAsia" w:ascii="宋体" w:hAnsi="宋体"/>
          <w:color w:val="auto"/>
          <w:highlight w:val="none"/>
        </w:rPr>
        <w:t xml:space="preserve">③分包人应当具备相应的资格条件，并不得再次分包。中标人应当就分包项目向招标人负责，分包人就分包项目与总承包单位共同向招标人承担连带责任。  </w:t>
      </w:r>
    </w:p>
    <w:p>
      <w:pPr>
        <w:spacing w:line="360" w:lineRule="auto"/>
        <w:ind w:firstLine="567" w:firstLineChars="270"/>
        <w:rPr>
          <w:rFonts w:ascii="宋体" w:hAnsi="宋体"/>
          <w:color w:val="auto"/>
          <w:highlight w:val="none"/>
        </w:rPr>
      </w:pPr>
      <w:r>
        <w:rPr>
          <w:rFonts w:hint="eastAsia" w:ascii="宋体" w:hAnsi="宋体"/>
          <w:color w:val="auto"/>
          <w:highlight w:val="none"/>
        </w:rPr>
        <w:t>④承包人应将专业分包工程的进度、资料纳入承包人统一管理。承包人应明确专业分包工程的完工时间并提交给各专业分包单位进行工期安排（需经承包方、分包方等各方共同认可，并报发包方备案），并按时为分包单位提供工作面。承包人应在分包单位提交工程资料后15天内审核、盖章完毕，承包人应做好各分包单位技术上、交叉施工中的管理和配合协调工作。若因承包人违规分包而造成的后果由承包人全权承担。</w:t>
      </w:r>
    </w:p>
    <w:p>
      <w:pPr>
        <w:spacing w:line="360" w:lineRule="auto"/>
        <w:ind w:firstLine="567" w:firstLineChars="270"/>
        <w:rPr>
          <w:rFonts w:ascii="宋体" w:hAnsi="宋体"/>
          <w:color w:val="auto"/>
          <w:highlight w:val="none"/>
        </w:rPr>
      </w:pPr>
      <w:r>
        <w:rPr>
          <w:rFonts w:hint="eastAsia" w:ascii="宋体" w:hAnsi="宋体"/>
          <w:color w:val="auto"/>
          <w:highlight w:val="none"/>
        </w:rPr>
        <w:t>⑤设计或者专业工程的分包，招标人将视具体情况确定是否与承包人和分包人签订三方合同。</w:t>
      </w:r>
    </w:p>
    <w:p>
      <w:pPr>
        <w:spacing w:line="360" w:lineRule="auto"/>
        <w:ind w:firstLine="567" w:firstLineChars="270"/>
        <w:rPr>
          <w:rFonts w:ascii="宋体" w:hAnsi="宋体"/>
          <w:color w:val="auto"/>
          <w:highlight w:val="none"/>
        </w:rPr>
      </w:pPr>
      <w:r>
        <w:rPr>
          <w:rFonts w:hint="eastAsia" w:ascii="宋体" w:hAnsi="宋体"/>
          <w:color w:val="auto"/>
          <w:highlight w:val="none"/>
        </w:rPr>
        <w:t>1.11.2 投标人拟在中标后将中标项目的部分工作进行分包的，应符合投标人须知前附表规定的分包内容、分包金额和资质要求等限制性条件。</w:t>
      </w:r>
    </w:p>
    <w:p>
      <w:pPr>
        <w:pStyle w:val="5"/>
        <w:spacing w:before="240" w:after="120" w:line="360" w:lineRule="auto"/>
        <w:rPr>
          <w:rFonts w:ascii="宋体" w:eastAsia="宋体"/>
          <w:color w:val="auto"/>
          <w:highlight w:val="none"/>
        </w:rPr>
      </w:pPr>
      <w:bookmarkStart w:id="256" w:name="_Toc434565150"/>
      <w:bookmarkStart w:id="257" w:name="_Toc16382"/>
      <w:bookmarkStart w:id="258" w:name="_Toc247527566"/>
      <w:bookmarkStart w:id="259" w:name="_Toc8735"/>
      <w:bookmarkStart w:id="260" w:name="_Toc54803401"/>
      <w:bookmarkStart w:id="261" w:name="_Toc23724"/>
      <w:bookmarkStart w:id="262" w:name="_Toc19206"/>
      <w:bookmarkStart w:id="263" w:name="_Toc66975068"/>
      <w:bookmarkStart w:id="264" w:name="_Toc62586927"/>
      <w:bookmarkStart w:id="265" w:name="_Toc247513965"/>
      <w:bookmarkStart w:id="266" w:name="_Toc12219"/>
      <w:bookmarkStart w:id="267" w:name="_Toc119856030"/>
      <w:bookmarkStart w:id="268" w:name="_Toc20945"/>
      <w:r>
        <w:rPr>
          <w:rFonts w:hint="eastAsia" w:ascii="宋体" w:eastAsia="宋体"/>
          <w:color w:val="auto"/>
          <w:highlight w:val="none"/>
        </w:rPr>
        <w:t>1.12 偏离</w:t>
      </w:r>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360" w:lineRule="auto"/>
        <w:ind w:firstLine="359" w:firstLineChars="171"/>
        <w:rPr>
          <w:rFonts w:ascii="宋体" w:hAnsi="宋体"/>
          <w:color w:val="auto"/>
          <w:highlight w:val="none"/>
        </w:rPr>
      </w:pPr>
      <w:r>
        <w:rPr>
          <w:rFonts w:hint="eastAsia" w:ascii="宋体" w:hAnsi="宋体"/>
          <w:color w:val="auto"/>
          <w:highlight w:val="none"/>
        </w:rPr>
        <w:t>投标人须知前附表允许投标文件偏离招标文件某些要求的，偏离应当符合招标文件规定的偏离范围和幅度。</w:t>
      </w:r>
    </w:p>
    <w:p>
      <w:pPr>
        <w:pStyle w:val="4"/>
        <w:spacing w:before="120" w:after="120" w:line="360" w:lineRule="auto"/>
        <w:rPr>
          <w:rFonts w:ascii="宋体" w:hAnsi="宋体" w:eastAsia="宋体"/>
          <w:color w:val="auto"/>
          <w:highlight w:val="none"/>
        </w:rPr>
      </w:pPr>
      <w:bookmarkStart w:id="269" w:name="_Toc144974510"/>
      <w:bookmarkStart w:id="270" w:name="_Toc20717"/>
      <w:bookmarkStart w:id="271" w:name="_Toc9229"/>
      <w:bookmarkStart w:id="272" w:name="_Toc247527567"/>
      <w:bookmarkStart w:id="273" w:name="_Toc247513966"/>
      <w:bookmarkStart w:id="274" w:name="_Toc9266"/>
      <w:bookmarkStart w:id="275" w:name="_Toc152045542"/>
      <w:bookmarkStart w:id="276" w:name="_Toc152042318"/>
      <w:bookmarkStart w:id="277" w:name="_Toc26058"/>
      <w:bookmarkStart w:id="278" w:name="_Toc3085"/>
      <w:r>
        <w:rPr>
          <w:rFonts w:hint="eastAsia" w:ascii="宋体" w:hAnsi="宋体" w:eastAsia="宋体"/>
          <w:color w:val="auto"/>
          <w:highlight w:val="none"/>
        </w:rPr>
        <w:t>2. 招标文件</w:t>
      </w:r>
      <w:bookmarkEnd w:id="269"/>
      <w:bookmarkEnd w:id="270"/>
      <w:bookmarkEnd w:id="271"/>
      <w:bookmarkEnd w:id="272"/>
      <w:bookmarkEnd w:id="273"/>
      <w:bookmarkEnd w:id="274"/>
      <w:bookmarkEnd w:id="275"/>
      <w:bookmarkEnd w:id="276"/>
      <w:bookmarkEnd w:id="277"/>
      <w:bookmarkEnd w:id="278"/>
    </w:p>
    <w:p>
      <w:pPr>
        <w:pStyle w:val="5"/>
        <w:spacing w:before="240" w:after="120" w:line="360" w:lineRule="auto"/>
        <w:rPr>
          <w:rFonts w:ascii="宋体" w:eastAsia="宋体"/>
          <w:color w:val="auto"/>
          <w:highlight w:val="none"/>
        </w:rPr>
      </w:pPr>
      <w:bookmarkStart w:id="279" w:name="_Toc62586929"/>
      <w:bookmarkStart w:id="280" w:name="_Toc152045543"/>
      <w:bookmarkStart w:id="281" w:name="_Toc3575"/>
      <w:bookmarkStart w:id="282" w:name="_Toc66975070"/>
      <w:bookmarkStart w:id="283" w:name="_Toc17543"/>
      <w:bookmarkStart w:id="284" w:name="_Toc26979"/>
      <w:bookmarkStart w:id="285" w:name="_Toc54803403"/>
      <w:bookmarkStart w:id="286" w:name="_Toc4446"/>
      <w:bookmarkStart w:id="287" w:name="_Toc152042319"/>
      <w:bookmarkStart w:id="288" w:name="_Toc247513967"/>
      <w:bookmarkStart w:id="289" w:name="_Toc144974511"/>
      <w:bookmarkStart w:id="290" w:name="_Toc18061"/>
      <w:bookmarkStart w:id="291" w:name="_Toc247527568"/>
      <w:bookmarkStart w:id="292" w:name="_Toc434565152"/>
      <w:bookmarkStart w:id="293" w:name="_Toc119856032"/>
      <w:bookmarkStart w:id="294" w:name="_Toc16819"/>
      <w:r>
        <w:rPr>
          <w:rFonts w:hint="eastAsia" w:ascii="宋体" w:eastAsia="宋体"/>
          <w:color w:val="auto"/>
          <w:highlight w:val="none"/>
        </w:rPr>
        <w:t>2.1 招标文件的组成</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rPr>
          <w:rFonts w:ascii="宋体" w:hAnsi="宋体"/>
          <w:color w:val="auto"/>
          <w:highlight w:val="none"/>
        </w:rPr>
      </w:pPr>
      <w:r>
        <w:rPr>
          <w:rFonts w:hint="eastAsia" w:ascii="宋体" w:hAnsi="宋体"/>
          <w:color w:val="auto"/>
          <w:highlight w:val="none"/>
        </w:rPr>
        <w:t>　　本招标文件包括：</w:t>
      </w:r>
    </w:p>
    <w:p>
      <w:pPr>
        <w:spacing w:line="360" w:lineRule="auto"/>
        <w:ind w:firstLine="359" w:firstLineChars="171"/>
        <w:rPr>
          <w:rFonts w:ascii="宋体" w:hAnsi="宋体"/>
          <w:color w:val="auto"/>
          <w:highlight w:val="none"/>
        </w:rPr>
      </w:pPr>
      <w:r>
        <w:rPr>
          <w:rFonts w:hint="eastAsia" w:ascii="宋体" w:hAnsi="宋体"/>
          <w:color w:val="auto"/>
          <w:highlight w:val="none"/>
        </w:rPr>
        <w:t>（1）招标公告；</w:t>
      </w:r>
    </w:p>
    <w:p>
      <w:pPr>
        <w:spacing w:line="360" w:lineRule="auto"/>
        <w:ind w:firstLine="359" w:firstLineChars="171"/>
        <w:rPr>
          <w:rFonts w:ascii="宋体" w:hAnsi="宋体"/>
          <w:color w:val="auto"/>
          <w:highlight w:val="none"/>
        </w:rPr>
      </w:pPr>
      <w:r>
        <w:rPr>
          <w:rFonts w:hint="eastAsia" w:ascii="宋体" w:hAnsi="宋体"/>
          <w:color w:val="auto"/>
          <w:highlight w:val="none"/>
        </w:rPr>
        <w:t>（2）投标人须知；</w:t>
      </w:r>
    </w:p>
    <w:p>
      <w:pPr>
        <w:spacing w:line="360" w:lineRule="auto"/>
        <w:ind w:firstLine="359" w:firstLineChars="171"/>
        <w:rPr>
          <w:rFonts w:ascii="宋体" w:hAnsi="宋体"/>
          <w:color w:val="auto"/>
          <w:highlight w:val="none"/>
        </w:rPr>
      </w:pPr>
      <w:r>
        <w:rPr>
          <w:rFonts w:hint="eastAsia" w:ascii="宋体" w:hAnsi="宋体"/>
          <w:color w:val="auto"/>
          <w:highlight w:val="none"/>
        </w:rPr>
        <w:t>（3）评标办法；</w:t>
      </w:r>
    </w:p>
    <w:p>
      <w:pPr>
        <w:spacing w:line="360" w:lineRule="auto"/>
        <w:ind w:firstLine="359" w:firstLineChars="171"/>
        <w:rPr>
          <w:rFonts w:ascii="宋体" w:hAnsi="宋体"/>
          <w:color w:val="auto"/>
          <w:highlight w:val="none"/>
        </w:rPr>
      </w:pPr>
      <w:r>
        <w:rPr>
          <w:rFonts w:hint="eastAsia" w:ascii="宋体" w:hAnsi="宋体"/>
          <w:color w:val="auto"/>
          <w:highlight w:val="none"/>
        </w:rPr>
        <w:t>（4）合同条款及格式；</w:t>
      </w:r>
    </w:p>
    <w:p>
      <w:pPr>
        <w:spacing w:line="360" w:lineRule="auto"/>
        <w:ind w:firstLine="359" w:firstLineChars="171"/>
        <w:rPr>
          <w:rFonts w:ascii="宋体" w:hAnsi="宋体"/>
          <w:color w:val="auto"/>
          <w:highlight w:val="none"/>
        </w:rPr>
      </w:pPr>
      <w:r>
        <w:rPr>
          <w:rFonts w:hint="eastAsia" w:ascii="宋体" w:hAnsi="宋体"/>
          <w:color w:val="auto"/>
          <w:highlight w:val="none"/>
        </w:rPr>
        <w:t>（5）发包人要求；</w:t>
      </w:r>
    </w:p>
    <w:p>
      <w:pPr>
        <w:spacing w:line="360" w:lineRule="auto"/>
        <w:ind w:firstLine="359" w:firstLineChars="171"/>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）投标文件格式；</w:t>
      </w:r>
    </w:p>
    <w:p>
      <w:pPr>
        <w:spacing w:line="360" w:lineRule="auto"/>
        <w:ind w:firstLine="359" w:firstLineChars="171"/>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）投标人须知前附表规定的其他资料。</w:t>
      </w:r>
    </w:p>
    <w:p>
      <w:pPr>
        <w:spacing w:line="360" w:lineRule="auto"/>
        <w:ind w:firstLine="420" w:firstLineChars="200"/>
        <w:rPr>
          <w:rFonts w:ascii="宋体" w:hAnsi="宋体"/>
          <w:color w:val="auto"/>
          <w:highlight w:val="none"/>
        </w:rPr>
      </w:pPr>
      <w:r>
        <w:rPr>
          <w:rFonts w:hint="eastAsia" w:ascii="宋体" w:hAnsi="宋体"/>
          <w:color w:val="auto"/>
          <w:highlight w:val="none"/>
        </w:rPr>
        <w:t>根据本章第1.10款、第2.2款和第2.3款对招标文件所作的澄清、修改，构成招标文件的组成部分。</w:t>
      </w:r>
    </w:p>
    <w:p>
      <w:pPr>
        <w:pStyle w:val="5"/>
        <w:spacing w:before="240" w:after="120" w:line="360" w:lineRule="auto"/>
        <w:rPr>
          <w:rFonts w:ascii="宋体" w:eastAsia="宋体"/>
          <w:color w:val="auto"/>
          <w:highlight w:val="none"/>
        </w:rPr>
      </w:pPr>
      <w:bookmarkStart w:id="295" w:name="_Toc144974512"/>
      <w:bookmarkStart w:id="296" w:name="_Toc31966"/>
      <w:bookmarkStart w:id="297" w:name="_Toc54803404"/>
      <w:bookmarkStart w:id="298" w:name="_Toc119856033"/>
      <w:bookmarkStart w:id="299" w:name="_Toc21475"/>
      <w:bookmarkStart w:id="300" w:name="_Toc5865"/>
      <w:bookmarkStart w:id="301" w:name="_Toc152042320"/>
      <w:bookmarkStart w:id="302" w:name="_Toc247513968"/>
      <w:bookmarkStart w:id="303" w:name="_Toc19417"/>
      <w:bookmarkStart w:id="304" w:name="_Toc152045544"/>
      <w:bookmarkStart w:id="305" w:name="_Toc62586930"/>
      <w:bookmarkStart w:id="306" w:name="_Toc247527569"/>
      <w:bookmarkStart w:id="307" w:name="_Toc66975071"/>
      <w:bookmarkStart w:id="308" w:name="_Toc16812"/>
      <w:bookmarkStart w:id="309" w:name="_Toc434565153"/>
      <w:bookmarkStart w:id="310" w:name="_Toc28832"/>
      <w:r>
        <w:rPr>
          <w:rFonts w:hint="eastAsia" w:ascii="宋体" w:eastAsia="宋体"/>
          <w:color w:val="auto"/>
          <w:highlight w:val="none"/>
        </w:rPr>
        <w:t>2.2 招标文件的澄清</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420" w:firstLineChars="200"/>
        <w:rPr>
          <w:rFonts w:ascii="宋体" w:hAnsi="宋体"/>
          <w:color w:val="auto"/>
          <w:highlight w:val="none"/>
        </w:rPr>
      </w:pPr>
      <w:bookmarkStart w:id="311" w:name="_Toc152042321"/>
      <w:bookmarkStart w:id="312" w:name="_Toc25063"/>
      <w:bookmarkStart w:id="313" w:name="_Toc144974513"/>
      <w:bookmarkStart w:id="314" w:name="_Toc24631"/>
      <w:bookmarkStart w:id="315" w:name="_Toc66975072"/>
      <w:bookmarkStart w:id="316" w:name="_Toc62586931"/>
      <w:bookmarkStart w:id="317" w:name="_Toc152045545"/>
      <w:bookmarkStart w:id="318" w:name="_Toc54803405"/>
      <w:bookmarkStart w:id="319" w:name="_Toc247527570"/>
      <w:bookmarkStart w:id="320" w:name="_Toc31327"/>
      <w:bookmarkStart w:id="321" w:name="_Toc247513969"/>
      <w:bookmarkStart w:id="322" w:name="_Toc434565154"/>
      <w:bookmarkStart w:id="323" w:name="_Toc28961"/>
      <w:bookmarkStart w:id="324" w:name="_Toc5649"/>
      <w:r>
        <w:rPr>
          <w:rFonts w:hint="eastAsia" w:ascii="宋体" w:hAnsi="宋体"/>
          <w:color w:val="auto"/>
          <w:highlight w:val="none"/>
        </w:rPr>
        <w:t>2.2.1.投标人应仔细阅读和检查招标文件的全部内容。如发现缺页或附件不全，应及时向招标人提出，以便补齐。如有疑问，应在投标人须知前附表规定的时间前要求招标人对招标文件予以澄清。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ind w:firstLine="420" w:firstLineChars="200"/>
        <w:rPr>
          <w:rFonts w:ascii="宋体" w:hAnsi="宋体"/>
          <w:color w:val="auto"/>
          <w:highlight w:val="none"/>
        </w:rPr>
      </w:pPr>
      <w:r>
        <w:rPr>
          <w:rFonts w:hint="eastAsia" w:ascii="宋体" w:hAnsi="宋体"/>
          <w:color w:val="auto"/>
          <w:highlight w:val="none"/>
        </w:rPr>
        <w:t>2.2.2.招标文件的澄清将在投标人须知前附表规定的投标截止时间15天前，将对投标人所提问题的澄清，上传到“焦作市公共资源电子招投标交易平台”，投标人凭企业身份认证锁进行网上下载，该澄清内容为招标文件的组成部分；如果澄清发出的时间距投标截止时间不足15天，相应延长投标截止时间。</w:t>
      </w:r>
    </w:p>
    <w:p>
      <w:pPr>
        <w:pStyle w:val="5"/>
        <w:spacing w:before="240" w:after="120" w:line="360" w:lineRule="auto"/>
        <w:rPr>
          <w:rFonts w:ascii="宋体" w:eastAsia="宋体"/>
          <w:color w:val="auto"/>
          <w:highlight w:val="none"/>
        </w:rPr>
      </w:pPr>
      <w:bookmarkStart w:id="325" w:name="_Toc119856034"/>
      <w:bookmarkStart w:id="326" w:name="_Toc15720"/>
      <w:r>
        <w:rPr>
          <w:rFonts w:hint="eastAsia" w:ascii="宋体" w:eastAsia="宋体"/>
          <w:color w:val="auto"/>
          <w:highlight w:val="none"/>
        </w:rPr>
        <w:t>2.3 招标文件的修改</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360" w:lineRule="auto"/>
        <w:ind w:firstLine="420" w:firstLineChars="200"/>
        <w:rPr>
          <w:rFonts w:ascii="宋体" w:hAnsi="宋体"/>
          <w:color w:val="auto"/>
          <w:highlight w:val="none"/>
        </w:rPr>
      </w:pPr>
      <w:r>
        <w:rPr>
          <w:rFonts w:hint="eastAsia" w:ascii="宋体" w:hAnsi="宋体"/>
          <w:color w:val="auto"/>
          <w:highlight w:val="none"/>
        </w:rPr>
        <w:t>2.3.1.招标人有权对已发出的招标文件进行必要的澄清或修改。如澄清或修改的内容可能影响投标文件的编制，招标人将在投标截止时间15天前，将对澄清或修改的内容，上传到“焦作市公共资源电子招投标交易平台”，投标人凭企业身份认证锁进行网上下载，该澄清或修改的内容为招标文件的组成部分。</w:t>
      </w:r>
    </w:p>
    <w:p>
      <w:pPr>
        <w:pStyle w:val="5"/>
        <w:spacing w:before="240" w:after="120" w:line="360" w:lineRule="auto"/>
        <w:rPr>
          <w:rFonts w:ascii="宋体" w:eastAsia="宋体"/>
          <w:color w:val="auto"/>
          <w:highlight w:val="none"/>
        </w:rPr>
      </w:pPr>
      <w:bookmarkStart w:id="327" w:name="_Toc119856035"/>
      <w:bookmarkStart w:id="328" w:name="_Toc11990"/>
      <w:r>
        <w:rPr>
          <w:rFonts w:ascii="宋体" w:eastAsia="宋体"/>
          <w:color w:val="auto"/>
          <w:highlight w:val="none"/>
        </w:rPr>
        <w:t>2.4 招标文件的异议</w:t>
      </w:r>
      <w:bookmarkEnd w:id="327"/>
      <w:bookmarkEnd w:id="328"/>
    </w:p>
    <w:p>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日前上传至标书系统形式提出。招标人将在收到异议之日起 3 日内作出答复；作出答复前，将暂停招标投标活动。</w:t>
      </w:r>
    </w:p>
    <w:p>
      <w:pPr>
        <w:pStyle w:val="2"/>
        <w:rPr>
          <w:color w:val="auto"/>
          <w:highlight w:val="none"/>
        </w:rPr>
      </w:pPr>
    </w:p>
    <w:p>
      <w:pPr>
        <w:pStyle w:val="4"/>
        <w:spacing w:before="120" w:after="120" w:line="360" w:lineRule="auto"/>
        <w:rPr>
          <w:rFonts w:ascii="宋体" w:hAnsi="宋体" w:eastAsia="宋体"/>
          <w:color w:val="auto"/>
          <w:highlight w:val="none"/>
        </w:rPr>
      </w:pPr>
      <w:bookmarkStart w:id="329" w:name="_Toc144974514"/>
      <w:bookmarkStart w:id="330" w:name="_Toc152042322"/>
      <w:bookmarkStart w:id="331" w:name="_Toc247527571"/>
      <w:bookmarkStart w:id="332" w:name="_Toc152045546"/>
      <w:bookmarkStart w:id="333" w:name="_Toc8796"/>
      <w:bookmarkStart w:id="334" w:name="_Toc31760"/>
      <w:bookmarkStart w:id="335" w:name="_Toc247513970"/>
      <w:bookmarkStart w:id="336" w:name="_Toc6106"/>
      <w:bookmarkStart w:id="337" w:name="_Toc17425"/>
      <w:bookmarkStart w:id="338" w:name="_Toc26092"/>
      <w:bookmarkStart w:id="339" w:name="_Toc152042340"/>
      <w:bookmarkStart w:id="340" w:name="_Toc152045564"/>
      <w:bookmarkStart w:id="341" w:name="_Toc434565173"/>
      <w:bookmarkStart w:id="342" w:name="_Toc247527589"/>
      <w:bookmarkStart w:id="343" w:name="_Toc247513988"/>
      <w:bookmarkStart w:id="344" w:name="_Toc32341"/>
      <w:bookmarkStart w:id="345" w:name="_Toc28380"/>
      <w:bookmarkStart w:id="346" w:name="_Toc3325"/>
      <w:bookmarkStart w:id="347" w:name="_Toc144974532"/>
      <w:r>
        <w:rPr>
          <w:rFonts w:hint="eastAsia" w:ascii="宋体" w:hAnsi="宋体" w:eastAsia="宋体"/>
          <w:color w:val="auto"/>
          <w:highlight w:val="none"/>
        </w:rPr>
        <w:t>3. 投标文件</w:t>
      </w:r>
      <w:bookmarkEnd w:id="329"/>
      <w:bookmarkEnd w:id="330"/>
      <w:bookmarkEnd w:id="331"/>
      <w:bookmarkEnd w:id="332"/>
      <w:bookmarkEnd w:id="333"/>
      <w:bookmarkEnd w:id="334"/>
      <w:bookmarkEnd w:id="335"/>
      <w:bookmarkEnd w:id="336"/>
      <w:bookmarkEnd w:id="337"/>
      <w:bookmarkEnd w:id="338"/>
    </w:p>
    <w:p>
      <w:pPr>
        <w:pStyle w:val="5"/>
        <w:spacing w:before="240" w:after="120" w:line="360" w:lineRule="auto"/>
        <w:rPr>
          <w:rFonts w:ascii="宋体" w:eastAsia="宋体"/>
          <w:color w:val="auto"/>
          <w:highlight w:val="none"/>
        </w:rPr>
      </w:pPr>
      <w:bookmarkStart w:id="348" w:name="_Toc62586933"/>
      <w:bookmarkStart w:id="349" w:name="_Toc15453"/>
      <w:bookmarkStart w:id="350" w:name="_Toc66975074"/>
      <w:bookmarkStart w:id="351" w:name="_Toc434565156"/>
      <w:bookmarkStart w:id="352" w:name="_Toc152045547"/>
      <w:bookmarkStart w:id="353" w:name="_Toc54803407"/>
      <w:bookmarkStart w:id="354" w:name="_Toc19295"/>
      <w:bookmarkStart w:id="355" w:name="_Toc119856037"/>
      <w:bookmarkStart w:id="356" w:name="_Toc12421"/>
      <w:bookmarkStart w:id="357" w:name="_Toc21247"/>
      <w:bookmarkStart w:id="358" w:name="_Toc247527572"/>
      <w:bookmarkStart w:id="359" w:name="_Toc152042323"/>
      <w:bookmarkStart w:id="360" w:name="_Toc144974515"/>
      <w:bookmarkStart w:id="361" w:name="_Toc10684"/>
      <w:bookmarkStart w:id="362" w:name="_Toc247513971"/>
      <w:bookmarkStart w:id="363" w:name="_Toc9847"/>
      <w:r>
        <w:rPr>
          <w:rFonts w:hint="eastAsia" w:ascii="宋体" w:eastAsia="宋体"/>
          <w:color w:val="auto"/>
          <w:highlight w:val="none"/>
        </w:rPr>
        <w:t>3.1 投标文件的组成</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spacing w:line="360" w:lineRule="auto"/>
        <w:rPr>
          <w:rFonts w:ascii="宋体" w:hAnsi="宋体"/>
          <w:color w:val="auto"/>
          <w:highlight w:val="none"/>
        </w:rPr>
      </w:pPr>
      <w:r>
        <w:rPr>
          <w:rFonts w:hint="eastAsia" w:ascii="宋体" w:hAnsi="宋体"/>
          <w:color w:val="auto"/>
          <w:highlight w:val="none"/>
        </w:rPr>
        <w:t>　　3.1.1 投标文件应包括下列内容：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一、投标函及投标函附录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二、法定代表人身份证明</w:t>
      </w:r>
    </w:p>
    <w:p>
      <w:pPr>
        <w:spacing w:line="360" w:lineRule="auto"/>
        <w:ind w:firstLine="420" w:firstLineChars="200"/>
        <w:rPr>
          <w:rFonts w:ascii="宋体" w:hAnsi="宋体"/>
          <w:color w:val="auto"/>
          <w:highlight w:val="none"/>
        </w:rPr>
      </w:pPr>
      <w:r>
        <w:rPr>
          <w:rFonts w:hint="eastAsia" w:ascii="宋体" w:hAnsi="宋体"/>
          <w:color w:val="auto"/>
          <w:highlight w:val="none"/>
        </w:rPr>
        <w:t>三、授权委托书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四、联合体协议书</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五、投标保证金 </w:t>
      </w:r>
    </w:p>
    <w:p>
      <w:pPr>
        <w:spacing w:line="360" w:lineRule="auto"/>
        <w:ind w:firstLine="420" w:firstLineChars="200"/>
        <w:rPr>
          <w:rFonts w:ascii="宋体" w:hAnsi="宋体"/>
          <w:color w:val="auto"/>
          <w:highlight w:val="none"/>
        </w:rPr>
      </w:pPr>
      <w:r>
        <w:rPr>
          <w:rFonts w:hint="eastAsia" w:ascii="宋体" w:hAnsi="宋体"/>
          <w:color w:val="auto"/>
          <w:highlight w:val="none"/>
        </w:rPr>
        <w:t>六、技术方案</w:t>
      </w:r>
    </w:p>
    <w:p>
      <w:pPr>
        <w:spacing w:line="360" w:lineRule="auto"/>
        <w:ind w:firstLine="420" w:firstLineChars="200"/>
        <w:rPr>
          <w:rFonts w:ascii="宋体" w:hAnsi="宋体"/>
          <w:color w:val="auto"/>
          <w:highlight w:val="none"/>
        </w:rPr>
      </w:pPr>
      <w:r>
        <w:rPr>
          <w:rFonts w:hint="eastAsia" w:ascii="宋体" w:hAnsi="宋体"/>
          <w:color w:val="auto"/>
          <w:highlight w:val="none"/>
        </w:rPr>
        <w:t>七、服务承诺</w:t>
      </w:r>
    </w:p>
    <w:p>
      <w:pPr>
        <w:spacing w:line="360" w:lineRule="auto"/>
        <w:ind w:firstLine="420" w:firstLineChars="200"/>
        <w:rPr>
          <w:rFonts w:ascii="宋体" w:hAnsi="宋体"/>
          <w:color w:val="auto"/>
          <w:highlight w:val="none"/>
        </w:rPr>
      </w:pPr>
      <w:r>
        <w:rPr>
          <w:rFonts w:hint="eastAsia" w:ascii="宋体" w:hAnsi="宋体"/>
          <w:color w:val="auto"/>
          <w:highlight w:val="none"/>
        </w:rPr>
        <w:t>八、承诺书</w:t>
      </w:r>
    </w:p>
    <w:p>
      <w:pPr>
        <w:spacing w:line="360" w:lineRule="auto"/>
        <w:ind w:firstLine="420" w:firstLineChars="200"/>
        <w:rPr>
          <w:rFonts w:ascii="宋体" w:hAnsi="宋体"/>
          <w:color w:val="auto"/>
          <w:highlight w:val="none"/>
        </w:rPr>
      </w:pPr>
      <w:r>
        <w:rPr>
          <w:rFonts w:hint="eastAsia" w:ascii="宋体" w:hAnsi="宋体"/>
          <w:color w:val="auto"/>
          <w:highlight w:val="none"/>
        </w:rPr>
        <w:t>九、资格审查资料</w:t>
      </w:r>
    </w:p>
    <w:p>
      <w:pPr>
        <w:spacing w:line="360" w:lineRule="auto"/>
        <w:ind w:firstLine="420" w:firstLineChars="200"/>
        <w:rPr>
          <w:rFonts w:ascii="宋体" w:hAnsi="宋体"/>
          <w:color w:val="auto"/>
          <w:highlight w:val="none"/>
        </w:rPr>
      </w:pPr>
      <w:r>
        <w:rPr>
          <w:rFonts w:hint="eastAsia" w:ascii="宋体" w:hAnsi="宋体"/>
          <w:color w:val="auto"/>
          <w:highlight w:val="none"/>
        </w:rPr>
        <w:t>十、其他资料</w:t>
      </w:r>
    </w:p>
    <w:p>
      <w:pPr>
        <w:pStyle w:val="5"/>
        <w:spacing w:before="240" w:after="120" w:line="360" w:lineRule="auto"/>
        <w:rPr>
          <w:rFonts w:ascii="宋体" w:eastAsia="宋体"/>
          <w:color w:val="auto"/>
          <w:highlight w:val="none"/>
        </w:rPr>
      </w:pPr>
      <w:bookmarkStart w:id="364" w:name="_Toc7697"/>
      <w:bookmarkStart w:id="365" w:name="_Toc54803408"/>
      <w:bookmarkStart w:id="366" w:name="_Toc62586934"/>
      <w:bookmarkStart w:id="367" w:name="_Toc152045548"/>
      <w:bookmarkStart w:id="368" w:name="_Toc247527573"/>
      <w:bookmarkStart w:id="369" w:name="_Toc24726"/>
      <w:bookmarkStart w:id="370" w:name="_Toc12207"/>
      <w:bookmarkStart w:id="371" w:name="_Toc5762"/>
      <w:bookmarkStart w:id="372" w:name="_Toc152042324"/>
      <w:bookmarkStart w:id="373" w:name="_Toc434565157"/>
      <w:bookmarkStart w:id="374" w:name="_Toc144974516"/>
      <w:bookmarkStart w:id="375" w:name="_Toc66975075"/>
      <w:bookmarkStart w:id="376" w:name="_Toc6359"/>
      <w:bookmarkStart w:id="377" w:name="_Toc247513972"/>
      <w:bookmarkStart w:id="378" w:name="_Toc119856038"/>
      <w:bookmarkStart w:id="379" w:name="_Toc23456"/>
      <w:r>
        <w:rPr>
          <w:rFonts w:hint="eastAsia" w:ascii="宋体" w:eastAsia="宋体"/>
          <w:color w:val="auto"/>
          <w:highlight w:val="none"/>
        </w:rPr>
        <w:t>3.2 投标报价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hint="eastAsia" w:ascii="宋体" w:eastAsia="宋体"/>
          <w:color w:val="auto"/>
          <w:highlight w:val="none"/>
        </w:rPr>
        <w:t xml:space="preserve"> </w:t>
      </w:r>
    </w:p>
    <w:p>
      <w:pPr>
        <w:shd w:val="clear" w:color="auto" w:fill="FFFFFF"/>
        <w:spacing w:line="360" w:lineRule="auto"/>
        <w:ind w:firstLine="420" w:firstLineChars="200"/>
        <w:rPr>
          <w:rFonts w:ascii="宋体" w:hAnsi="宋体"/>
          <w:color w:val="auto"/>
          <w:highlight w:val="none"/>
        </w:rPr>
      </w:pPr>
      <w:bookmarkStart w:id="380" w:name="_Toc16861375"/>
      <w:r>
        <w:rPr>
          <w:rFonts w:hint="eastAsia" w:ascii="宋体" w:hAnsi="宋体"/>
          <w:color w:val="auto"/>
          <w:highlight w:val="none"/>
        </w:rPr>
        <w:t>3.2.1 投标人应按第六章“投标文件格式”的要求填写投标报价。</w:t>
      </w:r>
      <w:bookmarkEnd w:id="380"/>
    </w:p>
    <w:p>
      <w:pPr>
        <w:shd w:val="clear" w:color="auto" w:fill="FFFFFF"/>
        <w:spacing w:line="360" w:lineRule="auto"/>
        <w:ind w:firstLine="420" w:firstLineChars="200"/>
        <w:rPr>
          <w:rFonts w:ascii="宋体" w:hAnsi="宋体"/>
          <w:color w:val="auto"/>
          <w:highlight w:val="none"/>
        </w:rPr>
      </w:pPr>
      <w:r>
        <w:rPr>
          <w:rFonts w:hint="eastAsia" w:ascii="宋体" w:hAnsi="宋体"/>
          <w:color w:val="auto"/>
          <w:highlight w:val="none"/>
        </w:rPr>
        <w:t>3.2.2投标人应按照招标文件、招标文件的澄清、修改等相关资料确定投标报价。</w:t>
      </w:r>
    </w:p>
    <w:p>
      <w:pPr>
        <w:shd w:val="clear" w:color="auto" w:fill="FFFFFF"/>
        <w:spacing w:line="360" w:lineRule="auto"/>
        <w:ind w:firstLine="420" w:firstLineChars="200"/>
        <w:rPr>
          <w:rFonts w:ascii="宋体" w:hAnsi="宋体" w:cs="仿宋_GB2312"/>
          <w:bCs/>
          <w:color w:val="auto"/>
          <w:kern w:val="0"/>
          <w:szCs w:val="21"/>
          <w:highlight w:val="none"/>
        </w:rPr>
      </w:pPr>
      <w:r>
        <w:rPr>
          <w:rFonts w:hint="eastAsia" w:ascii="宋体" w:hAnsi="宋体"/>
          <w:color w:val="auto"/>
          <w:highlight w:val="none"/>
        </w:rPr>
        <w:t>3.2.3投标人</w:t>
      </w:r>
      <w:r>
        <w:rPr>
          <w:rFonts w:hint="eastAsia" w:ascii="宋体" w:hAnsi="宋体"/>
          <w:color w:val="auto"/>
          <w:szCs w:val="21"/>
          <w:highlight w:val="none"/>
        </w:rPr>
        <w:t>应充分了解施工场地的</w:t>
      </w:r>
      <w:r>
        <w:rPr>
          <w:rFonts w:ascii="宋体" w:hAnsi="宋体"/>
          <w:color w:val="auto"/>
          <w:szCs w:val="21"/>
          <w:highlight w:val="none"/>
        </w:rPr>
        <w:t>位置、周边</w:t>
      </w:r>
      <w:r>
        <w:rPr>
          <w:rFonts w:hint="eastAsia" w:ascii="宋体" w:hAnsi="宋体"/>
          <w:color w:val="auto"/>
          <w:szCs w:val="21"/>
          <w:highlight w:val="none"/>
        </w:rPr>
        <w:t>环境</w:t>
      </w:r>
      <w:r>
        <w:rPr>
          <w:rFonts w:ascii="宋体" w:hAnsi="宋体"/>
          <w:color w:val="auto"/>
          <w:szCs w:val="21"/>
          <w:highlight w:val="none"/>
        </w:rPr>
        <w:t>、道路、装卸、保管、安装限制</w:t>
      </w:r>
      <w:r>
        <w:rPr>
          <w:rFonts w:hint="eastAsia" w:ascii="宋体" w:hAnsi="宋体"/>
          <w:color w:val="auto"/>
          <w:szCs w:val="21"/>
          <w:highlight w:val="none"/>
        </w:rPr>
        <w:t>以</w:t>
      </w:r>
      <w:r>
        <w:rPr>
          <w:rFonts w:ascii="宋体" w:hAnsi="宋体"/>
          <w:color w:val="auto"/>
          <w:szCs w:val="21"/>
          <w:highlight w:val="none"/>
        </w:rPr>
        <w:t>及影响</w:t>
      </w:r>
      <w:r>
        <w:rPr>
          <w:rFonts w:hint="eastAsia" w:ascii="宋体" w:hAnsi="宋体"/>
          <w:color w:val="auto"/>
          <w:szCs w:val="21"/>
          <w:highlight w:val="none"/>
        </w:rPr>
        <w:t>投标报价的其他要素。</w:t>
      </w:r>
      <w:r>
        <w:rPr>
          <w:rFonts w:ascii="宋体" w:hAnsi="宋体"/>
          <w:color w:val="auto"/>
          <w:szCs w:val="21"/>
          <w:highlight w:val="none"/>
        </w:rPr>
        <w:t>根据</w:t>
      </w:r>
      <w:r>
        <w:rPr>
          <w:rFonts w:hint="eastAsia" w:ascii="宋体" w:hAnsi="宋体"/>
          <w:color w:val="auto"/>
          <w:szCs w:val="21"/>
          <w:highlight w:val="none"/>
        </w:rPr>
        <w:t>投标</w:t>
      </w:r>
      <w:r>
        <w:rPr>
          <w:rFonts w:ascii="宋体" w:hAnsi="宋体"/>
          <w:color w:val="auto"/>
          <w:szCs w:val="21"/>
          <w:highlight w:val="none"/>
        </w:rPr>
        <w:t>设计</w:t>
      </w:r>
      <w:r>
        <w:rPr>
          <w:rFonts w:hint="eastAsia" w:ascii="宋体" w:hAnsi="宋体"/>
          <w:color w:val="auto"/>
          <w:szCs w:val="21"/>
          <w:highlight w:val="none"/>
        </w:rPr>
        <w:t>、</w:t>
      </w:r>
      <w:r>
        <w:rPr>
          <w:rFonts w:hint="eastAsia" w:ascii="宋体" w:hAnsi="宋体" w:cs="仿宋_GB2312"/>
          <w:bCs/>
          <w:color w:val="auto"/>
          <w:kern w:val="0"/>
          <w:szCs w:val="21"/>
          <w:highlight w:val="none"/>
        </w:rPr>
        <w:t>工程概况、现场情况、投标企业自身情况，</w:t>
      </w:r>
      <w:r>
        <w:rPr>
          <w:rFonts w:hint="eastAsia" w:ascii="宋体" w:hAnsi="宋体"/>
          <w:color w:val="auto"/>
          <w:szCs w:val="21"/>
          <w:highlight w:val="none"/>
        </w:rPr>
        <w:t>结合</w:t>
      </w:r>
      <w:r>
        <w:rPr>
          <w:rFonts w:ascii="宋体" w:hAnsi="宋体"/>
          <w:color w:val="auto"/>
          <w:szCs w:val="21"/>
          <w:highlight w:val="none"/>
        </w:rPr>
        <w:t>市场</w:t>
      </w:r>
      <w:r>
        <w:rPr>
          <w:rFonts w:hint="eastAsia" w:ascii="宋体" w:hAnsi="宋体"/>
          <w:color w:val="auto"/>
          <w:szCs w:val="21"/>
          <w:highlight w:val="none"/>
        </w:rPr>
        <w:t>行情</w:t>
      </w:r>
      <w:r>
        <w:rPr>
          <w:rFonts w:hint="eastAsia" w:ascii="宋体" w:hAnsi="宋体" w:cs="仿宋_GB2312"/>
          <w:bCs/>
          <w:color w:val="auto"/>
          <w:kern w:val="0"/>
          <w:szCs w:val="21"/>
          <w:highlight w:val="none"/>
        </w:rPr>
        <w:t>自主确定投标报价。</w:t>
      </w:r>
    </w:p>
    <w:p>
      <w:pPr>
        <w:shd w:val="clear" w:color="auto" w:fill="FFFFFF"/>
        <w:spacing w:line="360" w:lineRule="auto"/>
        <w:ind w:firstLine="420" w:firstLineChars="200"/>
        <w:rPr>
          <w:rFonts w:ascii="宋体" w:hAnsi="宋体" w:cs="仿宋_GB2312"/>
          <w:bCs/>
          <w:color w:val="auto"/>
          <w:kern w:val="0"/>
          <w:szCs w:val="21"/>
          <w:highlight w:val="none"/>
        </w:rPr>
      </w:pPr>
      <w:r>
        <w:rPr>
          <w:rFonts w:hint="eastAsia" w:ascii="宋体" w:hAnsi="宋体"/>
          <w:color w:val="auto"/>
          <w:highlight w:val="none"/>
        </w:rPr>
        <w:t>3.2.4</w:t>
      </w:r>
      <w:r>
        <w:rPr>
          <w:rFonts w:hint="eastAsia" w:ascii="宋体" w:hAnsi="宋体" w:cs="仿宋_GB2312"/>
          <w:bCs/>
          <w:color w:val="auto"/>
          <w:kern w:val="0"/>
          <w:szCs w:val="21"/>
          <w:highlight w:val="none"/>
        </w:rPr>
        <w:t>投标报价是投标人根据自身施工经验、管理水平、经营状况、以及投标人所掌握的市场情况自主确定，应包含企业应预见的风险。</w:t>
      </w:r>
    </w:p>
    <w:p>
      <w:pPr>
        <w:spacing w:line="360" w:lineRule="auto"/>
        <w:ind w:firstLine="420" w:firstLineChars="200"/>
        <w:rPr>
          <w:rFonts w:ascii="宋体" w:hAnsi="宋体"/>
          <w:color w:val="auto"/>
          <w:highlight w:val="none"/>
        </w:rPr>
      </w:pPr>
      <w:r>
        <w:rPr>
          <w:rFonts w:hint="eastAsia" w:ascii="宋体" w:hAnsi="宋体"/>
          <w:color w:val="auto"/>
          <w:highlight w:val="none"/>
        </w:rPr>
        <w:t>3.2.5 招标人设有最高投标限价的，投标人的投标报价不得超过最高投标限价，最高投标限价在投标人须知前附表中载明。</w:t>
      </w:r>
    </w:p>
    <w:p>
      <w:pPr>
        <w:spacing w:line="360" w:lineRule="auto"/>
        <w:ind w:firstLine="420" w:firstLineChars="200"/>
        <w:rPr>
          <w:rFonts w:ascii="宋体" w:hAnsi="宋体"/>
          <w:color w:val="auto"/>
          <w:highlight w:val="none"/>
        </w:rPr>
      </w:pPr>
      <w:r>
        <w:rPr>
          <w:rFonts w:hint="eastAsia" w:ascii="宋体" w:hAnsi="宋体"/>
          <w:color w:val="auto"/>
          <w:highlight w:val="none"/>
        </w:rPr>
        <w:t>3.2.6投标报价的其他要求见投标人须知前附表。</w:t>
      </w:r>
    </w:p>
    <w:p>
      <w:pPr>
        <w:pStyle w:val="5"/>
        <w:spacing w:before="240" w:after="120" w:line="360" w:lineRule="auto"/>
        <w:rPr>
          <w:rFonts w:ascii="宋体" w:eastAsia="宋体"/>
          <w:color w:val="auto"/>
          <w:highlight w:val="none"/>
        </w:rPr>
      </w:pPr>
      <w:bookmarkStart w:id="381" w:name="_Toc247513973"/>
      <w:bookmarkStart w:id="382" w:name="_Toc247527574"/>
      <w:bookmarkStart w:id="383" w:name="_Toc22359"/>
      <w:bookmarkStart w:id="384" w:name="_Toc434565158"/>
      <w:bookmarkStart w:id="385" w:name="_Toc4886"/>
      <w:bookmarkStart w:id="386" w:name="_Toc62586935"/>
      <w:bookmarkStart w:id="387" w:name="_Toc152042325"/>
      <w:bookmarkStart w:id="388" w:name="_Toc152045549"/>
      <w:bookmarkStart w:id="389" w:name="_Toc14985"/>
      <w:bookmarkStart w:id="390" w:name="_Toc54803409"/>
      <w:bookmarkStart w:id="391" w:name="_Toc144974517"/>
      <w:bookmarkStart w:id="392" w:name="_Toc119856039"/>
      <w:bookmarkStart w:id="393" w:name="_Toc2919"/>
      <w:bookmarkStart w:id="394" w:name="_Toc3040"/>
      <w:bookmarkStart w:id="395" w:name="_Toc66975076"/>
      <w:bookmarkStart w:id="396" w:name="_Toc7990"/>
      <w:r>
        <w:rPr>
          <w:rFonts w:hint="eastAsia" w:ascii="宋体" w:eastAsia="宋体"/>
          <w:color w:val="auto"/>
          <w:highlight w:val="none"/>
        </w:rPr>
        <w:t>3.3 投标有效期</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spacing w:line="360" w:lineRule="auto"/>
        <w:ind w:firstLine="420" w:firstLineChars="200"/>
        <w:rPr>
          <w:rFonts w:ascii="宋体" w:hAnsi="宋体"/>
          <w:color w:val="auto"/>
          <w:highlight w:val="none"/>
        </w:rPr>
      </w:pPr>
      <w:r>
        <w:rPr>
          <w:rFonts w:hint="eastAsia" w:ascii="宋体" w:hAnsi="宋体"/>
          <w:color w:val="auto"/>
          <w:highlight w:val="none"/>
        </w:rPr>
        <w:t>3.3.1 在投标有效期内，投标人撤销或修改其投标文件的，应承担招标文件和法律规定的责任。</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5"/>
        <w:spacing w:before="240" w:after="120" w:line="360" w:lineRule="auto"/>
        <w:rPr>
          <w:rFonts w:ascii="宋体" w:eastAsia="宋体"/>
          <w:color w:val="auto"/>
          <w:highlight w:val="none"/>
        </w:rPr>
      </w:pPr>
      <w:bookmarkStart w:id="397" w:name="_Toc29071"/>
      <w:bookmarkStart w:id="398" w:name="_Toc247513974"/>
      <w:bookmarkStart w:id="399" w:name="_Toc152042326"/>
      <w:bookmarkStart w:id="400" w:name="_Toc12022"/>
      <w:bookmarkStart w:id="401" w:name="_Toc152045550"/>
      <w:bookmarkStart w:id="402" w:name="_Toc16605"/>
      <w:bookmarkStart w:id="403" w:name="_Toc247527575"/>
      <w:bookmarkStart w:id="404" w:name="_Toc119856040"/>
      <w:bookmarkStart w:id="405" w:name="_Toc66975077"/>
      <w:bookmarkStart w:id="406" w:name="_Toc5368"/>
      <w:bookmarkStart w:id="407" w:name="_Toc8227"/>
      <w:bookmarkStart w:id="408" w:name="_Toc10190"/>
      <w:bookmarkStart w:id="409" w:name="_Toc434565159"/>
      <w:bookmarkStart w:id="410" w:name="_Toc54803410"/>
      <w:bookmarkStart w:id="411" w:name="_Toc62586936"/>
      <w:bookmarkStart w:id="412" w:name="_Toc144974518"/>
      <w:r>
        <w:rPr>
          <w:rFonts w:hint="eastAsia" w:ascii="宋体" w:eastAsia="宋体"/>
          <w:color w:val="auto"/>
          <w:highlight w:val="none"/>
        </w:rPr>
        <w:t>3.4 投标保证金</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3.4.1 投标人在递交投标文件的同时，应按投标人须知前附表规定的金额、担保形式和第六章</w:t>
      </w:r>
      <w:r>
        <w:rPr>
          <w:rFonts w:hint="eastAsia" w:ascii="宋体" w:hAnsi="宋体" w:cs="宋体"/>
          <w:color w:val="auto"/>
          <w:szCs w:val="21"/>
          <w:highlight w:val="none"/>
        </w:rPr>
        <w:t>“投标文件格式”规定的投标保证金格式递交投标保证金，</w:t>
      </w:r>
      <w:r>
        <w:rPr>
          <w:rFonts w:hint="eastAsia" w:ascii="宋体" w:hAnsi="宋体"/>
          <w:color w:val="auto"/>
          <w:highlight w:val="none"/>
        </w:rPr>
        <w:t>投标文件中须附基本账户开户许可证（或银行基本账户证明）和转账凭证（或投标保证金保函）扫描件，</w:t>
      </w:r>
      <w:r>
        <w:rPr>
          <w:rFonts w:hint="eastAsia" w:ascii="宋体" w:hAnsi="宋体" w:cs="宋体"/>
          <w:color w:val="auto"/>
          <w:szCs w:val="21"/>
          <w:highlight w:val="none"/>
        </w:rPr>
        <w:t>并作为其投标文件的组成部分。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3.4.3招标人与中标人签订合同后按投标人前附表规定向中标人退还投标保证金。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pPr>
        <w:spacing w:line="360" w:lineRule="auto"/>
        <w:ind w:firstLine="315" w:firstLineChars="150"/>
        <w:rPr>
          <w:rFonts w:ascii="宋体" w:hAnsi="宋体"/>
          <w:color w:val="auto"/>
          <w:highlight w:val="none"/>
        </w:rPr>
      </w:pPr>
      <w:r>
        <w:rPr>
          <w:rFonts w:hint="eastAsia" w:ascii="宋体" w:hAnsi="宋体"/>
          <w:color w:val="auto"/>
          <w:highlight w:val="none"/>
        </w:rPr>
        <w:t>（1）投标人在规定的投标有效期内撤销或修改其投标文件；</w:t>
      </w:r>
    </w:p>
    <w:p>
      <w:pPr>
        <w:spacing w:line="360" w:lineRule="auto"/>
        <w:ind w:firstLine="315" w:firstLineChars="150"/>
        <w:rPr>
          <w:rFonts w:ascii="宋体" w:hAnsi="宋体"/>
          <w:color w:val="auto"/>
          <w:highlight w:val="none"/>
        </w:rPr>
      </w:pPr>
      <w:r>
        <w:rPr>
          <w:rFonts w:hint="eastAsia" w:ascii="宋体" w:hAnsi="宋体"/>
          <w:color w:val="auto"/>
          <w:highlight w:val="none"/>
        </w:rPr>
        <w:t>（2）中标人在收到中标通知书后，无正当理由拒签合同或未按招标文件规定提交履约担保。</w:t>
      </w:r>
    </w:p>
    <w:p>
      <w:pPr>
        <w:spacing w:line="360" w:lineRule="auto"/>
        <w:ind w:firstLine="315" w:firstLineChars="150"/>
        <w:rPr>
          <w:rFonts w:ascii="宋体" w:hAnsi="宋体"/>
          <w:color w:val="auto"/>
          <w:highlight w:val="none"/>
        </w:rPr>
      </w:pPr>
      <w:r>
        <w:rPr>
          <w:rFonts w:hint="eastAsia" w:ascii="宋体" w:hAnsi="宋体"/>
          <w:color w:val="auto"/>
          <w:highlight w:val="none"/>
        </w:rPr>
        <w:t>（3）</w:t>
      </w:r>
      <w:r>
        <w:rPr>
          <w:rFonts w:hint="eastAsia" w:ascii="宋体" w:hAnsi="宋体" w:cs="宋体"/>
          <w:color w:val="auto"/>
          <w:szCs w:val="21"/>
          <w:highlight w:val="none"/>
        </w:rPr>
        <w:t>投标人在投标中有弄虚作假及其他违法违规行为的</w:t>
      </w:r>
      <w:r>
        <w:rPr>
          <w:rFonts w:hint="eastAsia" w:ascii="宋体" w:hAnsi="宋体"/>
          <w:color w:val="auto"/>
          <w:highlight w:val="none"/>
        </w:rPr>
        <w:t>。</w:t>
      </w:r>
    </w:p>
    <w:p>
      <w:pPr>
        <w:pStyle w:val="5"/>
        <w:spacing w:before="240" w:after="120" w:line="360" w:lineRule="auto"/>
        <w:rPr>
          <w:rFonts w:ascii="宋体" w:eastAsia="宋体"/>
          <w:color w:val="auto"/>
          <w:highlight w:val="none"/>
        </w:rPr>
      </w:pPr>
      <w:bookmarkStart w:id="413" w:name="_Toc12953"/>
      <w:bookmarkStart w:id="414" w:name="_Toc434565160"/>
      <w:bookmarkStart w:id="415" w:name="_Toc66975078"/>
      <w:bookmarkStart w:id="416" w:name="_Toc247513976"/>
      <w:bookmarkStart w:id="417" w:name="_Toc31713"/>
      <w:bookmarkStart w:id="418" w:name="_Toc152042328"/>
      <w:bookmarkStart w:id="419" w:name="_Toc247527577"/>
      <w:bookmarkStart w:id="420" w:name="_Toc144974520"/>
      <w:bookmarkStart w:id="421" w:name="_Toc62586937"/>
      <w:bookmarkStart w:id="422" w:name="_Toc519"/>
      <w:bookmarkStart w:id="423" w:name="_Toc54803411"/>
      <w:bookmarkStart w:id="424" w:name="_Toc152045552"/>
      <w:bookmarkStart w:id="425" w:name="_Toc119856041"/>
      <w:bookmarkStart w:id="426" w:name="_Toc580"/>
      <w:bookmarkStart w:id="427" w:name="_Toc7416"/>
      <w:bookmarkStart w:id="428" w:name="_Toc29974"/>
      <w:r>
        <w:rPr>
          <w:rFonts w:hint="eastAsia" w:ascii="宋体" w:eastAsia="宋体"/>
          <w:color w:val="auto"/>
          <w:highlight w:val="none"/>
        </w:rPr>
        <w:t>3.5 资格审查资料</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投标人基本情况表”投标文件中应附投标人营业执照副本、资质证书副本、安全生产许可证等材料的复印件。编制投标（响应）文件时，涉及营业执照、资质、业绩、获奖、人员、财务、社保、纳税、各类证书等内容，必须在投标文件中提供</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“近年财务状况表”投标文件中应附经会计师事务所或审计机构审计的财务会计报表，包括资产负债表、现金流量表、利润表和</w:t>
      </w:r>
      <w:r>
        <w:rPr>
          <w:rFonts w:hint="eastAsia" w:ascii="宋体" w:hAnsi="宋体" w:cs="宋体"/>
          <w:color w:val="auto"/>
          <w:szCs w:val="21"/>
          <w:highlight w:val="none"/>
          <w:lang w:eastAsia="zh-CN"/>
        </w:rPr>
        <w:t>附注</w:t>
      </w:r>
      <w:r>
        <w:rPr>
          <w:rFonts w:hint="eastAsia" w:ascii="宋体" w:hAnsi="宋体" w:cs="宋体"/>
          <w:color w:val="auto"/>
          <w:szCs w:val="21"/>
          <w:highlight w:val="none"/>
        </w:rPr>
        <w:t>的复印件，具体年份要求见投标人须知前附表。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“近年完成的类似项目情况表”投标文件中应</w:t>
      </w:r>
      <w:r>
        <w:rPr>
          <w:rFonts w:hint="eastAsia" w:ascii="宋体" w:hAnsi="宋体" w:cs="宋体"/>
          <w:color w:val="auto"/>
          <w:szCs w:val="21"/>
          <w:highlight w:val="none"/>
          <w:lang w:eastAsia="zh-CN"/>
        </w:rPr>
        <w:t>按评分办法要求附相应资料。</w:t>
      </w:r>
      <w:r>
        <w:rPr>
          <w:rFonts w:hint="eastAsia" w:ascii="宋体" w:hAnsi="宋体" w:cs="宋体"/>
          <w:color w:val="auto"/>
          <w:szCs w:val="21"/>
          <w:highlight w:val="none"/>
        </w:rPr>
        <w:t>具体年份要求见投标人须知前附表。每张表格只填写一个项目，并标明序号。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投标人须知前附表规定接受联合体投标的，本章第3.5.1项至第3.5.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项规定的表格和资料。应包括联合体各方相关情况。</w:t>
      </w:r>
    </w:p>
    <w:p>
      <w:pPr>
        <w:pStyle w:val="5"/>
        <w:spacing w:before="240" w:after="120" w:line="360" w:lineRule="auto"/>
        <w:rPr>
          <w:rFonts w:ascii="宋体" w:eastAsia="宋体"/>
          <w:color w:val="auto"/>
          <w:highlight w:val="none"/>
        </w:rPr>
      </w:pPr>
      <w:bookmarkStart w:id="429" w:name="_Toc54803412"/>
      <w:bookmarkStart w:id="430" w:name="_Toc247527578"/>
      <w:bookmarkStart w:id="431" w:name="_Toc1896"/>
      <w:bookmarkStart w:id="432" w:name="_Toc27127"/>
      <w:bookmarkStart w:id="433" w:name="_Toc247513977"/>
      <w:bookmarkStart w:id="434" w:name="_Toc144974521"/>
      <w:bookmarkStart w:id="435" w:name="_Toc62586938"/>
      <w:bookmarkStart w:id="436" w:name="_Toc4281"/>
      <w:bookmarkStart w:id="437" w:name="_Toc66975079"/>
      <w:bookmarkStart w:id="438" w:name="_Toc152042329"/>
      <w:bookmarkStart w:id="439" w:name="_Toc19996"/>
      <w:bookmarkStart w:id="440" w:name="_Toc27511"/>
      <w:bookmarkStart w:id="441" w:name="_Toc152045553"/>
      <w:bookmarkStart w:id="442" w:name="_Toc119856042"/>
      <w:bookmarkStart w:id="443" w:name="_Toc434565161"/>
      <w:bookmarkStart w:id="444" w:name="_Toc18368"/>
      <w:r>
        <w:rPr>
          <w:rFonts w:hint="eastAsia" w:ascii="宋体" w:eastAsia="宋体"/>
          <w:color w:val="auto"/>
          <w:highlight w:val="none"/>
        </w:rPr>
        <w:t>3.6 备选投标方案</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ind w:firstLine="420" w:firstLineChars="200"/>
        <w:rPr>
          <w:rFonts w:ascii="宋体" w:hAnsi="宋体"/>
          <w:color w:val="auto"/>
          <w:highlight w:val="none"/>
        </w:rPr>
      </w:pPr>
      <w:r>
        <w:rPr>
          <w:rFonts w:hint="eastAsia" w:ascii="宋体" w:hAnsi="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240" w:after="120" w:line="360" w:lineRule="auto"/>
        <w:rPr>
          <w:rFonts w:ascii="宋体" w:eastAsia="宋体"/>
          <w:color w:val="auto"/>
          <w:highlight w:val="none"/>
        </w:rPr>
      </w:pPr>
      <w:bookmarkStart w:id="445" w:name="_Toc247513978"/>
      <w:bookmarkStart w:id="446" w:name="_Toc152045554"/>
      <w:bookmarkStart w:id="447" w:name="_Toc66975080"/>
      <w:bookmarkStart w:id="448" w:name="_Toc119856043"/>
      <w:bookmarkStart w:id="449" w:name="_Toc493"/>
      <w:bookmarkStart w:id="450" w:name="_Toc21217"/>
      <w:bookmarkStart w:id="451" w:name="_Toc434565162"/>
      <w:bookmarkStart w:id="452" w:name="_Toc144974522"/>
      <w:bookmarkStart w:id="453" w:name="_Toc24118"/>
      <w:bookmarkStart w:id="454" w:name="_Toc54803413"/>
      <w:bookmarkStart w:id="455" w:name="_Toc17657"/>
      <w:bookmarkStart w:id="456" w:name="_Toc247527579"/>
      <w:bookmarkStart w:id="457" w:name="_Toc10709"/>
      <w:bookmarkStart w:id="458" w:name="_Toc152042330"/>
      <w:bookmarkStart w:id="459" w:name="_Toc62586939"/>
      <w:bookmarkStart w:id="460" w:name="_Toc4389"/>
      <w:r>
        <w:rPr>
          <w:rFonts w:hint="eastAsia" w:ascii="宋体" w:eastAsia="宋体"/>
          <w:color w:val="auto"/>
          <w:highlight w:val="none"/>
        </w:rPr>
        <w:t>3.7 投标文件的编制</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360" w:lineRule="auto"/>
        <w:ind w:firstLine="420" w:firstLineChars="200"/>
        <w:rPr>
          <w:rFonts w:ascii="宋体" w:hAnsi="宋体" w:cs="宋体"/>
          <w:color w:val="auto"/>
          <w:szCs w:val="21"/>
          <w:highlight w:val="none"/>
        </w:rPr>
      </w:pPr>
      <w:bookmarkStart w:id="461" w:name="_Toc247527580"/>
      <w:bookmarkStart w:id="462" w:name="_Toc144974523"/>
      <w:bookmarkStart w:id="463" w:name="_Toc152045555"/>
      <w:bookmarkStart w:id="464" w:name="_Toc29368"/>
      <w:bookmarkStart w:id="465" w:name="_Toc25940"/>
      <w:bookmarkStart w:id="466" w:name="_Toc152042331"/>
      <w:bookmarkStart w:id="467" w:name="_Toc247513979"/>
      <w:r>
        <w:rPr>
          <w:rFonts w:hint="eastAsia" w:ascii="宋体" w:hAnsi="宋体" w:cs="宋体"/>
          <w:color w:val="auto"/>
          <w:szCs w:val="21"/>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 投标文件应当对招标文件有关工期、投标有效期、质量要求、技术标准和要求、招标范围等实质性内容作出响应。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3.7.4中标单位需再提交投标文件副本要求详见投标人须知前附表。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3.7.5中标单位需再提交投标文件副本应分别装订成册，并编制目录，具体装订要求见投标人须知前附表规定。</w:t>
      </w:r>
    </w:p>
    <w:p>
      <w:pPr>
        <w:pStyle w:val="4"/>
        <w:spacing w:before="120" w:after="120" w:line="360" w:lineRule="auto"/>
        <w:rPr>
          <w:rFonts w:ascii="宋体" w:hAnsi="宋体" w:eastAsia="宋体"/>
          <w:color w:val="auto"/>
          <w:highlight w:val="none"/>
        </w:rPr>
      </w:pPr>
      <w:bookmarkStart w:id="468" w:name="_Toc12582"/>
      <w:bookmarkStart w:id="469" w:name="_Toc598"/>
      <w:bookmarkStart w:id="470" w:name="_Toc24952"/>
      <w:r>
        <w:rPr>
          <w:rFonts w:hint="eastAsia" w:ascii="宋体" w:hAnsi="宋体" w:eastAsia="宋体"/>
          <w:color w:val="auto"/>
          <w:highlight w:val="none"/>
        </w:rPr>
        <w:t>4. 投标</w:t>
      </w:r>
      <w:bookmarkEnd w:id="461"/>
      <w:bookmarkEnd w:id="462"/>
      <w:bookmarkEnd w:id="463"/>
      <w:bookmarkEnd w:id="464"/>
      <w:bookmarkEnd w:id="465"/>
      <w:bookmarkEnd w:id="466"/>
      <w:bookmarkEnd w:id="467"/>
      <w:bookmarkEnd w:id="468"/>
      <w:bookmarkEnd w:id="469"/>
      <w:bookmarkEnd w:id="470"/>
    </w:p>
    <w:p>
      <w:pPr>
        <w:pStyle w:val="5"/>
        <w:spacing w:before="240" w:after="120" w:line="360" w:lineRule="auto"/>
        <w:rPr>
          <w:rFonts w:ascii="宋体" w:eastAsia="宋体"/>
          <w:color w:val="auto"/>
          <w:highlight w:val="none"/>
        </w:rPr>
      </w:pPr>
      <w:bookmarkStart w:id="471" w:name="_Toc22760"/>
      <w:bookmarkStart w:id="472" w:name="_Toc66975082"/>
      <w:bookmarkStart w:id="473" w:name="_Toc10131"/>
      <w:bookmarkStart w:id="474" w:name="_Toc5782"/>
      <w:bookmarkStart w:id="475" w:name="_Toc434565164"/>
      <w:bookmarkStart w:id="476" w:name="_Toc144974524"/>
      <w:bookmarkStart w:id="477" w:name="_Toc62586941"/>
      <w:bookmarkStart w:id="478" w:name="_Toc54803415"/>
      <w:bookmarkStart w:id="479" w:name="_Toc119856045"/>
      <w:bookmarkStart w:id="480" w:name="_Toc152042332"/>
      <w:bookmarkStart w:id="481" w:name="_Toc6310"/>
      <w:bookmarkStart w:id="482" w:name="_Toc247513980"/>
      <w:bookmarkStart w:id="483" w:name="_Toc19614"/>
      <w:bookmarkStart w:id="484" w:name="_Toc152045556"/>
      <w:bookmarkStart w:id="485" w:name="_Toc19162"/>
      <w:bookmarkStart w:id="486" w:name="_Toc247527581"/>
      <w:r>
        <w:rPr>
          <w:rFonts w:hint="eastAsia" w:ascii="宋体" w:eastAsia="宋体"/>
          <w:color w:val="auto"/>
          <w:highlight w:val="none"/>
        </w:rPr>
        <w:t>4.1 投标文件的密封和标记</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4.1.1投标人应在投标人须知前附表规定的投标截止时间前递交投标文件。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.2投标人通过下载招标文件的电子招标投标交易平台递交电子投标文件。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除投标人须知前附表另有规定外，投标人所递交的投标文件不予退还。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.5逾期送达的投标文件，电子招标投标交易平台将予以拒收。</w:t>
      </w:r>
    </w:p>
    <w:p>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4.1.6</w:t>
      </w:r>
      <w:r>
        <w:rPr>
          <w:rFonts w:hint="eastAsia" w:ascii="宋体" w:hAnsi="宋体" w:eastAsia="宋体" w:cs="宋体"/>
          <w:color w:val="auto"/>
          <w:sz w:val="21"/>
          <w:szCs w:val="21"/>
          <w:highlight w:val="none"/>
        </w:rPr>
        <w:t>自备非加密电子投标文件一份，如有紧急情况，在不见面开标按要求上传</w:t>
      </w:r>
      <w:r>
        <w:rPr>
          <w:rFonts w:hint="eastAsia" w:ascii="宋体" w:hAnsi="宋体" w:cs="宋体"/>
          <w:color w:val="auto"/>
          <w:szCs w:val="21"/>
          <w:highlight w:val="none"/>
        </w:rPr>
        <w:t>。</w:t>
      </w:r>
    </w:p>
    <w:p>
      <w:pPr>
        <w:pStyle w:val="5"/>
        <w:spacing w:before="240" w:after="120" w:line="360" w:lineRule="auto"/>
        <w:rPr>
          <w:rFonts w:ascii="宋体" w:eastAsia="宋体"/>
          <w:color w:val="auto"/>
          <w:highlight w:val="none"/>
        </w:rPr>
      </w:pPr>
      <w:bookmarkStart w:id="487" w:name="_Toc247513982"/>
      <w:bookmarkStart w:id="488" w:name="_Toc8596"/>
      <w:bookmarkStart w:id="489" w:name="_Toc152045558"/>
      <w:bookmarkStart w:id="490" w:name="_Toc62586942"/>
      <w:bookmarkStart w:id="491" w:name="_Toc7727"/>
      <w:bookmarkStart w:id="492" w:name="_Toc247527583"/>
      <w:bookmarkStart w:id="493" w:name="_Toc54803416"/>
      <w:bookmarkStart w:id="494" w:name="_Toc23405"/>
      <w:bookmarkStart w:id="495" w:name="_Toc11833"/>
      <w:bookmarkStart w:id="496" w:name="_Toc30854"/>
      <w:bookmarkStart w:id="497" w:name="_Toc434565166"/>
      <w:bookmarkStart w:id="498" w:name="_Toc66975083"/>
      <w:bookmarkStart w:id="499" w:name="_Toc119856046"/>
      <w:bookmarkStart w:id="500" w:name="_Toc152042334"/>
      <w:bookmarkStart w:id="501" w:name="_Toc144974526"/>
      <w:bookmarkStart w:id="502" w:name="_Toc12176"/>
      <w:r>
        <w:rPr>
          <w:rFonts w:hint="eastAsia" w:ascii="宋体" w:eastAsia="宋体"/>
          <w:color w:val="auto"/>
          <w:highlight w:val="none"/>
        </w:rPr>
        <w:t>4.2投标文件的修改与撤回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4.2.1各投标人应在投标截至时间前上传加密的电子投标文件（.jztf 格式）到会员系统的指定位置。上传时必须得到电脑“上传成功”的确认回复。请投标人在上传时认真检查上传投标文件是否完整、正确。</w:t>
      </w:r>
    </w:p>
    <w:p>
      <w:pPr>
        <w:spacing w:line="360" w:lineRule="auto"/>
        <w:ind w:firstLine="420" w:firstLineChars="200"/>
        <w:rPr>
          <w:rFonts w:ascii="宋体" w:hAnsi="宋体"/>
          <w:color w:val="auto"/>
          <w:highlight w:val="none"/>
        </w:rPr>
      </w:pPr>
      <w:r>
        <w:rPr>
          <w:rFonts w:hint="eastAsia" w:ascii="宋体" w:hAnsi="宋体"/>
          <w:color w:val="auto"/>
          <w:highlight w:val="none"/>
        </w:rPr>
        <w:t>4.2.2投标人因交易中心投标系统无法上传电子投标文件时， 请在工作时间与博爱县公共资源交易中心联系，联系电话：</w:t>
      </w:r>
      <w:r>
        <w:rPr>
          <w:rFonts w:hint="eastAsia" w:ascii="宋体" w:hAnsi="宋体"/>
          <w:color w:val="auto"/>
          <w:highlight w:val="none"/>
          <w:lang w:val="en-US" w:eastAsia="zh-CN"/>
        </w:rPr>
        <w:t>0391</w:t>
      </w:r>
      <w:r>
        <w:rPr>
          <w:rFonts w:hint="eastAsia" w:ascii="宋体" w:hAnsi="宋体"/>
          <w:color w:val="auto"/>
          <w:highlight w:val="none"/>
        </w:rPr>
        <w:t>-</w:t>
      </w:r>
      <w:r>
        <w:rPr>
          <w:rFonts w:hint="eastAsia" w:ascii="宋体" w:hAnsi="宋体"/>
          <w:color w:val="auto"/>
          <w:highlight w:val="none"/>
          <w:lang w:val="en-US" w:eastAsia="zh-CN"/>
        </w:rPr>
        <w:t>8623196</w:t>
      </w:r>
      <w:r>
        <w:rPr>
          <w:rFonts w:hint="eastAsia" w:ascii="宋体" w:hAnsi="宋体"/>
          <w:color w:val="auto"/>
          <w:highlight w:val="none"/>
        </w:rPr>
        <w:t>。</w:t>
      </w:r>
    </w:p>
    <w:p>
      <w:pPr>
        <w:pStyle w:val="5"/>
        <w:spacing w:before="240" w:after="120" w:line="360" w:lineRule="auto"/>
        <w:rPr>
          <w:rFonts w:hint="eastAsia" w:ascii="宋体" w:hAnsi="宋体" w:eastAsia="宋体" w:cs="Times New Roman"/>
          <w:color w:val="auto"/>
          <w:highlight w:val="none"/>
        </w:rPr>
      </w:pPr>
      <w:bookmarkStart w:id="503" w:name="_Toc21023"/>
      <w:bookmarkStart w:id="504" w:name="_Toc144974527"/>
      <w:bookmarkStart w:id="505" w:name="_Toc8022"/>
      <w:bookmarkStart w:id="506" w:name="_Toc5902"/>
      <w:bookmarkStart w:id="507" w:name="_Toc152042335"/>
      <w:bookmarkStart w:id="508" w:name="_Toc247527584"/>
      <w:bookmarkStart w:id="509" w:name="_Toc152045559"/>
      <w:bookmarkStart w:id="510" w:name="_Toc247513983"/>
      <w:bookmarkStart w:id="511" w:name="_Toc30155"/>
      <w:bookmarkStart w:id="512" w:name="_Toc54803417"/>
      <w:bookmarkStart w:id="513" w:name="_Toc9236"/>
      <w:r>
        <w:rPr>
          <w:rFonts w:hint="eastAsia" w:ascii="宋体" w:hAnsi="宋体" w:eastAsia="宋体" w:cs="Times New Roman"/>
          <w:color w:val="auto"/>
          <w:highlight w:val="none"/>
        </w:rPr>
        <w:t>4.3 投标文件的修改与撤回</w:t>
      </w:r>
      <w:bookmarkEnd w:id="50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4.3.1在本章第 4.2.1 项规定的投标截止时间前，投标人可以修改或撤回已递交的投标文件，最终投标文件以投标截止时间前完成上传至焦作市公共资源交易中心交易系统最后一份投标文件为准。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修改的内容为投标文件的组成部分。修改的投标文件应按照本章第 3 条、第 4 条的规定进行编制、递交，并标明“修改”字样。</w:t>
      </w:r>
    </w:p>
    <w:p>
      <w:pPr>
        <w:pStyle w:val="4"/>
        <w:spacing w:before="120" w:after="120" w:line="360" w:lineRule="auto"/>
        <w:rPr>
          <w:rFonts w:ascii="宋体" w:hAnsi="宋体" w:eastAsia="宋体"/>
          <w:color w:val="auto"/>
          <w:highlight w:val="none"/>
        </w:rPr>
      </w:pPr>
      <w:bookmarkStart w:id="514" w:name="_Toc7823"/>
      <w:r>
        <w:rPr>
          <w:rFonts w:hint="eastAsia" w:ascii="宋体" w:hAnsi="宋体" w:eastAsia="宋体"/>
          <w:color w:val="auto"/>
          <w:highlight w:val="none"/>
        </w:rPr>
        <w:t>5. 开标</w:t>
      </w:r>
      <w:bookmarkEnd w:id="504"/>
      <w:bookmarkEnd w:id="505"/>
      <w:bookmarkEnd w:id="506"/>
      <w:bookmarkEnd w:id="507"/>
      <w:bookmarkEnd w:id="508"/>
      <w:bookmarkEnd w:id="509"/>
      <w:bookmarkEnd w:id="510"/>
      <w:bookmarkEnd w:id="511"/>
      <w:bookmarkEnd w:id="512"/>
      <w:bookmarkEnd w:id="513"/>
      <w:bookmarkEnd w:id="514"/>
    </w:p>
    <w:p>
      <w:pPr>
        <w:pStyle w:val="5"/>
        <w:spacing w:before="240" w:after="120" w:line="360" w:lineRule="auto"/>
        <w:rPr>
          <w:rFonts w:ascii="宋体" w:eastAsia="宋体"/>
          <w:color w:val="auto"/>
          <w:highlight w:val="none"/>
        </w:rPr>
      </w:pPr>
      <w:bookmarkStart w:id="515" w:name="_Toc247527585"/>
      <w:bookmarkStart w:id="516" w:name="_Toc152042336"/>
      <w:bookmarkStart w:id="517" w:name="_Toc66975085"/>
      <w:bookmarkStart w:id="518" w:name="_Toc54803418"/>
      <w:bookmarkStart w:id="519" w:name="_Toc152045560"/>
      <w:bookmarkStart w:id="520" w:name="_Toc144974528"/>
      <w:bookmarkStart w:id="521" w:name="_Toc29184"/>
      <w:bookmarkStart w:id="522" w:name="_Toc23616"/>
      <w:bookmarkStart w:id="523" w:name="_Toc12656"/>
      <w:bookmarkStart w:id="524" w:name="_Toc613"/>
      <w:bookmarkStart w:id="525" w:name="_Toc247513984"/>
      <w:bookmarkStart w:id="526" w:name="_Toc119856048"/>
      <w:bookmarkStart w:id="527" w:name="_Toc62586944"/>
      <w:bookmarkStart w:id="528" w:name="_Toc434565168"/>
      <w:bookmarkStart w:id="529" w:name="_Toc25945"/>
      <w:bookmarkStart w:id="530" w:name="_Toc26070"/>
      <w:r>
        <w:rPr>
          <w:rFonts w:hint="eastAsia" w:ascii="宋体" w:eastAsia="宋体"/>
          <w:color w:val="auto"/>
          <w:highlight w:val="none"/>
        </w:rPr>
        <w:t>5.1 开标时间和地点</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5.1.1招标人在本章规定的投标截止时间（开标时间）和投标人须知前附表规定的地点通过焦作市公共资源交易管理中心平台进行远程不见面开标，投标人应登录远程开标大厅,网址：http://122.112.246.33/BidOpening/bidopeninghallaction/hall/login，远程在线准时参加开标活动并在规定时间内进行文件解密，答疑等。</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5.1.2投标人须在规定的时间内完成解密。由于投标人的自身原因，在规定时间内解密不成功的，按无效投标处理。</w:t>
      </w:r>
    </w:p>
    <w:p>
      <w:pPr>
        <w:pStyle w:val="5"/>
        <w:spacing w:before="240" w:after="120" w:line="360" w:lineRule="auto"/>
        <w:rPr>
          <w:rFonts w:ascii="宋体" w:eastAsia="宋体"/>
          <w:color w:val="auto"/>
          <w:highlight w:val="none"/>
        </w:rPr>
      </w:pPr>
      <w:bookmarkStart w:id="531" w:name="_Toc4586"/>
      <w:bookmarkStart w:id="532" w:name="_Toc247513985"/>
      <w:bookmarkStart w:id="533" w:name="_Toc6532"/>
      <w:bookmarkStart w:id="534" w:name="_Toc19974"/>
      <w:bookmarkStart w:id="535" w:name="_Toc247527586"/>
      <w:bookmarkStart w:id="536" w:name="_Toc152045561"/>
      <w:bookmarkStart w:id="537" w:name="_Toc2979"/>
      <w:bookmarkStart w:id="538" w:name="_Toc6251"/>
      <w:bookmarkStart w:id="539" w:name="_Toc144974529"/>
      <w:bookmarkStart w:id="540" w:name="_Toc152042337"/>
      <w:bookmarkStart w:id="541" w:name="_Toc66975086"/>
      <w:bookmarkStart w:id="542" w:name="_Toc434565169"/>
      <w:bookmarkStart w:id="543" w:name="_Toc54803419"/>
      <w:bookmarkStart w:id="544" w:name="_Toc119856049"/>
      <w:bookmarkStart w:id="545" w:name="_Toc62586945"/>
      <w:bookmarkStart w:id="546" w:name="_Toc28523"/>
      <w:r>
        <w:rPr>
          <w:rFonts w:hint="eastAsia" w:ascii="宋体" w:eastAsia="宋体"/>
          <w:color w:val="auto"/>
          <w:highlight w:val="none"/>
        </w:rPr>
        <w:t>5.2 开标程序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spacing w:line="360" w:lineRule="auto"/>
        <w:ind w:firstLine="420" w:firstLineChars="200"/>
        <w:rPr>
          <w:rFonts w:hint="eastAsia" w:ascii="宋体" w:hAnsi="宋体" w:cs="宋体"/>
          <w:color w:val="auto"/>
          <w:szCs w:val="21"/>
          <w:highlight w:val="none"/>
        </w:rPr>
      </w:pPr>
      <w:bookmarkStart w:id="547" w:name="_Toc18079"/>
      <w:bookmarkStart w:id="548" w:name="_Toc22365"/>
      <w:bookmarkStart w:id="549" w:name="_Toc434565170"/>
      <w:bookmarkStart w:id="550" w:name="_Toc30233"/>
      <w:r>
        <w:rPr>
          <w:rFonts w:hint="eastAsia" w:ascii="宋体" w:hAnsi="宋体" w:cs="宋体"/>
          <w:color w:val="auto"/>
          <w:szCs w:val="21"/>
          <w:highlight w:val="none"/>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按下列程序进行开标：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（l）公布投标人；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（2）投标单位在线解密，电子投标文件必须凭制作投标文件所用的企业 CA 密匙在 30 分钟内完成解密。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（3）招标人解密；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（4）唱标；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（5）招标人抽取</w:t>
      </w:r>
      <w:r>
        <w:rPr>
          <w:rFonts w:hint="eastAsia" w:ascii="宋体" w:hAnsi="宋体" w:cs="宋体"/>
          <w:color w:val="auto"/>
          <w:szCs w:val="21"/>
          <w:highlight w:val="none"/>
          <w:lang w:val="en-US" w:eastAsia="zh-CN"/>
        </w:rPr>
        <w:t>K</w:t>
      </w:r>
      <w:r>
        <w:rPr>
          <w:rFonts w:hint="eastAsia" w:ascii="宋体" w:hAnsi="宋体" w:cs="宋体"/>
          <w:color w:val="auto"/>
          <w:szCs w:val="21"/>
          <w:highlight w:val="none"/>
        </w:rPr>
        <w:t>值；</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（6）开标结束。</w:t>
      </w:r>
    </w:p>
    <w:p>
      <w:pPr>
        <w:pStyle w:val="5"/>
        <w:spacing w:before="240" w:after="120" w:line="360" w:lineRule="auto"/>
        <w:rPr>
          <w:rFonts w:ascii="宋体" w:eastAsia="宋体"/>
          <w:color w:val="auto"/>
          <w:highlight w:val="none"/>
        </w:rPr>
      </w:pPr>
      <w:bookmarkStart w:id="551" w:name="_Toc119856050"/>
      <w:bookmarkStart w:id="552" w:name="_Toc66975087"/>
      <w:bookmarkStart w:id="553" w:name="_Toc62586946"/>
      <w:bookmarkStart w:id="554" w:name="_Toc26992"/>
      <w:bookmarkStart w:id="555" w:name="_Toc1254"/>
      <w:bookmarkStart w:id="556" w:name="_Toc54803420"/>
      <w:bookmarkStart w:id="557" w:name="_Toc17631"/>
      <w:r>
        <w:rPr>
          <w:rFonts w:hint="eastAsia" w:ascii="宋体" w:eastAsia="宋体"/>
          <w:color w:val="auto"/>
          <w:highlight w:val="none"/>
        </w:rPr>
        <w:t>5.3 开标异议</w:t>
      </w:r>
      <w:bookmarkEnd w:id="547"/>
      <w:bookmarkEnd w:id="548"/>
      <w:bookmarkEnd w:id="549"/>
      <w:bookmarkEnd w:id="550"/>
      <w:bookmarkEnd w:id="551"/>
      <w:bookmarkEnd w:id="552"/>
      <w:bookmarkEnd w:id="553"/>
      <w:bookmarkEnd w:id="554"/>
      <w:bookmarkEnd w:id="555"/>
      <w:bookmarkEnd w:id="556"/>
      <w:bookmarkEnd w:id="557"/>
    </w:p>
    <w:p>
      <w:pPr>
        <w:spacing w:line="360" w:lineRule="auto"/>
        <w:ind w:firstLine="361" w:firstLineChars="171"/>
        <w:rPr>
          <w:rFonts w:ascii="宋体" w:hAnsi="宋体"/>
          <w:b/>
          <w:bCs/>
          <w:color w:val="auto"/>
          <w:highlight w:val="none"/>
        </w:rPr>
      </w:pPr>
      <w:r>
        <w:rPr>
          <w:rFonts w:hint="eastAsia" w:ascii="宋体" w:hAnsi="宋体"/>
          <w:b/>
          <w:bCs/>
          <w:color w:val="auto"/>
          <w:highlight w:val="none"/>
        </w:rPr>
        <w:t>投标人对开标有异议的，应当在开标现场提出，招标人当场作出答复，并制作记录。</w:t>
      </w:r>
    </w:p>
    <w:bookmarkEnd w:id="339"/>
    <w:bookmarkEnd w:id="340"/>
    <w:bookmarkEnd w:id="341"/>
    <w:bookmarkEnd w:id="342"/>
    <w:bookmarkEnd w:id="343"/>
    <w:bookmarkEnd w:id="344"/>
    <w:bookmarkEnd w:id="345"/>
    <w:bookmarkEnd w:id="346"/>
    <w:bookmarkEnd w:id="347"/>
    <w:p>
      <w:pPr>
        <w:pStyle w:val="4"/>
        <w:spacing w:before="120" w:after="120" w:line="360" w:lineRule="auto"/>
        <w:rPr>
          <w:rFonts w:ascii="宋体" w:hAnsi="宋体" w:eastAsia="宋体"/>
          <w:color w:val="auto"/>
          <w:highlight w:val="none"/>
        </w:rPr>
      </w:pPr>
      <w:bookmarkStart w:id="558" w:name="_Toc152042338"/>
      <w:bookmarkStart w:id="559" w:name="_Toc2259"/>
      <w:bookmarkStart w:id="560" w:name="_Toc28950"/>
      <w:bookmarkStart w:id="561" w:name="_Toc144974530"/>
      <w:bookmarkStart w:id="562" w:name="_Toc5812"/>
      <w:bookmarkStart w:id="563" w:name="_Toc10324"/>
      <w:bookmarkStart w:id="564" w:name="_Toc247513986"/>
      <w:bookmarkStart w:id="565" w:name="_Toc247527587"/>
      <w:bookmarkStart w:id="566" w:name="_Toc152045562"/>
      <w:bookmarkStart w:id="567" w:name="_Toc31895"/>
      <w:bookmarkStart w:id="568" w:name="_Toc247513990"/>
      <w:bookmarkStart w:id="569" w:name="_Toc29725"/>
      <w:bookmarkStart w:id="570" w:name="_Toc231"/>
      <w:bookmarkStart w:id="571" w:name="_Toc144974534"/>
      <w:bookmarkStart w:id="572" w:name="_Toc152045566"/>
      <w:bookmarkStart w:id="573" w:name="_Toc152042342"/>
      <w:bookmarkStart w:id="574" w:name="_Toc247527591"/>
      <w:r>
        <w:rPr>
          <w:rFonts w:hint="eastAsia" w:ascii="宋体" w:hAnsi="宋体" w:eastAsia="宋体"/>
          <w:color w:val="auto"/>
          <w:highlight w:val="none"/>
        </w:rPr>
        <w:t>6. 评标</w:t>
      </w:r>
      <w:bookmarkEnd w:id="558"/>
      <w:bookmarkEnd w:id="559"/>
      <w:bookmarkEnd w:id="560"/>
      <w:bookmarkEnd w:id="561"/>
      <w:bookmarkEnd w:id="562"/>
      <w:bookmarkEnd w:id="563"/>
      <w:bookmarkEnd w:id="564"/>
      <w:bookmarkEnd w:id="565"/>
      <w:bookmarkEnd w:id="566"/>
      <w:bookmarkEnd w:id="567"/>
    </w:p>
    <w:p>
      <w:pPr>
        <w:pStyle w:val="5"/>
        <w:spacing w:before="240" w:after="120" w:line="360" w:lineRule="auto"/>
        <w:rPr>
          <w:rFonts w:ascii="宋体" w:eastAsia="宋体"/>
          <w:color w:val="auto"/>
          <w:highlight w:val="none"/>
        </w:rPr>
      </w:pPr>
      <w:bookmarkStart w:id="575" w:name="_Toc5013"/>
      <w:bookmarkStart w:id="576" w:name="_Toc152042339"/>
      <w:bookmarkStart w:id="577" w:name="_Toc21359"/>
      <w:bookmarkStart w:id="578" w:name="_Toc22547"/>
      <w:bookmarkStart w:id="579" w:name="_Toc119856052"/>
      <w:bookmarkStart w:id="580" w:name="_Toc22252"/>
      <w:bookmarkStart w:id="581" w:name="_Toc54803422"/>
      <w:bookmarkStart w:id="582" w:name="_Toc152045563"/>
      <w:bookmarkStart w:id="583" w:name="_Toc247527588"/>
      <w:bookmarkStart w:id="584" w:name="_Toc66975089"/>
      <w:bookmarkStart w:id="585" w:name="_Toc144974531"/>
      <w:bookmarkStart w:id="586" w:name="_Toc62586948"/>
      <w:bookmarkStart w:id="587" w:name="_Toc247513987"/>
      <w:bookmarkStart w:id="588" w:name="_Toc17284"/>
      <w:bookmarkStart w:id="589" w:name="_Toc434565172"/>
      <w:bookmarkStart w:id="590" w:name="_Toc16675"/>
      <w:r>
        <w:rPr>
          <w:rFonts w:hint="eastAsia" w:ascii="宋体" w:eastAsia="宋体"/>
          <w:color w:val="auto"/>
          <w:highlight w:val="none"/>
        </w:rPr>
        <w:t>6.1 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spacing w:line="360" w:lineRule="auto"/>
        <w:ind w:firstLine="420" w:firstLineChars="200"/>
        <w:rPr>
          <w:rFonts w:ascii="宋体" w:hAnsi="宋体"/>
          <w:color w:val="auto"/>
          <w:highlight w:val="none"/>
        </w:rPr>
      </w:pPr>
      <w:bookmarkStart w:id="591" w:name="_Toc15566797"/>
      <w:bookmarkStart w:id="592" w:name="_Toc16861392"/>
      <w:r>
        <w:rPr>
          <w:rFonts w:hint="eastAsia" w:ascii="宋体" w:hAnsi="宋体"/>
          <w:color w:val="auto"/>
          <w:highlight w:val="none"/>
        </w:rPr>
        <w:t>6.1.1 评标由招标人依法组建的评标委员会负责。评标委员会由招标人代表及有关技术、经济等方面的专家组成。评标委员会成员人数以及技术、经济等方面专家的确定方式见投标人须知前附表。</w:t>
      </w:r>
      <w:bookmarkEnd w:id="591"/>
      <w:bookmarkEnd w:id="592"/>
    </w:p>
    <w:p>
      <w:pPr>
        <w:spacing w:line="360" w:lineRule="auto"/>
        <w:ind w:firstLine="420" w:firstLineChars="200"/>
        <w:rPr>
          <w:rFonts w:ascii="宋体" w:hAnsi="宋体"/>
          <w:color w:val="auto"/>
          <w:highlight w:val="none"/>
        </w:rPr>
      </w:pPr>
      <w:r>
        <w:rPr>
          <w:rFonts w:hint="eastAsia" w:ascii="宋体" w:hAnsi="宋体"/>
          <w:color w:val="auto"/>
          <w:highlight w:val="none"/>
        </w:rPr>
        <w:t>6.1.2 评标委员会成员有下列情形之一的，应当回避：</w:t>
      </w:r>
    </w:p>
    <w:p>
      <w:pPr>
        <w:spacing w:line="360" w:lineRule="auto"/>
        <w:ind w:firstLine="718" w:firstLineChars="342"/>
        <w:rPr>
          <w:rFonts w:ascii="宋体" w:hAnsi="宋体"/>
          <w:color w:val="auto"/>
          <w:highlight w:val="none"/>
        </w:rPr>
      </w:pPr>
      <w:r>
        <w:rPr>
          <w:rFonts w:hint="eastAsia" w:ascii="宋体" w:hAnsi="宋体"/>
          <w:color w:val="auto"/>
          <w:highlight w:val="none"/>
        </w:rPr>
        <w:t>（1）投标人或投标人主要负责人的近亲属；</w:t>
      </w:r>
    </w:p>
    <w:p>
      <w:pPr>
        <w:spacing w:line="360" w:lineRule="auto"/>
        <w:ind w:firstLine="718" w:firstLineChars="342"/>
        <w:rPr>
          <w:rFonts w:ascii="宋体" w:hAnsi="宋体"/>
          <w:color w:val="auto"/>
          <w:highlight w:val="none"/>
        </w:rPr>
      </w:pPr>
      <w:r>
        <w:rPr>
          <w:rFonts w:hint="eastAsia" w:ascii="宋体" w:hAnsi="宋体"/>
          <w:color w:val="auto"/>
          <w:highlight w:val="none"/>
        </w:rPr>
        <w:t>（2）项目主管部门或者行政监督部门的人员；</w:t>
      </w:r>
    </w:p>
    <w:p>
      <w:pPr>
        <w:spacing w:line="360" w:lineRule="auto"/>
        <w:ind w:firstLine="718" w:firstLineChars="342"/>
        <w:rPr>
          <w:rFonts w:ascii="宋体" w:hAnsi="宋体"/>
          <w:color w:val="auto"/>
          <w:highlight w:val="none"/>
        </w:rPr>
      </w:pPr>
      <w:r>
        <w:rPr>
          <w:rFonts w:hint="eastAsia" w:ascii="宋体" w:hAnsi="宋体"/>
          <w:color w:val="auto"/>
          <w:highlight w:val="none"/>
        </w:rPr>
        <w:t>（3）与投标人有经济利益关系，可能影响对投标公正评审的；</w:t>
      </w:r>
    </w:p>
    <w:p>
      <w:pPr>
        <w:spacing w:line="360" w:lineRule="auto"/>
        <w:ind w:firstLine="718" w:firstLineChars="342"/>
        <w:rPr>
          <w:rFonts w:ascii="宋体" w:hAnsi="宋体"/>
          <w:color w:val="auto"/>
          <w:highlight w:val="none"/>
        </w:rPr>
      </w:pPr>
      <w:r>
        <w:rPr>
          <w:rFonts w:hint="eastAsia" w:ascii="宋体" w:hAnsi="宋体"/>
          <w:color w:val="auto"/>
          <w:highlight w:val="none"/>
        </w:rPr>
        <w:t>（4）曾因在招标、评标以及其他与招标投标有关活动中从事违法行为而受过行政处罚或刑事处罚的；</w:t>
      </w:r>
    </w:p>
    <w:p>
      <w:pPr>
        <w:spacing w:line="360" w:lineRule="auto"/>
        <w:ind w:firstLine="718" w:firstLineChars="342"/>
        <w:rPr>
          <w:rFonts w:ascii="宋体" w:hAnsi="宋体"/>
          <w:color w:val="auto"/>
          <w:highlight w:val="none"/>
        </w:rPr>
      </w:pPr>
      <w:r>
        <w:rPr>
          <w:rFonts w:hint="eastAsia" w:ascii="宋体" w:hAnsi="宋体"/>
          <w:color w:val="auto"/>
          <w:highlight w:val="none"/>
        </w:rPr>
        <w:t>（5）与投标人有其他利害关系。</w:t>
      </w:r>
    </w:p>
    <w:p>
      <w:pPr>
        <w:pStyle w:val="5"/>
        <w:spacing w:before="240" w:after="120" w:line="360" w:lineRule="auto"/>
        <w:rPr>
          <w:rFonts w:ascii="宋体" w:eastAsia="宋体"/>
          <w:color w:val="auto"/>
          <w:highlight w:val="none"/>
        </w:rPr>
      </w:pPr>
      <w:bookmarkStart w:id="593" w:name="_Toc119856053"/>
      <w:bookmarkStart w:id="594" w:name="_Toc62586949"/>
      <w:bookmarkStart w:id="595" w:name="_Toc27444"/>
      <w:bookmarkStart w:id="596" w:name="_Toc6956"/>
      <w:bookmarkStart w:id="597" w:name="_Toc54803423"/>
      <w:bookmarkStart w:id="598" w:name="_Toc66975090"/>
      <w:bookmarkStart w:id="599" w:name="_Toc13462"/>
      <w:r>
        <w:rPr>
          <w:rFonts w:hint="eastAsia" w:ascii="宋体" w:eastAsia="宋体"/>
          <w:color w:val="auto"/>
          <w:highlight w:val="none"/>
        </w:rPr>
        <w:t>6.2 评标原则</w:t>
      </w:r>
      <w:bookmarkEnd w:id="593"/>
      <w:bookmarkEnd w:id="594"/>
      <w:bookmarkEnd w:id="595"/>
      <w:bookmarkEnd w:id="596"/>
      <w:bookmarkEnd w:id="597"/>
      <w:bookmarkEnd w:id="598"/>
      <w:bookmarkEnd w:id="599"/>
      <w:r>
        <w:rPr>
          <w:rFonts w:ascii="宋体" w:eastAsia="宋体"/>
          <w:color w:val="auto"/>
          <w:highlight w:val="none"/>
        </w:rPr>
        <w:tab/>
      </w:r>
    </w:p>
    <w:p>
      <w:pPr>
        <w:spacing w:line="360" w:lineRule="auto"/>
        <w:ind w:firstLine="420" w:firstLineChars="200"/>
        <w:rPr>
          <w:rFonts w:ascii="宋体" w:hAnsi="宋体"/>
          <w:color w:val="auto"/>
          <w:highlight w:val="none"/>
        </w:rPr>
      </w:pPr>
      <w:r>
        <w:rPr>
          <w:rFonts w:hint="eastAsia" w:ascii="宋体" w:hAnsi="宋体"/>
          <w:color w:val="auto"/>
          <w:highlight w:val="none"/>
        </w:rPr>
        <w:t>评标活动遵循公平、公正、科学和择优的原则。</w:t>
      </w:r>
    </w:p>
    <w:p>
      <w:pPr>
        <w:pStyle w:val="5"/>
        <w:spacing w:before="240" w:after="120" w:line="360" w:lineRule="auto"/>
        <w:rPr>
          <w:rFonts w:ascii="宋体" w:eastAsia="宋体"/>
          <w:color w:val="auto"/>
          <w:highlight w:val="none"/>
        </w:rPr>
      </w:pPr>
      <w:bookmarkStart w:id="600" w:name="_Toc152042341"/>
      <w:bookmarkStart w:id="601" w:name="_Toc247527590"/>
      <w:bookmarkStart w:id="602" w:name="_Toc10086"/>
      <w:bookmarkStart w:id="603" w:name="_Toc54803424"/>
      <w:bookmarkStart w:id="604" w:name="_Toc62586950"/>
      <w:bookmarkStart w:id="605" w:name="_Toc14726"/>
      <w:bookmarkStart w:id="606" w:name="_Toc12334"/>
      <w:bookmarkStart w:id="607" w:name="_Toc434565174"/>
      <w:bookmarkStart w:id="608" w:name="_Toc31917"/>
      <w:bookmarkStart w:id="609" w:name="_Toc247513989"/>
      <w:bookmarkStart w:id="610" w:name="_Toc152045565"/>
      <w:bookmarkStart w:id="611" w:name="_Toc119856054"/>
      <w:bookmarkStart w:id="612" w:name="_Toc9153"/>
      <w:bookmarkStart w:id="613" w:name="_Toc144974533"/>
      <w:bookmarkStart w:id="614" w:name="_Toc66975091"/>
      <w:bookmarkStart w:id="615" w:name="_Toc19051"/>
      <w:r>
        <w:rPr>
          <w:rFonts w:hint="eastAsia" w:ascii="宋体" w:eastAsia="宋体"/>
          <w:color w:val="auto"/>
          <w:highlight w:val="none"/>
        </w:rPr>
        <w:t>6.3 评标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评标委员会按照第三章“评标办法”规定的方法、评审因素、标准和程序对投标文件进行评审。第三章“评标办法”没有规定的方法、评审因素和标准，不作为评标依据。</w:t>
      </w:r>
    </w:p>
    <w:p>
      <w:pPr>
        <w:pStyle w:val="4"/>
        <w:spacing w:before="120" w:after="120" w:line="360" w:lineRule="auto"/>
        <w:rPr>
          <w:rFonts w:ascii="宋体" w:hAnsi="宋体" w:eastAsia="宋体"/>
          <w:color w:val="auto"/>
          <w:highlight w:val="none"/>
        </w:rPr>
      </w:pPr>
      <w:bookmarkStart w:id="616" w:name="_Toc26746"/>
      <w:bookmarkStart w:id="617" w:name="_Toc30966"/>
      <w:bookmarkStart w:id="618" w:name="_Toc24083"/>
      <w:r>
        <w:rPr>
          <w:rFonts w:hint="eastAsia" w:ascii="宋体" w:hAnsi="宋体" w:eastAsia="宋体"/>
          <w:color w:val="auto"/>
          <w:highlight w:val="none"/>
        </w:rPr>
        <w:t>7. 合同授予</w:t>
      </w:r>
      <w:bookmarkEnd w:id="568"/>
      <w:bookmarkEnd w:id="569"/>
      <w:bookmarkEnd w:id="570"/>
      <w:bookmarkEnd w:id="571"/>
      <w:bookmarkEnd w:id="572"/>
      <w:bookmarkEnd w:id="573"/>
      <w:bookmarkEnd w:id="574"/>
      <w:bookmarkEnd w:id="616"/>
      <w:bookmarkEnd w:id="617"/>
      <w:bookmarkEnd w:id="618"/>
    </w:p>
    <w:p>
      <w:pPr>
        <w:pStyle w:val="5"/>
        <w:spacing w:before="240" w:after="120" w:line="360" w:lineRule="auto"/>
        <w:rPr>
          <w:rFonts w:ascii="宋体" w:eastAsia="宋体"/>
          <w:color w:val="auto"/>
          <w:highlight w:val="none"/>
        </w:rPr>
      </w:pPr>
      <w:bookmarkStart w:id="619" w:name="_Toc66975093"/>
      <w:bookmarkStart w:id="620" w:name="_Toc14041"/>
      <w:bookmarkStart w:id="621" w:name="_Toc17895"/>
      <w:bookmarkStart w:id="622" w:name="_Toc247513991"/>
      <w:bookmarkStart w:id="623" w:name="_Toc152042343"/>
      <w:bookmarkStart w:id="624" w:name="_Toc31185"/>
      <w:bookmarkStart w:id="625" w:name="_Toc11975"/>
      <w:bookmarkStart w:id="626" w:name="_Toc247527592"/>
      <w:bookmarkStart w:id="627" w:name="_Toc54803426"/>
      <w:bookmarkStart w:id="628" w:name="_Toc152045567"/>
      <w:bookmarkStart w:id="629" w:name="_Toc434565176"/>
      <w:bookmarkStart w:id="630" w:name="_Toc144974535"/>
      <w:bookmarkStart w:id="631" w:name="_Toc62586952"/>
      <w:bookmarkStart w:id="632" w:name="_Toc119856056"/>
      <w:bookmarkStart w:id="633" w:name="_Toc29332"/>
      <w:r>
        <w:rPr>
          <w:rFonts w:hint="eastAsia" w:ascii="宋体" w:eastAsia="宋体"/>
          <w:color w:val="auto"/>
          <w:highlight w:val="none"/>
        </w:rPr>
        <w:t>7.1 定标方式</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spacing w:line="360" w:lineRule="auto"/>
        <w:ind w:firstLine="420" w:firstLineChars="200"/>
        <w:rPr>
          <w:rFonts w:ascii="宋体" w:hAnsi="宋体"/>
          <w:color w:val="auto"/>
          <w:szCs w:val="21"/>
          <w:highlight w:val="none"/>
        </w:rPr>
      </w:pPr>
      <w:r>
        <w:rPr>
          <w:rFonts w:hint="eastAsia" w:ascii="宋体" w:hAnsi="宋体"/>
          <w:color w:val="auto"/>
          <w:highlight w:val="none"/>
        </w:rPr>
        <w:t>除投标人须知前附表规定评标委员会直接确定中标人外，招标人依据评标委员会推荐的中标候选人确定中标人，评标委员会推荐中标候选人的人数见投标人须知前附表。</w:t>
      </w:r>
      <w:r>
        <w:rPr>
          <w:rFonts w:hint="eastAsia"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240" w:after="120" w:line="360" w:lineRule="auto"/>
        <w:rPr>
          <w:rFonts w:ascii="宋体" w:eastAsia="宋体"/>
          <w:color w:val="auto"/>
          <w:highlight w:val="none"/>
        </w:rPr>
      </w:pPr>
      <w:bookmarkStart w:id="634" w:name="_Toc54803427"/>
      <w:bookmarkStart w:id="635" w:name="_Toc66975094"/>
      <w:bookmarkStart w:id="636" w:name="_Toc25994"/>
      <w:bookmarkStart w:id="637" w:name="_Toc30874"/>
      <w:bookmarkStart w:id="638" w:name="_Toc119856057"/>
      <w:bookmarkStart w:id="639" w:name="_Toc8350"/>
      <w:bookmarkStart w:id="640" w:name="_Toc62586953"/>
      <w:bookmarkStart w:id="641" w:name="_Toc434565177"/>
      <w:bookmarkStart w:id="642" w:name="_Toc6608"/>
      <w:bookmarkStart w:id="643" w:name="_Toc21373"/>
      <w:r>
        <w:rPr>
          <w:rFonts w:hint="eastAsia" w:ascii="宋体" w:eastAsia="宋体"/>
          <w:color w:val="auto"/>
          <w:highlight w:val="none"/>
        </w:rPr>
        <w:t>7.2 中标候选人公示</w:t>
      </w:r>
      <w:bookmarkEnd w:id="634"/>
      <w:bookmarkEnd w:id="635"/>
      <w:bookmarkEnd w:id="636"/>
      <w:bookmarkEnd w:id="637"/>
      <w:bookmarkEnd w:id="638"/>
      <w:bookmarkEnd w:id="639"/>
      <w:bookmarkEnd w:id="640"/>
      <w:bookmarkEnd w:id="641"/>
      <w:bookmarkEnd w:id="642"/>
      <w:bookmarkEnd w:id="643"/>
    </w:p>
    <w:p>
      <w:pPr>
        <w:spacing w:line="360" w:lineRule="auto"/>
        <w:ind w:firstLine="420" w:firstLineChars="200"/>
        <w:rPr>
          <w:rFonts w:ascii="宋体" w:hAnsi="宋体"/>
          <w:color w:val="auto"/>
          <w:highlight w:val="none"/>
        </w:rPr>
      </w:pPr>
      <w:r>
        <w:rPr>
          <w:rFonts w:hint="eastAsia" w:ascii="宋体" w:hAnsi="宋体"/>
          <w:color w:val="auto"/>
          <w:highlight w:val="none"/>
        </w:rPr>
        <w:t>招标人在投标人须知前附表规定的媒介公示中标候选人。</w:t>
      </w:r>
    </w:p>
    <w:p>
      <w:pPr>
        <w:pStyle w:val="5"/>
        <w:spacing w:before="240" w:after="120" w:line="360" w:lineRule="auto"/>
        <w:rPr>
          <w:rFonts w:ascii="宋体" w:eastAsia="宋体"/>
          <w:color w:val="auto"/>
          <w:highlight w:val="none"/>
        </w:rPr>
      </w:pPr>
      <w:bookmarkStart w:id="644" w:name="_Toc434565178"/>
      <w:bookmarkStart w:id="645" w:name="_Toc144974536"/>
      <w:bookmarkStart w:id="646" w:name="_Toc152042344"/>
      <w:bookmarkStart w:id="647" w:name="_Toc1521"/>
      <w:bookmarkStart w:id="648" w:name="_Toc247513992"/>
      <w:bookmarkStart w:id="649" w:name="_Toc152045568"/>
      <w:bookmarkStart w:id="650" w:name="_Toc32557"/>
      <w:bookmarkStart w:id="651" w:name="_Toc62586954"/>
      <w:bookmarkStart w:id="652" w:name="_Toc119856058"/>
      <w:bookmarkStart w:id="653" w:name="_Toc4291"/>
      <w:bookmarkStart w:id="654" w:name="_Toc54803428"/>
      <w:bookmarkStart w:id="655" w:name="_Toc18843"/>
      <w:bookmarkStart w:id="656" w:name="_Toc66975095"/>
      <w:bookmarkStart w:id="657" w:name="_Toc247527593"/>
      <w:bookmarkStart w:id="658" w:name="_Toc15440"/>
      <w:r>
        <w:rPr>
          <w:rFonts w:hint="eastAsia" w:ascii="宋体" w:eastAsia="宋体"/>
          <w:color w:val="auto"/>
          <w:highlight w:val="none"/>
        </w:rPr>
        <w:t>7.3 中标通知</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spacing w:line="360" w:lineRule="auto"/>
        <w:ind w:firstLine="420" w:firstLineChars="200"/>
        <w:rPr>
          <w:rFonts w:ascii="宋体" w:hAnsi="宋体"/>
          <w:color w:val="auto"/>
          <w:highlight w:val="none"/>
        </w:rPr>
      </w:pPr>
      <w:r>
        <w:rPr>
          <w:rFonts w:hint="eastAsia" w:ascii="宋体" w:hAnsi="宋体"/>
          <w:color w:val="auto"/>
          <w:highlight w:val="none"/>
        </w:rPr>
        <w:t>在本章第3.3款规定的投标有效期内，招标人以书面形式向中标人发出中标通知书，同时将中标结果通知未中标的投标人。中标通知书按本章附表格式填写。</w:t>
      </w:r>
    </w:p>
    <w:p>
      <w:pPr>
        <w:pStyle w:val="5"/>
        <w:spacing w:before="240" w:after="120" w:line="360" w:lineRule="auto"/>
        <w:rPr>
          <w:rFonts w:ascii="宋体" w:eastAsia="宋体"/>
          <w:color w:val="auto"/>
          <w:highlight w:val="none"/>
        </w:rPr>
      </w:pPr>
      <w:bookmarkStart w:id="659" w:name="_Toc119856059"/>
      <w:bookmarkStart w:id="660" w:name="_Toc66975096"/>
      <w:bookmarkStart w:id="661" w:name="_Toc4453"/>
      <w:bookmarkStart w:id="662" w:name="_Toc152045569"/>
      <w:bookmarkStart w:id="663" w:name="_Toc32295"/>
      <w:bookmarkStart w:id="664" w:name="_Toc20770"/>
      <w:bookmarkStart w:id="665" w:name="_Toc247513993"/>
      <w:bookmarkStart w:id="666" w:name="_Toc54803429"/>
      <w:bookmarkStart w:id="667" w:name="_Toc152042345"/>
      <w:bookmarkStart w:id="668" w:name="_Toc62586955"/>
      <w:bookmarkStart w:id="669" w:name="_Toc434565179"/>
      <w:bookmarkStart w:id="670" w:name="_Toc56"/>
      <w:bookmarkStart w:id="671" w:name="_Toc247527594"/>
      <w:bookmarkStart w:id="672" w:name="_Toc144974537"/>
      <w:bookmarkStart w:id="673" w:name="_Toc30949"/>
      <w:r>
        <w:rPr>
          <w:rFonts w:hint="eastAsia" w:ascii="宋体" w:eastAsia="宋体"/>
          <w:color w:val="auto"/>
          <w:highlight w:val="none"/>
        </w:rPr>
        <w:t>7.4 履约担保</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7.4.2 中标人不能按本章第7.3.1项要求提交履约担保的，视为放弃中标，其投标保证金不予退还，给招标人造成的损失超过投标保证金数额的，中标人还应当对超过部分予以赔偿。</w:t>
      </w:r>
    </w:p>
    <w:p>
      <w:pPr>
        <w:pStyle w:val="5"/>
        <w:spacing w:before="240" w:after="120" w:line="360" w:lineRule="auto"/>
        <w:rPr>
          <w:rFonts w:ascii="宋体" w:eastAsia="宋体"/>
          <w:color w:val="auto"/>
          <w:highlight w:val="none"/>
        </w:rPr>
      </w:pPr>
      <w:bookmarkStart w:id="674" w:name="_Toc152045570"/>
      <w:bookmarkStart w:id="675" w:name="_Toc31251"/>
      <w:bookmarkStart w:id="676" w:name="_Toc62586956"/>
      <w:bookmarkStart w:id="677" w:name="_Toc11381"/>
      <w:bookmarkStart w:id="678" w:name="_Toc144974538"/>
      <w:bookmarkStart w:id="679" w:name="_Toc434565180"/>
      <w:bookmarkStart w:id="680" w:name="_Toc66975097"/>
      <w:bookmarkStart w:id="681" w:name="_Toc54803430"/>
      <w:bookmarkStart w:id="682" w:name="_Toc152042346"/>
      <w:bookmarkStart w:id="683" w:name="_Toc15106"/>
      <w:bookmarkStart w:id="684" w:name="_Toc247527595"/>
      <w:bookmarkStart w:id="685" w:name="_Toc247513994"/>
      <w:bookmarkStart w:id="686" w:name="_Toc20674"/>
      <w:bookmarkStart w:id="687" w:name="_Toc119856060"/>
      <w:bookmarkStart w:id="688" w:name="_Toc20693"/>
      <w:r>
        <w:rPr>
          <w:rFonts w:hint="eastAsia" w:ascii="宋体" w:eastAsia="宋体"/>
          <w:color w:val="auto"/>
          <w:highlight w:val="none"/>
        </w:rPr>
        <w:t>7.5 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7.5.2 发出中标通知书后，招标人无正当理由拒签合同的，招标人向中标人退还投标保证金；给中标人造成损失的，还应当赔偿损失。 </w:t>
      </w:r>
    </w:p>
    <w:p>
      <w:pPr>
        <w:pStyle w:val="4"/>
        <w:spacing w:before="120" w:after="120" w:line="360" w:lineRule="auto"/>
        <w:rPr>
          <w:rFonts w:ascii="宋体" w:hAnsi="宋体" w:eastAsia="宋体"/>
          <w:color w:val="auto"/>
          <w:highlight w:val="none"/>
        </w:rPr>
      </w:pPr>
      <w:bookmarkStart w:id="689" w:name="_Toc29755"/>
      <w:bookmarkStart w:id="690" w:name="_Toc15481"/>
      <w:bookmarkStart w:id="691" w:name="_Toc421168896"/>
      <w:bookmarkStart w:id="692" w:name="_Toc13936"/>
      <w:bookmarkStart w:id="693" w:name="_Toc947"/>
      <w:bookmarkStart w:id="694" w:name="_Toc478456651"/>
      <w:bookmarkStart w:id="695" w:name="_Toc179632589"/>
      <w:bookmarkStart w:id="696" w:name="_Toc29226"/>
      <w:bookmarkStart w:id="697" w:name="_Toc247513995"/>
      <w:bookmarkStart w:id="698" w:name="_Toc152042347"/>
      <w:bookmarkStart w:id="699" w:name="_Toc247527596"/>
      <w:bookmarkStart w:id="700" w:name="_Toc144974539"/>
      <w:bookmarkStart w:id="701" w:name="_Toc152045571"/>
      <w:bookmarkStart w:id="702" w:name="_Toc9873"/>
      <w:bookmarkStart w:id="703" w:name="_Toc18682"/>
      <w:r>
        <w:rPr>
          <w:rFonts w:hint="eastAsia" w:ascii="宋体" w:hAnsi="宋体" w:eastAsia="宋体"/>
          <w:color w:val="auto"/>
          <w:highlight w:val="none"/>
        </w:rPr>
        <w:t>8. 重新招标和不再招标</w:t>
      </w:r>
      <w:bookmarkEnd w:id="689"/>
      <w:bookmarkEnd w:id="690"/>
      <w:bookmarkEnd w:id="691"/>
      <w:bookmarkEnd w:id="692"/>
      <w:bookmarkEnd w:id="693"/>
      <w:bookmarkEnd w:id="694"/>
      <w:bookmarkEnd w:id="695"/>
      <w:bookmarkEnd w:id="696"/>
    </w:p>
    <w:p>
      <w:pPr>
        <w:pStyle w:val="5"/>
        <w:spacing w:before="240" w:after="120" w:line="360" w:lineRule="auto"/>
        <w:rPr>
          <w:rFonts w:ascii="宋体" w:eastAsia="宋体"/>
          <w:color w:val="auto"/>
          <w:highlight w:val="none"/>
        </w:rPr>
      </w:pPr>
      <w:bookmarkStart w:id="704" w:name="_Toc119856062"/>
      <w:bookmarkStart w:id="705" w:name="_Toc409188509"/>
      <w:bookmarkStart w:id="706" w:name="_Toc409118342"/>
      <w:bookmarkStart w:id="707" w:name="_Toc409031142"/>
      <w:bookmarkStart w:id="708" w:name="_Toc478456652"/>
      <w:bookmarkStart w:id="709" w:name="_Toc8776"/>
      <w:bookmarkStart w:id="710" w:name="_Toc13945"/>
      <w:bookmarkStart w:id="711" w:name="_Toc144974540"/>
      <w:bookmarkStart w:id="712" w:name="_Toc25654"/>
      <w:bookmarkStart w:id="713" w:name="_Toc152045572"/>
      <w:bookmarkStart w:id="714" w:name="_Toc152042348"/>
      <w:bookmarkStart w:id="715" w:name="_Toc66975099"/>
      <w:bookmarkStart w:id="716" w:name="_Toc179632590"/>
      <w:bookmarkStart w:id="717" w:name="_Toc62586958"/>
      <w:bookmarkStart w:id="718" w:name="_Toc54803432"/>
      <w:bookmarkStart w:id="719" w:name="_Toc421168897"/>
      <w:bookmarkStart w:id="720" w:name="_Toc23599"/>
      <w:r>
        <w:rPr>
          <w:rFonts w:hint="eastAsia" w:ascii="宋体" w:eastAsia="宋体"/>
          <w:color w:val="auto"/>
          <w:highlight w:val="none"/>
        </w:rPr>
        <w:t>8.1 重新招标</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pStyle w:val="5"/>
        <w:spacing w:before="240" w:after="120" w:line="360" w:lineRule="auto"/>
        <w:rPr>
          <w:rFonts w:ascii="宋体" w:eastAsia="宋体"/>
          <w:color w:val="auto"/>
          <w:highlight w:val="none"/>
        </w:rPr>
      </w:pPr>
      <w:bookmarkStart w:id="721" w:name="_Toc152045573"/>
      <w:bookmarkStart w:id="722" w:name="_Toc62586959"/>
      <w:bookmarkStart w:id="723" w:name="_Toc409118343"/>
      <w:bookmarkStart w:id="724" w:name="_Toc179632591"/>
      <w:bookmarkStart w:id="725" w:name="_Toc54803433"/>
      <w:bookmarkStart w:id="726" w:name="_Toc867"/>
      <w:bookmarkStart w:id="727" w:name="_Toc66975100"/>
      <w:bookmarkStart w:id="728" w:name="_Toc24363"/>
      <w:bookmarkStart w:id="729" w:name="_Toc12166"/>
      <w:bookmarkStart w:id="730" w:name="_Toc152042349"/>
      <w:bookmarkStart w:id="731" w:name="_Toc409031143"/>
      <w:bookmarkStart w:id="732" w:name="_Toc119856063"/>
      <w:bookmarkStart w:id="733" w:name="_Toc421168898"/>
      <w:bookmarkStart w:id="734" w:name="_Toc144974541"/>
      <w:bookmarkStart w:id="735" w:name="_Toc409188510"/>
      <w:bookmarkStart w:id="736" w:name="_Toc478456653"/>
      <w:bookmarkStart w:id="737" w:name="_Toc6082"/>
      <w:r>
        <w:rPr>
          <w:rFonts w:hint="eastAsia" w:ascii="宋体" w:eastAsia="宋体"/>
          <w:color w:val="auto"/>
          <w:highlight w:val="none"/>
        </w:rPr>
        <w:t>8.2 不再招标</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重新招标后投标人仍少于3个或者所有投标被否决的，属于必须审批或核准的工程建设项目，经原审批或核准部门批准后不再进行招标。</w:t>
      </w:r>
    </w:p>
    <w:p>
      <w:pPr>
        <w:pStyle w:val="4"/>
        <w:spacing w:before="120" w:after="120" w:line="360" w:lineRule="auto"/>
        <w:rPr>
          <w:rFonts w:ascii="宋体" w:hAnsi="宋体" w:eastAsia="宋体"/>
          <w:color w:val="auto"/>
          <w:highlight w:val="none"/>
        </w:rPr>
      </w:pPr>
      <w:bookmarkStart w:id="738" w:name="_Toc24361"/>
      <w:bookmarkStart w:id="739" w:name="_Toc25184"/>
      <w:bookmarkStart w:id="740" w:name="_Toc3352"/>
      <w:r>
        <w:rPr>
          <w:rFonts w:hint="eastAsia" w:ascii="宋体" w:hAnsi="宋体" w:eastAsia="宋体"/>
          <w:color w:val="auto"/>
          <w:highlight w:val="none"/>
        </w:rPr>
        <w:t>9.</w:t>
      </w:r>
      <w:bookmarkEnd w:id="697"/>
      <w:bookmarkEnd w:id="698"/>
      <w:bookmarkEnd w:id="699"/>
      <w:bookmarkEnd w:id="700"/>
      <w:bookmarkEnd w:id="701"/>
      <w:bookmarkStart w:id="741" w:name="_Toc144974542"/>
      <w:bookmarkStart w:id="742" w:name="_Toc152042350"/>
      <w:bookmarkStart w:id="743" w:name="_Toc247527599"/>
      <w:bookmarkStart w:id="744" w:name="_Toc152045574"/>
      <w:bookmarkStart w:id="745" w:name="_Toc247513998"/>
      <w:r>
        <w:rPr>
          <w:rFonts w:hint="eastAsia" w:ascii="宋体" w:hAnsi="宋体" w:eastAsia="宋体"/>
          <w:color w:val="auto"/>
          <w:highlight w:val="none"/>
        </w:rPr>
        <w:t xml:space="preserve"> 纪律和监督</w:t>
      </w:r>
      <w:bookmarkEnd w:id="702"/>
      <w:bookmarkEnd w:id="703"/>
      <w:bookmarkEnd w:id="738"/>
      <w:bookmarkEnd w:id="739"/>
      <w:bookmarkEnd w:id="740"/>
      <w:bookmarkEnd w:id="741"/>
      <w:bookmarkEnd w:id="742"/>
      <w:bookmarkEnd w:id="743"/>
      <w:bookmarkEnd w:id="744"/>
      <w:bookmarkEnd w:id="745"/>
    </w:p>
    <w:p>
      <w:pPr>
        <w:pStyle w:val="5"/>
        <w:spacing w:before="240" w:after="120" w:line="360" w:lineRule="auto"/>
        <w:rPr>
          <w:rFonts w:ascii="宋体" w:eastAsia="宋体"/>
          <w:color w:val="auto"/>
          <w:highlight w:val="none"/>
        </w:rPr>
      </w:pPr>
      <w:bookmarkStart w:id="746" w:name="_Toc6234"/>
      <w:bookmarkStart w:id="747" w:name="_Toc434565182"/>
      <w:bookmarkStart w:id="748" w:name="_Toc21745"/>
      <w:bookmarkStart w:id="749" w:name="_Toc119856065"/>
      <w:bookmarkStart w:id="750" w:name="_Toc144974543"/>
      <w:bookmarkStart w:id="751" w:name="_Toc247527600"/>
      <w:bookmarkStart w:id="752" w:name="_Toc152042351"/>
      <w:bookmarkStart w:id="753" w:name="_Toc62586961"/>
      <w:bookmarkStart w:id="754" w:name="_Toc11549"/>
      <w:bookmarkStart w:id="755" w:name="_Toc10098"/>
      <w:bookmarkStart w:id="756" w:name="_Toc247513999"/>
      <w:bookmarkStart w:id="757" w:name="_Toc54803435"/>
      <w:bookmarkStart w:id="758" w:name="_Toc152045575"/>
      <w:bookmarkStart w:id="759" w:name="_Toc66975102"/>
      <w:bookmarkStart w:id="760" w:name="_Toc13849"/>
      <w:r>
        <w:rPr>
          <w:rFonts w:hint="eastAsia" w:ascii="宋体" w:eastAsia="宋体"/>
          <w:color w:val="auto"/>
          <w:highlight w:val="none"/>
        </w:rPr>
        <w:t>9.1 对招标人的纪律要求</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pPr>
        <w:spacing w:line="360" w:lineRule="auto"/>
        <w:ind w:firstLine="420" w:firstLineChars="200"/>
        <w:rPr>
          <w:rFonts w:ascii="宋体" w:hAnsi="宋体"/>
          <w:color w:val="auto"/>
          <w:highlight w:val="none"/>
        </w:rPr>
      </w:pPr>
      <w:r>
        <w:rPr>
          <w:rFonts w:hint="eastAsia" w:ascii="宋体" w:hAnsi="宋体"/>
          <w:color w:val="auto"/>
          <w:highlight w:val="none"/>
        </w:rPr>
        <w:t>招标人不得泄漏招标投标活动中应当保密的情况和资料，不得与投标人串通损害国家利益、社会公共利益或者他人合法权益。</w:t>
      </w:r>
    </w:p>
    <w:p>
      <w:pPr>
        <w:pStyle w:val="5"/>
        <w:spacing w:before="240" w:after="120" w:line="360" w:lineRule="auto"/>
        <w:rPr>
          <w:rFonts w:ascii="宋体" w:eastAsia="宋体"/>
          <w:color w:val="auto"/>
          <w:highlight w:val="none"/>
        </w:rPr>
      </w:pPr>
      <w:bookmarkStart w:id="761" w:name="_Toc434565183"/>
      <w:bookmarkStart w:id="762" w:name="_Toc62586962"/>
      <w:bookmarkStart w:id="763" w:name="_Toc17372"/>
      <w:bookmarkStart w:id="764" w:name="_Toc152042352"/>
      <w:bookmarkStart w:id="765" w:name="_Toc152045576"/>
      <w:bookmarkStart w:id="766" w:name="_Toc54803436"/>
      <w:bookmarkStart w:id="767" w:name="_Toc247527601"/>
      <w:bookmarkStart w:id="768" w:name="_Toc32573"/>
      <w:bookmarkStart w:id="769" w:name="_Toc66975103"/>
      <w:bookmarkStart w:id="770" w:name="_Toc12528"/>
      <w:bookmarkStart w:id="771" w:name="_Toc26666"/>
      <w:bookmarkStart w:id="772" w:name="_Toc247514000"/>
      <w:bookmarkStart w:id="773" w:name="_Toc119856066"/>
      <w:bookmarkStart w:id="774" w:name="_Toc144974544"/>
      <w:bookmarkStart w:id="775" w:name="_Toc23672"/>
      <w:r>
        <w:rPr>
          <w:rFonts w:hint="eastAsia" w:ascii="宋体" w:eastAsia="宋体"/>
          <w:color w:val="auto"/>
          <w:highlight w:val="none"/>
        </w:rPr>
        <w:t>9.2 对投标人的纪律要求</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spacing w:line="360" w:lineRule="auto"/>
        <w:ind w:firstLine="420" w:firstLineChars="200"/>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240" w:after="120" w:line="360" w:lineRule="auto"/>
        <w:rPr>
          <w:rFonts w:ascii="宋体" w:eastAsia="宋体"/>
          <w:color w:val="auto"/>
          <w:highlight w:val="none"/>
        </w:rPr>
      </w:pPr>
      <w:bookmarkStart w:id="776" w:name="_Toc434565184"/>
      <w:bookmarkStart w:id="777" w:name="_Toc18673"/>
      <w:bookmarkStart w:id="778" w:name="_Toc247514001"/>
      <w:bookmarkStart w:id="779" w:name="_Toc30780"/>
      <w:bookmarkStart w:id="780" w:name="_Toc13861"/>
      <w:bookmarkStart w:id="781" w:name="_Toc247527602"/>
      <w:bookmarkStart w:id="782" w:name="_Toc119856067"/>
      <w:bookmarkStart w:id="783" w:name="_Toc152045577"/>
      <w:bookmarkStart w:id="784" w:name="_Toc144974545"/>
      <w:bookmarkStart w:id="785" w:name="_Toc62586963"/>
      <w:bookmarkStart w:id="786" w:name="_Toc54803437"/>
      <w:bookmarkStart w:id="787" w:name="_Toc66975104"/>
      <w:bookmarkStart w:id="788" w:name="_Toc21115"/>
      <w:bookmarkStart w:id="789" w:name="_Toc152042353"/>
      <w:bookmarkStart w:id="790" w:name="_Toc4066"/>
      <w:r>
        <w:rPr>
          <w:rFonts w:hint="eastAsia" w:ascii="宋体" w:eastAsia="宋体"/>
          <w:color w:val="auto"/>
          <w:highlight w:val="none"/>
        </w:rPr>
        <w:t>9.3 对评标委员会成员的纪律要求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240" w:after="120" w:line="360" w:lineRule="auto"/>
        <w:rPr>
          <w:rFonts w:ascii="宋体" w:eastAsia="宋体"/>
          <w:color w:val="auto"/>
          <w:highlight w:val="none"/>
        </w:rPr>
      </w:pPr>
      <w:bookmarkStart w:id="791" w:name="_Toc66975105"/>
      <w:bookmarkStart w:id="792" w:name="_Toc54803438"/>
      <w:bookmarkStart w:id="793" w:name="_Toc28086"/>
      <w:bookmarkStart w:id="794" w:name="_Toc247514002"/>
      <w:bookmarkStart w:id="795" w:name="_Toc152045578"/>
      <w:bookmarkStart w:id="796" w:name="_Toc152042354"/>
      <w:bookmarkStart w:id="797" w:name="_Toc22766"/>
      <w:bookmarkStart w:id="798" w:name="_Toc119856068"/>
      <w:bookmarkStart w:id="799" w:name="_Toc62586964"/>
      <w:bookmarkStart w:id="800" w:name="_Toc434565185"/>
      <w:bookmarkStart w:id="801" w:name="_Toc16886"/>
      <w:bookmarkStart w:id="802" w:name="_Toc247527603"/>
      <w:bookmarkStart w:id="803" w:name="_Toc19764"/>
      <w:bookmarkStart w:id="804" w:name="_Toc8703"/>
      <w:bookmarkStart w:id="805" w:name="_Toc144974546"/>
      <w:r>
        <w:rPr>
          <w:rFonts w:hint="eastAsia" w:ascii="宋体" w:eastAsia="宋体"/>
          <w:color w:val="auto"/>
          <w:highlight w:val="none"/>
        </w:rPr>
        <w:t>9.4 对与评标活动有关的工作人员的纪律要求</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spacing w:line="360" w:lineRule="auto"/>
        <w:ind w:firstLine="420" w:firstLineChars="200"/>
        <w:rPr>
          <w:rFonts w:ascii="宋体" w:hAnsi="宋体"/>
          <w:color w:val="auto"/>
          <w:highlight w:val="none"/>
        </w:rPr>
      </w:pPr>
      <w:bookmarkStart w:id="806" w:name="_Toc152042355"/>
      <w:r>
        <w:rPr>
          <w:rFonts w:hint="eastAsia" w:ascii="宋体" w:hAnsi="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6"/>
    </w:p>
    <w:p>
      <w:pPr>
        <w:pStyle w:val="5"/>
        <w:spacing w:before="240" w:after="120" w:line="360" w:lineRule="auto"/>
        <w:rPr>
          <w:rFonts w:ascii="宋体" w:eastAsia="宋体"/>
          <w:color w:val="auto"/>
          <w:highlight w:val="none"/>
        </w:rPr>
      </w:pPr>
      <w:bookmarkStart w:id="807" w:name="_Toc119856069"/>
      <w:bookmarkStart w:id="808" w:name="_Toc152042356"/>
      <w:bookmarkStart w:id="809" w:name="_Toc11929"/>
      <w:bookmarkStart w:id="810" w:name="_Toc54803439"/>
      <w:bookmarkStart w:id="811" w:name="_Toc32052"/>
      <w:bookmarkStart w:id="812" w:name="_Toc247527604"/>
      <w:bookmarkStart w:id="813" w:name="_Toc66975106"/>
      <w:bookmarkStart w:id="814" w:name="_Toc247514003"/>
      <w:bookmarkStart w:id="815" w:name="_Toc62586965"/>
      <w:bookmarkStart w:id="816" w:name="_Toc26904"/>
      <w:bookmarkStart w:id="817" w:name="_Toc152045579"/>
      <w:bookmarkStart w:id="818" w:name="_Toc21413"/>
      <w:bookmarkStart w:id="819" w:name="_Toc434565186"/>
      <w:bookmarkStart w:id="820" w:name="_Toc18122"/>
      <w:r>
        <w:rPr>
          <w:rFonts w:hint="eastAsia" w:ascii="宋体" w:eastAsia="宋体"/>
          <w:color w:val="auto"/>
          <w:highlight w:val="none"/>
        </w:rPr>
        <w:t>9.5 投诉</w:t>
      </w:r>
      <w:bookmarkEnd w:id="805"/>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spacing w:line="360" w:lineRule="auto"/>
        <w:ind w:firstLine="420" w:firstLineChars="200"/>
        <w:rPr>
          <w:rFonts w:ascii="宋体" w:hAnsi="宋体"/>
          <w:color w:val="auto"/>
          <w:highlight w:val="none"/>
        </w:rPr>
      </w:pPr>
      <w:r>
        <w:rPr>
          <w:rFonts w:hint="eastAsia" w:ascii="宋体" w:hAnsi="宋体"/>
          <w:color w:val="auto"/>
          <w:highlight w:val="none"/>
        </w:rPr>
        <w:t>投标人和其他利害关系人认为本次招标活动违反法律、法规和规章规定的，有权向有关行政监督部门投诉。</w:t>
      </w:r>
    </w:p>
    <w:p>
      <w:pPr>
        <w:pStyle w:val="4"/>
        <w:spacing w:before="120" w:after="120" w:line="360" w:lineRule="auto"/>
        <w:rPr>
          <w:rFonts w:ascii="宋体" w:hAnsi="宋体" w:eastAsia="宋体"/>
          <w:color w:val="auto"/>
          <w:highlight w:val="none"/>
        </w:rPr>
      </w:pPr>
      <w:bookmarkStart w:id="821" w:name="_Toc247514004"/>
      <w:bookmarkStart w:id="822" w:name="_Toc144974547"/>
      <w:bookmarkStart w:id="823" w:name="_Toc25880"/>
      <w:bookmarkStart w:id="824" w:name="_Toc31632"/>
      <w:bookmarkStart w:id="825" w:name="_Toc152045580"/>
      <w:bookmarkStart w:id="826" w:name="_Toc15782"/>
      <w:bookmarkStart w:id="827" w:name="_Toc29288"/>
      <w:bookmarkStart w:id="828" w:name="_Toc247527605"/>
      <w:bookmarkStart w:id="829" w:name="_Toc152042357"/>
      <w:bookmarkStart w:id="830" w:name="_Toc26230"/>
      <w:r>
        <w:rPr>
          <w:rFonts w:hint="eastAsia" w:ascii="宋体" w:hAnsi="宋体" w:eastAsia="宋体"/>
          <w:color w:val="auto"/>
          <w:highlight w:val="none"/>
        </w:rPr>
        <w:t>10. 需要补充的其他内容</w:t>
      </w:r>
      <w:bookmarkEnd w:id="821"/>
      <w:bookmarkEnd w:id="822"/>
      <w:bookmarkEnd w:id="823"/>
      <w:bookmarkEnd w:id="824"/>
      <w:bookmarkEnd w:id="825"/>
      <w:bookmarkEnd w:id="826"/>
      <w:bookmarkEnd w:id="827"/>
      <w:bookmarkEnd w:id="828"/>
      <w:bookmarkEnd w:id="829"/>
      <w:bookmarkEnd w:id="830"/>
    </w:p>
    <w:p>
      <w:pPr>
        <w:pStyle w:val="2"/>
        <w:spacing w:line="360" w:lineRule="auto"/>
        <w:rPr>
          <w:rFonts w:hAnsi="宋体"/>
          <w:color w:val="auto"/>
          <w:highlight w:val="none"/>
        </w:rPr>
      </w:pPr>
      <w:r>
        <w:rPr>
          <w:rFonts w:hint="eastAsia" w:ascii="宋体" w:hAnsi="宋体"/>
          <w:color w:val="auto"/>
          <w:highlight w:val="none"/>
        </w:rPr>
        <w:t>需要补充的其他内容：见投标人须知前附表。</w:t>
      </w:r>
    </w:p>
    <w:p>
      <w:pPr>
        <w:widowControl/>
        <w:jc w:val="left"/>
        <w:rPr>
          <w:rFonts w:ascii="宋体" w:hAnsi="宋体"/>
          <w:b/>
          <w:bCs/>
          <w:color w:val="auto"/>
          <w:kern w:val="44"/>
          <w:sz w:val="44"/>
          <w:szCs w:val="44"/>
          <w:highlight w:val="none"/>
        </w:rPr>
      </w:pPr>
      <w:bookmarkStart w:id="831" w:name="_Toc23721"/>
      <w:bookmarkStart w:id="832" w:name="_Toc16406"/>
      <w:bookmarkStart w:id="833" w:name="_Toc434565195"/>
      <w:bookmarkStart w:id="834" w:name="_Toc144974566"/>
      <w:bookmarkStart w:id="835" w:name="_Toc152042376"/>
      <w:bookmarkStart w:id="836" w:name="_Toc247514023"/>
      <w:bookmarkStart w:id="837" w:name="_Toc152045599"/>
      <w:bookmarkStart w:id="838" w:name="_Toc247527624"/>
      <w:bookmarkStart w:id="839" w:name="_Toc152042377"/>
      <w:bookmarkStart w:id="840" w:name="_Toc152045600"/>
      <w:bookmarkStart w:id="841" w:name="_Toc144974567"/>
      <w:bookmarkStart w:id="842" w:name="_Toc434565196"/>
      <w:bookmarkStart w:id="843" w:name="_Toc247514024"/>
      <w:bookmarkStart w:id="844" w:name="_Toc247527625"/>
      <w:r>
        <w:rPr>
          <w:rFonts w:ascii="宋体" w:hAnsi="宋体"/>
          <w:color w:val="auto"/>
          <w:highlight w:val="none"/>
        </w:rPr>
        <w:br w:type="page"/>
      </w:r>
    </w:p>
    <w:p>
      <w:pPr>
        <w:pStyle w:val="3"/>
        <w:spacing w:before="120" w:after="480" w:line="360" w:lineRule="auto"/>
        <w:jc w:val="center"/>
        <w:rPr>
          <w:rFonts w:ascii="宋体" w:hAnsi="宋体"/>
          <w:color w:val="auto"/>
          <w:highlight w:val="none"/>
        </w:rPr>
      </w:pPr>
      <w:bookmarkStart w:id="845" w:name="_Toc16124"/>
      <w:r>
        <w:rPr>
          <w:rFonts w:hint="eastAsia" w:ascii="宋体" w:hAnsi="宋体"/>
          <w:color w:val="auto"/>
          <w:highlight w:val="none"/>
        </w:rPr>
        <w:t>第三章 评标办法（综合评估法）</w:t>
      </w:r>
      <w:bookmarkEnd w:id="831"/>
      <w:bookmarkEnd w:id="832"/>
      <w:bookmarkEnd w:id="845"/>
    </w:p>
    <w:p>
      <w:pPr>
        <w:pStyle w:val="198"/>
        <w:spacing w:line="240" w:lineRule="auto"/>
        <w:rPr>
          <w:rFonts w:eastAsia="仿宋_GB2312"/>
          <w:color w:val="auto"/>
          <w:sz w:val="24"/>
          <w:szCs w:val="24"/>
          <w:highlight w:val="none"/>
        </w:rPr>
      </w:pPr>
      <w:bookmarkStart w:id="846" w:name="_Toc31669"/>
      <w:r>
        <w:rPr>
          <w:rFonts w:eastAsia="仿宋_GB2312"/>
          <w:color w:val="auto"/>
          <w:sz w:val="24"/>
          <w:szCs w:val="24"/>
          <w:highlight w:val="none"/>
        </w:rPr>
        <w:t>评标办法前附表</w:t>
      </w:r>
      <w:bookmarkEnd w:id="846"/>
    </w:p>
    <w:tbl>
      <w:tblPr>
        <w:tblStyle w:val="46"/>
        <w:tblW w:w="9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701"/>
        <w:gridCol w:w="433"/>
        <w:gridCol w:w="5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47"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评审因素</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2.1.1</w:t>
            </w:r>
          </w:p>
        </w:tc>
        <w:tc>
          <w:tcPr>
            <w:tcW w:w="1701"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形式</w:t>
            </w:r>
          </w:p>
          <w:p>
            <w:pPr>
              <w:spacing w:line="360" w:lineRule="auto"/>
              <w:jc w:val="center"/>
              <w:rPr>
                <w:rFonts w:ascii="宋体" w:hAnsi="宋体"/>
                <w:color w:val="auto"/>
                <w:szCs w:val="21"/>
                <w:highlight w:val="none"/>
              </w:rPr>
            </w:pPr>
            <w:r>
              <w:rPr>
                <w:rFonts w:ascii="宋体" w:hAnsi="宋体"/>
                <w:color w:val="auto"/>
                <w:szCs w:val="21"/>
                <w:highlight w:val="none"/>
              </w:rPr>
              <w:t>评审</w:t>
            </w:r>
          </w:p>
          <w:p>
            <w:pPr>
              <w:spacing w:line="360" w:lineRule="auto"/>
              <w:jc w:val="center"/>
              <w:rPr>
                <w:rFonts w:ascii="宋体" w:hAnsi="宋体"/>
                <w:color w:val="auto"/>
                <w:szCs w:val="21"/>
                <w:highlight w:val="none"/>
              </w:rPr>
            </w:pPr>
            <w:r>
              <w:rPr>
                <w:rFonts w:ascii="宋体" w:hAnsi="宋体"/>
                <w:color w:val="auto"/>
                <w:szCs w:val="21"/>
                <w:highlight w:val="none"/>
              </w:rPr>
              <w:t>标准</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投标人名称</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与营业执照</w:t>
            </w:r>
            <w:r>
              <w:rPr>
                <w:rFonts w:hint="eastAsia" w:ascii="宋体" w:hAnsi="宋体"/>
                <w:color w:val="auto"/>
                <w:szCs w:val="21"/>
                <w:highlight w:val="none"/>
              </w:rPr>
              <w:t>、资质证书、安全生产许可证</w:t>
            </w:r>
            <w:r>
              <w:rPr>
                <w:rFonts w:ascii="宋体" w:hAnsi="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文件</w:t>
            </w:r>
            <w:r>
              <w:rPr>
                <w:rFonts w:ascii="宋体" w:hAnsi="宋体"/>
                <w:color w:val="auto"/>
                <w:szCs w:val="21"/>
                <w:highlight w:val="none"/>
              </w:rPr>
              <w:t>签字盖章</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符合</w:t>
            </w:r>
            <w:r>
              <w:rPr>
                <w:rFonts w:ascii="宋体" w:hAnsi="宋体"/>
                <w:color w:val="auto"/>
                <w:szCs w:val="21"/>
                <w:highlight w:val="none"/>
              </w:rPr>
              <w:t>招标文件的签字盖章要求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投标文件格式</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符合第</w:t>
            </w:r>
            <w:r>
              <w:rPr>
                <w:rFonts w:hint="eastAsia" w:ascii="宋体" w:hAnsi="宋体"/>
                <w:color w:val="auto"/>
                <w:szCs w:val="21"/>
                <w:highlight w:val="none"/>
              </w:rPr>
              <w:t>六</w:t>
            </w:r>
            <w:r>
              <w:rPr>
                <w:rFonts w:ascii="宋体" w:hAnsi="宋体"/>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报价唯一</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没有选择性报价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2.1.2</w:t>
            </w:r>
          </w:p>
        </w:tc>
        <w:tc>
          <w:tcPr>
            <w:tcW w:w="1701"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资格</w:t>
            </w:r>
          </w:p>
          <w:p>
            <w:pPr>
              <w:spacing w:line="360" w:lineRule="auto"/>
              <w:jc w:val="center"/>
              <w:rPr>
                <w:rFonts w:ascii="宋体" w:hAnsi="宋体"/>
                <w:color w:val="auto"/>
                <w:szCs w:val="21"/>
                <w:highlight w:val="none"/>
              </w:rPr>
            </w:pPr>
            <w:r>
              <w:rPr>
                <w:rFonts w:ascii="宋体" w:hAnsi="宋体"/>
                <w:color w:val="auto"/>
                <w:szCs w:val="21"/>
                <w:highlight w:val="none"/>
              </w:rPr>
              <w:t>评审</w:t>
            </w:r>
          </w:p>
          <w:p>
            <w:pPr>
              <w:spacing w:line="360" w:lineRule="auto"/>
              <w:jc w:val="center"/>
              <w:rPr>
                <w:rFonts w:ascii="宋体" w:hAnsi="宋体"/>
                <w:color w:val="auto"/>
                <w:szCs w:val="21"/>
                <w:highlight w:val="none"/>
              </w:rPr>
            </w:pPr>
            <w:r>
              <w:rPr>
                <w:rFonts w:ascii="宋体" w:hAnsi="宋体"/>
                <w:color w:val="auto"/>
                <w:szCs w:val="21"/>
                <w:highlight w:val="none"/>
              </w:rPr>
              <w:t>标准</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color w:val="auto"/>
                <w:highlight w:val="none"/>
              </w:rPr>
              <w:t>营业执照</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color w:val="auto"/>
                <w:highlight w:val="none"/>
              </w:rPr>
              <w:t>资质等级</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b/>
                <w:color w:val="auto"/>
                <w:spacing w:val="-16"/>
                <w:sz w:val="21"/>
                <w:szCs w:val="21"/>
                <w:highlight w:val="none"/>
              </w:rPr>
            </w:pPr>
            <w:r>
              <w:rPr>
                <w:rFonts w:hint="eastAsia"/>
                <w:color w:val="auto"/>
                <w:highlight w:val="none"/>
              </w:rPr>
              <w:t>符合招标文件资质要求的规定。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rFonts w:hint="eastAsia"/>
                <w:color w:val="auto"/>
                <w:highlight w:val="none"/>
              </w:rPr>
              <w:t>财务要求</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rFonts w:hint="eastAsia"/>
                <w:color w:val="auto"/>
                <w:highlight w:val="none"/>
              </w:rPr>
              <w:t>符合招标文件财务要求的规定。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color w:val="auto"/>
                <w:highlight w:val="none"/>
              </w:rPr>
              <w:t>信誉</w:t>
            </w:r>
            <w:r>
              <w:rPr>
                <w:rFonts w:hint="eastAsia"/>
                <w:color w:val="auto"/>
                <w:highlight w:val="none"/>
              </w:rPr>
              <w:t>要求</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rFonts w:hint="eastAsia"/>
                <w:color w:val="auto"/>
                <w:highlight w:val="none"/>
              </w:rPr>
              <w:t>符合招标文件信誉要求的规定。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color w:val="auto"/>
                <w:highlight w:val="none"/>
              </w:rPr>
              <w:t>项目经理</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rFonts w:hint="eastAsia"/>
                <w:color w:val="auto"/>
                <w:highlight w:val="none"/>
              </w:rPr>
              <w:t>符合招标文件项目经理要求的规定。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s="宋体"/>
                <w:color w:val="auto"/>
                <w:szCs w:val="21"/>
                <w:highlight w:val="none"/>
              </w:rPr>
            </w:pPr>
            <w:r>
              <w:rPr>
                <w:color w:val="auto"/>
                <w:highlight w:val="none"/>
              </w:rPr>
              <w:t>设计负责人</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rFonts w:hint="eastAsia"/>
                <w:color w:val="auto"/>
                <w:highlight w:val="none"/>
              </w:rPr>
              <w:t>符合招标文件项目负责人要求的规定。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left"/>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ascii="宋体" w:hAnsi="宋体"/>
                <w:color w:val="auto"/>
                <w:szCs w:val="21"/>
                <w:highlight w:val="none"/>
              </w:rPr>
            </w:pPr>
            <w:r>
              <w:rPr>
                <w:color w:val="auto"/>
                <w:highlight w:val="none"/>
              </w:rPr>
              <w:t>其他要求</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rFonts w:hAnsi="宋体" w:cs="宋体"/>
                <w:color w:val="auto"/>
                <w:sz w:val="21"/>
                <w:szCs w:val="21"/>
                <w:highlight w:val="none"/>
              </w:rPr>
            </w:pPr>
            <w:r>
              <w:rPr>
                <w:color w:val="auto"/>
                <w:highlight w:val="none"/>
              </w:rPr>
              <w:t>符合第二章“投标人须知前附表”第1.4.1项要求</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2.1.3</w:t>
            </w:r>
          </w:p>
        </w:tc>
        <w:tc>
          <w:tcPr>
            <w:tcW w:w="1701"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响应性</w:t>
            </w:r>
          </w:p>
          <w:p>
            <w:pPr>
              <w:spacing w:line="360" w:lineRule="auto"/>
              <w:jc w:val="center"/>
              <w:rPr>
                <w:rFonts w:ascii="宋体" w:hAnsi="宋体"/>
                <w:color w:val="auto"/>
                <w:szCs w:val="21"/>
                <w:highlight w:val="none"/>
              </w:rPr>
            </w:pPr>
            <w:r>
              <w:rPr>
                <w:rFonts w:ascii="宋体" w:hAnsi="宋体"/>
                <w:color w:val="auto"/>
                <w:szCs w:val="21"/>
                <w:highlight w:val="none"/>
              </w:rPr>
              <w:t>评审</w:t>
            </w:r>
          </w:p>
          <w:p>
            <w:pPr>
              <w:spacing w:line="360" w:lineRule="auto"/>
              <w:jc w:val="center"/>
              <w:rPr>
                <w:rFonts w:ascii="宋体" w:hAnsi="宋体"/>
                <w:color w:val="auto"/>
                <w:szCs w:val="21"/>
                <w:highlight w:val="none"/>
              </w:rPr>
            </w:pPr>
            <w:r>
              <w:rPr>
                <w:rFonts w:ascii="宋体" w:hAnsi="宋体"/>
                <w:color w:val="auto"/>
                <w:szCs w:val="21"/>
                <w:highlight w:val="none"/>
              </w:rPr>
              <w:t>标准</w:t>
            </w: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color w:val="auto"/>
                <w:highlight w:val="none"/>
              </w:rPr>
            </w:pPr>
            <w:r>
              <w:rPr>
                <w:color w:val="auto"/>
                <w:highlight w:val="none"/>
              </w:rPr>
              <w:t>符合第二章“投标人须知”费率报价规定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投标内容</w:t>
            </w:r>
          </w:p>
        </w:tc>
        <w:tc>
          <w:tcPr>
            <w:tcW w:w="5155" w:type="dxa"/>
            <w:tcBorders>
              <w:top w:val="single" w:color="auto" w:sz="4" w:space="0"/>
              <w:left w:val="single" w:color="auto" w:sz="4" w:space="0"/>
              <w:bottom w:val="single" w:color="auto" w:sz="4" w:space="0"/>
              <w:right w:val="single" w:color="auto" w:sz="4" w:space="0"/>
            </w:tcBorders>
            <w:vAlign w:val="center"/>
          </w:tcPr>
          <w:p>
            <w:pPr>
              <w:pStyle w:val="117"/>
              <w:widowControl w:val="0"/>
              <w:snapToGrid w:val="0"/>
              <w:spacing w:line="560" w:lineRule="exact"/>
              <w:ind w:right="-83"/>
              <w:jc w:val="center"/>
              <w:textAlignment w:val="baseline"/>
              <w:rPr>
                <w:color w:val="auto"/>
                <w:highlight w:val="none"/>
              </w:rPr>
            </w:pPr>
            <w:r>
              <w:rPr>
                <w:rFonts w:hint="eastAsia"/>
                <w:color w:val="auto"/>
                <w:highlight w:val="none"/>
              </w:rPr>
              <w:t>符合招标范围的规定。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工</w:t>
            </w:r>
            <w:r>
              <w:rPr>
                <w:rFonts w:hint="eastAsia" w:ascii="宋体" w:hAnsi="宋体"/>
                <w:color w:val="auto"/>
                <w:szCs w:val="21"/>
                <w:highlight w:val="none"/>
              </w:rPr>
              <w:t xml:space="preserve"> </w:t>
            </w:r>
            <w:r>
              <w:rPr>
                <w:rFonts w:ascii="宋体" w:hAnsi="宋体"/>
                <w:color w:val="auto"/>
                <w:szCs w:val="21"/>
                <w:highlight w:val="none"/>
              </w:rPr>
              <w:t>期</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计划工期：两年，其中设计周期：2个月，施工工期：22个月。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质量标准</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设计：各阶段设计成果文件均符合国家、省、市有关工程设计方面的规范、文件规定的内容及深度和招标人的具体要求。</w:t>
            </w:r>
          </w:p>
          <w:p>
            <w:pPr>
              <w:spacing w:line="360" w:lineRule="auto"/>
              <w:jc w:val="left"/>
              <w:rPr>
                <w:rFonts w:ascii="宋体" w:hAnsi="宋体"/>
                <w:color w:val="auto"/>
                <w:szCs w:val="21"/>
                <w:highlight w:val="none"/>
              </w:rPr>
            </w:pPr>
            <w:r>
              <w:rPr>
                <w:rFonts w:hint="eastAsia" w:ascii="宋体" w:hAnsi="宋体"/>
                <w:color w:val="auto"/>
                <w:szCs w:val="21"/>
                <w:highlight w:val="none"/>
              </w:rPr>
              <w:t>工程：满足国家相关规范要求及招标文件的技术要求，达到合格标准。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安全要求</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按照国家及行业相关规定，全面做好安全施工管理工作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符合第二章“投标人须知”第3.4</w:t>
            </w:r>
            <w:r>
              <w:rPr>
                <w:rFonts w:hint="eastAsia" w:ascii="宋体" w:hAnsi="宋体"/>
                <w:color w:val="auto"/>
                <w:szCs w:val="21"/>
                <w:highlight w:val="none"/>
              </w:rPr>
              <w:t>.1</w:t>
            </w:r>
            <w:r>
              <w:rPr>
                <w:rFonts w:ascii="宋体" w:hAnsi="宋体"/>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权利义务</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技术标准和要求</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符合第五章“发包人要求”规定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2134"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color w:val="auto"/>
                <w:szCs w:val="21"/>
                <w:highlight w:val="none"/>
              </w:rPr>
            </w:pPr>
            <w:r>
              <w:rPr>
                <w:rFonts w:hint="eastAsia"/>
                <w:color w:val="auto"/>
                <w:sz w:val="21"/>
                <w:szCs w:val="21"/>
                <w:highlight w:val="none"/>
              </w:rPr>
              <w:t>投标费率</w:t>
            </w:r>
          </w:p>
        </w:tc>
        <w:tc>
          <w:tcPr>
            <w:tcW w:w="5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低于（含等于）招标控制费率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条款内容</w:t>
            </w: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7" w:hRule="atLeast"/>
          <w:jc w:val="center"/>
        </w:trPr>
        <w:tc>
          <w:tcPr>
            <w:tcW w:w="846"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分值构成</w:t>
            </w:r>
          </w:p>
          <w:p>
            <w:pPr>
              <w:spacing w:line="360" w:lineRule="auto"/>
              <w:jc w:val="center"/>
              <w:rPr>
                <w:rFonts w:ascii="宋体" w:hAnsi="宋体"/>
                <w:color w:val="auto"/>
                <w:szCs w:val="21"/>
                <w:highlight w:val="none"/>
              </w:rPr>
            </w:pPr>
            <w:r>
              <w:rPr>
                <w:rFonts w:ascii="宋体" w:hAnsi="宋体"/>
                <w:color w:val="auto"/>
                <w:szCs w:val="21"/>
                <w:highlight w:val="none"/>
              </w:rPr>
              <w:t>(总分100分)</w:t>
            </w: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）投标报价：</w:t>
            </w:r>
            <w:r>
              <w:rPr>
                <w:rFonts w:hint="eastAsia" w:ascii="宋体" w:hAnsi="宋体"/>
                <w:color w:val="auto"/>
                <w:szCs w:val="21"/>
                <w:highlight w:val="none"/>
                <w:u w:val="single"/>
              </w:rPr>
              <w:t>35</w:t>
            </w:r>
            <w:r>
              <w:rPr>
                <w:rFonts w:hint="eastAsia" w:ascii="宋体" w:hAnsi="宋体"/>
                <w:color w:val="auto"/>
                <w:szCs w:val="21"/>
                <w:highlight w:val="none"/>
              </w:rPr>
              <w:t>分；</w:t>
            </w:r>
          </w:p>
          <w:p>
            <w:pPr>
              <w:spacing w:line="360" w:lineRule="auto"/>
              <w:rPr>
                <w:rFonts w:ascii="宋体" w:hAnsi="宋体"/>
                <w:color w:val="auto"/>
                <w:szCs w:val="21"/>
                <w:highlight w:val="none"/>
              </w:rPr>
            </w:pPr>
            <w:r>
              <w:rPr>
                <w:rFonts w:hint="eastAsia" w:ascii="宋体" w:hAnsi="宋体"/>
                <w:color w:val="auto"/>
                <w:szCs w:val="21"/>
                <w:highlight w:val="none"/>
              </w:rPr>
              <w:t>（2）技术部分：</w:t>
            </w:r>
            <w:r>
              <w:rPr>
                <w:rFonts w:ascii="宋体" w:hAnsi="宋体"/>
                <w:color w:val="auto"/>
                <w:szCs w:val="21"/>
                <w:highlight w:val="none"/>
                <w:u w:val="single"/>
              </w:rPr>
              <w:t>4</w:t>
            </w:r>
            <w:r>
              <w:rPr>
                <w:rFonts w:hint="eastAsia" w:ascii="宋体" w:hAnsi="宋体"/>
                <w:color w:val="auto"/>
                <w:szCs w:val="21"/>
                <w:highlight w:val="none"/>
                <w:u w:val="single"/>
              </w:rPr>
              <w:t>0</w:t>
            </w:r>
            <w:r>
              <w:rPr>
                <w:rFonts w:hint="eastAsia" w:ascii="宋体" w:hAnsi="宋体"/>
                <w:color w:val="auto"/>
                <w:szCs w:val="21"/>
                <w:highlight w:val="none"/>
              </w:rPr>
              <w:t>分；</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u w:val="single"/>
              </w:rPr>
              <w:t>25</w:t>
            </w:r>
            <w:r>
              <w:rPr>
                <w:rFonts w:ascii="宋体" w:hAnsi="宋体"/>
                <w:color w:val="auto"/>
                <w:szCs w:val="21"/>
                <w:highlight w:val="none"/>
              </w:rPr>
              <w:t>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46"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评标基准</w:t>
            </w:r>
            <w:r>
              <w:rPr>
                <w:rFonts w:hint="eastAsia" w:ascii="宋体" w:hAnsi="宋体"/>
                <w:color w:val="auto"/>
                <w:szCs w:val="21"/>
                <w:highlight w:val="none"/>
              </w:rPr>
              <w:t>价</w:t>
            </w:r>
            <w:r>
              <w:rPr>
                <w:rFonts w:ascii="宋体" w:hAnsi="宋体"/>
                <w:color w:val="auto"/>
                <w:szCs w:val="21"/>
                <w:highlight w:val="none"/>
              </w:rPr>
              <w:t>计算</w:t>
            </w:r>
            <w:r>
              <w:rPr>
                <w:rFonts w:hint="eastAsia" w:ascii="宋体" w:hAnsi="宋体"/>
                <w:color w:val="auto"/>
                <w:szCs w:val="21"/>
                <w:highlight w:val="none"/>
              </w:rPr>
              <w:t>方法</w:t>
            </w: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评标基准价＝最高投标限价×K+投标报价×(1-K)</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其中:K为最高投标限价权重系数，取值范围为0.3≤K≤0.5，K值在取值区间内间隔为0.1，K值取值为0.3、0.4、0.5，在开标现场随机抽取。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投标报价为各投标人有效投标报价去掉一个最高和一个最低报价后的算术平均值。当有效投标少于5家时(不含5家)，则以所有有效投标报价的算术平均值作为投标报价。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46"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报价</w:t>
            </w:r>
            <w:r>
              <w:rPr>
                <w:rFonts w:ascii="宋体" w:hAnsi="宋体"/>
                <w:color w:val="auto"/>
                <w:szCs w:val="21"/>
                <w:highlight w:val="none"/>
              </w:rPr>
              <w:t>的偏差率</w:t>
            </w:r>
            <w:r>
              <w:rPr>
                <w:rFonts w:hint="eastAsia" w:ascii="宋体" w:hAnsi="宋体"/>
                <w:color w:val="auto"/>
                <w:szCs w:val="21"/>
                <w:highlight w:val="none"/>
              </w:rPr>
              <w:t>计算公式</w:t>
            </w:r>
          </w:p>
        </w:tc>
        <w:tc>
          <w:tcPr>
            <w:tcW w:w="728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偏差率=100%×（投标人报价－评标基准值）/评标基准值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846" w:type="dxa"/>
            <w:tcBorders>
              <w:top w:val="nil"/>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b/>
                <w:color w:val="auto"/>
                <w:szCs w:val="21"/>
                <w:highlight w:val="none"/>
              </w:rPr>
              <w:t>条款号</w:t>
            </w:r>
          </w:p>
        </w:tc>
        <w:tc>
          <w:tcPr>
            <w:tcW w:w="1701" w:type="dxa"/>
            <w:tcBorders>
              <w:top w:val="nil"/>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b/>
                <w:color w:val="auto"/>
                <w:szCs w:val="21"/>
                <w:highlight w:val="none"/>
              </w:rPr>
              <w:t>评分因素</w:t>
            </w: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846" w:type="dxa"/>
            <w:vMerge w:val="restart"/>
            <w:tcBorders>
              <w:top w:val="nil"/>
              <w:right w:val="single" w:color="auto" w:sz="4" w:space="0"/>
            </w:tcBorders>
            <w:vAlign w:val="center"/>
          </w:tcPr>
          <w:p>
            <w:pPr>
              <w:spacing w:line="360" w:lineRule="auto"/>
              <w:jc w:val="center"/>
              <w:rPr>
                <w:rFonts w:ascii="宋体" w:hAnsi="宋体"/>
                <w:b/>
                <w:color w:val="auto"/>
                <w:szCs w:val="21"/>
                <w:highlight w:val="none"/>
              </w:rPr>
            </w:pPr>
            <w:r>
              <w:rPr>
                <w:rFonts w:ascii="宋体" w:hAnsi="宋体"/>
                <w:color w:val="auto"/>
                <w:szCs w:val="21"/>
                <w:highlight w:val="none"/>
              </w:rPr>
              <w:t>2.2.4</w:t>
            </w:r>
            <w:r>
              <w:rPr>
                <w:rFonts w:hint="eastAsia" w:ascii="宋体" w:hAnsi="宋体"/>
                <w:color w:val="auto"/>
                <w:szCs w:val="21"/>
                <w:highlight w:val="none"/>
              </w:rPr>
              <w:t>（1）</w:t>
            </w:r>
          </w:p>
        </w:tc>
        <w:tc>
          <w:tcPr>
            <w:tcW w:w="1701" w:type="dxa"/>
            <w:vMerge w:val="restart"/>
            <w:tcBorders>
              <w:top w:val="nil"/>
              <w:right w:val="single" w:color="auto" w:sz="4" w:space="0"/>
            </w:tcBorders>
            <w:vAlign w:val="center"/>
          </w:tcPr>
          <w:p>
            <w:pPr>
              <w:snapToGrid w:val="0"/>
              <w:spacing w:line="560" w:lineRule="exact"/>
              <w:jc w:val="center"/>
              <w:textAlignment w:val="baseline"/>
              <w:rPr>
                <w:rFonts w:ascii="宋体" w:hAnsi="宋体"/>
                <w:b/>
                <w:color w:val="auto"/>
                <w:szCs w:val="21"/>
                <w:highlight w:val="none"/>
              </w:rPr>
            </w:pPr>
            <w:r>
              <w:rPr>
                <w:bCs/>
                <w:color w:val="auto"/>
                <w:szCs w:val="21"/>
                <w:highlight w:val="none"/>
              </w:rPr>
              <w:t>投标报价(35分)</w:t>
            </w:r>
          </w:p>
        </w:tc>
        <w:tc>
          <w:tcPr>
            <w:tcW w:w="7289"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560" w:lineRule="exact"/>
              <w:rPr>
                <w:rFonts w:ascii="宋体" w:hAnsi="宋体" w:cs="宋体"/>
                <w:color w:val="auto"/>
                <w:highlight w:val="none"/>
              </w:rPr>
            </w:pPr>
            <w:r>
              <w:rPr>
                <w:rFonts w:hint="eastAsia" w:ascii="宋体" w:hAnsi="宋体" w:cs="宋体"/>
                <w:color w:val="auto"/>
                <w:highlight w:val="none"/>
              </w:rPr>
              <w:t>当投标报价与评标基准价相等时，得基本分32分。当投标报价低于评标基准价时，每低1％范围内在基本分的基础上加1分，最多加3分；当投标报价低于评标基准价3％以上(不含3％)时，每再低1％范围内在满分的基础上扣1分，扣完为止；当投标报价高于评标基准价时，每高1％范国内在基本分32分的基础上扣2分，扣完为止。</w:t>
            </w:r>
          </w:p>
          <w:p>
            <w:pPr>
              <w:autoSpaceDE w:val="0"/>
              <w:spacing w:line="560" w:lineRule="exact"/>
              <w:rPr>
                <w:rFonts w:hint="eastAsia" w:ascii="宋体" w:hAnsi="宋体" w:cs="宋体"/>
                <w:color w:val="auto"/>
                <w:highlight w:val="none"/>
                <w:lang w:eastAsia="zh-CN"/>
              </w:rPr>
            </w:pPr>
            <w:r>
              <w:rPr>
                <w:rFonts w:hint="eastAsia" w:ascii="宋体" w:hAnsi="宋体" w:cs="宋体"/>
                <w:color w:val="auto"/>
                <w:highlight w:val="none"/>
                <w:lang w:eastAsia="zh-CN"/>
              </w:rPr>
              <w:t>即：①</w:t>
            </w:r>
            <w:r>
              <w:rPr>
                <w:rFonts w:hint="eastAsia" w:ascii="宋体" w:hAnsi="宋体" w:cs="宋体"/>
                <w:color w:val="auto"/>
                <w:highlight w:val="none"/>
              </w:rPr>
              <w:t>当投标报价低于评标基准价时</w:t>
            </w:r>
            <w:r>
              <w:rPr>
                <w:rFonts w:hint="eastAsia" w:ascii="宋体" w:hAnsi="宋体" w:cs="宋体"/>
                <w:color w:val="auto"/>
                <w:highlight w:val="none"/>
                <w:lang w:eastAsia="zh-CN"/>
              </w:rPr>
              <w:t>：</w:t>
            </w:r>
          </w:p>
          <w:p>
            <w:pPr>
              <w:pStyle w:val="201"/>
              <w:spacing w:line="500" w:lineRule="exact"/>
              <w:ind w:firstLine="0" w:firstLineChars="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投标报价得分=</w:t>
            </w:r>
            <w:r>
              <w:rPr>
                <w:rFonts w:hint="eastAsia" w:ascii="宋体" w:hAnsi="宋体"/>
                <w:color w:val="auto"/>
                <w:szCs w:val="21"/>
                <w:highlight w:val="none"/>
                <w:u w:val="single"/>
                <w:lang w:val="en-US" w:eastAsia="zh-CN"/>
              </w:rPr>
              <w:t>32-</w:t>
            </w:r>
            <w:r>
              <w:rPr>
                <w:rFonts w:hint="eastAsia" w:ascii="宋体" w:hAnsi="宋体"/>
                <w:color w:val="auto"/>
                <w:szCs w:val="21"/>
                <w:highlight w:val="none"/>
                <w:u w:val="single"/>
                <w:lang w:eastAsia="zh-CN"/>
              </w:rPr>
              <w:t>偏差率</w:t>
            </w:r>
            <w:r>
              <w:rPr>
                <w:rFonts w:hint="eastAsia" w:ascii="宋体" w:hAnsi="宋体"/>
                <w:color w:val="auto"/>
                <w:szCs w:val="21"/>
                <w:highlight w:val="none"/>
                <w:u w:val="single"/>
              </w:rPr>
              <w:t>*100</w:t>
            </w:r>
            <w:r>
              <w:rPr>
                <w:rFonts w:hint="eastAsia" w:ascii="宋体" w:hAnsi="宋体"/>
                <w:color w:val="auto"/>
                <w:szCs w:val="21"/>
                <w:highlight w:val="none"/>
                <w:u w:val="single"/>
                <w:lang w:val="en-US" w:eastAsia="zh-CN"/>
              </w:rPr>
              <w:t>*1</w:t>
            </w:r>
            <w:r>
              <w:rPr>
                <w:rFonts w:hint="eastAsia" w:ascii="宋体" w:hAnsi="宋体"/>
                <w:color w:val="auto"/>
                <w:szCs w:val="21"/>
                <w:highlight w:val="none"/>
                <w:lang w:val="en-US" w:eastAsia="zh-CN"/>
              </w:rPr>
              <w:t>分</w:t>
            </w:r>
          </w:p>
          <w:p>
            <w:pPr>
              <w:pStyle w:val="2"/>
              <w:rPr>
                <w:rFonts w:hint="eastAsia"/>
                <w:color w:val="auto"/>
                <w:highlight w:val="none"/>
                <w:lang w:eastAsia="zh-CN"/>
              </w:rPr>
            </w:pPr>
          </w:p>
          <w:p>
            <w:pPr>
              <w:autoSpaceDE w:val="0"/>
              <w:spacing w:line="560" w:lineRule="exact"/>
              <w:rPr>
                <w:rFonts w:hint="eastAsia" w:ascii="宋体" w:hAnsi="宋体" w:cs="宋体"/>
                <w:color w:val="auto"/>
                <w:highlight w:val="none"/>
                <w:lang w:eastAsia="zh-CN"/>
              </w:rPr>
            </w:pPr>
            <w:r>
              <w:rPr>
                <w:rFonts w:hint="eastAsia" w:ascii="宋体" w:hAnsi="宋体" w:cs="宋体"/>
                <w:color w:val="auto"/>
                <w:highlight w:val="none"/>
                <w:lang w:eastAsia="zh-CN"/>
              </w:rPr>
              <w:t>②</w:t>
            </w:r>
            <w:r>
              <w:rPr>
                <w:rFonts w:hint="eastAsia" w:ascii="宋体" w:hAnsi="宋体" w:cs="宋体"/>
                <w:color w:val="auto"/>
                <w:highlight w:val="none"/>
              </w:rPr>
              <w:t>当投标报价低于评标基准价3％以上(不含3％)时</w:t>
            </w:r>
            <w:r>
              <w:rPr>
                <w:rFonts w:hint="eastAsia" w:ascii="宋体" w:hAnsi="宋体" w:cs="宋体"/>
                <w:color w:val="auto"/>
                <w:highlight w:val="none"/>
                <w:lang w:eastAsia="zh-CN"/>
              </w:rPr>
              <w:t>：</w:t>
            </w:r>
          </w:p>
          <w:p>
            <w:pPr>
              <w:pStyle w:val="201"/>
              <w:spacing w:line="500" w:lineRule="exact"/>
              <w:ind w:firstLine="0" w:firstLineChars="0"/>
              <w:jc w:val="left"/>
              <w:rPr>
                <w:rFonts w:hint="eastAsia"/>
                <w:color w:val="auto"/>
                <w:highlight w:val="none"/>
                <w:lang w:eastAsia="zh-CN"/>
              </w:rPr>
            </w:pPr>
            <w:r>
              <w:rPr>
                <w:rFonts w:hint="eastAsia" w:ascii="宋体" w:hAnsi="宋体"/>
                <w:color w:val="auto"/>
                <w:szCs w:val="21"/>
                <w:highlight w:val="none"/>
              </w:rPr>
              <w:t>投标报价得分=</w:t>
            </w:r>
            <w:r>
              <w:rPr>
                <w:rFonts w:hint="eastAsia" w:ascii="宋体" w:hAnsi="宋体"/>
                <w:color w:val="auto"/>
                <w:szCs w:val="21"/>
                <w:highlight w:val="none"/>
                <w:u w:val="single"/>
                <w:lang w:val="en-US" w:eastAsia="zh-CN"/>
              </w:rPr>
              <w:t>35</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（偏差率</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*100</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none"/>
                <w:lang w:val="en-US" w:eastAsia="zh-CN"/>
              </w:rPr>
              <w:t>分</w:t>
            </w:r>
          </w:p>
          <w:p>
            <w:pPr>
              <w:autoSpaceDE w:val="0"/>
              <w:spacing w:line="56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③</w:t>
            </w:r>
            <w:r>
              <w:rPr>
                <w:rFonts w:hint="eastAsia" w:ascii="宋体" w:hAnsi="宋体" w:cs="宋体"/>
                <w:color w:val="auto"/>
                <w:highlight w:val="none"/>
              </w:rPr>
              <w:t>当投标报价高于评标基准价时</w:t>
            </w:r>
            <w:r>
              <w:rPr>
                <w:rFonts w:hint="eastAsia" w:ascii="宋体" w:hAnsi="宋体" w:cs="宋体"/>
                <w:color w:val="auto"/>
                <w:highlight w:val="none"/>
                <w:lang w:eastAsia="zh-CN"/>
              </w:rPr>
              <w:t>：</w:t>
            </w:r>
          </w:p>
          <w:p>
            <w:pPr>
              <w:pStyle w:val="201"/>
              <w:spacing w:line="500" w:lineRule="exact"/>
              <w:ind w:firstLine="0" w:firstLineChars="0"/>
              <w:jc w:val="left"/>
              <w:rPr>
                <w:rFonts w:hint="eastAsia" w:ascii="宋体" w:hAnsi="宋体"/>
                <w:color w:val="auto"/>
                <w:szCs w:val="21"/>
                <w:highlight w:val="none"/>
                <w:u w:val="none"/>
                <w:lang w:val="en-US" w:eastAsia="zh-CN"/>
              </w:rPr>
            </w:pPr>
            <w:r>
              <w:rPr>
                <w:rFonts w:hint="eastAsia" w:ascii="宋体" w:hAnsi="宋体"/>
                <w:color w:val="auto"/>
                <w:szCs w:val="21"/>
                <w:highlight w:val="none"/>
              </w:rPr>
              <w:t>投标报价得分=</w:t>
            </w:r>
            <w:r>
              <w:rPr>
                <w:rFonts w:hint="eastAsia" w:ascii="宋体" w:hAnsi="宋体"/>
                <w:color w:val="auto"/>
                <w:szCs w:val="21"/>
                <w:highlight w:val="none"/>
                <w:u w:val="single"/>
                <w:lang w:val="en-US" w:eastAsia="zh-CN"/>
              </w:rPr>
              <w:t>32-</w:t>
            </w:r>
            <w:r>
              <w:rPr>
                <w:rFonts w:hint="eastAsia" w:ascii="宋体" w:hAnsi="宋体"/>
                <w:color w:val="auto"/>
                <w:szCs w:val="21"/>
                <w:highlight w:val="none"/>
                <w:u w:val="single"/>
                <w:lang w:eastAsia="zh-CN"/>
              </w:rPr>
              <w:t>偏差率</w:t>
            </w:r>
            <w:r>
              <w:rPr>
                <w:rFonts w:hint="eastAsia" w:ascii="宋体" w:hAnsi="宋体"/>
                <w:color w:val="auto"/>
                <w:szCs w:val="21"/>
                <w:highlight w:val="none"/>
                <w:u w:val="single"/>
              </w:rPr>
              <w:t>*100</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none"/>
                <w:lang w:val="en-US" w:eastAsia="zh-CN"/>
              </w:rPr>
              <w:t>分</w:t>
            </w:r>
          </w:p>
          <w:p>
            <w:pPr>
              <w:pStyle w:val="201"/>
              <w:spacing w:line="500" w:lineRule="exact"/>
              <w:ind w:firstLine="0" w:firstLineChars="0"/>
              <w:jc w:val="left"/>
              <w:rPr>
                <w:rFonts w:hint="eastAsia" w:ascii="宋体" w:hAnsi="宋体" w:cs="宋体"/>
                <w:color w:val="auto"/>
                <w:highlight w:val="none"/>
                <w:lang w:eastAsia="zh-CN"/>
              </w:rPr>
            </w:pPr>
            <w:r>
              <w:rPr>
                <w:rFonts w:hint="eastAsia" w:ascii="宋体" w:hAnsi="宋体"/>
                <w:color w:val="auto"/>
                <w:szCs w:val="21"/>
                <w:highlight w:val="none"/>
                <w:u w:val="none"/>
                <w:lang w:val="en-US" w:eastAsia="zh-CN"/>
              </w:rPr>
              <w:t>④</w:t>
            </w:r>
            <w:r>
              <w:rPr>
                <w:rFonts w:hint="eastAsia" w:ascii="宋体" w:hAnsi="宋体" w:cs="宋体"/>
                <w:color w:val="auto"/>
                <w:highlight w:val="none"/>
              </w:rPr>
              <w:t>投标报价与评标基准价相等时</w:t>
            </w:r>
            <w:r>
              <w:rPr>
                <w:rFonts w:hint="eastAsia" w:ascii="宋体" w:hAnsi="宋体" w:cs="宋体"/>
                <w:color w:val="auto"/>
                <w:highlight w:val="none"/>
                <w:lang w:eastAsia="zh-CN"/>
              </w:rPr>
              <w:t>：</w:t>
            </w:r>
          </w:p>
          <w:p>
            <w:pPr>
              <w:pStyle w:val="201"/>
              <w:spacing w:line="500" w:lineRule="exact"/>
              <w:ind w:firstLine="0" w:firstLineChars="0"/>
              <w:jc w:val="left"/>
              <w:rPr>
                <w:rFonts w:hint="default" w:ascii="宋体" w:hAnsi="宋体" w:cs="宋体"/>
                <w:color w:val="auto"/>
                <w:highlight w:val="none"/>
                <w:lang w:val="en-US" w:eastAsia="zh-CN"/>
              </w:rPr>
            </w:pPr>
            <w:r>
              <w:rPr>
                <w:rFonts w:hint="eastAsia" w:ascii="宋体" w:hAnsi="宋体"/>
                <w:color w:val="auto"/>
                <w:szCs w:val="21"/>
                <w:highlight w:val="none"/>
              </w:rPr>
              <w:t>投标报价得分=</w:t>
            </w:r>
            <w:r>
              <w:rPr>
                <w:rFonts w:hint="eastAsia" w:ascii="宋体" w:hAnsi="宋体"/>
                <w:color w:val="auto"/>
                <w:szCs w:val="21"/>
                <w:highlight w:val="none"/>
                <w:u w:val="single"/>
                <w:lang w:val="en-US" w:eastAsia="zh-CN"/>
              </w:rPr>
              <w:t>32</w:t>
            </w:r>
            <w:r>
              <w:rPr>
                <w:rFonts w:hint="eastAsia" w:ascii="宋体" w:hAnsi="宋体"/>
                <w:color w:val="auto"/>
                <w:szCs w:val="21"/>
                <w:highlight w:val="none"/>
                <w:u w:val="none"/>
                <w:lang w:val="en-US" w:eastAsia="zh-CN"/>
              </w:rPr>
              <w:t>分</w:t>
            </w:r>
          </w:p>
          <w:p>
            <w:pPr>
              <w:autoSpaceDE w:val="0"/>
              <w:spacing w:line="560" w:lineRule="exact"/>
              <w:rPr>
                <w:rFonts w:hAnsi="宋体"/>
                <w:color w:val="auto"/>
                <w:highlight w:val="none"/>
              </w:rPr>
            </w:pPr>
            <w:r>
              <w:rPr>
                <w:rFonts w:hint="eastAsia" w:ascii="宋体" w:hAnsi="宋体" w:cs="宋体"/>
                <w:b/>
                <w:bCs/>
                <w:color w:val="auto"/>
                <w:highlight w:val="none"/>
              </w:rPr>
              <w:t>注：投标单位为小型或微型企业时，在原报价进行得分的基础上增加其价格得分的5%作为最终投标报价得分，最高加至35分。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（2）</w:t>
            </w:r>
          </w:p>
        </w:tc>
        <w:tc>
          <w:tcPr>
            <w:tcW w:w="170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技术标评分标准</w:t>
            </w:r>
          </w:p>
          <w:p>
            <w:pPr>
              <w:spacing w:line="36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0分）</w:t>
            </w:r>
          </w:p>
        </w:tc>
        <w:tc>
          <w:tcPr>
            <w:tcW w:w="728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工程总承包管理大纲评分标准（</w:t>
            </w:r>
            <w:r>
              <w:rPr>
                <w:rFonts w:ascii="宋体" w:hAnsi="宋体" w:cs="仿宋_GB2312"/>
                <w:b/>
                <w:color w:val="auto"/>
                <w:szCs w:val="21"/>
                <w:highlight w:val="none"/>
              </w:rPr>
              <w:t>6</w:t>
            </w:r>
            <w:r>
              <w:rPr>
                <w:rFonts w:hint="eastAsia" w:ascii="宋体" w:hAnsi="宋体" w:cs="仿宋_GB2312"/>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s="宋体"/>
                <w:color w:val="auto"/>
                <w:szCs w:val="21"/>
                <w:highlight w:val="none"/>
              </w:rPr>
              <w:t>（1）总承包建议（0-</w:t>
            </w:r>
            <w:r>
              <w:rPr>
                <w:rFonts w:ascii="宋体" w:hAnsi="宋体" w:cs="宋体"/>
                <w:color w:val="auto"/>
                <w:szCs w:val="21"/>
                <w:highlight w:val="none"/>
              </w:rPr>
              <w:t>1</w:t>
            </w:r>
            <w:r>
              <w:rPr>
                <w:rFonts w:hint="eastAsia" w:ascii="宋体" w:hAnsi="宋体" w:cs="宋体"/>
                <w:color w:val="auto"/>
                <w:szCs w:val="21"/>
                <w:highlight w:val="none"/>
              </w:rPr>
              <w:t>分）</w:t>
            </w:r>
          </w:p>
        </w:tc>
        <w:tc>
          <w:tcPr>
            <w:tcW w:w="5588" w:type="dxa"/>
            <w:gridSpan w:val="2"/>
            <w:tcBorders>
              <w:top w:val="single" w:color="auto" w:sz="4" w:space="0"/>
              <w:left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对招标项目现状了解充分，认识深入，对本项目有针对性的建议和应对措施。根据项目特点和建议措施酌情打分。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（2）总体管理方案（0-</w:t>
            </w:r>
            <w:r>
              <w:rPr>
                <w:rFonts w:ascii="宋体" w:hAnsi="宋体" w:cs="宋体"/>
                <w:color w:val="auto"/>
                <w:szCs w:val="21"/>
                <w:highlight w:val="none"/>
              </w:rPr>
              <w:t>1</w:t>
            </w:r>
            <w:r>
              <w:rPr>
                <w:rFonts w:hint="eastAsia" w:ascii="宋体" w:hAnsi="宋体" w:cs="宋体"/>
                <w:color w:val="auto"/>
                <w:szCs w:val="21"/>
                <w:highlight w:val="none"/>
              </w:rPr>
              <w:t>分）</w:t>
            </w:r>
          </w:p>
        </w:tc>
        <w:tc>
          <w:tcPr>
            <w:tcW w:w="5588" w:type="dxa"/>
            <w:gridSpan w:val="2"/>
            <w:tcBorders>
              <w:top w:val="single" w:color="auto" w:sz="4" w:space="0"/>
              <w:left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主要结合投标人提供的总体管理方案是否满足本项目的总体建设要求，各目标是否切实可行、科学合理进行评定。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（3）项目管理要点（0-</w:t>
            </w:r>
            <w:r>
              <w:rPr>
                <w:rFonts w:ascii="宋体" w:hAnsi="宋体" w:cs="宋体"/>
                <w:color w:val="auto"/>
                <w:szCs w:val="21"/>
                <w:highlight w:val="none"/>
              </w:rPr>
              <w:t>2</w:t>
            </w:r>
            <w:r>
              <w:rPr>
                <w:rFonts w:hint="eastAsia" w:ascii="宋体" w:hAnsi="宋体" w:cs="宋体"/>
                <w:color w:val="auto"/>
                <w:szCs w:val="21"/>
                <w:highlight w:val="none"/>
              </w:rPr>
              <w:t>分）</w:t>
            </w:r>
          </w:p>
        </w:tc>
        <w:tc>
          <w:tcPr>
            <w:tcW w:w="5588" w:type="dxa"/>
            <w:gridSpan w:val="2"/>
            <w:tcBorders>
              <w:top w:val="single" w:color="auto" w:sz="4" w:space="0"/>
              <w:left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根据管理目标是否明确，切合实际，先进可行，具有可操作性。包括：合同管理要点、资源管理要点、质量控制要点、进度控制要点、费用估算及控制要点、安全管理要点、职业健康管理要点、节约能源和生态环境保护管理要点、沟通和协调管理要点、成本管理要点、风险管理要点、文件及信息管理要点；设计、采购、施工的协调融合管理要点；完善和优化设计要点；改进施工方案，报告管理制度等内容进行综合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（4）工程竣工验收、结算、移交管理方案及措施   （0-</w:t>
            </w:r>
            <w:r>
              <w:rPr>
                <w:rFonts w:ascii="宋体" w:hAnsi="宋体" w:cs="仿宋_GB2312"/>
                <w:color w:val="auto"/>
                <w:szCs w:val="21"/>
                <w:highlight w:val="none"/>
              </w:rPr>
              <w:t>2</w:t>
            </w:r>
            <w:r>
              <w:rPr>
                <w:rFonts w:hint="eastAsia" w:ascii="宋体" w:hAnsi="宋体" w:cs="仿宋_GB2312"/>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right w:val="single" w:color="auto" w:sz="4" w:space="0"/>
            </w:tcBorders>
            <w:vAlign w:val="center"/>
          </w:tcPr>
          <w:p>
            <w:pPr>
              <w:spacing w:line="360" w:lineRule="auto"/>
              <w:rPr>
                <w:rFonts w:ascii="宋体" w:hAnsi="宋体" w:cs="仿宋_GB2312"/>
                <w:b/>
                <w:color w:val="auto"/>
                <w:szCs w:val="21"/>
                <w:highlight w:val="none"/>
              </w:rPr>
            </w:pPr>
            <w:r>
              <w:rPr>
                <w:rFonts w:hint="eastAsia" w:ascii="宋体" w:hAnsi="宋体" w:cs="仿宋_GB2312"/>
                <w:b/>
                <w:color w:val="auto"/>
                <w:szCs w:val="21"/>
                <w:highlight w:val="none"/>
              </w:rPr>
              <w:t>注：以上如有缺项，该小项得分为0分。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设计组织方案（</w:t>
            </w:r>
            <w:r>
              <w:rPr>
                <w:rFonts w:ascii="宋体" w:hAnsi="宋体" w:cs="宋体"/>
                <w:b/>
                <w:bCs/>
                <w:color w:val="auto"/>
                <w:szCs w:val="21"/>
                <w:highlight w:val="none"/>
              </w:rPr>
              <w:t>9</w:t>
            </w: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保证工程造价限额内完成施工图设计及降低工程造价的保证措施可行性及经济性（0-</w:t>
            </w:r>
            <w:r>
              <w:rPr>
                <w:rFonts w:ascii="宋体" w:hAnsi="宋体" w:cs="宋体"/>
                <w:color w:val="auto"/>
                <w:szCs w:val="21"/>
                <w:highlight w:val="none"/>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设计周期、质量、</w:t>
            </w:r>
            <w:r>
              <w:rPr>
                <w:rFonts w:hint="eastAsia" w:ascii="宋体" w:hAnsi="宋体" w:cs="宋体"/>
                <w:color w:val="auto"/>
                <w:szCs w:val="21"/>
                <w:highlight w:val="none"/>
              </w:rPr>
              <w:t>进度安排</w:t>
            </w:r>
            <w:r>
              <w:rPr>
                <w:rFonts w:hint="eastAsia" w:ascii="宋体" w:hAnsi="宋体" w:cs="宋体"/>
                <w:color w:val="auto"/>
                <w:highlight w:val="none"/>
              </w:rPr>
              <w:t>符合相关规定、保证措施有针对性（0-2分）；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进度安排合理，保证措施有针对性（0-</w:t>
            </w:r>
            <w:r>
              <w:rPr>
                <w:rFonts w:ascii="宋体" w:hAnsi="宋体" w:cs="宋体"/>
                <w:color w:val="auto"/>
                <w:szCs w:val="21"/>
                <w:highlight w:val="none"/>
              </w:rPr>
              <w:t>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构造节点做法，阐述重要构造节点做法对甲方在施工、成本控制、使用功能、效果展示等方面的优势（0-2分）；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施工组织方案（25分）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施工方案及技术措施</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施工方案（含工程特点、施工重点与难点及绿色施工）总体安排合理，运用先进、合理的施工工艺、施工机械；对施工难点有先进和合理的建议</w:t>
            </w:r>
            <w:r>
              <w:rPr>
                <w:rFonts w:hint="eastAsia" w:ascii="宋体" w:hAnsi="宋体" w:cs="宋体"/>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质量管理体系与措施</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r>
              <w:rPr>
                <w:rFonts w:hint="eastAsia" w:ascii="宋体" w:hAnsi="宋体" w:cs="宋体"/>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安全管理体系与措施</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环境保护管理体系与措施</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工期保证措施</w:t>
            </w:r>
            <w:r>
              <w:rPr>
                <w:rFonts w:hint="eastAsia" w:ascii="宋体" w:hAnsi="宋体" w:cs="宋体"/>
                <w:color w:val="auto"/>
                <w:spacing w:val="-5"/>
                <w:szCs w:val="21"/>
                <w:highlight w:val="none"/>
              </w:rPr>
              <w:t>（</w:t>
            </w:r>
            <w:r>
              <w:rPr>
                <w:rFonts w:ascii="宋体" w:hAnsi="宋体" w:cs="宋体"/>
                <w:color w:val="auto"/>
                <w:spacing w:val="-5"/>
                <w:szCs w:val="21"/>
                <w:highlight w:val="none"/>
              </w:rPr>
              <w:t>2</w:t>
            </w:r>
            <w:r>
              <w:rPr>
                <w:rFonts w:hint="eastAsia" w:ascii="宋体" w:hAnsi="宋体" w:cs="宋体"/>
                <w:color w:val="auto"/>
                <w:spacing w:val="-5"/>
                <w:szCs w:val="21"/>
                <w:highlight w:val="none"/>
              </w:rPr>
              <w:t>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工期承诺满足招标文件要求，工期保证措施合理且有针对性，有具体的违约责任承诺；</w:t>
            </w:r>
            <w:r>
              <w:rPr>
                <w:rFonts w:hint="eastAsia" w:ascii="宋体" w:hAnsi="宋体" w:cs="宋体"/>
                <w:color w:val="auto"/>
                <w:szCs w:val="21"/>
                <w:highlight w:val="none"/>
              </w:rPr>
              <w:t>（0-</w:t>
            </w:r>
            <w:r>
              <w:rPr>
                <w:rFonts w:ascii="宋体" w:hAnsi="宋体" w:cs="宋体"/>
                <w:color w:val="auto"/>
                <w:szCs w:val="21"/>
                <w:highlight w:val="none"/>
              </w:rPr>
              <w:t>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拟投入资源配备计划</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pStyle w:val="112"/>
              <w:spacing w:line="360" w:lineRule="auto"/>
              <w:ind w:right="-2"/>
              <w:rPr>
                <w:rFonts w:cs="Times New Roman"/>
                <w:color w:val="auto"/>
                <w:kern w:val="2"/>
                <w:sz w:val="21"/>
                <w:szCs w:val="21"/>
                <w:highlight w:val="none"/>
                <w:lang w:eastAsia="zh-CN"/>
              </w:rPr>
            </w:pPr>
            <w:r>
              <w:rPr>
                <w:rFonts w:hint="eastAsia" w:cs="Times New Roman"/>
                <w:color w:val="auto"/>
                <w:kern w:val="2"/>
                <w:sz w:val="21"/>
                <w:szCs w:val="21"/>
                <w:highlight w:val="none"/>
                <w:lang w:eastAsia="zh-CN"/>
              </w:rPr>
              <w:t xml:space="preserve">1.机械：投入计划与进度计划呼应，采用先进机械设备且配置合理、先进，满足安全技术规范和施工进度需要； </w:t>
            </w:r>
          </w:p>
          <w:p>
            <w:pPr>
              <w:pStyle w:val="112"/>
              <w:spacing w:line="360" w:lineRule="auto"/>
              <w:ind w:right="-2"/>
              <w:rPr>
                <w:rFonts w:cs="Times New Roman"/>
                <w:color w:val="auto"/>
                <w:kern w:val="2"/>
                <w:sz w:val="21"/>
                <w:szCs w:val="21"/>
                <w:highlight w:val="none"/>
                <w:lang w:eastAsia="zh-CN"/>
              </w:rPr>
            </w:pPr>
            <w:r>
              <w:rPr>
                <w:rFonts w:hint="eastAsia" w:cs="Times New Roman"/>
                <w:color w:val="auto"/>
                <w:kern w:val="2"/>
                <w:sz w:val="21"/>
                <w:szCs w:val="21"/>
                <w:highlight w:val="none"/>
                <w:lang w:eastAsia="zh-CN"/>
              </w:rPr>
              <w:t>2.劳动力：投入计划与进度计划呼应，较好满足施工需要，调配投入计划合理、准确；</w:t>
            </w:r>
          </w:p>
          <w:p>
            <w:pPr>
              <w:pStyle w:val="112"/>
              <w:spacing w:line="360" w:lineRule="auto"/>
              <w:ind w:right="-2"/>
              <w:rPr>
                <w:rFonts w:cs="Times New Roman"/>
                <w:color w:val="auto"/>
                <w:kern w:val="2"/>
                <w:sz w:val="21"/>
                <w:szCs w:val="21"/>
                <w:highlight w:val="none"/>
                <w:lang w:eastAsia="zh-CN"/>
              </w:rPr>
            </w:pPr>
            <w:r>
              <w:rPr>
                <w:rFonts w:hint="eastAsia" w:cs="Times New Roman"/>
                <w:color w:val="auto"/>
                <w:kern w:val="2"/>
                <w:sz w:val="21"/>
                <w:szCs w:val="21"/>
                <w:highlight w:val="none"/>
                <w:lang w:eastAsia="zh-CN"/>
              </w:rPr>
              <w:t>3.主要物资计划：主要物资投入计划与进度计划呼应，较好满足施工需要，调配投入计划合理、准确。</w:t>
            </w:r>
          </w:p>
          <w:p>
            <w:pPr>
              <w:spacing w:line="360" w:lineRule="auto"/>
              <w:rPr>
                <w:rFonts w:ascii="宋体" w:hAnsi="宋体"/>
                <w:color w:val="auto"/>
                <w:szCs w:val="21"/>
                <w:highlight w:val="none"/>
              </w:rPr>
            </w:pPr>
            <w:r>
              <w:rPr>
                <w:rFonts w:hint="eastAsia" w:ascii="宋体" w:hAnsi="宋体"/>
                <w:color w:val="auto"/>
                <w:szCs w:val="21"/>
                <w:highlight w:val="none"/>
              </w:rPr>
              <w:t>满足以上3条要求（0-2分）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施工进度控制措施计划与方法（施工进度表与网络计划图）</w:t>
            </w:r>
            <w:r>
              <w:rPr>
                <w:rFonts w:hint="eastAsia" w:ascii="宋体" w:hAnsi="宋体" w:cs="宋体"/>
                <w:color w:val="auto"/>
                <w:spacing w:val="-5"/>
                <w:szCs w:val="21"/>
                <w:highlight w:val="none"/>
              </w:rPr>
              <w:t>（1分）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关键线路清晰、准确、完整、计划编制合理、可行、满足招标文件对工期的要求；</w:t>
            </w:r>
            <w:r>
              <w:rPr>
                <w:rFonts w:hint="eastAsia" w:ascii="宋体" w:hAnsi="宋体" w:cs="宋体"/>
                <w:color w:val="auto"/>
                <w:szCs w:val="21"/>
                <w:highlight w:val="none"/>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施工总平面图布置</w:t>
            </w:r>
            <w:r>
              <w:rPr>
                <w:rFonts w:hint="eastAsia" w:ascii="宋体" w:hAnsi="宋体" w:cs="宋体"/>
                <w:color w:val="auto"/>
                <w:spacing w:val="-5"/>
                <w:szCs w:val="21"/>
                <w:highlight w:val="none"/>
              </w:rPr>
              <w:t>（1分）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olor w:val="auto"/>
                <w:szCs w:val="21"/>
                <w:highlight w:val="none"/>
              </w:rPr>
              <w:t>总体布置有针对性、合理、能较好满足施工需要，符合安全、文明施工要求，材料堆放有序。</w:t>
            </w:r>
            <w:r>
              <w:rPr>
                <w:rFonts w:hint="eastAsia" w:ascii="宋体" w:hAnsi="宋体" w:cs="宋体"/>
                <w:color w:val="auto"/>
                <w:szCs w:val="21"/>
                <w:highlight w:val="none"/>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技术创新的应用实施措施</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olor w:val="auto"/>
                <w:szCs w:val="21"/>
                <w:highlight w:val="none"/>
              </w:rPr>
              <w:t>（1）节能减排、（2）绿色施工、（3）工艺创新具有针对性、可行性、经济适用性；</w:t>
            </w:r>
            <w:r>
              <w:rPr>
                <w:rFonts w:hint="eastAsia" w:ascii="宋体" w:hAnsi="宋体" w:cs="宋体"/>
                <w:color w:val="auto"/>
                <w:szCs w:val="21"/>
                <w:highlight w:val="none"/>
              </w:rPr>
              <w:t>满足以上4条要求（0-2分）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采用新工艺、新技术、新设备、新材料、BIM等的程度</w:t>
            </w:r>
            <w:r>
              <w:rPr>
                <w:rFonts w:hint="eastAsia" w:ascii="宋体" w:hAnsi="宋体" w:cs="宋体"/>
                <w:color w:val="auto"/>
                <w:spacing w:val="-5"/>
                <w:szCs w:val="21"/>
                <w:highlight w:val="none"/>
              </w:rPr>
              <w:t>（2分）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采用新工艺、新技术、新设备、新材料、BIM等的程度满足设计要求，符合施工需要和相应技术标准等规定，经济适用；（0-2分）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施工现场实施信息化监控和数据处理</w:t>
            </w:r>
            <w:r>
              <w:rPr>
                <w:rFonts w:hint="eastAsia" w:ascii="宋体" w:hAnsi="宋体" w:cs="宋体"/>
                <w:color w:val="auto"/>
                <w:spacing w:val="-5"/>
                <w:szCs w:val="21"/>
                <w:highlight w:val="none"/>
              </w:rPr>
              <w:t>（1分）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olor w:val="auto"/>
                <w:szCs w:val="21"/>
                <w:highlight w:val="none"/>
              </w:rPr>
              <w:t>施工现场实施信息化监控和数据处理系统布置合理，满足需要；</w:t>
            </w:r>
            <w:r>
              <w:rPr>
                <w:rFonts w:hint="eastAsia" w:ascii="宋体" w:hAnsi="宋体" w:cs="宋体"/>
                <w:color w:val="auto"/>
                <w:szCs w:val="21"/>
                <w:highlight w:val="none"/>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风险管理措施</w:t>
            </w:r>
            <w:r>
              <w:rPr>
                <w:rFonts w:hint="eastAsia" w:ascii="宋体" w:hAnsi="宋体" w:cs="宋体"/>
                <w:color w:val="auto"/>
                <w:spacing w:val="-5"/>
                <w:szCs w:val="21"/>
                <w:highlight w:val="none"/>
              </w:rPr>
              <w:t>（1分）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风险防控管理措施齐全，风险预控符合规范要求，风险控制要点定位准确，各阶段风险控制及应急措施得力；</w:t>
            </w:r>
            <w:r>
              <w:rPr>
                <w:rFonts w:hint="eastAsia" w:ascii="宋体" w:hAnsi="宋体" w:cs="宋体"/>
                <w:color w:val="auto"/>
                <w:szCs w:val="21"/>
                <w:highlight w:val="none"/>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采购工作的总体安排与资源配置（2分）  </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采购工作的总体安排与资源配置合理、可行（0-2分）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采购进度计划控制措施（2分）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采购进度计划控制措施合理且有针对性（0-2分）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采购过程的质量监督与控制（1分）</w:t>
            </w:r>
          </w:p>
        </w:tc>
        <w:tc>
          <w:tcPr>
            <w:tcW w:w="558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采购过程的质量监督与控制合理、可行（0-1分）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72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注：以上各分项若有缺项，该分项为0分。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846"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（3）</w:t>
            </w:r>
          </w:p>
        </w:tc>
        <w:tc>
          <w:tcPr>
            <w:tcW w:w="1701" w:type="dxa"/>
            <w:vMerge w:val="restart"/>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其它评分因素</w:t>
            </w:r>
          </w:p>
          <w:p>
            <w:pPr>
              <w:spacing w:line="360" w:lineRule="auto"/>
              <w:jc w:val="center"/>
              <w:rPr>
                <w:rFonts w:ascii="宋体" w:hAnsi="宋体"/>
                <w:color w:val="auto"/>
                <w:szCs w:val="21"/>
                <w:highlight w:val="none"/>
              </w:rPr>
            </w:pPr>
            <w:r>
              <w:rPr>
                <w:rFonts w:hint="eastAsia" w:ascii="宋体" w:hAnsi="宋体"/>
                <w:color w:val="auto"/>
                <w:szCs w:val="21"/>
                <w:highlight w:val="none"/>
              </w:rPr>
              <w:t>（25分）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业绩要求</w:t>
            </w:r>
          </w:p>
          <w:p>
            <w:pPr>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400" w:firstLineChars="200"/>
              <w:rPr>
                <w:color w:val="auto"/>
                <w:sz w:val="20"/>
                <w:szCs w:val="20"/>
                <w:highlight w:val="none"/>
                <w:lang w:bidi="hi-IN"/>
              </w:rPr>
            </w:pPr>
            <w:r>
              <w:rPr>
                <w:rFonts w:hint="eastAsia"/>
                <w:color w:val="auto"/>
                <w:sz w:val="20"/>
                <w:szCs w:val="20"/>
                <w:highlight w:val="none"/>
                <w:lang w:bidi="hi-IN"/>
              </w:rPr>
              <w:t>投标人自2020年1月1日以来承接过类似规模EPC总承包项目业绩的，每提供一个得2分，最多得10分。须提供中标通知书、合同协议书扫描件及网上中标公示截图。</w:t>
            </w:r>
          </w:p>
          <w:p>
            <w:pPr>
              <w:spacing w:line="360" w:lineRule="auto"/>
              <w:rPr>
                <w:rFonts w:ascii="宋体" w:hAnsi="宋体"/>
                <w:color w:val="auto"/>
                <w:szCs w:val="21"/>
                <w:highlight w:val="none"/>
              </w:rPr>
            </w:pPr>
            <w:r>
              <w:rPr>
                <w:rFonts w:hint="eastAsia" w:ascii="宋体" w:hAnsi="宋体" w:cs="宋体"/>
                <w:color w:val="auto"/>
                <w:highlight w:val="none"/>
              </w:rPr>
              <w:t>（若为联合体投标，联合体牵头人提供，投标文件中附彩色扫描件）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right w:val="single" w:color="auto" w:sz="4" w:space="0"/>
            </w:tcBorders>
            <w:vAlign w:val="center"/>
          </w:tcPr>
          <w:p>
            <w:pPr>
              <w:pStyle w:val="2"/>
              <w:spacing w:line="360" w:lineRule="auto"/>
              <w:jc w:val="center"/>
              <w:rPr>
                <w:color w:val="auto"/>
                <w:sz w:val="20"/>
                <w:szCs w:val="20"/>
                <w:highlight w:val="none"/>
                <w:lang w:bidi="hi-IN"/>
              </w:rPr>
            </w:pPr>
            <w:r>
              <w:rPr>
                <w:rFonts w:hint="eastAsia"/>
                <w:color w:val="auto"/>
                <w:sz w:val="20"/>
                <w:szCs w:val="20"/>
                <w:highlight w:val="none"/>
                <w:lang w:bidi="hi-IN"/>
              </w:rPr>
              <w:t>企业荣誉（3分）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200" w:firstLineChars="100"/>
              <w:rPr>
                <w:color w:val="auto"/>
                <w:sz w:val="20"/>
                <w:szCs w:val="20"/>
                <w:highlight w:val="none"/>
                <w:lang w:bidi="hi-IN"/>
              </w:rPr>
            </w:pPr>
            <w:r>
              <w:rPr>
                <w:rFonts w:hint="eastAsia"/>
                <w:color w:val="auto"/>
                <w:sz w:val="20"/>
                <w:szCs w:val="20"/>
                <w:highlight w:val="none"/>
                <w:lang w:bidi="hi-IN"/>
              </w:rPr>
              <w:t>近三年以来，企业获得国家鲁班奖、国家优质工程奖的，每有一项得1分，此项最多得2分；获得省级工程质量奖、安全文明工地奖的，每有一项得0.5分，此项最多得1分；本项最高得3分。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6"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项目管理机构</w:t>
            </w:r>
          </w:p>
          <w:p>
            <w:pPr>
              <w:spacing w:line="360" w:lineRule="auto"/>
              <w:jc w:val="center"/>
              <w:rPr>
                <w:rFonts w:ascii="宋体" w:hAnsi="宋体"/>
                <w:color w:val="auto"/>
                <w:szCs w:val="21"/>
                <w:highlight w:val="none"/>
              </w:rPr>
            </w:pPr>
            <w:r>
              <w:rPr>
                <w:rFonts w:hint="eastAsia" w:ascii="宋体" w:hAnsi="宋体"/>
                <w:color w:val="auto"/>
                <w:szCs w:val="21"/>
                <w:highlight w:val="none"/>
              </w:rPr>
              <w:t>（5分）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 xml:space="preserve"> 设计团队（2分）</w:t>
            </w:r>
          </w:p>
          <w:p>
            <w:pPr>
              <w:spacing w:line="360" w:lineRule="auto"/>
              <w:rPr>
                <w:rFonts w:hAnsi="宋体" w:cs="宋体"/>
                <w:color w:val="auto"/>
                <w:szCs w:val="21"/>
                <w:highlight w:val="none"/>
              </w:rPr>
            </w:pPr>
            <w:r>
              <w:rPr>
                <w:rFonts w:hint="eastAsia" w:hAnsi="宋体" w:cs="宋体"/>
                <w:color w:val="auto"/>
                <w:szCs w:val="21"/>
                <w:highlight w:val="none"/>
              </w:rPr>
              <w:t xml:space="preserve">投标人（若为联合体投标，则为成员中的设计方）除项目设计负责人外项目组成员配备有给排水、结构、电气、暖通、造价专业高级技术职称或者注册证的，得2分，每缺一个专业扣0.5分，本项最多得2分。（投标文件中须附加盖公章的职称证或注册证原件扫描件，否则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6"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rPr>
                <w:rFonts w:ascii="宋体" w:hAnsi="宋体"/>
                <w:color w:val="auto"/>
                <w:szCs w:val="21"/>
                <w:highlight w:val="none"/>
              </w:rPr>
            </w:pP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施工专业负责人（3分）</w:t>
            </w:r>
          </w:p>
          <w:p>
            <w:pPr>
              <w:spacing w:line="360" w:lineRule="auto"/>
              <w:rPr>
                <w:rFonts w:hAnsi="宋体" w:cs="宋体"/>
                <w:color w:val="auto"/>
                <w:szCs w:val="21"/>
                <w:highlight w:val="none"/>
              </w:rPr>
            </w:pPr>
            <w:r>
              <w:rPr>
                <w:rFonts w:hint="eastAsia" w:ascii="宋体" w:hAnsi="宋体" w:cs="宋体"/>
                <w:color w:val="auto"/>
                <w:szCs w:val="21"/>
                <w:highlight w:val="none"/>
              </w:rPr>
              <w:t>拟派建筑施工管理机构人员组成，满足本工程的管理要求和需要， 并配备有施工员、质量员、安全员、材料员、资料员、取（送）样员，以上人员配备齐全的得3分，每缺一个人员扣0.5分，扣完为止。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服务承诺</w:t>
            </w:r>
          </w:p>
          <w:p>
            <w:pPr>
              <w:spacing w:line="360" w:lineRule="auto"/>
              <w:jc w:val="center"/>
              <w:rPr>
                <w:rFonts w:ascii="宋体" w:hAnsi="宋体"/>
                <w:color w:val="auto"/>
                <w:szCs w:val="21"/>
                <w:highlight w:val="none"/>
              </w:rPr>
            </w:pPr>
            <w:r>
              <w:rPr>
                <w:rFonts w:ascii="宋体" w:hAnsi="宋体"/>
                <w:color w:val="auto"/>
                <w:szCs w:val="21"/>
                <w:highlight w:val="none"/>
              </w:rPr>
              <w:t>评分标准</w:t>
            </w:r>
          </w:p>
          <w:p>
            <w:pPr>
              <w:pStyle w:val="22"/>
              <w:tabs>
                <w:tab w:val="left" w:pos="5890"/>
                <w:tab w:val="left" w:leader="middleDot" w:pos="8108"/>
              </w:tabs>
              <w:spacing w:line="360" w:lineRule="auto"/>
              <w:jc w:val="center"/>
              <w:rPr>
                <w:color w:val="auto"/>
                <w:highlight w:val="none"/>
              </w:rPr>
            </w:pPr>
            <w:r>
              <w:rPr>
                <w:rFonts w:hint="eastAsia"/>
                <w:color w:val="auto"/>
                <w:highlight w:val="none"/>
              </w:rPr>
              <w:t>（7分）</w:t>
            </w: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投标人针对工程的特点和要求，结合自身的条件和潜力，有利于安全文明施工，有利于提高工程质量，加快工程进度和保证工期等承诺</w:t>
            </w:r>
            <w:r>
              <w:rPr>
                <w:rFonts w:hint="eastAsia" w:ascii="宋体" w:hAnsi="宋体"/>
                <w:color w:val="auto"/>
                <w:szCs w:val="21"/>
                <w:highlight w:val="none"/>
              </w:rPr>
              <w:t>。0-</w:t>
            </w:r>
            <w:r>
              <w:rPr>
                <w:rFonts w:ascii="宋体" w:hAnsi="宋体"/>
                <w:color w:val="auto"/>
                <w:szCs w:val="21"/>
                <w:highlight w:val="none"/>
              </w:rPr>
              <w:t>3</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top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top w:val="single" w:color="auto" w:sz="4" w:space="0"/>
              <w:left w:val="single" w:color="auto" w:sz="4" w:space="0"/>
              <w:right w:val="single" w:color="auto" w:sz="4" w:space="0"/>
            </w:tcBorders>
            <w:vAlign w:val="center"/>
          </w:tcPr>
          <w:p>
            <w:pPr>
              <w:pStyle w:val="22"/>
              <w:tabs>
                <w:tab w:val="left" w:pos="5890"/>
                <w:tab w:val="left" w:leader="middleDot" w:pos="8108"/>
              </w:tabs>
              <w:spacing w:line="360" w:lineRule="auto"/>
              <w:jc w:val="center"/>
              <w:rPr>
                <w:color w:val="auto"/>
                <w:highlight w:val="none"/>
              </w:rPr>
            </w:pP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在施工期间不拖欠农民工工资，有支付农民工工资专项保证金，并有违背承诺时的自罚措施；以及在交工后回访、工程质量保修期内、外的优惠及具体实质性的服务承诺</w:t>
            </w:r>
            <w:r>
              <w:rPr>
                <w:rFonts w:hint="eastAsia" w:ascii="宋体" w:hAnsi="宋体"/>
                <w:color w:val="auto"/>
                <w:szCs w:val="21"/>
                <w:highlight w:val="none"/>
              </w:rPr>
              <w:t>。0-</w:t>
            </w:r>
            <w:r>
              <w:rPr>
                <w:rFonts w:ascii="宋体" w:hAnsi="宋体"/>
                <w:color w:val="auto"/>
                <w:szCs w:val="21"/>
                <w:highlight w:val="none"/>
              </w:rPr>
              <w:t>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pStyle w:val="22"/>
              <w:tabs>
                <w:tab w:val="left" w:pos="5890"/>
                <w:tab w:val="left" w:leader="middleDot" w:pos="8108"/>
              </w:tabs>
              <w:spacing w:line="360" w:lineRule="auto"/>
              <w:jc w:val="center"/>
              <w:rPr>
                <w:color w:val="auto"/>
                <w:highlight w:val="none"/>
              </w:rPr>
            </w:pP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 xml:space="preserve">3）承诺替甲方排忧解难，协调周边关系。          </w:t>
            </w:r>
            <w:r>
              <w:rPr>
                <w:rFonts w:ascii="宋体" w:hAnsi="宋体" w:cs="宋体"/>
                <w:color w:val="auto"/>
                <w:szCs w:val="21"/>
                <w:highlight w:val="none"/>
              </w:rPr>
              <w:t xml:space="preserve">     </w:t>
            </w:r>
            <w:r>
              <w:rPr>
                <w:rFonts w:hint="eastAsia" w:ascii="宋体" w:hAnsi="宋体" w:cs="宋体"/>
                <w:color w:val="auto"/>
                <w:szCs w:val="21"/>
                <w:highlight w:val="none"/>
              </w:rPr>
              <w:t xml:space="preserve">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846"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right w:val="single" w:color="auto" w:sz="4" w:space="0"/>
            </w:tcBorders>
            <w:vAlign w:val="center"/>
          </w:tcPr>
          <w:p>
            <w:pPr>
              <w:spacing w:line="360" w:lineRule="auto"/>
              <w:jc w:val="center"/>
              <w:rPr>
                <w:rFonts w:ascii="宋体" w:hAnsi="宋体"/>
                <w:color w:val="auto"/>
                <w:szCs w:val="21"/>
                <w:highlight w:val="none"/>
              </w:rPr>
            </w:pPr>
          </w:p>
        </w:tc>
        <w:tc>
          <w:tcPr>
            <w:tcW w:w="1701" w:type="dxa"/>
            <w:vMerge w:val="continue"/>
            <w:tcBorders>
              <w:left w:val="single" w:color="auto" w:sz="4" w:space="0"/>
              <w:right w:val="single" w:color="auto" w:sz="4" w:space="0"/>
            </w:tcBorders>
            <w:vAlign w:val="center"/>
          </w:tcPr>
          <w:p>
            <w:pPr>
              <w:pStyle w:val="22"/>
              <w:tabs>
                <w:tab w:val="left" w:pos="5890"/>
                <w:tab w:val="left" w:leader="middleDot" w:pos="8108"/>
              </w:tabs>
              <w:spacing w:line="360" w:lineRule="auto"/>
              <w:jc w:val="center"/>
              <w:rPr>
                <w:color w:val="auto"/>
                <w:highlight w:val="none"/>
              </w:rPr>
            </w:pPr>
          </w:p>
        </w:tc>
        <w:tc>
          <w:tcPr>
            <w:tcW w:w="55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（4）针对本项目特点，投标人对拟派项目机构人员配备情况最大程度满足本项目要求作出承诺。 0-</w:t>
            </w:r>
            <w:r>
              <w:rPr>
                <w:rFonts w:ascii="宋体" w:hAnsi="宋体"/>
                <w:color w:val="auto"/>
                <w:szCs w:val="21"/>
                <w:highlight w:val="none"/>
              </w:rPr>
              <w:t>1</w:t>
            </w:r>
            <w:r>
              <w:rPr>
                <w:rFonts w:hint="eastAsia" w:ascii="宋体" w:hAnsi="宋体"/>
                <w:color w:val="auto"/>
                <w:szCs w:val="21"/>
                <w:highlight w:val="none"/>
              </w:rPr>
              <w:t xml:space="preserve">分   </w:t>
            </w:r>
          </w:p>
        </w:tc>
      </w:tr>
    </w:tbl>
    <w:p>
      <w:pPr>
        <w:spacing w:line="360" w:lineRule="auto"/>
        <w:rPr>
          <w:rFonts w:ascii="宋体" w:hAnsi="宋体" w:cs="宋体"/>
          <w:b/>
          <w:color w:val="auto"/>
          <w:kern w:val="0"/>
          <w:sz w:val="24"/>
          <w:highlight w:val="none"/>
        </w:rPr>
      </w:pPr>
      <w:r>
        <w:rPr>
          <w:rFonts w:hint="eastAsia" w:ascii="宋体" w:hAnsi="宋体" w:cs="仿宋_GB2312"/>
          <w:b/>
          <w:color w:val="auto"/>
          <w:kern w:val="0"/>
          <w:szCs w:val="21"/>
          <w:highlight w:val="none"/>
        </w:rPr>
        <w:t>注：本办法计算过程中分值按四舍五入保留两位小数。以上评分项若缺项，此小项得分为0分。</w:t>
      </w:r>
    </w:p>
    <w:bookmarkEnd w:id="833"/>
    <w:bookmarkEnd w:id="834"/>
    <w:bookmarkEnd w:id="835"/>
    <w:bookmarkEnd w:id="836"/>
    <w:bookmarkEnd w:id="837"/>
    <w:bookmarkEnd w:id="838"/>
    <w:p>
      <w:pPr>
        <w:widowControl/>
        <w:jc w:val="left"/>
        <w:rPr>
          <w:rFonts w:ascii="宋体" w:hAnsi="宋体"/>
          <w:b/>
          <w:bCs/>
          <w:color w:val="auto"/>
          <w:sz w:val="32"/>
          <w:szCs w:val="32"/>
          <w:highlight w:val="none"/>
        </w:rPr>
      </w:pPr>
      <w:bookmarkStart w:id="847" w:name="_Toc119856073"/>
      <w:bookmarkStart w:id="848" w:name="_Toc15292"/>
      <w:bookmarkStart w:id="849" w:name="_Toc6782"/>
      <w:bookmarkStart w:id="850" w:name="_Toc9"/>
      <w:r>
        <w:rPr>
          <w:rFonts w:ascii="宋体" w:hAnsi="宋体"/>
          <w:color w:val="auto"/>
          <w:highlight w:val="none"/>
        </w:rPr>
        <w:br w:type="page"/>
      </w:r>
    </w:p>
    <w:p>
      <w:pPr>
        <w:pStyle w:val="4"/>
        <w:spacing w:before="120" w:after="480" w:line="360" w:lineRule="auto"/>
        <w:jc w:val="left"/>
        <w:rPr>
          <w:rFonts w:ascii="宋体" w:hAnsi="宋体" w:eastAsia="宋体"/>
          <w:color w:val="auto"/>
          <w:highlight w:val="none"/>
        </w:rPr>
      </w:pPr>
      <w:bookmarkStart w:id="851" w:name="_Toc16780"/>
      <w:r>
        <w:rPr>
          <w:rFonts w:hint="eastAsia" w:ascii="宋体" w:hAnsi="宋体" w:eastAsia="宋体"/>
          <w:color w:val="auto"/>
          <w:highlight w:val="none"/>
        </w:rPr>
        <w:t>1. 评标方法</w:t>
      </w:r>
      <w:bookmarkEnd w:id="839"/>
      <w:bookmarkEnd w:id="840"/>
      <w:bookmarkEnd w:id="841"/>
      <w:bookmarkEnd w:id="842"/>
      <w:bookmarkEnd w:id="843"/>
      <w:bookmarkEnd w:id="844"/>
      <w:bookmarkEnd w:id="847"/>
      <w:bookmarkEnd w:id="848"/>
      <w:bookmarkEnd w:id="849"/>
      <w:bookmarkEnd w:id="850"/>
      <w:bookmarkEnd w:id="85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4"/>
        <w:spacing w:line="360" w:lineRule="auto"/>
        <w:rPr>
          <w:rFonts w:ascii="宋体" w:hAnsi="宋体" w:eastAsia="宋体"/>
          <w:color w:val="auto"/>
          <w:highlight w:val="none"/>
        </w:rPr>
      </w:pPr>
      <w:bookmarkStart w:id="852" w:name="_Toc247527626"/>
      <w:bookmarkStart w:id="853" w:name="_Toc247514025"/>
      <w:bookmarkStart w:id="854" w:name="_Toc12618"/>
      <w:bookmarkStart w:id="855" w:name="_Toc434565197"/>
      <w:bookmarkStart w:id="856" w:name="_Toc9037"/>
      <w:bookmarkStart w:id="857" w:name="_Toc144974568"/>
      <w:bookmarkStart w:id="858" w:name="_Toc119856074"/>
      <w:bookmarkStart w:id="859" w:name="_Toc152042378"/>
      <w:bookmarkStart w:id="860" w:name="_Toc10928"/>
      <w:bookmarkStart w:id="861" w:name="_Toc152045601"/>
      <w:bookmarkStart w:id="862" w:name="_Toc9585"/>
      <w:r>
        <w:rPr>
          <w:rFonts w:hint="eastAsia" w:ascii="宋体" w:hAnsi="宋体" w:eastAsia="宋体"/>
          <w:color w:val="auto"/>
          <w:highlight w:val="none"/>
        </w:rPr>
        <w:t>2. 评审标准</w:t>
      </w:r>
      <w:bookmarkEnd w:id="852"/>
      <w:bookmarkEnd w:id="853"/>
      <w:bookmarkEnd w:id="854"/>
      <w:bookmarkEnd w:id="855"/>
      <w:bookmarkEnd w:id="856"/>
      <w:bookmarkEnd w:id="857"/>
      <w:bookmarkEnd w:id="858"/>
      <w:bookmarkEnd w:id="859"/>
      <w:bookmarkEnd w:id="860"/>
      <w:bookmarkEnd w:id="861"/>
      <w:bookmarkEnd w:id="862"/>
    </w:p>
    <w:p>
      <w:pPr>
        <w:pStyle w:val="5"/>
        <w:spacing w:line="360" w:lineRule="auto"/>
        <w:rPr>
          <w:rFonts w:ascii="宋体" w:eastAsia="宋体"/>
          <w:color w:val="auto"/>
          <w:highlight w:val="none"/>
        </w:rPr>
      </w:pPr>
      <w:bookmarkStart w:id="863" w:name="_Toc434565198"/>
      <w:bookmarkStart w:id="864" w:name="_Toc247514026"/>
      <w:bookmarkStart w:id="865" w:name="_Toc152042379"/>
      <w:bookmarkStart w:id="866" w:name="_Toc3531"/>
      <w:bookmarkStart w:id="867" w:name="_Toc28505"/>
      <w:bookmarkStart w:id="868" w:name="_Toc247527627"/>
      <w:bookmarkStart w:id="869" w:name="_Toc144974569"/>
      <w:bookmarkStart w:id="870" w:name="_Toc18509"/>
      <w:bookmarkStart w:id="871" w:name="_Toc119856075"/>
      <w:bookmarkStart w:id="872" w:name="_Toc66975112"/>
      <w:bookmarkStart w:id="873" w:name="_Toc152045602"/>
      <w:bookmarkStart w:id="874" w:name="_Toc11304"/>
      <w:bookmarkStart w:id="875" w:name="_Toc54803445"/>
      <w:bookmarkStart w:id="876" w:name="_Toc62586971"/>
      <w:bookmarkStart w:id="877" w:name="_Toc24439"/>
      <w:r>
        <w:rPr>
          <w:rFonts w:hint="eastAsia" w:ascii="宋体" w:eastAsia="宋体"/>
          <w:color w:val="auto"/>
          <w:highlight w:val="none"/>
        </w:rPr>
        <w:t>2.1 初步评审标准</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spacing w:line="360" w:lineRule="auto"/>
        <w:ind w:firstLine="420" w:firstLineChars="200"/>
        <w:rPr>
          <w:rFonts w:ascii="宋体" w:hAnsi="宋体"/>
          <w:color w:val="auto"/>
          <w:highlight w:val="none"/>
        </w:rPr>
      </w:pPr>
      <w:r>
        <w:rPr>
          <w:rFonts w:hint="eastAsia" w:ascii="宋体" w:hAnsi="宋体"/>
          <w:color w:val="auto"/>
          <w:highlight w:val="none"/>
        </w:rPr>
        <w:t>2.1.1 形式评审标准：见评标办法前附表。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2.1.2 资格评审标准：见评标办法前附表。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2.1.3 响应性评审标准：见评标办法前附表。</w:t>
      </w:r>
    </w:p>
    <w:p>
      <w:pPr>
        <w:pStyle w:val="5"/>
        <w:spacing w:line="360" w:lineRule="auto"/>
        <w:rPr>
          <w:rFonts w:ascii="宋体" w:eastAsia="宋体"/>
          <w:color w:val="auto"/>
          <w:highlight w:val="none"/>
        </w:rPr>
      </w:pPr>
      <w:bookmarkStart w:id="878" w:name="_Toc66975113"/>
      <w:bookmarkStart w:id="879" w:name="_Toc1210"/>
      <w:bookmarkStart w:id="880" w:name="_Toc152045603"/>
      <w:bookmarkStart w:id="881" w:name="_Toc54803446"/>
      <w:bookmarkStart w:id="882" w:name="_Toc247527628"/>
      <w:bookmarkStart w:id="883" w:name="_Toc62586972"/>
      <w:bookmarkStart w:id="884" w:name="_Toc5994"/>
      <w:bookmarkStart w:id="885" w:name="_Toc247514027"/>
      <w:bookmarkStart w:id="886" w:name="_Toc14271"/>
      <w:bookmarkStart w:id="887" w:name="_Toc144974570"/>
      <w:bookmarkStart w:id="888" w:name="_Toc23536"/>
      <w:bookmarkStart w:id="889" w:name="_Toc119856076"/>
      <w:bookmarkStart w:id="890" w:name="_Toc434565199"/>
      <w:bookmarkStart w:id="891" w:name="_Toc152042380"/>
      <w:bookmarkStart w:id="892" w:name="_Toc11893"/>
      <w:r>
        <w:rPr>
          <w:rFonts w:hint="eastAsia" w:ascii="宋体" w:eastAsia="宋体"/>
          <w:color w:val="auto"/>
          <w:highlight w:val="none"/>
        </w:rPr>
        <w:t>2.2 分值构成与评分标准</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spacing w:line="360" w:lineRule="auto"/>
        <w:ind w:firstLine="420" w:firstLineChars="200"/>
        <w:rPr>
          <w:rFonts w:ascii="宋体" w:hAnsi="宋体"/>
          <w:color w:val="auto"/>
          <w:highlight w:val="none"/>
        </w:rPr>
      </w:pPr>
      <w:r>
        <w:rPr>
          <w:rFonts w:hint="eastAsia" w:ascii="宋体" w:hAnsi="宋体"/>
          <w:color w:val="auto"/>
          <w:highlight w:val="none"/>
        </w:rPr>
        <w:t>2.2.1 分值构成</w:t>
      </w:r>
    </w:p>
    <w:p>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投标报价</w:t>
      </w:r>
      <w:r>
        <w:rPr>
          <w:rFonts w:hint="eastAsia" w:ascii="宋体" w:hAnsi="宋体"/>
          <w:color w:val="auto"/>
          <w:highlight w:val="none"/>
        </w:rPr>
        <w:t>：见评标办法前附表；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技术部分</w:t>
      </w:r>
      <w:r>
        <w:rPr>
          <w:rFonts w:hint="eastAsia" w:ascii="宋体" w:hAnsi="宋体"/>
          <w:color w:val="auto"/>
          <w:highlight w:val="none"/>
        </w:rPr>
        <w:t>：见评标办法前附表；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（3）其他评分因素</w:t>
      </w:r>
      <w:r>
        <w:rPr>
          <w:rFonts w:ascii="宋体" w:hAnsi="宋体"/>
          <w:color w:val="auto"/>
          <w:highlight w:val="none"/>
        </w:rPr>
        <w:t>：</w:t>
      </w:r>
      <w:r>
        <w:rPr>
          <w:rFonts w:hint="eastAsia" w:ascii="宋体" w:hAnsi="宋体"/>
          <w:color w:val="auto"/>
          <w:highlight w:val="none"/>
        </w:rPr>
        <w:t>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2.2.2 </w:t>
      </w:r>
      <w:r>
        <w:rPr>
          <w:rFonts w:ascii="宋体" w:hAnsi="宋体"/>
          <w:color w:val="auto"/>
          <w:szCs w:val="21"/>
          <w:highlight w:val="none"/>
        </w:rPr>
        <w:t>评标基准</w:t>
      </w:r>
      <w:r>
        <w:rPr>
          <w:rFonts w:hint="eastAsia" w:ascii="宋体" w:hAnsi="宋体"/>
          <w:color w:val="auto"/>
          <w:szCs w:val="21"/>
          <w:highlight w:val="none"/>
        </w:rPr>
        <w:t>价</w:t>
      </w:r>
      <w:r>
        <w:rPr>
          <w:rFonts w:hint="eastAsia" w:ascii="宋体" w:hAnsi="宋体"/>
          <w:color w:val="auto"/>
          <w:highlight w:val="none"/>
        </w:rPr>
        <w:t>计算:</w:t>
      </w:r>
    </w:p>
    <w:p>
      <w:pPr>
        <w:spacing w:line="360" w:lineRule="auto"/>
        <w:ind w:firstLine="630" w:firstLineChars="300"/>
        <w:rPr>
          <w:rFonts w:ascii="宋体" w:hAnsi="宋体"/>
          <w:color w:val="auto"/>
          <w:highlight w:val="none"/>
        </w:rPr>
      </w:pPr>
      <w:r>
        <w:rPr>
          <w:rFonts w:ascii="宋体" w:hAnsi="宋体"/>
          <w:color w:val="auto"/>
          <w:szCs w:val="21"/>
          <w:highlight w:val="none"/>
        </w:rPr>
        <w:t>评标基准</w:t>
      </w:r>
      <w:r>
        <w:rPr>
          <w:rFonts w:hint="eastAsia" w:ascii="宋体" w:hAnsi="宋体"/>
          <w:color w:val="auto"/>
          <w:szCs w:val="21"/>
          <w:highlight w:val="none"/>
        </w:rPr>
        <w:t>价</w:t>
      </w:r>
      <w:r>
        <w:rPr>
          <w:rFonts w:hint="eastAsia" w:ascii="宋体" w:hAnsi="宋体"/>
          <w:color w:val="auto"/>
          <w:highlight w:val="none"/>
        </w:rPr>
        <w:t>计算方法：见评标办法前附表。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2.2.3 </w:t>
      </w:r>
      <w:r>
        <w:rPr>
          <w:rFonts w:ascii="宋体" w:hAnsi="宋体"/>
          <w:color w:val="auto"/>
          <w:szCs w:val="21"/>
          <w:highlight w:val="none"/>
        </w:rPr>
        <w:t>投标</w:t>
      </w:r>
      <w:r>
        <w:rPr>
          <w:rFonts w:hint="eastAsia" w:ascii="宋体" w:hAnsi="宋体"/>
          <w:color w:val="auto"/>
          <w:szCs w:val="21"/>
          <w:highlight w:val="none"/>
        </w:rPr>
        <w:t>报价</w:t>
      </w:r>
      <w:r>
        <w:rPr>
          <w:rFonts w:hint="eastAsia" w:ascii="宋体" w:hAnsi="宋体"/>
          <w:color w:val="auto"/>
          <w:highlight w:val="none"/>
        </w:rPr>
        <w:t>的偏差率计算</w:t>
      </w:r>
    </w:p>
    <w:p>
      <w:pPr>
        <w:spacing w:line="360" w:lineRule="auto"/>
        <w:ind w:firstLine="630" w:firstLineChars="300"/>
        <w:rPr>
          <w:rFonts w:ascii="宋体" w:hAnsi="宋体"/>
          <w:color w:val="auto"/>
          <w:highlight w:val="none"/>
        </w:rPr>
      </w:pPr>
      <w:r>
        <w:rPr>
          <w:rFonts w:ascii="宋体" w:hAnsi="宋体"/>
          <w:color w:val="auto"/>
          <w:szCs w:val="21"/>
          <w:highlight w:val="none"/>
        </w:rPr>
        <w:t>投标</w:t>
      </w:r>
      <w:r>
        <w:rPr>
          <w:rFonts w:hint="eastAsia" w:ascii="宋体" w:hAnsi="宋体"/>
          <w:color w:val="auto"/>
          <w:szCs w:val="21"/>
          <w:highlight w:val="none"/>
        </w:rPr>
        <w:t>报价</w:t>
      </w:r>
      <w:r>
        <w:rPr>
          <w:rFonts w:hint="eastAsia" w:ascii="宋体" w:hAnsi="宋体"/>
          <w:color w:val="auto"/>
          <w:highlight w:val="none"/>
        </w:rPr>
        <w:t>的偏差率计算公式：见评标办法前附表。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2.2.4 评分标准</w:t>
      </w:r>
    </w:p>
    <w:p>
      <w:pPr>
        <w:spacing w:line="360" w:lineRule="auto"/>
        <w:ind w:firstLine="420" w:firstLineChars="200"/>
        <w:rPr>
          <w:rFonts w:ascii="宋体" w:hAnsi="宋体"/>
          <w:color w:val="auto"/>
          <w:highlight w:val="none"/>
        </w:rPr>
      </w:pPr>
      <w:bookmarkStart w:id="893" w:name="_Toc152045604"/>
      <w:bookmarkStart w:id="894" w:name="_Toc247514028"/>
      <w:bookmarkStart w:id="895" w:name="_Toc144974571"/>
      <w:bookmarkStart w:id="896" w:name="_Toc247527629"/>
      <w:bookmarkStart w:id="897" w:name="_Toc152042381"/>
      <w:r>
        <w:rPr>
          <w:rFonts w:hint="eastAsia" w:ascii="宋体" w:hAnsi="宋体"/>
          <w:color w:val="auto"/>
          <w:highlight w:val="none"/>
        </w:rPr>
        <w:t>（1）</w:t>
      </w:r>
      <w:r>
        <w:rPr>
          <w:rFonts w:hint="eastAsia" w:ascii="宋体" w:hAnsi="宋体"/>
          <w:color w:val="auto"/>
          <w:szCs w:val="21"/>
          <w:highlight w:val="none"/>
        </w:rPr>
        <w:t>投标报价</w:t>
      </w:r>
      <w:r>
        <w:rPr>
          <w:rFonts w:hint="eastAsia" w:ascii="宋体" w:hAnsi="宋体"/>
          <w:color w:val="auto"/>
          <w:highlight w:val="none"/>
        </w:rPr>
        <w:t>：见评标办法前附表；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技术部分</w:t>
      </w:r>
      <w:r>
        <w:rPr>
          <w:rFonts w:hint="eastAsia" w:ascii="宋体" w:hAnsi="宋体"/>
          <w:color w:val="auto"/>
          <w:highlight w:val="none"/>
        </w:rPr>
        <w:t>：见评标办法前附表；</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（3）其他评分因素</w:t>
      </w:r>
      <w:r>
        <w:rPr>
          <w:rFonts w:ascii="宋体" w:hAnsi="宋体"/>
          <w:color w:val="auto"/>
          <w:highlight w:val="none"/>
        </w:rPr>
        <w:t>：</w:t>
      </w:r>
      <w:r>
        <w:rPr>
          <w:rFonts w:hint="eastAsia" w:ascii="宋体" w:hAnsi="宋体"/>
          <w:color w:val="auto"/>
          <w:highlight w:val="none"/>
        </w:rPr>
        <w:t>见评标办法前附表。</w:t>
      </w:r>
    </w:p>
    <w:p>
      <w:pPr>
        <w:pStyle w:val="4"/>
        <w:spacing w:line="360" w:lineRule="auto"/>
        <w:rPr>
          <w:rFonts w:ascii="宋体" w:hAnsi="宋体" w:eastAsia="宋体"/>
          <w:color w:val="auto"/>
          <w:highlight w:val="none"/>
        </w:rPr>
      </w:pPr>
      <w:bookmarkStart w:id="898" w:name="_Toc27346"/>
      <w:bookmarkStart w:id="899" w:name="_Toc434565200"/>
      <w:bookmarkStart w:id="900" w:name="_Toc31006"/>
      <w:bookmarkStart w:id="901" w:name="_Toc6133"/>
      <w:bookmarkStart w:id="902" w:name="_Toc119856077"/>
      <w:bookmarkStart w:id="903" w:name="_Toc32702"/>
      <w:r>
        <w:rPr>
          <w:rFonts w:hint="eastAsia" w:ascii="宋体" w:hAnsi="宋体" w:eastAsia="宋体"/>
          <w:color w:val="auto"/>
          <w:highlight w:val="none"/>
        </w:rPr>
        <w:t>3. 评标程序</w:t>
      </w:r>
      <w:bookmarkEnd w:id="893"/>
      <w:bookmarkEnd w:id="894"/>
      <w:bookmarkEnd w:id="895"/>
      <w:bookmarkEnd w:id="896"/>
      <w:bookmarkEnd w:id="897"/>
      <w:bookmarkEnd w:id="898"/>
      <w:bookmarkEnd w:id="899"/>
      <w:bookmarkEnd w:id="900"/>
      <w:bookmarkEnd w:id="901"/>
      <w:bookmarkEnd w:id="902"/>
      <w:bookmarkEnd w:id="903"/>
    </w:p>
    <w:p>
      <w:pPr>
        <w:pStyle w:val="5"/>
        <w:spacing w:line="360" w:lineRule="auto"/>
        <w:rPr>
          <w:rFonts w:ascii="宋体" w:eastAsia="宋体"/>
          <w:color w:val="auto"/>
          <w:highlight w:val="none"/>
        </w:rPr>
      </w:pPr>
      <w:bookmarkStart w:id="904" w:name="_Toc15437"/>
      <w:bookmarkStart w:id="905" w:name="_Toc434565201"/>
      <w:bookmarkStart w:id="906" w:name="_Toc152042382"/>
      <w:bookmarkStart w:id="907" w:name="_Toc152045605"/>
      <w:bookmarkStart w:id="908" w:name="_Toc144974572"/>
      <w:bookmarkStart w:id="909" w:name="_Toc247514029"/>
      <w:bookmarkStart w:id="910" w:name="_Toc17596"/>
      <w:bookmarkStart w:id="911" w:name="_Toc62586974"/>
      <w:bookmarkStart w:id="912" w:name="_Toc66975115"/>
      <w:bookmarkStart w:id="913" w:name="_Toc27812"/>
      <w:bookmarkStart w:id="914" w:name="_Toc54803448"/>
      <w:bookmarkStart w:id="915" w:name="_Toc119856078"/>
      <w:bookmarkStart w:id="916" w:name="_Toc17535"/>
      <w:bookmarkStart w:id="917" w:name="_Toc247527630"/>
      <w:bookmarkStart w:id="918" w:name="_Toc28872"/>
      <w:r>
        <w:rPr>
          <w:rFonts w:hint="eastAsia" w:ascii="宋体" w:eastAsia="宋体"/>
          <w:color w:val="auto"/>
          <w:highlight w:val="none"/>
        </w:rPr>
        <w:t>3.1 初步评审</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3.1.1评标委员会依据本章第2.1 款规定的标准对投标文件进行初步评审。有一项不符合评审标准的，作废标处理。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投标人有以下情形之一的，评标委员会应当否决其投标：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（1）串通投标或弄虚作假或有其他违法行为的；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（2）不按评标委员会要求澄清、说明或补正的；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（3）不符合招标文件中规定的其他实质性的要求；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（4）招标文件规定的其他无效投标文件的情形；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（5）不同投标人使用同一台计算机编制投标文件的。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color w:val="auto"/>
          <w:szCs w:val="21"/>
          <w:highlight w:val="none"/>
        </w:rPr>
      </w:pPr>
      <w:bookmarkStart w:id="919" w:name="_Toc152042383"/>
      <w:r>
        <w:rPr>
          <w:rFonts w:hint="eastAsia" w:ascii="宋体" w:hAnsi="宋体"/>
          <w:color w:val="auto"/>
          <w:szCs w:val="21"/>
          <w:highlight w:val="none"/>
        </w:rPr>
        <w:t>（1）投标文件中的大写金额与小写金额不一致的，以大写金额为准；</w:t>
      </w:r>
      <w:bookmarkEnd w:id="919"/>
    </w:p>
    <w:p>
      <w:pPr>
        <w:spacing w:line="360" w:lineRule="auto"/>
        <w:ind w:firstLine="420" w:firstLineChars="200"/>
        <w:rPr>
          <w:rFonts w:ascii="宋体" w:hAnsi="宋体"/>
          <w:color w:val="auto"/>
          <w:highlight w:val="none"/>
        </w:rPr>
      </w:pPr>
      <w:r>
        <w:rPr>
          <w:rFonts w:hint="eastAsia" w:ascii="宋体" w:hAnsi="宋体"/>
          <w:color w:val="auto"/>
          <w:szCs w:val="21"/>
          <w:highlight w:val="none"/>
        </w:rPr>
        <w:t>（2）总价金额与依据单价计算出</w:t>
      </w:r>
      <w:r>
        <w:rPr>
          <w:rFonts w:hint="eastAsia" w:ascii="宋体" w:hAnsi="宋体"/>
          <w:color w:val="auto"/>
          <w:highlight w:val="none"/>
        </w:rPr>
        <w:t>的结果不一致的，以单价金额为准修正总价，但单价金额小数点有明显错误的除外。</w:t>
      </w:r>
    </w:p>
    <w:p>
      <w:pPr>
        <w:pStyle w:val="5"/>
        <w:spacing w:line="360" w:lineRule="auto"/>
        <w:rPr>
          <w:rFonts w:ascii="宋体" w:eastAsia="宋体"/>
          <w:color w:val="auto"/>
          <w:highlight w:val="none"/>
        </w:rPr>
      </w:pPr>
      <w:bookmarkStart w:id="920" w:name="_Toc434565202"/>
      <w:bookmarkStart w:id="921" w:name="_Toc247527631"/>
      <w:bookmarkStart w:id="922" w:name="_Toc66975116"/>
      <w:bookmarkStart w:id="923" w:name="_Toc17405"/>
      <w:bookmarkStart w:id="924" w:name="_Toc62586975"/>
      <w:bookmarkStart w:id="925" w:name="_Toc54803449"/>
      <w:bookmarkStart w:id="926" w:name="_Toc152042384"/>
      <w:bookmarkStart w:id="927" w:name="_Toc144974573"/>
      <w:bookmarkStart w:id="928" w:name="_Toc152045606"/>
      <w:bookmarkStart w:id="929" w:name="_Toc247514030"/>
      <w:bookmarkStart w:id="930" w:name="_Toc119856079"/>
      <w:bookmarkStart w:id="931" w:name="_Toc16761"/>
      <w:bookmarkStart w:id="932" w:name="_Toc20093"/>
      <w:bookmarkStart w:id="933" w:name="_Toc21596"/>
      <w:bookmarkStart w:id="934" w:name="_Toc20463"/>
      <w:r>
        <w:rPr>
          <w:rFonts w:hint="eastAsia" w:ascii="宋体" w:eastAsia="宋体"/>
          <w:color w:val="auto"/>
          <w:highlight w:val="none"/>
        </w:rPr>
        <w:t>3.2 详细评审</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spacing w:line="360" w:lineRule="auto"/>
        <w:ind w:firstLine="420" w:firstLineChars="200"/>
        <w:rPr>
          <w:rFonts w:ascii="宋体" w:hAnsi="宋体"/>
          <w:color w:val="auto"/>
          <w:highlight w:val="none"/>
        </w:rPr>
      </w:pPr>
      <w:r>
        <w:rPr>
          <w:rFonts w:hint="eastAsia" w:ascii="宋体" w:hAnsi="宋体"/>
          <w:color w:val="auto"/>
          <w:highlight w:val="none"/>
        </w:rPr>
        <w:t>3.2.1 评标委员会按本章第2.2款规定的量化因素和分值进行打分，并计算出综合评估得分。评标办法前附表对承包人建议书中的设计文件评审有特殊规定的，从其规定。</w:t>
      </w:r>
    </w:p>
    <w:p>
      <w:pPr>
        <w:spacing w:line="360" w:lineRule="auto"/>
        <w:ind w:firstLine="420" w:firstLineChars="200"/>
        <w:rPr>
          <w:rFonts w:ascii="宋体" w:hAnsi="宋体"/>
          <w:color w:val="auto"/>
          <w:highlight w:val="none"/>
        </w:rPr>
      </w:pPr>
      <w:r>
        <w:rPr>
          <w:rFonts w:hint="eastAsia" w:ascii="宋体" w:hAnsi="宋体"/>
          <w:color w:val="auto"/>
          <w:highlight w:val="none"/>
        </w:rPr>
        <w:t>（1）按本章第2.2.4（1）目规定的评审因素和分值对</w:t>
      </w:r>
      <w:r>
        <w:rPr>
          <w:rFonts w:hint="eastAsia" w:ascii="宋体" w:hAnsi="宋体"/>
          <w:color w:val="auto"/>
          <w:szCs w:val="21"/>
          <w:highlight w:val="none"/>
        </w:rPr>
        <w:t>投标报价</w:t>
      </w:r>
      <w:r>
        <w:rPr>
          <w:rFonts w:hint="eastAsia" w:ascii="宋体" w:hAnsi="宋体"/>
          <w:color w:val="auto"/>
          <w:highlight w:val="none"/>
        </w:rPr>
        <w:t>计算出得分A；</w:t>
      </w:r>
    </w:p>
    <w:p>
      <w:pPr>
        <w:spacing w:line="360" w:lineRule="auto"/>
        <w:ind w:firstLine="420" w:firstLineChars="200"/>
        <w:rPr>
          <w:rFonts w:ascii="宋体" w:hAnsi="宋体"/>
          <w:color w:val="auto"/>
          <w:highlight w:val="none"/>
        </w:rPr>
      </w:pPr>
      <w:r>
        <w:rPr>
          <w:rFonts w:hint="eastAsia" w:ascii="宋体" w:hAnsi="宋体"/>
          <w:color w:val="auto"/>
          <w:highlight w:val="none"/>
        </w:rPr>
        <w:t>（2）按本章第2.2.4（2）目规定的评审因素和分值对</w:t>
      </w:r>
      <w:r>
        <w:rPr>
          <w:rFonts w:hint="eastAsia" w:ascii="宋体" w:hAnsi="宋体"/>
          <w:color w:val="auto"/>
          <w:szCs w:val="21"/>
          <w:highlight w:val="none"/>
        </w:rPr>
        <w:t>技术部分</w:t>
      </w:r>
      <w:r>
        <w:rPr>
          <w:rFonts w:hint="eastAsia" w:ascii="宋体" w:hAnsi="宋体"/>
          <w:color w:val="auto"/>
          <w:highlight w:val="none"/>
        </w:rPr>
        <w:t>计算出得分B；</w:t>
      </w:r>
    </w:p>
    <w:p>
      <w:pPr>
        <w:spacing w:line="360" w:lineRule="auto"/>
        <w:ind w:firstLine="420" w:firstLineChars="200"/>
        <w:rPr>
          <w:rFonts w:ascii="宋体" w:hAnsi="宋体"/>
          <w:color w:val="auto"/>
          <w:highlight w:val="none"/>
        </w:rPr>
      </w:pPr>
      <w:r>
        <w:rPr>
          <w:rFonts w:hint="eastAsia" w:ascii="宋体" w:hAnsi="宋体"/>
          <w:color w:val="auto"/>
          <w:highlight w:val="none"/>
        </w:rPr>
        <w:t>（3）按本章第2.2.4（4）目规定的评审因素和分值对其他评分因素计算出得分</w:t>
      </w:r>
      <w:r>
        <w:rPr>
          <w:rFonts w:ascii="宋体" w:hAnsi="宋体"/>
          <w:color w:val="auto"/>
          <w:highlight w:val="none"/>
        </w:rPr>
        <w:t>C</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3.2.2 评分分值计算保留小数点后两位，小数点后第三位“四舍五入”。</w:t>
      </w:r>
    </w:p>
    <w:p>
      <w:pPr>
        <w:spacing w:line="360" w:lineRule="auto"/>
        <w:ind w:firstLine="420" w:firstLineChars="200"/>
        <w:rPr>
          <w:rFonts w:ascii="宋体" w:hAnsi="宋体"/>
          <w:color w:val="auto"/>
          <w:highlight w:val="none"/>
        </w:rPr>
      </w:pPr>
      <w:r>
        <w:rPr>
          <w:rFonts w:hint="eastAsia" w:ascii="宋体" w:hAnsi="宋体"/>
          <w:color w:val="auto"/>
          <w:highlight w:val="none"/>
        </w:rPr>
        <w:t>3.2.3 投标人得分=A+B+C。</w:t>
      </w:r>
    </w:p>
    <w:p>
      <w:pPr>
        <w:spacing w:line="360" w:lineRule="auto"/>
        <w:ind w:firstLine="420" w:firstLineChars="200"/>
        <w:rPr>
          <w:rFonts w:ascii="宋体" w:hAnsi="宋体"/>
          <w:color w:val="auto"/>
          <w:highlight w:val="none"/>
        </w:rPr>
      </w:pPr>
      <w:r>
        <w:rPr>
          <w:rFonts w:hint="eastAsia" w:ascii="宋体" w:hAnsi="宋体"/>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5"/>
        <w:spacing w:line="360" w:lineRule="auto"/>
        <w:rPr>
          <w:rFonts w:ascii="宋体" w:eastAsia="宋体"/>
          <w:color w:val="auto"/>
          <w:highlight w:val="none"/>
        </w:rPr>
      </w:pPr>
      <w:bookmarkStart w:id="935" w:name="_Toc144974575"/>
      <w:bookmarkStart w:id="936" w:name="_Toc434565203"/>
      <w:bookmarkStart w:id="937" w:name="_Toc10494"/>
      <w:bookmarkStart w:id="938" w:name="_Toc119856080"/>
      <w:bookmarkStart w:id="939" w:name="_Toc54803450"/>
      <w:bookmarkStart w:id="940" w:name="_Toc31798"/>
      <w:bookmarkStart w:id="941" w:name="_Toc247527632"/>
      <w:bookmarkStart w:id="942" w:name="_Toc23420"/>
      <w:bookmarkStart w:id="943" w:name="_Toc152045607"/>
      <w:bookmarkStart w:id="944" w:name="_Toc62586976"/>
      <w:bookmarkStart w:id="945" w:name="_Toc247514031"/>
      <w:bookmarkStart w:id="946" w:name="_Toc16625"/>
      <w:bookmarkStart w:id="947" w:name="_Toc66975117"/>
      <w:bookmarkStart w:id="948" w:name="_Toc152042385"/>
      <w:bookmarkStart w:id="949" w:name="_Toc14551"/>
      <w:r>
        <w:rPr>
          <w:rFonts w:hint="eastAsia" w:ascii="宋体" w:eastAsia="宋体"/>
          <w:color w:val="auto"/>
          <w:highlight w:val="none"/>
        </w:rPr>
        <w:t>3.3 投标文件的澄清</w:t>
      </w:r>
      <w:bookmarkEnd w:id="935"/>
      <w:r>
        <w:rPr>
          <w:rFonts w:hint="eastAsia" w:ascii="宋体" w:eastAsia="宋体"/>
          <w:color w:val="auto"/>
          <w:highlight w:val="none"/>
        </w:rPr>
        <w:t>和补正</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spacing w:line="360" w:lineRule="auto"/>
        <w:ind w:firstLine="420" w:firstLineChars="200"/>
        <w:rPr>
          <w:rFonts w:ascii="宋体" w:hAnsi="宋体"/>
          <w:color w:val="auto"/>
          <w:highlight w:val="none"/>
        </w:rPr>
      </w:pPr>
      <w:r>
        <w:rPr>
          <w:rFonts w:hint="eastAsia" w:ascii="宋体" w:hAnsi="宋体"/>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olor w:val="auto"/>
          <w:highlight w:val="none"/>
        </w:rPr>
      </w:pPr>
      <w:r>
        <w:rPr>
          <w:rFonts w:hint="eastAsia" w:ascii="宋体" w:hAnsi="宋体"/>
          <w:color w:val="auto"/>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olor w:val="auto"/>
          <w:highlight w:val="none"/>
        </w:rPr>
      </w:pPr>
      <w:r>
        <w:rPr>
          <w:rFonts w:hint="eastAsia" w:ascii="宋体" w:hAnsi="宋体"/>
          <w:color w:val="auto"/>
          <w:highlight w:val="none"/>
        </w:rPr>
        <w:t>3.3.3 评标委员会对投标人提交的澄清、说明或补正有疑问的，可以要求投标人进一步澄清、说明或补正，直至满足评标委员会的要求。</w:t>
      </w:r>
    </w:p>
    <w:p>
      <w:pPr>
        <w:pStyle w:val="5"/>
        <w:spacing w:line="360" w:lineRule="auto"/>
        <w:rPr>
          <w:rFonts w:ascii="宋体" w:eastAsia="宋体"/>
          <w:color w:val="auto"/>
          <w:highlight w:val="none"/>
        </w:rPr>
      </w:pPr>
      <w:bookmarkStart w:id="950" w:name="_Toc20418"/>
      <w:bookmarkStart w:id="951" w:name="_Toc434565204"/>
      <w:bookmarkStart w:id="952" w:name="_Toc152042386"/>
      <w:bookmarkStart w:id="953" w:name="_Toc66975118"/>
      <w:bookmarkStart w:id="954" w:name="_Toc26480"/>
      <w:bookmarkStart w:id="955" w:name="_Toc14975"/>
      <w:bookmarkStart w:id="956" w:name="_Toc3530"/>
      <w:bookmarkStart w:id="957" w:name="_Toc247514032"/>
      <w:bookmarkStart w:id="958" w:name="_Toc54803451"/>
      <w:bookmarkStart w:id="959" w:name="_Toc144974576"/>
      <w:bookmarkStart w:id="960" w:name="_Toc119856081"/>
      <w:bookmarkStart w:id="961" w:name="_Toc62586977"/>
      <w:bookmarkStart w:id="962" w:name="_Toc152045608"/>
      <w:bookmarkStart w:id="963" w:name="_Toc247527633"/>
      <w:bookmarkStart w:id="964" w:name="_Toc21362"/>
      <w:r>
        <w:rPr>
          <w:rFonts w:hint="eastAsia" w:ascii="宋体" w:eastAsia="宋体"/>
          <w:color w:val="auto"/>
          <w:highlight w:val="none"/>
        </w:rPr>
        <w:t>3.4 评标结果</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spacing w:line="360" w:lineRule="auto"/>
        <w:ind w:firstLine="420" w:firstLineChars="200"/>
        <w:rPr>
          <w:rFonts w:ascii="宋体" w:hAnsi="宋体"/>
          <w:color w:val="auto"/>
          <w:highlight w:val="none"/>
        </w:rPr>
      </w:pPr>
      <w:r>
        <w:rPr>
          <w:rFonts w:hint="eastAsia" w:ascii="宋体" w:hAnsi="宋体"/>
          <w:color w:val="auto"/>
          <w:highlight w:val="none"/>
        </w:rPr>
        <w:t>3.4.1 除第二章“投标人须知”前附表授权直接确定中标人外，评标委员会按照得分由高到低的顺序推荐中标候选人。</w:t>
      </w:r>
    </w:p>
    <w:p>
      <w:pPr>
        <w:spacing w:line="360" w:lineRule="auto"/>
        <w:ind w:firstLine="420" w:firstLineChars="200"/>
        <w:rPr>
          <w:rFonts w:ascii="宋体" w:hAnsi="宋体"/>
          <w:color w:val="auto"/>
          <w:highlight w:val="none"/>
        </w:rPr>
      </w:pPr>
      <w:r>
        <w:rPr>
          <w:rFonts w:hint="eastAsia" w:ascii="宋体" w:hAnsi="宋体"/>
          <w:color w:val="auto"/>
          <w:highlight w:val="none"/>
        </w:rPr>
        <w:t>3.4.2 评标委员会完成评标后，应当向招标人提交书面评标报告。</w:t>
      </w: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widowControl/>
        <w:jc w:val="left"/>
        <w:rPr>
          <w:rFonts w:ascii="宋体" w:hAnsi="宋体" w:cs="宋体"/>
          <w:color w:val="auto"/>
          <w:sz w:val="28"/>
          <w:szCs w:val="21"/>
          <w:highlight w:val="none"/>
        </w:rPr>
      </w:pPr>
      <w:bookmarkStart w:id="965" w:name="_Toc62586978"/>
      <w:bookmarkStart w:id="966" w:name="_Toc7244"/>
      <w:bookmarkStart w:id="967" w:name="_Toc66975119"/>
      <w:bookmarkStart w:id="968" w:name="_Toc54803452"/>
      <w:bookmarkStart w:id="969" w:name="_Toc119856082"/>
      <w:r>
        <w:rPr>
          <w:rFonts w:ascii="宋体" w:hAnsi="宋体" w:cs="宋体"/>
          <w:b/>
          <w:bCs/>
          <w:color w:val="auto"/>
          <w:szCs w:val="21"/>
          <w:highlight w:val="none"/>
        </w:rPr>
        <w:br w:type="page"/>
      </w:r>
    </w:p>
    <w:p>
      <w:pPr>
        <w:pStyle w:val="6"/>
        <w:spacing w:before="120" w:after="120" w:line="360" w:lineRule="auto"/>
        <w:rPr>
          <w:rFonts w:ascii="宋体" w:hAnsi="宋体" w:eastAsia="宋体" w:cs="宋体"/>
          <w:b w:val="0"/>
          <w:bCs w:val="0"/>
          <w:color w:val="auto"/>
          <w:szCs w:val="21"/>
          <w:highlight w:val="none"/>
        </w:rPr>
      </w:pPr>
      <w:bookmarkStart w:id="970" w:name="_Toc2650"/>
      <w:r>
        <w:rPr>
          <w:rFonts w:hint="eastAsia" w:ascii="宋体" w:hAnsi="宋体" w:eastAsia="宋体" w:cs="宋体"/>
          <w:b w:val="0"/>
          <w:bCs w:val="0"/>
          <w:color w:val="auto"/>
          <w:szCs w:val="21"/>
          <w:highlight w:val="none"/>
        </w:rPr>
        <w:t>附件A:评标详细程序</w:t>
      </w:r>
      <w:bookmarkEnd w:id="965"/>
      <w:bookmarkEnd w:id="966"/>
      <w:bookmarkEnd w:id="967"/>
      <w:bookmarkEnd w:id="968"/>
      <w:bookmarkEnd w:id="969"/>
      <w:bookmarkEnd w:id="970"/>
    </w:p>
    <w:p>
      <w:pPr>
        <w:spacing w:before="168" w:beforeLines="70" w:after="168" w:afterLines="70" w:line="360" w:lineRule="auto"/>
        <w:jc w:val="center"/>
        <w:rPr>
          <w:rFonts w:ascii="宋体" w:hAnsi="宋体"/>
          <w:b/>
          <w:color w:val="auto"/>
          <w:sz w:val="28"/>
          <w:szCs w:val="28"/>
          <w:highlight w:val="none"/>
        </w:rPr>
      </w:pPr>
      <w:r>
        <w:rPr>
          <w:rFonts w:hint="eastAsia" w:ascii="宋体" w:hAnsi="宋体"/>
          <w:b/>
          <w:color w:val="auto"/>
          <w:sz w:val="28"/>
          <w:szCs w:val="28"/>
          <w:highlight w:val="none"/>
        </w:rPr>
        <w:t>评标详细程序</w:t>
      </w:r>
    </w:p>
    <w:p>
      <w:pPr>
        <w:spacing w:line="360" w:lineRule="auto"/>
        <w:ind w:firstLine="422" w:firstLineChars="200"/>
        <w:rPr>
          <w:rFonts w:ascii="宋体" w:hAnsi="宋体"/>
          <w:b/>
          <w:color w:val="auto"/>
          <w:highlight w:val="none"/>
        </w:rPr>
      </w:pPr>
      <w:r>
        <w:rPr>
          <w:rFonts w:hint="eastAsia" w:ascii="宋体" w:hAnsi="宋体"/>
          <w:b/>
          <w:color w:val="auto"/>
          <w:highlight w:val="none"/>
        </w:rPr>
        <w:t>A0.总  则</w:t>
      </w:r>
    </w:p>
    <w:p>
      <w:pPr>
        <w:spacing w:line="360" w:lineRule="auto"/>
        <w:ind w:firstLine="420" w:firstLineChars="200"/>
        <w:rPr>
          <w:rFonts w:ascii="宋体" w:hAnsi="宋体"/>
          <w:color w:val="auto"/>
          <w:highlight w:val="none"/>
        </w:rPr>
      </w:pPr>
      <w:r>
        <w:rPr>
          <w:rFonts w:hint="eastAsia" w:ascii="宋体" w:hAnsi="宋体"/>
          <w:color w:val="auto"/>
          <w:highlight w:val="none"/>
        </w:rPr>
        <w:t>本附件是本章“评标办法”的组成部分，是对本章第3条所规定的评标程序的进一些细化，评标委员会应当按照本附件所规定的详细程序开展并完成评标工作。</w:t>
      </w:r>
    </w:p>
    <w:p>
      <w:pPr>
        <w:spacing w:line="360" w:lineRule="auto"/>
        <w:ind w:firstLine="422" w:firstLineChars="200"/>
        <w:rPr>
          <w:rFonts w:ascii="宋体" w:hAnsi="宋体"/>
          <w:b/>
          <w:color w:val="auto"/>
          <w:highlight w:val="none"/>
        </w:rPr>
      </w:pPr>
      <w:r>
        <w:rPr>
          <w:rFonts w:hint="eastAsia" w:ascii="宋体" w:hAnsi="宋体"/>
          <w:b/>
          <w:color w:val="auto"/>
          <w:highlight w:val="none"/>
        </w:rPr>
        <w:t>A1.基本程序</w:t>
      </w:r>
    </w:p>
    <w:p>
      <w:pPr>
        <w:spacing w:line="360" w:lineRule="auto"/>
        <w:ind w:firstLine="420" w:firstLineChars="200"/>
        <w:rPr>
          <w:rFonts w:ascii="宋体" w:hAnsi="宋体"/>
          <w:color w:val="auto"/>
          <w:highlight w:val="none"/>
        </w:rPr>
      </w:pPr>
      <w:r>
        <w:rPr>
          <w:rFonts w:hint="eastAsia" w:ascii="宋体" w:hAnsi="宋体"/>
          <w:color w:val="auto"/>
          <w:highlight w:val="none"/>
        </w:rPr>
        <w:t>评标活动将按以下五个步骤进行：</w:t>
      </w:r>
    </w:p>
    <w:p>
      <w:pPr>
        <w:spacing w:line="360" w:lineRule="auto"/>
        <w:ind w:firstLine="420" w:firstLineChars="200"/>
        <w:rPr>
          <w:rFonts w:ascii="宋体" w:hAnsi="宋体"/>
          <w:color w:val="auto"/>
          <w:highlight w:val="none"/>
        </w:rPr>
      </w:pPr>
      <w:r>
        <w:rPr>
          <w:rFonts w:hint="eastAsia" w:ascii="宋体" w:hAnsi="宋体"/>
          <w:color w:val="auto"/>
          <w:highlight w:val="none"/>
        </w:rPr>
        <w:t>（1）评标准备；</w:t>
      </w:r>
    </w:p>
    <w:p>
      <w:pPr>
        <w:spacing w:line="360" w:lineRule="auto"/>
        <w:ind w:firstLine="420" w:firstLineChars="200"/>
        <w:rPr>
          <w:rFonts w:ascii="宋体" w:hAnsi="宋体"/>
          <w:color w:val="auto"/>
          <w:highlight w:val="none"/>
        </w:rPr>
      </w:pPr>
      <w:r>
        <w:rPr>
          <w:rFonts w:hint="eastAsia" w:ascii="宋体" w:hAnsi="宋体"/>
          <w:color w:val="auto"/>
          <w:highlight w:val="none"/>
        </w:rPr>
        <w:t>（2）初步评审；</w:t>
      </w:r>
    </w:p>
    <w:p>
      <w:pPr>
        <w:spacing w:line="360" w:lineRule="auto"/>
        <w:ind w:firstLine="420" w:firstLineChars="200"/>
        <w:rPr>
          <w:rFonts w:ascii="宋体" w:hAnsi="宋体"/>
          <w:color w:val="auto"/>
          <w:highlight w:val="none"/>
        </w:rPr>
      </w:pPr>
      <w:r>
        <w:rPr>
          <w:rFonts w:hint="eastAsia" w:ascii="宋体" w:hAnsi="宋体"/>
          <w:color w:val="auto"/>
          <w:highlight w:val="none"/>
        </w:rPr>
        <w:t>（3）详细评审；</w:t>
      </w:r>
    </w:p>
    <w:p>
      <w:pPr>
        <w:spacing w:line="360" w:lineRule="auto"/>
        <w:ind w:firstLine="420" w:firstLineChars="200"/>
        <w:rPr>
          <w:rFonts w:ascii="宋体" w:hAnsi="宋体"/>
          <w:color w:val="auto"/>
          <w:highlight w:val="none"/>
        </w:rPr>
      </w:pPr>
      <w:r>
        <w:rPr>
          <w:rFonts w:hint="eastAsia" w:ascii="宋体" w:hAnsi="宋体"/>
          <w:color w:val="auto"/>
          <w:highlight w:val="none"/>
        </w:rPr>
        <w:t>（4）澄清、说明或补正；</w:t>
      </w:r>
    </w:p>
    <w:p>
      <w:pPr>
        <w:spacing w:line="360" w:lineRule="auto"/>
        <w:ind w:firstLine="420" w:firstLineChars="200"/>
        <w:rPr>
          <w:rFonts w:ascii="宋体" w:hAnsi="宋体"/>
          <w:color w:val="auto"/>
          <w:highlight w:val="none"/>
        </w:rPr>
      </w:pPr>
      <w:r>
        <w:rPr>
          <w:rFonts w:hint="eastAsia" w:ascii="宋体" w:hAnsi="宋体"/>
          <w:color w:val="auto"/>
          <w:highlight w:val="none"/>
        </w:rPr>
        <w:t>（5）推荐中标候选人或者直接确定中标人及提交评标报告。</w:t>
      </w:r>
    </w:p>
    <w:p>
      <w:pPr>
        <w:spacing w:line="360" w:lineRule="auto"/>
        <w:ind w:firstLine="422" w:firstLineChars="200"/>
        <w:rPr>
          <w:rFonts w:ascii="宋体" w:hAnsi="宋体"/>
          <w:b/>
          <w:color w:val="auto"/>
          <w:highlight w:val="none"/>
        </w:rPr>
      </w:pPr>
      <w:r>
        <w:rPr>
          <w:rFonts w:hint="eastAsia" w:ascii="宋体" w:hAnsi="宋体"/>
          <w:b/>
          <w:color w:val="auto"/>
          <w:highlight w:val="none"/>
        </w:rPr>
        <w:t>A2.评标准备</w:t>
      </w:r>
    </w:p>
    <w:p>
      <w:pPr>
        <w:spacing w:line="360" w:lineRule="auto"/>
        <w:ind w:firstLine="422" w:firstLineChars="200"/>
        <w:rPr>
          <w:rFonts w:ascii="宋体" w:hAnsi="宋体"/>
          <w:b/>
          <w:color w:val="auto"/>
          <w:highlight w:val="none"/>
        </w:rPr>
      </w:pPr>
      <w:r>
        <w:rPr>
          <w:rFonts w:hint="eastAsia" w:ascii="宋体" w:hAnsi="宋体"/>
          <w:b/>
          <w:color w:val="auto"/>
          <w:highlight w:val="none"/>
        </w:rPr>
        <w:t>A2.1评标委员会成员签到</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评标委员会成员到达评标现场时应在签到表上签到以证明其出席。</w:t>
      </w:r>
    </w:p>
    <w:p>
      <w:pPr>
        <w:spacing w:line="360" w:lineRule="auto"/>
        <w:ind w:firstLine="422" w:firstLineChars="200"/>
        <w:rPr>
          <w:rFonts w:ascii="宋体" w:hAnsi="宋体"/>
          <w:b/>
          <w:color w:val="auto"/>
          <w:highlight w:val="none"/>
        </w:rPr>
      </w:pPr>
      <w:r>
        <w:rPr>
          <w:rFonts w:hint="eastAsia" w:ascii="宋体" w:hAnsi="宋体"/>
          <w:b/>
          <w:color w:val="auto"/>
          <w:highlight w:val="none"/>
        </w:rPr>
        <w:t>A2.2评标委员会的分工</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line="360" w:lineRule="auto"/>
        <w:ind w:firstLine="422" w:firstLineChars="200"/>
        <w:rPr>
          <w:rFonts w:ascii="宋体" w:hAnsi="宋体"/>
          <w:b/>
          <w:color w:val="auto"/>
          <w:highlight w:val="none"/>
        </w:rPr>
      </w:pPr>
      <w:r>
        <w:rPr>
          <w:rFonts w:hint="eastAsia" w:ascii="宋体" w:hAnsi="宋体"/>
          <w:b/>
          <w:color w:val="auto"/>
          <w:highlight w:val="none"/>
        </w:rPr>
        <w:t>A2.3熟悉文件资料</w:t>
      </w:r>
    </w:p>
    <w:p>
      <w:pPr>
        <w:spacing w:line="360" w:lineRule="auto"/>
        <w:ind w:firstLine="420" w:firstLineChars="200"/>
        <w:rPr>
          <w:rFonts w:ascii="宋体" w:hAnsi="宋体"/>
          <w:color w:val="auto"/>
          <w:highlight w:val="none"/>
        </w:rPr>
      </w:pPr>
      <w:r>
        <w:rPr>
          <w:rFonts w:hint="eastAsia" w:ascii="宋体" w:hAnsi="宋体"/>
          <w:color w:val="auto"/>
          <w:highlight w:val="none"/>
        </w:rPr>
        <w:t>A2.3.1评标委员会主任应组织评标委员会成员认真研究招标文件，了解和熟悉招标目的、招标范围、主要合同条件、质量标准和工期要求等，掌握评标标准和方法，未在招标文件中规定的标准和方法不得作为评标的依据。</w:t>
      </w:r>
    </w:p>
    <w:p>
      <w:pPr>
        <w:spacing w:line="360" w:lineRule="auto"/>
        <w:ind w:firstLine="420" w:firstLineChars="200"/>
        <w:rPr>
          <w:rFonts w:ascii="宋体" w:hAnsi="宋体"/>
          <w:color w:val="auto"/>
          <w:highlight w:val="none"/>
        </w:rPr>
      </w:pPr>
      <w:r>
        <w:rPr>
          <w:rFonts w:hint="eastAsia" w:ascii="宋体" w:hAnsi="宋体"/>
          <w:color w:val="auto"/>
          <w:highlight w:val="none"/>
        </w:rPr>
        <w:t>A2.3.2招标人或招标代理机构应向评标委员会提供评标所需的信息和数据，包括招标文件、在开标会上当众宣读的投标文件、开标会记录、招标控制价、有关的法律、法规、规章、国家标准以及招标人或评标委员会认为必要的其他信息和数据。</w:t>
      </w:r>
    </w:p>
    <w:p>
      <w:pPr>
        <w:spacing w:line="360" w:lineRule="auto"/>
        <w:ind w:firstLine="422" w:firstLineChars="200"/>
        <w:rPr>
          <w:rFonts w:ascii="宋体" w:hAnsi="宋体"/>
          <w:b/>
          <w:color w:val="auto"/>
          <w:highlight w:val="none"/>
        </w:rPr>
      </w:pPr>
      <w:r>
        <w:rPr>
          <w:rFonts w:hint="eastAsia" w:ascii="宋体" w:hAnsi="宋体"/>
          <w:b/>
          <w:color w:val="auto"/>
          <w:highlight w:val="none"/>
        </w:rPr>
        <w:t>A3初步评审</w:t>
      </w:r>
    </w:p>
    <w:p>
      <w:pPr>
        <w:spacing w:line="360" w:lineRule="auto"/>
        <w:ind w:firstLine="422" w:firstLineChars="200"/>
        <w:rPr>
          <w:rFonts w:ascii="宋体" w:hAnsi="宋体"/>
          <w:b/>
          <w:color w:val="auto"/>
          <w:highlight w:val="none"/>
        </w:rPr>
      </w:pPr>
      <w:r>
        <w:rPr>
          <w:rFonts w:hint="eastAsia" w:ascii="宋体" w:hAnsi="宋体"/>
          <w:b/>
          <w:color w:val="auto"/>
          <w:highlight w:val="none"/>
        </w:rPr>
        <w:t>A3.1形式评审</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评标委员会根据评标办法前附表中规定的评审因素和评审标准，对投标人的投标文件进行形式评审，并记录评审结果。</w:t>
      </w:r>
    </w:p>
    <w:p>
      <w:pPr>
        <w:spacing w:line="360" w:lineRule="auto"/>
        <w:ind w:firstLine="422" w:firstLineChars="200"/>
        <w:rPr>
          <w:rFonts w:ascii="宋体" w:hAnsi="宋体"/>
          <w:b/>
          <w:color w:val="auto"/>
          <w:highlight w:val="none"/>
        </w:rPr>
      </w:pPr>
      <w:r>
        <w:rPr>
          <w:rFonts w:hint="eastAsia" w:ascii="宋体" w:hAnsi="宋体"/>
          <w:b/>
          <w:color w:val="auto"/>
          <w:highlight w:val="none"/>
        </w:rPr>
        <w:t>A3.2资格评审</w:t>
      </w:r>
    </w:p>
    <w:p>
      <w:pPr>
        <w:spacing w:line="360" w:lineRule="auto"/>
        <w:ind w:firstLine="420" w:firstLineChars="200"/>
        <w:rPr>
          <w:rFonts w:ascii="宋体" w:hAnsi="宋体"/>
          <w:color w:val="auto"/>
          <w:highlight w:val="none"/>
        </w:rPr>
      </w:pPr>
      <w:r>
        <w:rPr>
          <w:rFonts w:hint="eastAsia" w:ascii="宋体" w:hAnsi="宋体"/>
          <w:color w:val="auto"/>
          <w:highlight w:val="none"/>
        </w:rPr>
        <w:t>A3.2.1  评标委员会根据评标办法前附表中规定的评审因素和评审标准，对投标人的投标文件进行资格评审，并记录评审结果。</w:t>
      </w:r>
    </w:p>
    <w:p>
      <w:pPr>
        <w:spacing w:line="360" w:lineRule="auto"/>
        <w:ind w:firstLine="422" w:firstLineChars="200"/>
        <w:rPr>
          <w:rFonts w:ascii="宋体" w:hAnsi="宋体"/>
          <w:b/>
          <w:color w:val="auto"/>
          <w:highlight w:val="none"/>
        </w:rPr>
      </w:pPr>
      <w:r>
        <w:rPr>
          <w:rFonts w:hint="eastAsia" w:ascii="宋体" w:hAnsi="宋体"/>
          <w:b/>
          <w:color w:val="auto"/>
          <w:highlight w:val="none"/>
        </w:rPr>
        <w:t>A3．3 响应性评审</w:t>
      </w:r>
    </w:p>
    <w:p>
      <w:pPr>
        <w:spacing w:line="360" w:lineRule="auto"/>
        <w:ind w:firstLine="420" w:firstLineChars="200"/>
        <w:rPr>
          <w:rFonts w:ascii="宋体" w:hAnsi="宋体"/>
          <w:color w:val="auto"/>
          <w:highlight w:val="none"/>
        </w:rPr>
      </w:pPr>
      <w:r>
        <w:rPr>
          <w:rFonts w:hint="eastAsia" w:ascii="宋体" w:hAnsi="宋体"/>
          <w:color w:val="auto"/>
          <w:highlight w:val="none"/>
        </w:rPr>
        <w:t>A3.3.1评标委员会根据评标办法前附表中规定的评审因素和评审标准，对投标人的投标文件进行响应性评审，并记录评审结果。</w:t>
      </w:r>
    </w:p>
    <w:p>
      <w:pPr>
        <w:spacing w:line="360" w:lineRule="auto"/>
        <w:ind w:firstLine="420" w:firstLineChars="200"/>
        <w:rPr>
          <w:rFonts w:ascii="宋体" w:hAnsi="宋体"/>
          <w:color w:val="auto"/>
          <w:highlight w:val="none"/>
        </w:rPr>
      </w:pPr>
      <w:r>
        <w:rPr>
          <w:rFonts w:hint="eastAsia" w:ascii="宋体" w:hAnsi="宋体"/>
          <w:color w:val="auto"/>
          <w:highlight w:val="none"/>
        </w:rPr>
        <w:t>A3.3.2投标人投标价格不得超出(不含等于)按照第二章“投标人须知”前附表第3.2.4款载明的招标控制价，凡投标人的投标价格超出招标控制价的，该投标人的投标文件不能通过响应性评审。</w:t>
      </w:r>
    </w:p>
    <w:p>
      <w:pPr>
        <w:spacing w:line="360" w:lineRule="auto"/>
        <w:ind w:firstLine="422" w:firstLineChars="200"/>
        <w:rPr>
          <w:rFonts w:ascii="宋体" w:hAnsi="宋体"/>
          <w:b/>
          <w:color w:val="auto"/>
          <w:highlight w:val="none"/>
        </w:rPr>
      </w:pPr>
      <w:r>
        <w:rPr>
          <w:rFonts w:hint="eastAsia" w:ascii="宋体" w:hAnsi="宋体"/>
          <w:b/>
          <w:color w:val="auto"/>
          <w:highlight w:val="none"/>
        </w:rPr>
        <w:t>A3.4  判断投标是否为否决</w:t>
      </w:r>
    </w:p>
    <w:p>
      <w:pPr>
        <w:spacing w:line="360" w:lineRule="auto"/>
        <w:ind w:firstLine="420" w:firstLineChars="200"/>
        <w:rPr>
          <w:rFonts w:ascii="宋体" w:hAnsi="宋体"/>
          <w:color w:val="auto"/>
          <w:highlight w:val="none"/>
        </w:rPr>
      </w:pPr>
      <w:r>
        <w:rPr>
          <w:rFonts w:hint="eastAsia" w:ascii="宋体" w:hAnsi="宋体"/>
          <w:color w:val="auto"/>
          <w:highlight w:val="none"/>
        </w:rPr>
        <w:t>A3.4.1 判断投标人的投标是否为否决的全部条件(包括本章第3．1．2项中规定的条件)，在本章附件B中集中列示。</w:t>
      </w:r>
    </w:p>
    <w:p>
      <w:pPr>
        <w:spacing w:line="360" w:lineRule="auto"/>
        <w:ind w:firstLine="420" w:firstLineChars="200"/>
        <w:rPr>
          <w:rFonts w:ascii="宋体" w:hAnsi="宋体"/>
          <w:color w:val="auto"/>
          <w:highlight w:val="none"/>
        </w:rPr>
      </w:pPr>
      <w:r>
        <w:rPr>
          <w:rFonts w:hint="eastAsia" w:ascii="宋体" w:hAnsi="宋体"/>
          <w:color w:val="auto"/>
          <w:highlight w:val="none"/>
        </w:rPr>
        <w:t>A3.4.2本章附件B集中列示的否决投标条件不应与第二章“投标人须知”和本章正文部分包括的否决投标条件抵触，如果出现相互矛盾的情况，以第二章“投标人须知”和本章正文部分的规定为准。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olor w:val="auto"/>
          <w:highlight w:val="none"/>
        </w:rPr>
      </w:pPr>
      <w:r>
        <w:rPr>
          <w:rFonts w:hint="eastAsia" w:ascii="宋体" w:hAnsi="宋体"/>
          <w:color w:val="auto"/>
          <w:highlight w:val="none"/>
        </w:rPr>
        <w:t>A3.4.3评标委员会在评标(包括初步评审和详细评审)过程中，依据本章附件B中规定的否决投标条件判断投标人的投标是否为否决。</w:t>
      </w:r>
    </w:p>
    <w:p>
      <w:pPr>
        <w:spacing w:line="360" w:lineRule="auto"/>
        <w:ind w:firstLine="422" w:firstLineChars="200"/>
        <w:rPr>
          <w:rFonts w:ascii="宋体" w:hAnsi="宋体"/>
          <w:b/>
          <w:color w:val="auto"/>
          <w:highlight w:val="none"/>
        </w:rPr>
      </w:pPr>
      <w:r>
        <w:rPr>
          <w:rFonts w:hint="eastAsia" w:ascii="宋体" w:hAnsi="宋体"/>
          <w:b/>
          <w:color w:val="auto"/>
          <w:highlight w:val="none"/>
        </w:rPr>
        <w:t>A3.5算术错误修正</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评标委员会依据本章中规定的相关原则对投标报价中存在的算术错误进行修正，并根据算术错误修正结果计算评标价。</w:t>
      </w:r>
    </w:p>
    <w:p>
      <w:pPr>
        <w:spacing w:line="360" w:lineRule="auto"/>
        <w:ind w:firstLine="422" w:firstLineChars="200"/>
        <w:rPr>
          <w:rFonts w:ascii="宋体" w:hAnsi="宋体"/>
          <w:b/>
          <w:color w:val="auto"/>
          <w:highlight w:val="none"/>
        </w:rPr>
      </w:pPr>
      <w:r>
        <w:rPr>
          <w:rFonts w:hint="eastAsia" w:ascii="宋体" w:hAnsi="宋体"/>
          <w:b/>
          <w:color w:val="auto"/>
          <w:highlight w:val="none"/>
        </w:rPr>
        <w:t>A3．6澄清、说明或补正</w:t>
      </w:r>
    </w:p>
    <w:p>
      <w:pPr>
        <w:spacing w:line="360" w:lineRule="auto"/>
        <w:ind w:firstLine="420" w:firstLineChars="200"/>
        <w:rPr>
          <w:rFonts w:ascii="宋体" w:hAnsi="宋体"/>
          <w:color w:val="auto"/>
          <w:highlight w:val="none"/>
        </w:rPr>
      </w:pPr>
      <w:r>
        <w:rPr>
          <w:rFonts w:hint="eastAsia" w:ascii="宋体" w:hAnsi="宋体"/>
          <w:color w:val="auto"/>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2" w:firstLineChars="200"/>
        <w:rPr>
          <w:rFonts w:ascii="宋体" w:hAnsi="宋体"/>
          <w:b/>
          <w:color w:val="auto"/>
          <w:highlight w:val="none"/>
        </w:rPr>
      </w:pPr>
      <w:r>
        <w:rPr>
          <w:rFonts w:hint="eastAsia" w:ascii="宋体" w:hAnsi="宋体"/>
          <w:b/>
          <w:color w:val="auto"/>
          <w:highlight w:val="none"/>
        </w:rPr>
        <w:t>A4．详细评审</w:t>
      </w:r>
    </w:p>
    <w:p>
      <w:pPr>
        <w:spacing w:line="360" w:lineRule="auto"/>
        <w:ind w:firstLine="420" w:firstLineChars="200"/>
        <w:rPr>
          <w:rFonts w:ascii="宋体" w:hAnsi="宋体"/>
          <w:color w:val="auto"/>
          <w:highlight w:val="none"/>
        </w:rPr>
      </w:pPr>
      <w:r>
        <w:rPr>
          <w:rFonts w:hint="eastAsia" w:ascii="宋体" w:hAnsi="宋体"/>
          <w:color w:val="auto"/>
          <w:highlight w:val="none"/>
        </w:rPr>
        <w:t>只有通过了初步评审、被判定为合格的投标方可进入详细评审。</w:t>
      </w:r>
    </w:p>
    <w:p>
      <w:pPr>
        <w:spacing w:line="360" w:lineRule="auto"/>
        <w:ind w:firstLine="422" w:firstLineChars="200"/>
        <w:rPr>
          <w:rFonts w:ascii="宋体" w:hAnsi="宋体"/>
          <w:b/>
          <w:color w:val="auto"/>
          <w:highlight w:val="none"/>
        </w:rPr>
      </w:pPr>
      <w:r>
        <w:rPr>
          <w:rFonts w:hint="eastAsia" w:ascii="宋体" w:hAnsi="宋体"/>
          <w:b/>
          <w:color w:val="auto"/>
          <w:highlight w:val="none"/>
        </w:rPr>
        <w:t>A4.1详细评审的程序</w:t>
      </w:r>
    </w:p>
    <w:p>
      <w:pPr>
        <w:spacing w:line="360" w:lineRule="auto"/>
        <w:ind w:firstLine="420" w:firstLineChars="200"/>
        <w:rPr>
          <w:rFonts w:ascii="宋体" w:hAnsi="宋体"/>
          <w:color w:val="auto"/>
          <w:highlight w:val="none"/>
        </w:rPr>
      </w:pPr>
      <w:r>
        <w:rPr>
          <w:rFonts w:hint="eastAsia" w:ascii="宋体" w:hAnsi="宋体"/>
          <w:color w:val="auto"/>
          <w:highlight w:val="none"/>
        </w:rPr>
        <w:t>A4.1.1  评标委员会按照本章第3.2款中规定的程序进行详细评审：</w:t>
      </w:r>
    </w:p>
    <w:p>
      <w:pPr>
        <w:spacing w:line="360" w:lineRule="auto"/>
        <w:ind w:firstLine="420" w:firstLineChars="200"/>
        <w:rPr>
          <w:rFonts w:ascii="宋体" w:hAnsi="宋体"/>
          <w:color w:val="auto"/>
          <w:highlight w:val="none"/>
        </w:rPr>
      </w:pPr>
      <w:r>
        <w:rPr>
          <w:rFonts w:hint="eastAsia" w:ascii="宋体" w:hAnsi="宋体"/>
          <w:color w:val="auto"/>
          <w:highlight w:val="none"/>
        </w:rPr>
        <w:t>（1）投标报价评审和评分；</w:t>
      </w:r>
    </w:p>
    <w:p>
      <w:pPr>
        <w:spacing w:line="360" w:lineRule="auto"/>
        <w:ind w:firstLine="420" w:firstLineChars="200"/>
        <w:rPr>
          <w:rFonts w:ascii="宋体" w:hAnsi="宋体"/>
          <w:color w:val="auto"/>
          <w:highlight w:val="none"/>
        </w:rPr>
      </w:pPr>
      <w:r>
        <w:rPr>
          <w:rFonts w:hint="eastAsia" w:ascii="宋体" w:hAnsi="宋体"/>
          <w:color w:val="auto"/>
          <w:highlight w:val="none"/>
        </w:rPr>
        <w:t>（2）技术部分评审和评分；</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（3）其他评分因素评审和评分；</w:t>
      </w:r>
    </w:p>
    <w:p>
      <w:pPr>
        <w:spacing w:line="360" w:lineRule="auto"/>
        <w:ind w:firstLine="420" w:firstLineChars="200"/>
        <w:rPr>
          <w:rFonts w:ascii="宋体" w:hAnsi="宋体"/>
          <w:color w:val="auto"/>
          <w:highlight w:val="none"/>
        </w:rPr>
      </w:pPr>
      <w:r>
        <w:rPr>
          <w:rFonts w:hint="eastAsia" w:ascii="宋体" w:hAnsi="宋体"/>
          <w:color w:val="auto"/>
          <w:highlight w:val="none"/>
        </w:rPr>
        <w:t>（4）汇总评分结果。</w:t>
      </w:r>
    </w:p>
    <w:p>
      <w:pPr>
        <w:spacing w:line="360" w:lineRule="auto"/>
        <w:ind w:firstLine="422" w:firstLineChars="200"/>
        <w:rPr>
          <w:rFonts w:ascii="宋体" w:hAnsi="宋体"/>
          <w:b/>
          <w:bCs/>
          <w:color w:val="auto"/>
          <w:highlight w:val="none"/>
        </w:rPr>
      </w:pPr>
      <w:r>
        <w:rPr>
          <w:rFonts w:hint="eastAsia" w:ascii="宋体" w:hAnsi="宋体"/>
          <w:b/>
          <w:bCs/>
          <w:color w:val="auto"/>
          <w:highlight w:val="none"/>
        </w:rPr>
        <w:t>A4.2 投标报价评审和评分</w:t>
      </w:r>
    </w:p>
    <w:p>
      <w:pPr>
        <w:spacing w:line="360" w:lineRule="auto"/>
        <w:ind w:firstLine="420" w:firstLineChars="200"/>
        <w:rPr>
          <w:rFonts w:ascii="宋体" w:hAnsi="宋体"/>
          <w:color w:val="auto"/>
          <w:highlight w:val="none"/>
        </w:rPr>
      </w:pPr>
      <w:r>
        <w:rPr>
          <w:rFonts w:hint="eastAsia" w:ascii="宋体" w:hAnsi="宋体"/>
          <w:color w:val="auto"/>
          <w:highlight w:val="none"/>
        </w:rPr>
        <w:t>根据评标办法前附表中规定的分值设定、各项评分因素和相应的评分标准，对投标报价进行评审和评分，并记录对投标报价的评分结果，投标报价的得分记录为A。</w:t>
      </w:r>
    </w:p>
    <w:p>
      <w:pPr>
        <w:spacing w:line="360" w:lineRule="auto"/>
        <w:ind w:firstLine="422" w:firstLineChars="200"/>
        <w:rPr>
          <w:rFonts w:ascii="宋体" w:hAnsi="宋体"/>
          <w:b/>
          <w:color w:val="auto"/>
          <w:highlight w:val="none"/>
        </w:rPr>
      </w:pPr>
      <w:r>
        <w:rPr>
          <w:rFonts w:hint="eastAsia" w:ascii="宋体" w:hAnsi="宋体"/>
          <w:b/>
          <w:color w:val="auto"/>
          <w:highlight w:val="none"/>
        </w:rPr>
        <w:t>A4.3 技术部分评审和评分</w:t>
      </w:r>
    </w:p>
    <w:p>
      <w:pPr>
        <w:spacing w:line="360" w:lineRule="auto"/>
        <w:ind w:firstLine="420" w:firstLineChars="200"/>
        <w:rPr>
          <w:rFonts w:ascii="宋体" w:hAnsi="宋体"/>
          <w:color w:val="auto"/>
          <w:highlight w:val="none"/>
        </w:rPr>
      </w:pPr>
      <w:r>
        <w:rPr>
          <w:rFonts w:hint="eastAsia" w:ascii="宋体" w:hAnsi="宋体"/>
          <w:color w:val="auto"/>
          <w:highlight w:val="none"/>
        </w:rPr>
        <w:t>按照评标办法前附表中规定的分值设定、各项评分因素、评分标准，对承包人技术部分进行评审和评分，并记录对技术部分的评分结果，技术部分的得分记录为B。</w:t>
      </w:r>
    </w:p>
    <w:p>
      <w:pPr>
        <w:spacing w:line="360" w:lineRule="auto"/>
        <w:ind w:firstLine="422" w:firstLineChars="200"/>
        <w:rPr>
          <w:rFonts w:ascii="宋体" w:hAnsi="宋体"/>
          <w:b/>
          <w:color w:val="auto"/>
          <w:highlight w:val="none"/>
        </w:rPr>
      </w:pPr>
      <w:r>
        <w:rPr>
          <w:rFonts w:hint="eastAsia" w:ascii="宋体" w:hAnsi="宋体"/>
          <w:b/>
          <w:color w:val="auto"/>
          <w:highlight w:val="none"/>
        </w:rPr>
        <w:t>A4.4 其他因素的评审和评分</w:t>
      </w:r>
    </w:p>
    <w:p>
      <w:pPr>
        <w:spacing w:line="360" w:lineRule="auto"/>
        <w:ind w:firstLine="420" w:firstLineChars="200"/>
        <w:rPr>
          <w:rFonts w:ascii="宋体" w:hAnsi="宋体"/>
          <w:color w:val="auto"/>
          <w:highlight w:val="none"/>
        </w:rPr>
      </w:pPr>
      <w:r>
        <w:rPr>
          <w:rFonts w:hint="eastAsia" w:ascii="宋体" w:hAnsi="宋体"/>
          <w:color w:val="auto"/>
          <w:highlight w:val="none"/>
        </w:rPr>
        <w:t>根据评标办法前附表中规定的分值设定、各项评分因素和相应的评分标准，对其他因素进行评审和评分，并记录对其他因素的评分结果，其他因素的得分记录为</w:t>
      </w:r>
      <w:r>
        <w:rPr>
          <w:rFonts w:ascii="宋体" w:hAnsi="宋体"/>
          <w:color w:val="auto"/>
          <w:highlight w:val="none"/>
        </w:rPr>
        <w:t>C</w:t>
      </w:r>
      <w:r>
        <w:rPr>
          <w:rFonts w:hint="eastAsia" w:ascii="宋体" w:hAnsi="宋体"/>
          <w:color w:val="auto"/>
          <w:highlight w:val="none"/>
        </w:rPr>
        <w:t>。</w:t>
      </w:r>
    </w:p>
    <w:p>
      <w:pPr>
        <w:spacing w:line="360" w:lineRule="auto"/>
        <w:ind w:firstLine="422" w:firstLineChars="200"/>
        <w:rPr>
          <w:rFonts w:ascii="宋体" w:hAnsi="宋体"/>
          <w:b/>
          <w:color w:val="auto"/>
          <w:highlight w:val="none"/>
        </w:rPr>
      </w:pPr>
      <w:r>
        <w:rPr>
          <w:rFonts w:hint="eastAsia" w:ascii="宋体" w:hAnsi="宋体"/>
          <w:b/>
          <w:color w:val="auto"/>
          <w:highlight w:val="none"/>
        </w:rPr>
        <w:t>A4.5 澄清、说明或补正</w:t>
      </w:r>
    </w:p>
    <w:p>
      <w:pPr>
        <w:spacing w:line="360" w:lineRule="auto"/>
        <w:ind w:firstLine="420" w:firstLineChars="200"/>
        <w:rPr>
          <w:rFonts w:ascii="宋体" w:hAnsi="宋体"/>
          <w:color w:val="auto"/>
          <w:highlight w:val="none"/>
        </w:rPr>
      </w:pPr>
      <w:r>
        <w:rPr>
          <w:rFonts w:hint="eastAsia" w:ascii="宋体" w:hAnsi="宋体"/>
          <w:color w:val="auto"/>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2" w:firstLineChars="200"/>
        <w:rPr>
          <w:rFonts w:ascii="宋体" w:hAnsi="宋体"/>
          <w:b/>
          <w:color w:val="auto"/>
          <w:highlight w:val="none"/>
        </w:rPr>
      </w:pPr>
      <w:r>
        <w:rPr>
          <w:rFonts w:hint="eastAsia" w:ascii="宋体" w:hAnsi="宋体"/>
          <w:b/>
          <w:color w:val="auto"/>
          <w:highlight w:val="none"/>
        </w:rPr>
        <w:t>A4.6 汇总评分结果</w:t>
      </w:r>
    </w:p>
    <w:p>
      <w:pPr>
        <w:spacing w:line="360" w:lineRule="auto"/>
        <w:ind w:firstLine="420" w:firstLineChars="200"/>
        <w:rPr>
          <w:rFonts w:ascii="宋体" w:hAnsi="宋体"/>
          <w:color w:val="auto"/>
          <w:highlight w:val="none"/>
        </w:rPr>
      </w:pPr>
      <w:r>
        <w:rPr>
          <w:rFonts w:hint="eastAsia" w:ascii="宋体" w:hAnsi="宋体"/>
          <w:color w:val="auto"/>
          <w:highlight w:val="none"/>
        </w:rPr>
        <w:t>A4.6.1评标委员会成员应填写详细评审评分汇总表。</w:t>
      </w:r>
    </w:p>
    <w:p>
      <w:pPr>
        <w:spacing w:line="360" w:lineRule="auto"/>
        <w:ind w:firstLine="420" w:firstLineChars="200"/>
        <w:rPr>
          <w:rFonts w:ascii="宋体" w:hAnsi="宋体"/>
          <w:color w:val="auto"/>
          <w:highlight w:val="none"/>
        </w:rPr>
      </w:pPr>
      <w:r>
        <w:rPr>
          <w:rFonts w:hint="eastAsia" w:ascii="宋体" w:hAnsi="宋体"/>
          <w:color w:val="auto"/>
          <w:highlight w:val="none"/>
        </w:rPr>
        <w:t>A4.6.2详细评审工作全部结束后，汇总各个评标委员会成员的详细评审评分结果，并按照详细评审最终得分由高至低的次序对投标人进行排序。</w:t>
      </w:r>
    </w:p>
    <w:p>
      <w:pPr>
        <w:spacing w:line="360" w:lineRule="auto"/>
        <w:ind w:firstLine="422" w:firstLineChars="200"/>
        <w:rPr>
          <w:rFonts w:ascii="宋体" w:hAnsi="宋体"/>
          <w:b/>
          <w:color w:val="auto"/>
          <w:highlight w:val="none"/>
        </w:rPr>
      </w:pPr>
      <w:r>
        <w:rPr>
          <w:rFonts w:hint="eastAsia" w:ascii="宋体" w:hAnsi="宋体"/>
          <w:b/>
          <w:color w:val="auto"/>
          <w:highlight w:val="none"/>
        </w:rPr>
        <w:t>A5.  推荐中标候选人或者直接确定中标人</w:t>
      </w:r>
    </w:p>
    <w:p>
      <w:pPr>
        <w:spacing w:line="360" w:lineRule="auto"/>
        <w:ind w:firstLine="422" w:firstLineChars="200"/>
        <w:rPr>
          <w:rFonts w:ascii="宋体" w:hAnsi="宋体"/>
          <w:b/>
          <w:color w:val="auto"/>
          <w:highlight w:val="none"/>
        </w:rPr>
      </w:pPr>
      <w:r>
        <w:rPr>
          <w:rFonts w:hint="eastAsia" w:ascii="宋体" w:hAnsi="宋体"/>
          <w:b/>
          <w:color w:val="auto"/>
          <w:highlight w:val="none"/>
        </w:rPr>
        <w:t>A5.1  推荐中标候选人</w:t>
      </w:r>
    </w:p>
    <w:p>
      <w:pPr>
        <w:spacing w:line="360" w:lineRule="auto"/>
        <w:ind w:firstLine="420" w:firstLineChars="200"/>
        <w:rPr>
          <w:rFonts w:ascii="宋体" w:hAnsi="宋体"/>
          <w:color w:val="auto"/>
          <w:highlight w:val="none"/>
        </w:rPr>
      </w:pPr>
      <w:r>
        <w:rPr>
          <w:rFonts w:hint="eastAsia" w:ascii="宋体" w:hAnsi="宋体"/>
          <w:color w:val="auto"/>
          <w:highlight w:val="none"/>
        </w:rPr>
        <w:t>A5.1.1  除第二章“投标人须知”前附表第7．1款授权直接确定中标人外，评标委员会在推荐中标候选人时，应遵照以下原则:</w:t>
      </w:r>
    </w:p>
    <w:p>
      <w:pPr>
        <w:spacing w:line="360" w:lineRule="auto"/>
        <w:ind w:firstLine="420" w:firstLineChars="200"/>
        <w:rPr>
          <w:rFonts w:ascii="宋体" w:hAnsi="宋体"/>
          <w:color w:val="auto"/>
          <w:highlight w:val="none"/>
        </w:rPr>
      </w:pPr>
      <w:r>
        <w:rPr>
          <w:rFonts w:hint="eastAsia" w:ascii="宋体" w:hAnsi="宋体"/>
          <w:color w:val="auto"/>
          <w:highlight w:val="none"/>
        </w:rPr>
        <w:t>(1)  评标委员会按照最终得分由高至低的次序排列，并根据第二章“投标人须知”前附表第7.1款规定的中标候选人数量，将排序在前的投标人推荐为中标候选人。</w:t>
      </w:r>
    </w:p>
    <w:p>
      <w:pPr>
        <w:spacing w:line="360" w:lineRule="auto"/>
        <w:ind w:firstLine="420" w:firstLineChars="200"/>
        <w:rPr>
          <w:rFonts w:ascii="宋体" w:hAnsi="宋体"/>
          <w:color w:val="auto"/>
          <w:highlight w:val="none"/>
        </w:rPr>
      </w:pPr>
      <w:r>
        <w:rPr>
          <w:rFonts w:hint="eastAsia" w:ascii="宋体" w:hAnsi="宋体"/>
          <w:color w:val="auto"/>
          <w:highlight w:val="none"/>
        </w:rPr>
        <w:t>(2)  如果评标委员会根据本章的规定作否决投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pacing w:line="360" w:lineRule="auto"/>
        <w:ind w:firstLine="420" w:firstLineChars="200"/>
        <w:rPr>
          <w:rFonts w:ascii="宋体" w:hAnsi="宋体"/>
          <w:color w:val="auto"/>
          <w:highlight w:val="none"/>
        </w:rPr>
      </w:pPr>
      <w:r>
        <w:rPr>
          <w:rFonts w:hint="eastAsia" w:ascii="宋体" w:hAnsi="宋体"/>
          <w:color w:val="auto"/>
          <w:highlight w:val="none"/>
        </w:rPr>
        <w:t>A5.2.2  投标人数量少于三个或者所有投标被否决的，招标人应当依法重新招标。</w:t>
      </w:r>
    </w:p>
    <w:p>
      <w:pPr>
        <w:spacing w:line="360" w:lineRule="auto"/>
        <w:ind w:firstLine="422" w:firstLineChars="200"/>
        <w:rPr>
          <w:rFonts w:ascii="宋体" w:hAnsi="宋体"/>
          <w:b/>
          <w:color w:val="auto"/>
          <w:highlight w:val="none"/>
        </w:rPr>
      </w:pPr>
      <w:r>
        <w:rPr>
          <w:rFonts w:hint="eastAsia" w:ascii="宋体" w:hAnsi="宋体"/>
          <w:b/>
          <w:color w:val="auto"/>
          <w:highlight w:val="none"/>
        </w:rPr>
        <w:t>A5.2直接确定中标人</w:t>
      </w:r>
    </w:p>
    <w:p>
      <w:pPr>
        <w:spacing w:line="360" w:lineRule="auto"/>
        <w:ind w:firstLine="420" w:firstLineChars="200"/>
        <w:rPr>
          <w:rFonts w:ascii="宋体" w:hAnsi="宋体"/>
          <w:color w:val="auto"/>
          <w:highlight w:val="none"/>
        </w:rPr>
      </w:pPr>
      <w:r>
        <w:rPr>
          <w:rFonts w:hint="eastAsia" w:ascii="宋体" w:hAnsi="宋体"/>
          <w:color w:val="auto"/>
          <w:highlight w:val="none"/>
        </w:rPr>
        <w:t>第二章“投标人须知”前附表授权评标委员会直接确定中标人的，评标委员会按照最终得分由高至低的次序排列，并确定排名第一的投标人为中标人。</w:t>
      </w:r>
    </w:p>
    <w:p>
      <w:pPr>
        <w:spacing w:line="360" w:lineRule="auto"/>
        <w:ind w:firstLine="422" w:firstLineChars="200"/>
        <w:rPr>
          <w:rFonts w:ascii="宋体" w:hAnsi="宋体"/>
          <w:b/>
          <w:color w:val="auto"/>
          <w:highlight w:val="none"/>
        </w:rPr>
      </w:pPr>
      <w:r>
        <w:rPr>
          <w:rFonts w:hint="eastAsia" w:ascii="宋体" w:hAnsi="宋体"/>
          <w:b/>
          <w:color w:val="auto"/>
          <w:highlight w:val="none"/>
        </w:rPr>
        <w:t>A5．3编制评标报告</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评标委员会根据本章第3.4.2项的规定向招标人提交评标报告。评标报告应当由全体评标委员会成员签字，并于评标结束时抄送有关行政监督部门。评标报告应当包括以下内容：</w:t>
      </w:r>
    </w:p>
    <w:p>
      <w:pPr>
        <w:spacing w:line="360" w:lineRule="auto"/>
        <w:ind w:firstLine="420" w:firstLineChars="200"/>
        <w:rPr>
          <w:rFonts w:ascii="宋体" w:hAnsi="宋体"/>
          <w:color w:val="auto"/>
          <w:highlight w:val="none"/>
        </w:rPr>
      </w:pPr>
      <w:r>
        <w:rPr>
          <w:rFonts w:hint="eastAsia" w:ascii="宋体" w:hAnsi="宋体"/>
          <w:color w:val="auto"/>
          <w:highlight w:val="none"/>
        </w:rPr>
        <w:t>（1）基本情况和数据表；</w:t>
      </w:r>
    </w:p>
    <w:p>
      <w:pPr>
        <w:spacing w:line="360" w:lineRule="auto"/>
        <w:ind w:firstLine="420" w:firstLineChars="200"/>
        <w:rPr>
          <w:rFonts w:ascii="宋体" w:hAnsi="宋体"/>
          <w:color w:val="auto"/>
          <w:highlight w:val="none"/>
        </w:rPr>
      </w:pPr>
      <w:r>
        <w:rPr>
          <w:rFonts w:hint="eastAsia" w:ascii="宋体" w:hAnsi="宋体"/>
          <w:color w:val="auto"/>
          <w:highlight w:val="none"/>
        </w:rPr>
        <w:t>（2）评标委员会成员名单；</w:t>
      </w:r>
    </w:p>
    <w:p>
      <w:pPr>
        <w:spacing w:line="360" w:lineRule="auto"/>
        <w:ind w:firstLine="420" w:firstLineChars="200"/>
        <w:rPr>
          <w:rFonts w:ascii="宋体" w:hAnsi="宋体"/>
          <w:color w:val="auto"/>
          <w:highlight w:val="none"/>
        </w:rPr>
      </w:pPr>
      <w:r>
        <w:rPr>
          <w:rFonts w:hint="eastAsia" w:ascii="宋体" w:hAnsi="宋体"/>
          <w:color w:val="auto"/>
          <w:highlight w:val="none"/>
        </w:rPr>
        <w:t>（3）开标记录；</w:t>
      </w:r>
    </w:p>
    <w:p>
      <w:pPr>
        <w:spacing w:line="360" w:lineRule="auto"/>
        <w:ind w:firstLine="420" w:firstLineChars="200"/>
        <w:rPr>
          <w:rFonts w:ascii="宋体" w:hAnsi="宋体"/>
          <w:color w:val="auto"/>
          <w:highlight w:val="none"/>
        </w:rPr>
      </w:pPr>
      <w:r>
        <w:rPr>
          <w:rFonts w:hint="eastAsia" w:ascii="宋体" w:hAnsi="宋体"/>
          <w:color w:val="auto"/>
          <w:highlight w:val="none"/>
        </w:rPr>
        <w:t>（4）符合要求的投标一览表；</w:t>
      </w:r>
    </w:p>
    <w:p>
      <w:pPr>
        <w:spacing w:line="360" w:lineRule="auto"/>
        <w:ind w:firstLine="420" w:firstLineChars="200"/>
        <w:rPr>
          <w:rFonts w:ascii="宋体" w:hAnsi="宋体"/>
          <w:color w:val="auto"/>
          <w:highlight w:val="none"/>
        </w:rPr>
      </w:pPr>
      <w:r>
        <w:rPr>
          <w:rFonts w:hint="eastAsia" w:ascii="宋体" w:hAnsi="宋体"/>
          <w:color w:val="auto"/>
          <w:highlight w:val="none"/>
        </w:rPr>
        <w:t>（5）否决投标情况说明；</w:t>
      </w:r>
    </w:p>
    <w:p>
      <w:pPr>
        <w:spacing w:line="360" w:lineRule="auto"/>
        <w:ind w:firstLine="420" w:firstLineChars="200"/>
        <w:rPr>
          <w:rFonts w:ascii="宋体" w:hAnsi="宋体"/>
          <w:color w:val="auto"/>
          <w:highlight w:val="none"/>
        </w:rPr>
      </w:pPr>
      <w:r>
        <w:rPr>
          <w:rFonts w:hint="eastAsia" w:ascii="宋体" w:hAnsi="宋体"/>
          <w:color w:val="auto"/>
          <w:highlight w:val="none"/>
        </w:rPr>
        <w:t>（6）评标标准、评标方法或者评标因素一览表；</w:t>
      </w:r>
    </w:p>
    <w:p>
      <w:pPr>
        <w:spacing w:line="360" w:lineRule="auto"/>
        <w:ind w:firstLine="420" w:firstLineChars="200"/>
        <w:rPr>
          <w:rFonts w:ascii="宋体" w:hAnsi="宋体"/>
          <w:color w:val="auto"/>
          <w:highlight w:val="none"/>
        </w:rPr>
      </w:pPr>
      <w:r>
        <w:rPr>
          <w:rFonts w:hint="eastAsia" w:ascii="宋体" w:hAnsi="宋体"/>
          <w:color w:val="auto"/>
          <w:highlight w:val="none"/>
        </w:rPr>
        <w:t>（7）经评审的价格一览表(包括评标委员会在评标过程中所形成的所有记载评标结果、结论的表格、说明、记录等文件)；</w:t>
      </w:r>
    </w:p>
    <w:p>
      <w:pPr>
        <w:spacing w:line="360" w:lineRule="auto"/>
        <w:ind w:firstLine="420" w:firstLineChars="200"/>
        <w:rPr>
          <w:rFonts w:ascii="宋体" w:hAnsi="宋体"/>
          <w:color w:val="auto"/>
          <w:highlight w:val="none"/>
        </w:rPr>
      </w:pPr>
      <w:r>
        <w:rPr>
          <w:rFonts w:hint="eastAsia" w:ascii="宋体" w:hAnsi="宋体"/>
          <w:color w:val="auto"/>
          <w:highlight w:val="none"/>
        </w:rPr>
        <w:t>（8）经评审的投标人排序；</w:t>
      </w:r>
    </w:p>
    <w:p>
      <w:pPr>
        <w:spacing w:line="360" w:lineRule="auto"/>
        <w:ind w:firstLine="420" w:firstLineChars="200"/>
        <w:rPr>
          <w:rFonts w:ascii="宋体" w:hAnsi="宋体"/>
          <w:color w:val="auto"/>
          <w:highlight w:val="none"/>
        </w:rPr>
      </w:pPr>
      <w:r>
        <w:rPr>
          <w:rFonts w:hint="eastAsia" w:ascii="宋体" w:hAnsi="宋体"/>
          <w:color w:val="auto"/>
          <w:highlight w:val="none"/>
        </w:rPr>
        <w:t>（9）推荐的中标候选人名单(如果第二章“投标人须知”前附表授权评标委员会直接确定中标人，则为“确定的中标人”)与签订合同前要处理的事宜；</w:t>
      </w:r>
    </w:p>
    <w:p>
      <w:pPr>
        <w:spacing w:line="360" w:lineRule="auto"/>
        <w:ind w:firstLine="420" w:firstLineChars="200"/>
        <w:rPr>
          <w:rFonts w:ascii="宋体" w:hAnsi="宋体"/>
          <w:color w:val="auto"/>
          <w:highlight w:val="none"/>
        </w:rPr>
      </w:pPr>
      <w:r>
        <w:rPr>
          <w:rFonts w:hint="eastAsia" w:ascii="宋体" w:hAnsi="宋体"/>
          <w:color w:val="auto"/>
          <w:highlight w:val="none"/>
        </w:rPr>
        <w:t>（10）澄清、说明、补正事项纪要。</w:t>
      </w:r>
    </w:p>
    <w:p>
      <w:pPr>
        <w:spacing w:line="360" w:lineRule="auto"/>
        <w:ind w:firstLine="422" w:firstLineChars="200"/>
        <w:rPr>
          <w:rFonts w:ascii="宋体" w:hAnsi="宋体"/>
          <w:b/>
          <w:color w:val="auto"/>
          <w:highlight w:val="none"/>
        </w:rPr>
      </w:pPr>
      <w:r>
        <w:rPr>
          <w:rFonts w:hint="eastAsia" w:ascii="宋体" w:hAnsi="宋体"/>
          <w:b/>
          <w:color w:val="auto"/>
          <w:highlight w:val="none"/>
        </w:rPr>
        <w:t>A6．特殊情况的处置程序</w:t>
      </w:r>
    </w:p>
    <w:p>
      <w:pPr>
        <w:spacing w:line="360" w:lineRule="auto"/>
        <w:ind w:firstLine="422" w:firstLineChars="200"/>
        <w:rPr>
          <w:rFonts w:ascii="宋体" w:hAnsi="宋体"/>
          <w:b/>
          <w:color w:val="auto"/>
          <w:highlight w:val="none"/>
        </w:rPr>
      </w:pPr>
      <w:r>
        <w:rPr>
          <w:rFonts w:hint="eastAsia" w:ascii="宋体" w:hAnsi="宋体"/>
          <w:b/>
          <w:color w:val="auto"/>
          <w:highlight w:val="none"/>
        </w:rPr>
        <w:t>A6.1关于评标活动暂停</w:t>
      </w:r>
    </w:p>
    <w:p>
      <w:pPr>
        <w:spacing w:line="360" w:lineRule="auto"/>
        <w:ind w:firstLine="420" w:firstLineChars="200"/>
        <w:rPr>
          <w:rFonts w:ascii="宋体" w:hAnsi="宋体"/>
          <w:color w:val="auto"/>
          <w:highlight w:val="none"/>
        </w:rPr>
      </w:pPr>
      <w:r>
        <w:rPr>
          <w:rFonts w:hint="eastAsia" w:ascii="宋体" w:hAnsi="宋体"/>
          <w:color w:val="auto"/>
          <w:highlight w:val="none"/>
        </w:rPr>
        <w:t>A6.1.1评标委员会应当执行连续评标的原则，按评标办法中规定的程序、内容、方法、标准完成全部评标工作。只有发生不可抗力导致评标工作无法继续时，评标活动方可暂停。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auto"/>
          <w:highlight w:val="none"/>
        </w:rPr>
      </w:pPr>
      <w:r>
        <w:rPr>
          <w:rFonts w:hint="eastAsia" w:ascii="宋体" w:hAnsi="宋体"/>
          <w:color w:val="auto"/>
          <w:highlight w:val="none"/>
        </w:rPr>
        <w:t>A6.1.2发生评标暂停情况时，评标委员会应当封存全部投标文件和评标记录，待不可抗力的影响结束且具备继续评标的条件时，由原评标委员会继续评标。</w:t>
      </w:r>
    </w:p>
    <w:p>
      <w:pPr>
        <w:spacing w:line="360" w:lineRule="auto"/>
        <w:ind w:firstLine="422" w:firstLineChars="200"/>
        <w:rPr>
          <w:rFonts w:ascii="宋体" w:hAnsi="宋体"/>
          <w:b/>
          <w:color w:val="auto"/>
          <w:highlight w:val="none"/>
        </w:rPr>
      </w:pPr>
      <w:r>
        <w:rPr>
          <w:rFonts w:hint="eastAsia" w:ascii="宋体" w:hAnsi="宋体"/>
          <w:b/>
          <w:color w:val="auto"/>
          <w:highlight w:val="none"/>
        </w:rPr>
        <w:t>A6.2  关于评标中途更换评委</w:t>
      </w:r>
    </w:p>
    <w:p>
      <w:pPr>
        <w:spacing w:line="360" w:lineRule="auto"/>
        <w:ind w:firstLine="420" w:firstLineChars="200"/>
        <w:rPr>
          <w:rFonts w:ascii="宋体" w:hAnsi="宋体"/>
          <w:color w:val="auto"/>
          <w:highlight w:val="none"/>
        </w:rPr>
      </w:pPr>
      <w:r>
        <w:rPr>
          <w:rFonts w:hint="eastAsia" w:ascii="宋体" w:hAnsi="宋体"/>
          <w:color w:val="auto"/>
          <w:highlight w:val="none"/>
        </w:rPr>
        <w:t>A6.2.1  除非发生下列情况之一，评标委员会成员不得在评标中途更换：</w:t>
      </w:r>
    </w:p>
    <w:p>
      <w:pPr>
        <w:spacing w:line="360" w:lineRule="auto"/>
        <w:ind w:firstLine="420" w:firstLineChars="200"/>
        <w:rPr>
          <w:rFonts w:ascii="宋体" w:hAnsi="宋体"/>
          <w:color w:val="auto"/>
          <w:highlight w:val="none"/>
        </w:rPr>
      </w:pPr>
      <w:r>
        <w:rPr>
          <w:rFonts w:hint="eastAsia" w:ascii="宋体" w:hAnsi="宋体"/>
          <w:color w:val="auto"/>
          <w:highlight w:val="none"/>
        </w:rPr>
        <w:t>(1) 因不可抗拒的客观原因，不能到场或需在评标中途退出评标活动。</w:t>
      </w:r>
    </w:p>
    <w:p>
      <w:pPr>
        <w:spacing w:line="360" w:lineRule="auto"/>
        <w:ind w:firstLine="420" w:firstLineChars="200"/>
        <w:rPr>
          <w:rFonts w:ascii="宋体" w:hAnsi="宋体"/>
          <w:color w:val="auto"/>
          <w:highlight w:val="none"/>
        </w:rPr>
      </w:pPr>
      <w:r>
        <w:rPr>
          <w:rFonts w:hint="eastAsia" w:ascii="宋体" w:hAnsi="宋体"/>
          <w:color w:val="auto"/>
          <w:highlight w:val="none"/>
        </w:rPr>
        <w:t>(2) 根据法律法规规定，某个或某几个评标委员会成员需要回避。</w:t>
      </w:r>
    </w:p>
    <w:p>
      <w:pPr>
        <w:spacing w:line="360" w:lineRule="auto"/>
        <w:ind w:firstLine="420" w:firstLineChars="200"/>
        <w:rPr>
          <w:rFonts w:ascii="宋体" w:hAnsi="宋体"/>
          <w:color w:val="auto"/>
          <w:highlight w:val="none"/>
        </w:rPr>
      </w:pPr>
      <w:r>
        <w:rPr>
          <w:rFonts w:hint="eastAsia" w:ascii="宋体" w:hAnsi="宋体"/>
          <w:color w:val="auto"/>
          <w:highlight w:val="none"/>
        </w:rPr>
        <w:t>A6.3.2退出评标的评标委员会成员，其已完成的评标行为无效。由招标人根据本招标文件规定的评标委员会成员生产方式另行确定替代者进行评标。</w:t>
      </w:r>
    </w:p>
    <w:p>
      <w:pPr>
        <w:spacing w:line="360" w:lineRule="auto"/>
        <w:ind w:firstLine="422" w:firstLineChars="200"/>
        <w:rPr>
          <w:rFonts w:ascii="宋体" w:hAnsi="宋体"/>
          <w:b/>
          <w:color w:val="auto"/>
          <w:highlight w:val="none"/>
        </w:rPr>
      </w:pPr>
      <w:r>
        <w:rPr>
          <w:rFonts w:hint="eastAsia" w:ascii="宋体" w:hAnsi="宋体"/>
          <w:b/>
          <w:color w:val="auto"/>
          <w:highlight w:val="none"/>
        </w:rPr>
        <w:t>A6.3 记名投票</w:t>
      </w:r>
    </w:p>
    <w:p>
      <w:pPr>
        <w:spacing w:line="360" w:lineRule="auto"/>
        <w:ind w:firstLine="420" w:firstLineChars="200"/>
        <w:rPr>
          <w:rFonts w:ascii="宋体" w:hAnsi="宋体"/>
          <w:color w:val="auto"/>
          <w:highlight w:val="none"/>
        </w:rPr>
      </w:pPr>
      <w:r>
        <w:rPr>
          <w:rFonts w:hint="eastAsia" w:ascii="宋体" w:hAnsi="宋体"/>
          <w:color w:val="auto"/>
          <w:highlight w:val="none"/>
        </w:rPr>
        <w:t>在任何评标环节中，需评标委员会就某项定性的评审结论做出表决的，由评标委员会全体成员按照少数服从多数的原则，以记名投票方式表决。</w:t>
      </w:r>
    </w:p>
    <w:p>
      <w:pPr>
        <w:spacing w:line="360" w:lineRule="auto"/>
        <w:ind w:firstLine="422" w:firstLineChars="200"/>
        <w:rPr>
          <w:rFonts w:ascii="宋体" w:hAnsi="宋体"/>
          <w:b/>
          <w:color w:val="auto"/>
          <w:highlight w:val="none"/>
        </w:rPr>
      </w:pPr>
      <w:r>
        <w:rPr>
          <w:rFonts w:hint="eastAsia" w:ascii="宋体" w:hAnsi="宋体"/>
          <w:b/>
          <w:color w:val="auto"/>
          <w:highlight w:val="none"/>
        </w:rPr>
        <w:t>A7.补充条款</w:t>
      </w:r>
    </w:p>
    <w:p>
      <w:pPr>
        <w:spacing w:line="360" w:lineRule="auto"/>
        <w:ind w:firstLine="420" w:firstLineChars="200"/>
        <w:rPr>
          <w:rFonts w:ascii="宋体" w:hAnsi="宋体"/>
          <w:color w:val="auto"/>
          <w:highlight w:val="none"/>
        </w:rPr>
      </w:pPr>
      <w:r>
        <w:rPr>
          <w:rFonts w:hint="eastAsia" w:ascii="宋体" w:hAnsi="宋体"/>
          <w:color w:val="auto"/>
          <w:highlight w:val="none"/>
        </w:rPr>
        <w:t>无。</w:t>
      </w: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6"/>
        <w:spacing w:before="120" w:after="120" w:line="360" w:lineRule="auto"/>
        <w:rPr>
          <w:rFonts w:ascii="宋体" w:hAnsi="宋体" w:eastAsia="宋体" w:cs="宋体"/>
          <w:b w:val="0"/>
          <w:bCs w:val="0"/>
          <w:color w:val="auto"/>
          <w:szCs w:val="21"/>
          <w:highlight w:val="none"/>
        </w:rPr>
      </w:pPr>
      <w:bookmarkStart w:id="971" w:name="_Toc119856083"/>
      <w:bookmarkStart w:id="972" w:name="_Toc54803453"/>
      <w:bookmarkStart w:id="973" w:name="_Toc62586979"/>
      <w:bookmarkStart w:id="974" w:name="_Toc66975120"/>
      <w:bookmarkStart w:id="975" w:name="_Toc19763"/>
      <w:bookmarkStart w:id="976" w:name="_Toc32101"/>
      <w:r>
        <w:rPr>
          <w:rFonts w:hint="eastAsia" w:ascii="宋体" w:hAnsi="宋体" w:eastAsia="宋体" w:cs="宋体"/>
          <w:b w:val="0"/>
          <w:bCs w:val="0"/>
          <w:color w:val="auto"/>
          <w:szCs w:val="21"/>
          <w:highlight w:val="none"/>
        </w:rPr>
        <w:t>附件B：否决投标条件</w:t>
      </w:r>
      <w:bookmarkEnd w:id="971"/>
      <w:bookmarkEnd w:id="972"/>
      <w:bookmarkEnd w:id="973"/>
      <w:bookmarkEnd w:id="974"/>
      <w:bookmarkEnd w:id="975"/>
      <w:bookmarkEnd w:id="976"/>
    </w:p>
    <w:p>
      <w:pPr>
        <w:adjustRightInd w:val="0"/>
        <w:snapToGrid w:val="0"/>
        <w:spacing w:before="240" w:beforeLines="100" w:after="240" w:afterLines="100"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否决投标条件</w:t>
      </w:r>
    </w:p>
    <w:p>
      <w:pPr>
        <w:spacing w:line="360" w:lineRule="auto"/>
        <w:rPr>
          <w:rFonts w:ascii="宋体" w:hAnsi="宋体"/>
          <w:b/>
          <w:color w:val="auto"/>
          <w:highlight w:val="none"/>
        </w:rPr>
      </w:pPr>
      <w:r>
        <w:rPr>
          <w:rFonts w:ascii="宋体" w:hAnsi="宋体"/>
          <w:b/>
          <w:color w:val="auto"/>
          <w:highlight w:val="none"/>
        </w:rPr>
        <w:t>B0</w:t>
      </w:r>
      <w:r>
        <w:rPr>
          <w:rFonts w:hint="eastAsia" w:ascii="宋体" w:hAnsi="宋体"/>
          <w:b/>
          <w:color w:val="auto"/>
          <w:highlight w:val="none"/>
        </w:rPr>
        <w:t>.总  则</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spacing w:line="360" w:lineRule="auto"/>
        <w:rPr>
          <w:rFonts w:ascii="宋体" w:hAnsi="宋体"/>
          <w:b/>
          <w:color w:val="auto"/>
          <w:highlight w:val="none"/>
        </w:rPr>
      </w:pPr>
      <w:r>
        <w:rPr>
          <w:rFonts w:ascii="宋体" w:hAnsi="宋体"/>
          <w:b/>
          <w:color w:val="auto"/>
          <w:highlight w:val="none"/>
        </w:rPr>
        <w:t>B</w:t>
      </w:r>
      <w:r>
        <w:rPr>
          <w:rFonts w:hint="eastAsia" w:ascii="宋体" w:hAnsi="宋体"/>
          <w:b/>
          <w:color w:val="auto"/>
          <w:highlight w:val="none"/>
        </w:rPr>
        <w:t>1</w:t>
      </w:r>
      <w:r>
        <w:rPr>
          <w:rFonts w:ascii="宋体" w:hAnsi="宋体"/>
          <w:b/>
          <w:color w:val="auto"/>
          <w:highlight w:val="none"/>
        </w:rPr>
        <w:t>．否决投标条件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投标人或其投标文件有下列情形之一的，其投标作否决投标处理：</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B1.1</w:t>
      </w:r>
      <w:r>
        <w:rPr>
          <w:rFonts w:hint="eastAsia" w:ascii="宋体" w:hAnsi="宋体"/>
          <w:color w:val="auto"/>
          <w:szCs w:val="21"/>
          <w:highlight w:val="none"/>
        </w:rPr>
        <w:t xml:space="preserve">  有第二章“投标人须知”第</w:t>
      </w:r>
      <w:r>
        <w:rPr>
          <w:rFonts w:ascii="宋体" w:hAnsi="宋体"/>
          <w:color w:val="auto"/>
          <w:szCs w:val="21"/>
          <w:highlight w:val="none"/>
        </w:rPr>
        <w:t>1.4.3</w:t>
      </w:r>
      <w:r>
        <w:rPr>
          <w:rFonts w:hint="eastAsia" w:ascii="宋体" w:hAnsi="宋体"/>
          <w:color w:val="auto"/>
          <w:szCs w:val="21"/>
          <w:highlight w:val="none"/>
        </w:rPr>
        <w:t>项规定的任何一种情形的。</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B1.2</w:t>
      </w:r>
      <w:r>
        <w:rPr>
          <w:rFonts w:hint="eastAsia" w:ascii="宋体" w:hAnsi="宋体"/>
          <w:color w:val="auto"/>
          <w:szCs w:val="21"/>
          <w:highlight w:val="none"/>
        </w:rPr>
        <w:t xml:space="preserve">  有串通投标或弄虚作假或有其他违法行为的。</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B1.3</w:t>
      </w:r>
      <w:r>
        <w:rPr>
          <w:rFonts w:hint="eastAsia" w:ascii="宋体" w:hAnsi="宋体"/>
          <w:color w:val="auto"/>
          <w:szCs w:val="21"/>
          <w:highlight w:val="none"/>
        </w:rPr>
        <w:t xml:space="preserve">  不按评标委员会要求澄清、说明或补正的。</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B1.4</w:t>
      </w:r>
      <w:r>
        <w:rPr>
          <w:rFonts w:hint="eastAsia" w:ascii="宋体" w:hAnsi="宋体"/>
          <w:color w:val="auto"/>
          <w:szCs w:val="21"/>
          <w:highlight w:val="none"/>
        </w:rPr>
        <w:t xml:space="preserve">  在形式评审、资格评审、响应性评审中，评标委员会认定投标人的投标不符合评标办法前附表中规定的任何一项评审标准的。</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B1.5  </w:t>
      </w:r>
      <w:r>
        <w:rPr>
          <w:rFonts w:hint="eastAsia" w:ascii="宋体" w:hAnsi="宋体"/>
          <w:color w:val="auto"/>
          <w:szCs w:val="21"/>
          <w:highlight w:val="none"/>
        </w:rPr>
        <w:t>评标委员会认定投标人以低于成本报价竞标的。</w:t>
      </w:r>
    </w:p>
    <w:p>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B1.6 投标人未按投标函附录中的进行报价，投标人所报价格高于招标控制价。</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 xml:space="preserve">B1.7 </w:t>
      </w:r>
      <w:r>
        <w:rPr>
          <w:rFonts w:hint="eastAsia" w:ascii="宋体" w:hAnsi="宋体"/>
          <w:color w:val="auto"/>
          <w:szCs w:val="21"/>
          <w:highlight w:val="none"/>
        </w:rPr>
        <w:t xml:space="preserve"> 法律法规规定的其他无效情形。 </w:t>
      </w: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3"/>
        <w:spacing w:before="120" w:after="480" w:line="360" w:lineRule="auto"/>
        <w:jc w:val="center"/>
        <w:rPr>
          <w:rFonts w:ascii="宋体" w:hAnsi="宋体"/>
          <w:color w:val="auto"/>
          <w:highlight w:val="none"/>
        </w:rPr>
      </w:pPr>
      <w:bookmarkStart w:id="977" w:name="_Toc144974577"/>
      <w:bookmarkStart w:id="978" w:name="_Toc152042387"/>
      <w:bookmarkStart w:id="979" w:name="_Toc32550"/>
      <w:bookmarkStart w:id="980" w:name="_Toc247527634"/>
      <w:bookmarkStart w:id="981" w:name="_Toc247514033"/>
      <w:bookmarkStart w:id="982" w:name="_Toc152045609"/>
      <w:bookmarkStart w:id="983" w:name="_Toc14152"/>
      <w:bookmarkStart w:id="984" w:name="_Toc6449"/>
      <w:r>
        <w:rPr>
          <w:rFonts w:hint="eastAsia" w:ascii="宋体" w:hAnsi="宋体"/>
          <w:color w:val="auto"/>
          <w:highlight w:val="none"/>
        </w:rPr>
        <w:t>第四章 合同条款及格式</w:t>
      </w:r>
      <w:bookmarkEnd w:id="977"/>
      <w:bookmarkEnd w:id="978"/>
      <w:bookmarkEnd w:id="979"/>
      <w:bookmarkEnd w:id="980"/>
      <w:bookmarkEnd w:id="981"/>
      <w:bookmarkEnd w:id="982"/>
      <w:bookmarkEnd w:id="983"/>
      <w:bookmarkEnd w:id="984"/>
      <w:bookmarkStart w:id="985" w:name="_Toc184635097"/>
      <w:bookmarkStart w:id="986" w:name="_Toc247527635"/>
      <w:bookmarkStart w:id="987" w:name="_Toc247514034"/>
      <w:bookmarkStart w:id="988" w:name="_Toc152042388"/>
      <w:bookmarkStart w:id="989" w:name="_Toc152045610"/>
      <w:bookmarkStart w:id="990" w:name="_Toc144974578"/>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985"/>
    <w:bookmarkEnd w:id="986"/>
    <w:bookmarkEnd w:id="987"/>
    <w:bookmarkEnd w:id="988"/>
    <w:bookmarkEnd w:id="989"/>
    <w:bookmarkEnd w:id="990"/>
    <w:p>
      <w:pPr>
        <w:pStyle w:val="2"/>
        <w:spacing w:line="360" w:lineRule="auto"/>
        <w:rPr>
          <w:rFonts w:hAnsi="宋体"/>
          <w:color w:val="auto"/>
          <w:highlight w:val="none"/>
        </w:rPr>
      </w:pPr>
    </w:p>
    <w:p>
      <w:pPr>
        <w:spacing w:after="48"/>
        <w:jc w:val="left"/>
        <w:rPr>
          <w:rFonts w:hint="eastAsia" w:ascii="宋体" w:hAnsi="宋体" w:cs="宋体"/>
          <w:b/>
          <w:bCs/>
          <w:color w:val="auto"/>
          <w:sz w:val="30"/>
          <w:szCs w:val="30"/>
          <w:highlight w:val="none"/>
        </w:rPr>
      </w:pPr>
      <w:bookmarkStart w:id="991" w:name="_Toc523410369"/>
      <w:bookmarkStart w:id="992" w:name="_Toc152045782"/>
      <w:bookmarkStart w:id="993" w:name="_Toc152042571"/>
      <w:bookmarkStart w:id="994" w:name="_Toc247527820"/>
      <w:bookmarkStart w:id="995" w:name="_Toc144974851"/>
      <w:bookmarkStart w:id="996" w:name="_Toc247514233"/>
      <w:bookmarkStart w:id="997" w:name="_Toc28526"/>
      <w:bookmarkStart w:id="998" w:name="_Toc12998"/>
      <w:r>
        <w:rPr>
          <w:rFonts w:hint="eastAsia" w:ascii="宋体" w:hAnsi="宋体" w:cs="宋体"/>
          <w:b/>
          <w:bCs/>
          <w:color w:val="auto"/>
          <w:sz w:val="30"/>
          <w:szCs w:val="30"/>
          <w:highlight w:val="none"/>
        </w:rPr>
        <w:t>GF-20</w:t>
      </w:r>
      <w:r>
        <w:rPr>
          <w:rFonts w:hint="eastAsia" w:ascii="宋体" w:hAnsi="宋体" w:cs="宋体"/>
          <w:b/>
          <w:bCs/>
          <w:color w:val="auto"/>
          <w:sz w:val="30"/>
          <w:szCs w:val="30"/>
          <w:highlight w:val="none"/>
          <w:lang w:val="en-US" w:eastAsia="zh-CN"/>
        </w:rPr>
        <w:t>20</w:t>
      </w:r>
      <w:r>
        <w:rPr>
          <w:rFonts w:hint="eastAsia" w:ascii="宋体" w:hAnsi="宋体" w:cs="宋体"/>
          <w:b/>
          <w:bCs/>
          <w:color w:val="auto"/>
          <w:sz w:val="30"/>
          <w:szCs w:val="30"/>
          <w:highlight w:val="none"/>
        </w:rPr>
        <w:t>-0216</w:t>
      </w:r>
    </w:p>
    <w:p>
      <w:pPr>
        <w:spacing w:after="48"/>
        <w:rPr>
          <w:rFonts w:hint="eastAsia" w:ascii="宋体" w:hAnsi="宋体" w:cs="宋体"/>
          <w:b/>
          <w:bCs/>
          <w:color w:val="auto"/>
          <w:sz w:val="48"/>
          <w:highlight w:val="none"/>
        </w:rPr>
      </w:pPr>
    </w:p>
    <w:p>
      <w:pPr>
        <w:spacing w:after="48"/>
        <w:rPr>
          <w:rFonts w:hint="eastAsia" w:ascii="宋体" w:hAnsi="宋体" w:cs="宋体"/>
          <w:b/>
          <w:bCs/>
          <w:color w:val="auto"/>
          <w:sz w:val="48"/>
          <w:highlight w:val="none"/>
        </w:rPr>
      </w:pPr>
    </w:p>
    <w:p>
      <w:pPr>
        <w:spacing w:after="48"/>
        <w:rPr>
          <w:rFonts w:hint="eastAsia" w:ascii="宋体" w:hAnsi="宋体" w:cs="宋体"/>
          <w:b/>
          <w:bCs/>
          <w:color w:val="auto"/>
          <w:sz w:val="48"/>
          <w:highlight w:val="none"/>
        </w:rPr>
      </w:pPr>
    </w:p>
    <w:p>
      <w:pPr>
        <w:pStyle w:val="42"/>
        <w:outlineLvl w:val="9"/>
        <w:rPr>
          <w:rFonts w:hint="eastAsia"/>
          <w:color w:val="auto"/>
          <w:sz w:val="52"/>
          <w:szCs w:val="52"/>
          <w:highlight w:val="none"/>
        </w:rPr>
      </w:pPr>
      <w:bookmarkStart w:id="999" w:name="_Toc26460"/>
      <w:bookmarkStart w:id="1000" w:name="_Toc4256035"/>
      <w:bookmarkStart w:id="1001" w:name="_Toc29304"/>
      <w:r>
        <w:rPr>
          <w:rFonts w:hint="eastAsia"/>
          <w:color w:val="auto"/>
          <w:sz w:val="52"/>
          <w:szCs w:val="52"/>
          <w:highlight w:val="none"/>
        </w:rPr>
        <w:t>建设项目工程总承包合同</w:t>
      </w:r>
      <w:bookmarkEnd w:id="999"/>
      <w:bookmarkEnd w:id="1000"/>
      <w:bookmarkEnd w:id="1001"/>
    </w:p>
    <w:p>
      <w:pPr>
        <w:spacing w:after="48"/>
        <w:jc w:val="center"/>
        <w:rPr>
          <w:rFonts w:hint="eastAsia" w:ascii="宋体" w:hAnsi="宋体" w:cs="宋体"/>
          <w:bCs/>
          <w:color w:val="auto"/>
          <w:sz w:val="28"/>
          <w:highlight w:val="none"/>
        </w:rPr>
      </w:pPr>
      <w:r>
        <w:rPr>
          <w:rFonts w:hint="eastAsia" w:ascii="宋体" w:hAnsi="宋体" w:eastAsia="宋体" w:cs="宋体"/>
          <w:b/>
          <w:bCs/>
          <w:color w:val="auto"/>
          <w:sz w:val="52"/>
          <w:szCs w:val="52"/>
          <w:highlight w:val="none"/>
        </w:rPr>
        <w:t>（示范文本）</w:t>
      </w:r>
    </w:p>
    <w:p>
      <w:pPr>
        <w:spacing w:after="48"/>
        <w:ind w:firstLine="560"/>
        <w:jc w:val="center"/>
        <w:rPr>
          <w:rFonts w:hint="eastAsia" w:ascii="宋体" w:hAnsi="宋体" w:cs="宋体"/>
          <w:bCs/>
          <w:color w:val="auto"/>
          <w:sz w:val="28"/>
          <w:highlight w:val="none"/>
        </w:rPr>
      </w:pPr>
    </w:p>
    <w:p>
      <w:pPr>
        <w:spacing w:after="48"/>
        <w:ind w:firstLine="560"/>
        <w:jc w:val="center"/>
        <w:rPr>
          <w:rFonts w:hint="eastAsia" w:ascii="宋体" w:hAnsi="宋体" w:cs="宋体"/>
          <w:color w:val="auto"/>
          <w:sz w:val="28"/>
          <w:szCs w:val="28"/>
          <w:highlight w:val="none"/>
        </w:rPr>
      </w:pPr>
    </w:p>
    <w:p>
      <w:pPr>
        <w:spacing w:after="48"/>
        <w:ind w:firstLine="560"/>
        <w:jc w:val="center"/>
        <w:rPr>
          <w:rFonts w:hint="eastAsia" w:ascii="宋体" w:hAnsi="宋体" w:cs="宋体"/>
          <w:color w:val="auto"/>
          <w:sz w:val="28"/>
          <w:szCs w:val="28"/>
          <w:highlight w:val="none"/>
        </w:rPr>
      </w:pPr>
    </w:p>
    <w:p>
      <w:pPr>
        <w:spacing w:after="48"/>
        <w:ind w:firstLine="560"/>
        <w:jc w:val="center"/>
        <w:rPr>
          <w:rFonts w:hint="eastAsia" w:ascii="宋体" w:hAnsi="宋体" w:cs="宋体"/>
          <w:color w:val="auto"/>
          <w:sz w:val="28"/>
          <w:szCs w:val="28"/>
          <w:highlight w:val="none"/>
        </w:rPr>
      </w:pPr>
    </w:p>
    <w:p>
      <w:pPr>
        <w:spacing w:after="48"/>
        <w:ind w:firstLine="560"/>
        <w:jc w:val="center"/>
        <w:rPr>
          <w:rFonts w:hint="eastAsia" w:ascii="宋体" w:hAnsi="宋体" w:cs="宋体"/>
          <w:color w:val="auto"/>
          <w:sz w:val="28"/>
          <w:szCs w:val="28"/>
          <w:highlight w:val="none"/>
        </w:rPr>
      </w:pPr>
    </w:p>
    <w:p>
      <w:pPr>
        <w:spacing w:after="48"/>
        <w:ind w:firstLine="560"/>
        <w:jc w:val="center"/>
        <w:rPr>
          <w:rFonts w:hint="eastAsia" w:ascii="宋体" w:hAnsi="宋体" w:cs="宋体"/>
          <w:color w:val="auto"/>
          <w:sz w:val="28"/>
          <w:szCs w:val="28"/>
          <w:highlight w:val="none"/>
        </w:rPr>
      </w:pPr>
    </w:p>
    <w:p>
      <w:pPr>
        <w:spacing w:after="48"/>
        <w:ind w:firstLine="560"/>
        <w:jc w:val="center"/>
        <w:rPr>
          <w:rFonts w:hint="eastAsia" w:ascii="宋体" w:hAnsi="宋体" w:cs="宋体"/>
          <w:color w:val="auto"/>
          <w:sz w:val="28"/>
          <w:szCs w:val="28"/>
          <w:highlight w:val="none"/>
        </w:rPr>
      </w:pPr>
    </w:p>
    <w:p>
      <w:pPr>
        <w:pStyle w:val="103"/>
        <w:rPr>
          <w:rFonts w:hint="eastAsia" w:ascii="宋体" w:hAnsi="宋体" w:cs="宋体"/>
          <w:color w:val="auto"/>
          <w:sz w:val="28"/>
          <w:szCs w:val="28"/>
          <w:highlight w:val="none"/>
        </w:rPr>
      </w:pPr>
    </w:p>
    <w:p>
      <w:pPr>
        <w:pStyle w:val="18"/>
        <w:rPr>
          <w:rFonts w:hint="eastAsia" w:ascii="宋体" w:hAnsi="宋体" w:cs="宋体"/>
          <w:color w:val="auto"/>
          <w:sz w:val="28"/>
          <w:szCs w:val="28"/>
          <w:highlight w:val="none"/>
        </w:rPr>
      </w:pPr>
    </w:p>
    <w:p>
      <w:pPr>
        <w:pStyle w:val="199"/>
        <w:rPr>
          <w:rFonts w:hint="eastAsia" w:ascii="宋体" w:hAnsi="宋体" w:cs="宋体"/>
          <w:color w:val="auto"/>
          <w:sz w:val="28"/>
          <w:szCs w:val="28"/>
          <w:highlight w:val="none"/>
        </w:rPr>
      </w:pPr>
    </w:p>
    <w:p>
      <w:pPr>
        <w:pStyle w:val="200"/>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103"/>
        <w:rPr>
          <w:rFonts w:hint="eastAsia" w:ascii="宋体" w:hAnsi="宋体" w:cs="宋体"/>
          <w:color w:val="auto"/>
          <w:sz w:val="28"/>
          <w:szCs w:val="28"/>
          <w:highlight w:val="none"/>
        </w:rPr>
      </w:pPr>
    </w:p>
    <w:p>
      <w:pPr>
        <w:pStyle w:val="18"/>
        <w:rPr>
          <w:rFonts w:hint="eastAsia"/>
          <w:color w:val="auto"/>
          <w:highlight w:val="none"/>
        </w:rPr>
      </w:pPr>
    </w:p>
    <w:p>
      <w:pPr>
        <w:spacing w:after="48"/>
        <w:ind w:firstLine="560"/>
        <w:jc w:val="center"/>
        <w:rPr>
          <w:rFonts w:hint="eastAsia" w:ascii="宋体" w:hAnsi="宋体" w:cs="宋体"/>
          <w:color w:val="auto"/>
          <w:sz w:val="28"/>
          <w:szCs w:val="28"/>
          <w:highlight w:val="none"/>
        </w:rPr>
      </w:pPr>
    </w:p>
    <w:p>
      <w:pPr>
        <w:spacing w:after="48" w:line="360" w:lineRule="auto"/>
        <w:ind w:firstLine="562"/>
        <w:rPr>
          <w:b/>
          <w:color w:val="auto"/>
          <w:sz w:val="28"/>
          <w:szCs w:val="28"/>
          <w:highlight w:val="none"/>
        </w:rPr>
      </w:pPr>
    </w:p>
    <w:p>
      <w:pPr>
        <w:spacing w:after="48" w:line="360" w:lineRule="auto"/>
        <w:ind w:right="3112" w:rightChars="1482" w:firstLine="1648" w:firstLineChars="785"/>
        <w:jc w:val="distribute"/>
        <w:rPr>
          <w:b/>
          <w:color w:val="auto"/>
          <w:sz w:val="28"/>
          <w:szCs w:val="28"/>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3390900</wp:posOffset>
                </wp:positionH>
                <wp:positionV relativeFrom="paragraph">
                  <wp:posOffset>168910</wp:posOffset>
                </wp:positionV>
                <wp:extent cx="1409700" cy="457200"/>
                <wp:effectExtent l="4445" t="4445" r="1460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9700" cy="457200"/>
                        </a:xfrm>
                        <a:prstGeom prst="rect">
                          <a:avLst/>
                        </a:prstGeom>
                        <a:noFill/>
                        <a:ln w="9525">
                          <a:solidFill>
                            <a:srgbClr val="FFFFFF"/>
                          </a:solidFill>
                          <a:miter lim="800000"/>
                        </a:ln>
                        <a:effectLst/>
                      </wps:spPr>
                      <wps:txbx>
                        <w:txbxContent>
                          <w:p>
                            <w:pPr>
                              <w:spacing w:after="48"/>
                              <w:ind w:firstLine="790" w:firstLineChars="246"/>
                              <w:rPr>
                                <w:rFonts w:hint="eastAsia"/>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pt;margin-top:13.3pt;height:36pt;width:111pt;z-index:251661312;mso-width-relative:page;mso-height-relative:page;" filled="f" stroked="t" coordsize="21600,21600" o:gfxdata="UEsDBAoAAAAAAIdO4kAAAAAAAAAAAAAAAAAEAAAAZHJzL1BLAwQUAAAACACHTuJAt++u0NkAAAAJ&#10;AQAADwAAAGRycy9kb3ducmV2LnhtbE2PwU7DMBBE70j8g7VIXCrqtLQmDXF6QOLAoUBLP8CN3Thg&#10;r6PYScrfs5zgODuj2Tfl9uIdG00f24ASFvMMmME66BYbCceP57scWEwKtXIBjYRvE2FbXV+VqtBh&#10;wr0ZD6lhVIKxUBJsSl3Beayt8SrOQ2eQvHPovUok+4brXk1U7h1fZpngXrVIH6zqzJM19ddh8BL2&#10;L/Z9hqvdzmk+is/j6/A25TMpb28W2SOwZC7pLwy/+IQOFTGdwoA6Midhfb+iLUnCUghgFHhYCzqc&#10;JGxyAbwq+f8F1Q9QSwMEFAAAAAgAh07iQB5wrH9DAgAAbAQAAA4AAABkcnMvZTJvRG9jLnhtbK1U&#10;zW7UMBC+I/EOlu802dWWdqNmq9KqCKn8SIUH8DrOxsL2mLF3k/IA8AacuHDnufocjJ10WZVLD/hg&#10;2ZnxNzPffJOz88EatlMYNLiaz45KzpST0Gi3qfmnj9cvTjkLUbhGGHCq5ncq8PPV82dnva/UHDow&#10;jUJGIC5Uva95F6OviiLITlkRjsArR8YW0IpIV9wUDYqe0K0p5mX5sugBG48gVQj09Wo08gkRnwII&#10;baulugK5tcrFERWVEZFKCp32ga9ytm2rZHzftkFFZmpOlca8UxA6r9NerM5EtUHhOy2nFMRTUnhU&#10;kxXaUdA91JWIgm1R/wNltUQI0MYjCbYYC8mMUBWz8hE3t53wKtdCVAe/Jz38P1j5bvcBmW5qPufM&#10;CUsNv//x/f7n7/tf39g80dP7UJHXrSe/OLyCgUSTSw3+BuTnwBxcdsJt1AUi9J0SDaU3Sy+Lg6cj&#10;Tkgg6/4tNBRHbCNkoKFFm7gjNhihU2vu9q1RQ2QyhVyUy5OSTJJsi+MTUlIOIaqH1x5DfK3AsnSo&#10;OVLrM7rY3YSYshHVg0sK5uBaG5Pbbxzra748nh+PdYHRTTImt4Cb9aVBthMkoOu8prjh0M3qSENh&#10;tK35aZnW5GRcAlFZiFMaiZTEw8hIHNbDRPIamjuiB2EUKY0oHTrAr5z1JNCahy9bgYoz88YRxcvZ&#10;YpEUnS+ZEc7w0LI+tAgnCarmkbPxeBnHKdh61JuOIo1NdXBBbWl1ZiylOmY1NZNEmImcBiap/PCe&#10;vf7+JF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fvrtDZAAAACQEAAA8AAAAAAAAAAQAgAAAA&#10;IgAAAGRycy9kb3ducmV2LnhtbFBLAQIUABQAAAAIAIdO4kAecKx/QwIAAGwEAAAOAAAAAAAAAAEA&#10;IAAAACgBAABkcnMvZTJvRG9jLnhtbFBLBQYAAAAABgAGAFkBAADdBQAAAAA=&#10;">
                <v:fill on="f" focussize="0,0"/>
                <v:stroke color="#FFFFFF" miterlimit="8" joinstyle="miter"/>
                <v:imagedata o:title=""/>
                <o:lock v:ext="edit" aspectratio="f"/>
                <v:textbox>
                  <w:txbxContent>
                    <w:p>
                      <w:pPr>
                        <w:spacing w:after="48"/>
                        <w:ind w:firstLine="790" w:firstLineChars="246"/>
                        <w:rPr>
                          <w:rFonts w:hint="eastAsia"/>
                          <w:b/>
                          <w:bCs/>
                          <w:sz w:val="32"/>
                        </w:rPr>
                      </w:pPr>
                      <w:r>
                        <w:rPr>
                          <w:rFonts w:hint="eastAsia"/>
                          <w:b/>
                          <w:bCs/>
                          <w:sz w:val="32"/>
                        </w:rPr>
                        <w:t>制定</w:t>
                      </w:r>
                    </w:p>
                  </w:txbxContent>
                </v:textbox>
              </v:shape>
            </w:pict>
          </mc:Fallback>
        </mc:AlternateContent>
      </w:r>
      <w:r>
        <w:rPr>
          <w:b/>
          <w:color w:val="auto"/>
          <w:sz w:val="28"/>
          <w:szCs w:val="28"/>
          <w:highlight w:val="none"/>
        </w:rPr>
        <w:t>住房和城乡建设部</w:t>
      </w:r>
    </w:p>
    <w:p>
      <w:pPr>
        <w:spacing w:after="48" w:line="360" w:lineRule="auto"/>
        <w:ind w:right="3112" w:rightChars="1482"/>
        <w:jc w:val="distribute"/>
        <w:rPr>
          <w:rFonts w:hint="eastAsia"/>
          <w:b/>
          <w:color w:val="auto"/>
          <w:sz w:val="28"/>
          <w:szCs w:val="28"/>
          <w:highlight w:val="none"/>
        </w:rPr>
      </w:pPr>
      <w:r>
        <w:rPr>
          <w:rFonts w:hint="eastAsia"/>
          <w:b/>
          <w:color w:val="auto"/>
          <w:sz w:val="28"/>
          <w:szCs w:val="28"/>
          <w:highlight w:val="none"/>
          <w:lang w:val="en-US" w:eastAsia="zh-CN"/>
        </w:rPr>
        <w:t xml:space="preserve">            </w:t>
      </w:r>
      <w:r>
        <w:rPr>
          <w:b/>
          <w:color w:val="auto"/>
          <w:sz w:val="28"/>
          <w:szCs w:val="28"/>
          <w:highlight w:val="none"/>
        </w:rPr>
        <w:t>国家工商行政管理总局</w:t>
      </w:r>
    </w:p>
    <w:p>
      <w:pPr>
        <w:ind w:firstLine="560"/>
        <w:jc w:val="center"/>
        <w:rPr>
          <w:rFonts w:hint="eastAsia" w:ascii="宋体" w:hAnsi="宋体" w:cs="宋体"/>
          <w:bCs/>
          <w:color w:val="auto"/>
          <w:szCs w:val="21"/>
          <w:highlight w:val="none"/>
        </w:rPr>
      </w:pPr>
    </w:p>
    <w:p>
      <w:pPr>
        <w:rPr>
          <w:rFonts w:hint="eastAsia" w:ascii="宋体" w:hAnsi="宋体" w:cs="宋体"/>
          <w:color w:val="auto"/>
          <w:szCs w:val="21"/>
          <w:highlight w:val="none"/>
        </w:rPr>
      </w:pPr>
    </w:p>
    <w:p>
      <w:pPr>
        <w:pStyle w:val="168"/>
        <w:pageBreakBefore w:val="0"/>
        <w:overflowPunct/>
        <w:bidi w:val="0"/>
        <w:spacing w:after="0" w:afterLines="0" w:line="480" w:lineRule="exact"/>
        <w:textAlignment w:val="auto"/>
        <w:rPr>
          <w:rFonts w:hint="eastAsia" w:ascii="宋体" w:hAnsi="宋体" w:eastAsia="宋体" w:cs="宋体"/>
          <w:color w:val="auto"/>
          <w:sz w:val="21"/>
          <w:szCs w:val="21"/>
          <w:highlight w:val="none"/>
        </w:rPr>
      </w:pPr>
    </w:p>
    <w:p>
      <w:pPr>
        <w:pStyle w:val="168"/>
        <w:pageBreakBefore w:val="0"/>
        <w:overflowPunct/>
        <w:bidi w:val="0"/>
        <w:spacing w:after="0" w:afterLines="0" w:line="480" w:lineRule="exact"/>
        <w:textAlignment w:val="auto"/>
        <w:rPr>
          <w:rFonts w:hint="eastAsia" w:ascii="宋体" w:hAnsi="宋体" w:eastAsia="宋体" w:cs="宋体"/>
          <w:color w:val="auto"/>
          <w:sz w:val="21"/>
          <w:szCs w:val="21"/>
          <w:highlight w:val="none"/>
        </w:rPr>
      </w:pPr>
    </w:p>
    <w:bookmarkEnd w:id="991"/>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sectPr>
          <w:footerReference r:id="rId5" w:type="first"/>
          <w:footerReference r:id="rId4" w:type="default"/>
          <w:pgSz w:w="11906" w:h="16838"/>
          <w:pgMar w:top="1440" w:right="1800" w:bottom="1440" w:left="1800" w:header="1077" w:footer="1077" w:gutter="0"/>
          <w:pgNumType w:fmt="decimal" w:start="1"/>
          <w:cols w:space="720" w:num="1"/>
          <w:titlePg/>
          <w:docGrid w:linePitch="326" w:charSpace="0"/>
        </w:sectPr>
      </w:pPr>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sectPr>
          <w:type w:val="continuous"/>
          <w:pgSz w:w="11906" w:h="16838"/>
          <w:pgMar w:top="1440" w:right="1800" w:bottom="1440" w:left="1800" w:header="720" w:footer="998" w:gutter="0"/>
          <w:pgNumType w:fmt="decimal"/>
          <w:cols w:space="720" w:num="1"/>
          <w:titlePg/>
          <w:docGrid w:linePitch="326" w:charSpace="0"/>
        </w:sectPr>
      </w:pPr>
    </w:p>
    <w:p>
      <w:pPr>
        <w:pStyle w:val="142"/>
        <w:pageBreakBefore w:val="0"/>
        <w:overflowPunct/>
        <w:bidi w:val="0"/>
        <w:spacing w:before="0" w:after="50" w:line="480" w:lineRule="exact"/>
        <w:jc w:val="center"/>
        <w:textAlignment w:val="auto"/>
        <w:rPr>
          <w:rFonts w:hint="eastAsia" w:ascii="宋体" w:hAnsi="宋体" w:eastAsia="宋体" w:cs="宋体"/>
          <w:b/>
          <w:bCs/>
          <w:color w:val="auto"/>
          <w:kern w:val="44"/>
          <w:sz w:val="21"/>
          <w:szCs w:val="21"/>
          <w:highlight w:val="none"/>
          <w:lang w:val="zh-CN"/>
        </w:rPr>
      </w:pPr>
      <w:bookmarkStart w:id="1002" w:name="_Toc521267369"/>
      <w:r>
        <w:rPr>
          <w:rFonts w:hint="eastAsia" w:ascii="宋体" w:hAnsi="宋体" w:eastAsia="宋体" w:cs="宋体"/>
          <w:b/>
          <w:bCs/>
          <w:color w:val="auto"/>
          <w:kern w:val="44"/>
          <w:sz w:val="21"/>
          <w:szCs w:val="21"/>
          <w:highlight w:val="none"/>
          <w:lang w:val="zh-CN"/>
        </w:rPr>
        <w:t>目  录</w:t>
      </w:r>
      <w:bookmarkEnd w:id="1002"/>
    </w:p>
    <w:p>
      <w:pPr>
        <w:pStyle w:val="30"/>
        <w:pageBreakBefore w:val="0"/>
        <w:tabs>
          <w:tab w:val="right" w:leader="dot" w:pos="8296"/>
        </w:tabs>
        <w:overflowPunct/>
        <w:bidi w:val="0"/>
        <w:spacing w:line="48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第一部分 合同协议书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_Toc54862164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一、工程概况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二、合同工期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三、质量标准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四、签约合同价与合同价格形式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五、工程总承包项目经理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六、合同文件构成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七、承诺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八、订立时间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九、订立地点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十、合同生效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20" w:leftChars="100" w:hanging="210" w:hangingChars="1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十一、合同份数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_Toc54862175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p>
    <w:p>
      <w:pPr>
        <w:pStyle w:val="30"/>
        <w:pageBreakBefore w:val="0"/>
        <w:tabs>
          <w:tab w:val="right" w:leader="dot" w:pos="8296"/>
        </w:tabs>
        <w:overflowPunct/>
        <w:bidi w:val="0"/>
        <w:spacing w:line="48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第二部分 通用合同条件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_Toc54862176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45</w:t>
      </w:r>
      <w:r>
        <w:rPr>
          <w:rFonts w:hint="eastAsia" w:ascii="宋体" w:hAnsi="宋体" w:eastAsia="宋体" w:cs="宋体"/>
          <w:b/>
          <w:bCs/>
          <w:color w:val="auto"/>
          <w:sz w:val="21"/>
          <w:szCs w:val="21"/>
          <w:highlight w:val="none"/>
        </w:rPr>
        <w:fldChar w:fldCharType="end"/>
      </w:r>
    </w:p>
    <w:p>
      <w:pPr>
        <w:pStyle w:val="30"/>
        <w:pageBreakBefore w:val="0"/>
        <w:tabs>
          <w:tab w:val="right" w:leader="dot" w:pos="8296"/>
        </w:tabs>
        <w:overflowPunct/>
        <w:bidi w:val="0"/>
        <w:spacing w:line="480" w:lineRule="exac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第三部分 专用合同条件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_Toc54862331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45</w:t>
      </w:r>
      <w:r>
        <w:rPr>
          <w:rFonts w:hint="eastAsia" w:ascii="宋体" w:hAnsi="宋体" w:eastAsia="宋体" w:cs="宋体"/>
          <w:b/>
          <w:bCs/>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第1条 一般约定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第2条 发包人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第3条 发包人的管理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第4条 承包人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第5条 设计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第6条 材料、工程设备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第7条 施工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第8条 工期和进度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第9条 竣工试验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第10条 验收和工程接收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第11条 缺陷责任与保修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第12条 竣工后试验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第13条 变更与调整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第14条 合同价格与支付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第15条 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第16条 合同解除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第17条 不可抗力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第18条 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第20条 争议解决</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p>
    <w:p>
      <w:pPr>
        <w:pStyle w:val="30"/>
        <w:pageBreakBefore w:val="0"/>
        <w:tabs>
          <w:tab w:val="right" w:leader="dot" w:pos="8296"/>
        </w:tabs>
        <w:overflowPunct/>
        <w:bidi w:val="0"/>
        <w:spacing w:line="48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专用合同条件附件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附件1 《发包人要求》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附件2 发包人供应材料设备一览表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附件3 工程质量保修书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附件4 主要建设工程文件目录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附件5 承包人主要管理人员表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p>
    <w:p>
      <w:pPr>
        <w:pStyle w:val="36"/>
        <w:pageBreakBefore w:val="0"/>
        <w:tabs>
          <w:tab w:val="right" w:leader="dot" w:pos="8296"/>
        </w:tabs>
        <w:overflowPunct/>
        <w:bidi w:val="0"/>
        <w:spacing w:line="480" w:lineRule="exact"/>
        <w:ind w:left="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附件6 价格指数权重表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_Toc54862357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p>
    <w:p>
      <w:pPr>
        <w:pageBreakBefore w:val="0"/>
        <w:wordWrap/>
        <w:overflowPunct/>
        <w:topLinePunct w:val="0"/>
        <w:bidi w:val="0"/>
        <w:spacing w:after="0" w:afterLines="0" w:line="480" w:lineRule="exact"/>
        <w:ind w:firstLine="560"/>
        <w:textAlignment w:val="auto"/>
        <w:rPr>
          <w:rFonts w:hint="eastAsia" w:ascii="宋体" w:hAnsi="宋体" w:eastAsia="宋体" w:cs="宋体"/>
          <w:color w:val="auto"/>
          <w:sz w:val="21"/>
          <w:szCs w:val="21"/>
          <w:highlight w:val="none"/>
        </w:rPr>
        <w:sectPr>
          <w:footerReference r:id="rId6" w:type="default"/>
          <w:type w:val="continuous"/>
          <w:pgSz w:w="11906" w:h="16838"/>
          <w:pgMar w:top="1440" w:right="1800" w:bottom="1440" w:left="1800" w:header="720" w:footer="998" w:gutter="0"/>
          <w:pgNumType w:fmt="decimal"/>
          <w:cols w:space="720" w:num="1"/>
          <w:titlePg/>
          <w:docGrid w:linePitch="326" w:charSpace="0"/>
        </w:sectPr>
      </w:pPr>
      <w:r>
        <w:rPr>
          <w:rFonts w:hint="eastAsia" w:ascii="宋体" w:hAnsi="宋体" w:eastAsia="宋体" w:cs="宋体"/>
          <w:color w:val="auto"/>
          <w:sz w:val="21"/>
          <w:szCs w:val="21"/>
          <w:highlight w:val="none"/>
        </w:rPr>
        <w:fldChar w:fldCharType="end"/>
      </w: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sectPr>
          <w:pgSz w:w="11906" w:h="16838"/>
          <w:pgMar w:top="1440" w:right="1800" w:bottom="1440" w:left="1800" w:header="720" w:footer="998" w:gutter="0"/>
          <w:pgNumType w:fmt="decimal"/>
          <w:cols w:space="720" w:num="2"/>
        </w:sectPr>
      </w:pPr>
    </w:p>
    <w:p>
      <w:pPr>
        <w:pStyle w:val="154"/>
        <w:keepNext w:val="0"/>
        <w:keepLines w:val="0"/>
        <w:pageBreakBefore w:val="0"/>
        <w:widowControl/>
        <w:overflowPunct/>
        <w:bidi w:val="0"/>
        <w:adjustRightInd w:val="0"/>
        <w:snapToGrid w:val="0"/>
        <w:spacing w:before="0" w:after="50" w:line="480" w:lineRule="exact"/>
        <w:textAlignment w:val="auto"/>
        <w:rPr>
          <w:rFonts w:hint="eastAsia" w:ascii="宋体" w:hAnsi="宋体" w:eastAsia="宋体" w:cs="宋体"/>
          <w:color w:val="auto"/>
          <w:sz w:val="21"/>
          <w:szCs w:val="21"/>
          <w:highlight w:val="none"/>
        </w:rPr>
      </w:pPr>
      <w:bookmarkStart w:id="1003" w:name="_Toc54862164"/>
      <w:bookmarkStart w:id="1004" w:name="_Toc32334"/>
      <w:r>
        <w:rPr>
          <w:rFonts w:hint="eastAsia" w:ascii="宋体" w:hAnsi="宋体" w:eastAsia="宋体" w:cs="宋体"/>
          <w:color w:val="auto"/>
          <w:sz w:val="21"/>
          <w:szCs w:val="21"/>
          <w:highlight w:val="none"/>
        </w:rPr>
        <w:t>第一部分 合同协议书</w:t>
      </w:r>
      <w:bookmarkEnd w:id="1003"/>
      <w:bookmarkEnd w:id="1004"/>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项目的工程总承包及有关事项协商一致，共同达成如下协议：</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05" w:name="_Toc54862165"/>
      <w:bookmarkStart w:id="1006" w:name="_Toc31414"/>
      <w:r>
        <w:rPr>
          <w:rFonts w:hint="eastAsia" w:ascii="宋体" w:hAnsi="宋体" w:eastAsia="宋体" w:cs="宋体"/>
          <w:b w:val="0"/>
          <w:bCs/>
          <w:color w:val="auto"/>
          <w:sz w:val="21"/>
          <w:szCs w:val="21"/>
          <w:highlight w:val="none"/>
        </w:rPr>
        <w:t>一、工程概况</w:t>
      </w:r>
      <w:bookmarkEnd w:id="1005"/>
      <w:bookmarkEnd w:id="1006"/>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工程地点：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工程审批、核准或备案文号：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工程内容及规模：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工程承包范围：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07" w:name="_Toc54862166"/>
      <w:bookmarkStart w:id="1008" w:name="_Toc12533"/>
      <w:r>
        <w:rPr>
          <w:rFonts w:hint="eastAsia" w:ascii="宋体" w:hAnsi="宋体" w:eastAsia="宋体" w:cs="宋体"/>
          <w:b w:val="0"/>
          <w:bCs/>
          <w:color w:val="auto"/>
          <w:sz w:val="21"/>
          <w:szCs w:val="21"/>
          <w:highlight w:val="none"/>
        </w:rPr>
        <w:t>二、合同工期</w:t>
      </w:r>
      <w:bookmarkEnd w:id="1007"/>
      <w:bookmarkEnd w:id="1008"/>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计划开始工作日期：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计划开始现场施工日期：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天，工期总日历天数与根据前述计划日期计算的工期天数不一致的，以工期总日历天数为准。</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09" w:name="_Toc54862167"/>
      <w:bookmarkStart w:id="1010" w:name="_Toc10825"/>
      <w:r>
        <w:rPr>
          <w:rFonts w:hint="eastAsia" w:ascii="宋体" w:hAnsi="宋体" w:eastAsia="宋体" w:cs="宋体"/>
          <w:b w:val="0"/>
          <w:bCs/>
          <w:color w:val="auto"/>
          <w:sz w:val="21"/>
          <w:szCs w:val="21"/>
          <w:highlight w:val="none"/>
        </w:rPr>
        <w:t>三、质量标准</w:t>
      </w:r>
      <w:bookmarkEnd w:id="1009"/>
      <w:bookmarkEnd w:id="1010"/>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11" w:name="_Toc54862168"/>
      <w:bookmarkStart w:id="1012" w:name="_Toc20168"/>
      <w:r>
        <w:rPr>
          <w:rFonts w:hint="eastAsia" w:ascii="宋体" w:hAnsi="宋体" w:eastAsia="宋体" w:cs="宋体"/>
          <w:b w:val="0"/>
          <w:bCs/>
          <w:color w:val="auto"/>
          <w:sz w:val="21"/>
          <w:szCs w:val="21"/>
          <w:highlight w:val="none"/>
        </w:rPr>
        <w:t>四、签约合同价与合同价格形式</w:t>
      </w:r>
      <w:bookmarkEnd w:id="1011"/>
      <w:bookmarkEnd w:id="1012"/>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签约合同价（含税）为：</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人民币（大写)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具体构成详见价格清单。其中：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设计费（含税）：</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人民币（大写)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元）；适用税率：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%，税金为人民币（大写)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元）；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设备购置费（含税）：</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人民币（大写)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元）；适用税率：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%，税金为人民币（大写)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元）；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建筑安装工程费（含税）：</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元）；适用税率：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%，税金为人民币（大写)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元）；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暂估价（含税）：</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暂列金额（含税）：</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双方约定的其他费用（含税）：</w:t>
      </w:r>
    </w:p>
    <w:p>
      <w:pPr>
        <w:pageBreakBefore w:val="0"/>
        <w:wordWrap/>
        <w:overflowPunct/>
        <w:topLinePunct w:val="0"/>
        <w:bidi w:val="0"/>
        <w:spacing w:line="480" w:lineRule="exact"/>
        <w:ind w:firstLine="6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元）；适用税率：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%，税金为人民币（大写)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合同价格形式为总价合同，除根据合同约定的在工程实施过程中需进行增减的款项外，合同价格不予调整，但合同当事人另有约定的除外。</w:t>
      </w:r>
    </w:p>
    <w:p>
      <w:pPr>
        <w:pageBreakBefore w:val="0"/>
        <w:kinsoku w:val="0"/>
        <w:wordWrap/>
        <w:overflowPunct/>
        <w:topLinePunct w:val="0"/>
        <w:bidi w:val="0"/>
        <w:spacing w:line="480" w:lineRule="exact"/>
        <w:ind w:left="263" w:leftChars="125"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合同当事人对合同价格形式的其他约定：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13" w:name="_Toc16839"/>
      <w:bookmarkStart w:id="1014" w:name="_Toc54862169"/>
      <w:r>
        <w:rPr>
          <w:rFonts w:hint="eastAsia" w:ascii="宋体" w:hAnsi="宋体" w:eastAsia="宋体" w:cs="宋体"/>
          <w:b w:val="0"/>
          <w:bCs/>
          <w:color w:val="auto"/>
          <w:sz w:val="21"/>
          <w:szCs w:val="21"/>
          <w:highlight w:val="none"/>
        </w:rPr>
        <w:t>五、工程总承包项目经理</w:t>
      </w:r>
      <w:bookmarkEnd w:id="1013"/>
      <w:bookmarkEnd w:id="1014"/>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15" w:name="_Toc20869"/>
      <w:bookmarkStart w:id="1016" w:name="_Toc54862170"/>
      <w:r>
        <w:rPr>
          <w:rFonts w:hint="eastAsia" w:ascii="宋体" w:hAnsi="宋体" w:eastAsia="宋体" w:cs="宋体"/>
          <w:b w:val="0"/>
          <w:bCs/>
          <w:color w:val="auto"/>
          <w:sz w:val="21"/>
          <w:szCs w:val="21"/>
          <w:highlight w:val="none"/>
        </w:rPr>
        <w:t>六、合同文件构成</w:t>
      </w:r>
      <w:bookmarkEnd w:id="1015"/>
      <w:bookmarkEnd w:id="1016"/>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本协议书与下列文件一起构成合同文件：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中标通知书（如果有）；</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投标函及投标函附录（如果有）；</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专用合同条件及《发包人要求》等附件；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通用合同条件；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承包人建议书；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价格清单；</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双方约定的其他合同文件。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上述各项合同文件包括双方就该项合同文件所作出的补充和修改，属于同一类内容的合同文件应以最新签署的为准。专用合同条件及其附件须经合同当事人签字或盖章。</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17" w:name="_Toc2444"/>
      <w:bookmarkStart w:id="1018" w:name="_Toc54862171"/>
      <w:r>
        <w:rPr>
          <w:rFonts w:hint="eastAsia" w:ascii="宋体" w:hAnsi="宋体" w:eastAsia="宋体" w:cs="宋体"/>
          <w:b w:val="0"/>
          <w:bCs/>
          <w:color w:val="auto"/>
          <w:sz w:val="21"/>
          <w:szCs w:val="21"/>
          <w:highlight w:val="none"/>
        </w:rPr>
        <w:t>七、承诺</w:t>
      </w:r>
      <w:bookmarkEnd w:id="1017"/>
      <w:bookmarkEnd w:id="1018"/>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发包人承诺按照法律规定履行项目审批手续、筹集工程建设资金并按照合同约定的期限和方式支付合同价款。</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19" w:name="_Toc54862172"/>
      <w:bookmarkStart w:id="1020" w:name="_Toc1886"/>
      <w:r>
        <w:rPr>
          <w:rFonts w:hint="eastAsia" w:ascii="宋体" w:hAnsi="宋体" w:eastAsia="宋体" w:cs="宋体"/>
          <w:b w:val="0"/>
          <w:bCs/>
          <w:color w:val="auto"/>
          <w:sz w:val="21"/>
          <w:szCs w:val="21"/>
          <w:highlight w:val="none"/>
        </w:rPr>
        <w:t>八、订立时间</w:t>
      </w:r>
      <w:bookmarkEnd w:id="1019"/>
      <w:bookmarkEnd w:id="1020"/>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日订立。</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21" w:name="_Toc54862173"/>
      <w:bookmarkStart w:id="1022" w:name="_Toc18725"/>
      <w:r>
        <w:rPr>
          <w:rFonts w:hint="eastAsia" w:ascii="宋体" w:hAnsi="宋体" w:eastAsia="宋体" w:cs="宋体"/>
          <w:b w:val="0"/>
          <w:bCs/>
          <w:color w:val="auto"/>
          <w:sz w:val="21"/>
          <w:szCs w:val="21"/>
          <w:highlight w:val="none"/>
        </w:rPr>
        <w:t>九、订立地点</w:t>
      </w:r>
      <w:bookmarkEnd w:id="1021"/>
      <w:bookmarkEnd w:id="1022"/>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订立。</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23" w:name="_Toc54862174"/>
      <w:bookmarkStart w:id="1024" w:name="_Toc2889"/>
      <w:r>
        <w:rPr>
          <w:rFonts w:hint="eastAsia" w:ascii="宋体" w:hAnsi="宋体" w:eastAsia="宋体" w:cs="宋体"/>
          <w:b w:val="0"/>
          <w:bCs/>
          <w:color w:val="auto"/>
          <w:sz w:val="21"/>
          <w:szCs w:val="21"/>
          <w:highlight w:val="none"/>
        </w:rPr>
        <w:t>十、合同生效</w:t>
      </w:r>
      <w:bookmarkEnd w:id="1023"/>
      <w:bookmarkEnd w:id="1024"/>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本合同经双方签字或盖章后成立，并自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pPr>
        <w:pStyle w:val="161"/>
        <w:pageBreakBefore w:val="0"/>
        <w:numPr>
          <w:ilvl w:val="0"/>
          <w:numId w:val="0"/>
        </w:numPr>
        <w:wordWrap/>
        <w:overflowPunct/>
        <w:topLinePunct w:val="0"/>
        <w:bidi w:val="0"/>
        <w:spacing w:line="480" w:lineRule="exact"/>
        <w:textAlignment w:val="auto"/>
        <w:rPr>
          <w:rFonts w:hint="eastAsia" w:ascii="宋体" w:hAnsi="宋体" w:eastAsia="宋体" w:cs="宋体"/>
          <w:b w:val="0"/>
          <w:bCs/>
          <w:color w:val="auto"/>
          <w:sz w:val="21"/>
          <w:szCs w:val="21"/>
          <w:highlight w:val="none"/>
        </w:rPr>
      </w:pPr>
      <w:bookmarkStart w:id="1025" w:name="_Toc54862175"/>
      <w:bookmarkStart w:id="1026" w:name="_Toc17119"/>
      <w:r>
        <w:rPr>
          <w:rFonts w:hint="eastAsia" w:ascii="宋体" w:hAnsi="宋体" w:eastAsia="宋体" w:cs="宋体"/>
          <w:b w:val="0"/>
          <w:bCs/>
          <w:color w:val="auto"/>
          <w:sz w:val="21"/>
          <w:szCs w:val="21"/>
          <w:highlight w:val="none"/>
        </w:rPr>
        <w:t>十一、合同份数</w:t>
      </w:r>
      <w:bookmarkEnd w:id="1025"/>
      <w:bookmarkEnd w:id="1026"/>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份，均具有同等法律效力，发包人执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份，承包人执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p>
    <w:tbl>
      <w:tblPr>
        <w:tblStyle w:val="46"/>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tc>
        <w:tc>
          <w:tcPr>
            <w:tcW w:w="4565"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承包人：（公章）</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tc>
        <w:tc>
          <w:tcPr>
            <w:tcW w:w="4565"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kern w:val="0"/>
                <w:sz w:val="21"/>
                <w:szCs w:val="21"/>
                <w:highlight w:val="none"/>
                <w:u w:val="single"/>
              </w:rPr>
              <w:t xml:space="preserve">                       </w:t>
            </w:r>
          </w:p>
        </w:tc>
        <w:tc>
          <w:tcPr>
            <w:tcW w:w="4565" w:type="dxa"/>
            <w:noWrap w:val="0"/>
            <w:vAlign w:val="top"/>
          </w:tcPr>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 xml:space="preserve">                   </w:t>
            </w:r>
          </w:p>
          <w:p>
            <w:pPr>
              <w:pStyle w:val="163"/>
              <w:pageBreakBefore w:val="0"/>
              <w:framePr w:hSpace="0" w:wrap="auto" w:vAnchor="margin" w:hAnchor="text" w:yAlign="inline"/>
              <w:overflowPunct/>
              <w:bidi w:val="0"/>
              <w:spacing w:after="50"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tc>
      </w:tr>
    </w:tbl>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sectPr>
          <w:footerReference r:id="rId7" w:type="default"/>
          <w:type w:val="continuous"/>
          <w:pgSz w:w="11906" w:h="16838"/>
          <w:pgMar w:top="1440" w:right="1800" w:bottom="1440" w:left="1800" w:header="720" w:footer="850" w:gutter="0"/>
          <w:pgNumType w:fmt="decimal"/>
          <w:cols w:space="720" w:num="1"/>
          <w:docGrid w:linePitch="326" w:charSpace="0"/>
        </w:sectPr>
      </w:pPr>
      <w:r>
        <w:rPr>
          <w:rFonts w:hint="eastAsia" w:ascii="宋体" w:hAnsi="宋体" w:eastAsia="宋体" w:cs="宋体"/>
          <w:color w:val="auto"/>
          <w:sz w:val="21"/>
          <w:szCs w:val="21"/>
          <w:highlight w:val="none"/>
        </w:rPr>
        <w:tab/>
      </w:r>
    </w:p>
    <w:p>
      <w:pPr>
        <w:pStyle w:val="154"/>
        <w:keepNext w:val="0"/>
        <w:keepLines w:val="0"/>
        <w:pageBreakBefore w:val="0"/>
        <w:widowControl/>
        <w:overflowPunct/>
        <w:bidi w:val="0"/>
        <w:adjustRightInd w:val="0"/>
        <w:snapToGrid w:val="0"/>
        <w:spacing w:before="0" w:after="50" w:line="480" w:lineRule="exact"/>
        <w:textAlignment w:val="auto"/>
        <w:rPr>
          <w:rFonts w:hint="eastAsia" w:ascii="宋体" w:hAnsi="宋体" w:eastAsia="宋体" w:cs="宋体"/>
          <w:color w:val="auto"/>
          <w:sz w:val="21"/>
          <w:szCs w:val="21"/>
          <w:highlight w:val="none"/>
        </w:rPr>
      </w:pPr>
      <w:bookmarkStart w:id="1027" w:name="_Toc9420"/>
      <w:bookmarkStart w:id="1028" w:name="_Toc54862176"/>
      <w:r>
        <w:rPr>
          <w:rFonts w:hint="eastAsia" w:ascii="宋体" w:hAnsi="宋体" w:eastAsia="宋体" w:cs="宋体"/>
          <w:color w:val="auto"/>
          <w:sz w:val="21"/>
          <w:szCs w:val="21"/>
          <w:highlight w:val="none"/>
        </w:rPr>
        <w:t>第二部分 通用合同条件</w:t>
      </w:r>
      <w:bookmarkEnd w:id="1027"/>
      <w:bookmarkEnd w:id="1028"/>
    </w:p>
    <w:p>
      <w:pPr>
        <w:pStyle w:val="167"/>
        <w:pageBreakBefore w:val="0"/>
        <w:numPr>
          <w:ilvl w:val="0"/>
          <w:numId w:val="0"/>
        </w:numPr>
        <w:wordWrap/>
        <w:overflowPunct/>
        <w:topLinePunct w:val="0"/>
        <w:bidi w:val="0"/>
        <w:spacing w:line="480" w:lineRule="exact"/>
        <w:jc w:val="center"/>
        <w:textAlignment w:val="auto"/>
        <w:rPr>
          <w:rFonts w:hint="eastAsia" w:ascii="宋体" w:hAnsi="宋体" w:eastAsia="宋体" w:cs="宋体"/>
          <w:b/>
          <w:bCs w:val="0"/>
          <w:color w:val="auto"/>
          <w:sz w:val="21"/>
          <w:szCs w:val="21"/>
          <w:highlight w:val="none"/>
        </w:rPr>
      </w:pPr>
      <w:bookmarkStart w:id="1029" w:name="_Toc7405"/>
      <w:bookmarkStart w:id="1030" w:name="_Toc54862177"/>
      <w:bookmarkStart w:id="1031" w:name="_Ref508893699"/>
      <w:bookmarkStart w:id="1032" w:name="_Ref509040831"/>
      <w:bookmarkStart w:id="1033" w:name="_Ref509040826"/>
      <w:r>
        <w:rPr>
          <w:rFonts w:hint="eastAsia" w:ascii="宋体" w:hAnsi="宋体" w:eastAsia="宋体" w:cs="宋体"/>
          <w:b/>
          <w:bCs w:val="0"/>
          <w:color w:val="auto"/>
          <w:sz w:val="21"/>
          <w:szCs w:val="21"/>
          <w:highlight w:val="none"/>
          <w:lang w:eastAsia="zh-CN"/>
        </w:rPr>
        <w:t>详见：</w:t>
      </w:r>
      <w:r>
        <w:rPr>
          <w:rFonts w:hint="eastAsia" w:ascii="宋体" w:hAnsi="宋体" w:eastAsia="宋体" w:cs="宋体"/>
          <w:b/>
          <w:bCs w:val="0"/>
          <w:color w:val="auto"/>
          <w:sz w:val="21"/>
          <w:szCs w:val="21"/>
          <w:highlight w:val="none"/>
        </w:rPr>
        <w:t>GF-2020-0216</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建设项目工程总承包合同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（示范文本）</w:t>
      </w:r>
      <w:bookmarkEnd w:id="1029"/>
      <w:bookmarkEnd w:id="1030"/>
      <w:bookmarkEnd w:id="1031"/>
    </w:p>
    <w:p>
      <w:pPr>
        <w:rPr>
          <w:rFonts w:hint="eastAsia"/>
          <w:color w:val="auto"/>
          <w:highlight w:val="none"/>
        </w:rPr>
      </w:pPr>
    </w:p>
    <w:bookmarkEnd w:id="1032"/>
    <w:bookmarkEnd w:id="1033"/>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Style w:val="154"/>
        <w:keepNext w:val="0"/>
        <w:keepLines w:val="0"/>
        <w:pageBreakBefore w:val="0"/>
        <w:widowControl/>
        <w:overflowPunct/>
        <w:bidi w:val="0"/>
        <w:adjustRightInd w:val="0"/>
        <w:snapToGrid w:val="0"/>
        <w:spacing w:before="0" w:after="50" w:line="480" w:lineRule="exact"/>
        <w:textAlignment w:val="auto"/>
        <w:rPr>
          <w:rFonts w:hint="eastAsia" w:ascii="宋体" w:hAnsi="宋体" w:eastAsia="宋体" w:cs="宋体"/>
          <w:color w:val="auto"/>
          <w:sz w:val="21"/>
          <w:szCs w:val="21"/>
          <w:highlight w:val="none"/>
        </w:rPr>
      </w:pPr>
      <w:bookmarkStart w:id="1034" w:name="_Toc29440"/>
      <w:bookmarkStart w:id="1035" w:name="_Toc54862331"/>
      <w:r>
        <w:rPr>
          <w:rFonts w:hint="eastAsia" w:ascii="宋体" w:hAnsi="宋体" w:eastAsia="宋体" w:cs="宋体"/>
          <w:color w:val="auto"/>
          <w:sz w:val="21"/>
          <w:szCs w:val="21"/>
          <w:highlight w:val="none"/>
        </w:rPr>
        <w:t>第三部分 专用合同条件</w:t>
      </w:r>
      <w:bookmarkEnd w:id="1034"/>
      <w:bookmarkEnd w:id="1035"/>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36" w:name="_Toc54862332"/>
      <w:bookmarkStart w:id="1037" w:name="_Toc11475"/>
      <w:r>
        <w:rPr>
          <w:rFonts w:hint="eastAsia" w:ascii="宋体" w:hAnsi="宋体" w:eastAsia="宋体" w:cs="宋体"/>
          <w:b/>
          <w:bCs w:val="0"/>
          <w:color w:val="auto"/>
          <w:sz w:val="21"/>
          <w:szCs w:val="21"/>
          <w:highlight w:val="none"/>
        </w:rPr>
        <w:t>第1条 一般约定</w:t>
      </w:r>
      <w:bookmarkEnd w:id="1036"/>
      <w:bookmarkEnd w:id="1037"/>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词语定义和解释</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 单位/区段工程的范围：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作为施工场所组成部分的其他场所包括：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永久占地包括：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 临时占地包括：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语言文字</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本合同除使用汉语外，还使用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语言。</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法律</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适用于本合同的标准、规范（名称）包括：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发包人提供的国外标准、规范的名称：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；发包人提供的国外标准、规范的份数：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；发包人提供的国外标准、规范的时间：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没有成文规范、标准规定的约定：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发包人对于工程的技术标准、功能要求：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文件的提供和照管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发包人文件的提供</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发包人文件的提供期限、名称、数量和形式：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承包人文件的提供</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承包人文件的内容、提供期限、名称、数量和形式：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文件的照管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关于现场文件准备的约定：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发包人指定的送达方式（包括电子传输方式）：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发包人的送达地址：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承包人指定的送达方式（包括电子传输方式）：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承包人的送达地址：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知识产权</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由发包人（或以发包人名义）编制的《发包人要求》和其他文件的著作权归属：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 由承包人（或以承包人名义）为实施工程所编制的文件、承包人完成的设计工作成果和建造完成的建筑物的知识产权归属：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 承包人在投标文件中采用的专利、专有技术、技术秘密的使用费的承担方式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保密</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双方订立的商业保密协议（名称）：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，作为本合同附件。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双方订立的技术保密协议（名称）：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，作为本合同附件。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责任限制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承包人对发包人赔偿责任的最高限额为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建筑信息模型技术的应用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关于建筑信息模型技术的开发、使用、存储、传输、交付及费用约定如下：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38" w:name="_Toc9448"/>
      <w:bookmarkStart w:id="1039" w:name="_Toc54862333"/>
      <w:r>
        <w:rPr>
          <w:rFonts w:hint="eastAsia" w:ascii="宋体" w:hAnsi="宋体" w:eastAsia="宋体" w:cs="宋体"/>
          <w:b/>
          <w:bCs w:val="0"/>
          <w:color w:val="auto"/>
          <w:sz w:val="21"/>
          <w:szCs w:val="21"/>
          <w:highlight w:val="none"/>
        </w:rPr>
        <w:t>第2条 发包人</w:t>
      </w:r>
      <w:bookmarkEnd w:id="1038"/>
      <w:bookmarkEnd w:id="1039"/>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提供施工现场和工作条件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提供施工现场</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关于发包人提供施工现场的范围和期限：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提供工作条件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关于发包人应负责提供的工作条件包括：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提供基础资料</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关于发包人应提供的基础资料的范围和期限：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支付合同价款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发包人提供资金来源证明及资金安排的期限要求：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发包人提供支付担保的形式、期限、金额（或比例）：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其他义务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发包人应履行的其他义务：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40" w:name="_Toc32490"/>
      <w:bookmarkStart w:id="1041" w:name="_Toc54862334"/>
      <w:r>
        <w:rPr>
          <w:rFonts w:hint="eastAsia" w:ascii="宋体" w:hAnsi="宋体" w:eastAsia="宋体" w:cs="宋体"/>
          <w:b/>
          <w:bCs w:val="0"/>
          <w:color w:val="auto"/>
          <w:sz w:val="21"/>
          <w:szCs w:val="21"/>
          <w:highlight w:val="none"/>
        </w:rPr>
        <w:t>第3条 发包人的管理</w:t>
      </w:r>
      <w:bookmarkEnd w:id="1040"/>
      <w:bookmarkEnd w:id="1041"/>
    </w:p>
    <w:p>
      <w:pPr>
        <w:pageBreakBefore w:val="0"/>
        <w:wordWrap/>
        <w:overflowPunct/>
        <w:topLinePunct w:val="0"/>
        <w:bidi w:val="0"/>
        <w:spacing w:line="480" w:lineRule="exact"/>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发包人代表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发包人代表的职责：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发包人人员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发包人人员姓名：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发包人人员职务：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发包人人员职责：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工程师</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工程师名称：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；工程师监督管理范围、内容：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；工程师权限：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商定或确定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 关于商定时间限制的具体约定：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 关于商定或确定效力的具体约定：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；关于对工程师的确定提出异议的具体约定：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会议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关于召开会议的具体约定：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关于保存和提供会议纪要的具体约定：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42" w:name="_Toc20819"/>
      <w:bookmarkStart w:id="1043" w:name="_Toc54862335"/>
      <w:r>
        <w:rPr>
          <w:rFonts w:hint="eastAsia" w:ascii="宋体" w:hAnsi="宋体" w:eastAsia="宋体" w:cs="宋体"/>
          <w:b/>
          <w:bCs w:val="0"/>
          <w:color w:val="auto"/>
          <w:sz w:val="21"/>
          <w:szCs w:val="21"/>
          <w:highlight w:val="none"/>
        </w:rPr>
        <w:t>第4条 承包人</w:t>
      </w:r>
      <w:bookmarkEnd w:id="1042"/>
      <w:bookmarkEnd w:id="1043"/>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承包人应履行的其他义务：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履约担保的方式、金额及期限: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工程总承包项目经理</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工程总承包项目经理姓名：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执业资格或职称类型：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执业资格证或职称证号码：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承包人未提交劳动合同，以及没有为工程总承包项目经理缴纳社会保险证明的违约责任：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工程总承包项目经理每月在现场的时间要求：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承包人对工程总承包项目经理的授权范围: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承包人擅自更换工程总承包项目经理的违约责任：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承包人无正当理由拒绝更换工程总承包项目经理的违约责任: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承包人人员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人员安排</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承包人提交项目管理机构及施工现场人员安排的报告的期限：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承包人提交关键人员信息及注册执业资格等证明其具备担任关键人员能力的相关文件的期限：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 关键人员更换</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承包人擅自更换关键人员的违约责任：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承包人无正当理由拒绝撤换关键人员的违约责任：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现场管理关键人员在岗要求</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承包人现场管理关键人员离开施工现场的批准要求：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承包人现场管理关键人员擅自离开施工现场的违约责任：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分包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一般约定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分包的确定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4.5.5 分包合同价款支付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联合体</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 联合体各成员的分工、费用收取、发票开具等事项：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承包人现场查勘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 双方当事人对现场查勘的责任承担的约定：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 不可预见的困难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不可预见的困难包括：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44" w:name="_Toc54862336"/>
      <w:bookmarkStart w:id="1045" w:name="_Toc824"/>
      <w:r>
        <w:rPr>
          <w:rFonts w:hint="eastAsia" w:ascii="宋体" w:hAnsi="宋体" w:eastAsia="宋体" w:cs="宋体"/>
          <w:b/>
          <w:bCs w:val="0"/>
          <w:color w:val="auto"/>
          <w:sz w:val="21"/>
          <w:szCs w:val="21"/>
          <w:highlight w:val="none"/>
        </w:rPr>
        <w:t>第5条 设计</w:t>
      </w:r>
      <w:bookmarkEnd w:id="1044"/>
      <w:bookmarkEnd w:id="1045"/>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承包人文件审查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承包人文件审查的期限：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 审查会议的审查形式和时间安排为：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，审查会议的相关费用由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关于第三方审查单位的约定：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培训</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培训的时长为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，承包人应为培训提供的人员、设施和其它必要条件为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竣工文件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 竣工文件的形式、提供的份数、技术标准以及其它相关要求：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 关于竣工文件的其他约定：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操作和维修手册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5.5.3 对最终操作和维修手册的约定：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46" w:name="_Toc54862337"/>
      <w:bookmarkStart w:id="1047" w:name="_Toc21208"/>
      <w:r>
        <w:rPr>
          <w:rFonts w:hint="eastAsia" w:ascii="宋体" w:hAnsi="宋体" w:eastAsia="宋体" w:cs="宋体"/>
          <w:b/>
          <w:bCs w:val="0"/>
          <w:color w:val="auto"/>
          <w:sz w:val="21"/>
          <w:szCs w:val="21"/>
          <w:highlight w:val="none"/>
        </w:rPr>
        <w:t>第6条 材料、工程设备</w:t>
      </w:r>
      <w:bookmarkEnd w:id="1046"/>
      <w:bookmarkEnd w:id="1047"/>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实施方法</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双方当事人约定的实施方法、设备、设施和材料：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材料和工程设备</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发包人提供的材料和工程设备</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发包人提供的材料和工程设备验收后，由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负责接收、运输和保管。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承包人提供的材料和工程设备</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材料和工程设备的类别、估算数量：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竣工后试验的生产性材料的类别或（和）清单：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材料和工程设备的保管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发包人供应的材料和工程设备的保管费用由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承包人提交保管、维护方案的时间：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发包人提供的库房、堆场、设施和设备：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样品</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样品的报送与封存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需要承包人报送样品的材料或工程设备，样品种类、名称、规格、数量：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质量检查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 工程质量要求</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工程质量的特殊标准或要求：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质量检查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除通用合同条件已列明的质量检查的地点外，发包人有权进行质量检查的其他地点：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6.4.3 隐蔽工程检查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关于隐蔽工程和中间验收的特别约定：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 由承包人试验和检验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 试验设备与试验人员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试验的内容、时间和地点：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试验所需要的试验设备、取样装置、试验场所和试验条件：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试验和检验费用的计价原则：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color w:val="auto"/>
          <w:sz w:val="21"/>
          <w:szCs w:val="21"/>
          <w:highlight w:val="none"/>
        </w:rPr>
      </w:pPr>
      <w:bookmarkStart w:id="1048" w:name="_Toc54862338"/>
      <w:bookmarkStart w:id="1049" w:name="_Toc20990"/>
      <w:r>
        <w:rPr>
          <w:rFonts w:hint="eastAsia" w:ascii="宋体" w:hAnsi="宋体" w:eastAsia="宋体" w:cs="宋体"/>
          <w:color w:val="auto"/>
          <w:sz w:val="21"/>
          <w:szCs w:val="21"/>
          <w:highlight w:val="none"/>
        </w:rPr>
        <w:t>第7条 施工</w:t>
      </w:r>
      <w:bookmarkEnd w:id="1048"/>
      <w:bookmarkEnd w:id="1049"/>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交通运输</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出入现场的权利</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场外交通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7.1.3 场内交通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关于场内交通的特别约定：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关于场内交通与场外交通边界的约定：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7.1.4 超大件和超重件的运输</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施工设备和临时设施</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 承包人提供的施工设备和临时设施</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临时设施的费用和临时占地手续和费用承担的特别约定：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发包人提供的施工设备和临时设施</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发包人提供的施工设备或临时设施范围：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现场合作</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关于现场合作费用的特别约定：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 关于测量放线的特别约定的技术规范：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。施工控制网资料的告知期限：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现场劳动用工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合同当事人对建筑工人工资清偿事宜和违约责任的约定：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安全文明施工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 安全生产要求</w:t>
      </w:r>
    </w:p>
    <w:p>
      <w:pPr>
        <w:pageBreakBefore w:val="0"/>
        <w:wordWrap/>
        <w:overflowPunct/>
        <w:topLinePunct w:val="0"/>
        <w:bidi w:val="0"/>
        <w:spacing w:line="480" w:lineRule="exact"/>
        <w:ind w:left="124" w:leftChars="59"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合同当事人对安全施工的要求：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7.6.3 文明施工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临时性公用设施</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关于临时性公用设施的特别约定：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7.10 现场安保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承包人现场安保义务的特别约定：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50" w:name="_Toc28848"/>
      <w:bookmarkStart w:id="1051" w:name="_Toc54862339"/>
      <w:r>
        <w:rPr>
          <w:rFonts w:hint="eastAsia" w:ascii="宋体" w:hAnsi="宋体" w:eastAsia="宋体" w:cs="宋体"/>
          <w:b/>
          <w:bCs w:val="0"/>
          <w:color w:val="auto"/>
          <w:sz w:val="21"/>
          <w:szCs w:val="21"/>
          <w:highlight w:val="none"/>
        </w:rPr>
        <w:t>第8条 工期和进度</w:t>
      </w:r>
      <w:bookmarkEnd w:id="1050"/>
      <w:bookmarkEnd w:id="1051"/>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开始工作</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开始准备工作：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发包人可在计划开始工作之日起84日后发出开始工作通知的特殊情形：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竣工日期</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项目实施计划</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项目实施计划的内容</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项目实施计划的内容：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 项目实施计划的提交和修改</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项目实施计划的提交及修改期限：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项目进度计划</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工程师在收到进度计划后确认或提出修改意见的期限：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8.4.2 进度计划的具体要求：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关键路径及关键路径变化的确定原则：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承包人提交项目进度计划的份数和时间：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8.4.3 进度计划的修订</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承包人提交修订项目进度计划申请报告的期限：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发包人批复修订项目进度计划申请报告的期限：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承包人答复发包人提出修订合同计划的期限：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 进度报告</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进度报告的具体要求：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 工期延误</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8.7.2 因承包人原因导致工期延误</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因承包人原因使竣工日期延误，每延误1日的误期赔偿金额为合同协议书的合同价格的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%或人民币金额为：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、累计最高赔偿金额为合同协议书的合同价格的：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%或人民币金额为：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8.7.3 行政审批迟延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行政审批报送的职责分工：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8.7.4 异常恶劣的气候条件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双方约定视为异常恶劣的气候条件的情形：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工期提前</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承包人提前竣工的奖励：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52" w:name="_Toc19868"/>
      <w:bookmarkStart w:id="1053" w:name="_Toc54862340"/>
      <w:r>
        <w:rPr>
          <w:rFonts w:hint="eastAsia" w:ascii="宋体" w:hAnsi="宋体" w:eastAsia="宋体" w:cs="宋体"/>
          <w:b/>
          <w:bCs w:val="0"/>
          <w:color w:val="auto"/>
          <w:sz w:val="21"/>
          <w:szCs w:val="21"/>
          <w:highlight w:val="none"/>
        </w:rPr>
        <w:t>第9条 竣工试验</w:t>
      </w:r>
      <w:bookmarkEnd w:id="1052"/>
      <w:bookmarkEnd w:id="1053"/>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竣工试验的义务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 竣工试验的阶段、内容和顺序：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竣工试验的操作要求：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54" w:name="_Toc4784272"/>
      <w:bookmarkEnd w:id="1054"/>
      <w:bookmarkStart w:id="1055" w:name="_Toc4784273"/>
      <w:bookmarkEnd w:id="1055"/>
      <w:bookmarkStart w:id="1056" w:name="_Toc9090"/>
      <w:bookmarkStart w:id="1057" w:name="_Toc54862341"/>
      <w:r>
        <w:rPr>
          <w:rFonts w:hint="eastAsia" w:ascii="宋体" w:hAnsi="宋体" w:eastAsia="宋体" w:cs="宋体"/>
          <w:b/>
          <w:bCs w:val="0"/>
          <w:color w:val="auto"/>
          <w:sz w:val="21"/>
          <w:szCs w:val="21"/>
          <w:highlight w:val="none"/>
        </w:rPr>
        <w:t>第10条 验收和工程接收</w:t>
      </w:r>
      <w:bookmarkEnd w:id="1056"/>
      <w:bookmarkEnd w:id="1057"/>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竣工验收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 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bookmarkStart w:id="1058" w:name="_Hlk46406260"/>
      <w:r>
        <w:rPr>
          <w:rFonts w:hint="eastAsia" w:ascii="宋体" w:hAnsi="宋体" w:eastAsia="宋体" w:cs="宋体"/>
          <w:color w:val="auto"/>
          <w:sz w:val="21"/>
          <w:szCs w:val="21"/>
          <w:highlight w:val="none"/>
        </w:rPr>
        <w:t>发包人不按照合同约定组织竣工验收、颁发工程接受证书的违约金的计算方式：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058"/>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工程的接收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10.3.1工程接收的先后顺序、时间安排和其他要求：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 接受工程时承包人需提交竣工验收资料的类别、内容、份数和提交时间：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 发包人逾期接收工程的违约责任：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 承包人无正当理由不移交工程的违约责任：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接收证书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工程接收证书颁发时间：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 竣工退场</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10.5.1 竣工退场的相关约定：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10.5.3人员撤离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工程师同意需在缺陷责任期内继续工作和使用的人员、施工设备和临时工程的内容：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59" w:name="_Toc54862342"/>
      <w:bookmarkStart w:id="1060" w:name="_Toc21699"/>
      <w:r>
        <w:rPr>
          <w:rFonts w:hint="eastAsia" w:ascii="宋体" w:hAnsi="宋体" w:eastAsia="宋体" w:cs="宋体"/>
          <w:b/>
          <w:bCs w:val="0"/>
          <w:color w:val="auto"/>
          <w:sz w:val="21"/>
          <w:szCs w:val="21"/>
          <w:highlight w:val="none"/>
        </w:rPr>
        <w:t>第11条 缺陷责任与保修</w:t>
      </w:r>
      <w:bookmarkEnd w:id="1059"/>
      <w:bookmarkEnd w:id="1060"/>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缺陷责任期</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缺陷调查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 修复通知</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缺陷责任期终止证书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承包人应于缺陷责任期届满后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天内向发包人发出缺陷责任期届满通知，发包人应在收到缺陷责任期满通知后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天内，向承包人颁发缺陷责任期终止证书。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保修责任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工程质量保修范围、期限和责任为：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61" w:name="_Toc54862343"/>
      <w:bookmarkStart w:id="1062" w:name="_Toc32085"/>
      <w:r>
        <w:rPr>
          <w:rFonts w:hint="eastAsia" w:ascii="宋体" w:hAnsi="宋体" w:eastAsia="宋体" w:cs="宋体"/>
          <w:b/>
          <w:bCs w:val="0"/>
          <w:color w:val="auto"/>
          <w:sz w:val="21"/>
          <w:szCs w:val="21"/>
          <w:highlight w:val="none"/>
        </w:rPr>
        <w:t>第12条 竣工后试验</w:t>
      </w:r>
      <w:bookmarkEnd w:id="1061"/>
      <w:bookmarkEnd w:id="1062"/>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本合同工程是否包含竣工后试验：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竣工后试验的程序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63" w:name="_Toc3854"/>
      <w:bookmarkStart w:id="1064" w:name="_Toc54862344"/>
      <w:r>
        <w:rPr>
          <w:rFonts w:hint="eastAsia" w:ascii="宋体" w:hAnsi="宋体" w:eastAsia="宋体" w:cs="宋体"/>
          <w:b/>
          <w:bCs w:val="0"/>
          <w:color w:val="auto"/>
          <w:sz w:val="21"/>
          <w:szCs w:val="21"/>
          <w:highlight w:val="none"/>
        </w:rPr>
        <w:t>第13条 变更与调整</w:t>
      </w:r>
      <w:bookmarkEnd w:id="1063"/>
      <w:bookmarkEnd w:id="1064"/>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承包人的合理化建议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工程师应在收到承包人提交的合理化建议后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日内审查完毕并报送发包人，发现其中存在技术上的缺陷，应通知承包人修改。发包人应在收到工程师报送的合理化建议后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日内审批完毕。合理化建议经发包人批准的，工程师应及时发出变更指示，由此引起的合同价格调整按照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执行。发包人不同意变更的，工程师应书面通知承包人</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 承包人提出的合理化变更建议的利益分享约定：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变更程序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变更估价</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13.3.3.1 变更估价原则</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关于变更估价原则的约定：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暂估价</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13.4.1 依法必须招标的暂估价项目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承包人可以参与投标的暂估价项目范围：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承包人不得参与投标的暂估价项目范围：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招投标程序及其他约定：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13.4.2 不属于依法必须招标的暂估价项目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不属于依法必须招标的暂估价项目的协商及估价的约定：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暂列金额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市场价格波动引起的调整</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13.8.2 关于是否采用《价格指数权重表》的约定：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13.8.3 关于采用其他方式调整合同价款的约定：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65" w:name="_Toc54862345"/>
      <w:bookmarkStart w:id="1066" w:name="_Toc13892"/>
      <w:r>
        <w:rPr>
          <w:rFonts w:hint="eastAsia" w:ascii="宋体" w:hAnsi="宋体" w:eastAsia="宋体" w:cs="宋体"/>
          <w:b/>
          <w:bCs w:val="0"/>
          <w:color w:val="auto"/>
          <w:sz w:val="21"/>
          <w:szCs w:val="21"/>
          <w:highlight w:val="none"/>
        </w:rPr>
        <w:t>第14条 合同价格与支付</w:t>
      </w:r>
      <w:bookmarkEnd w:id="1065"/>
      <w:bookmarkEnd w:id="1066"/>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合同价格形式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14.1.1 关于合同价格形式的约定：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14.1.2 关于合同价格调整的约定：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14.1.3 按实际完成的工程量支付工程价款的计量方法、估价方法：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预付款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 预付款支付</w:t>
      </w:r>
    </w:p>
    <w:p>
      <w:pPr>
        <w:spacing w:line="520" w:lineRule="exact"/>
        <w:ind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预付款的金额或比例为：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本工程按每三个月支付工程进度款，每三个月支付已完工程量的75%，竣工结算完成并经财政、审计确认后付至最终决算价的97%，剩余3%为质量保证金。缺陷责任期为一年，缺陷责任期结束后十个工作日内一次付清。</w:t>
      </w:r>
    </w:p>
    <w:p>
      <w:pPr>
        <w:spacing w:line="5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val="en-US" w:eastAsia="zh-CN"/>
        </w:rPr>
        <w:t>注：工程竣工后工程款支付以县财政评审结果和审计部门的审计结果为结算依据。</w:t>
      </w:r>
    </w:p>
    <w:p>
      <w:pPr>
        <w:spacing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在付款前，承包人须按发包方要求出具等额发票；否则发包人有权不付款。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14.2.2预付款担保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提供预付款担保期限：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工程进度款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14.3.1 工程进度付款申请</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工程进度付款申请方式：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承包人提交进度付款申请单的格式、内容、份数和时间：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14.3.2 进度付款审核和支付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进度付款的审核方式和支付的约定：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发包人应在进度款支付证书或临时进度款支付证书签发后的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天内完成支付，发包人逾期支付进度款的，应按照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支付违约金。</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付款计划表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付款计划表的编制要求：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付款计划表的编制与审批</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付款计划表的编制：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竣工结算</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14.5.1 竣工结算申请</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竣工结算申请的资料清单和份数：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竣工结算申请单的内容应包括：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14.5.2 竣工结算审核</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 质量保证金</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14.6.1 承包人提供质量保证金的方式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工程质量保证担保，保证金额为：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%的工程款；</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其他方式：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14.6.2 质量保证金的预留</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质量保证金的预留采取以下第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在支付工程进度款时逐次预留的质量保证金的比例：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，在此情形下，质量保证金的计算基数不包括预付款的支付、扣回以及价格调整的金额；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工程竣工结算时一次性预留专用合同条件第14.6.1项第(2)目约定的工程款预留比例的质量保证金；</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其他预留方式: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 最终结清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14.7.1 最终结清申请单</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当事人双方关于最终结清申请的其他约定：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14.7.2 最终结清证书和支付</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当事人双方关于最终结清支付的其他约定：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67" w:name="_Toc28529"/>
      <w:bookmarkStart w:id="1068" w:name="_Toc54862346"/>
      <w:r>
        <w:rPr>
          <w:rFonts w:hint="eastAsia" w:ascii="宋体" w:hAnsi="宋体" w:eastAsia="宋体" w:cs="宋体"/>
          <w:b/>
          <w:bCs w:val="0"/>
          <w:color w:val="auto"/>
          <w:sz w:val="21"/>
          <w:szCs w:val="21"/>
          <w:highlight w:val="none"/>
        </w:rPr>
        <w:t>第15条 违约</w:t>
      </w:r>
      <w:bookmarkEnd w:id="1067"/>
      <w:bookmarkEnd w:id="1068"/>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发包人违约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 发包人违约的情形</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15.1.3 发包人违约的责任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承包人违约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承包人违约的情形</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15.2.2 通知改正</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工程师通知承包人改正的合理期限是：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15.2.3 承包人违约的责任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textAlignment w:val="auto"/>
        <w:rPr>
          <w:rFonts w:hint="eastAsia" w:ascii="宋体" w:hAnsi="宋体" w:eastAsia="宋体" w:cs="宋体"/>
          <w:b w:val="0"/>
          <w:bCs/>
          <w:color w:val="auto"/>
          <w:sz w:val="21"/>
          <w:szCs w:val="21"/>
          <w:highlight w:val="none"/>
        </w:rPr>
      </w:pPr>
      <w:bookmarkStart w:id="1069" w:name="_Toc54862347"/>
      <w:bookmarkStart w:id="1070" w:name="_Toc11179"/>
      <w:r>
        <w:rPr>
          <w:rFonts w:hint="eastAsia" w:ascii="宋体" w:hAnsi="宋体" w:eastAsia="宋体" w:cs="宋体"/>
          <w:b w:val="0"/>
          <w:bCs/>
          <w:color w:val="auto"/>
          <w:sz w:val="21"/>
          <w:szCs w:val="21"/>
          <w:highlight w:val="none"/>
        </w:rPr>
        <w:t>第16条 合同解除</w:t>
      </w:r>
      <w:bookmarkEnd w:id="1069"/>
      <w:bookmarkEnd w:id="1070"/>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由发包人解除合同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因承包人违约解除合同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双方约定可由发包人解除合同的其他事由：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由承包人解除合同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因发包人违约解除合同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双方约定可由承包人解除合同的其他事由：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71" w:name="_Toc9000"/>
      <w:bookmarkStart w:id="1072" w:name="_Toc54862348"/>
      <w:r>
        <w:rPr>
          <w:rFonts w:hint="eastAsia" w:ascii="宋体" w:hAnsi="宋体" w:eastAsia="宋体" w:cs="宋体"/>
          <w:b/>
          <w:bCs w:val="0"/>
          <w:color w:val="auto"/>
          <w:sz w:val="21"/>
          <w:szCs w:val="21"/>
          <w:highlight w:val="none"/>
        </w:rPr>
        <w:t>第17条 不可抗力</w:t>
      </w:r>
      <w:bookmarkEnd w:id="1071"/>
      <w:bookmarkEnd w:id="1072"/>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不可抗力的定义</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除通用合同条件约定的不可抗力事件之外，视为不可抗力的其他情形：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因不可抗力解除合同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合同解除后，发包人应当在商定或确定发包人应支付款项后的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73" w:name="_Toc4784276"/>
      <w:bookmarkEnd w:id="1073"/>
      <w:bookmarkStart w:id="1074" w:name="_Toc4784277"/>
      <w:bookmarkEnd w:id="1074"/>
      <w:bookmarkStart w:id="1075" w:name="_Toc19941"/>
      <w:bookmarkStart w:id="1076" w:name="_Toc54862349"/>
      <w:r>
        <w:rPr>
          <w:rFonts w:hint="eastAsia" w:ascii="宋体" w:hAnsi="宋体" w:eastAsia="宋体" w:cs="宋体"/>
          <w:b/>
          <w:bCs w:val="0"/>
          <w:color w:val="auto"/>
          <w:sz w:val="21"/>
          <w:szCs w:val="21"/>
          <w:highlight w:val="none"/>
        </w:rPr>
        <w:t>第18条 保险</w:t>
      </w:r>
      <w:bookmarkEnd w:id="1075"/>
      <w:bookmarkEnd w:id="1076"/>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设计和工程保险</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 双方当事人关于设计和工程保险的特别约定：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18.1.2 双方当事人关于第三方责任险的特别约定：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工伤和意外伤害保险</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18.2.3 关于工伤保险和意外伤害保险的特别约定：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货物保险</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关于承包人应为其施工设备、材料、工程设备和临时工程等办理财产保险的特别约定：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其他保险</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对各项保险的一般要求</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18.5.2 保险凭证</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保险单的条件：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18.5.4 通知义务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39"/>
        <w:pageBreakBefore w:val="0"/>
        <w:overflowPunct/>
        <w:bidi w:val="0"/>
        <w:spacing w:line="480" w:lineRule="exact"/>
        <w:jc w:val="left"/>
        <w:textAlignment w:val="auto"/>
        <w:rPr>
          <w:rFonts w:hint="eastAsia" w:ascii="宋体" w:hAnsi="宋体" w:eastAsia="宋体" w:cs="宋体"/>
          <w:b/>
          <w:bCs w:val="0"/>
          <w:color w:val="auto"/>
          <w:sz w:val="21"/>
          <w:szCs w:val="21"/>
          <w:highlight w:val="none"/>
        </w:rPr>
      </w:pPr>
      <w:bookmarkStart w:id="1077" w:name="_Toc54862350"/>
      <w:bookmarkStart w:id="1078" w:name="_Toc6403"/>
      <w:r>
        <w:rPr>
          <w:rFonts w:hint="eastAsia" w:ascii="宋体" w:hAnsi="宋体" w:eastAsia="宋体" w:cs="宋体"/>
          <w:b/>
          <w:bCs w:val="0"/>
          <w:color w:val="auto"/>
          <w:sz w:val="21"/>
          <w:szCs w:val="21"/>
          <w:highlight w:val="none"/>
        </w:rPr>
        <w:t>第20条 争议解决</w:t>
      </w:r>
      <w:bookmarkEnd w:id="1077"/>
      <w:bookmarkEnd w:id="1078"/>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选定争议避免/评审组的期限：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争议评审员报酬的承担人：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争议的避免</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发包人和承包人是否均出席争议避免的非正式讨论：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20.3.3 争议评审小组的决定</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关于争议评审小组的决定的特别约定：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仲裁或诉讼</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sectPr>
          <w:headerReference r:id="rId8" w:type="default"/>
          <w:pgSz w:w="11906" w:h="16838"/>
          <w:pgMar w:top="1440" w:right="1800" w:bottom="1440" w:left="1800" w:header="720" w:footer="998" w:gutter="0"/>
          <w:pgNumType w:fmt="decimal"/>
          <w:cols w:space="720" w:num="1"/>
          <w:docGrid w:linePitch="326" w:charSpace="0"/>
        </w:sectPr>
      </w:pPr>
    </w:p>
    <w:p>
      <w:pPr>
        <w:pStyle w:val="154"/>
        <w:keepNext w:val="0"/>
        <w:keepLines w:val="0"/>
        <w:pageBreakBefore w:val="0"/>
        <w:widowControl/>
        <w:overflowPunct/>
        <w:bidi w:val="0"/>
        <w:adjustRightInd w:val="0"/>
        <w:snapToGrid w:val="0"/>
        <w:spacing w:before="0" w:after="50" w:line="480" w:lineRule="exact"/>
        <w:textAlignment w:val="auto"/>
        <w:rPr>
          <w:rFonts w:hint="eastAsia" w:ascii="宋体" w:hAnsi="宋体" w:eastAsia="宋体" w:cs="宋体"/>
          <w:color w:val="auto"/>
          <w:sz w:val="21"/>
          <w:szCs w:val="21"/>
          <w:highlight w:val="none"/>
        </w:rPr>
      </w:pPr>
      <w:bookmarkStart w:id="1079" w:name="_Toc54862351"/>
      <w:bookmarkStart w:id="1080" w:name="_Toc6358"/>
      <w:r>
        <w:rPr>
          <w:rFonts w:hint="eastAsia" w:ascii="宋体" w:hAnsi="宋体" w:eastAsia="宋体" w:cs="宋体"/>
          <w:color w:val="auto"/>
          <w:sz w:val="21"/>
          <w:szCs w:val="21"/>
          <w:highlight w:val="none"/>
        </w:rPr>
        <w:t>专用合同条件附件</w:t>
      </w:r>
      <w:bookmarkEnd w:id="1079"/>
      <w:bookmarkEnd w:id="1080"/>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附件1：发包人要求</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附件5：承包人主要管理人员表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附件6：价格指数权重表</w:t>
      </w: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adjustRightInd/>
        <w:snapToGrid/>
        <w:spacing w:after="0" w:afterLines="0"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81" w:name="_Toc54862352"/>
      <w:bookmarkStart w:id="1082" w:name="_Toc27724"/>
      <w:bookmarkStart w:id="1083" w:name="_Hlk38571789"/>
      <w:r>
        <w:rPr>
          <w:rFonts w:hint="eastAsia" w:ascii="宋体" w:hAnsi="宋体" w:eastAsia="宋体" w:cs="宋体"/>
          <w:color w:val="auto"/>
          <w:sz w:val="21"/>
          <w:szCs w:val="21"/>
          <w:highlight w:val="none"/>
        </w:rPr>
        <w:t>附件1 《发包人要求》</w:t>
      </w:r>
      <w:bookmarkEnd w:id="1081"/>
      <w:bookmarkEnd w:id="1082"/>
    </w:p>
    <w:bookmarkEnd w:id="1083"/>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《发包人要求》通常包括但不限于以下内容：</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（一）工程目的。</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（二）工程规模。</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（三）性能保证指标（性能保证表）。</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（四）产能保证指标。</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（一）概述</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（二）包括的工作</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永久工程的设计、采购、施工范围。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临时工程的设计与施工范围。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竣工验收工作范围。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技术服务工作范围。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培训工作范围。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保修工作范围。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（三）工作界区</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（四）发包人提供的现场条件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施工用电。</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施工用水。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施工排水。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施工道路。</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（五）发包人提供的技术文件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除另有批准外，承包人的工作需要遵照发包人的下列技术文件: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发包人需求任务书。</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发包人已完成的设计文件。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三、工艺安排或要求（如有）</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四、时间要求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（一）开始工作时间。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（二）设计完成时间。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（三）进度计划。</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（四）竣工时间。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（五）缺陷责任期。</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（六）其他时间要求。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五、技术要求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（一）设计阶段和设计任务。</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（二）设计标准和规范。</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（三）技术标准和要求。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（四）质量标准。</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（五）设计、施工和设备监造、试验（如有）。</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（六）样品。</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（七）发包人提供的其他条件，如发包人或其委托的第三人提供的设计、工艺包、用于试验检验的工器具等，以及据此对承包人提出的予以配套的要求。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六、竣工试验</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（一）第一阶段，如对单车试验等的要求，包括试验前准备。</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（二）第二阶段，如对联动试车、投料试车等的要求，包括人员、设备、材料、燃料、电力、消耗品、工具等必要条件。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（三）第三阶段，如对性能测试及其他竣工试验的要求，包括产能指标、产品质量标准、运营指标、环保指标等。</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七、竣工验收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八、竣工后试验（如有）</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九、文件要求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（一）设计文件，及其相关审批、核准、备案要求。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（二）沟通计划。</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（三）风险管理计划。</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（四）竣工文件和工程的其他记录。</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（五）操作和维修手册。</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（六）其他承包人文件。</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十、工程项目管理规定</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（一）质量。</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（二）进度，包括里程碑进度计划（如果有）。</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（三）支付。</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（四）HSE（健康、安全与环境管理体系）。</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（五）沟通。</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（六）变更。</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十一、其他要求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（一）对承包人的主要人员资格要求。</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（二）相关审批、核准和备案手续的办理。</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（三）对项目业主人员的操作培训。</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（四）分包。</w:t>
      </w:r>
    </w:p>
    <w:p>
      <w:pPr>
        <w:pageBreakBefore w:val="0"/>
        <w:overflowPunct/>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（五）设备供应商。</w:t>
      </w:r>
    </w:p>
    <w:p>
      <w:pPr>
        <w:pageBreakBefore w:val="0"/>
        <w:overflowPunct/>
        <w:bidi w:val="0"/>
        <w:spacing w:line="480" w:lineRule="exact"/>
        <w:ind w:left="6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（六）缺陷责任期的服务要求。</w:t>
      </w:r>
    </w:p>
    <w:p>
      <w:pPr>
        <w:pageBreakBefore w:val="0"/>
        <w:wordWrap/>
        <w:overflowPunct/>
        <w:topLinePunct w:val="0"/>
        <w:bidi w:val="0"/>
        <w:adjustRightInd/>
        <w:snapToGrid/>
        <w:spacing w:after="0" w:afterLines="0" w:line="480" w:lineRule="exact"/>
        <w:ind w:firstLine="0" w:firstLineChars="0"/>
        <w:jc w:val="left"/>
        <w:textAlignment w:val="auto"/>
        <w:rPr>
          <w:rFonts w:hint="eastAsia" w:ascii="宋体" w:hAnsi="宋体" w:eastAsia="宋体" w:cs="宋体"/>
          <w:color w:val="auto"/>
          <w:sz w:val="21"/>
          <w:szCs w:val="21"/>
          <w:highlight w:val="none"/>
        </w:rPr>
      </w:pPr>
    </w:p>
    <w:p>
      <w:pPr>
        <w:pageBreakBefore w:val="0"/>
        <w:wordWrap/>
        <w:overflowPunct/>
        <w:topLinePunct w:val="0"/>
        <w:bidi w:val="0"/>
        <w:adjustRightInd/>
        <w:snapToGrid/>
        <w:spacing w:after="0" w:afterLines="0" w:line="480" w:lineRule="exact"/>
        <w:ind w:firstLine="0" w:firstLineChars="0"/>
        <w:jc w:val="left"/>
        <w:textAlignment w:val="auto"/>
        <w:rPr>
          <w:rFonts w:hint="eastAsia" w:ascii="宋体" w:hAnsi="宋体" w:eastAsia="宋体" w:cs="宋体"/>
          <w:color w:val="auto"/>
          <w:sz w:val="21"/>
          <w:szCs w:val="21"/>
          <w:highlight w:val="none"/>
        </w:rPr>
      </w:pPr>
    </w:p>
    <w:p>
      <w:pPr>
        <w:pStyle w:val="44"/>
        <w:tabs>
          <w:tab w:val="left" w:pos="219"/>
        </w:tabs>
        <w:rPr>
          <w:rFonts w:hint="eastAsia" w:ascii="宋体" w:hAnsi="宋体" w:eastAsia="宋体" w:cs="宋体"/>
          <w:color w:val="auto"/>
          <w:sz w:val="21"/>
          <w:szCs w:val="21"/>
          <w:highlight w:val="none"/>
        </w:rPr>
      </w:pPr>
    </w:p>
    <w:p>
      <w:pPr>
        <w:pStyle w:val="45"/>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44"/>
        <w:tabs>
          <w:tab w:val="left" w:pos="219"/>
        </w:tabs>
        <w:rPr>
          <w:rFonts w:hint="eastAsia" w:ascii="宋体" w:hAnsi="宋体" w:eastAsia="宋体" w:cs="宋体"/>
          <w:color w:val="auto"/>
          <w:sz w:val="21"/>
          <w:szCs w:val="21"/>
          <w:highlight w:val="none"/>
        </w:rPr>
      </w:pPr>
    </w:p>
    <w:p>
      <w:pPr>
        <w:pStyle w:val="45"/>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44"/>
        <w:tabs>
          <w:tab w:val="left" w:pos="219"/>
        </w:tabs>
        <w:rPr>
          <w:rFonts w:hint="eastAsia" w:ascii="宋体" w:hAnsi="宋体" w:eastAsia="宋体" w:cs="宋体"/>
          <w:color w:val="auto"/>
          <w:sz w:val="21"/>
          <w:szCs w:val="21"/>
          <w:highlight w:val="none"/>
        </w:rPr>
      </w:pPr>
    </w:p>
    <w:p>
      <w:pPr>
        <w:pStyle w:val="45"/>
        <w:rPr>
          <w:rFonts w:hint="eastAsia" w:ascii="宋体" w:hAnsi="宋体" w:eastAsia="宋体" w:cs="宋体"/>
          <w:color w:val="auto"/>
          <w:sz w:val="21"/>
          <w:szCs w:val="21"/>
          <w:highlight w:val="none"/>
        </w:rPr>
      </w:pPr>
    </w:p>
    <w:p>
      <w:pPr>
        <w:rPr>
          <w:rFonts w:hint="eastAsia"/>
          <w:color w:val="auto"/>
          <w:highlight w:val="none"/>
        </w:rPr>
      </w:pP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84" w:name="_Toc20171894"/>
      <w:bookmarkStart w:id="1085" w:name="_Toc54862353"/>
      <w:bookmarkStart w:id="1086" w:name="_Toc21964"/>
      <w:r>
        <w:rPr>
          <w:rFonts w:hint="eastAsia" w:ascii="宋体" w:hAnsi="宋体" w:eastAsia="宋体" w:cs="宋体"/>
          <w:color w:val="auto"/>
          <w:sz w:val="21"/>
          <w:szCs w:val="21"/>
          <w:highlight w:val="none"/>
        </w:rPr>
        <w:t>附件2 发包人供应材料设备一览表</w:t>
      </w:r>
      <w:bookmarkEnd w:id="1084"/>
      <w:bookmarkEnd w:id="1085"/>
      <w:bookmarkEnd w:id="1086"/>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5"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材料、设备品种</w:t>
            </w:r>
          </w:p>
        </w:tc>
        <w:tc>
          <w:tcPr>
            <w:tcW w:w="1126"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567"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86"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92"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134"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1134"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供应时间</w:t>
            </w:r>
          </w:p>
        </w:tc>
        <w:tc>
          <w:tcPr>
            <w:tcW w:w="1134"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送达地点</w:t>
            </w:r>
          </w:p>
        </w:tc>
        <w:tc>
          <w:tcPr>
            <w:tcW w:w="709"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tcBorders>
              <w:top w:val="double" w:color="auto" w:sz="6" w:space="0"/>
              <w:bottom w:val="single" w:color="auto" w:sz="6" w:space="0"/>
            </w:tcBorders>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tcBorders>
              <w:top w:val="nil"/>
            </w:tcBorders>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65"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2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567"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686"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992"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709" w:type="dxa"/>
            <w:noWrap w:val="0"/>
            <w:vAlign w:val="center"/>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bl>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87" w:name="_Toc6037"/>
      <w:bookmarkStart w:id="1088" w:name="_Toc20171895"/>
      <w:bookmarkStart w:id="1089" w:name="_Toc54862354"/>
      <w:r>
        <w:rPr>
          <w:rFonts w:hint="eastAsia" w:ascii="宋体" w:hAnsi="宋体" w:eastAsia="宋体" w:cs="宋体"/>
          <w:color w:val="auto"/>
          <w:sz w:val="21"/>
          <w:szCs w:val="21"/>
          <w:highlight w:val="none"/>
        </w:rPr>
        <w:t>附件3 工程质量保修书</w:t>
      </w:r>
      <w:bookmarkEnd w:id="1087"/>
      <w:bookmarkEnd w:id="1088"/>
      <w:bookmarkEnd w:id="1089"/>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（工程全称）订立工程质量保修书。</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质量保修期自工程竣工验收合格之日起计算。</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个月，缺陷责任期自工程通过竣工验收之日起计算。单位/区段工程先于全部工程进行验收，单位/区段工程缺陷责任期自单位/区段工程验收合格之日起算。</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缺陷责任期终止后，发包人应返还剩余的质量保证金。</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六、双方约定的其他工程质量保修事项：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工程质量保修书由发包人、承包人在工程竣工验收前共同签署，作为工程总承包合同附件，其有效期限至保修期满。</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发包人(公章)：               承包人(公章)：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地  址：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法定代表人(签字)：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委托代理人(签字)：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电  话：</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账  号： </w:t>
      </w:r>
    </w:p>
    <w:p>
      <w:pPr>
        <w:pageBreakBefore w:val="0"/>
        <w:wordWrap/>
        <w:overflowPunct/>
        <w:topLinePunct w:val="0"/>
        <w:bidi w:val="0"/>
        <w:spacing w:line="480" w:lineRule="exact"/>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邮政编码：   </w:t>
      </w:r>
    </w:p>
    <w:p>
      <w:pPr>
        <w:pageBreakBefore w:val="0"/>
        <w:wordWrap/>
        <w:overflowPunct/>
        <w:topLinePunct w:val="0"/>
        <w:bidi w:val="0"/>
        <w:adjustRightInd/>
        <w:snapToGrid/>
        <w:spacing w:after="0" w:afterLines="0"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90" w:name="_Toc20171896"/>
      <w:bookmarkStart w:id="1091" w:name="_Toc54862355"/>
      <w:bookmarkStart w:id="1092" w:name="_Toc6538"/>
      <w:r>
        <w:rPr>
          <w:rFonts w:hint="eastAsia" w:ascii="宋体" w:hAnsi="宋体" w:eastAsia="宋体" w:cs="宋体"/>
          <w:color w:val="auto"/>
          <w:sz w:val="21"/>
          <w:szCs w:val="21"/>
          <w:highlight w:val="none"/>
        </w:rPr>
        <w:t>附件4 主要建设工程文件目录</w:t>
      </w:r>
      <w:bookmarkEnd w:id="1090"/>
      <w:bookmarkEnd w:id="1091"/>
      <w:bookmarkEnd w:id="1092"/>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文件名称</w:t>
            </w:r>
          </w:p>
        </w:tc>
        <w:tc>
          <w:tcPr>
            <w:tcW w:w="1276"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套数</w:t>
            </w:r>
          </w:p>
        </w:tc>
        <w:tc>
          <w:tcPr>
            <w:tcW w:w="1450"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费用（元）</w:t>
            </w:r>
          </w:p>
        </w:tc>
        <w:tc>
          <w:tcPr>
            <w:tcW w:w="1243"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1450" w:type="dxa"/>
            <w:tcBorders>
              <w:top w:val="single" w:color="auto" w:sz="12" w:space="0"/>
              <w:bottom w:val="double" w:color="auto" w:sz="6" w:space="0"/>
            </w:tcBorders>
            <w:noWrap w:val="0"/>
            <w:vAlign w:val="top"/>
          </w:tcPr>
          <w:p>
            <w:pPr>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670" w:type="dxa"/>
            <w:tcBorders>
              <w:top w:val="single" w:color="auto" w:sz="12" w:space="0"/>
              <w:bottom w:val="double" w:color="auto" w:sz="6" w:space="0"/>
            </w:tcBorders>
            <w:noWrap w:val="0"/>
            <w:vAlign w:val="top"/>
          </w:tcPr>
          <w:p>
            <w:pPr>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tcBorders>
              <w:top w:val="double" w:color="auto" w:sz="6" w:space="0"/>
              <w:bottom w:val="single" w:color="auto" w:sz="6"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tcBorders>
              <w:top w:val="nil"/>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76"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243"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5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670" w:type="dxa"/>
            <w:noWrap w:val="0"/>
            <w:vAlign w:val="top"/>
          </w:tcPr>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bl>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sectPr>
          <w:pgSz w:w="11906" w:h="16838"/>
          <w:pgMar w:top="1440" w:right="1800" w:bottom="1440" w:left="1800" w:header="720" w:footer="998" w:gutter="0"/>
          <w:pgNumType w:fmt="decimal"/>
          <w:cols w:space="720" w:num="1"/>
          <w:docGrid w:linePitch="326" w:charSpace="0"/>
        </w:sectPr>
      </w:pP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93" w:name="_Toc20171897"/>
      <w:bookmarkStart w:id="1094" w:name="_Toc54862356"/>
      <w:bookmarkStart w:id="1095" w:name="_Toc14125"/>
      <w:r>
        <w:rPr>
          <w:rFonts w:hint="eastAsia" w:ascii="宋体" w:hAnsi="宋体" w:eastAsia="宋体" w:cs="宋体"/>
          <w:color w:val="auto"/>
          <w:sz w:val="21"/>
          <w:szCs w:val="21"/>
          <w:highlight w:val="none"/>
        </w:rPr>
        <w:t>附件5 承包人主要管理人员表</w:t>
      </w:r>
      <w:bookmarkEnd w:id="1093"/>
      <w:bookmarkEnd w:id="1094"/>
      <w:bookmarkEnd w:id="1095"/>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3896" w:type="dxa"/>
            <w:tcBorders>
              <w:top w:val="single" w:color="auto" w:sz="12" w:space="0"/>
              <w:bottom w:val="doub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tcBorders>
              <w:top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tcBorders>
              <w:top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w:t>
            </w:r>
          </w:p>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采购负责人</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pPr>
              <w:pStyle w:val="18"/>
              <w:pageBreakBefore w:val="0"/>
              <w:wordWrap/>
              <w:overflowPunct/>
              <w:topLinePunct w:val="0"/>
              <w:bidi w:val="0"/>
              <w:spacing w:after="0" w:afterLines="0"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tcBorders>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tcBorders>
              <w:bottom w:val="nil"/>
            </w:tcBorders>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418"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1134"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c>
          <w:tcPr>
            <w:tcW w:w="3896" w:type="dxa"/>
            <w:noWrap w:val="0"/>
            <w:vAlign w:val="center"/>
          </w:tcPr>
          <w:p>
            <w:pPr>
              <w:pStyle w:val="18"/>
              <w:pageBreakBefore w:val="0"/>
              <w:wordWrap/>
              <w:overflowPunct/>
              <w:topLinePunct w:val="0"/>
              <w:bidi w:val="0"/>
              <w:spacing w:after="0" w:afterLines="0" w:line="480" w:lineRule="exact"/>
              <w:ind w:firstLine="420"/>
              <w:textAlignment w:val="auto"/>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tcBorders>
              <w:bottom w:val="single" w:color="auto" w:sz="12"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418" w:type="dxa"/>
            <w:tcBorders>
              <w:bottom w:val="single" w:color="auto" w:sz="12"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c>
          <w:tcPr>
            <w:tcW w:w="3896" w:type="dxa"/>
            <w:tcBorders>
              <w:bottom w:val="single" w:color="auto" w:sz="12" w:space="0"/>
            </w:tcBorders>
            <w:noWrap w:val="0"/>
            <w:vAlign w:val="center"/>
          </w:tcPr>
          <w:p>
            <w:pPr>
              <w:pStyle w:val="18"/>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tc>
      </w:tr>
    </w:tbl>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51"/>
        <w:pageBreakBefore w:val="0"/>
        <w:numPr>
          <w:ilvl w:val="0"/>
          <w:numId w:val="0"/>
        </w:numPr>
        <w:overflowPunct/>
        <w:bidi w:val="0"/>
        <w:spacing w:line="480" w:lineRule="exact"/>
        <w:textAlignment w:val="auto"/>
        <w:rPr>
          <w:rFonts w:hint="eastAsia" w:ascii="宋体" w:hAnsi="宋体" w:eastAsia="宋体" w:cs="宋体"/>
          <w:color w:val="auto"/>
          <w:sz w:val="21"/>
          <w:szCs w:val="21"/>
          <w:highlight w:val="none"/>
        </w:rPr>
      </w:pPr>
      <w:bookmarkStart w:id="1096" w:name="_Toc54862357"/>
      <w:bookmarkStart w:id="1097" w:name="_Toc18288"/>
      <w:r>
        <w:rPr>
          <w:rFonts w:hint="eastAsia" w:ascii="宋体" w:hAnsi="宋体" w:eastAsia="宋体" w:cs="宋体"/>
          <w:color w:val="auto"/>
          <w:sz w:val="21"/>
          <w:szCs w:val="21"/>
          <w:highlight w:val="none"/>
        </w:rPr>
        <w:t>附件6 价格指数权重表</w:t>
      </w:r>
      <w:bookmarkEnd w:id="1096"/>
      <w:bookmarkEnd w:id="1097"/>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60" w:type="dxa"/>
            <w:gridSpan w:val="2"/>
            <w:vMerge w:val="restart"/>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295" w:type="dxa"/>
            <w:gridSpan w:val="2"/>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变更权重B</w:t>
            </w:r>
          </w:p>
        </w:tc>
        <w:tc>
          <w:tcPr>
            <w:tcW w:w="2445" w:type="dxa"/>
            <w:gridSpan w:val="2"/>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基本价格指数F0</w:t>
            </w: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460" w:type="dxa"/>
            <w:gridSpan w:val="2"/>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代号</w:t>
            </w: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代号</w:t>
            </w: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指数</w:t>
            </w: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restart"/>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w:t>
            </w:r>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w:t>
            </w:r>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w:t>
            </w:r>
          </w:p>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w:t>
            </w: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F01</w:t>
            </w: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w:t>
            </w: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F02</w:t>
            </w: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w:t>
            </w: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F03</w:t>
            </w: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B4</w:t>
            </w: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F04</w:t>
            </w: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584" w:type="dxa"/>
            <w:vMerge w:val="continue"/>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876"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定值部分权重A</w:t>
            </w: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0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15"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23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295" w:type="dxa"/>
            <w:gridSpan w:val="2"/>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2445" w:type="dxa"/>
            <w:gridSpan w:val="2"/>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c>
          <w:tcPr>
            <w:tcW w:w="1380" w:type="dxa"/>
            <w:noWrap w:val="0"/>
            <w:vAlign w:val="top"/>
          </w:tcPr>
          <w:p>
            <w:pPr>
              <w:pageBreakBefore w:val="0"/>
              <w:wordWrap/>
              <w:overflowPunct/>
              <w:topLinePunct w:val="0"/>
              <w:bidi w:val="0"/>
              <w:spacing w:line="480" w:lineRule="exact"/>
              <w:ind w:firstLine="0" w:firstLineChars="0"/>
              <w:textAlignment w:val="auto"/>
              <w:rPr>
                <w:rFonts w:hint="eastAsia" w:ascii="宋体" w:hAnsi="宋体" w:eastAsia="宋体" w:cs="宋体"/>
                <w:color w:val="auto"/>
                <w:sz w:val="21"/>
                <w:szCs w:val="21"/>
                <w:highlight w:val="none"/>
              </w:rPr>
            </w:pPr>
          </w:p>
        </w:tc>
      </w:tr>
    </w:tbl>
    <w:p>
      <w:pPr>
        <w:pageBreakBefore w:val="0"/>
        <w:wordWrap/>
        <w:overflowPunct/>
        <w:topLinePunct w:val="0"/>
        <w:bidi w:val="0"/>
        <w:spacing w:line="480" w:lineRule="exact"/>
        <w:textAlignment w:val="auto"/>
        <w:rPr>
          <w:rFonts w:hint="eastAsia" w:ascii="宋体" w:hAnsi="宋体" w:eastAsia="宋体" w:cs="宋体"/>
          <w:color w:val="auto"/>
          <w:sz w:val="21"/>
          <w:szCs w:val="21"/>
          <w:highlight w:val="none"/>
        </w:rPr>
      </w:pPr>
    </w:p>
    <w:p>
      <w:pPr>
        <w:spacing w:line="440" w:lineRule="exact"/>
        <w:rPr>
          <w:rFonts w:ascii="宋体" w:hAnsi="宋体"/>
          <w:color w:val="auto"/>
          <w:highlight w:val="none"/>
        </w:rPr>
      </w:pPr>
    </w:p>
    <w:p>
      <w:pPr>
        <w:widowControl/>
        <w:jc w:val="left"/>
        <w:rPr>
          <w:color w:val="auto"/>
          <w:highlight w:val="none"/>
        </w:rPr>
      </w:pPr>
    </w:p>
    <w:p>
      <w:pPr>
        <w:widowControl/>
        <w:jc w:val="left"/>
        <w:rPr>
          <w:rFonts w:ascii="宋体" w:hAnsi="宋体"/>
          <w:b/>
          <w:bCs/>
          <w:color w:val="auto"/>
          <w:kern w:val="44"/>
          <w:sz w:val="44"/>
          <w:szCs w:val="44"/>
          <w:highlight w:val="none"/>
        </w:rPr>
      </w:pPr>
      <w:r>
        <w:rPr>
          <w:rFonts w:ascii="宋体" w:hAnsi="宋体"/>
          <w:color w:val="auto"/>
          <w:highlight w:val="none"/>
        </w:rPr>
        <w:br w:type="page"/>
      </w:r>
    </w:p>
    <w:p>
      <w:pPr>
        <w:pStyle w:val="3"/>
        <w:spacing w:before="120" w:after="480" w:line="360" w:lineRule="auto"/>
        <w:jc w:val="center"/>
        <w:rPr>
          <w:rFonts w:ascii="宋体" w:hAnsi="宋体"/>
          <w:color w:val="auto"/>
          <w:highlight w:val="none"/>
        </w:rPr>
      </w:pPr>
      <w:bookmarkStart w:id="1098" w:name="_Toc8209"/>
      <w:r>
        <w:rPr>
          <w:rFonts w:hint="eastAsia" w:ascii="宋体" w:hAnsi="宋体"/>
          <w:color w:val="auto"/>
          <w:highlight w:val="none"/>
        </w:rPr>
        <w:t xml:space="preserve">第五章  </w:t>
      </w:r>
      <w:bookmarkEnd w:id="992"/>
      <w:bookmarkEnd w:id="993"/>
      <w:bookmarkEnd w:id="994"/>
      <w:bookmarkEnd w:id="995"/>
      <w:bookmarkEnd w:id="996"/>
      <w:r>
        <w:rPr>
          <w:rFonts w:hint="eastAsia" w:ascii="宋体" w:hAnsi="宋体"/>
          <w:color w:val="auto"/>
          <w:highlight w:val="none"/>
        </w:rPr>
        <w:t>发包人要求</w:t>
      </w:r>
      <w:bookmarkEnd w:id="997"/>
      <w:bookmarkEnd w:id="998"/>
      <w:bookmarkEnd w:id="1098"/>
    </w:p>
    <w:p>
      <w:pPr>
        <w:widowControl/>
        <w:spacing w:after="240" w:line="360" w:lineRule="auto"/>
        <w:jc w:val="left"/>
        <w:rPr>
          <w:rFonts w:hint="eastAsia" w:ascii="宋体" w:hAnsi="宋体" w:eastAsia="宋体"/>
          <w:color w:val="auto"/>
          <w:kern w:val="0"/>
          <w:sz w:val="21"/>
          <w:szCs w:val="21"/>
          <w:highlight w:val="none"/>
          <w:lang w:eastAsia="zh-CN"/>
        </w:rPr>
      </w:pPr>
      <w:bookmarkStart w:id="1099" w:name="_Toc13510"/>
      <w:bookmarkStart w:id="1100" w:name="_Toc15330"/>
      <w:r>
        <w:rPr>
          <w:rFonts w:hint="eastAsia" w:ascii="宋体" w:hAnsi="宋体"/>
          <w:b/>
          <w:color w:val="auto"/>
          <w:kern w:val="0"/>
          <w:sz w:val="21"/>
          <w:szCs w:val="21"/>
          <w:highlight w:val="none"/>
        </w:rPr>
        <w:t>一、项目名称：</w:t>
      </w:r>
      <w:r>
        <w:rPr>
          <w:rFonts w:hint="eastAsia" w:ascii="宋体" w:hAnsi="宋体"/>
          <w:color w:val="auto"/>
          <w:kern w:val="0"/>
          <w:sz w:val="21"/>
          <w:szCs w:val="21"/>
          <w:highlight w:val="none"/>
          <w:lang w:eastAsia="zh-CN"/>
        </w:rPr>
        <w:t>焦作市博爱县未来食品冷链物流科创产业园建设项目</w:t>
      </w:r>
    </w:p>
    <w:p>
      <w:pPr>
        <w:widowControl/>
        <w:tabs>
          <w:tab w:val="left" w:pos="0"/>
        </w:tabs>
        <w:spacing w:line="360" w:lineRule="auto"/>
        <w:rPr>
          <w:rFonts w:ascii="宋体" w:hAnsi="宋体"/>
          <w:b/>
          <w:color w:val="auto"/>
          <w:kern w:val="0"/>
          <w:sz w:val="21"/>
          <w:szCs w:val="21"/>
          <w:highlight w:val="none"/>
        </w:rPr>
      </w:pPr>
      <w:r>
        <w:rPr>
          <w:rFonts w:hint="eastAsia" w:ascii="宋体" w:hAnsi="宋体"/>
          <w:b/>
          <w:color w:val="auto"/>
          <w:kern w:val="0"/>
          <w:sz w:val="21"/>
          <w:szCs w:val="21"/>
          <w:highlight w:val="none"/>
        </w:rPr>
        <w:t>二、项目概况及规模：</w:t>
      </w:r>
    </w:p>
    <w:p>
      <w:pPr>
        <w:widowControl/>
        <w:tabs>
          <w:tab w:val="left" w:pos="0"/>
        </w:tabs>
        <w:spacing w:line="360"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本项目占地247亩，总建筑面积约265005㎡。具体建设内容如下：9栋标准化厂房、1栋展销中心、1栋商业中心、1栋研发中心、1栋公共服务中心、冷藏库、冷冻库恒温分拣库、综合运营中心、物流配送中心、门卫室及相关配套设施。另购置安装大型制冷压缩机、冷却器、分离器、标准化冷藏车等生产配套设备。</w:t>
      </w:r>
    </w:p>
    <w:p>
      <w:pPr>
        <w:pStyle w:val="2"/>
        <w:spacing w:line="360" w:lineRule="auto"/>
        <w:rPr>
          <w:b/>
          <w:color w:val="auto"/>
          <w:sz w:val="21"/>
          <w:szCs w:val="21"/>
          <w:highlight w:val="none"/>
        </w:rPr>
      </w:pPr>
      <w:r>
        <w:rPr>
          <w:rFonts w:hint="eastAsia"/>
          <w:b/>
          <w:color w:val="auto"/>
          <w:sz w:val="21"/>
          <w:szCs w:val="21"/>
          <w:highlight w:val="none"/>
        </w:rPr>
        <w:t>三、招标范围：</w:t>
      </w:r>
    </w:p>
    <w:p>
      <w:pPr>
        <w:pStyle w:val="2"/>
        <w:spacing w:after="240" w:line="360" w:lineRule="auto"/>
        <w:ind w:firstLine="420" w:firstLineChars="200"/>
        <w:rPr>
          <w:color w:val="auto"/>
          <w:sz w:val="21"/>
          <w:szCs w:val="21"/>
          <w:highlight w:val="none"/>
        </w:rPr>
      </w:pPr>
      <w:r>
        <w:rPr>
          <w:rFonts w:hint="eastAsia"/>
          <w:color w:val="auto"/>
          <w:sz w:val="21"/>
          <w:szCs w:val="21"/>
          <w:highlight w:val="none"/>
        </w:rPr>
        <w:t>包含与本项目相关的勘察、设计（包含方案设计、初步设计、施工图设计等费用）、不可竞争费（不可竞争费=安全文明施工费+规费+税金）、预算编制、材料和设备采购、施工、调试、验收、保修、试运行及配合招标人对手续办理等全过程即交钥匙工程产生的一切费用（监理费除外）。</w:t>
      </w:r>
    </w:p>
    <w:p>
      <w:pPr>
        <w:pStyle w:val="2"/>
        <w:spacing w:after="240"/>
        <w:rPr>
          <w:rFonts w:hAnsi="宋体"/>
          <w:b/>
          <w:color w:val="auto"/>
          <w:sz w:val="21"/>
          <w:szCs w:val="21"/>
          <w:highlight w:val="none"/>
        </w:rPr>
      </w:pPr>
      <w:r>
        <w:rPr>
          <w:rFonts w:hint="eastAsia" w:hAnsi="宋体"/>
          <w:b/>
          <w:color w:val="auto"/>
          <w:sz w:val="21"/>
          <w:szCs w:val="21"/>
          <w:highlight w:val="none"/>
        </w:rPr>
        <w:t>四、本次招标的具体内容及要求：</w:t>
      </w:r>
    </w:p>
    <w:p>
      <w:pPr>
        <w:pStyle w:val="2"/>
        <w:spacing w:line="360" w:lineRule="auto"/>
        <w:rPr>
          <w:rFonts w:hAnsi="宋体"/>
          <w:b/>
          <w:color w:val="auto"/>
          <w:sz w:val="21"/>
          <w:szCs w:val="21"/>
          <w:highlight w:val="none"/>
        </w:rPr>
      </w:pPr>
      <w:r>
        <w:rPr>
          <w:rFonts w:hint="eastAsia" w:hAnsi="宋体"/>
          <w:b/>
          <w:color w:val="auto"/>
          <w:sz w:val="21"/>
          <w:szCs w:val="21"/>
          <w:highlight w:val="none"/>
        </w:rPr>
        <w:t>（一）设计部分</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设计内容：包括初步设计、施工图设计、专项设计、深化设计</w:t>
      </w:r>
      <w:r>
        <w:rPr>
          <w:rFonts w:hint="eastAsia"/>
          <w:color w:val="auto"/>
          <w:sz w:val="21"/>
          <w:szCs w:val="21"/>
          <w:highlight w:val="none"/>
        </w:rPr>
        <w:t>等</w:t>
      </w:r>
    </w:p>
    <w:p>
      <w:pPr>
        <w:pStyle w:val="2"/>
        <w:spacing w:line="360" w:lineRule="auto"/>
        <w:ind w:firstLine="420" w:firstLineChars="200"/>
        <w:rPr>
          <w:color w:val="auto"/>
          <w:sz w:val="21"/>
          <w:szCs w:val="21"/>
          <w:highlight w:val="none"/>
        </w:rPr>
      </w:pPr>
      <w:r>
        <w:rPr>
          <w:rFonts w:hint="eastAsia"/>
          <w:color w:val="auto"/>
          <w:sz w:val="21"/>
          <w:szCs w:val="21"/>
          <w:highlight w:val="none"/>
        </w:rPr>
        <w:t>设计概算要求：招标范围内的所有造价应控制</w:t>
      </w:r>
      <w:r>
        <w:rPr>
          <w:rFonts w:hint="eastAsia"/>
          <w:color w:val="auto"/>
          <w:sz w:val="21"/>
          <w:szCs w:val="21"/>
          <w:highlight w:val="none"/>
          <w:lang w:eastAsia="zh-CN"/>
        </w:rPr>
        <w:t>合理范围内</w:t>
      </w:r>
      <w:r>
        <w:rPr>
          <w:rFonts w:hint="eastAsia"/>
          <w:color w:val="auto"/>
          <w:sz w:val="21"/>
          <w:szCs w:val="21"/>
          <w:highlight w:val="none"/>
        </w:rPr>
        <w:t>。</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设计质量要求：各阶段设计成果文件均符合国家、省、市有关工程设计方面的规范、文件规定的内容及深度和招标人的具体要求</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设计周期：</w:t>
      </w:r>
      <w:r>
        <w:rPr>
          <w:rFonts w:hint="eastAsia" w:hAnsi="宋体"/>
          <w:color w:val="auto"/>
          <w:sz w:val="21"/>
          <w:szCs w:val="21"/>
          <w:highlight w:val="none"/>
          <w:lang w:val="en-US" w:eastAsia="zh-CN"/>
        </w:rPr>
        <w:t>2个月</w:t>
      </w:r>
      <w:r>
        <w:rPr>
          <w:rFonts w:hint="eastAsia" w:hAnsi="宋体"/>
          <w:color w:val="auto"/>
          <w:sz w:val="21"/>
          <w:szCs w:val="21"/>
          <w:highlight w:val="none"/>
        </w:rPr>
        <w:t>。</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其他要求：</w:t>
      </w:r>
      <w:r>
        <w:rPr>
          <w:rFonts w:hint="eastAsia"/>
          <w:color w:val="auto"/>
          <w:sz w:val="21"/>
          <w:szCs w:val="21"/>
          <w:highlight w:val="none"/>
        </w:rPr>
        <w:t>设计成果在报审前须经过招标人审核通过并认可。</w:t>
      </w:r>
    </w:p>
    <w:bookmarkEnd w:id="1099"/>
    <w:bookmarkEnd w:id="1100"/>
    <w:p>
      <w:pPr>
        <w:pStyle w:val="2"/>
        <w:spacing w:line="360" w:lineRule="auto"/>
        <w:rPr>
          <w:rFonts w:hAnsi="宋体"/>
          <w:b/>
          <w:color w:val="auto"/>
          <w:sz w:val="21"/>
          <w:szCs w:val="21"/>
          <w:highlight w:val="none"/>
        </w:rPr>
      </w:pPr>
      <w:bookmarkStart w:id="1101" w:name="_Toc152042575"/>
      <w:bookmarkStart w:id="1102" w:name="_Toc152045786"/>
      <w:bookmarkStart w:id="1103" w:name="_Toc144974855"/>
      <w:r>
        <w:rPr>
          <w:rFonts w:hint="eastAsia" w:hAnsi="宋体"/>
          <w:b/>
          <w:color w:val="auto"/>
          <w:sz w:val="21"/>
          <w:szCs w:val="21"/>
          <w:highlight w:val="none"/>
        </w:rPr>
        <w:t>（二）工程施工部分</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施工内容：</w:t>
      </w:r>
      <w:r>
        <w:rPr>
          <w:rFonts w:hint="eastAsia" w:ascii="宋体" w:hAnsi="宋体"/>
          <w:color w:val="auto"/>
          <w:sz w:val="21"/>
          <w:szCs w:val="21"/>
          <w:highlight w:val="none"/>
        </w:rPr>
        <w:t>9栋标准化厂房、1栋展销中心、1栋商业中心、1栋研发中心、1栋公共服务中心、冷藏库、冷冻库恒温分拣库、综合运营中心、物流配送中心、门卫室及相关配套设施</w:t>
      </w:r>
      <w:r>
        <w:rPr>
          <w:rFonts w:hint="eastAsia" w:hAnsi="宋体"/>
          <w:color w:val="auto"/>
          <w:sz w:val="21"/>
          <w:szCs w:val="21"/>
          <w:highlight w:val="none"/>
        </w:rPr>
        <w:t>。</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施工质量要求：满足国家相关规范要求及招标文件的技术要求，达到合格标准</w:t>
      </w:r>
      <w:r>
        <w:rPr>
          <w:rFonts w:hint="eastAsia" w:hAnsi="宋体"/>
          <w:color w:val="auto"/>
          <w:sz w:val="21"/>
          <w:szCs w:val="21"/>
          <w:highlight w:val="none"/>
          <w:lang w:eastAsia="zh-CN"/>
        </w:rPr>
        <w:t>；</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施工工期要求：</w:t>
      </w:r>
      <w:r>
        <w:rPr>
          <w:rFonts w:hint="eastAsia" w:hAnsi="宋体"/>
          <w:color w:val="auto"/>
          <w:sz w:val="21"/>
          <w:szCs w:val="21"/>
          <w:highlight w:val="none"/>
          <w:lang w:val="en-US" w:eastAsia="zh-CN"/>
        </w:rPr>
        <w:t>22个月</w:t>
      </w:r>
      <w:r>
        <w:rPr>
          <w:rFonts w:hint="eastAsia" w:hAnsi="宋体"/>
          <w:color w:val="auto"/>
          <w:sz w:val="21"/>
          <w:szCs w:val="21"/>
          <w:highlight w:val="none"/>
        </w:rPr>
        <w:t>。</w:t>
      </w:r>
    </w:p>
    <w:p>
      <w:pPr>
        <w:pStyle w:val="2"/>
        <w:spacing w:line="360" w:lineRule="auto"/>
        <w:rPr>
          <w:rFonts w:hAnsi="宋体"/>
          <w:b/>
          <w:color w:val="auto"/>
          <w:sz w:val="21"/>
          <w:szCs w:val="21"/>
          <w:highlight w:val="none"/>
        </w:rPr>
      </w:pPr>
      <w:r>
        <w:rPr>
          <w:rFonts w:hint="eastAsia" w:hAnsi="宋体"/>
          <w:b/>
          <w:color w:val="auto"/>
          <w:sz w:val="21"/>
          <w:szCs w:val="21"/>
          <w:highlight w:val="none"/>
        </w:rPr>
        <w:t>（三）设备部分</w:t>
      </w:r>
    </w:p>
    <w:p>
      <w:pPr>
        <w:pStyle w:val="2"/>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设备内容：安装大型制冷压缩机、冷却器、分离器、标准化冷藏车等生产配套设备</w:t>
      </w:r>
      <w:r>
        <w:rPr>
          <w:rFonts w:hint="eastAsia" w:hAnsi="宋体"/>
          <w:color w:val="auto"/>
          <w:sz w:val="21"/>
          <w:szCs w:val="21"/>
          <w:highlight w:val="none"/>
          <w:lang w:eastAsia="zh-CN"/>
        </w:rPr>
        <w:t>；</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设备数量及内容：设备的具体数量及内容参考可研报告估算数量，根据最终设计成果及招标人要求据实做出调整。</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供货进度要求：材料、设备、设施应根据工程进度及时供应到位，不得因材料、设备的供应、安装等原因延误工期。</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质量要求：材料、设备、设施的质量应符合国家相关技术规范和指标的要求。</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安装及调试要求：包括以上所有设施、设备的安装、调试到位及设备试运行等。</w:t>
      </w:r>
    </w:p>
    <w:p>
      <w:pPr>
        <w:pStyle w:val="2"/>
        <w:spacing w:line="360" w:lineRule="auto"/>
        <w:ind w:firstLine="420" w:firstLineChars="200"/>
        <w:rPr>
          <w:rFonts w:hAnsi="宋体"/>
          <w:color w:val="auto"/>
          <w:sz w:val="21"/>
          <w:szCs w:val="21"/>
          <w:highlight w:val="none"/>
        </w:rPr>
      </w:pPr>
      <w:r>
        <w:rPr>
          <w:rFonts w:hint="eastAsia" w:hAnsi="宋体"/>
          <w:color w:val="auto"/>
          <w:sz w:val="21"/>
          <w:szCs w:val="21"/>
          <w:highlight w:val="none"/>
        </w:rPr>
        <w:t>采购清单报价时间要求：施工图图审结束后</w:t>
      </w:r>
      <w:r>
        <w:rPr>
          <w:rFonts w:hAnsi="宋体"/>
          <w:color w:val="auto"/>
          <w:sz w:val="21"/>
          <w:szCs w:val="21"/>
          <w:highlight w:val="none"/>
        </w:rPr>
        <w:t>15</w:t>
      </w:r>
      <w:r>
        <w:rPr>
          <w:rFonts w:hint="eastAsia" w:hAnsi="宋体"/>
          <w:color w:val="auto"/>
          <w:sz w:val="21"/>
          <w:szCs w:val="21"/>
          <w:highlight w:val="none"/>
        </w:rPr>
        <w:t>日内提交。</w:t>
      </w:r>
    </w:p>
    <w:p>
      <w:pPr>
        <w:pStyle w:val="2"/>
        <w:spacing w:before="240" w:after="240"/>
        <w:rPr>
          <w:rFonts w:hAnsi="宋体"/>
          <w:b/>
          <w:color w:val="auto"/>
          <w:sz w:val="21"/>
          <w:szCs w:val="21"/>
          <w:highlight w:val="none"/>
        </w:rPr>
      </w:pPr>
      <w:r>
        <w:rPr>
          <w:rFonts w:hint="eastAsia" w:hAnsi="宋体"/>
          <w:b/>
          <w:color w:val="auto"/>
          <w:sz w:val="21"/>
          <w:szCs w:val="21"/>
          <w:highlight w:val="none"/>
        </w:rPr>
        <w:t>五、缺陷责任期及质保要求：</w:t>
      </w:r>
    </w:p>
    <w:p>
      <w:pPr>
        <w:widowControl/>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 xml:space="preserve">缺陷责任期期限：24个月 </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w:t>
      </w:r>
    </w:p>
    <w:p>
      <w:pPr>
        <w:widowControl/>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质保期：符合国家相关规定。</w:t>
      </w:r>
    </w:p>
    <w:p>
      <w:pPr>
        <w:pStyle w:val="2"/>
        <w:spacing w:before="240" w:after="240"/>
        <w:rPr>
          <w:rFonts w:hAnsi="宋体"/>
          <w:b/>
          <w:color w:val="auto"/>
          <w:sz w:val="21"/>
          <w:szCs w:val="21"/>
          <w:highlight w:val="none"/>
        </w:rPr>
      </w:pPr>
      <w:r>
        <w:rPr>
          <w:rFonts w:hint="eastAsia" w:hAnsi="宋体"/>
          <w:b/>
          <w:color w:val="auto"/>
          <w:sz w:val="21"/>
          <w:szCs w:val="21"/>
          <w:highlight w:val="none"/>
        </w:rPr>
        <w:t>六：其他要求：</w:t>
      </w:r>
    </w:p>
    <w:p>
      <w:pPr>
        <w:widowControl/>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1</w:t>
      </w:r>
      <w:r>
        <w:rPr>
          <w:rFonts w:ascii="宋体" w:hAnsi="宋体"/>
          <w:color w:val="auto"/>
          <w:kern w:val="0"/>
          <w:sz w:val="21"/>
          <w:szCs w:val="21"/>
          <w:highlight w:val="none"/>
        </w:rPr>
        <w:t>.</w:t>
      </w:r>
      <w:r>
        <w:rPr>
          <w:rFonts w:hint="eastAsia" w:ascii="宋体" w:hAnsi="宋体"/>
          <w:color w:val="auto"/>
          <w:kern w:val="0"/>
          <w:sz w:val="21"/>
          <w:szCs w:val="21"/>
          <w:highlight w:val="none"/>
        </w:rPr>
        <w:t>截止到运营时，本项目建设工程以外的所有费用支出，需经招标人认可。</w:t>
      </w:r>
    </w:p>
    <w:p>
      <w:pPr>
        <w:pStyle w:val="2"/>
        <w:spacing w:line="360" w:lineRule="auto"/>
        <w:ind w:firstLine="480"/>
        <w:rPr>
          <w:color w:val="auto"/>
          <w:sz w:val="21"/>
          <w:szCs w:val="21"/>
          <w:highlight w:val="none"/>
        </w:rPr>
      </w:pPr>
      <w:r>
        <w:rPr>
          <w:color w:val="auto"/>
          <w:sz w:val="21"/>
          <w:szCs w:val="21"/>
          <w:highlight w:val="none"/>
        </w:rPr>
        <w:t>2.</w:t>
      </w:r>
      <w:r>
        <w:rPr>
          <w:rFonts w:hint="eastAsia"/>
          <w:color w:val="auto"/>
          <w:sz w:val="21"/>
          <w:szCs w:val="21"/>
          <w:highlight w:val="none"/>
        </w:rPr>
        <w:t>项目施工过程中所有材料、设备均需招标人认质认价方可进场。</w:t>
      </w:r>
    </w:p>
    <w:p>
      <w:pPr>
        <w:pStyle w:val="2"/>
        <w:spacing w:line="360" w:lineRule="auto"/>
        <w:ind w:firstLine="480"/>
        <w:rPr>
          <w:color w:val="auto"/>
          <w:sz w:val="21"/>
          <w:szCs w:val="21"/>
          <w:highlight w:val="none"/>
        </w:rPr>
      </w:pPr>
      <w:r>
        <w:rPr>
          <w:color w:val="auto"/>
          <w:sz w:val="21"/>
          <w:szCs w:val="21"/>
          <w:highlight w:val="none"/>
        </w:rPr>
        <w:t>3.</w:t>
      </w:r>
      <w:r>
        <w:rPr>
          <w:rFonts w:hint="eastAsia"/>
          <w:color w:val="auto"/>
          <w:sz w:val="21"/>
          <w:szCs w:val="21"/>
          <w:highlight w:val="none"/>
        </w:rPr>
        <w:t>在招标范围内没有载明，但实际证明是确保项目交付使用所必须的，则均需纳入设计、施工、采购、安装及提供的配套服务范围内。</w:t>
      </w:r>
    </w:p>
    <w:p>
      <w:pPr>
        <w:widowControl/>
        <w:jc w:val="left"/>
        <w:rPr>
          <w:rFonts w:ascii="宋体" w:hAnsi="宋体"/>
          <w:color w:val="auto"/>
          <w:kern w:val="0"/>
          <w:sz w:val="24"/>
          <w:szCs w:val="20"/>
          <w:highlight w:val="none"/>
        </w:rPr>
      </w:pPr>
      <w:r>
        <w:rPr>
          <w:rFonts w:hAnsi="宋体"/>
          <w:color w:val="auto"/>
          <w:highlight w:val="none"/>
        </w:rPr>
        <w:br w:type="page"/>
      </w:r>
    </w:p>
    <w:p>
      <w:pPr>
        <w:pStyle w:val="2"/>
        <w:spacing w:line="360" w:lineRule="auto"/>
        <w:rPr>
          <w:rFonts w:hAnsi="宋体"/>
          <w:color w:val="auto"/>
          <w:highlight w:val="none"/>
        </w:rPr>
      </w:pPr>
    </w:p>
    <w:p>
      <w:pPr>
        <w:pStyle w:val="3"/>
        <w:spacing w:before="120" w:after="480" w:line="360" w:lineRule="auto"/>
        <w:jc w:val="center"/>
        <w:rPr>
          <w:rFonts w:ascii="宋体" w:hAnsi="宋体"/>
          <w:color w:val="auto"/>
          <w:highlight w:val="none"/>
        </w:rPr>
      </w:pPr>
      <w:bookmarkStart w:id="1104" w:name="_Toc247527826"/>
      <w:bookmarkStart w:id="1105" w:name="_Toc17854"/>
      <w:bookmarkStart w:id="1106" w:name="_Toc22844"/>
      <w:bookmarkStart w:id="1107" w:name="_Toc247514245"/>
    </w:p>
    <w:p>
      <w:pPr>
        <w:pStyle w:val="3"/>
        <w:spacing w:before="120" w:after="480" w:line="360" w:lineRule="auto"/>
        <w:jc w:val="center"/>
        <w:rPr>
          <w:rFonts w:ascii="宋体" w:hAnsi="宋体"/>
          <w:color w:val="auto"/>
          <w:highlight w:val="none"/>
        </w:rPr>
      </w:pPr>
    </w:p>
    <w:p>
      <w:pPr>
        <w:pStyle w:val="3"/>
        <w:spacing w:before="120" w:after="480" w:line="360" w:lineRule="auto"/>
        <w:jc w:val="center"/>
        <w:rPr>
          <w:rFonts w:ascii="宋体" w:hAnsi="宋体"/>
          <w:color w:val="auto"/>
          <w:highlight w:val="none"/>
        </w:rPr>
      </w:pPr>
      <w:bookmarkStart w:id="1108" w:name="_Toc27424"/>
      <w:r>
        <w:rPr>
          <w:rFonts w:hint="eastAsia" w:ascii="宋体" w:hAnsi="宋体"/>
          <w:color w:val="auto"/>
          <w:highlight w:val="none"/>
        </w:rPr>
        <w:t>第六章  投标文件格式</w:t>
      </w:r>
      <w:bookmarkEnd w:id="1101"/>
      <w:bookmarkEnd w:id="1102"/>
      <w:bookmarkEnd w:id="1103"/>
      <w:bookmarkEnd w:id="1104"/>
      <w:bookmarkEnd w:id="1105"/>
      <w:bookmarkEnd w:id="1106"/>
      <w:bookmarkEnd w:id="1107"/>
      <w:bookmarkEnd w:id="1108"/>
    </w:p>
    <w:p>
      <w:pPr>
        <w:spacing w:line="360" w:lineRule="auto"/>
        <w:jc w:val="center"/>
        <w:rPr>
          <w:rFonts w:ascii="宋体"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spacing w:line="360" w:lineRule="auto"/>
        <w:jc w:val="center"/>
        <w:rPr>
          <w:rFonts w:hint="eastAsia" w:ascii="宋体" w:hAnsi="宋体" w:eastAsia="宋体"/>
          <w:color w:val="auto"/>
          <w:sz w:val="20"/>
          <w:szCs w:val="20"/>
          <w:highlight w:val="none"/>
          <w:lang w:eastAsia="zh-CN"/>
        </w:rPr>
      </w:pPr>
      <w:r>
        <w:rPr>
          <w:rFonts w:hint="eastAsia" w:ascii="宋体" w:hAnsi="宋体"/>
          <w:color w:val="auto"/>
          <w:sz w:val="36"/>
          <w:szCs w:val="36"/>
          <w:highlight w:val="none"/>
          <w:u w:val="single"/>
        </w:rPr>
        <w:t xml:space="preserve">                   </w:t>
      </w:r>
      <w:r>
        <w:rPr>
          <w:rFonts w:ascii="宋体" w:hAnsi="宋体"/>
          <w:color w:val="auto"/>
          <w:sz w:val="36"/>
          <w:szCs w:val="36"/>
          <w:highlight w:val="none"/>
        </w:rPr>
        <w:t>（项目名称）</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lang w:eastAsia="zh-CN"/>
        </w:rPr>
        <w:t>标段</w:t>
      </w:r>
    </w:p>
    <w:p>
      <w:pPr>
        <w:spacing w:line="360" w:lineRule="auto"/>
        <w:rPr>
          <w:rFonts w:ascii="宋体" w:hAnsi="宋体"/>
          <w:color w:val="auto"/>
          <w:sz w:val="20"/>
          <w:szCs w:val="20"/>
          <w:highlight w:val="none"/>
        </w:rPr>
      </w:pPr>
    </w:p>
    <w:p>
      <w:pPr>
        <w:spacing w:line="360" w:lineRule="auto"/>
        <w:jc w:val="center"/>
        <w:rPr>
          <w:rFonts w:ascii="宋体" w:hAnsi="宋体"/>
          <w:color w:val="auto"/>
          <w:sz w:val="84"/>
          <w:szCs w:val="84"/>
          <w:highlight w:val="none"/>
        </w:rPr>
      </w:pPr>
      <w:r>
        <w:rPr>
          <w:rFonts w:ascii="宋体" w:hAnsi="宋体"/>
          <w:color w:val="auto"/>
          <w:sz w:val="84"/>
          <w:szCs w:val="84"/>
          <w:highlight w:val="none"/>
        </w:rPr>
        <w:t>投</w:t>
      </w:r>
      <w:r>
        <w:rPr>
          <w:rFonts w:hint="eastAsia" w:ascii="宋体" w:hAnsi="宋体"/>
          <w:color w:val="auto"/>
          <w:sz w:val="84"/>
          <w:szCs w:val="84"/>
          <w:highlight w:val="none"/>
        </w:rPr>
        <w:t xml:space="preserve"> </w:t>
      </w:r>
      <w:r>
        <w:rPr>
          <w:rFonts w:ascii="宋体" w:hAnsi="宋体"/>
          <w:color w:val="auto"/>
          <w:sz w:val="84"/>
          <w:szCs w:val="84"/>
          <w:highlight w:val="none"/>
        </w:rPr>
        <w:t>标 文 件</w:t>
      </w:r>
    </w:p>
    <w:p>
      <w:pPr>
        <w:pStyle w:val="2"/>
        <w:rPr>
          <w:color w:val="auto"/>
          <w:highlight w:val="none"/>
        </w:rPr>
      </w:pPr>
    </w:p>
    <w:p>
      <w:pPr>
        <w:widowControl/>
        <w:adjustRightInd w:val="0"/>
        <w:snapToGrid w:val="0"/>
        <w:spacing w:line="360" w:lineRule="auto"/>
        <w:ind w:left="2100" w:firstLine="420"/>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采购编号：博政采购〔2023〕  号</w:t>
      </w:r>
    </w:p>
    <w:p>
      <w:pPr>
        <w:spacing w:after="120"/>
        <w:ind w:firstLine="546" w:firstLineChars="195"/>
        <w:rPr>
          <w:rFonts w:ascii="宋体" w:hAnsi="宋体" w:cs="宋体"/>
          <w:color w:val="auto"/>
          <w:sz w:val="28"/>
          <w:szCs w:val="28"/>
          <w:highlight w:val="none"/>
        </w:rPr>
      </w:pPr>
      <w:r>
        <w:rPr>
          <w:rFonts w:hint="eastAsia" w:ascii="宋体" w:hAnsi="宋体"/>
          <w:color w:val="auto"/>
          <w:sz w:val="28"/>
          <w:szCs w:val="28"/>
          <w:highlight w:val="none"/>
        </w:rPr>
        <w:t xml:space="preserve">            </w:t>
      </w:r>
    </w:p>
    <w:p>
      <w:pPr>
        <w:spacing w:line="360" w:lineRule="auto"/>
        <w:rPr>
          <w:rFonts w:ascii="宋体" w:hAnsi="宋体"/>
          <w:color w:val="auto"/>
          <w:sz w:val="28"/>
          <w:szCs w:val="28"/>
          <w:highlight w:val="none"/>
        </w:rPr>
      </w:pPr>
    </w:p>
    <w:p>
      <w:pPr>
        <w:pStyle w:val="2"/>
        <w:spacing w:line="360" w:lineRule="auto"/>
        <w:rPr>
          <w:rFonts w:hAnsi="宋体"/>
          <w:color w:val="auto"/>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pStyle w:val="2"/>
        <w:spacing w:line="360" w:lineRule="auto"/>
        <w:rPr>
          <w:rFonts w:hAnsi="宋体"/>
          <w:color w:val="auto"/>
          <w:highlight w:val="none"/>
        </w:rPr>
      </w:pPr>
    </w:p>
    <w:p>
      <w:pPr>
        <w:spacing w:line="360" w:lineRule="auto"/>
        <w:jc w:val="center"/>
        <w:rPr>
          <w:rFonts w:ascii="宋体" w:hAnsi="宋体"/>
          <w:color w:val="auto"/>
          <w:sz w:val="28"/>
          <w:szCs w:val="28"/>
          <w:highlight w:val="none"/>
          <w:u w:val="single"/>
        </w:rPr>
      </w:pPr>
      <w:r>
        <w:rPr>
          <w:rFonts w:ascii="宋体" w:hAnsi="宋体"/>
          <w:color w:val="auto"/>
          <w:sz w:val="28"/>
          <w:szCs w:val="28"/>
          <w:highlight w:val="none"/>
        </w:rPr>
        <w:t>投标人：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pPr>
        <w:spacing w:line="360" w:lineRule="auto"/>
        <w:jc w:val="center"/>
        <w:rPr>
          <w:rFonts w:ascii="宋体" w:hAnsi="宋体"/>
          <w:color w:val="auto"/>
          <w:sz w:val="28"/>
          <w:szCs w:val="28"/>
          <w:highlight w:val="none"/>
        </w:rPr>
      </w:pPr>
      <w:r>
        <w:rPr>
          <w:rFonts w:ascii="宋体" w:hAnsi="宋体"/>
          <w:color w:val="auto"/>
          <w:sz w:val="28"/>
          <w:szCs w:val="28"/>
          <w:highlight w:val="none"/>
        </w:rPr>
        <w:t>法定代表人</w:t>
      </w:r>
      <w:r>
        <w:rPr>
          <w:rFonts w:hint="eastAsia" w:ascii="宋体" w:hAnsi="宋体"/>
          <w:color w:val="auto"/>
          <w:sz w:val="28"/>
          <w:szCs w:val="28"/>
          <w:highlight w:val="none"/>
          <w:lang w:eastAsia="zh-CN"/>
        </w:rPr>
        <w:t>或</w:t>
      </w:r>
      <w:r>
        <w:rPr>
          <w:rFonts w:ascii="宋体" w:hAnsi="宋体"/>
          <w:color w:val="auto"/>
          <w:sz w:val="28"/>
          <w:szCs w:val="28"/>
          <w:highlight w:val="none"/>
        </w:rPr>
        <w:t>其委托代理人：</w:t>
      </w:r>
      <w:r>
        <w:rPr>
          <w:rFonts w:ascii="宋体" w:hAnsi="宋体"/>
          <w:color w:val="auto"/>
          <w:sz w:val="28"/>
          <w:szCs w:val="28"/>
          <w:highlight w:val="none"/>
          <w:u w:val="single"/>
        </w:rPr>
        <w:t xml:space="preserve">                </w:t>
      </w:r>
      <w:r>
        <w:rPr>
          <w:rFonts w:ascii="宋体" w:hAnsi="宋体"/>
          <w:color w:val="auto"/>
          <w:sz w:val="28"/>
          <w:szCs w:val="28"/>
          <w:highlight w:val="none"/>
        </w:rPr>
        <w:t>（</w:t>
      </w:r>
      <w:r>
        <w:rPr>
          <w:rFonts w:hint="eastAsia" w:ascii="宋体" w:hAnsi="宋体"/>
          <w:color w:val="auto"/>
          <w:sz w:val="28"/>
          <w:szCs w:val="28"/>
          <w:highlight w:val="none"/>
        </w:rPr>
        <w:t>签字</w:t>
      </w:r>
      <w:r>
        <w:rPr>
          <w:rFonts w:hint="eastAsia" w:ascii="宋体" w:hAnsi="宋体"/>
          <w:color w:val="auto"/>
          <w:sz w:val="28"/>
          <w:szCs w:val="28"/>
          <w:highlight w:val="none"/>
          <w:lang w:eastAsia="zh-CN"/>
        </w:rPr>
        <w:t>或</w:t>
      </w:r>
      <w:r>
        <w:rPr>
          <w:rFonts w:hint="eastAsia" w:ascii="宋体" w:hAnsi="宋体"/>
          <w:color w:val="auto"/>
          <w:sz w:val="28"/>
          <w:szCs w:val="28"/>
          <w:highlight w:val="none"/>
        </w:rPr>
        <w:t>电子章</w:t>
      </w:r>
      <w:r>
        <w:rPr>
          <w:rFonts w:ascii="宋体" w:hAnsi="宋体"/>
          <w:color w:val="auto"/>
          <w:sz w:val="28"/>
          <w:szCs w:val="28"/>
          <w:highlight w:val="none"/>
        </w:rPr>
        <w:t>）</w:t>
      </w:r>
    </w:p>
    <w:p>
      <w:pPr>
        <w:spacing w:line="360" w:lineRule="auto"/>
        <w:jc w:val="center"/>
        <w:rPr>
          <w:rFonts w:ascii="宋体" w:hAnsi="宋体"/>
          <w:color w:val="auto"/>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bookmarkStart w:id="1109" w:name="_Toc432430427"/>
      <w:bookmarkStart w:id="1110" w:name="_Toc152042576"/>
      <w:bookmarkStart w:id="1111" w:name="_Toc152045787"/>
      <w:bookmarkStart w:id="1112" w:name="_Toc144974856"/>
      <w:bookmarkStart w:id="1113" w:name="_Toc247514246"/>
      <w:bookmarkStart w:id="1114" w:name="_Toc247527827"/>
      <w:bookmarkStart w:id="1115" w:name="_Toc434565105"/>
      <w:bookmarkStart w:id="1116" w:name="_Toc434565441"/>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widowControl/>
        <w:jc w:val="left"/>
        <w:rPr>
          <w:rFonts w:ascii="宋体" w:hAnsi="宋体"/>
          <w:b/>
          <w:bCs/>
          <w:color w:val="auto"/>
          <w:sz w:val="28"/>
          <w:szCs w:val="28"/>
          <w:highlight w:val="none"/>
        </w:rPr>
      </w:pPr>
      <w:r>
        <w:rPr>
          <w:rFonts w:ascii="宋体" w:hAnsi="宋体"/>
          <w:b/>
          <w:bCs/>
          <w:color w:val="auto"/>
          <w:sz w:val="28"/>
          <w:szCs w:val="28"/>
          <w:highlight w:val="none"/>
        </w:rPr>
        <w:br w:type="page"/>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bookmarkEnd w:id="1109"/>
      <w:bookmarkEnd w:id="1110"/>
      <w:bookmarkEnd w:id="1111"/>
      <w:bookmarkEnd w:id="1112"/>
      <w:bookmarkEnd w:id="1113"/>
      <w:bookmarkEnd w:id="1114"/>
      <w:bookmarkEnd w:id="1115"/>
      <w:bookmarkEnd w:id="1116"/>
    </w:p>
    <w:p>
      <w:pPr>
        <w:spacing w:line="360" w:lineRule="auto"/>
        <w:jc w:val="left"/>
        <w:rPr>
          <w:rFonts w:hint="eastAsia" w:ascii="宋体" w:hAnsi="宋体" w:eastAsia="宋体" w:cs="宋体"/>
          <w:color w:val="auto"/>
          <w:sz w:val="21"/>
          <w:szCs w:val="21"/>
          <w:highlight w:val="none"/>
        </w:rPr>
      </w:pP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一、投标函及投标函附录</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三、授权委托书</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四、联合体协议书</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五、投标保证金</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六、技术方案</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七、服务承诺</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八、承诺书</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九、资格审查资料</w:t>
      </w:r>
    </w:p>
    <w:p>
      <w:pPr>
        <w:spacing w:line="360" w:lineRule="auto"/>
        <w:ind w:firstLine="1050" w:firstLine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十、其他资料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keepLine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注：招标文件要求的及投标人认为必要的内容：如投标人实力情况简介、反映投标人自身信誉及能力的资料、按评分办法要求提供的其他资料等。</w:t>
      </w:r>
    </w:p>
    <w:p>
      <w:pPr>
        <w:spacing w:line="540" w:lineRule="exact"/>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117" w:name="_Toc247514247"/>
      <w:bookmarkStart w:id="1118" w:name="_Toc152045788"/>
      <w:bookmarkStart w:id="1119" w:name="_Toc152042577"/>
      <w:bookmarkStart w:id="1120" w:name="_Toc16227"/>
      <w:bookmarkStart w:id="1121" w:name="_Toc434565106"/>
      <w:bookmarkStart w:id="1122" w:name="_Toc881"/>
      <w:bookmarkStart w:id="1123" w:name="_Toc434565442"/>
      <w:bookmarkStart w:id="1124" w:name="_Toc432430428"/>
      <w:bookmarkStart w:id="1125" w:name="_Toc247527828"/>
      <w:bookmarkStart w:id="1126" w:name="_Toc144974857"/>
      <w:bookmarkStart w:id="1127" w:name="_Toc30609"/>
      <w:r>
        <w:rPr>
          <w:rFonts w:hint="eastAsia" w:ascii="宋体" w:hAnsi="宋体" w:eastAsia="宋体" w:cs="宋体"/>
          <w:color w:val="auto"/>
          <w:sz w:val="21"/>
          <w:szCs w:val="21"/>
          <w:highlight w:val="none"/>
        </w:rPr>
        <w:t>一、投标函及投标函附录</w:t>
      </w:r>
      <w:bookmarkEnd w:id="1117"/>
      <w:bookmarkEnd w:id="1118"/>
      <w:bookmarkEnd w:id="1119"/>
      <w:bookmarkEnd w:id="1120"/>
      <w:bookmarkEnd w:id="1121"/>
      <w:bookmarkEnd w:id="1122"/>
      <w:bookmarkEnd w:id="1123"/>
      <w:bookmarkEnd w:id="1124"/>
      <w:bookmarkEnd w:id="1125"/>
      <w:bookmarkEnd w:id="1126"/>
      <w:bookmarkEnd w:id="1127"/>
    </w:p>
    <w:p>
      <w:pPr>
        <w:pStyle w:val="5"/>
        <w:spacing w:line="360" w:lineRule="auto"/>
        <w:jc w:val="center"/>
        <w:rPr>
          <w:rFonts w:hint="eastAsia" w:ascii="宋体" w:hAnsi="宋体" w:eastAsia="宋体" w:cs="宋体"/>
          <w:color w:val="auto"/>
          <w:sz w:val="21"/>
          <w:szCs w:val="21"/>
          <w:highlight w:val="none"/>
        </w:rPr>
      </w:pPr>
      <w:bookmarkStart w:id="1128" w:name="_Toc434565107"/>
      <w:bookmarkStart w:id="1129" w:name="_Toc432430097"/>
      <w:bookmarkStart w:id="1130" w:name="_Toc17070"/>
      <w:bookmarkStart w:id="1131" w:name="_Toc432430429"/>
      <w:bookmarkStart w:id="1132" w:name="_Toc119856530"/>
      <w:bookmarkStart w:id="1133" w:name="_Toc152042578"/>
      <w:bookmarkStart w:id="1134" w:name="_Toc428170709"/>
      <w:bookmarkStart w:id="1135" w:name="_Toc19973"/>
      <w:bookmarkStart w:id="1136" w:name="_Toc428170982"/>
      <w:bookmarkStart w:id="1137" w:name="_Toc66975569"/>
      <w:bookmarkStart w:id="1138" w:name="_Toc434565443"/>
      <w:bookmarkStart w:id="1139" w:name="_Toc144974858"/>
      <w:bookmarkStart w:id="1140" w:name="_Toc247514248"/>
      <w:bookmarkStart w:id="1141" w:name="_Toc428177361"/>
      <w:bookmarkStart w:id="1142" w:name="_Toc62587034"/>
      <w:bookmarkStart w:id="1143" w:name="_Toc428170434"/>
      <w:bookmarkStart w:id="1144" w:name="_Toc20344"/>
      <w:bookmarkStart w:id="1145" w:name="_Toc247527829"/>
      <w:bookmarkStart w:id="1146" w:name="_Toc427913902"/>
      <w:bookmarkStart w:id="1147" w:name="_Toc54803508"/>
      <w:bookmarkStart w:id="1148" w:name="_Toc152045789"/>
      <w:bookmarkStart w:id="1149" w:name="_Toc1040"/>
      <w:r>
        <w:rPr>
          <w:rFonts w:hint="eastAsia" w:ascii="宋体" w:hAnsi="宋体" w:eastAsia="宋体" w:cs="宋体"/>
          <w:color w:val="auto"/>
          <w:sz w:val="21"/>
          <w:szCs w:val="21"/>
          <w:highlight w:val="none"/>
        </w:rPr>
        <w:t>（一）投标函</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rPr>
        <w:t>招标文件的全部内容，愿意以</w:t>
      </w:r>
    </w:p>
    <w:p>
      <w:pPr>
        <w:spacing w:line="324"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）工程费投标报价（费率）：大写：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24"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）设计周期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，按合同约定进行设计、实施和完成承包工程，修补工程中的任何缺陷。 </w:t>
      </w:r>
    </w:p>
    <w:p>
      <w:pPr>
        <w:spacing w:line="324"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，注册证书编号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设计负责人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，注册证书编号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，均符合招标文件要求。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3．我方已详细审核全部招标文件，包括修改文件（如果有的话）及有关附件，我方完全响应本次投标，并放弃对招标文件有任何误解的权力。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4.我方承诺在招标文件规定的投标有效期内不修改、撤销投标文件。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5．随同本投标函提交投标保证金一份，金额为人民币（大写）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6．如我方中标：</w:t>
      </w:r>
    </w:p>
    <w:p>
      <w:pPr>
        <w:spacing w:line="360" w:lineRule="auto"/>
        <w:ind w:firstLine="718" w:firstLine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（1）我方承诺在收到中标通知书后，在中标通知书规定的期限内与你方签订合同。</w:t>
      </w:r>
    </w:p>
    <w:p>
      <w:pPr>
        <w:spacing w:line="360" w:lineRule="auto"/>
        <w:ind w:firstLine="718" w:firstLine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（2）随同本投标函递交的投标函附录属于合同文件的组成部分。</w:t>
      </w:r>
    </w:p>
    <w:p>
      <w:pPr>
        <w:spacing w:line="360" w:lineRule="auto"/>
        <w:ind w:firstLine="718" w:firstLine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（3）我方承诺按照招标文件规定向你方递交履约担保。</w:t>
      </w:r>
    </w:p>
    <w:p>
      <w:pPr>
        <w:spacing w:line="360" w:lineRule="auto"/>
        <w:ind w:firstLine="718" w:firstLine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（4）我方承诺在合同约定的期限内完成并移交全部合同工程。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7．我方在此声明，所递交的投标文件及有关资料内容完整、真实和准确。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（其他补充说明）。</w:t>
      </w:r>
    </w:p>
    <w:p>
      <w:pPr>
        <w:spacing w:line="360" w:lineRule="auto"/>
        <w:ind w:firstLine="3675" w:firstLineChars="1750"/>
        <w:rPr>
          <w:rFonts w:hint="eastAsia" w:ascii="宋体" w:hAnsi="宋体" w:eastAsia="宋体" w:cs="宋体"/>
          <w:color w:val="auto"/>
          <w:sz w:val="21"/>
          <w:szCs w:val="21"/>
          <w:highlight w:val="none"/>
        </w:rPr>
      </w:pP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电子章）</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（联合体投标的，只需联合体牵头人满足投标文件格式中签字盖章要求即可）</w:t>
      </w:r>
    </w:p>
    <w:p>
      <w:pPr>
        <w:pStyle w:val="5"/>
        <w:spacing w:line="360" w:lineRule="auto"/>
        <w:jc w:val="center"/>
        <w:rPr>
          <w:rFonts w:hint="eastAsia" w:ascii="宋体" w:hAnsi="宋体" w:eastAsia="宋体" w:cs="宋体"/>
          <w:color w:val="auto"/>
          <w:sz w:val="21"/>
          <w:szCs w:val="21"/>
          <w:highlight w:val="none"/>
        </w:rPr>
      </w:pPr>
      <w:bookmarkStart w:id="1150" w:name="_Toc428170435"/>
      <w:bookmarkStart w:id="1151" w:name="_Toc434565444"/>
      <w:bookmarkStart w:id="1152" w:name="_Toc434565108"/>
      <w:bookmarkStart w:id="1153" w:name="_Toc12335"/>
      <w:bookmarkStart w:id="1154" w:name="_Toc428170710"/>
      <w:bookmarkStart w:id="1155" w:name="_Toc428177362"/>
      <w:bookmarkStart w:id="1156" w:name="_Toc66975570"/>
      <w:bookmarkStart w:id="1157" w:name="_Toc428170983"/>
      <w:bookmarkStart w:id="1158" w:name="_Toc247527830"/>
      <w:bookmarkStart w:id="1159" w:name="_Toc152045790"/>
      <w:bookmarkStart w:id="1160" w:name="_Toc247514249"/>
      <w:bookmarkStart w:id="1161" w:name="_Toc585"/>
      <w:bookmarkStart w:id="1162" w:name="_Toc144974859"/>
      <w:bookmarkStart w:id="1163" w:name="_Toc432430098"/>
      <w:bookmarkStart w:id="1164" w:name="_Toc119856531"/>
      <w:bookmarkStart w:id="1165" w:name="_Toc152042579"/>
      <w:bookmarkStart w:id="1166" w:name="_Toc5971"/>
      <w:bookmarkStart w:id="1167" w:name="_Toc432430430"/>
      <w:bookmarkStart w:id="1168" w:name="_Toc62587035"/>
      <w:bookmarkStart w:id="1169" w:name="_Toc427913903"/>
      <w:bookmarkStart w:id="1170" w:name="_Toc54803509"/>
      <w:bookmarkStart w:id="1171" w:name="_Toc6410"/>
      <w:r>
        <w:rPr>
          <w:rFonts w:hint="eastAsia" w:ascii="宋体" w:hAnsi="宋体" w:eastAsia="宋体" w:cs="宋体"/>
          <w:color w:val="auto"/>
          <w:sz w:val="21"/>
          <w:szCs w:val="21"/>
          <w:highlight w:val="none"/>
        </w:rPr>
        <w:t>（二）投标函附录</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tbl>
      <w:tblPr>
        <w:tblStyle w:val="46"/>
        <w:tblW w:w="9605" w:type="dxa"/>
        <w:jc w:val="center"/>
        <w:tblLayout w:type="fixed"/>
        <w:tblCellMar>
          <w:top w:w="0" w:type="dxa"/>
          <w:left w:w="108" w:type="dxa"/>
          <w:bottom w:w="0" w:type="dxa"/>
          <w:right w:w="108" w:type="dxa"/>
        </w:tblCellMar>
      </w:tblPr>
      <w:tblGrid>
        <w:gridCol w:w="1850"/>
        <w:gridCol w:w="7755"/>
      </w:tblGrid>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工程名称</w:t>
            </w:r>
            <w:r>
              <w:rPr>
                <w:rFonts w:hint="eastAsia" w:ascii="宋体" w:hAnsi="宋体" w:eastAsia="宋体" w:cs="宋体"/>
                <w:b/>
                <w:color w:val="auto"/>
                <w:kern w:val="0"/>
                <w:sz w:val="21"/>
                <w:szCs w:val="21"/>
                <w:highlight w:val="none"/>
                <w:lang w:eastAsia="zh-CN"/>
              </w:rPr>
              <w:t>及标段</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 标 人</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项目经理</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姓名：                            职称：</w:t>
            </w:r>
          </w:p>
        </w:tc>
      </w:tr>
      <w:tr>
        <w:tblPrEx>
          <w:tblCellMar>
            <w:top w:w="0" w:type="dxa"/>
            <w:left w:w="108" w:type="dxa"/>
            <w:bottom w:w="0" w:type="dxa"/>
            <w:right w:w="108" w:type="dxa"/>
          </w:tblCellMar>
        </w:tblPrEx>
        <w:trPr>
          <w:trHeight w:val="567" w:hRule="atLeast"/>
          <w:jc w:val="center"/>
        </w:trPr>
        <w:tc>
          <w:tcPr>
            <w:tcW w:w="1850"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执业资格：                        注册号：</w:t>
            </w:r>
          </w:p>
        </w:tc>
      </w:tr>
      <w:tr>
        <w:tblPrEx>
          <w:tblCellMar>
            <w:top w:w="0" w:type="dxa"/>
            <w:left w:w="108" w:type="dxa"/>
            <w:bottom w:w="0" w:type="dxa"/>
            <w:right w:w="108" w:type="dxa"/>
          </w:tblCellMar>
        </w:tblPrEx>
        <w:trPr>
          <w:trHeight w:val="567" w:hRule="atLeast"/>
          <w:jc w:val="center"/>
        </w:trPr>
        <w:tc>
          <w:tcPr>
            <w:tcW w:w="1850"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设计负责人</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姓名：                            职称：</w:t>
            </w:r>
          </w:p>
        </w:tc>
      </w:tr>
      <w:tr>
        <w:tblPrEx>
          <w:tblCellMar>
            <w:top w:w="0" w:type="dxa"/>
            <w:left w:w="108" w:type="dxa"/>
            <w:bottom w:w="0" w:type="dxa"/>
            <w:right w:w="108" w:type="dxa"/>
          </w:tblCellMar>
        </w:tblPrEx>
        <w:trPr>
          <w:trHeight w:val="567" w:hRule="atLeast"/>
          <w:jc w:val="center"/>
        </w:trPr>
        <w:tc>
          <w:tcPr>
            <w:tcW w:w="1850"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执业资格：                        注册号：</w:t>
            </w: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投标范围</w:t>
            </w:r>
          </w:p>
        </w:tc>
        <w:tc>
          <w:tcPr>
            <w:tcW w:w="7755"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before="50" w:line="360" w:lineRule="auto"/>
              <w:ind w:right="34"/>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before="50" w:line="360" w:lineRule="auto"/>
              <w:ind w:right="34"/>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投标费率</w:t>
            </w:r>
          </w:p>
        </w:tc>
        <w:tc>
          <w:tcPr>
            <w:tcW w:w="7755" w:type="dxa"/>
            <w:tcBorders>
              <w:top w:val="single" w:color="000000" w:sz="4" w:space="0"/>
              <w:left w:val="single" w:color="000000" w:sz="4" w:space="0"/>
              <w:right w:val="single" w:color="000000" w:sz="4" w:space="0"/>
            </w:tcBorders>
            <w:vAlign w:val="center"/>
          </w:tcPr>
          <w:p>
            <w:pPr>
              <w:spacing w:line="360" w:lineRule="auto"/>
              <w:textAlignment w:val="baseline"/>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投标保证金</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投标质量</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投标工期</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安全要求</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投标有效期</w:t>
            </w:r>
          </w:p>
        </w:tc>
        <w:tc>
          <w:tcPr>
            <w:tcW w:w="775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日历天</w:t>
            </w: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权利义务</w:t>
            </w:r>
          </w:p>
        </w:tc>
        <w:tc>
          <w:tcPr>
            <w:tcW w:w="775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b/>
                <w:color w:val="auto"/>
                <w:spacing w:val="1"/>
                <w:kern w:val="0"/>
                <w:sz w:val="21"/>
                <w:szCs w:val="21"/>
                <w:highlight w:val="none"/>
              </w:rPr>
            </w:pPr>
            <w:r>
              <w:rPr>
                <w:rFonts w:hint="eastAsia" w:ascii="宋体" w:hAnsi="宋体" w:eastAsia="宋体" w:cs="宋体"/>
                <w:b/>
                <w:color w:val="auto"/>
                <w:spacing w:val="1"/>
                <w:kern w:val="0"/>
                <w:sz w:val="21"/>
                <w:szCs w:val="21"/>
                <w:highlight w:val="none"/>
              </w:rPr>
              <w:t>响应招标文件第四章“合同条款及格式”规定的权利义务</w:t>
            </w:r>
          </w:p>
        </w:tc>
      </w:tr>
      <w:tr>
        <w:tblPrEx>
          <w:tblCellMar>
            <w:top w:w="0" w:type="dxa"/>
            <w:left w:w="108" w:type="dxa"/>
            <w:bottom w:w="0" w:type="dxa"/>
            <w:right w:w="108" w:type="dxa"/>
          </w:tblCellMar>
        </w:tblPrEx>
        <w:trPr>
          <w:trHeight w:val="567" w:hRule="atLeast"/>
          <w:jc w:val="center"/>
        </w:trPr>
        <w:tc>
          <w:tcPr>
            <w:tcW w:w="1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color w:val="auto"/>
                <w:spacing w:val="1"/>
                <w:kern w:val="0"/>
                <w:sz w:val="21"/>
                <w:szCs w:val="21"/>
                <w:highlight w:val="none"/>
              </w:rPr>
            </w:pPr>
            <w:r>
              <w:rPr>
                <w:rFonts w:hint="eastAsia" w:ascii="宋体" w:hAnsi="宋体" w:eastAsia="宋体" w:cs="宋体"/>
                <w:b/>
                <w:color w:val="auto"/>
                <w:spacing w:val="1"/>
                <w:kern w:val="0"/>
                <w:sz w:val="21"/>
                <w:szCs w:val="21"/>
                <w:highlight w:val="none"/>
              </w:rPr>
              <w:t>发包人要求</w:t>
            </w:r>
          </w:p>
        </w:tc>
        <w:tc>
          <w:tcPr>
            <w:tcW w:w="775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b/>
                <w:color w:val="auto"/>
                <w:spacing w:val="1"/>
                <w:kern w:val="0"/>
                <w:sz w:val="21"/>
                <w:szCs w:val="21"/>
                <w:highlight w:val="none"/>
              </w:rPr>
            </w:pPr>
            <w:r>
              <w:rPr>
                <w:rFonts w:hint="eastAsia" w:ascii="宋体" w:hAnsi="宋体" w:eastAsia="宋体" w:cs="宋体"/>
                <w:b/>
                <w:color w:val="auto"/>
                <w:spacing w:val="1"/>
                <w:kern w:val="0"/>
                <w:sz w:val="21"/>
                <w:szCs w:val="21"/>
                <w:highlight w:val="none"/>
              </w:rPr>
              <w:t>符合招标文件第五章“发包人要求”规定</w:t>
            </w:r>
          </w:p>
        </w:tc>
      </w:tr>
      <w:tr>
        <w:tblPrEx>
          <w:tblCellMar>
            <w:top w:w="0" w:type="dxa"/>
            <w:left w:w="108" w:type="dxa"/>
            <w:bottom w:w="0" w:type="dxa"/>
            <w:right w:w="108" w:type="dxa"/>
          </w:tblCellMar>
        </w:tblPrEx>
        <w:trPr>
          <w:trHeight w:val="904" w:hRule="atLeast"/>
          <w:jc w:val="center"/>
        </w:trPr>
        <w:tc>
          <w:tcPr>
            <w:tcW w:w="9605"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需要说明的其他问题：</w:t>
            </w:r>
          </w:p>
        </w:tc>
      </w:tr>
    </w:tbl>
    <w:p>
      <w:pPr>
        <w:widowControl/>
        <w:spacing w:line="360" w:lineRule="auto"/>
        <w:ind w:right="48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360" w:lineRule="auto"/>
        <w:ind w:right="48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投  标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（电子签章）</w:t>
      </w:r>
    </w:p>
    <w:p>
      <w:pPr>
        <w:widowControl/>
        <w:spacing w:line="360" w:lineRule="auto"/>
        <w:ind w:right="48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法定代表人或其委托代理人：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电子章）</w:t>
      </w:r>
    </w:p>
    <w:p>
      <w:pPr>
        <w:widowControl/>
        <w:spacing w:line="360" w:lineRule="auto"/>
        <w:ind w:right="48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172" w:name="_Toc152045791"/>
      <w:bookmarkStart w:id="1173" w:name="_Toc7473"/>
      <w:bookmarkStart w:id="1174" w:name="_Toc247527831"/>
      <w:bookmarkStart w:id="1175" w:name="_Toc247514283"/>
      <w:bookmarkStart w:id="1176" w:name="_Toc144974860"/>
      <w:bookmarkStart w:id="1177" w:name="_Toc432430431"/>
      <w:bookmarkStart w:id="1178" w:name="_Toc434565445"/>
      <w:bookmarkStart w:id="1179" w:name="_Toc152042580"/>
      <w:bookmarkStart w:id="1180" w:name="_Toc152"/>
      <w:bookmarkStart w:id="1181" w:name="_Toc434565109"/>
      <w:bookmarkStart w:id="1182" w:name="_Toc31465"/>
      <w:r>
        <w:rPr>
          <w:rFonts w:hint="eastAsia" w:ascii="宋体" w:hAnsi="宋体" w:eastAsia="宋体" w:cs="宋体"/>
          <w:color w:val="auto"/>
          <w:sz w:val="21"/>
          <w:szCs w:val="21"/>
          <w:highlight w:val="none"/>
        </w:rPr>
        <w:t>二、法定代表人身份证明</w:t>
      </w:r>
      <w:bookmarkEnd w:id="1172"/>
      <w:bookmarkEnd w:id="1173"/>
      <w:bookmarkEnd w:id="1174"/>
      <w:bookmarkEnd w:id="1175"/>
      <w:bookmarkEnd w:id="1176"/>
      <w:bookmarkEnd w:id="1177"/>
      <w:bookmarkEnd w:id="1178"/>
      <w:bookmarkEnd w:id="1179"/>
      <w:bookmarkEnd w:id="1180"/>
      <w:bookmarkEnd w:id="1181"/>
      <w:bookmarkEnd w:id="1182"/>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（投标人名称）的法定代表人。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附：法定代表人身份证（正反）扫描件。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w:t>
      </w: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（联合体投标的，联合体各方均需提供本法定代表人身份证明）</w:t>
      </w:r>
      <w:r>
        <w:rPr>
          <w:rFonts w:hint="eastAsia" w:ascii="宋体" w:hAnsi="宋体" w:eastAsia="宋体" w:cs="宋体"/>
          <w:color w:val="auto"/>
          <w:sz w:val="21"/>
          <w:szCs w:val="21"/>
          <w:highlight w:val="none"/>
        </w:rPr>
        <w:br w:type="page"/>
      </w:r>
    </w:p>
    <w:p>
      <w:pPr>
        <w:spacing w:line="360" w:lineRule="auto"/>
        <w:jc w:val="center"/>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183" w:name="_Toc247527832"/>
      <w:bookmarkStart w:id="1184" w:name="_Toc434565110"/>
      <w:bookmarkStart w:id="1185" w:name="_Toc247514284"/>
      <w:bookmarkStart w:id="1186" w:name="_Toc432430432"/>
      <w:bookmarkStart w:id="1187" w:name="_Toc434565446"/>
      <w:bookmarkStart w:id="1188" w:name="_Toc152045792"/>
      <w:bookmarkStart w:id="1189" w:name="_Toc20501"/>
      <w:bookmarkStart w:id="1190" w:name="_Toc144974861"/>
      <w:bookmarkStart w:id="1191" w:name="_Toc16790"/>
      <w:bookmarkStart w:id="1192" w:name="_Toc152042581"/>
      <w:bookmarkStart w:id="1193" w:name="_Toc16982"/>
      <w:r>
        <w:rPr>
          <w:rFonts w:hint="eastAsia" w:ascii="宋体" w:hAnsi="宋体" w:eastAsia="宋体" w:cs="宋体"/>
          <w:color w:val="auto"/>
          <w:sz w:val="21"/>
          <w:szCs w:val="21"/>
          <w:highlight w:val="none"/>
        </w:rPr>
        <w:t>三、授权委托书</w:t>
      </w:r>
      <w:bookmarkEnd w:id="1183"/>
      <w:bookmarkEnd w:id="1184"/>
      <w:bookmarkEnd w:id="1185"/>
      <w:bookmarkEnd w:id="1186"/>
      <w:bookmarkEnd w:id="1187"/>
      <w:bookmarkEnd w:id="1188"/>
      <w:bookmarkEnd w:id="1189"/>
      <w:bookmarkEnd w:id="1190"/>
      <w:bookmarkEnd w:id="1191"/>
      <w:bookmarkEnd w:id="1192"/>
      <w:bookmarkEnd w:id="1193"/>
    </w:p>
    <w:p>
      <w:pPr>
        <w:spacing w:line="360" w:lineRule="auto"/>
        <w:rPr>
          <w:rFonts w:hint="eastAsia" w:ascii="宋体" w:hAnsi="宋体" w:eastAsia="宋体" w:cs="宋体"/>
          <w:color w:val="auto"/>
          <w:sz w:val="21"/>
          <w:szCs w:val="21"/>
          <w:highlight w:val="none"/>
        </w:rPr>
      </w:pP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及标段</w:t>
      </w:r>
      <w:r>
        <w:rPr>
          <w:rFonts w:hint="eastAsia" w:ascii="宋体" w:hAnsi="宋体" w:eastAsia="宋体" w:cs="宋体"/>
          <w:color w:val="auto"/>
          <w:sz w:val="21"/>
          <w:szCs w:val="21"/>
          <w:highlight w:val="none"/>
        </w:rPr>
        <w:t>）投标文件、签订合同和处理有关事宜，其法律后果由我方承担。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w:t>
      </w:r>
      <w:r>
        <w:rPr>
          <w:rFonts w:hint="eastAsia" w:ascii="宋体" w:hAnsi="宋体" w:eastAsia="宋体" w:cs="宋体"/>
          <w:color w:val="auto"/>
          <w:kern w:val="0"/>
          <w:sz w:val="21"/>
          <w:szCs w:val="21"/>
          <w:highlight w:val="none"/>
        </w:rPr>
        <w:t>（正反）</w:t>
      </w:r>
      <w:r>
        <w:rPr>
          <w:rFonts w:hint="eastAsia" w:ascii="宋体" w:hAnsi="宋体" w:eastAsia="宋体" w:cs="宋体"/>
          <w:color w:val="auto"/>
          <w:sz w:val="21"/>
          <w:szCs w:val="21"/>
          <w:highlight w:val="none"/>
        </w:rPr>
        <w:t>和授权委托人身份证</w:t>
      </w:r>
      <w:r>
        <w:rPr>
          <w:rFonts w:hint="eastAsia" w:ascii="宋体" w:hAnsi="宋体" w:eastAsia="宋体" w:cs="宋体"/>
          <w:color w:val="auto"/>
          <w:kern w:val="0"/>
          <w:sz w:val="21"/>
          <w:szCs w:val="21"/>
          <w:highlight w:val="none"/>
        </w:rPr>
        <w:t>（正反）</w:t>
      </w:r>
      <w:r>
        <w:rPr>
          <w:rFonts w:hint="eastAsia" w:ascii="宋体" w:hAnsi="宋体" w:eastAsia="宋体" w:cs="宋体"/>
          <w:color w:val="auto"/>
          <w:sz w:val="21"/>
          <w:szCs w:val="21"/>
          <w:highlight w:val="none"/>
        </w:rPr>
        <w:t>扫描件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盖</w:t>
      </w:r>
      <w:r>
        <w:rPr>
          <w:rFonts w:hint="eastAsia" w:ascii="宋体" w:hAnsi="宋体" w:eastAsia="宋体" w:cs="宋体"/>
          <w:color w:val="auto"/>
          <w:sz w:val="21"/>
          <w:szCs w:val="21"/>
          <w:highlight w:val="none"/>
        </w:rPr>
        <w:t>章）</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（签字或电子章）</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（签字或盖章） </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附身份证扫描件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firstLine="1575" w:firstLineChars="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b w:val="0"/>
          <w:bCs w:val="0"/>
          <w:color w:val="auto"/>
          <w:sz w:val="21"/>
          <w:szCs w:val="21"/>
          <w:highlight w:val="none"/>
        </w:rPr>
      </w:pPr>
      <w:bookmarkStart w:id="1194" w:name="_Toc30372"/>
      <w:r>
        <w:rPr>
          <w:rFonts w:hint="eastAsia" w:ascii="宋体" w:hAnsi="宋体" w:eastAsia="宋体" w:cs="宋体"/>
          <w:color w:val="auto"/>
          <w:sz w:val="21"/>
          <w:szCs w:val="21"/>
          <w:highlight w:val="none"/>
        </w:rPr>
        <w:t>四、联合体协议书（如有）</w:t>
      </w:r>
      <w:bookmarkEnd w:id="1194"/>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w:t>
      </w:r>
      <w:r>
        <w:rPr>
          <w:rFonts w:hint="eastAsia" w:ascii="宋体" w:hAnsi="宋体" w:eastAsia="宋体" w:cs="宋体"/>
          <w:color w:val="auto"/>
          <w:sz w:val="21"/>
          <w:szCs w:val="21"/>
          <w:highlight w:val="none"/>
          <w:u w:val="single"/>
        </w:rPr>
        <w:t>（联合体名称）</w:t>
      </w:r>
      <w:r>
        <w:rPr>
          <w:rFonts w:hint="eastAsia" w:ascii="宋体" w:hAnsi="宋体" w:eastAsia="宋体" w:cs="宋体"/>
          <w:color w:val="auto"/>
          <w:sz w:val="21"/>
          <w:szCs w:val="21"/>
          <w:highlight w:val="none"/>
        </w:rPr>
        <w:t>联合体，共同参加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eastAsia="zh-CN"/>
        </w:rPr>
        <w:t>及标段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投标。现就联合体投标事宜订立如下协议。</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（某成员单位名称）</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（联合体名称）</w:t>
      </w:r>
      <w:r>
        <w:rPr>
          <w:rFonts w:hint="eastAsia" w:ascii="宋体" w:hAnsi="宋体" w:eastAsia="宋体" w:cs="宋体"/>
          <w:color w:val="auto"/>
          <w:sz w:val="21"/>
          <w:szCs w:val="21"/>
          <w:highlight w:val="none"/>
        </w:rPr>
        <w:t>牵头人。</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3、联合体将严格按照招标文件的各项要求，递交投标文件，履行合同，并对外承担连带责任。</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5、本协议书自签署之日起生效，合同履行完毕后自动失效。 </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份，联合体成员和招标人各执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pacing w:before="120" w:after="12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7、</w:t>
      </w:r>
      <w:r>
        <w:rPr>
          <w:rFonts w:hint="eastAsia" w:ascii="宋体" w:hAnsi="宋体" w:eastAsia="宋体" w:cs="宋体"/>
          <w:color w:val="auto"/>
          <w:sz w:val="21"/>
          <w:szCs w:val="21"/>
          <w:highlight w:val="none"/>
        </w:rPr>
        <w:t>联合体牵头人合法代表联合体各成员负责本招标项目投标文件签字或盖章的签署事务。</w:t>
      </w:r>
    </w:p>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注：本协议书由委托代理人签字的，应附法定代表人签字的授权委托书。</w:t>
      </w:r>
    </w:p>
    <w:p>
      <w:pPr>
        <w:topLinePunct/>
        <w:spacing w:line="360" w:lineRule="auto"/>
        <w:rPr>
          <w:rFonts w:hint="eastAsia" w:ascii="宋体" w:hAnsi="宋体" w:eastAsia="宋体" w:cs="宋体"/>
          <w:color w:val="auto"/>
          <w:sz w:val="21"/>
          <w:szCs w:val="21"/>
          <w:highlight w:val="none"/>
        </w:rPr>
      </w:pPr>
    </w:p>
    <w:p>
      <w:pPr>
        <w:topLinePunct/>
        <w:spacing w:line="360" w:lineRule="auto"/>
        <w:rPr>
          <w:rFonts w:hint="eastAsia" w:ascii="宋体" w:hAnsi="宋体" w:eastAsia="宋体" w:cs="宋体"/>
          <w:color w:val="auto"/>
          <w:sz w:val="21"/>
          <w:szCs w:val="21"/>
          <w:highlight w:val="none"/>
        </w:rPr>
      </w:pPr>
    </w:p>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（电子签章）                                 </w:t>
      </w:r>
    </w:p>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（签字或电子章）             </w:t>
      </w:r>
    </w:p>
    <w:p>
      <w:pPr>
        <w:spacing w:line="360" w:lineRule="auto"/>
        <w:ind w:firstLine="2879" w:firstLineChars="1371"/>
        <w:rPr>
          <w:rFonts w:hint="eastAsia" w:ascii="宋体" w:hAnsi="宋体" w:eastAsia="宋体" w:cs="宋体"/>
          <w:color w:val="auto"/>
          <w:sz w:val="21"/>
          <w:szCs w:val="21"/>
          <w:highlight w:val="none"/>
          <w:u w:val="single"/>
        </w:rPr>
      </w:pPr>
    </w:p>
    <w:p>
      <w:pPr>
        <w:spacing w:line="360" w:lineRule="auto"/>
        <w:ind w:firstLine="5355" w:firstLineChars="2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w:t>
      </w:r>
      <w:r>
        <w:rPr>
          <w:rFonts w:hint="eastAsia" w:ascii="宋体" w:hAnsi="宋体" w:eastAsia="宋体" w:cs="宋体"/>
          <w:color w:val="auto"/>
          <w:sz w:val="21"/>
          <w:szCs w:val="21"/>
          <w:highlight w:val="none"/>
          <w:u w:val="single"/>
        </w:rPr>
        <w:t xml:space="preserve">（盖单位章）                                   </w:t>
      </w:r>
    </w:p>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（签字或盖章）                </w:t>
      </w:r>
    </w:p>
    <w:p>
      <w:pPr>
        <w:topLinePunct/>
        <w:spacing w:line="360" w:lineRule="auto"/>
        <w:rPr>
          <w:rFonts w:hint="eastAsia" w:ascii="宋体" w:hAnsi="宋体" w:eastAsia="宋体" w:cs="宋体"/>
          <w:color w:val="auto"/>
          <w:sz w:val="21"/>
          <w:szCs w:val="21"/>
          <w:highlight w:val="none"/>
        </w:rPr>
      </w:pPr>
    </w:p>
    <w:p>
      <w:pPr>
        <w:spacing w:line="360" w:lineRule="auto"/>
        <w:ind w:firstLine="5355" w:firstLineChars="2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line="360" w:lineRule="auto"/>
        <w:ind w:firstLine="2879" w:firstLineChars="1371"/>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195" w:name="_Toc2640"/>
      <w:bookmarkStart w:id="1196" w:name="_Toc434565112"/>
      <w:bookmarkStart w:id="1197" w:name="_Toc432430434"/>
      <w:bookmarkStart w:id="1198" w:name="_Toc434565448"/>
      <w:bookmarkStart w:id="1199" w:name="_Toc296602998"/>
      <w:bookmarkStart w:id="1200" w:name="_Toc27743"/>
      <w:r>
        <w:rPr>
          <w:rFonts w:hint="eastAsia" w:ascii="宋体" w:hAnsi="宋体" w:eastAsia="宋体" w:cs="宋体"/>
          <w:color w:val="auto"/>
          <w:sz w:val="21"/>
          <w:szCs w:val="21"/>
          <w:highlight w:val="none"/>
        </w:rPr>
        <w:br w:type="page"/>
      </w:r>
    </w:p>
    <w:p>
      <w:pPr>
        <w:pStyle w:val="4"/>
        <w:spacing w:line="360" w:lineRule="auto"/>
        <w:jc w:val="center"/>
        <w:rPr>
          <w:rFonts w:hint="eastAsia" w:ascii="宋体" w:hAnsi="宋体" w:eastAsia="宋体" w:cs="宋体"/>
          <w:color w:val="auto"/>
          <w:sz w:val="21"/>
          <w:szCs w:val="21"/>
          <w:highlight w:val="none"/>
        </w:rPr>
      </w:pPr>
      <w:bookmarkStart w:id="1201" w:name="_Toc1256"/>
      <w:r>
        <w:rPr>
          <w:rFonts w:hint="eastAsia" w:ascii="宋体" w:hAnsi="宋体" w:eastAsia="宋体" w:cs="宋体"/>
          <w:color w:val="auto"/>
          <w:sz w:val="21"/>
          <w:szCs w:val="21"/>
          <w:highlight w:val="none"/>
        </w:rPr>
        <w:t>五、投标保证金</w:t>
      </w:r>
      <w:bookmarkEnd w:id="1195"/>
      <w:bookmarkEnd w:id="1196"/>
      <w:bookmarkEnd w:id="1197"/>
      <w:bookmarkEnd w:id="1198"/>
      <w:bookmarkEnd w:id="1199"/>
      <w:bookmarkEnd w:id="1200"/>
      <w:bookmarkEnd w:id="1201"/>
    </w:p>
    <w:p>
      <w:pPr>
        <w:pStyle w:val="42"/>
        <w:spacing w:before="0" w:after="0" w:line="360" w:lineRule="auto"/>
        <w:ind w:right="-1"/>
        <w:outlineLvl w:val="1"/>
        <w:rPr>
          <w:rFonts w:hint="eastAsia" w:ascii="宋体" w:hAnsi="宋体" w:eastAsia="宋体" w:cs="宋体"/>
          <w:b w:val="0"/>
          <w:bCs w:val="0"/>
          <w:color w:val="auto"/>
          <w:kern w:val="0"/>
          <w:sz w:val="21"/>
          <w:szCs w:val="21"/>
          <w:highlight w:val="none"/>
        </w:rPr>
      </w:pPr>
      <w:bookmarkStart w:id="1202" w:name="_Toc25619"/>
      <w:bookmarkStart w:id="1203" w:name="_Toc12993"/>
      <w:bookmarkStart w:id="1204" w:name="_Toc14274"/>
      <w:r>
        <w:rPr>
          <w:rFonts w:hint="eastAsia" w:ascii="宋体" w:hAnsi="宋体" w:eastAsia="宋体" w:cs="宋体"/>
          <w:color w:val="auto"/>
          <w:sz w:val="21"/>
          <w:szCs w:val="21"/>
          <w:highlight w:val="none"/>
        </w:rPr>
        <w:t>说明：</w:t>
      </w:r>
      <w:r>
        <w:rPr>
          <w:rFonts w:hint="eastAsia" w:ascii="宋体" w:hAnsi="宋体" w:eastAsia="宋体" w:cs="宋体"/>
          <w:b w:val="0"/>
          <w:bCs w:val="0"/>
          <w:color w:val="auto"/>
          <w:kern w:val="0"/>
          <w:sz w:val="21"/>
          <w:szCs w:val="21"/>
          <w:highlight w:val="none"/>
        </w:rPr>
        <w:t>附投标人投标保证金银行交款凭证或保函</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包含电子保函）</w:t>
      </w:r>
      <w:bookmarkEnd w:id="1202"/>
      <w:bookmarkEnd w:id="1203"/>
      <w:bookmarkEnd w:id="1204"/>
    </w:p>
    <w:p>
      <w:pPr>
        <w:pStyle w:val="42"/>
        <w:spacing w:before="0" w:after="0" w:line="360" w:lineRule="auto"/>
        <w:ind w:right="-1"/>
        <w:outlineLvl w:val="1"/>
        <w:rPr>
          <w:rFonts w:hint="eastAsia" w:ascii="宋体" w:hAnsi="宋体" w:eastAsia="宋体" w:cs="宋体"/>
          <w:color w:val="auto"/>
          <w:kern w:val="0"/>
          <w:sz w:val="21"/>
          <w:szCs w:val="21"/>
          <w:highlight w:val="none"/>
        </w:rPr>
      </w:pPr>
      <w:bookmarkStart w:id="1205" w:name="_Toc24702"/>
      <w:bookmarkStart w:id="1206" w:name="_Toc910"/>
      <w:bookmarkStart w:id="1207" w:name="_Toc10419"/>
      <w:r>
        <w:rPr>
          <w:rFonts w:hint="eastAsia" w:ascii="宋体" w:hAnsi="宋体" w:eastAsia="宋体" w:cs="宋体"/>
          <w:color w:val="auto"/>
          <w:kern w:val="0"/>
          <w:sz w:val="21"/>
          <w:szCs w:val="21"/>
          <w:highlight w:val="none"/>
        </w:rPr>
        <w:t>附银行基本账户开户许可证或基本存款账户信息并加盖公章(以转账方式转入保证金的投标单位需要提供)</w:t>
      </w:r>
      <w:bookmarkEnd w:id="1205"/>
      <w:bookmarkEnd w:id="1206"/>
      <w:bookmarkEnd w:id="1207"/>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208" w:name="_Toc8387"/>
      <w:bookmarkStart w:id="1209" w:name="_Toc12534"/>
      <w:bookmarkStart w:id="1210" w:name="_Toc4627"/>
      <w:r>
        <w:rPr>
          <w:rFonts w:hint="eastAsia" w:ascii="宋体" w:hAnsi="宋体" w:eastAsia="宋体" w:cs="宋体"/>
          <w:color w:val="auto"/>
          <w:sz w:val="21"/>
          <w:szCs w:val="21"/>
          <w:highlight w:val="none"/>
        </w:rPr>
        <w:t>六、</w:t>
      </w:r>
      <w:bookmarkEnd w:id="1208"/>
      <w:bookmarkEnd w:id="1209"/>
      <w:r>
        <w:rPr>
          <w:rFonts w:hint="eastAsia" w:ascii="宋体" w:hAnsi="宋体" w:eastAsia="宋体" w:cs="宋体"/>
          <w:color w:val="auto"/>
          <w:sz w:val="21"/>
          <w:szCs w:val="21"/>
          <w:highlight w:val="none"/>
        </w:rPr>
        <w:t>技术方案</w:t>
      </w:r>
      <w:bookmarkEnd w:id="1210"/>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(参照评分办法)</w:t>
      </w: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211" w:name="_Toc7191"/>
      <w:bookmarkStart w:id="1212" w:name="_Toc60"/>
      <w:bookmarkStart w:id="1213" w:name="_Toc22342"/>
      <w:r>
        <w:rPr>
          <w:rFonts w:hint="eastAsia" w:ascii="宋体" w:hAnsi="宋体" w:eastAsia="宋体" w:cs="宋体"/>
          <w:color w:val="auto"/>
          <w:sz w:val="21"/>
          <w:szCs w:val="21"/>
          <w:highlight w:val="none"/>
        </w:rPr>
        <w:t>七、服务承诺</w:t>
      </w:r>
      <w:bookmarkEnd w:id="1211"/>
      <w:bookmarkEnd w:id="1212"/>
      <w:bookmarkEnd w:id="1213"/>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pPr>
        <w:pStyle w:val="2"/>
        <w:spacing w:line="360" w:lineRule="auto"/>
        <w:rPr>
          <w:rFonts w:hint="eastAsia" w:ascii="宋体" w:hAnsi="宋体" w:eastAsia="宋体" w:cs="宋体"/>
          <w:color w:val="auto"/>
          <w:sz w:val="21"/>
          <w:szCs w:val="21"/>
          <w:highlight w:val="none"/>
        </w:rPr>
      </w:pPr>
    </w:p>
    <w:p>
      <w:pPr>
        <w:pStyle w:val="4"/>
        <w:spacing w:line="360" w:lineRule="auto"/>
        <w:jc w:val="center"/>
        <w:rPr>
          <w:rFonts w:hint="eastAsia" w:ascii="宋体" w:hAnsi="宋体" w:eastAsia="宋体" w:cs="宋体"/>
          <w:color w:val="auto"/>
          <w:sz w:val="21"/>
          <w:szCs w:val="21"/>
          <w:highlight w:val="none"/>
        </w:rPr>
      </w:pPr>
      <w:bookmarkStart w:id="1214" w:name="_Toc10246"/>
      <w:bookmarkStart w:id="1215" w:name="_Toc15043"/>
      <w:bookmarkStart w:id="1216" w:name="_Toc8680"/>
      <w:bookmarkStart w:id="1217" w:name="_Toc434565451"/>
      <w:bookmarkStart w:id="1218" w:name="_Toc428265240"/>
      <w:bookmarkStart w:id="1219" w:name="_Toc434565115"/>
      <w:r>
        <w:rPr>
          <w:rFonts w:hint="eastAsia" w:ascii="宋体" w:hAnsi="宋体" w:eastAsia="宋体" w:cs="宋体"/>
          <w:color w:val="auto"/>
          <w:sz w:val="21"/>
          <w:szCs w:val="21"/>
          <w:highlight w:val="none"/>
        </w:rPr>
        <w:t>八、承诺书</w:t>
      </w:r>
      <w:bookmarkEnd w:id="1214"/>
      <w:bookmarkEnd w:id="1215"/>
      <w:bookmarkEnd w:id="1216"/>
    </w:p>
    <w:p>
      <w:pPr>
        <w:pStyle w:val="5"/>
        <w:spacing w:line="360" w:lineRule="auto"/>
        <w:jc w:val="center"/>
        <w:rPr>
          <w:rFonts w:hint="eastAsia" w:ascii="宋体" w:hAnsi="宋体" w:eastAsia="宋体" w:cs="宋体"/>
          <w:color w:val="auto"/>
          <w:sz w:val="21"/>
          <w:szCs w:val="21"/>
          <w:highlight w:val="none"/>
        </w:rPr>
      </w:pPr>
      <w:bookmarkStart w:id="1220" w:name="_Toc62587044"/>
      <w:bookmarkStart w:id="1221" w:name="_Toc54803517"/>
      <w:bookmarkStart w:id="1222" w:name="_Toc8081"/>
      <w:bookmarkStart w:id="1223" w:name="_Toc66975578"/>
      <w:bookmarkStart w:id="1224" w:name="_Toc4905"/>
      <w:bookmarkStart w:id="1225" w:name="_Toc119856539"/>
      <w:bookmarkStart w:id="1226" w:name="_Toc22721"/>
      <w:r>
        <w:rPr>
          <w:rFonts w:hint="eastAsia" w:ascii="宋体" w:hAnsi="宋体" w:eastAsia="宋体" w:cs="宋体"/>
          <w:color w:val="auto"/>
          <w:sz w:val="21"/>
          <w:szCs w:val="21"/>
          <w:highlight w:val="none"/>
        </w:rPr>
        <w:t>（一）企业信誉承诺书</w:t>
      </w:r>
      <w:bookmarkEnd w:id="1217"/>
      <w:bookmarkEnd w:id="1218"/>
      <w:bookmarkEnd w:id="1219"/>
      <w:bookmarkEnd w:id="1220"/>
      <w:bookmarkEnd w:id="1221"/>
      <w:bookmarkEnd w:id="1222"/>
      <w:bookmarkEnd w:id="1223"/>
      <w:bookmarkEnd w:id="1224"/>
      <w:bookmarkEnd w:id="1225"/>
      <w:bookmarkEnd w:id="1226"/>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我公司郑重承诺：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内投标人信誉良好，未处于被责令停业、投标资格被取消或者财产被接管、冻结和破产状态、最近三年内未发生骗取中标或者严重违约以及发生安全生产事故、重大工程质量事故等问题，未存在被暂停投标资格并在暂停期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人通过可能进行的实地或其他方式的考察或其他人的举报，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pPr>
        <w:spacing w:line="360" w:lineRule="auto"/>
        <w:rPr>
          <w:rFonts w:hint="eastAsia" w:ascii="宋体" w:hAnsi="宋体" w:eastAsia="宋体" w:cs="宋体"/>
          <w:color w:val="auto"/>
          <w:sz w:val="21"/>
          <w:szCs w:val="21"/>
          <w:highlight w:val="none"/>
        </w:rPr>
      </w:pPr>
    </w:p>
    <w:p>
      <w:pPr>
        <w:pStyle w:val="2"/>
        <w:spacing w:line="360" w:lineRule="auto"/>
        <w:ind w:firstLine="30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（电子签章） </w:t>
      </w:r>
    </w:p>
    <w:p>
      <w:pPr>
        <w:pStyle w:val="2"/>
        <w:spacing w:line="360" w:lineRule="auto"/>
        <w:ind w:firstLine="30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（签字或电子章） </w:t>
      </w:r>
    </w:p>
    <w:p>
      <w:pPr>
        <w:pStyle w:val="2"/>
        <w:spacing w:line="360" w:lineRule="auto"/>
        <w:ind w:firstLine="3045" w:firstLineChars="14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固定电话：</w:t>
      </w:r>
      <w:r>
        <w:rPr>
          <w:rFonts w:hint="eastAsia" w:ascii="宋体" w:hAnsi="宋体" w:eastAsia="宋体" w:cs="宋体"/>
          <w:color w:val="auto"/>
          <w:sz w:val="21"/>
          <w:szCs w:val="21"/>
          <w:highlight w:val="none"/>
          <w:u w:val="single"/>
        </w:rPr>
        <w:t xml:space="preserve">                                   </w:t>
      </w:r>
    </w:p>
    <w:p>
      <w:pPr>
        <w:pStyle w:val="2"/>
        <w:spacing w:line="360" w:lineRule="auto"/>
        <w:ind w:firstLine="3045" w:firstLineChars="14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r>
        <w:rPr>
          <w:rFonts w:hint="eastAsia" w:ascii="宋体" w:hAnsi="宋体" w:eastAsia="宋体" w:cs="宋体"/>
          <w:color w:val="auto"/>
          <w:sz w:val="21"/>
          <w:szCs w:val="21"/>
          <w:highlight w:val="none"/>
          <w:u w:val="single"/>
        </w:rPr>
        <w:t xml:space="preserve">                                 </w:t>
      </w:r>
    </w:p>
    <w:p>
      <w:pPr>
        <w:spacing w:after="240" w:afterLines="100"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wordWrap w:val="0"/>
        <w:spacing w:line="360" w:lineRule="auto"/>
        <w:ind w:right="960"/>
        <w:rPr>
          <w:rFonts w:hint="eastAsia" w:ascii="宋体" w:hAnsi="宋体" w:eastAsia="宋体" w:cs="宋体"/>
          <w:color w:val="auto"/>
          <w:sz w:val="21"/>
          <w:szCs w:val="21"/>
          <w:highlight w:val="none"/>
        </w:rPr>
      </w:pPr>
      <w:bookmarkStart w:id="1227" w:name="_Toc329099451"/>
      <w:bookmarkStart w:id="1228" w:name="_Toc329099295"/>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pStyle w:val="5"/>
        <w:spacing w:line="360" w:lineRule="auto"/>
        <w:jc w:val="center"/>
        <w:rPr>
          <w:rFonts w:hint="eastAsia" w:ascii="宋体" w:hAnsi="宋体" w:eastAsia="宋体" w:cs="宋体"/>
          <w:color w:val="auto"/>
          <w:sz w:val="21"/>
          <w:szCs w:val="21"/>
          <w:highlight w:val="none"/>
        </w:rPr>
      </w:pPr>
      <w:bookmarkStart w:id="1229" w:name="_Toc54803518"/>
      <w:bookmarkStart w:id="1230" w:name="_Toc66975579"/>
      <w:bookmarkStart w:id="1231" w:name="_Toc11822"/>
      <w:bookmarkStart w:id="1232" w:name="_Toc19165"/>
      <w:bookmarkStart w:id="1233" w:name="_Toc62587045"/>
      <w:bookmarkStart w:id="1234" w:name="_Toc119856540"/>
      <w:bookmarkStart w:id="1235" w:name="_Toc32678"/>
      <w:r>
        <w:rPr>
          <w:rFonts w:hint="eastAsia" w:ascii="宋体" w:hAnsi="宋体" w:eastAsia="宋体" w:cs="宋体"/>
          <w:color w:val="auto"/>
          <w:sz w:val="21"/>
          <w:szCs w:val="21"/>
          <w:highlight w:val="none"/>
        </w:rPr>
        <w:t>（二）施工工地扬尘防治工作承诺书</w:t>
      </w:r>
      <w:bookmarkEnd w:id="1229"/>
      <w:bookmarkEnd w:id="1230"/>
      <w:bookmarkEnd w:id="1231"/>
      <w:bookmarkEnd w:id="1232"/>
      <w:bookmarkEnd w:id="1233"/>
      <w:bookmarkEnd w:id="1234"/>
      <w:bookmarkEnd w:id="1235"/>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我单位郑重承诺如下：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我单位中标，将严格落实关于扬尘污染防治管理的相关规定，满足施工工地扬尘治理8个100%要求（即施工现场围挡率、工地物料堆放覆盖率、路面硬化率、车辆冲洗率、湿法作业率、运土车辆封闭、在线扬尘监控屏安装率、工地内非道路移动机械车辆达标率达到100%）。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阶段定时对道路进行淋水降尘，控制粉尘污染；不抛撒建筑垃圾，防止尘土飞扬；对施工垃圾进行及时清运，并适量洒水，减少粉尘对空气的污染；对易飞扬、细颗粒散体材料均严密遮盖，运输时防止洒落、飞扬，卸运时采取措施，减少污染；不在施工现场熔融沥青或者焚烧油毯、油漆以及其它产生有毒有害烟尘和恶臭气体的物质，防止有毒烟尘和恶臭气体产生；施工工地运输车辆驶出前作冲洗除泥除尘处理，避免将泥土、尘土带出工地。如未达到要求则自愿接受主管部门和招标人相关规定的处罚，但并不因此免责，必须整改到位，同时我单位自愿接受招标人要求赔偿的相应损失并承担由此带来的一切法律责任。</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360" w:lineRule="auto"/>
        <w:ind w:firstLine="315" w:firstLineChars="150"/>
        <w:rPr>
          <w:rFonts w:hint="eastAsia" w:ascii="宋体" w:hAnsi="宋体" w:eastAsia="宋体" w:cs="宋体"/>
          <w:color w:val="auto"/>
          <w:sz w:val="21"/>
          <w:szCs w:val="21"/>
          <w:highlight w:val="none"/>
        </w:rPr>
      </w:pPr>
    </w:p>
    <w:p>
      <w:pPr>
        <w:spacing w:line="360" w:lineRule="auto"/>
        <w:ind w:firstLine="315" w:firstLineChars="150"/>
        <w:rPr>
          <w:rFonts w:hint="eastAsia" w:ascii="宋体" w:hAnsi="宋体" w:eastAsia="宋体" w:cs="宋体"/>
          <w:color w:val="auto"/>
          <w:sz w:val="21"/>
          <w:szCs w:val="21"/>
          <w:highlight w:val="none"/>
        </w:rPr>
      </w:pPr>
    </w:p>
    <w:p>
      <w:pPr>
        <w:widowControl/>
        <w:spacing w:line="360" w:lineRule="auto"/>
        <w:rPr>
          <w:rFonts w:hint="eastAsia" w:ascii="宋体" w:hAnsi="宋体" w:eastAsia="宋体" w:cs="宋体"/>
          <w:b/>
          <w:bCs/>
          <w:color w:val="auto"/>
          <w:sz w:val="21"/>
          <w:szCs w:val="21"/>
          <w:highlight w:val="none"/>
        </w:rPr>
      </w:pPr>
    </w:p>
    <w:p>
      <w:pPr>
        <w:pStyle w:val="2"/>
        <w:spacing w:line="360" w:lineRule="auto"/>
        <w:ind w:firstLine="3570" w:firstLineChars="17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（电子签章） </w:t>
      </w:r>
    </w:p>
    <w:p>
      <w:pPr>
        <w:pStyle w:val="2"/>
        <w:spacing w:line="360" w:lineRule="auto"/>
        <w:ind w:firstLine="3570" w:firstLineChars="17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（签字或电子章） </w:t>
      </w:r>
    </w:p>
    <w:p>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bookmarkEnd w:id="1227"/>
    <w:bookmarkEnd w:id="1228"/>
    <w:p>
      <w:pPr>
        <w:rPr>
          <w:rFonts w:hint="eastAsia" w:ascii="宋体" w:hAnsi="宋体" w:eastAsia="宋体" w:cs="宋体"/>
          <w:color w:val="auto"/>
          <w:sz w:val="21"/>
          <w:szCs w:val="21"/>
          <w:highlight w:val="none"/>
        </w:rPr>
      </w:pPr>
      <w:bookmarkStart w:id="1236" w:name="_Toc434565458"/>
      <w:bookmarkStart w:id="1237" w:name="_Toc54803519"/>
      <w:bookmarkStart w:id="1238" w:name="_Toc1687"/>
      <w:bookmarkStart w:id="1239" w:name="_Toc434565122"/>
      <w:bookmarkStart w:id="1240" w:name="_Toc408493324"/>
      <w:bookmarkStart w:id="1241" w:name="_Toc428265244"/>
      <w:bookmarkStart w:id="1242" w:name="_Toc404333386"/>
      <w:bookmarkStart w:id="1243" w:name="_Toc18670"/>
      <w:bookmarkStart w:id="1244" w:name="_Toc62587046"/>
      <w:bookmarkStart w:id="1245" w:name="_Toc66975580"/>
      <w:bookmarkStart w:id="1246" w:name="_Toc119856541"/>
      <w:r>
        <w:rPr>
          <w:rFonts w:hint="eastAsia" w:ascii="宋体" w:hAnsi="宋体" w:eastAsia="宋体" w:cs="宋体"/>
          <w:color w:val="auto"/>
          <w:sz w:val="21"/>
          <w:szCs w:val="21"/>
          <w:highlight w:val="none"/>
        </w:rPr>
        <w:br w:type="page"/>
      </w:r>
    </w:p>
    <w:p>
      <w:pPr>
        <w:pStyle w:val="5"/>
        <w:spacing w:line="360" w:lineRule="auto"/>
        <w:jc w:val="center"/>
        <w:rPr>
          <w:rFonts w:hint="eastAsia" w:ascii="宋体" w:hAnsi="宋体" w:eastAsia="宋体" w:cs="宋体"/>
          <w:b/>
          <w:color w:val="auto"/>
          <w:sz w:val="21"/>
          <w:szCs w:val="21"/>
          <w:highlight w:val="none"/>
        </w:rPr>
      </w:pPr>
      <w:bookmarkStart w:id="1247" w:name="_Toc14744"/>
      <w:r>
        <w:rPr>
          <w:rFonts w:hint="eastAsia" w:ascii="宋体" w:hAnsi="宋体" w:eastAsia="宋体" w:cs="宋体"/>
          <w:color w:val="auto"/>
          <w:sz w:val="21"/>
          <w:szCs w:val="21"/>
          <w:highlight w:val="none"/>
        </w:rPr>
        <w:t>（三）</w:t>
      </w:r>
      <w:bookmarkEnd w:id="1236"/>
      <w:bookmarkEnd w:id="1237"/>
      <w:bookmarkEnd w:id="1238"/>
      <w:bookmarkEnd w:id="1239"/>
      <w:bookmarkEnd w:id="1240"/>
      <w:bookmarkEnd w:id="1241"/>
      <w:bookmarkEnd w:id="1242"/>
      <w:bookmarkEnd w:id="1243"/>
      <w:r>
        <w:rPr>
          <w:rFonts w:hint="eastAsia" w:ascii="宋体" w:hAnsi="宋体" w:eastAsia="宋体" w:cs="宋体"/>
          <w:color w:val="auto"/>
          <w:sz w:val="21"/>
          <w:szCs w:val="21"/>
          <w:highlight w:val="none"/>
        </w:rPr>
        <w:t>无行贿犯罪行为记录的承诺书</w:t>
      </w:r>
      <w:bookmarkEnd w:id="1244"/>
      <w:bookmarkEnd w:id="1245"/>
      <w:bookmarkEnd w:id="1246"/>
      <w:bookmarkEnd w:id="1247"/>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致：（招标人）</w:t>
      </w:r>
    </w:p>
    <w:p>
      <w:pPr>
        <w:spacing w:line="360" w:lineRule="auto"/>
        <w:rPr>
          <w:rFonts w:hint="eastAsia" w:ascii="宋体" w:hAnsi="宋体" w:eastAsia="宋体" w:cs="宋体"/>
          <w:color w:val="auto"/>
          <w:sz w:val="21"/>
          <w:szCs w:val="21"/>
          <w:highlight w:val="none"/>
        </w:rPr>
      </w:pPr>
    </w:p>
    <w:p>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我公司参加</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及标段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投标活动，自2020年1月1日以来，我公司</w:t>
      </w:r>
      <w:r>
        <w:rPr>
          <w:rFonts w:hint="eastAsia" w:ascii="宋体" w:hAnsi="宋体" w:eastAsia="宋体" w:cs="宋体"/>
          <w:color w:val="auto"/>
          <w:sz w:val="21"/>
          <w:szCs w:val="21"/>
          <w:highlight w:val="none"/>
          <w:u w:val="single"/>
        </w:rPr>
        <w:t xml:space="preserve">    公司名字全称 （统一社会信用代码）</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姓名及签名（身份证号码：     ）</w:t>
      </w: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u w:val="single"/>
        </w:rPr>
        <w:t xml:space="preserve">          姓名及签名（身份证号码：     ）</w:t>
      </w:r>
      <w:r>
        <w:rPr>
          <w:rFonts w:hint="eastAsia" w:ascii="宋体" w:hAnsi="宋体" w:eastAsia="宋体" w:cs="宋体"/>
          <w:color w:val="auto"/>
          <w:sz w:val="21"/>
          <w:szCs w:val="21"/>
          <w:highlight w:val="none"/>
        </w:rPr>
        <w:t>、设计负责任人</w:t>
      </w:r>
      <w:r>
        <w:rPr>
          <w:rFonts w:hint="eastAsia" w:ascii="宋体" w:hAnsi="宋体" w:eastAsia="宋体" w:cs="宋体"/>
          <w:color w:val="auto"/>
          <w:sz w:val="21"/>
          <w:szCs w:val="21"/>
          <w:highlight w:val="none"/>
          <w:u w:val="single"/>
        </w:rPr>
        <w:t xml:space="preserve">        姓名及签名（身份证号码：      ）</w:t>
      </w:r>
      <w:r>
        <w:rPr>
          <w:rFonts w:hint="eastAsia" w:ascii="宋体" w:hAnsi="宋体" w:eastAsia="宋体" w:cs="宋体"/>
          <w:color w:val="auto"/>
          <w:sz w:val="21"/>
          <w:szCs w:val="21"/>
          <w:highlight w:val="none"/>
        </w:rPr>
        <w:t>无任何行贿犯罪行为记录。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pStyle w:val="40"/>
        <w:shd w:val="clear" w:color="auto" w:fill="FFFFFF"/>
        <w:spacing w:before="330" w:line="360" w:lineRule="auto"/>
        <w:ind w:firstLine="482"/>
        <w:jc w:val="both"/>
        <w:rPr>
          <w:rFonts w:hint="eastAsia" w:ascii="宋体" w:hAnsi="宋体" w:eastAsia="宋体" w:cs="宋体"/>
          <w:b/>
          <w:bCs/>
          <w:color w:val="auto"/>
          <w:sz w:val="21"/>
          <w:szCs w:val="21"/>
          <w:highlight w:val="none"/>
          <w:shd w:val="clear" w:color="auto" w:fill="FFFFFF"/>
        </w:rPr>
      </w:pPr>
    </w:p>
    <w:p>
      <w:pPr>
        <w:pStyle w:val="40"/>
        <w:shd w:val="clear" w:color="auto" w:fill="FFFFFF"/>
        <w:spacing w:before="330" w:line="360" w:lineRule="auto"/>
        <w:ind w:firstLine="482"/>
        <w:jc w:val="both"/>
        <w:rPr>
          <w:rFonts w:hint="eastAsia" w:ascii="宋体" w:hAnsi="宋体" w:eastAsia="宋体" w:cs="宋体"/>
          <w:b/>
          <w:bCs/>
          <w:color w:val="auto"/>
          <w:sz w:val="21"/>
          <w:szCs w:val="21"/>
          <w:highlight w:val="none"/>
          <w:shd w:val="clear" w:color="auto" w:fill="FFFFFF"/>
        </w:rPr>
      </w:pPr>
    </w:p>
    <w:p>
      <w:pPr>
        <w:spacing w:line="36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firstLine="4095" w:firstLineChars="19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（签字或电子章）</w:t>
      </w:r>
    </w:p>
    <w:p>
      <w:pPr>
        <w:spacing w:line="360" w:lineRule="auto"/>
        <w:ind w:firstLine="4095" w:firstLineChars="19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1248" w:name="_Toc62587047"/>
      <w:bookmarkStart w:id="1249" w:name="_Toc66975581"/>
      <w:bookmarkStart w:id="1250" w:name="_Toc119856542"/>
      <w:bookmarkStart w:id="1251" w:name="_Toc31344"/>
      <w:bookmarkStart w:id="1252" w:name="_Toc4941"/>
      <w:bookmarkStart w:id="1253" w:name="_Toc7556"/>
      <w:bookmarkStart w:id="1254" w:name="_Toc85"/>
      <w:bookmarkStart w:id="1255" w:name="_Toc25305"/>
      <w:bookmarkStart w:id="1256" w:name="_Toc15927"/>
      <w:bookmarkStart w:id="1257" w:name="_Toc54803520"/>
      <w:r>
        <w:rPr>
          <w:rFonts w:hint="eastAsia" w:ascii="宋体" w:hAnsi="宋体" w:eastAsia="宋体" w:cs="宋体"/>
          <w:color w:val="auto"/>
          <w:sz w:val="21"/>
          <w:szCs w:val="21"/>
          <w:highlight w:val="none"/>
        </w:rPr>
        <w:br w:type="page"/>
      </w:r>
    </w:p>
    <w:p>
      <w:pPr>
        <w:pStyle w:val="5"/>
        <w:spacing w:line="360" w:lineRule="auto"/>
        <w:jc w:val="center"/>
        <w:rPr>
          <w:rFonts w:hint="eastAsia" w:ascii="宋体" w:hAnsi="宋体" w:eastAsia="宋体" w:cs="宋体"/>
          <w:b/>
          <w:color w:val="auto"/>
          <w:sz w:val="21"/>
          <w:szCs w:val="21"/>
          <w:highlight w:val="none"/>
        </w:rPr>
      </w:pPr>
      <w:bookmarkStart w:id="1258" w:name="_Toc3342"/>
      <w:r>
        <w:rPr>
          <w:rFonts w:hint="eastAsia" w:ascii="宋体" w:hAnsi="宋体" w:eastAsia="宋体" w:cs="宋体"/>
          <w:color w:val="auto"/>
          <w:sz w:val="21"/>
          <w:szCs w:val="21"/>
          <w:highlight w:val="none"/>
        </w:rPr>
        <w:t>（四）企业投标诚信承诺书</w:t>
      </w:r>
      <w:bookmarkEnd w:id="1248"/>
      <w:bookmarkEnd w:id="1249"/>
      <w:bookmarkEnd w:id="1250"/>
      <w:bookmarkEnd w:id="1258"/>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本企业郑重承诺：</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一、遵循公开、公平、公正和诚实信用的原则参加</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及标段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投标;</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所提供的一切材料都是真实、有效、合法的</w:t>
      </w:r>
      <w:r>
        <w:rPr>
          <w:rFonts w:hint="eastAsia" w:ascii="宋体" w:hAnsi="宋体" w:eastAsia="宋体" w:cs="宋体"/>
          <w:color w:val="auto"/>
          <w:sz w:val="21"/>
          <w:szCs w:val="21"/>
          <w:highlight w:val="none"/>
        </w:rPr>
        <w:t>;</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三、不与其他投标人相互串通投标报价，不排挤其他投标人的公平竞争，损害招标人或其他投标人的合法权益;</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四、不与招标人或招标代理机构串通投标，损害国家利益、社会公共利益或者他人的合法权益;</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五、不向招标人或者评标委员会成员行贿以牟取入围;</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六、不以他人名义投标或者以其他方式弄虚作假，骗取中标;</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七、不出卖资质，让他人挂靠投标;</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八、不恶意压低或抬高投标报价；</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九、不扰乱招投标市场秩序;</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十、不在开标后进行虚假恶意投诉。</w:t>
      </w:r>
    </w:p>
    <w:p>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本公司若有违反本承诺内容的行为，愿意承担法律责任，包括：愿意接受相关行政主管部门作出的处罚和处理。</w:t>
      </w:r>
    </w:p>
    <w:p>
      <w:pPr>
        <w:pStyle w:val="2"/>
        <w:spacing w:line="360" w:lineRule="auto"/>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360" w:lineRule="auto"/>
        <w:ind w:firstLine="420"/>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电子章)</w:t>
      </w:r>
    </w:p>
    <w:p>
      <w:pPr>
        <w:spacing w:line="360" w:lineRule="auto"/>
        <w:ind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5"/>
        <w:spacing w:line="360" w:lineRule="auto"/>
        <w:jc w:val="center"/>
        <w:rPr>
          <w:rFonts w:hint="eastAsia" w:ascii="宋体" w:hAnsi="宋体" w:eastAsia="宋体" w:cs="宋体"/>
          <w:color w:val="auto"/>
          <w:sz w:val="21"/>
          <w:szCs w:val="21"/>
          <w:highlight w:val="none"/>
        </w:rPr>
      </w:pPr>
      <w:bookmarkStart w:id="1259" w:name="_Toc66975582"/>
      <w:bookmarkStart w:id="1260" w:name="_Toc62587048"/>
      <w:bookmarkStart w:id="1261" w:name="_Toc119856543"/>
      <w:bookmarkStart w:id="1262" w:name="_Toc10042"/>
      <w:r>
        <w:rPr>
          <w:rFonts w:hint="eastAsia" w:ascii="宋体" w:hAnsi="宋体" w:eastAsia="宋体" w:cs="宋体"/>
          <w:color w:val="auto"/>
          <w:sz w:val="21"/>
          <w:szCs w:val="21"/>
          <w:highlight w:val="none"/>
        </w:rPr>
        <w:t>（五）项目经理无在建工程承诺书</w:t>
      </w:r>
      <w:bookmarkEnd w:id="1251"/>
      <w:bookmarkEnd w:id="1252"/>
      <w:bookmarkEnd w:id="1253"/>
      <w:bookmarkEnd w:id="1254"/>
      <w:bookmarkEnd w:id="1255"/>
      <w:bookmarkEnd w:id="1256"/>
      <w:bookmarkEnd w:id="1257"/>
      <w:bookmarkEnd w:id="1259"/>
      <w:bookmarkEnd w:id="1260"/>
      <w:bookmarkEnd w:id="1261"/>
      <w:bookmarkEnd w:id="1262"/>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及标段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（以下简称“本工程”）的项目经理</w:t>
      </w:r>
      <w:r>
        <w:rPr>
          <w:rFonts w:hint="eastAsia" w:ascii="宋体" w:hAnsi="宋体" w:eastAsia="宋体" w:cs="宋体"/>
          <w:color w:val="auto"/>
          <w:sz w:val="21"/>
          <w:szCs w:val="21"/>
          <w:highlight w:val="none"/>
          <w:u w:val="single"/>
        </w:rPr>
        <w:t xml:space="preserve">      （项目经理姓名）</w:t>
      </w:r>
      <w:r>
        <w:rPr>
          <w:rFonts w:hint="eastAsia" w:ascii="宋体" w:hAnsi="宋体" w:eastAsia="宋体" w:cs="宋体"/>
          <w:color w:val="auto"/>
          <w:sz w:val="21"/>
          <w:szCs w:val="21"/>
          <w:highlight w:val="none"/>
        </w:rPr>
        <w:t>现阶段</w:t>
      </w:r>
      <w:r>
        <w:rPr>
          <w:rFonts w:hint="eastAsia" w:ascii="宋体" w:hAnsi="宋体" w:eastAsia="宋体" w:cs="宋体"/>
          <w:color w:val="auto"/>
          <w:kern w:val="0"/>
          <w:sz w:val="21"/>
          <w:szCs w:val="21"/>
          <w:highlight w:val="none"/>
        </w:rPr>
        <w:t>没有在</w:t>
      </w:r>
      <w:r>
        <w:rPr>
          <w:rFonts w:hint="eastAsia" w:ascii="宋体" w:hAnsi="宋体" w:eastAsia="宋体" w:cs="宋体"/>
          <w:color w:val="auto"/>
          <w:sz w:val="21"/>
          <w:szCs w:val="21"/>
          <w:highlight w:val="none"/>
        </w:rPr>
        <w:t>任何</w:t>
      </w:r>
      <w:r>
        <w:rPr>
          <w:rFonts w:hint="eastAsia" w:ascii="宋体" w:hAnsi="宋体" w:eastAsia="宋体" w:cs="宋体"/>
          <w:color w:val="auto"/>
          <w:kern w:val="0"/>
          <w:sz w:val="21"/>
          <w:szCs w:val="21"/>
          <w:highlight w:val="none"/>
        </w:rPr>
        <w:t>正在施工和正在承接的工程中</w:t>
      </w:r>
      <w:r>
        <w:rPr>
          <w:rFonts w:hint="eastAsia" w:ascii="宋体" w:hAnsi="宋体" w:eastAsia="宋体" w:cs="宋体"/>
          <w:color w:val="auto"/>
          <w:sz w:val="21"/>
          <w:szCs w:val="21"/>
          <w:highlight w:val="none"/>
        </w:rPr>
        <w:t>任职。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人通过可能进行的实地或其他方式的考察发现所提供的项目经理无在建工程承诺书存在虚假内容，招标人有权取消我单位参加本项目投标资格或中标资格、拒签或提前终止合同，并向有关建设主管部门上报作进一步处罚，同时我单位自愿接受招标人要求赔偿的相应损失并承担由此带来的一切法律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（签字或电子章）</w:t>
      </w:r>
    </w:p>
    <w:p>
      <w:pPr>
        <w:spacing w:line="360" w:lineRule="auto"/>
        <w:ind w:left="2730" w:leftChars="1300"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spacing w:line="360" w:lineRule="auto"/>
        <w:ind w:left="2730" w:leftChars="1300"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p>
    <w:p>
      <w:pPr>
        <w:rPr>
          <w:rFonts w:hint="eastAsia" w:ascii="宋体" w:hAnsi="宋体" w:eastAsia="宋体" w:cs="宋体"/>
          <w:color w:val="auto"/>
          <w:sz w:val="21"/>
          <w:szCs w:val="21"/>
          <w:highlight w:val="none"/>
        </w:rPr>
      </w:pPr>
      <w:bookmarkStart w:id="1263" w:name="_Toc119856544"/>
      <w:bookmarkStart w:id="1264" w:name="_Toc62587049"/>
      <w:bookmarkStart w:id="1265" w:name="_Toc5435"/>
      <w:bookmarkStart w:id="1266" w:name="_Toc5720"/>
      <w:bookmarkStart w:id="1267" w:name="_Toc24932"/>
      <w:bookmarkStart w:id="1268" w:name="_Toc32009"/>
      <w:bookmarkStart w:id="1269" w:name="_Toc25333"/>
      <w:bookmarkStart w:id="1270" w:name="_Toc19463"/>
      <w:bookmarkStart w:id="1271" w:name="_Toc18222"/>
      <w:bookmarkStart w:id="1272" w:name="_Toc23748"/>
      <w:bookmarkStart w:id="1273" w:name="_Toc66975583"/>
      <w:bookmarkStart w:id="1274" w:name="_Toc54803521"/>
      <w:bookmarkStart w:id="1275" w:name="_Toc30291"/>
      <w:bookmarkStart w:id="1276" w:name="_Toc10789"/>
      <w:r>
        <w:rPr>
          <w:rFonts w:hint="eastAsia" w:ascii="宋体" w:hAnsi="宋体" w:eastAsia="宋体" w:cs="宋体"/>
          <w:color w:val="auto"/>
          <w:sz w:val="21"/>
          <w:szCs w:val="21"/>
          <w:highlight w:val="none"/>
        </w:rPr>
        <w:br w:type="page"/>
      </w:r>
    </w:p>
    <w:p>
      <w:pPr>
        <w:pStyle w:val="5"/>
        <w:spacing w:line="360" w:lineRule="auto"/>
        <w:jc w:val="center"/>
        <w:rPr>
          <w:rFonts w:hint="eastAsia" w:ascii="宋体" w:hAnsi="宋体" w:eastAsia="宋体" w:cs="宋体"/>
          <w:color w:val="auto"/>
          <w:sz w:val="21"/>
          <w:szCs w:val="21"/>
          <w:highlight w:val="none"/>
        </w:rPr>
      </w:pPr>
      <w:bookmarkStart w:id="1277" w:name="_Toc4541"/>
      <w:r>
        <w:rPr>
          <w:rFonts w:hint="eastAsia" w:ascii="宋体" w:hAnsi="宋体" w:eastAsia="宋体" w:cs="宋体"/>
          <w:color w:val="auto"/>
          <w:sz w:val="21"/>
          <w:szCs w:val="21"/>
          <w:highlight w:val="none"/>
        </w:rPr>
        <w:t>（六）反商业贿赂承诺书</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w:t>
      </w:r>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在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eastAsia="zh-CN"/>
        </w:rPr>
        <w:t>及标段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招标活动中，我公司保证做到：</w:t>
      </w:r>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一、公平竞争参加本次招标活动。</w:t>
      </w:r>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三、若出现上述行为，我公司及参与投标的工作人员愿意接受按照国家法律法规等有关规定给予的处罚。</w:t>
      </w:r>
    </w:p>
    <w:p>
      <w:pPr>
        <w:spacing w:line="360" w:lineRule="auto"/>
        <w:ind w:firstLine="539"/>
        <w:rPr>
          <w:rFonts w:hint="eastAsia" w:ascii="宋体" w:hAnsi="宋体" w:eastAsia="宋体" w:cs="宋体"/>
          <w:color w:val="auto"/>
          <w:sz w:val="21"/>
          <w:szCs w:val="21"/>
          <w:highlight w:val="none"/>
        </w:rPr>
      </w:pPr>
    </w:p>
    <w:p>
      <w:pPr>
        <w:spacing w:line="36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电子章）</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spacing w:line="360" w:lineRule="auto"/>
        <w:ind w:firstLine="210" w:firstLineChars="100"/>
        <w:rPr>
          <w:rFonts w:hint="eastAsia" w:ascii="宋体" w:hAnsi="宋体" w:eastAsia="宋体" w:cs="宋体"/>
          <w:color w:val="auto"/>
          <w:sz w:val="21"/>
          <w:szCs w:val="21"/>
          <w:highlight w:val="none"/>
        </w:rPr>
      </w:pP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firstLine="539"/>
        <w:jc w:val="right"/>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1278" w:name="_Toc528313434"/>
      <w:bookmarkStart w:id="1279" w:name="_Toc62587050"/>
      <w:bookmarkStart w:id="1280" w:name="_Toc54803522"/>
      <w:bookmarkStart w:id="1281" w:name="_Toc17775"/>
      <w:bookmarkStart w:id="1282" w:name="_Toc16159"/>
      <w:bookmarkStart w:id="1283" w:name="_Toc66975584"/>
      <w:bookmarkStart w:id="1284" w:name="_Toc119856545"/>
      <w:bookmarkStart w:id="1285" w:name="_Toc17395"/>
      <w:bookmarkStart w:id="1286" w:name="_Toc23045"/>
      <w:bookmarkStart w:id="1287" w:name="_Toc10348"/>
      <w:bookmarkStart w:id="1288" w:name="_Toc434565123"/>
      <w:bookmarkStart w:id="1289" w:name="_Toc434565459"/>
      <w:bookmarkStart w:id="1290" w:name="_Toc432430437"/>
      <w:r>
        <w:rPr>
          <w:rFonts w:hint="eastAsia" w:ascii="宋体" w:hAnsi="宋体" w:eastAsia="宋体" w:cs="宋体"/>
          <w:color w:val="auto"/>
          <w:sz w:val="21"/>
          <w:szCs w:val="21"/>
          <w:highlight w:val="none"/>
        </w:rPr>
        <w:br w:type="page"/>
      </w:r>
    </w:p>
    <w:p>
      <w:pPr>
        <w:pStyle w:val="5"/>
        <w:spacing w:line="360" w:lineRule="auto"/>
        <w:jc w:val="center"/>
        <w:rPr>
          <w:rFonts w:hint="eastAsia" w:ascii="宋体" w:hAnsi="宋体" w:eastAsia="宋体" w:cs="宋体"/>
          <w:color w:val="auto"/>
          <w:sz w:val="21"/>
          <w:szCs w:val="21"/>
          <w:highlight w:val="none"/>
        </w:rPr>
      </w:pPr>
      <w:bookmarkStart w:id="1291" w:name="_Toc785"/>
      <w:r>
        <w:rPr>
          <w:rFonts w:hint="eastAsia" w:ascii="宋体" w:hAnsi="宋体" w:eastAsia="宋体" w:cs="宋体"/>
          <w:color w:val="auto"/>
          <w:sz w:val="21"/>
          <w:szCs w:val="21"/>
          <w:highlight w:val="none"/>
        </w:rPr>
        <w:t>（七）履约情况承诺书</w:t>
      </w:r>
      <w:bookmarkEnd w:id="1278"/>
      <w:bookmarkEnd w:id="1279"/>
      <w:bookmarkEnd w:id="1280"/>
      <w:bookmarkEnd w:id="1281"/>
      <w:bookmarkEnd w:id="1282"/>
      <w:bookmarkEnd w:id="1283"/>
      <w:bookmarkEnd w:id="1284"/>
      <w:bookmarkEnd w:id="1291"/>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无因我公司违约或不恰当履约引起的合同中止、纠纷、争议和仲裁记录。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若招标人通过可能进行的实地或其他方式的考察发现存在虚假内容，招标人有权取消我单位中标资格、拒签或提前终止合同，并向有关建设主管部门上报作进一步处罚，同时我单位自愿接受招标人要求赔偿的相应损失并承担由此带来的一切法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360" w:lineRule="auto"/>
        <w:rPr>
          <w:rFonts w:hint="eastAsia" w:ascii="宋体" w:hAnsi="宋体" w:eastAsia="宋体" w:cs="宋体"/>
          <w:color w:val="auto"/>
          <w:sz w:val="21"/>
          <w:szCs w:val="21"/>
          <w:highlight w:val="none"/>
        </w:rPr>
      </w:pPr>
    </w:p>
    <w:p>
      <w:pPr>
        <w:spacing w:line="360" w:lineRule="auto"/>
        <w:jc w:val="right"/>
        <w:rPr>
          <w:rFonts w:hint="eastAsia" w:ascii="宋体" w:hAnsi="宋体" w:eastAsia="宋体" w:cs="宋体"/>
          <w:color w:val="auto"/>
          <w:sz w:val="21"/>
          <w:szCs w:val="21"/>
          <w:highlight w:val="none"/>
        </w:rPr>
      </w:pPr>
    </w:p>
    <w:p>
      <w:pPr>
        <w:spacing w:line="360" w:lineRule="auto"/>
        <w:jc w:val="right"/>
        <w:rPr>
          <w:rFonts w:hint="eastAsia" w:ascii="宋体" w:hAnsi="宋体" w:eastAsia="宋体" w:cs="宋体"/>
          <w:color w:val="auto"/>
          <w:sz w:val="21"/>
          <w:szCs w:val="21"/>
          <w:highlight w:val="none"/>
        </w:rPr>
      </w:pPr>
    </w:p>
    <w:p>
      <w:pPr>
        <w:spacing w:line="360" w:lineRule="auto"/>
        <w:ind w:right="21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right="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电子章）</w:t>
      </w:r>
    </w:p>
    <w:p>
      <w:pPr>
        <w:spacing w:line="360" w:lineRule="auto"/>
        <w:ind w:right="7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widowControl/>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p>
    <w:p>
      <w:pPr>
        <w:pStyle w:val="5"/>
        <w:spacing w:line="360" w:lineRule="auto"/>
        <w:jc w:val="center"/>
        <w:rPr>
          <w:rFonts w:hint="eastAsia" w:ascii="宋体" w:hAnsi="宋体" w:eastAsia="宋体" w:cs="宋体"/>
          <w:color w:val="auto"/>
          <w:sz w:val="21"/>
          <w:szCs w:val="21"/>
          <w:highlight w:val="none"/>
        </w:rPr>
      </w:pPr>
      <w:bookmarkStart w:id="1292" w:name="_Toc119856546"/>
      <w:bookmarkStart w:id="1293" w:name="_Toc18605"/>
      <w:r>
        <w:rPr>
          <w:rFonts w:hint="eastAsia" w:ascii="宋体" w:hAnsi="宋体" w:eastAsia="宋体" w:cs="宋体"/>
          <w:color w:val="auto"/>
          <w:sz w:val="21"/>
          <w:szCs w:val="21"/>
          <w:highlight w:val="none"/>
        </w:rPr>
        <w:t>（八）全省房屋建筑和市政基础设施工程项目招标投标活动承诺书</w:t>
      </w:r>
      <w:bookmarkEnd w:id="1292"/>
      <w:bookmarkEnd w:id="1293"/>
    </w:p>
    <w:p>
      <w:pPr>
        <w:tabs>
          <w:tab w:val="left" w:pos="1158"/>
          <w:tab w:val="left" w:pos="1544"/>
        </w:tabs>
        <w:spacing w:line="360" w:lineRule="auto"/>
        <w:ind w:firstLine="420" w:firstLineChars="200"/>
        <w:rPr>
          <w:rFonts w:hint="eastAsia" w:ascii="宋体" w:hAnsi="宋体" w:eastAsia="宋体" w:cs="宋体"/>
          <w:color w:val="auto"/>
          <w:sz w:val="21"/>
          <w:szCs w:val="21"/>
          <w:highlight w:val="none"/>
        </w:rPr>
      </w:pPr>
    </w:p>
    <w:p>
      <w:pPr>
        <w:tabs>
          <w:tab w:val="left" w:pos="1158"/>
          <w:tab w:val="left" w:pos="1544"/>
        </w:tabs>
        <w:spacing w:line="360" w:lineRule="auto"/>
        <w:ind w:firstLine="420" w:firstLineChars="200"/>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我承诺，在</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u w:val="single"/>
          <w:lang w:val="zh-CN" w:bidi="zh-CN"/>
        </w:rPr>
        <w:t>（项目名称</w:t>
      </w:r>
      <w:r>
        <w:rPr>
          <w:rFonts w:hint="eastAsia" w:ascii="宋体" w:hAnsi="宋体" w:eastAsia="宋体" w:cs="宋体"/>
          <w:color w:val="auto"/>
          <w:kern w:val="0"/>
          <w:sz w:val="21"/>
          <w:szCs w:val="21"/>
          <w:highlight w:val="none"/>
          <w:u w:val="single"/>
          <w:lang w:val="zh-CN" w:eastAsia="zh-CN" w:bidi="zh-CN"/>
        </w:rPr>
        <w:t>及标段</w:t>
      </w:r>
      <w:r>
        <w:rPr>
          <w:rFonts w:hint="eastAsia" w:ascii="宋体" w:hAnsi="宋体" w:eastAsia="宋体" w:cs="宋体"/>
          <w:color w:val="auto"/>
          <w:kern w:val="0"/>
          <w:sz w:val="21"/>
          <w:szCs w:val="21"/>
          <w:highlight w:val="none"/>
          <w:u w:val="single"/>
          <w:lang w:val="zh-CN" w:bidi="zh-CN"/>
        </w:rPr>
        <w:t>）</w:t>
      </w:r>
      <w:r>
        <w:rPr>
          <w:rFonts w:hint="eastAsia" w:ascii="宋体" w:hAnsi="宋体" w:eastAsia="宋体" w:cs="宋体"/>
          <w:color w:val="auto"/>
          <w:kern w:val="0"/>
          <w:sz w:val="21"/>
          <w:szCs w:val="21"/>
          <w:highlight w:val="none"/>
          <w:u w:val="single"/>
          <w:lang w:bidi="zh-CN"/>
        </w:rPr>
        <w:t xml:space="preserve">   </w:t>
      </w:r>
      <w:r>
        <w:rPr>
          <w:rFonts w:hint="eastAsia" w:ascii="宋体" w:hAnsi="宋体" w:eastAsia="宋体" w:cs="宋体"/>
          <w:color w:val="auto"/>
          <w:kern w:val="0"/>
          <w:sz w:val="21"/>
          <w:szCs w:val="21"/>
          <w:highlight w:val="none"/>
          <w:lang w:val="zh-CN" w:bidi="zh-CN"/>
        </w:rPr>
        <w:t>招投标活动中，自觉遵守《中华人民共和国招标投标法》、</w:t>
      </w:r>
      <w:r>
        <w:rPr>
          <w:rFonts w:hint="eastAsia" w:ascii="宋体" w:hAnsi="宋体" w:eastAsia="宋体" w:cs="宋体"/>
          <w:color w:val="auto"/>
          <w:sz w:val="21"/>
          <w:szCs w:val="21"/>
          <w:highlight w:val="none"/>
        </w:rPr>
        <w:t>《中华人民共和国招标投标法实施条例》</w:t>
      </w:r>
      <w:r>
        <w:rPr>
          <w:rFonts w:hint="eastAsia" w:ascii="宋体" w:hAnsi="宋体" w:eastAsia="宋体" w:cs="宋体"/>
          <w:color w:val="auto"/>
          <w:kern w:val="0"/>
          <w:sz w:val="21"/>
          <w:szCs w:val="21"/>
          <w:highlight w:val="none"/>
          <w:lang w:val="zh-CN" w:bidi="zh-CN"/>
        </w:rPr>
        <w:t xml:space="preserve">、河南省实施《中华人民共和国招标投标法》办法等招标投标相关法律、法规和制度规定，如有违反，愿承担相关法律责任。 </w:t>
      </w:r>
    </w:p>
    <w:p>
      <w:pPr>
        <w:autoSpaceDE w:val="0"/>
        <w:autoSpaceDN w:val="0"/>
        <w:adjustRightInd w:val="0"/>
        <w:snapToGrid w:val="0"/>
        <w:spacing w:line="465" w:lineRule="auto"/>
        <w:ind w:left="349" w:right="1296" w:firstLine="412"/>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 </w:t>
      </w:r>
    </w:p>
    <w:p>
      <w:pPr>
        <w:autoSpaceDE w:val="0"/>
        <w:autoSpaceDN w:val="0"/>
        <w:adjustRightInd w:val="0"/>
        <w:snapToGrid w:val="0"/>
        <w:spacing w:line="465" w:lineRule="auto"/>
        <w:ind w:left="349" w:right="1296" w:firstLine="412"/>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承诺人（法定代表人或委托代理人）（签字</w:t>
      </w:r>
      <w:r>
        <w:rPr>
          <w:rFonts w:hint="eastAsia" w:ascii="宋体" w:hAnsi="宋体" w:eastAsia="宋体" w:cs="宋体"/>
          <w:color w:val="auto"/>
          <w:kern w:val="0"/>
          <w:sz w:val="21"/>
          <w:szCs w:val="21"/>
          <w:highlight w:val="none"/>
          <w:lang w:bidi="zh-CN"/>
        </w:rPr>
        <w:t>或电子章</w:t>
      </w:r>
      <w:r>
        <w:rPr>
          <w:rFonts w:hint="eastAsia" w:ascii="宋体" w:hAnsi="宋体" w:eastAsia="宋体" w:cs="宋体"/>
          <w:color w:val="auto"/>
          <w:kern w:val="0"/>
          <w:sz w:val="21"/>
          <w:szCs w:val="21"/>
          <w:highlight w:val="none"/>
          <w:lang w:val="zh-CN" w:bidi="zh-CN"/>
        </w:rPr>
        <w:t xml:space="preserve">）：                      </w:t>
      </w:r>
    </w:p>
    <w:p>
      <w:pPr>
        <w:tabs>
          <w:tab w:val="left" w:pos="1158"/>
          <w:tab w:val="left" w:pos="1544"/>
        </w:tabs>
        <w:spacing w:line="360" w:lineRule="auto"/>
        <w:ind w:firstLine="420" w:firstLineChars="200"/>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 </w:t>
      </w:r>
    </w:p>
    <w:p>
      <w:pPr>
        <w:autoSpaceDE w:val="0"/>
        <w:autoSpaceDN w:val="0"/>
        <w:adjustRightInd w:val="0"/>
        <w:snapToGrid w:val="0"/>
        <w:spacing w:line="465" w:lineRule="auto"/>
        <w:ind w:left="349" w:right="1296" w:firstLine="412"/>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联系电话 ：               </w:t>
      </w:r>
    </w:p>
    <w:p>
      <w:pPr>
        <w:autoSpaceDE w:val="0"/>
        <w:autoSpaceDN w:val="0"/>
        <w:adjustRightInd w:val="0"/>
        <w:snapToGrid w:val="0"/>
        <w:spacing w:line="465" w:lineRule="auto"/>
        <w:ind w:left="349" w:right="1296" w:firstLine="412"/>
        <w:jc w:val="left"/>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val="zh-CN" w:bidi="zh-CN"/>
        </w:rPr>
        <w:t xml:space="preserve">          </w:t>
      </w:r>
    </w:p>
    <w:p>
      <w:pPr>
        <w:spacing w:after="120"/>
        <w:rPr>
          <w:rFonts w:hint="eastAsia" w:ascii="宋体" w:hAnsi="宋体" w:eastAsia="宋体" w:cs="宋体"/>
          <w:color w:val="auto"/>
          <w:sz w:val="21"/>
          <w:szCs w:val="21"/>
          <w:highlight w:val="none"/>
        </w:rPr>
      </w:pPr>
    </w:p>
    <w:p>
      <w:pPr>
        <w:spacing w:after="120"/>
        <w:rPr>
          <w:rFonts w:hint="eastAsia" w:ascii="宋体" w:hAnsi="宋体" w:eastAsia="宋体" w:cs="宋体"/>
          <w:color w:val="auto"/>
          <w:sz w:val="21"/>
          <w:szCs w:val="21"/>
          <w:highlight w:val="none"/>
        </w:rPr>
      </w:pPr>
    </w:p>
    <w:p>
      <w:pPr>
        <w:spacing w:after="120"/>
        <w:rPr>
          <w:rFonts w:hint="eastAsia" w:ascii="宋体" w:hAnsi="宋体" w:eastAsia="宋体" w:cs="宋体"/>
          <w:color w:val="auto"/>
          <w:sz w:val="21"/>
          <w:szCs w:val="21"/>
          <w:highlight w:val="none"/>
        </w:rPr>
      </w:pPr>
    </w:p>
    <w:p>
      <w:pPr>
        <w:spacing w:after="120"/>
        <w:rPr>
          <w:rFonts w:hint="eastAsia" w:ascii="宋体" w:hAnsi="宋体" w:eastAsia="宋体" w:cs="宋体"/>
          <w:color w:val="auto"/>
          <w:sz w:val="21"/>
          <w:szCs w:val="21"/>
          <w:highlight w:val="none"/>
        </w:rPr>
      </w:pPr>
    </w:p>
    <w:p>
      <w:pPr>
        <w:spacing w:after="120"/>
        <w:ind w:left="9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承诺人（签字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before="3" w:after="120"/>
        <w:rPr>
          <w:rFonts w:hint="eastAsia" w:ascii="宋体" w:hAnsi="宋体" w:eastAsia="宋体" w:cs="宋体"/>
          <w:color w:val="auto"/>
          <w:sz w:val="21"/>
          <w:szCs w:val="21"/>
          <w:highlight w:val="none"/>
        </w:rPr>
      </w:pPr>
    </w:p>
    <w:p>
      <w:pPr>
        <w:spacing w:after="120"/>
        <w:ind w:left="5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widowControl/>
        <w:adjustRightInd w:val="0"/>
        <w:snapToGrid w:val="0"/>
        <w:spacing w:after="200"/>
        <w:jc w:val="left"/>
        <w:rPr>
          <w:rFonts w:hint="eastAsia" w:ascii="宋体" w:hAnsi="宋体" w:eastAsia="宋体" w:cs="宋体"/>
          <w:color w:val="auto"/>
          <w:kern w:val="0"/>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5"/>
        <w:spacing w:line="360" w:lineRule="auto"/>
        <w:jc w:val="center"/>
        <w:rPr>
          <w:rFonts w:hint="eastAsia" w:ascii="宋体" w:hAnsi="宋体" w:eastAsia="宋体" w:cs="宋体"/>
          <w:color w:val="auto"/>
          <w:sz w:val="21"/>
          <w:szCs w:val="21"/>
          <w:highlight w:val="none"/>
        </w:rPr>
      </w:pPr>
      <w:bookmarkStart w:id="1294" w:name="_Toc54803523"/>
      <w:bookmarkStart w:id="1295" w:name="_Toc16351"/>
      <w:bookmarkStart w:id="1296" w:name="_Toc8317"/>
      <w:bookmarkStart w:id="1297" w:name="_Toc62587051"/>
      <w:bookmarkStart w:id="1298" w:name="_Toc66975585"/>
      <w:bookmarkStart w:id="1299" w:name="_Toc119856547"/>
      <w:bookmarkStart w:id="1300" w:name="_Toc26240"/>
      <w:r>
        <w:rPr>
          <w:rFonts w:hint="eastAsia" w:ascii="宋体" w:hAnsi="宋体" w:eastAsia="宋体" w:cs="宋体"/>
          <w:color w:val="auto"/>
          <w:sz w:val="21"/>
          <w:szCs w:val="21"/>
          <w:highlight w:val="none"/>
        </w:rPr>
        <w:t>（九）其他承诺书</w:t>
      </w:r>
      <w:bookmarkEnd w:id="1285"/>
      <w:bookmarkEnd w:id="1286"/>
      <w:bookmarkEnd w:id="1287"/>
      <w:bookmarkEnd w:id="1294"/>
      <w:bookmarkEnd w:id="1295"/>
      <w:bookmarkEnd w:id="1296"/>
      <w:bookmarkEnd w:id="1297"/>
      <w:bookmarkEnd w:id="1298"/>
      <w:bookmarkEnd w:id="1299"/>
      <w:bookmarkEnd w:id="1300"/>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如果我单位在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标段</w:t>
      </w:r>
      <w:r>
        <w:rPr>
          <w:rFonts w:hint="eastAsia" w:ascii="宋体" w:hAnsi="宋体" w:eastAsia="宋体" w:cs="宋体"/>
          <w:color w:val="auto"/>
          <w:sz w:val="21"/>
          <w:szCs w:val="21"/>
          <w:highlight w:val="none"/>
        </w:rPr>
        <w:t>中标，我单位郑重承诺如下：</w:t>
      </w:r>
    </w:p>
    <w:p>
      <w:pPr>
        <w:tabs>
          <w:tab w:val="left" w:pos="1158"/>
          <w:tab w:val="left" w:pos="1544"/>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1）、该工程如中标，我公司不得非法转包、分包。如违反，招标人有权终止合同，愿被永远驱逐出 建设市场。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2）、服从招标人的正常管理，如果违犯招标人的规章制度，造成施工现场混乱、工期延后、质量及安全问题者，招标人有权对我公司进行经济处罚、通报批评和媒体曝光，直至终止合同。</w:t>
      </w:r>
    </w:p>
    <w:p>
      <w:pPr>
        <w:tabs>
          <w:tab w:val="left" w:pos="1158"/>
          <w:tab w:val="left" w:pos="1544"/>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3）、中标后，本次投标文件中所有承诺书和正式合同一样，具有同等法律效力，一直对我们具有约束力。</w:t>
      </w:r>
    </w:p>
    <w:p>
      <w:pPr>
        <w:spacing w:line="36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(电子签章)</w:t>
      </w:r>
    </w:p>
    <w:p>
      <w:pPr>
        <w:spacing w:line="360" w:lineRule="auto"/>
        <w:ind w:firstLine="3675" w:firstLineChars="1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（签字或电子章）</w:t>
      </w:r>
    </w:p>
    <w:p>
      <w:pPr>
        <w:spacing w:line="360" w:lineRule="auto"/>
        <w:ind w:left="2730" w:leftChars="1150" w:hanging="315" w:hangingChars="150"/>
        <w:rPr>
          <w:rFonts w:hint="eastAsia" w:ascii="宋体" w:hAnsi="宋体" w:eastAsia="宋体" w:cs="宋体"/>
          <w:color w:val="auto"/>
          <w:sz w:val="21"/>
          <w:szCs w:val="21"/>
          <w:highlight w:val="none"/>
        </w:rPr>
      </w:pPr>
    </w:p>
    <w:p>
      <w:pPr>
        <w:spacing w:line="360" w:lineRule="auto"/>
        <w:ind w:left="2730" w:leftChars="1150"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left="2730" w:leftChars="1150" w:hanging="315" w:hangingChars="150"/>
        <w:rPr>
          <w:rFonts w:hint="eastAsia" w:ascii="宋体" w:hAnsi="宋体" w:eastAsia="宋体" w:cs="宋体"/>
          <w:color w:val="auto"/>
          <w:sz w:val="21"/>
          <w:szCs w:val="21"/>
          <w:highlight w:val="none"/>
        </w:rPr>
      </w:pPr>
    </w:p>
    <w:p>
      <w:pPr>
        <w:spacing w:line="360" w:lineRule="auto"/>
        <w:ind w:left="2730" w:leftChars="1150" w:hanging="315" w:hangingChars="150"/>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1301" w:name="_Toc19498"/>
      <w:bookmarkStart w:id="1302" w:name="_Toc21725"/>
      <w:r>
        <w:rPr>
          <w:rFonts w:hint="eastAsia" w:ascii="宋体" w:hAnsi="宋体" w:eastAsia="宋体" w:cs="宋体"/>
          <w:color w:val="auto"/>
          <w:sz w:val="21"/>
          <w:szCs w:val="21"/>
          <w:highlight w:val="none"/>
        </w:rPr>
        <w:br w:type="page"/>
      </w:r>
    </w:p>
    <w:p>
      <w:pPr>
        <w:pStyle w:val="4"/>
        <w:spacing w:line="360" w:lineRule="auto"/>
        <w:jc w:val="center"/>
        <w:rPr>
          <w:rFonts w:hint="eastAsia" w:ascii="宋体" w:hAnsi="宋体" w:eastAsia="宋体" w:cs="宋体"/>
          <w:color w:val="auto"/>
          <w:sz w:val="21"/>
          <w:szCs w:val="21"/>
          <w:highlight w:val="none"/>
        </w:rPr>
      </w:pPr>
      <w:bookmarkStart w:id="1303" w:name="_Toc20161"/>
      <w:r>
        <w:rPr>
          <w:rFonts w:hint="eastAsia" w:ascii="宋体" w:hAnsi="宋体" w:eastAsia="宋体" w:cs="宋体"/>
          <w:color w:val="auto"/>
          <w:sz w:val="21"/>
          <w:szCs w:val="21"/>
          <w:highlight w:val="none"/>
        </w:rPr>
        <w:t>九、</w:t>
      </w:r>
      <w:bookmarkStart w:id="1304" w:name="_Toc152042596"/>
      <w:bookmarkStart w:id="1305" w:name="_Toc144974875"/>
      <w:bookmarkStart w:id="1306" w:name="_Toc247514299"/>
      <w:bookmarkStart w:id="1307" w:name="_Toc247527847"/>
      <w:bookmarkStart w:id="1308" w:name="_Toc152045807"/>
      <w:r>
        <w:rPr>
          <w:rFonts w:hint="eastAsia" w:ascii="宋体" w:hAnsi="宋体" w:eastAsia="宋体" w:cs="宋体"/>
          <w:color w:val="auto"/>
          <w:sz w:val="21"/>
          <w:szCs w:val="21"/>
          <w:highlight w:val="none"/>
        </w:rPr>
        <w:t>资格审查资料</w:t>
      </w:r>
      <w:bookmarkEnd w:id="1288"/>
      <w:bookmarkEnd w:id="1289"/>
      <w:bookmarkEnd w:id="1290"/>
      <w:bookmarkEnd w:id="1301"/>
      <w:bookmarkEnd w:id="1302"/>
      <w:bookmarkEnd w:id="1303"/>
      <w:bookmarkEnd w:id="1304"/>
      <w:bookmarkEnd w:id="1305"/>
      <w:bookmarkEnd w:id="1306"/>
      <w:bookmarkEnd w:id="1307"/>
      <w:bookmarkEnd w:id="1308"/>
    </w:p>
    <w:p>
      <w:pPr>
        <w:pStyle w:val="5"/>
        <w:spacing w:line="360" w:lineRule="auto"/>
        <w:rPr>
          <w:rFonts w:hint="eastAsia" w:ascii="宋体" w:hAnsi="宋体" w:eastAsia="宋体" w:cs="宋体"/>
          <w:color w:val="auto"/>
          <w:sz w:val="21"/>
          <w:szCs w:val="21"/>
          <w:highlight w:val="none"/>
        </w:rPr>
      </w:pPr>
      <w:bookmarkStart w:id="1309" w:name="_Toc62587053"/>
      <w:bookmarkStart w:id="1310" w:name="_Toc17468"/>
      <w:bookmarkStart w:id="1311" w:name="_Toc247527848"/>
      <w:bookmarkStart w:id="1312" w:name="_Toc152042597"/>
      <w:bookmarkStart w:id="1313" w:name="_Toc66975587"/>
      <w:bookmarkStart w:id="1314" w:name="_Toc152045808"/>
      <w:bookmarkStart w:id="1315" w:name="_Toc428170718"/>
      <w:bookmarkStart w:id="1316" w:name="_Toc10663"/>
      <w:bookmarkStart w:id="1317" w:name="_Toc428170443"/>
      <w:bookmarkStart w:id="1318" w:name="_Toc432430438"/>
      <w:bookmarkStart w:id="1319" w:name="_Toc54803525"/>
      <w:bookmarkStart w:id="1320" w:name="_Toc144974876"/>
      <w:bookmarkStart w:id="1321" w:name="_Toc434565460"/>
      <w:bookmarkStart w:id="1322" w:name="_Toc427913911"/>
      <w:bookmarkStart w:id="1323" w:name="_Toc428170991"/>
      <w:bookmarkStart w:id="1324" w:name="_Toc428177370"/>
      <w:bookmarkStart w:id="1325" w:name="_Toc432430106"/>
      <w:bookmarkStart w:id="1326" w:name="_Toc247514300"/>
      <w:bookmarkStart w:id="1327" w:name="_Toc434565124"/>
      <w:bookmarkStart w:id="1328" w:name="_Toc21761"/>
      <w:bookmarkStart w:id="1329" w:name="_Toc119856549"/>
      <w:bookmarkStart w:id="1330" w:name="_Toc26564"/>
      <w:r>
        <w:rPr>
          <w:rFonts w:hint="eastAsia" w:ascii="宋体" w:hAnsi="宋体" w:eastAsia="宋体" w:cs="宋体"/>
          <w:color w:val="auto"/>
          <w:sz w:val="21"/>
          <w:szCs w:val="21"/>
          <w:highlight w:val="none"/>
        </w:rPr>
        <w:t>（一）投标人基本情况表</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hint="eastAsia" w:ascii="宋体" w:hAnsi="宋体" w:eastAsia="宋体" w:cs="宋体"/>
                <w:color w:val="auto"/>
                <w:sz w:val="21"/>
                <w:szCs w:val="21"/>
                <w:highlight w:val="none"/>
              </w:rPr>
            </w:pPr>
          </w:p>
        </w:tc>
      </w:tr>
    </w:tbl>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备注：本表后附有效的企业法人营业执照、企业资质证书副本、安全生产许可证等材料的扫描件。</w:t>
      </w:r>
    </w:p>
    <w:p>
      <w:pPr>
        <w:pStyle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（组成联合体的，应提供联合体各方的申请人基本情况表及相关证明文件）</w:t>
      </w:r>
    </w:p>
    <w:p>
      <w:pPr>
        <w:pStyle w:val="5"/>
        <w:spacing w:line="360" w:lineRule="auto"/>
        <w:rPr>
          <w:rFonts w:hint="eastAsia" w:ascii="宋体" w:hAnsi="宋体" w:eastAsia="宋体" w:cs="宋体"/>
          <w:color w:val="auto"/>
          <w:sz w:val="21"/>
          <w:szCs w:val="21"/>
          <w:highlight w:val="none"/>
        </w:rPr>
      </w:pPr>
      <w:bookmarkStart w:id="1331" w:name="_Toc27272"/>
      <w:bookmarkStart w:id="1332" w:name="_Toc18623"/>
      <w:bookmarkStart w:id="1333" w:name="_Toc54803526"/>
      <w:bookmarkStart w:id="1334" w:name="_Toc62587054"/>
      <w:bookmarkStart w:id="1335" w:name="_Toc66975588"/>
      <w:bookmarkStart w:id="1336" w:name="_Toc119856550"/>
      <w:bookmarkStart w:id="1337" w:name="_Toc8860"/>
      <w:bookmarkStart w:id="1338" w:name="_Toc152045809"/>
      <w:bookmarkStart w:id="1339" w:name="_Toc428170444"/>
      <w:bookmarkStart w:id="1340" w:name="_Toc247527849"/>
      <w:bookmarkStart w:id="1341" w:name="_Toc432430439"/>
      <w:bookmarkStart w:id="1342" w:name="_Toc428170719"/>
      <w:bookmarkStart w:id="1343" w:name="_Toc144974877"/>
      <w:bookmarkStart w:id="1344" w:name="_Toc432430107"/>
      <w:bookmarkStart w:id="1345" w:name="_Toc428177371"/>
      <w:bookmarkStart w:id="1346" w:name="_Toc434565461"/>
      <w:bookmarkStart w:id="1347" w:name="_Toc427913912"/>
      <w:bookmarkStart w:id="1348" w:name="_Toc152042598"/>
      <w:bookmarkStart w:id="1349" w:name="_Toc247514301"/>
      <w:bookmarkStart w:id="1350" w:name="_Toc434565125"/>
      <w:bookmarkStart w:id="1351" w:name="_Toc428170992"/>
      <w:r>
        <w:rPr>
          <w:rFonts w:hint="eastAsia" w:ascii="宋体" w:hAnsi="宋体" w:eastAsia="宋体" w:cs="宋体"/>
          <w:color w:val="auto"/>
          <w:sz w:val="21"/>
          <w:szCs w:val="21"/>
          <w:highlight w:val="none"/>
        </w:rPr>
        <w:t>（二）近年财务状况</w:t>
      </w:r>
      <w:bookmarkEnd w:id="1331"/>
      <w:bookmarkEnd w:id="1332"/>
      <w:bookmarkEnd w:id="1333"/>
      <w:bookmarkEnd w:id="1334"/>
      <w:bookmarkEnd w:id="1335"/>
      <w:bookmarkEnd w:id="1336"/>
      <w:bookmarkEnd w:id="1337"/>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近年财务状况指经过会计师事务所或者审计机构的审计的财务审计报告。</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bookmarkStart w:id="1352" w:name="_Toc66975589"/>
      <w:bookmarkStart w:id="1353" w:name="_Toc27959"/>
      <w:bookmarkStart w:id="1354" w:name="_Toc62587055"/>
      <w:bookmarkStart w:id="1355" w:name="_Toc54803527"/>
      <w:bookmarkStart w:id="1356" w:name="_Toc14987"/>
      <w:bookmarkStart w:id="1357" w:name="_Toc119856551"/>
      <w:r>
        <w:rPr>
          <w:rFonts w:hint="eastAsia" w:ascii="宋体" w:hAnsi="宋体" w:eastAsia="宋体" w:cs="宋体"/>
          <w:color w:val="auto"/>
          <w:sz w:val="21"/>
          <w:szCs w:val="21"/>
          <w:highlight w:val="none"/>
        </w:rPr>
        <w:br w:type="page"/>
      </w:r>
    </w:p>
    <w:p>
      <w:pPr>
        <w:pStyle w:val="5"/>
        <w:spacing w:line="360" w:lineRule="auto"/>
        <w:rPr>
          <w:rFonts w:hint="eastAsia" w:ascii="宋体" w:hAnsi="宋体" w:eastAsia="宋体" w:cs="宋体"/>
          <w:color w:val="auto"/>
          <w:sz w:val="21"/>
          <w:szCs w:val="21"/>
          <w:highlight w:val="none"/>
        </w:rPr>
      </w:pPr>
      <w:bookmarkStart w:id="1358" w:name="_Toc12001"/>
      <w:r>
        <w:rPr>
          <w:rFonts w:hint="eastAsia" w:ascii="宋体" w:hAnsi="宋体" w:eastAsia="宋体" w:cs="宋体"/>
          <w:color w:val="auto"/>
          <w:sz w:val="21"/>
          <w:szCs w:val="21"/>
          <w:highlight w:val="none"/>
        </w:rPr>
        <w:t>（三）近年完成的类似项目情况表</w:t>
      </w:r>
      <w:bookmarkEnd w:id="1352"/>
      <w:bookmarkEnd w:id="1353"/>
      <w:bookmarkEnd w:id="1354"/>
      <w:bookmarkEnd w:id="1355"/>
      <w:bookmarkEnd w:id="1356"/>
      <w:bookmarkEnd w:id="1357"/>
      <w:bookmarkEnd w:id="1358"/>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承包范围</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项目经理及电话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bookmarkStart w:id="1359" w:name="_Toc62587056"/>
      <w:bookmarkStart w:id="1360" w:name="_Toc54803528"/>
      <w:bookmarkStart w:id="1361" w:name="_Toc11299"/>
      <w:bookmarkStart w:id="1362" w:name="_Toc66975590"/>
      <w:bookmarkStart w:id="1363" w:name="_Toc30329"/>
      <w:bookmarkStart w:id="1364" w:name="_Toc119856552"/>
      <w:r>
        <w:rPr>
          <w:rFonts w:hint="eastAsia" w:ascii="宋体" w:hAnsi="宋体" w:eastAsia="宋体" w:cs="宋体"/>
          <w:color w:val="auto"/>
          <w:sz w:val="21"/>
          <w:szCs w:val="21"/>
          <w:highlight w:val="none"/>
        </w:rPr>
        <w:br w:type="page"/>
      </w:r>
    </w:p>
    <w:p>
      <w:pPr>
        <w:pStyle w:val="5"/>
        <w:spacing w:line="360" w:lineRule="auto"/>
        <w:rPr>
          <w:rFonts w:hint="eastAsia" w:ascii="宋体" w:hAnsi="宋体" w:eastAsia="宋体" w:cs="宋体"/>
          <w:color w:val="auto"/>
          <w:sz w:val="21"/>
          <w:szCs w:val="21"/>
          <w:highlight w:val="none"/>
        </w:rPr>
      </w:pPr>
      <w:bookmarkStart w:id="1365" w:name="_Toc10329"/>
      <w:r>
        <w:rPr>
          <w:rFonts w:hint="eastAsia" w:ascii="宋体" w:hAnsi="宋体" w:eastAsia="宋体" w:cs="宋体"/>
          <w:color w:val="auto"/>
          <w:sz w:val="21"/>
          <w:szCs w:val="21"/>
          <w:highlight w:val="none"/>
        </w:rPr>
        <w:t>（四）正在施工的和新承接的项目情况表</w:t>
      </w:r>
      <w:bookmarkEnd w:id="1359"/>
      <w:bookmarkEnd w:id="1360"/>
      <w:bookmarkEnd w:id="1361"/>
      <w:bookmarkEnd w:id="1362"/>
      <w:bookmarkEnd w:id="1363"/>
      <w:bookmarkEnd w:id="1364"/>
      <w:bookmarkEnd w:id="1365"/>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承包范围</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项目经理及电话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项目情况描述</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26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c>
          <w:tcPr>
            <w:tcW w:w="6452" w:type="dxa"/>
            <w:vAlign w:val="center"/>
          </w:tcPr>
          <w:p>
            <w:pPr>
              <w:spacing w:line="360" w:lineRule="auto"/>
              <w:jc w:val="center"/>
              <w:rPr>
                <w:rFonts w:hint="eastAsia" w:ascii="宋体" w:hAnsi="宋体" w:eastAsia="宋体" w:cs="宋体"/>
                <w:color w:val="auto"/>
                <w:sz w:val="21"/>
                <w:szCs w:val="21"/>
                <w:highlight w:val="none"/>
              </w:rPr>
            </w:pPr>
          </w:p>
        </w:tc>
      </w:t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tbl>
    <w:p>
      <w:pPr>
        <w:pStyle w:val="4"/>
        <w:jc w:val="center"/>
        <w:rPr>
          <w:rFonts w:hint="eastAsia" w:ascii="宋体" w:hAnsi="宋体" w:eastAsia="宋体" w:cs="宋体"/>
          <w:color w:val="auto"/>
          <w:sz w:val="21"/>
          <w:szCs w:val="21"/>
          <w:highlight w:val="none"/>
        </w:rPr>
      </w:pPr>
      <w:bookmarkStart w:id="1366" w:name="_Toc4372"/>
      <w:bookmarkStart w:id="1367" w:name="_Toc434565129"/>
      <w:bookmarkStart w:id="1368" w:name="_Toc271821942"/>
      <w:bookmarkStart w:id="1369" w:name="_Toc434565465"/>
      <w:bookmarkStart w:id="1370" w:name="_Toc4106"/>
      <w:bookmarkStart w:id="1371" w:name="_Toc432430446"/>
      <w:bookmarkStart w:id="1372" w:name="_Toc8969"/>
      <w:r>
        <w:rPr>
          <w:rFonts w:hint="eastAsia" w:ascii="宋体" w:hAnsi="宋体" w:eastAsia="宋体" w:cs="宋体"/>
          <w:color w:val="auto"/>
          <w:sz w:val="21"/>
          <w:szCs w:val="21"/>
          <w:highlight w:val="none"/>
        </w:rPr>
        <w:t>十、其他资料</w:t>
      </w:r>
      <w:bookmarkEnd w:id="1366"/>
      <w:bookmarkEnd w:id="1367"/>
      <w:bookmarkEnd w:id="1368"/>
      <w:bookmarkEnd w:id="1369"/>
      <w:bookmarkEnd w:id="1370"/>
      <w:bookmarkEnd w:id="1371"/>
      <w:bookmarkEnd w:id="1372"/>
      <w:bookmarkStart w:id="1373" w:name="_Toc88725661"/>
      <w:bookmarkStart w:id="1374" w:name="_Toc31577"/>
    </w:p>
    <w:p>
      <w:pPr>
        <w:pStyle w:val="5"/>
        <w:spacing w:line="360" w:lineRule="auto"/>
        <w:ind w:firstLine="118"/>
        <w:jc w:val="center"/>
        <w:rPr>
          <w:rFonts w:hint="eastAsia" w:ascii="宋体" w:hAnsi="宋体" w:eastAsia="宋体" w:cs="宋体"/>
          <w:b/>
          <w:color w:val="auto"/>
          <w:sz w:val="21"/>
          <w:szCs w:val="21"/>
          <w:highlight w:val="none"/>
        </w:rPr>
      </w:pPr>
      <w:bookmarkStart w:id="1375" w:name="_Toc119856555"/>
      <w:bookmarkStart w:id="1376" w:name="_Toc30688"/>
      <w:r>
        <w:rPr>
          <w:rFonts w:hint="eastAsia" w:ascii="宋体" w:hAnsi="宋体" w:eastAsia="宋体" w:cs="宋体"/>
          <w:b/>
          <w:color w:val="auto"/>
          <w:sz w:val="21"/>
          <w:szCs w:val="21"/>
          <w:highlight w:val="none"/>
        </w:rPr>
        <w:t>（包含但不限于以下内容，以及其他说明文件和投标资料等内容，投标人根据自身情况进行编制）</w:t>
      </w:r>
      <w:bookmarkEnd w:id="1373"/>
      <w:bookmarkEnd w:id="1374"/>
      <w:bookmarkEnd w:id="1375"/>
      <w:bookmarkEnd w:id="1376"/>
    </w:p>
    <w:p>
      <w:pPr>
        <w:pStyle w:val="5"/>
        <w:spacing w:line="360" w:lineRule="auto"/>
        <w:ind w:firstLine="118"/>
        <w:jc w:val="center"/>
        <w:rPr>
          <w:rFonts w:hint="eastAsia" w:ascii="宋体" w:hAnsi="宋体" w:eastAsia="宋体" w:cs="宋体"/>
          <w:b/>
          <w:color w:val="auto"/>
          <w:sz w:val="21"/>
          <w:szCs w:val="21"/>
          <w:highlight w:val="none"/>
        </w:rPr>
      </w:pPr>
      <w:bookmarkStart w:id="1377" w:name="_Toc119856556"/>
      <w:bookmarkStart w:id="1378" w:name="_Toc66975593"/>
      <w:bookmarkStart w:id="1379" w:name="_Toc27342"/>
      <w:bookmarkStart w:id="1380" w:name="_Toc62587059"/>
      <w:bookmarkStart w:id="1381" w:name="_Toc54803531"/>
      <w:bookmarkStart w:id="1382" w:name="_Toc5843"/>
      <w:bookmarkStart w:id="1383" w:name="_Toc31769"/>
      <w:r>
        <w:rPr>
          <w:rFonts w:hint="eastAsia" w:ascii="宋体" w:hAnsi="宋体" w:eastAsia="宋体" w:cs="宋体"/>
          <w:b/>
          <w:color w:val="auto"/>
          <w:sz w:val="21"/>
          <w:szCs w:val="21"/>
          <w:highlight w:val="none"/>
        </w:rPr>
        <w:t>（一）拟投入主要机械设备情况表</w:t>
      </w:r>
      <w:bookmarkEnd w:id="1377"/>
      <w:bookmarkEnd w:id="1378"/>
      <w:bookmarkEnd w:id="1379"/>
      <w:bookmarkEnd w:id="1380"/>
      <w:bookmarkEnd w:id="1381"/>
      <w:bookmarkEnd w:id="1382"/>
      <w:bookmarkEnd w:id="1383"/>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342"/>
        <w:gridCol w:w="1342"/>
        <w:gridCol w:w="1342"/>
        <w:gridCol w:w="1342"/>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134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134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134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目前状况</w:t>
            </w:r>
          </w:p>
        </w:tc>
        <w:tc>
          <w:tcPr>
            <w:tcW w:w="134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  源</w:t>
            </w:r>
          </w:p>
        </w:tc>
        <w:tc>
          <w:tcPr>
            <w:tcW w:w="1343"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134"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2" w:type="dxa"/>
            <w:vAlign w:val="center"/>
          </w:tcPr>
          <w:p>
            <w:pPr>
              <w:spacing w:line="360" w:lineRule="auto"/>
              <w:jc w:val="center"/>
              <w:rPr>
                <w:rFonts w:hint="eastAsia" w:ascii="宋体" w:hAnsi="宋体" w:eastAsia="宋体" w:cs="宋体"/>
                <w:color w:val="auto"/>
                <w:sz w:val="21"/>
                <w:szCs w:val="21"/>
                <w:highlight w:val="none"/>
              </w:rPr>
            </w:pPr>
          </w:p>
        </w:tc>
        <w:tc>
          <w:tcPr>
            <w:tcW w:w="1343" w:type="dxa"/>
            <w:vAlign w:val="center"/>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备注：“目前状况”应说明已使用所限、是否完好以及目前是否正在使用，“来源”分为“自有”和“租赁”两种情况，正在使用中的设备应在“备注”中注明何时能够投入本项目。</w:t>
      </w:r>
    </w:p>
    <w:p>
      <w:pPr>
        <w:pStyle w:val="5"/>
        <w:spacing w:line="360" w:lineRule="auto"/>
        <w:ind w:firstLine="118"/>
        <w:jc w:val="center"/>
        <w:rPr>
          <w:rFonts w:hint="eastAsia" w:ascii="宋体" w:hAnsi="宋体" w:eastAsia="宋体" w:cs="宋体"/>
          <w:color w:val="auto"/>
          <w:sz w:val="21"/>
          <w:szCs w:val="21"/>
          <w:highlight w:val="none"/>
        </w:rPr>
      </w:pPr>
      <w:bookmarkStart w:id="1384" w:name="_Toc66975594"/>
      <w:bookmarkStart w:id="1385" w:name="_Toc24026"/>
      <w:bookmarkStart w:id="1386" w:name="_Toc428170724"/>
      <w:bookmarkStart w:id="1387" w:name="_Toc152042587"/>
      <w:bookmarkStart w:id="1388" w:name="_Toc179632818"/>
      <w:bookmarkStart w:id="1389" w:name="_Toc434565466"/>
      <w:bookmarkStart w:id="1390" w:name="_Toc54803532"/>
      <w:bookmarkStart w:id="1391" w:name="_Toc428170449"/>
      <w:bookmarkStart w:id="1392" w:name="_Toc152045798"/>
      <w:bookmarkStart w:id="1393" w:name="_Toc428177376"/>
      <w:bookmarkStart w:id="1394" w:name="_Toc434565130"/>
      <w:bookmarkStart w:id="1395" w:name="_Toc62587060"/>
      <w:bookmarkStart w:id="1396" w:name="_Toc428170997"/>
      <w:bookmarkStart w:id="1397" w:name="_Toc27780"/>
      <w:bookmarkStart w:id="1398" w:name="_Toc26489"/>
      <w:bookmarkStart w:id="1399" w:name="_Toc119856557"/>
      <w:bookmarkStart w:id="1400" w:name="_Toc144974866"/>
      <w:bookmarkStart w:id="1401" w:name="_Toc427913917"/>
      <w:bookmarkStart w:id="1402" w:name="_Toc13025"/>
      <w:r>
        <w:rPr>
          <w:rFonts w:hint="eastAsia" w:ascii="宋体" w:hAnsi="宋体" w:eastAsia="宋体" w:cs="宋体"/>
          <w:b/>
          <w:color w:val="auto"/>
          <w:sz w:val="21"/>
          <w:szCs w:val="21"/>
          <w:highlight w:val="none"/>
        </w:rPr>
        <w:t>（二）拟配备本项目的试验和检测仪器设备表</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87"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76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99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3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21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已使用台时数</w:t>
            </w:r>
          </w:p>
        </w:tc>
        <w:tc>
          <w:tcPr>
            <w:tcW w:w="1653"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6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vAlign w:val="center"/>
          </w:tcPr>
          <w:p>
            <w:pPr>
              <w:spacing w:line="360" w:lineRule="auto"/>
              <w:jc w:val="center"/>
              <w:rPr>
                <w:rFonts w:hint="eastAsia" w:ascii="宋体" w:hAnsi="宋体" w:eastAsia="宋体" w:cs="宋体"/>
                <w:color w:val="auto"/>
                <w:sz w:val="21"/>
                <w:szCs w:val="21"/>
                <w:highlight w:val="none"/>
              </w:rPr>
            </w:pPr>
          </w:p>
        </w:tc>
        <w:tc>
          <w:tcPr>
            <w:tcW w:w="1087" w:type="dxa"/>
            <w:vAlign w:val="center"/>
          </w:tcPr>
          <w:p>
            <w:pPr>
              <w:spacing w:line="360" w:lineRule="auto"/>
              <w:jc w:val="center"/>
              <w:rPr>
                <w:rFonts w:hint="eastAsia" w:ascii="宋体" w:hAnsi="宋体" w:eastAsia="宋体" w:cs="宋体"/>
                <w:color w:val="auto"/>
                <w:sz w:val="21"/>
                <w:szCs w:val="21"/>
                <w:highlight w:val="none"/>
              </w:rPr>
            </w:pPr>
          </w:p>
        </w:tc>
        <w:tc>
          <w:tcPr>
            <w:tcW w:w="760" w:type="dxa"/>
            <w:vAlign w:val="center"/>
          </w:tcPr>
          <w:p>
            <w:pPr>
              <w:spacing w:line="360" w:lineRule="auto"/>
              <w:jc w:val="center"/>
              <w:rPr>
                <w:rFonts w:hint="eastAsia" w:ascii="宋体" w:hAnsi="宋体" w:eastAsia="宋体" w:cs="宋体"/>
                <w:color w:val="auto"/>
                <w:sz w:val="21"/>
                <w:szCs w:val="21"/>
                <w:highlight w:val="none"/>
              </w:rPr>
            </w:pPr>
          </w:p>
        </w:tc>
        <w:tc>
          <w:tcPr>
            <w:tcW w:w="991" w:type="dxa"/>
            <w:vAlign w:val="center"/>
          </w:tcPr>
          <w:p>
            <w:pPr>
              <w:spacing w:line="360" w:lineRule="auto"/>
              <w:jc w:val="center"/>
              <w:rPr>
                <w:rFonts w:hint="eastAsia" w:ascii="宋体" w:hAnsi="宋体" w:eastAsia="宋体" w:cs="宋体"/>
                <w:color w:val="auto"/>
                <w:sz w:val="21"/>
                <w:szCs w:val="21"/>
                <w:highlight w:val="none"/>
              </w:rPr>
            </w:pPr>
          </w:p>
        </w:tc>
        <w:tc>
          <w:tcPr>
            <w:tcW w:w="672" w:type="dxa"/>
            <w:vAlign w:val="center"/>
          </w:tcPr>
          <w:p>
            <w:pPr>
              <w:spacing w:line="360" w:lineRule="auto"/>
              <w:jc w:val="center"/>
              <w:rPr>
                <w:rFonts w:hint="eastAsia" w:ascii="宋体" w:hAnsi="宋体" w:eastAsia="宋体" w:cs="宋体"/>
                <w:color w:val="auto"/>
                <w:sz w:val="21"/>
                <w:szCs w:val="21"/>
                <w:highlight w:val="none"/>
              </w:rPr>
            </w:pPr>
          </w:p>
        </w:tc>
        <w:tc>
          <w:tcPr>
            <w:tcW w:w="738" w:type="dxa"/>
            <w:vAlign w:val="center"/>
          </w:tcPr>
          <w:p>
            <w:pPr>
              <w:spacing w:line="360" w:lineRule="auto"/>
              <w:jc w:val="center"/>
              <w:rPr>
                <w:rFonts w:hint="eastAsia" w:ascii="宋体" w:hAnsi="宋体" w:eastAsia="宋体" w:cs="宋体"/>
                <w:color w:val="auto"/>
                <w:sz w:val="21"/>
                <w:szCs w:val="21"/>
                <w:highlight w:val="none"/>
              </w:rPr>
            </w:pPr>
          </w:p>
        </w:tc>
        <w:tc>
          <w:tcPr>
            <w:tcW w:w="1212" w:type="dxa"/>
            <w:vAlign w:val="center"/>
          </w:tcPr>
          <w:p>
            <w:pPr>
              <w:spacing w:line="360" w:lineRule="auto"/>
              <w:jc w:val="center"/>
              <w:rPr>
                <w:rFonts w:hint="eastAsia" w:ascii="宋体" w:hAnsi="宋体" w:eastAsia="宋体" w:cs="宋体"/>
                <w:color w:val="auto"/>
                <w:sz w:val="21"/>
                <w:szCs w:val="21"/>
                <w:highlight w:val="none"/>
              </w:rPr>
            </w:pPr>
          </w:p>
        </w:tc>
        <w:tc>
          <w:tcPr>
            <w:tcW w:w="1653" w:type="dxa"/>
            <w:vAlign w:val="center"/>
          </w:tcPr>
          <w:p>
            <w:pPr>
              <w:spacing w:line="360" w:lineRule="auto"/>
              <w:jc w:val="center"/>
              <w:rPr>
                <w:rFonts w:hint="eastAsia" w:ascii="宋体" w:hAnsi="宋体" w:eastAsia="宋体" w:cs="宋体"/>
                <w:color w:val="auto"/>
                <w:sz w:val="21"/>
                <w:szCs w:val="21"/>
                <w:highlight w:val="none"/>
              </w:rPr>
            </w:pPr>
          </w:p>
        </w:tc>
        <w:tc>
          <w:tcPr>
            <w:tcW w:w="688"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vAlign w:val="center"/>
          </w:tcPr>
          <w:p>
            <w:pPr>
              <w:spacing w:line="360" w:lineRule="auto"/>
              <w:jc w:val="center"/>
              <w:rPr>
                <w:rFonts w:hint="eastAsia" w:ascii="宋体" w:hAnsi="宋体" w:eastAsia="宋体" w:cs="宋体"/>
                <w:color w:val="auto"/>
                <w:sz w:val="21"/>
                <w:szCs w:val="21"/>
                <w:highlight w:val="none"/>
              </w:rPr>
            </w:pPr>
          </w:p>
        </w:tc>
        <w:tc>
          <w:tcPr>
            <w:tcW w:w="1087" w:type="dxa"/>
            <w:vAlign w:val="center"/>
          </w:tcPr>
          <w:p>
            <w:pPr>
              <w:spacing w:line="360" w:lineRule="auto"/>
              <w:jc w:val="center"/>
              <w:rPr>
                <w:rFonts w:hint="eastAsia" w:ascii="宋体" w:hAnsi="宋体" w:eastAsia="宋体" w:cs="宋体"/>
                <w:color w:val="auto"/>
                <w:sz w:val="21"/>
                <w:szCs w:val="21"/>
                <w:highlight w:val="none"/>
              </w:rPr>
            </w:pPr>
          </w:p>
        </w:tc>
        <w:tc>
          <w:tcPr>
            <w:tcW w:w="760" w:type="dxa"/>
            <w:vAlign w:val="center"/>
          </w:tcPr>
          <w:p>
            <w:pPr>
              <w:spacing w:line="360" w:lineRule="auto"/>
              <w:jc w:val="center"/>
              <w:rPr>
                <w:rFonts w:hint="eastAsia" w:ascii="宋体" w:hAnsi="宋体" w:eastAsia="宋体" w:cs="宋体"/>
                <w:color w:val="auto"/>
                <w:sz w:val="21"/>
                <w:szCs w:val="21"/>
                <w:highlight w:val="none"/>
              </w:rPr>
            </w:pPr>
          </w:p>
        </w:tc>
        <w:tc>
          <w:tcPr>
            <w:tcW w:w="991" w:type="dxa"/>
            <w:vAlign w:val="center"/>
          </w:tcPr>
          <w:p>
            <w:pPr>
              <w:spacing w:line="360" w:lineRule="auto"/>
              <w:jc w:val="center"/>
              <w:rPr>
                <w:rFonts w:hint="eastAsia" w:ascii="宋体" w:hAnsi="宋体" w:eastAsia="宋体" w:cs="宋体"/>
                <w:color w:val="auto"/>
                <w:sz w:val="21"/>
                <w:szCs w:val="21"/>
                <w:highlight w:val="none"/>
              </w:rPr>
            </w:pPr>
          </w:p>
        </w:tc>
        <w:tc>
          <w:tcPr>
            <w:tcW w:w="672" w:type="dxa"/>
            <w:vAlign w:val="center"/>
          </w:tcPr>
          <w:p>
            <w:pPr>
              <w:spacing w:line="360" w:lineRule="auto"/>
              <w:jc w:val="center"/>
              <w:rPr>
                <w:rFonts w:hint="eastAsia" w:ascii="宋体" w:hAnsi="宋体" w:eastAsia="宋体" w:cs="宋体"/>
                <w:color w:val="auto"/>
                <w:sz w:val="21"/>
                <w:szCs w:val="21"/>
                <w:highlight w:val="none"/>
              </w:rPr>
            </w:pPr>
          </w:p>
        </w:tc>
        <w:tc>
          <w:tcPr>
            <w:tcW w:w="738" w:type="dxa"/>
            <w:vAlign w:val="center"/>
          </w:tcPr>
          <w:p>
            <w:pPr>
              <w:spacing w:line="360" w:lineRule="auto"/>
              <w:jc w:val="center"/>
              <w:rPr>
                <w:rFonts w:hint="eastAsia" w:ascii="宋体" w:hAnsi="宋体" w:eastAsia="宋体" w:cs="宋体"/>
                <w:color w:val="auto"/>
                <w:sz w:val="21"/>
                <w:szCs w:val="21"/>
                <w:highlight w:val="none"/>
              </w:rPr>
            </w:pPr>
          </w:p>
        </w:tc>
        <w:tc>
          <w:tcPr>
            <w:tcW w:w="1212" w:type="dxa"/>
            <w:vAlign w:val="center"/>
          </w:tcPr>
          <w:p>
            <w:pPr>
              <w:spacing w:line="360" w:lineRule="auto"/>
              <w:jc w:val="center"/>
              <w:rPr>
                <w:rFonts w:hint="eastAsia" w:ascii="宋体" w:hAnsi="宋体" w:eastAsia="宋体" w:cs="宋体"/>
                <w:color w:val="auto"/>
                <w:sz w:val="21"/>
                <w:szCs w:val="21"/>
                <w:highlight w:val="none"/>
              </w:rPr>
            </w:pPr>
          </w:p>
        </w:tc>
        <w:tc>
          <w:tcPr>
            <w:tcW w:w="1653" w:type="dxa"/>
            <w:vAlign w:val="center"/>
          </w:tcPr>
          <w:p>
            <w:pPr>
              <w:spacing w:line="360" w:lineRule="auto"/>
              <w:jc w:val="center"/>
              <w:rPr>
                <w:rFonts w:hint="eastAsia" w:ascii="宋体" w:hAnsi="宋体" w:eastAsia="宋体" w:cs="宋体"/>
                <w:color w:val="auto"/>
                <w:sz w:val="21"/>
                <w:szCs w:val="21"/>
                <w:highlight w:val="none"/>
              </w:rPr>
            </w:pPr>
          </w:p>
        </w:tc>
        <w:tc>
          <w:tcPr>
            <w:tcW w:w="688"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6" w:type="dxa"/>
          </w:tcPr>
          <w:p>
            <w:pPr>
              <w:spacing w:line="360" w:lineRule="auto"/>
              <w:jc w:val="center"/>
              <w:rPr>
                <w:rFonts w:hint="eastAsia" w:ascii="宋体" w:hAnsi="宋体" w:eastAsia="宋体" w:cs="宋体"/>
                <w:color w:val="auto"/>
                <w:sz w:val="21"/>
                <w:szCs w:val="21"/>
                <w:highlight w:val="none"/>
              </w:rPr>
            </w:pPr>
          </w:p>
        </w:tc>
        <w:tc>
          <w:tcPr>
            <w:tcW w:w="1087" w:type="dxa"/>
          </w:tcPr>
          <w:p>
            <w:pPr>
              <w:spacing w:line="360" w:lineRule="auto"/>
              <w:jc w:val="center"/>
              <w:rPr>
                <w:rFonts w:hint="eastAsia" w:ascii="宋体" w:hAnsi="宋体" w:eastAsia="宋体" w:cs="宋体"/>
                <w:color w:val="auto"/>
                <w:sz w:val="21"/>
                <w:szCs w:val="21"/>
                <w:highlight w:val="none"/>
              </w:rPr>
            </w:pPr>
          </w:p>
        </w:tc>
        <w:tc>
          <w:tcPr>
            <w:tcW w:w="760" w:type="dxa"/>
          </w:tcPr>
          <w:p>
            <w:pPr>
              <w:spacing w:line="360" w:lineRule="auto"/>
              <w:jc w:val="center"/>
              <w:rPr>
                <w:rFonts w:hint="eastAsia" w:ascii="宋体" w:hAnsi="宋体" w:eastAsia="宋体" w:cs="宋体"/>
                <w:color w:val="auto"/>
                <w:sz w:val="21"/>
                <w:szCs w:val="21"/>
                <w:highlight w:val="none"/>
              </w:rPr>
            </w:pPr>
          </w:p>
        </w:tc>
        <w:tc>
          <w:tcPr>
            <w:tcW w:w="991" w:type="dxa"/>
          </w:tcPr>
          <w:p>
            <w:pPr>
              <w:spacing w:line="360" w:lineRule="auto"/>
              <w:jc w:val="center"/>
              <w:rPr>
                <w:rFonts w:hint="eastAsia" w:ascii="宋体" w:hAnsi="宋体" w:eastAsia="宋体" w:cs="宋体"/>
                <w:color w:val="auto"/>
                <w:sz w:val="21"/>
                <w:szCs w:val="21"/>
                <w:highlight w:val="none"/>
              </w:rPr>
            </w:pPr>
          </w:p>
        </w:tc>
        <w:tc>
          <w:tcPr>
            <w:tcW w:w="672" w:type="dxa"/>
          </w:tcPr>
          <w:p>
            <w:pPr>
              <w:spacing w:line="360" w:lineRule="auto"/>
              <w:jc w:val="center"/>
              <w:rPr>
                <w:rFonts w:hint="eastAsia" w:ascii="宋体" w:hAnsi="宋体" w:eastAsia="宋体" w:cs="宋体"/>
                <w:color w:val="auto"/>
                <w:sz w:val="21"/>
                <w:szCs w:val="21"/>
                <w:highlight w:val="none"/>
              </w:rPr>
            </w:pPr>
          </w:p>
        </w:tc>
        <w:tc>
          <w:tcPr>
            <w:tcW w:w="738" w:type="dxa"/>
          </w:tcPr>
          <w:p>
            <w:pPr>
              <w:spacing w:line="360" w:lineRule="auto"/>
              <w:jc w:val="center"/>
              <w:rPr>
                <w:rFonts w:hint="eastAsia" w:ascii="宋体" w:hAnsi="宋体" w:eastAsia="宋体" w:cs="宋体"/>
                <w:color w:val="auto"/>
                <w:sz w:val="21"/>
                <w:szCs w:val="21"/>
                <w:highlight w:val="none"/>
              </w:rPr>
            </w:pPr>
          </w:p>
        </w:tc>
        <w:tc>
          <w:tcPr>
            <w:tcW w:w="1212" w:type="dxa"/>
          </w:tcPr>
          <w:p>
            <w:pPr>
              <w:spacing w:line="360" w:lineRule="auto"/>
              <w:jc w:val="center"/>
              <w:rPr>
                <w:rFonts w:hint="eastAsia" w:ascii="宋体" w:hAnsi="宋体" w:eastAsia="宋体" w:cs="宋体"/>
                <w:color w:val="auto"/>
                <w:sz w:val="21"/>
                <w:szCs w:val="21"/>
                <w:highlight w:val="none"/>
              </w:rPr>
            </w:pPr>
          </w:p>
        </w:tc>
        <w:tc>
          <w:tcPr>
            <w:tcW w:w="1653" w:type="dxa"/>
          </w:tcPr>
          <w:p>
            <w:pPr>
              <w:spacing w:line="360" w:lineRule="auto"/>
              <w:jc w:val="center"/>
              <w:rPr>
                <w:rFonts w:hint="eastAsia" w:ascii="宋体" w:hAnsi="宋体" w:eastAsia="宋体" w:cs="宋体"/>
                <w:color w:val="auto"/>
                <w:sz w:val="21"/>
                <w:szCs w:val="21"/>
                <w:highlight w:val="none"/>
              </w:rPr>
            </w:pPr>
          </w:p>
        </w:tc>
        <w:tc>
          <w:tcPr>
            <w:tcW w:w="688" w:type="dxa"/>
          </w:tcPr>
          <w:p>
            <w:pPr>
              <w:spacing w:line="360" w:lineRule="auto"/>
              <w:jc w:val="center"/>
              <w:rPr>
                <w:rFonts w:hint="eastAsia" w:ascii="宋体" w:hAnsi="宋体" w:eastAsia="宋体" w:cs="宋体"/>
                <w:color w:val="auto"/>
                <w:sz w:val="21"/>
                <w:szCs w:val="21"/>
                <w:highlight w:val="none"/>
              </w:rPr>
            </w:pPr>
          </w:p>
        </w:tc>
      </w:tr>
    </w:tbl>
    <w:p>
      <w:pPr>
        <w:pStyle w:val="5"/>
        <w:spacing w:line="360" w:lineRule="auto"/>
        <w:ind w:firstLine="118"/>
        <w:jc w:val="center"/>
        <w:rPr>
          <w:rFonts w:hint="eastAsia" w:ascii="宋体" w:hAnsi="宋体" w:eastAsia="宋体" w:cs="宋体"/>
          <w:b/>
          <w:color w:val="auto"/>
          <w:sz w:val="21"/>
          <w:szCs w:val="21"/>
          <w:highlight w:val="none"/>
        </w:rPr>
      </w:pPr>
      <w:bookmarkStart w:id="1403" w:name="_Toc495681421"/>
      <w:bookmarkStart w:id="1404" w:name="_Toc495680533"/>
      <w:bookmarkStart w:id="1405" w:name="_Toc434565131"/>
      <w:bookmarkStart w:id="1406" w:name="_Toc8482"/>
      <w:bookmarkStart w:id="1407" w:name="_Toc119856558"/>
      <w:bookmarkStart w:id="1408" w:name="_Toc434565467"/>
      <w:r>
        <w:rPr>
          <w:rFonts w:hint="eastAsia" w:ascii="宋体" w:hAnsi="宋体" w:eastAsia="宋体" w:cs="宋体"/>
          <w:b/>
          <w:color w:val="auto"/>
          <w:sz w:val="21"/>
          <w:szCs w:val="21"/>
          <w:highlight w:val="none"/>
        </w:rPr>
        <w:t>（三）项目管理机构组成表</w:t>
      </w:r>
      <w:bookmarkEnd w:id="1403"/>
      <w:bookmarkEnd w:id="1404"/>
      <w:bookmarkEnd w:id="1405"/>
      <w:bookmarkEnd w:id="1406"/>
      <w:bookmarkEnd w:id="1407"/>
      <w:bookmarkEnd w:id="1408"/>
    </w:p>
    <w:tbl>
      <w:tblPr>
        <w:tblStyle w:val="46"/>
        <w:tblW w:w="87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1"/>
        <w:gridCol w:w="901"/>
        <w:gridCol w:w="1112"/>
        <w:gridCol w:w="1134"/>
        <w:gridCol w:w="1660"/>
        <w:gridCol w:w="2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8"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01"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901"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112"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3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66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2189" w:type="dxa"/>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拟在本项目中</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8" w:type="dxa"/>
            <w:tcBorders>
              <w:top w:val="single" w:color="auto" w:sz="4" w:space="0"/>
              <w:left w:val="single" w:color="auto" w:sz="8"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901"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12"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66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2189" w:type="dxa"/>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注：需在此表后提供以上人员的资格证书、劳务合同、社保证明</w:t>
      </w:r>
      <w:r>
        <w:rPr>
          <w:rFonts w:hint="eastAsia" w:ascii="宋体" w:hAnsi="宋体" w:cs="宋体"/>
          <w:color w:val="auto"/>
          <w:sz w:val="21"/>
          <w:szCs w:val="21"/>
          <w:highlight w:val="none"/>
          <w:lang w:eastAsia="zh-CN"/>
        </w:rPr>
        <w:t>等材料的</w:t>
      </w:r>
      <w:r>
        <w:rPr>
          <w:rFonts w:hint="eastAsia" w:ascii="宋体" w:hAnsi="宋体" w:eastAsia="宋体" w:cs="宋体"/>
          <w:color w:val="auto"/>
          <w:sz w:val="21"/>
          <w:szCs w:val="21"/>
          <w:highlight w:val="none"/>
        </w:rPr>
        <w:t>复印件。</w:t>
      </w:r>
    </w:p>
    <w:p>
      <w:pPr>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项目经理简历表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应附建造师执业资格证书、注册证书、安全生产考核合格证书、身份证、职称证（如有）、学历证、养老保险复印件（未附漏附均视为未响应文件格式要求）及管理过的项目业绩（若有），须附中标通知书或合同协议书等材料的复印件，仅限于以项目负责人身份参与的项目。</w:t>
      </w:r>
    </w:p>
    <w:tbl>
      <w:tblPr>
        <w:tblStyle w:val="46"/>
        <w:tblpPr w:leftFromText="180" w:rightFromText="180" w:vertAnchor="text" w:tblpXSpec="center"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3"/>
        <w:gridCol w:w="1403"/>
        <w:gridCol w:w="1096"/>
        <w:gridCol w:w="381"/>
        <w:gridCol w:w="1185"/>
        <w:gridCol w:w="255"/>
        <w:gridCol w:w="131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5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  历</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称</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拟在本合同任职</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毕业学校</w:t>
            </w:r>
          </w:p>
        </w:tc>
        <w:tc>
          <w:tcPr>
            <w:tcW w:w="7361" w:type="dxa"/>
            <w:gridSpan w:val="8"/>
            <w:tcBorders>
              <w:top w:val="single" w:color="auto" w:sz="4" w:space="0"/>
              <w:left w:val="single" w:color="auto" w:sz="4" w:space="0"/>
              <w:bottom w:val="single" w:color="auto" w:sz="4" w:space="0"/>
              <w:right w:val="single" w:color="auto" w:sz="4" w:space="0"/>
            </w:tcBorders>
            <w:vAlign w:val="center"/>
          </w:tcPr>
          <w:p>
            <w:pPr>
              <w:tabs>
                <w:tab w:val="left" w:pos="2820"/>
                <w:tab w:val="left" w:pos="4080"/>
              </w:tabs>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年毕业于</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学校</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25" w:type="dxa"/>
            <w:gridSpan w:val="9"/>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间</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参加过的类似项目</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担任职务</w:t>
            </w: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bl>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Style w:val="2"/>
        <w:rPr>
          <w:rFonts w:hint="eastAsia"/>
          <w:color w:val="auto"/>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附件2：</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设计负责人简历表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设计负责人必须附注册建筑师证书、身份证、学历证、职称证</w:t>
      </w:r>
      <w:r>
        <w:rPr>
          <w:rFonts w:hint="eastAsia" w:ascii="宋体" w:hAnsi="宋体" w:cs="宋体"/>
          <w:color w:val="auto"/>
          <w:sz w:val="21"/>
          <w:szCs w:val="21"/>
          <w:highlight w:val="none"/>
          <w:lang w:eastAsia="zh-CN"/>
        </w:rPr>
        <w:t>（如有）</w:t>
      </w:r>
      <w:r>
        <w:rPr>
          <w:rFonts w:hint="eastAsia" w:ascii="宋体" w:hAnsi="宋体" w:eastAsia="宋体" w:cs="宋体"/>
          <w:color w:val="auto"/>
          <w:sz w:val="21"/>
          <w:szCs w:val="21"/>
          <w:highlight w:val="none"/>
        </w:rPr>
        <w:t>、养老保险复印件（未附漏附均视为未响应文件格式要求）及管理过的项目业绩（若有），如业绩须附中标通知书或合同协议书等材料的复印件，仅限于以项目负责人身份参与的项目。</w:t>
      </w:r>
    </w:p>
    <w:tbl>
      <w:tblPr>
        <w:tblStyle w:val="46"/>
        <w:tblpPr w:leftFromText="180" w:rightFromText="180" w:vertAnchor="text" w:tblpXSpec="center"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3"/>
        <w:gridCol w:w="1403"/>
        <w:gridCol w:w="1096"/>
        <w:gridCol w:w="381"/>
        <w:gridCol w:w="1185"/>
        <w:gridCol w:w="255"/>
        <w:gridCol w:w="131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5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  历</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称</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拟在本合同任职</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毕业学校</w:t>
            </w:r>
          </w:p>
        </w:tc>
        <w:tc>
          <w:tcPr>
            <w:tcW w:w="7361" w:type="dxa"/>
            <w:gridSpan w:val="8"/>
            <w:tcBorders>
              <w:top w:val="single" w:color="auto" w:sz="4" w:space="0"/>
              <w:left w:val="single" w:color="auto" w:sz="4" w:space="0"/>
              <w:bottom w:val="single" w:color="auto" w:sz="4" w:space="0"/>
              <w:right w:val="single" w:color="auto" w:sz="4" w:space="0"/>
            </w:tcBorders>
            <w:vAlign w:val="center"/>
          </w:tcPr>
          <w:p>
            <w:pPr>
              <w:tabs>
                <w:tab w:val="left" w:pos="2820"/>
                <w:tab w:val="left" w:pos="4080"/>
              </w:tabs>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年毕业于</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学校</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25" w:type="dxa"/>
            <w:gridSpan w:val="9"/>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间</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参加过的类似项目</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担任职务</w:t>
            </w: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bl>
    <w:p>
      <w:pPr>
        <w:spacing w:line="360" w:lineRule="auto"/>
        <w:ind w:firstLine="422" w:firstLineChars="200"/>
        <w:jc w:val="righ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施工技术负责人简历表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必须附执业资格证、身份证、毕业证、职称证、养老保险复印件（未附漏附均视为未响应文件格式要求）及管理过的项目业绩（若有），业绩须附中标通知书或合同协议书等材料的复印件，仅限于以项目施工负责人身份参与的项目。</w:t>
      </w:r>
    </w:p>
    <w:tbl>
      <w:tblPr>
        <w:tblStyle w:val="46"/>
        <w:tblpPr w:leftFromText="180" w:rightFromText="180" w:vertAnchor="text" w:tblpXSpec="center"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3"/>
        <w:gridCol w:w="1403"/>
        <w:gridCol w:w="1096"/>
        <w:gridCol w:w="381"/>
        <w:gridCol w:w="1185"/>
        <w:gridCol w:w="255"/>
        <w:gridCol w:w="131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53"/>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  历</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称</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拟在本合同任职</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4" w:type="dxa"/>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毕业学校</w:t>
            </w:r>
          </w:p>
        </w:tc>
        <w:tc>
          <w:tcPr>
            <w:tcW w:w="7361" w:type="dxa"/>
            <w:gridSpan w:val="8"/>
            <w:tcBorders>
              <w:top w:val="single" w:color="auto" w:sz="4" w:space="0"/>
              <w:left w:val="single" w:color="auto" w:sz="4" w:space="0"/>
              <w:bottom w:val="single" w:color="auto" w:sz="4" w:space="0"/>
              <w:right w:val="single" w:color="auto" w:sz="4" w:space="0"/>
            </w:tcBorders>
            <w:vAlign w:val="center"/>
          </w:tcPr>
          <w:p>
            <w:pPr>
              <w:tabs>
                <w:tab w:val="left" w:pos="2820"/>
                <w:tab w:val="left" w:pos="4080"/>
              </w:tabs>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年毕业于</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学校</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25" w:type="dxa"/>
            <w:gridSpan w:val="9"/>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间</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参加过的类似项目</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担任职务</w:t>
            </w: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hint="eastAsia" w:ascii="宋体" w:hAnsi="宋体" w:eastAsia="宋体" w:cs="宋体"/>
                <w:color w:val="auto"/>
                <w:kern w:val="0"/>
                <w:sz w:val="21"/>
                <w:szCs w:val="21"/>
                <w:highlight w:val="none"/>
              </w:rPr>
            </w:pPr>
          </w:p>
        </w:tc>
      </w:tr>
    </w:tbl>
    <w:p>
      <w:pPr>
        <w:spacing w:line="360" w:lineRule="auto"/>
        <w:ind w:firstLine="422" w:firstLineChars="200"/>
        <w:jc w:val="righ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附件4：</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主要项目管理人员简历表</w:t>
      </w:r>
    </w:p>
    <w:tbl>
      <w:tblPr>
        <w:tblStyle w:val="46"/>
        <w:tblW w:w="9265" w:type="dxa"/>
        <w:jc w:val="center"/>
        <w:tblLayout w:type="fixed"/>
        <w:tblCellMar>
          <w:top w:w="0" w:type="dxa"/>
          <w:left w:w="0" w:type="dxa"/>
          <w:bottom w:w="0" w:type="dxa"/>
          <w:right w:w="0" w:type="dxa"/>
        </w:tblCellMar>
      </w:tblPr>
      <w:tblGrid>
        <w:gridCol w:w="2610"/>
        <w:gridCol w:w="2243"/>
        <w:gridCol w:w="2309"/>
        <w:gridCol w:w="2103"/>
      </w:tblGrid>
      <w:tr>
        <w:tblPrEx>
          <w:tblCellMar>
            <w:top w:w="0" w:type="dxa"/>
            <w:left w:w="0" w:type="dxa"/>
            <w:bottom w:w="0" w:type="dxa"/>
            <w:right w:w="0" w:type="dxa"/>
          </w:tblCellMar>
        </w:tblPrEx>
        <w:trPr>
          <w:trHeight w:val="577" w:hRule="atLeast"/>
          <w:jc w:val="center"/>
        </w:trPr>
        <w:tc>
          <w:tcPr>
            <w:tcW w:w="926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岗位名称</w:t>
            </w:r>
          </w:p>
        </w:tc>
      </w:tr>
      <w:tr>
        <w:tblPrEx>
          <w:tblCellMar>
            <w:top w:w="0" w:type="dxa"/>
            <w:left w:w="0" w:type="dxa"/>
            <w:bottom w:w="0" w:type="dxa"/>
            <w:right w:w="0" w:type="dxa"/>
          </w:tblCellMar>
        </w:tblPrEx>
        <w:trPr>
          <w:trHeight w:val="577" w:hRule="atLeast"/>
          <w:jc w:val="center"/>
        </w:trPr>
        <w:tc>
          <w:tcPr>
            <w:tcW w:w="261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姓 名</w:t>
            </w:r>
          </w:p>
        </w:tc>
        <w:tc>
          <w:tcPr>
            <w:tcW w:w="224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c>
          <w:tcPr>
            <w:tcW w:w="2309"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年 龄</w:t>
            </w:r>
          </w:p>
        </w:tc>
        <w:tc>
          <w:tcPr>
            <w:tcW w:w="21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97"/>
              <w:rPr>
                <w:rFonts w:hint="eastAsia" w:ascii="宋体" w:hAnsi="宋体" w:eastAsia="宋体" w:cs="宋体"/>
                <w:color w:val="auto"/>
                <w:spacing w:val="1"/>
                <w:kern w:val="0"/>
                <w:sz w:val="21"/>
                <w:szCs w:val="21"/>
                <w:highlight w:val="none"/>
              </w:rPr>
            </w:pPr>
          </w:p>
        </w:tc>
      </w:tr>
      <w:tr>
        <w:tblPrEx>
          <w:tblCellMar>
            <w:top w:w="0" w:type="dxa"/>
            <w:left w:w="0" w:type="dxa"/>
            <w:bottom w:w="0" w:type="dxa"/>
            <w:right w:w="0" w:type="dxa"/>
          </w:tblCellMar>
        </w:tblPrEx>
        <w:trPr>
          <w:trHeight w:val="577" w:hRule="atLeast"/>
          <w:jc w:val="center"/>
        </w:trPr>
        <w:tc>
          <w:tcPr>
            <w:tcW w:w="261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性 别</w:t>
            </w:r>
          </w:p>
        </w:tc>
        <w:tc>
          <w:tcPr>
            <w:tcW w:w="224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c>
          <w:tcPr>
            <w:tcW w:w="2309"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毕业学校</w:t>
            </w:r>
          </w:p>
        </w:tc>
        <w:tc>
          <w:tcPr>
            <w:tcW w:w="21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97"/>
              <w:rPr>
                <w:rFonts w:hint="eastAsia" w:ascii="宋体" w:hAnsi="宋体" w:eastAsia="宋体" w:cs="宋体"/>
                <w:color w:val="auto"/>
                <w:spacing w:val="1"/>
                <w:kern w:val="0"/>
                <w:sz w:val="21"/>
                <w:szCs w:val="21"/>
                <w:highlight w:val="none"/>
              </w:rPr>
            </w:pPr>
          </w:p>
        </w:tc>
      </w:tr>
      <w:tr>
        <w:tblPrEx>
          <w:tblCellMar>
            <w:top w:w="0" w:type="dxa"/>
            <w:left w:w="0" w:type="dxa"/>
            <w:bottom w:w="0" w:type="dxa"/>
            <w:right w:w="0" w:type="dxa"/>
          </w:tblCellMar>
        </w:tblPrEx>
        <w:trPr>
          <w:trHeight w:val="577" w:hRule="atLeast"/>
          <w:jc w:val="center"/>
        </w:trPr>
        <w:tc>
          <w:tcPr>
            <w:tcW w:w="261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学历和专业</w:t>
            </w:r>
          </w:p>
        </w:tc>
        <w:tc>
          <w:tcPr>
            <w:tcW w:w="224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c>
          <w:tcPr>
            <w:tcW w:w="2309"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毕业时间</w:t>
            </w:r>
          </w:p>
        </w:tc>
        <w:tc>
          <w:tcPr>
            <w:tcW w:w="21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97"/>
              <w:rPr>
                <w:rFonts w:hint="eastAsia" w:ascii="宋体" w:hAnsi="宋体" w:eastAsia="宋体" w:cs="宋体"/>
                <w:color w:val="auto"/>
                <w:spacing w:val="1"/>
                <w:kern w:val="0"/>
                <w:sz w:val="21"/>
                <w:szCs w:val="21"/>
                <w:highlight w:val="none"/>
              </w:rPr>
            </w:pPr>
          </w:p>
        </w:tc>
      </w:tr>
      <w:tr>
        <w:tblPrEx>
          <w:tblCellMar>
            <w:top w:w="0" w:type="dxa"/>
            <w:left w:w="0" w:type="dxa"/>
            <w:bottom w:w="0" w:type="dxa"/>
            <w:right w:w="0" w:type="dxa"/>
          </w:tblCellMar>
        </w:tblPrEx>
        <w:trPr>
          <w:trHeight w:val="577" w:hRule="atLeast"/>
          <w:jc w:val="center"/>
        </w:trPr>
        <w:tc>
          <w:tcPr>
            <w:tcW w:w="261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拥有的执业资格</w:t>
            </w:r>
          </w:p>
        </w:tc>
        <w:tc>
          <w:tcPr>
            <w:tcW w:w="224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c>
          <w:tcPr>
            <w:tcW w:w="2309"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专业职称</w:t>
            </w:r>
          </w:p>
        </w:tc>
        <w:tc>
          <w:tcPr>
            <w:tcW w:w="21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97"/>
              <w:rPr>
                <w:rFonts w:hint="eastAsia" w:ascii="宋体" w:hAnsi="宋体" w:eastAsia="宋体" w:cs="宋体"/>
                <w:color w:val="auto"/>
                <w:spacing w:val="1"/>
                <w:kern w:val="0"/>
                <w:sz w:val="21"/>
                <w:szCs w:val="21"/>
                <w:highlight w:val="none"/>
              </w:rPr>
            </w:pPr>
          </w:p>
        </w:tc>
      </w:tr>
      <w:tr>
        <w:tblPrEx>
          <w:tblCellMar>
            <w:top w:w="0" w:type="dxa"/>
            <w:left w:w="0" w:type="dxa"/>
            <w:bottom w:w="0" w:type="dxa"/>
            <w:right w:w="0" w:type="dxa"/>
          </w:tblCellMar>
        </w:tblPrEx>
        <w:trPr>
          <w:trHeight w:val="577" w:hRule="atLeast"/>
          <w:jc w:val="center"/>
        </w:trPr>
        <w:tc>
          <w:tcPr>
            <w:tcW w:w="2610"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执业资格证书编号</w:t>
            </w:r>
          </w:p>
        </w:tc>
        <w:tc>
          <w:tcPr>
            <w:tcW w:w="224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c>
          <w:tcPr>
            <w:tcW w:w="2309"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97" w:firstLine="59" w:firstLineChars="28"/>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工作年限</w:t>
            </w:r>
          </w:p>
        </w:tc>
        <w:tc>
          <w:tcPr>
            <w:tcW w:w="210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97"/>
              <w:rPr>
                <w:rFonts w:hint="eastAsia" w:ascii="宋体" w:hAnsi="宋体" w:eastAsia="宋体" w:cs="宋体"/>
                <w:color w:val="auto"/>
                <w:spacing w:val="1"/>
                <w:kern w:val="0"/>
                <w:sz w:val="21"/>
                <w:szCs w:val="21"/>
                <w:highlight w:val="none"/>
              </w:rPr>
            </w:pPr>
          </w:p>
        </w:tc>
      </w:tr>
      <w:tr>
        <w:tblPrEx>
          <w:tblCellMar>
            <w:top w:w="0" w:type="dxa"/>
            <w:left w:w="0" w:type="dxa"/>
            <w:bottom w:w="0" w:type="dxa"/>
            <w:right w:w="0" w:type="dxa"/>
          </w:tblCellMar>
        </w:tblPrEx>
        <w:trPr>
          <w:trHeight w:val="7967" w:hRule="atLeast"/>
          <w:jc w:val="center"/>
        </w:trPr>
        <w:tc>
          <w:tcPr>
            <w:tcW w:w="9265"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p>
            <w:pPr>
              <w:autoSpaceDE w:val="0"/>
              <w:autoSpaceDN w:val="0"/>
              <w:adjustRightInd w:val="0"/>
              <w:spacing w:before="50"/>
              <w:ind w:right="97"/>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主要工作业绩及担任的主要工作：</w:t>
            </w:r>
          </w:p>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p>
            <w:pPr>
              <w:autoSpaceDE w:val="0"/>
              <w:autoSpaceDN w:val="0"/>
              <w:adjustRightInd w:val="0"/>
              <w:spacing w:before="50"/>
              <w:ind w:right="97"/>
              <w:rPr>
                <w:rFonts w:hint="eastAsia" w:ascii="宋体" w:hAnsi="宋体" w:eastAsia="宋体" w:cs="宋体"/>
                <w:color w:val="auto"/>
                <w:spacing w:val="1"/>
                <w:kern w:val="0"/>
                <w:sz w:val="21"/>
                <w:szCs w:val="21"/>
                <w:highlight w:val="none"/>
              </w:rPr>
            </w:pPr>
          </w:p>
        </w:tc>
      </w:tr>
    </w:tbl>
    <w:p>
      <w:pPr>
        <w:jc w:val="left"/>
        <w:rPr>
          <w:rFonts w:hint="eastAsia" w:ascii="宋体" w:hAnsi="宋体" w:eastAsia="宋体" w:cs="宋体"/>
          <w:b/>
          <w:color w:val="auto"/>
          <w:sz w:val="21"/>
          <w:szCs w:val="21"/>
          <w:highlight w:val="none"/>
        </w:rPr>
      </w:pPr>
    </w:p>
    <w:p>
      <w:pPr>
        <w:widowControl/>
        <w:jc w:val="left"/>
        <w:rPr>
          <w:rFonts w:hint="eastAsia" w:ascii="宋体" w:hAnsi="宋体" w:eastAsia="宋体" w:cs="宋体"/>
          <w:b/>
          <w:color w:val="auto"/>
          <w:sz w:val="21"/>
          <w:szCs w:val="21"/>
          <w:highlight w:val="none"/>
        </w:rPr>
      </w:pPr>
      <w:bookmarkStart w:id="1409" w:name="_Toc88214512"/>
      <w:bookmarkStart w:id="1410" w:name="_Toc510975127"/>
      <w:bookmarkStart w:id="1411" w:name="_Toc515373299"/>
      <w:r>
        <w:rPr>
          <w:rFonts w:hint="eastAsia" w:ascii="宋体" w:hAnsi="宋体" w:eastAsia="宋体" w:cs="宋体"/>
          <w:b/>
          <w:color w:val="auto"/>
          <w:sz w:val="21"/>
          <w:szCs w:val="21"/>
          <w:highlight w:val="none"/>
        </w:rPr>
        <w:br w:type="page"/>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（四）不良行为记录承诺书</w:t>
      </w:r>
      <w:bookmarkEnd w:id="1409"/>
      <w:bookmarkEnd w:id="1410"/>
      <w:bookmarkEnd w:id="1411"/>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（招标人名称）：</w:t>
      </w:r>
    </w:p>
    <w:p>
      <w:pPr>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我公司承诺自2020年1月1日至投标截止时间内，在工程建设过程中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（填有或无）不良行为记录，情况如下表：</w:t>
      </w:r>
    </w:p>
    <w:tbl>
      <w:tblPr>
        <w:tblStyle w:val="4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417"/>
        <w:gridCol w:w="1701"/>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情况简介</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发生时间</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被何部门处罚</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处罚意见</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是否被禁止或限制投标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不良行为记录1</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不良行为记录1</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 w:val="21"/>
                <w:szCs w:val="21"/>
                <w:highlight w:val="none"/>
              </w:rPr>
            </w:pPr>
          </w:p>
        </w:tc>
      </w:tr>
    </w:tbl>
    <w:p>
      <w:pPr>
        <w:spacing w:line="360" w:lineRule="auto"/>
        <w:ind w:firstLine="630" w:firstLineChars="300"/>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上述承诺内容如有不实，我方愿意按弄虚作假接受处理，承担由此造成的一切法律责任，自愿放弃本项目中标候选人资格。</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注：不良行为记录指：2020年1月1日至投标截止时间前，违反有关工程建设的法律、法规、规章或强制性标准，经县级以上建设行政主管部门或其委托的执法监督机构查实和行政处罚。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存在不良行为记录的投标人须逐条如实介绍其自2020年1月1日至投标截止时间内的全部不良行为记录情况。</w:t>
      </w:r>
    </w:p>
    <w:p>
      <w:pPr>
        <w:spacing w:line="300" w:lineRule="exact"/>
        <w:rPr>
          <w:rFonts w:hint="eastAsia" w:ascii="宋体" w:hAnsi="宋体" w:eastAsia="宋体" w:cs="宋体"/>
          <w:color w:val="auto"/>
          <w:sz w:val="21"/>
          <w:szCs w:val="21"/>
          <w:highlight w:val="none"/>
        </w:rPr>
      </w:pPr>
    </w:p>
    <w:p>
      <w:pPr>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pPr>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电子章）   </w:t>
      </w:r>
      <w:bookmarkStart w:id="1462" w:name="_GoBack"/>
      <w:bookmarkEnd w:id="146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jc w:val="left"/>
        <w:rPr>
          <w:rFonts w:hint="eastAsia" w:ascii="宋体" w:hAnsi="宋体" w:eastAsia="宋体" w:cs="宋体"/>
          <w:b/>
          <w:color w:val="auto"/>
          <w:sz w:val="21"/>
          <w:szCs w:val="21"/>
          <w:highlight w:val="none"/>
        </w:rPr>
      </w:pPr>
    </w:p>
    <w:p>
      <w:pPr>
        <w:jc w:val="left"/>
        <w:rPr>
          <w:rFonts w:hint="eastAsia" w:ascii="宋体" w:hAnsi="宋体" w:eastAsia="宋体" w:cs="宋体"/>
          <w:b/>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eastAsia="zh-CN"/>
        </w:rPr>
      </w:pPr>
      <w:bookmarkStart w:id="1412" w:name="_Toc10681"/>
      <w:bookmarkStart w:id="1413" w:name="_Toc2235"/>
      <w:bookmarkStart w:id="1414" w:name="_Toc62587061"/>
      <w:bookmarkStart w:id="1415" w:name="_Toc119856559"/>
      <w:bookmarkStart w:id="1416" w:name="_Toc54803533"/>
      <w:bookmarkStart w:id="1417" w:name="_Toc66975595"/>
      <w:r>
        <w:rPr>
          <w:rFonts w:hint="eastAsia" w:ascii="宋体" w:hAnsi="宋体" w:eastAsia="宋体" w:cs="宋体"/>
          <w:color w:val="auto"/>
          <w:sz w:val="21"/>
          <w:szCs w:val="21"/>
          <w:highlight w:val="none"/>
          <w:lang w:eastAsia="zh-CN"/>
        </w:rPr>
        <w:br w:type="page"/>
      </w:r>
    </w:p>
    <w:p>
      <w:pPr>
        <w:pStyle w:val="4"/>
        <w:pageBreakBefore w:val="0"/>
        <w:widowControl w:val="0"/>
        <w:kinsoku/>
        <w:wordWrap/>
        <w:overflowPunct/>
        <w:topLinePunct w:val="0"/>
        <w:bidi w:val="0"/>
        <w:adjustRightInd/>
        <w:snapToGrid/>
        <w:spacing w:before="0" w:after="0" w:line="360" w:lineRule="auto"/>
        <w:ind w:left="0" w:right="0"/>
        <w:jc w:val="center"/>
        <w:textAlignment w:val="auto"/>
        <w:outlineLvl w:val="1"/>
        <w:rPr>
          <w:rFonts w:hint="eastAsia" w:ascii="宋体" w:hAnsi="宋体" w:eastAsia="宋体" w:cs="宋体"/>
          <w:color w:val="auto"/>
          <w:sz w:val="21"/>
          <w:szCs w:val="21"/>
          <w:highlight w:val="none"/>
          <w:lang w:eastAsia="zh-CN"/>
        </w:rPr>
      </w:pPr>
      <w:bookmarkStart w:id="1418" w:name="_Toc18373"/>
      <w:r>
        <w:rPr>
          <w:rFonts w:hint="eastAsia" w:ascii="宋体" w:hAnsi="宋体" w:eastAsia="宋体" w:cs="宋体"/>
          <w:color w:val="auto"/>
          <w:sz w:val="21"/>
          <w:szCs w:val="21"/>
          <w:highlight w:val="none"/>
          <w:lang w:eastAsia="zh-CN"/>
        </w:rPr>
        <w:t>（四）中小企业声明函</w:t>
      </w:r>
      <w:bookmarkEnd w:id="1418"/>
    </w:p>
    <w:p>
      <w:pPr>
        <w:pStyle w:val="4"/>
        <w:pageBreakBefore w:val="0"/>
        <w:widowControl w:val="0"/>
        <w:kinsoku/>
        <w:wordWrap/>
        <w:overflowPunct/>
        <w:topLinePunct w:val="0"/>
        <w:bidi w:val="0"/>
        <w:adjustRightInd/>
        <w:snapToGrid/>
        <w:spacing w:before="0" w:after="0" w:line="360" w:lineRule="auto"/>
        <w:ind w:left="0" w:right="0"/>
        <w:jc w:val="center"/>
        <w:textAlignment w:val="auto"/>
        <w:outlineLvl w:val="0"/>
        <w:rPr>
          <w:rFonts w:hint="eastAsia" w:ascii="宋体" w:hAnsi="宋体" w:eastAsia="宋体" w:cs="宋体"/>
          <w:color w:val="auto"/>
          <w:sz w:val="21"/>
          <w:szCs w:val="21"/>
          <w:highlight w:val="none"/>
          <w:lang w:eastAsia="zh-CN"/>
        </w:rPr>
      </w:pPr>
      <w:bookmarkStart w:id="1419" w:name="_Toc6424"/>
      <w:bookmarkStart w:id="1420" w:name="_Toc12196"/>
      <w:bookmarkStart w:id="1421" w:name="_Toc14742"/>
      <w:bookmarkStart w:id="1422" w:name="_Toc26909"/>
      <w:bookmarkStart w:id="1423" w:name="_Toc2830"/>
      <w:bookmarkStart w:id="1424" w:name="_Toc18381"/>
      <w:bookmarkStart w:id="1425" w:name="_Toc1743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）中小企业声明函（工程）</w:t>
      </w:r>
      <w:bookmarkEnd w:id="1419"/>
      <w:bookmarkEnd w:id="1420"/>
      <w:bookmarkEnd w:id="1421"/>
      <w:bookmarkEnd w:id="1422"/>
      <w:bookmarkEnd w:id="1423"/>
      <w:bookmarkEnd w:id="1424"/>
      <w:bookmarkEnd w:id="1425"/>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1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本公司</w:t>
      </w:r>
      <w:r>
        <w:rPr>
          <w:rFonts w:hint="eastAsia" w:ascii="宋体" w:hAnsi="宋体" w:eastAsia="宋体" w:cs="宋体"/>
          <w:color w:val="auto"/>
          <w:sz w:val="21"/>
          <w:szCs w:val="21"/>
          <w:highlight w:val="none"/>
        </w:rPr>
        <w:t>（联合体</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rPr>
        <w:t>郑重声明，根据《政府采购促进中小</w:t>
      </w:r>
      <w:r>
        <w:rPr>
          <w:rFonts w:hint="eastAsia" w:ascii="宋体" w:hAnsi="宋体" w:eastAsia="宋体" w:cs="宋体"/>
          <w:color w:val="auto"/>
          <w:spacing w:val="-18"/>
          <w:sz w:val="21"/>
          <w:szCs w:val="21"/>
          <w:highlight w:val="none"/>
        </w:rPr>
        <w:t>企业发展管理办法》</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财库</w:t>
      </w:r>
      <w:r>
        <w:rPr>
          <w:rFonts w:hint="eastAsia" w:ascii="宋体" w:hAnsi="宋体" w:eastAsia="宋体" w:cs="宋体"/>
          <w:color w:val="auto"/>
          <w:sz w:val="21"/>
          <w:szCs w:val="21"/>
          <w:highlight w:val="none"/>
        </w:rPr>
        <w:t>﹝2020﹞46</w:t>
      </w:r>
      <w:r>
        <w:rPr>
          <w:rFonts w:hint="eastAsia" w:ascii="宋体" w:hAnsi="宋体" w:eastAsia="宋体" w:cs="宋体"/>
          <w:color w:val="auto"/>
          <w:spacing w:val="-38"/>
          <w:sz w:val="21"/>
          <w:szCs w:val="21"/>
          <w:highlight w:val="none"/>
        </w:rPr>
        <w:t>号</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的规定，本公司（联合体）</w:t>
      </w:r>
      <w:r>
        <w:rPr>
          <w:rFonts w:hint="eastAsia" w:ascii="宋体" w:hAnsi="宋体" w:eastAsia="宋体" w:cs="宋体"/>
          <w:color w:val="auto"/>
          <w:spacing w:val="-8"/>
          <w:sz w:val="21"/>
          <w:szCs w:val="21"/>
          <w:highlight w:val="none"/>
        </w:rPr>
        <w:t>参加</w:t>
      </w:r>
      <w:r>
        <w:rPr>
          <w:rFonts w:hint="eastAsia" w:ascii="宋体" w:hAnsi="宋体" w:eastAsia="宋体" w:cs="宋体"/>
          <w:color w:val="auto"/>
          <w:sz w:val="21"/>
          <w:szCs w:val="21"/>
          <w:highlight w:val="none"/>
          <w:u w:val="single"/>
          <w:lang w:val="zh-CN" w:eastAsia="zh-CN" w:bidi="zh-CN"/>
        </w:rPr>
        <w:t>（单位名称）</w:t>
      </w:r>
      <w:r>
        <w:rPr>
          <w:rFonts w:hint="eastAsia" w:ascii="宋体" w:hAnsi="宋体" w:eastAsia="宋体" w:cs="宋体"/>
          <w:color w:val="auto"/>
          <w:spacing w:val="-15"/>
          <w:sz w:val="21"/>
          <w:szCs w:val="21"/>
          <w:highlight w:val="none"/>
        </w:rPr>
        <w:t>的</w:t>
      </w:r>
      <w:r>
        <w:rPr>
          <w:rFonts w:hint="eastAsia" w:ascii="宋体" w:hAnsi="宋体" w:eastAsia="宋体" w:cs="宋体"/>
          <w:color w:val="auto"/>
          <w:sz w:val="21"/>
          <w:szCs w:val="21"/>
          <w:highlight w:val="none"/>
          <w:u w:val="single"/>
          <w:lang w:val="zh-CN" w:eastAsia="zh-CN" w:bidi="zh-CN"/>
        </w:rPr>
        <w:t>（项目名称）</w:t>
      </w:r>
      <w:r>
        <w:rPr>
          <w:rFonts w:hint="eastAsia" w:ascii="宋体" w:hAnsi="宋体" w:eastAsia="宋体" w:cs="宋体"/>
          <w:color w:val="auto"/>
          <w:spacing w:val="-1"/>
          <w:sz w:val="21"/>
          <w:szCs w:val="21"/>
          <w:highlight w:val="none"/>
        </w:rPr>
        <w:t>采购活动，</w:t>
      </w:r>
      <w:r>
        <w:rPr>
          <w:rFonts w:hint="eastAsia" w:ascii="宋体" w:hAnsi="宋体" w:eastAsia="宋体" w:cs="宋体"/>
          <w:color w:val="auto"/>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148"/>
        <w:keepNext w:val="0"/>
        <w:keepLines w:val="0"/>
        <w:pageBreakBefore w:val="0"/>
        <w:widowControl w:val="0"/>
        <w:numPr>
          <w:ilvl w:val="0"/>
          <w:numId w:val="0"/>
        </w:numPr>
        <w:tabs>
          <w:tab w:val="left" w:pos="1243"/>
          <w:tab w:val="clear" w:pos="993"/>
        </w:tabs>
        <w:kinsoku/>
        <w:wordWrap/>
        <w:overflowPunct/>
        <w:topLinePunct w:val="0"/>
        <w:autoSpaceDE w:val="0"/>
        <w:autoSpaceDN w:val="0"/>
        <w:bidi w:val="0"/>
        <w:adjustRightInd/>
        <w:snapToGrid/>
        <w:spacing w:line="360" w:lineRule="auto"/>
        <w:ind w:left="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eastAsia="zh-CN" w:bidi="zh-CN"/>
        </w:rPr>
        <w:t>（标的名称）</w:t>
      </w:r>
      <w:r>
        <w:rPr>
          <w:rFonts w:hint="eastAsia" w:ascii="宋体" w:hAnsi="宋体" w:eastAsia="宋体" w:cs="宋体"/>
          <w:color w:val="auto"/>
          <w:spacing w:val="-60"/>
          <w:w w:val="99"/>
          <w:sz w:val="21"/>
          <w:szCs w:val="21"/>
          <w:highlight w:val="none"/>
          <w:u w:val="none"/>
        </w:rPr>
        <w:t>，</w:t>
      </w:r>
      <w:r>
        <w:rPr>
          <w:rFonts w:hint="eastAsia" w:ascii="宋体" w:hAnsi="宋体" w:eastAsia="宋体" w:cs="宋体"/>
          <w:color w:val="auto"/>
          <w:sz w:val="21"/>
          <w:szCs w:val="21"/>
          <w:highlight w:val="none"/>
          <w:u w:val="none" w:color="auto"/>
          <w:lang w:val="zh-CN" w:eastAsia="zh-CN" w:bidi="zh-CN"/>
        </w:rPr>
        <w:t>属于</w:t>
      </w:r>
      <w:r>
        <w:rPr>
          <w:rFonts w:hint="eastAsia" w:ascii="宋体" w:hAnsi="宋体" w:eastAsia="宋体" w:cs="宋体"/>
          <w:color w:val="auto"/>
          <w:sz w:val="21"/>
          <w:szCs w:val="21"/>
          <w:highlight w:val="none"/>
          <w:u w:val="single"/>
          <w:lang w:val="zh-CN" w:eastAsia="zh-CN" w:bidi="zh-CN"/>
        </w:rPr>
        <w:t>（采购文件中明确的所属行业）</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color="auto"/>
          <w:lang w:val="zh-CN" w:eastAsia="zh-CN" w:bidi="zh-CN"/>
        </w:rPr>
        <w:t>承建（承接）企业为</w:t>
      </w:r>
      <w:r>
        <w:rPr>
          <w:rFonts w:hint="eastAsia" w:ascii="宋体" w:hAnsi="宋体" w:eastAsia="宋体" w:cs="宋体"/>
          <w:color w:val="auto"/>
          <w:sz w:val="21"/>
          <w:szCs w:val="21"/>
          <w:highlight w:val="none"/>
          <w:u w:val="single" w:color="auto"/>
          <w:lang w:val="en-US" w:eastAsia="zh-CN" w:bidi="zh-CN"/>
        </w:rPr>
        <w:t xml:space="preserve">   </w:t>
      </w:r>
      <w:r>
        <w:rPr>
          <w:rFonts w:hint="eastAsia" w:ascii="宋体" w:hAnsi="宋体" w:eastAsia="宋体" w:cs="宋体"/>
          <w:color w:val="auto"/>
          <w:sz w:val="21"/>
          <w:szCs w:val="21"/>
          <w:highlight w:val="none"/>
          <w:u w:val="single"/>
          <w:lang w:val="zh-CN" w:eastAsia="zh-CN" w:bidi="zh-CN"/>
        </w:rPr>
        <w:t>（企业名称）</w:t>
      </w:r>
      <w:r>
        <w:rPr>
          <w:rFonts w:hint="eastAsia" w:ascii="宋体" w:hAnsi="宋体" w:eastAsia="宋体" w:cs="宋体"/>
          <w:color w:val="auto"/>
          <w:sz w:val="21"/>
          <w:szCs w:val="21"/>
          <w:highlight w:val="none"/>
          <w:u w:val="none" w:color="auto"/>
          <w:lang w:val="zh-CN" w:eastAsia="zh-CN" w:bidi="zh-CN"/>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color="auto"/>
          <w:lang w:val="zh-CN" w:eastAsia="zh-CN" w:bidi="zh-CN"/>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color="auto"/>
          <w:lang w:val="zh-CN" w:eastAsia="zh-CN" w:bidi="zh-CN"/>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u w:val="none" w:color="auto"/>
          <w:lang w:val="zh-CN" w:eastAsia="zh-CN" w:bidi="zh-CN"/>
        </w:rPr>
        <w:t>，属于</w:t>
      </w:r>
      <w:r>
        <w:rPr>
          <w:rFonts w:hint="eastAsia" w:ascii="宋体" w:hAnsi="宋体" w:eastAsia="宋体" w:cs="宋体"/>
          <w:color w:val="auto"/>
          <w:sz w:val="21"/>
          <w:szCs w:val="21"/>
          <w:highlight w:val="none"/>
          <w:u w:val="single"/>
          <w:lang w:val="zh-CN" w:eastAsia="zh-CN" w:bidi="zh-CN"/>
        </w:rPr>
        <w:t>（中型企业、小型企业、微型企业）</w:t>
      </w:r>
      <w:r>
        <w:rPr>
          <w:rFonts w:hint="eastAsia" w:ascii="宋体" w:hAnsi="宋体" w:eastAsia="宋体" w:cs="宋体"/>
          <w:color w:val="auto"/>
          <w:sz w:val="21"/>
          <w:szCs w:val="21"/>
          <w:highlight w:val="none"/>
          <w:u w:val="none" w:color="auto"/>
          <w:lang w:val="zh-CN" w:eastAsia="zh-CN" w:bidi="zh-CN"/>
        </w:rPr>
        <w:t>；</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08"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以上企业，不属于大企业的分支机构，不存在控股股东</w:t>
      </w:r>
      <w:r>
        <w:rPr>
          <w:rFonts w:hint="eastAsia" w:ascii="宋体" w:hAnsi="宋体" w:eastAsia="宋体" w:cs="宋体"/>
          <w:color w:val="auto"/>
          <w:spacing w:val="-5"/>
          <w:sz w:val="21"/>
          <w:szCs w:val="21"/>
          <w:highlight w:val="none"/>
        </w:rPr>
        <w:t>为大企业的情形，也不存在与大企业的负责人为同一人的情形。</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ageBreakBefore w:val="0"/>
        <w:widowControl w:val="0"/>
        <w:kinsoku/>
        <w:wordWrap/>
        <w:overflowPunct/>
        <w:topLinePunct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adjustRightInd/>
        <w:snapToGrid/>
        <w:spacing w:line="360" w:lineRule="auto"/>
        <w:ind w:left="0" w:right="0"/>
        <w:jc w:val="center"/>
        <w:textAlignment w:val="auto"/>
        <w:outlineLvl w:val="1"/>
        <w:rPr>
          <w:rFonts w:hint="eastAsia" w:ascii="宋体" w:hAnsi="宋体" w:eastAsia="宋体" w:cs="宋体"/>
          <w:color w:val="auto"/>
          <w:spacing w:val="-5"/>
          <w:kern w:val="2"/>
          <w:sz w:val="21"/>
          <w:szCs w:val="21"/>
          <w:highlight w:val="none"/>
          <w:lang w:val="en-US" w:eastAsia="zh-CN" w:bidi="ar-SA"/>
        </w:rPr>
      </w:pPr>
      <w:bookmarkStart w:id="1426" w:name="_Toc2710"/>
      <w:r>
        <w:rPr>
          <w:rFonts w:hint="eastAsia" w:ascii="宋体" w:hAnsi="宋体" w:eastAsia="宋体" w:cs="宋体"/>
          <w:color w:val="auto"/>
          <w:spacing w:val="-5"/>
          <w:kern w:val="2"/>
          <w:sz w:val="21"/>
          <w:szCs w:val="21"/>
          <w:highlight w:val="none"/>
          <w:lang w:val="en-US" w:eastAsia="zh-CN" w:bidi="ar-SA"/>
        </w:rPr>
        <w:t xml:space="preserve">                                     </w:t>
      </w:r>
      <w:bookmarkStart w:id="1427" w:name="_Toc13342"/>
      <w:bookmarkStart w:id="1428" w:name="_Toc18162"/>
      <w:bookmarkStart w:id="1429" w:name="_Toc27200"/>
      <w:bookmarkStart w:id="1430" w:name="_Toc20570"/>
      <w:bookmarkStart w:id="1431" w:name="_Toc3496"/>
      <w:bookmarkStart w:id="1432" w:name="_Toc28952"/>
      <w:r>
        <w:rPr>
          <w:rFonts w:hint="eastAsia" w:ascii="宋体" w:hAnsi="宋体" w:eastAsia="宋体" w:cs="宋体"/>
          <w:color w:val="auto"/>
          <w:spacing w:val="-5"/>
          <w:kern w:val="2"/>
          <w:sz w:val="21"/>
          <w:szCs w:val="21"/>
          <w:highlight w:val="none"/>
          <w:lang w:val="en-US" w:eastAsia="zh-CN" w:bidi="ar-SA"/>
        </w:rPr>
        <w:t>企业名称（盖章）：</w:t>
      </w:r>
      <w:bookmarkEnd w:id="1426"/>
      <w:bookmarkEnd w:id="1427"/>
      <w:bookmarkEnd w:id="1428"/>
      <w:bookmarkEnd w:id="1429"/>
      <w:bookmarkEnd w:id="1430"/>
      <w:bookmarkEnd w:id="1431"/>
      <w:bookmarkEnd w:id="1432"/>
      <w:r>
        <w:rPr>
          <w:rFonts w:hint="eastAsia" w:ascii="宋体" w:hAnsi="宋体" w:eastAsia="宋体" w:cs="宋体"/>
          <w:color w:val="auto"/>
          <w:spacing w:val="-5"/>
          <w:kern w:val="2"/>
          <w:sz w:val="21"/>
          <w:szCs w:val="21"/>
          <w:highlight w:val="none"/>
          <w:lang w:val="en-US" w:eastAsia="zh-CN" w:bidi="ar-SA"/>
        </w:rPr>
        <w:t xml:space="preserve"> </w:t>
      </w:r>
    </w:p>
    <w:p>
      <w:pPr>
        <w:pageBreakBefore w:val="0"/>
        <w:widowControl w:val="0"/>
        <w:kinsoku/>
        <w:wordWrap/>
        <w:overflowPunct/>
        <w:topLinePunct w:val="0"/>
        <w:bidi w:val="0"/>
        <w:adjustRightInd/>
        <w:snapToGrid/>
        <w:spacing w:line="360" w:lineRule="auto"/>
        <w:ind w:left="0" w:right="0"/>
        <w:jc w:val="center"/>
        <w:textAlignment w:val="auto"/>
        <w:outlineLvl w:val="1"/>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 xml:space="preserve">                                                 </w:t>
      </w:r>
      <w:bookmarkStart w:id="1433" w:name="_Toc15556"/>
      <w:bookmarkStart w:id="1434" w:name="_Toc8583"/>
      <w:bookmarkStart w:id="1435" w:name="_Toc14544"/>
      <w:bookmarkStart w:id="1436" w:name="_Toc31819"/>
      <w:bookmarkStart w:id="1437" w:name="_Toc31954"/>
      <w:bookmarkStart w:id="1438" w:name="_Toc25253"/>
      <w:bookmarkStart w:id="1439" w:name="_Toc27678"/>
      <w:r>
        <w:rPr>
          <w:rFonts w:hint="eastAsia" w:ascii="宋体" w:hAnsi="宋体" w:eastAsia="宋体" w:cs="宋体"/>
          <w:color w:val="auto"/>
          <w:spacing w:val="-5"/>
          <w:kern w:val="2"/>
          <w:sz w:val="21"/>
          <w:szCs w:val="21"/>
          <w:highlight w:val="none"/>
          <w:lang w:val="en-US" w:eastAsia="zh-CN" w:bidi="ar-SA"/>
        </w:rPr>
        <w:t>日 期：</w:t>
      </w:r>
      <w:bookmarkEnd w:id="1433"/>
      <w:bookmarkEnd w:id="1434"/>
      <w:bookmarkEnd w:id="1435"/>
      <w:bookmarkEnd w:id="1436"/>
      <w:bookmarkEnd w:id="1437"/>
      <w:bookmarkEnd w:id="1438"/>
      <w:bookmarkEnd w:id="1439"/>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1.从业人员、营业收入、资产总额填报上一年度数据，无上一年度数据的新成立企业可不填报。</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2.填写前请认真阅读《关于印发中小企业划型标准规定的通知》（工信部联企业[2011]300 号）和《关于 印发＜政府采购促进中小企业发展管理办法＞的通知》(财库﹝2020﹞46号)相关规定。</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3.未按上述要求提供、填写的，评审时不予以考虑。</w:t>
      </w:r>
    </w:p>
    <w:p>
      <w:pPr>
        <w:spacing w:line="360" w:lineRule="auto"/>
        <w:ind w:firstLine="420"/>
        <w:rPr>
          <w:rFonts w:hint="eastAsia" w:ascii="宋体" w:hAnsi="宋体" w:eastAsia="宋体" w:cs="宋体"/>
          <w:color w:val="auto"/>
          <w:sz w:val="21"/>
          <w:szCs w:val="21"/>
          <w:highlight w:val="none"/>
          <w:lang w:eastAsia="zh-CN"/>
        </w:rPr>
      </w:pPr>
    </w:p>
    <w:p>
      <w:pPr>
        <w:bidi w:val="0"/>
        <w:ind w:firstLine="422" w:firstLineChars="200"/>
        <w:rPr>
          <w:rFonts w:hint="eastAsia" w:ascii="宋体" w:hAnsi="宋体" w:eastAsia="宋体" w:cs="宋体"/>
          <w:color w:val="auto"/>
          <w:sz w:val="21"/>
          <w:szCs w:val="21"/>
          <w:highlight w:val="none"/>
          <w:lang w:eastAsia="zh-CN"/>
        </w:rPr>
        <w:sectPr>
          <w:pgSz w:w="11910" w:h="16840"/>
          <w:pgMar w:top="1440" w:right="1080" w:bottom="1440" w:left="1080" w:header="1134" w:footer="1077" w:gutter="0"/>
          <w:pgNumType w:fmt="decimal"/>
          <w:cols w:space="720" w:num="1"/>
        </w:sect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以联合体形式参加政府采购活动，联合体各方均为中小企业的，联合体视同中小企业。其中，联合体各方均为小微企业的，联合体视同小微企业。</w:t>
      </w:r>
    </w:p>
    <w:p>
      <w:pPr>
        <w:pStyle w:val="4"/>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1"/>
        <w:rPr>
          <w:rFonts w:hint="eastAsia" w:ascii="宋体" w:hAnsi="宋体" w:eastAsia="宋体" w:cs="宋体"/>
          <w:color w:val="auto"/>
          <w:sz w:val="21"/>
          <w:szCs w:val="21"/>
          <w:highlight w:val="none"/>
          <w:lang w:eastAsia="zh-CN"/>
        </w:rPr>
      </w:pPr>
      <w:bookmarkStart w:id="1440" w:name="十、残疾人福利性单位声明函"/>
      <w:bookmarkEnd w:id="1440"/>
      <w:bookmarkStart w:id="1441" w:name="_Toc30885"/>
      <w:bookmarkStart w:id="1442" w:name="_Toc5625"/>
      <w:bookmarkStart w:id="1443" w:name="_Toc8610"/>
      <w:bookmarkStart w:id="1444" w:name="_Toc30308"/>
      <w:bookmarkStart w:id="1445" w:name="_Toc410"/>
      <w:bookmarkStart w:id="1446" w:name="_Toc5455"/>
      <w:bookmarkStart w:id="1447" w:name="_Toc25566"/>
      <w:bookmarkStart w:id="1448" w:name="_Toc17668"/>
      <w:bookmarkStart w:id="1449" w:name="_Toc23761"/>
      <w:bookmarkStart w:id="1450" w:name="_Toc11434"/>
      <w:bookmarkStart w:id="1451" w:name="_Toc3204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）、残疾人福利性单位声明函</w:t>
      </w:r>
      <w:bookmarkEnd w:id="1441"/>
      <w:bookmarkEnd w:id="1442"/>
      <w:bookmarkEnd w:id="1443"/>
      <w:bookmarkEnd w:id="1444"/>
      <w:bookmarkEnd w:id="1445"/>
      <w:bookmarkEnd w:id="1446"/>
      <w:bookmarkEnd w:id="1447"/>
      <w:bookmarkEnd w:id="1448"/>
      <w:bookmarkEnd w:id="1449"/>
      <w:bookmarkEnd w:id="1450"/>
      <w:bookmarkEnd w:id="1451"/>
    </w:p>
    <w:p>
      <w:pPr>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本单位郑重声明，根据《财政部民政部中国残疾人联合会关于促进残疾人就业政府采购政策的通知》（财库〔2017〕141号）的规定，本单位为符合条件的残疾人福利性单位，且本单位参加的</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 （盖章）</w:t>
      </w: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法定代表人或其委托代理人：（个人签字或盖章）</w:t>
      </w: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bookmarkStart w:id="1452" w:name="日___期："/>
      <w:bookmarkEnd w:id="1452"/>
      <w:r>
        <w:rPr>
          <w:rFonts w:hint="eastAsia" w:ascii="宋体" w:hAnsi="宋体" w:eastAsia="宋体" w:cs="宋体"/>
          <w:color w:val="auto"/>
          <w:kern w:val="2"/>
          <w:sz w:val="21"/>
          <w:szCs w:val="21"/>
          <w:highlight w:val="none"/>
          <w:lang w:val="en-US" w:eastAsia="zh-CN" w:bidi="ar-SA"/>
        </w:rPr>
        <w:t>日  期：</w:t>
      </w: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rPr>
          <w:rFonts w:hint="eastAsia" w:ascii="宋体" w:hAnsi="宋体" w:eastAsia="宋体" w:cs="宋体"/>
          <w:color w:val="auto"/>
          <w:kern w:val="2"/>
          <w:sz w:val="21"/>
          <w:szCs w:val="21"/>
          <w:highlight w:val="none"/>
          <w:lang w:val="en-US" w:eastAsia="zh-CN" w:bidi="ar-SA"/>
        </w:rPr>
      </w:pPr>
    </w:p>
    <w:p>
      <w:pPr>
        <w:bidi w:val="0"/>
        <w:spacing w:line="360" w:lineRule="auto"/>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注：该声明函是针对残疾人福利性单位的，若本单位非残疾人福利性单位投标时不用提供该声明。</w:t>
      </w:r>
    </w:p>
    <w:p>
      <w:pPr>
        <w:bidi w:val="0"/>
        <w:rPr>
          <w:rFonts w:hint="eastAsia" w:ascii="宋体" w:hAnsi="宋体" w:eastAsia="宋体" w:cs="宋体"/>
          <w:color w:val="auto"/>
          <w:sz w:val="21"/>
          <w:szCs w:val="21"/>
          <w:highlight w:val="none"/>
          <w:lang w:eastAsia="zh-CN"/>
        </w:rPr>
      </w:pPr>
    </w:p>
    <w:p>
      <w:pPr>
        <w:pStyle w:val="192"/>
        <w:rPr>
          <w:rFonts w:hint="eastAsia" w:ascii="宋体" w:hAnsi="宋体" w:eastAsia="宋体" w:cs="宋体"/>
          <w:color w:val="auto"/>
          <w:sz w:val="21"/>
          <w:szCs w:val="21"/>
          <w:highlight w:val="none"/>
          <w:lang w:eastAsia="zh-CN"/>
        </w:rPr>
      </w:pPr>
    </w:p>
    <w:p>
      <w:pPr>
        <w:pStyle w:val="192"/>
        <w:rPr>
          <w:rFonts w:hint="eastAsia" w:ascii="宋体" w:hAnsi="宋体" w:eastAsia="宋体" w:cs="宋体"/>
          <w:color w:val="auto"/>
          <w:sz w:val="21"/>
          <w:szCs w:val="21"/>
          <w:highlight w:val="none"/>
          <w:lang w:eastAsia="zh-CN"/>
        </w:rPr>
      </w:pPr>
    </w:p>
    <w:p>
      <w:pPr>
        <w:pStyle w:val="192"/>
        <w:rPr>
          <w:rFonts w:hint="eastAsia" w:ascii="宋体" w:hAnsi="宋体" w:eastAsia="宋体" w:cs="宋体"/>
          <w:color w:val="auto"/>
          <w:sz w:val="21"/>
          <w:szCs w:val="21"/>
          <w:highlight w:val="none"/>
          <w:lang w:eastAsia="zh-CN"/>
        </w:rPr>
      </w:pPr>
    </w:p>
    <w:p>
      <w:pPr>
        <w:pStyle w:val="4"/>
        <w:spacing w:line="443" w:lineRule="exact"/>
        <w:ind w:right="108"/>
        <w:jc w:val="center"/>
        <w:outlineLvl w:val="1"/>
        <w:rPr>
          <w:rFonts w:hint="eastAsia" w:ascii="宋体" w:hAnsi="宋体" w:eastAsia="宋体" w:cs="宋体"/>
          <w:color w:val="auto"/>
          <w:sz w:val="21"/>
          <w:szCs w:val="21"/>
          <w:highlight w:val="none"/>
          <w:lang w:eastAsia="zh-CN"/>
        </w:rPr>
      </w:pPr>
      <w:bookmarkStart w:id="1453" w:name="_Toc31864"/>
      <w:bookmarkStart w:id="1454" w:name="_Toc24064"/>
      <w:bookmarkStart w:id="1455" w:name="_Toc32720"/>
      <w:bookmarkStart w:id="1456" w:name="_Toc19240"/>
      <w:bookmarkStart w:id="1457" w:name="_Toc8467"/>
      <w:bookmarkStart w:id="1458" w:name="_Toc8236"/>
      <w:bookmarkStart w:id="1459" w:name="_Toc27398"/>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、监狱企业证明文件</w:t>
      </w:r>
      <w:bookmarkEnd w:id="1453"/>
      <w:bookmarkEnd w:id="1454"/>
      <w:bookmarkEnd w:id="1455"/>
      <w:bookmarkEnd w:id="1456"/>
      <w:bookmarkEnd w:id="1457"/>
      <w:bookmarkEnd w:id="1458"/>
      <w:bookmarkEnd w:id="1459"/>
    </w:p>
    <w:p>
      <w:pPr>
        <w:pStyle w:val="5"/>
        <w:spacing w:line="360" w:lineRule="auto"/>
        <w:ind w:firstLine="118"/>
        <w:jc w:val="center"/>
        <w:rPr>
          <w:rFonts w:hint="eastAsia" w:ascii="宋体" w:hAnsi="宋体" w:eastAsia="宋体" w:cs="宋体"/>
          <w:color w:val="auto"/>
          <w:kern w:val="0"/>
          <w:sz w:val="21"/>
          <w:szCs w:val="21"/>
          <w:highlight w:val="none"/>
          <w:lang w:bidi="ar"/>
        </w:rPr>
      </w:pPr>
      <w:bookmarkStart w:id="1460" w:name="_Toc2072"/>
      <w:r>
        <w:rPr>
          <w:rFonts w:hint="eastAsia" w:ascii="宋体" w:hAnsi="宋体" w:eastAsia="宋体" w:cs="宋体"/>
          <w:color w:val="auto"/>
          <w:kern w:val="0"/>
          <w:sz w:val="21"/>
          <w:szCs w:val="21"/>
          <w:highlight w:val="none"/>
          <w:lang w:bidi="ar"/>
        </w:rPr>
        <w:t>省级以上监狱管理局、戒毒管理局（含新疆生产建设兵团）出具的属于监狱企业的证明文件。</w:t>
      </w:r>
      <w:bookmarkEnd w:id="1460"/>
    </w:p>
    <w:p>
      <w:pPr>
        <w:pStyle w:val="5"/>
        <w:spacing w:line="360" w:lineRule="auto"/>
        <w:ind w:firstLine="118"/>
        <w:jc w:val="center"/>
        <w:rPr>
          <w:rFonts w:hint="eastAsia" w:ascii="宋体" w:hAnsi="宋体" w:eastAsia="宋体" w:cs="宋体"/>
          <w:color w:val="auto"/>
          <w:kern w:val="0"/>
          <w:sz w:val="21"/>
          <w:szCs w:val="21"/>
          <w:highlight w:val="none"/>
          <w:lang w:bidi="ar"/>
        </w:rPr>
      </w:pPr>
    </w:p>
    <w:p>
      <w:pPr>
        <w:pStyle w:val="5"/>
        <w:spacing w:line="360" w:lineRule="auto"/>
        <w:ind w:firstLine="118"/>
        <w:jc w:val="center"/>
        <w:rPr>
          <w:rFonts w:hint="eastAsia" w:ascii="宋体" w:hAnsi="宋体" w:eastAsia="宋体" w:cs="宋体"/>
          <w:b/>
          <w:color w:val="auto"/>
          <w:sz w:val="21"/>
          <w:szCs w:val="21"/>
          <w:highlight w:val="none"/>
        </w:rPr>
      </w:pPr>
      <w:bookmarkStart w:id="1461" w:name="_Toc24574"/>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）投标人认为有必要提供的其它材料。</w:t>
      </w:r>
      <w:bookmarkEnd w:id="1412"/>
      <w:bookmarkEnd w:id="1413"/>
      <w:bookmarkEnd w:id="1414"/>
      <w:bookmarkEnd w:id="1415"/>
      <w:bookmarkEnd w:id="1416"/>
      <w:bookmarkEnd w:id="1417"/>
      <w:bookmarkEnd w:id="1461"/>
    </w:p>
    <w:sectPr>
      <w:headerReference r:id="rId10" w:type="first"/>
      <w:footerReference r:id="rId12" w:type="first"/>
      <w:headerReference r:id="rId9" w:type="default"/>
      <w:footerReference r:id="rId11" w:type="default"/>
      <w:pgSz w:w="11906" w:h="16838"/>
      <w:pgMar w:top="1418" w:right="1274"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A00002EF" w:usb1="4000207B" w:usb2="00000000" w:usb3="00000000" w:csb0="2000019F" w:csb1="00000000"/>
  </w:font>
  <w:font w:name="CG Times">
    <w:altName w:val="Segoe Print"/>
    <w:panose1 w:val="00000000000000000000"/>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Segoe UI Symbol">
    <w:panose1 w:val="020B0502040204020203"/>
    <w:charset w:val="00"/>
    <w:family w:val="auto"/>
    <w:pitch w:val="default"/>
    <w:sig w:usb0="8000006F" w:usb1="1200FBEF" w:usb2="0064C000" w:usb3="00000002" w:csb0="00000001" w:csb1="4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C2B13"/>
    <w:multiLevelType w:val="singleLevel"/>
    <w:tmpl w:val="EDAC2B13"/>
    <w:lvl w:ilvl="0" w:tentative="0">
      <w:start w:val="1"/>
      <w:numFmt w:val="decimal"/>
      <w:pStyle w:val="144"/>
      <w:lvlText w:val="(%1)"/>
      <w:lvlJc w:val="left"/>
      <w:pPr>
        <w:tabs>
          <w:tab w:val="left" w:pos="312"/>
        </w:tabs>
      </w:pPr>
    </w:lvl>
  </w:abstractNum>
  <w:abstractNum w:abstractNumId="1">
    <w:nsid w:val="0D8C6054"/>
    <w:multiLevelType w:val="multilevel"/>
    <w:tmpl w:val="0D8C6054"/>
    <w:lvl w:ilvl="0" w:tentative="0">
      <w:start w:val="1"/>
      <w:numFmt w:val="decimal"/>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pStyle w:val="164"/>
      <w:lvlText w:val="%2)"/>
      <w:lvlJc w:val="left"/>
      <w:pPr>
        <w:ind w:left="1200" w:hanging="360"/>
      </w:pPr>
    </w:lvl>
    <w:lvl w:ilvl="2" w:tentative="0">
      <w:start w:val="1"/>
      <w:numFmt w:val="lowerRoman"/>
      <w:pStyle w:val="156"/>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6F187DA"/>
    <w:multiLevelType w:val="singleLevel"/>
    <w:tmpl w:val="16F187DA"/>
    <w:lvl w:ilvl="0" w:tentative="0">
      <w:start w:val="16"/>
      <w:numFmt w:val="decimal"/>
      <w:suff w:val="nothing"/>
      <w:lvlText w:val="%1．"/>
      <w:lvlJc w:val="left"/>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pStyle w:val="160"/>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5">
    <w:nsid w:val="301F5202"/>
    <w:multiLevelType w:val="multilevel"/>
    <w:tmpl w:val="301F5202"/>
    <w:lvl w:ilvl="0" w:tentative="0">
      <w:start w:val="1"/>
      <w:numFmt w:val="decimal"/>
      <w:pStyle w:val="161"/>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6">
    <w:nsid w:val="3AA800C6"/>
    <w:multiLevelType w:val="multilevel"/>
    <w:tmpl w:val="3AA800C6"/>
    <w:lvl w:ilvl="0" w:tentative="0">
      <w:start w:val="1"/>
      <w:numFmt w:val="decimal"/>
      <w:pStyle w:val="153"/>
      <w:lvlText w:val="第%1条"/>
      <w:lvlJc w:val="left"/>
      <w:pPr>
        <w:ind w:left="0" w:firstLine="0"/>
      </w:pPr>
    </w:lvl>
    <w:lvl w:ilvl="1" w:tentative="0">
      <w:start w:val="1"/>
      <w:numFmt w:val="decimal"/>
      <w:pStyle w:val="157"/>
      <w:lvlText w:val="%1.%2"/>
      <w:lvlJc w:val="left"/>
      <w:pPr>
        <w:ind w:left="0" w:firstLine="0"/>
      </w:pPr>
    </w:lvl>
    <w:lvl w:ilvl="2" w:tentative="0">
      <w:start w:val="1"/>
      <w:numFmt w:val="decimal"/>
      <w:pStyle w:val="166"/>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61BD6C99"/>
    <w:multiLevelType w:val="multilevel"/>
    <w:tmpl w:val="61BD6C99"/>
    <w:lvl w:ilvl="0" w:tentative="0">
      <w:start w:val="1"/>
      <w:numFmt w:val="lowerRoman"/>
      <w:pStyle w:val="151"/>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62687BB6"/>
    <w:multiLevelType w:val="multilevel"/>
    <w:tmpl w:val="62687BB6"/>
    <w:lvl w:ilvl="0" w:tentative="0">
      <w:start w:val="1"/>
      <w:numFmt w:val="decimal"/>
      <w:pStyle w:val="15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9175EB6"/>
    <w:multiLevelType w:val="multilevel"/>
    <w:tmpl w:val="69175EB6"/>
    <w:lvl w:ilvl="0" w:tentative="0">
      <w:start w:val="1"/>
      <w:numFmt w:val="decimalEnclosedCircle"/>
      <w:lvlText w:val="%1"/>
      <w:lvlJc w:val="left"/>
      <w:pPr>
        <w:ind w:left="840" w:hanging="420"/>
      </w:pPr>
      <w:rPr>
        <w:rFonts w:hint="default"/>
      </w:rPr>
    </w:lvl>
    <w:lvl w:ilvl="1" w:tentative="0">
      <w:start w:val="1"/>
      <w:numFmt w:val="lowerLetter"/>
      <w:pStyle w:val="171"/>
      <w:lvlText w:val="%2)"/>
      <w:lvlJc w:val="left"/>
      <w:pPr>
        <w:ind w:left="1260" w:hanging="420"/>
      </w:pPr>
    </w:lvl>
    <w:lvl w:ilvl="2" w:tentative="0">
      <w:start w:val="1"/>
      <w:numFmt w:val="lowerRoman"/>
      <w:lvlText w:val="%3."/>
      <w:lvlJc w:val="right"/>
      <w:pPr>
        <w:ind w:left="1680" w:hanging="420"/>
      </w:pPr>
    </w:lvl>
    <w:lvl w:ilvl="3" w:tentative="0">
      <w:start w:val="1"/>
      <w:numFmt w:val="decimal"/>
      <w:pStyle w:val="165"/>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543651A"/>
    <w:multiLevelType w:val="multilevel"/>
    <w:tmpl w:val="754365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pStyle w:val="16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lvl w:ilvl="0" w:tentative="1">
        <w:start w:val="1"/>
        <w:numFmt w:val="decimal"/>
        <w:pStyle w:val="148"/>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140"/>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0"/>
  </w:num>
  <w:num w:numId="3">
    <w:abstractNumId w:val="2"/>
  </w:num>
  <w:num w:numId="4">
    <w:abstractNumId w:val="7"/>
  </w:num>
  <w:num w:numId="5">
    <w:abstractNumId w:val="6"/>
  </w:num>
  <w:num w:numId="6">
    <w:abstractNumId w:val="1"/>
  </w:num>
  <w:num w:numId="7">
    <w:abstractNumId w:val="8"/>
  </w:num>
  <w:num w:numId="8">
    <w:abstractNumId w:val="4"/>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wMWNhY2VhZTNlNGVlYzlhMzU0OTViYmIxYTIwZjEifQ=="/>
  </w:docVars>
  <w:rsids>
    <w:rsidRoot w:val="004E0845"/>
    <w:rsid w:val="00002038"/>
    <w:rsid w:val="000026EF"/>
    <w:rsid w:val="00002F72"/>
    <w:rsid w:val="000077CA"/>
    <w:rsid w:val="00012675"/>
    <w:rsid w:val="0001415F"/>
    <w:rsid w:val="00014D2B"/>
    <w:rsid w:val="00016F08"/>
    <w:rsid w:val="00020013"/>
    <w:rsid w:val="00021932"/>
    <w:rsid w:val="00022CD5"/>
    <w:rsid w:val="000235B5"/>
    <w:rsid w:val="00027A51"/>
    <w:rsid w:val="00031D40"/>
    <w:rsid w:val="00032EFF"/>
    <w:rsid w:val="0003503D"/>
    <w:rsid w:val="000432F1"/>
    <w:rsid w:val="00043682"/>
    <w:rsid w:val="00050DDB"/>
    <w:rsid w:val="00051237"/>
    <w:rsid w:val="000515EE"/>
    <w:rsid w:val="000545F1"/>
    <w:rsid w:val="000555C5"/>
    <w:rsid w:val="000569F2"/>
    <w:rsid w:val="00061A42"/>
    <w:rsid w:val="000657C0"/>
    <w:rsid w:val="00065A1B"/>
    <w:rsid w:val="0006792B"/>
    <w:rsid w:val="00073634"/>
    <w:rsid w:val="00073966"/>
    <w:rsid w:val="000767AB"/>
    <w:rsid w:val="00077154"/>
    <w:rsid w:val="000775BA"/>
    <w:rsid w:val="00080242"/>
    <w:rsid w:val="00083CBA"/>
    <w:rsid w:val="0009211C"/>
    <w:rsid w:val="00094334"/>
    <w:rsid w:val="00097256"/>
    <w:rsid w:val="000A1EC2"/>
    <w:rsid w:val="000A2C66"/>
    <w:rsid w:val="000A2FAA"/>
    <w:rsid w:val="000A5D29"/>
    <w:rsid w:val="000B2A5F"/>
    <w:rsid w:val="000B454B"/>
    <w:rsid w:val="000B5561"/>
    <w:rsid w:val="000B58D8"/>
    <w:rsid w:val="000B6219"/>
    <w:rsid w:val="000C2FCA"/>
    <w:rsid w:val="000C5AC9"/>
    <w:rsid w:val="000C6378"/>
    <w:rsid w:val="000C7754"/>
    <w:rsid w:val="000D0FE7"/>
    <w:rsid w:val="000D14EC"/>
    <w:rsid w:val="000D1B46"/>
    <w:rsid w:val="000D2745"/>
    <w:rsid w:val="000D3273"/>
    <w:rsid w:val="000D5597"/>
    <w:rsid w:val="000D7A8D"/>
    <w:rsid w:val="000E15FF"/>
    <w:rsid w:val="000E2922"/>
    <w:rsid w:val="000E4D2D"/>
    <w:rsid w:val="000E6DB7"/>
    <w:rsid w:val="000E7E22"/>
    <w:rsid w:val="000F15E8"/>
    <w:rsid w:val="000F1EEB"/>
    <w:rsid w:val="000F2103"/>
    <w:rsid w:val="000F28C8"/>
    <w:rsid w:val="000F4336"/>
    <w:rsid w:val="000F44A9"/>
    <w:rsid w:val="000F5C3C"/>
    <w:rsid w:val="000F67F6"/>
    <w:rsid w:val="00101F7C"/>
    <w:rsid w:val="001050C9"/>
    <w:rsid w:val="00106DAA"/>
    <w:rsid w:val="00111716"/>
    <w:rsid w:val="00111F3C"/>
    <w:rsid w:val="001134BF"/>
    <w:rsid w:val="00116579"/>
    <w:rsid w:val="0011747B"/>
    <w:rsid w:val="00120CC3"/>
    <w:rsid w:val="00120FEC"/>
    <w:rsid w:val="00121A11"/>
    <w:rsid w:val="00123264"/>
    <w:rsid w:val="001302ED"/>
    <w:rsid w:val="00130697"/>
    <w:rsid w:val="00130C3E"/>
    <w:rsid w:val="001359BE"/>
    <w:rsid w:val="001368F1"/>
    <w:rsid w:val="00140C09"/>
    <w:rsid w:val="00150DC2"/>
    <w:rsid w:val="0015205A"/>
    <w:rsid w:val="0015391A"/>
    <w:rsid w:val="00155E60"/>
    <w:rsid w:val="00160D5B"/>
    <w:rsid w:val="001617C5"/>
    <w:rsid w:val="00162163"/>
    <w:rsid w:val="00162164"/>
    <w:rsid w:val="001637EA"/>
    <w:rsid w:val="0016622A"/>
    <w:rsid w:val="00172924"/>
    <w:rsid w:val="0017470E"/>
    <w:rsid w:val="00176416"/>
    <w:rsid w:val="001836AF"/>
    <w:rsid w:val="0018589E"/>
    <w:rsid w:val="0019008C"/>
    <w:rsid w:val="001922EC"/>
    <w:rsid w:val="001954B2"/>
    <w:rsid w:val="00195B5C"/>
    <w:rsid w:val="001964E7"/>
    <w:rsid w:val="001B15BA"/>
    <w:rsid w:val="001B2665"/>
    <w:rsid w:val="001B40D2"/>
    <w:rsid w:val="001B4DCD"/>
    <w:rsid w:val="001C0A07"/>
    <w:rsid w:val="001C1078"/>
    <w:rsid w:val="001C193D"/>
    <w:rsid w:val="001C2F90"/>
    <w:rsid w:val="001C4087"/>
    <w:rsid w:val="001D0D8D"/>
    <w:rsid w:val="001D37DB"/>
    <w:rsid w:val="001D4BB2"/>
    <w:rsid w:val="001E65CD"/>
    <w:rsid w:val="001E6C45"/>
    <w:rsid w:val="001F0A2F"/>
    <w:rsid w:val="001F16D5"/>
    <w:rsid w:val="001F2F38"/>
    <w:rsid w:val="001F4462"/>
    <w:rsid w:val="001F6A13"/>
    <w:rsid w:val="00201C2B"/>
    <w:rsid w:val="00201F5A"/>
    <w:rsid w:val="002048EF"/>
    <w:rsid w:val="0020641F"/>
    <w:rsid w:val="00210FBC"/>
    <w:rsid w:val="00213C5D"/>
    <w:rsid w:val="00215CEE"/>
    <w:rsid w:val="00217CB9"/>
    <w:rsid w:val="00217EF2"/>
    <w:rsid w:val="0022450F"/>
    <w:rsid w:val="0022637E"/>
    <w:rsid w:val="00227245"/>
    <w:rsid w:val="002306E6"/>
    <w:rsid w:val="00231D8B"/>
    <w:rsid w:val="00232B8A"/>
    <w:rsid w:val="00241FF6"/>
    <w:rsid w:val="0024246C"/>
    <w:rsid w:val="002439D2"/>
    <w:rsid w:val="00245B2C"/>
    <w:rsid w:val="002463C9"/>
    <w:rsid w:val="00247EA9"/>
    <w:rsid w:val="002523CD"/>
    <w:rsid w:val="00252C56"/>
    <w:rsid w:val="00257F75"/>
    <w:rsid w:val="00265ECC"/>
    <w:rsid w:val="00267C3B"/>
    <w:rsid w:val="002708AB"/>
    <w:rsid w:val="00270DF9"/>
    <w:rsid w:val="00274466"/>
    <w:rsid w:val="00277895"/>
    <w:rsid w:val="0028067E"/>
    <w:rsid w:val="002813D9"/>
    <w:rsid w:val="00281CEA"/>
    <w:rsid w:val="00283B7C"/>
    <w:rsid w:val="002841E6"/>
    <w:rsid w:val="002844C7"/>
    <w:rsid w:val="00284F65"/>
    <w:rsid w:val="00285277"/>
    <w:rsid w:val="00285B7B"/>
    <w:rsid w:val="002907A2"/>
    <w:rsid w:val="002938FD"/>
    <w:rsid w:val="002A3CCC"/>
    <w:rsid w:val="002A6010"/>
    <w:rsid w:val="002A6D11"/>
    <w:rsid w:val="002B0F0E"/>
    <w:rsid w:val="002B2B08"/>
    <w:rsid w:val="002B401C"/>
    <w:rsid w:val="002B4B62"/>
    <w:rsid w:val="002B51E7"/>
    <w:rsid w:val="002C1510"/>
    <w:rsid w:val="002C3463"/>
    <w:rsid w:val="002C527B"/>
    <w:rsid w:val="002C5506"/>
    <w:rsid w:val="002D0F02"/>
    <w:rsid w:val="002D15C8"/>
    <w:rsid w:val="002D1864"/>
    <w:rsid w:val="002D1E94"/>
    <w:rsid w:val="002D2467"/>
    <w:rsid w:val="002D2CDA"/>
    <w:rsid w:val="002D3081"/>
    <w:rsid w:val="002D317B"/>
    <w:rsid w:val="002D3EBD"/>
    <w:rsid w:val="002D7858"/>
    <w:rsid w:val="002D7FF8"/>
    <w:rsid w:val="002E2A52"/>
    <w:rsid w:val="002E2FE1"/>
    <w:rsid w:val="002E440E"/>
    <w:rsid w:val="002E6B7B"/>
    <w:rsid w:val="002E6CF4"/>
    <w:rsid w:val="002F0B91"/>
    <w:rsid w:val="002F1F63"/>
    <w:rsid w:val="002F3F2B"/>
    <w:rsid w:val="002F53FF"/>
    <w:rsid w:val="002F58E4"/>
    <w:rsid w:val="002F77F5"/>
    <w:rsid w:val="002F7F72"/>
    <w:rsid w:val="003026A0"/>
    <w:rsid w:val="0031137B"/>
    <w:rsid w:val="00312237"/>
    <w:rsid w:val="0031253F"/>
    <w:rsid w:val="00312B00"/>
    <w:rsid w:val="003203DE"/>
    <w:rsid w:val="00321E00"/>
    <w:rsid w:val="00323567"/>
    <w:rsid w:val="00331227"/>
    <w:rsid w:val="00331363"/>
    <w:rsid w:val="00334B7B"/>
    <w:rsid w:val="003357D8"/>
    <w:rsid w:val="0033668B"/>
    <w:rsid w:val="00336811"/>
    <w:rsid w:val="003370C4"/>
    <w:rsid w:val="00340951"/>
    <w:rsid w:val="003423E7"/>
    <w:rsid w:val="00342E27"/>
    <w:rsid w:val="003432F9"/>
    <w:rsid w:val="00343D20"/>
    <w:rsid w:val="00350EA3"/>
    <w:rsid w:val="0035157A"/>
    <w:rsid w:val="003515F3"/>
    <w:rsid w:val="00360C3F"/>
    <w:rsid w:val="00364243"/>
    <w:rsid w:val="003726C0"/>
    <w:rsid w:val="00373ABF"/>
    <w:rsid w:val="003773FA"/>
    <w:rsid w:val="003779C3"/>
    <w:rsid w:val="0038197B"/>
    <w:rsid w:val="00381F22"/>
    <w:rsid w:val="00382234"/>
    <w:rsid w:val="003859F5"/>
    <w:rsid w:val="00387097"/>
    <w:rsid w:val="00387FDA"/>
    <w:rsid w:val="00390C10"/>
    <w:rsid w:val="00394E07"/>
    <w:rsid w:val="00395044"/>
    <w:rsid w:val="00396467"/>
    <w:rsid w:val="003A2448"/>
    <w:rsid w:val="003A30FF"/>
    <w:rsid w:val="003A4BBD"/>
    <w:rsid w:val="003A50CB"/>
    <w:rsid w:val="003A779B"/>
    <w:rsid w:val="003B07C3"/>
    <w:rsid w:val="003B090F"/>
    <w:rsid w:val="003B33BC"/>
    <w:rsid w:val="003B36CD"/>
    <w:rsid w:val="003B3D3D"/>
    <w:rsid w:val="003B4334"/>
    <w:rsid w:val="003B5A94"/>
    <w:rsid w:val="003B7E63"/>
    <w:rsid w:val="003C12F6"/>
    <w:rsid w:val="003C19E8"/>
    <w:rsid w:val="003C26E9"/>
    <w:rsid w:val="003C4FD6"/>
    <w:rsid w:val="003C5064"/>
    <w:rsid w:val="003C5165"/>
    <w:rsid w:val="003C66E6"/>
    <w:rsid w:val="003C686B"/>
    <w:rsid w:val="003C6BF9"/>
    <w:rsid w:val="003C6EBC"/>
    <w:rsid w:val="003D3882"/>
    <w:rsid w:val="003D5227"/>
    <w:rsid w:val="003D53A9"/>
    <w:rsid w:val="003E11DD"/>
    <w:rsid w:val="003E120E"/>
    <w:rsid w:val="003E25EF"/>
    <w:rsid w:val="003E2AE6"/>
    <w:rsid w:val="003E60E3"/>
    <w:rsid w:val="003E67A6"/>
    <w:rsid w:val="003E7980"/>
    <w:rsid w:val="003F1BC2"/>
    <w:rsid w:val="003F2CD4"/>
    <w:rsid w:val="003F5802"/>
    <w:rsid w:val="003F5FAD"/>
    <w:rsid w:val="003F7B81"/>
    <w:rsid w:val="00406CF8"/>
    <w:rsid w:val="00407383"/>
    <w:rsid w:val="00413454"/>
    <w:rsid w:val="004151D6"/>
    <w:rsid w:val="00416D34"/>
    <w:rsid w:val="00423D5D"/>
    <w:rsid w:val="00426C8E"/>
    <w:rsid w:val="0043463F"/>
    <w:rsid w:val="0043610C"/>
    <w:rsid w:val="004370F8"/>
    <w:rsid w:val="004373B5"/>
    <w:rsid w:val="00444406"/>
    <w:rsid w:val="0044620C"/>
    <w:rsid w:val="00446400"/>
    <w:rsid w:val="00452E3E"/>
    <w:rsid w:val="0045437F"/>
    <w:rsid w:val="00454B49"/>
    <w:rsid w:val="00454F52"/>
    <w:rsid w:val="004550B4"/>
    <w:rsid w:val="00455515"/>
    <w:rsid w:val="00455D69"/>
    <w:rsid w:val="00460FB1"/>
    <w:rsid w:val="004616ED"/>
    <w:rsid w:val="004621CF"/>
    <w:rsid w:val="00462678"/>
    <w:rsid w:val="004712D4"/>
    <w:rsid w:val="0047208E"/>
    <w:rsid w:val="0047276F"/>
    <w:rsid w:val="00474247"/>
    <w:rsid w:val="00475A94"/>
    <w:rsid w:val="004760BD"/>
    <w:rsid w:val="00476B80"/>
    <w:rsid w:val="00476CF8"/>
    <w:rsid w:val="004825D4"/>
    <w:rsid w:val="00483DDD"/>
    <w:rsid w:val="00483F34"/>
    <w:rsid w:val="0048486C"/>
    <w:rsid w:val="004910AE"/>
    <w:rsid w:val="00491766"/>
    <w:rsid w:val="0049326B"/>
    <w:rsid w:val="004937BC"/>
    <w:rsid w:val="0049452F"/>
    <w:rsid w:val="00494C8D"/>
    <w:rsid w:val="00497835"/>
    <w:rsid w:val="004A01CB"/>
    <w:rsid w:val="004A130F"/>
    <w:rsid w:val="004A20BA"/>
    <w:rsid w:val="004A5259"/>
    <w:rsid w:val="004A6748"/>
    <w:rsid w:val="004A7E3E"/>
    <w:rsid w:val="004B57EC"/>
    <w:rsid w:val="004B5C82"/>
    <w:rsid w:val="004D0FAF"/>
    <w:rsid w:val="004D0FEA"/>
    <w:rsid w:val="004D119D"/>
    <w:rsid w:val="004D1540"/>
    <w:rsid w:val="004D297F"/>
    <w:rsid w:val="004D40DF"/>
    <w:rsid w:val="004D41D0"/>
    <w:rsid w:val="004E0845"/>
    <w:rsid w:val="004E1F0E"/>
    <w:rsid w:val="004E3E87"/>
    <w:rsid w:val="004E4384"/>
    <w:rsid w:val="004E456A"/>
    <w:rsid w:val="004E6021"/>
    <w:rsid w:val="004E6C52"/>
    <w:rsid w:val="004E6FE2"/>
    <w:rsid w:val="004E73EF"/>
    <w:rsid w:val="004F0A46"/>
    <w:rsid w:val="004F15D0"/>
    <w:rsid w:val="004F1737"/>
    <w:rsid w:val="004F24B7"/>
    <w:rsid w:val="004F2AB0"/>
    <w:rsid w:val="004F3A5D"/>
    <w:rsid w:val="004F48AA"/>
    <w:rsid w:val="004F48F8"/>
    <w:rsid w:val="004F4F4A"/>
    <w:rsid w:val="004F5922"/>
    <w:rsid w:val="004F5ED3"/>
    <w:rsid w:val="00501616"/>
    <w:rsid w:val="0050632B"/>
    <w:rsid w:val="0051175A"/>
    <w:rsid w:val="00513C4E"/>
    <w:rsid w:val="00514418"/>
    <w:rsid w:val="00520269"/>
    <w:rsid w:val="00522ADB"/>
    <w:rsid w:val="0052354F"/>
    <w:rsid w:val="0052422D"/>
    <w:rsid w:val="005259F4"/>
    <w:rsid w:val="00526E9A"/>
    <w:rsid w:val="00534D1A"/>
    <w:rsid w:val="00534EAF"/>
    <w:rsid w:val="005364F3"/>
    <w:rsid w:val="00536A60"/>
    <w:rsid w:val="00536ACD"/>
    <w:rsid w:val="00536E33"/>
    <w:rsid w:val="00540698"/>
    <w:rsid w:val="005427C7"/>
    <w:rsid w:val="00543070"/>
    <w:rsid w:val="005445B5"/>
    <w:rsid w:val="005460B7"/>
    <w:rsid w:val="00547464"/>
    <w:rsid w:val="00550542"/>
    <w:rsid w:val="0055198D"/>
    <w:rsid w:val="005541BC"/>
    <w:rsid w:val="0055572D"/>
    <w:rsid w:val="005560B9"/>
    <w:rsid w:val="0055631E"/>
    <w:rsid w:val="005565C6"/>
    <w:rsid w:val="00556E06"/>
    <w:rsid w:val="0055705F"/>
    <w:rsid w:val="0056547C"/>
    <w:rsid w:val="00571B8B"/>
    <w:rsid w:val="00572391"/>
    <w:rsid w:val="00573505"/>
    <w:rsid w:val="00575C20"/>
    <w:rsid w:val="005761E6"/>
    <w:rsid w:val="0057649C"/>
    <w:rsid w:val="00580FB7"/>
    <w:rsid w:val="0058136D"/>
    <w:rsid w:val="00582B5E"/>
    <w:rsid w:val="00584242"/>
    <w:rsid w:val="00586F82"/>
    <w:rsid w:val="005906DA"/>
    <w:rsid w:val="00592BBA"/>
    <w:rsid w:val="00596A1F"/>
    <w:rsid w:val="005A0A18"/>
    <w:rsid w:val="005A17FB"/>
    <w:rsid w:val="005A2CB2"/>
    <w:rsid w:val="005A399F"/>
    <w:rsid w:val="005B1F8D"/>
    <w:rsid w:val="005B245C"/>
    <w:rsid w:val="005B4C81"/>
    <w:rsid w:val="005C159F"/>
    <w:rsid w:val="005C6F82"/>
    <w:rsid w:val="005D362F"/>
    <w:rsid w:val="005D43DE"/>
    <w:rsid w:val="005D79A7"/>
    <w:rsid w:val="005E0A9A"/>
    <w:rsid w:val="005E1616"/>
    <w:rsid w:val="005E382E"/>
    <w:rsid w:val="005E593C"/>
    <w:rsid w:val="005E673E"/>
    <w:rsid w:val="005F2E25"/>
    <w:rsid w:val="005F2F50"/>
    <w:rsid w:val="005F437A"/>
    <w:rsid w:val="005F6803"/>
    <w:rsid w:val="00600286"/>
    <w:rsid w:val="006006EB"/>
    <w:rsid w:val="006037A5"/>
    <w:rsid w:val="00603DE8"/>
    <w:rsid w:val="0060464D"/>
    <w:rsid w:val="00607833"/>
    <w:rsid w:val="00613521"/>
    <w:rsid w:val="00615BDC"/>
    <w:rsid w:val="00620828"/>
    <w:rsid w:val="006214D7"/>
    <w:rsid w:val="00624C58"/>
    <w:rsid w:val="006305A3"/>
    <w:rsid w:val="00631CBE"/>
    <w:rsid w:val="00635BCD"/>
    <w:rsid w:val="006371AD"/>
    <w:rsid w:val="00637979"/>
    <w:rsid w:val="006414C5"/>
    <w:rsid w:val="0064573C"/>
    <w:rsid w:val="00645934"/>
    <w:rsid w:val="006464F5"/>
    <w:rsid w:val="0064718F"/>
    <w:rsid w:val="00653C18"/>
    <w:rsid w:val="00662A40"/>
    <w:rsid w:val="00662A6E"/>
    <w:rsid w:val="0066535E"/>
    <w:rsid w:val="00665703"/>
    <w:rsid w:val="0066663F"/>
    <w:rsid w:val="00666E39"/>
    <w:rsid w:val="006715CF"/>
    <w:rsid w:val="00673592"/>
    <w:rsid w:val="006736D3"/>
    <w:rsid w:val="00674994"/>
    <w:rsid w:val="00677840"/>
    <w:rsid w:val="00687A95"/>
    <w:rsid w:val="00697C73"/>
    <w:rsid w:val="00697CC1"/>
    <w:rsid w:val="006A1649"/>
    <w:rsid w:val="006A3A09"/>
    <w:rsid w:val="006A4131"/>
    <w:rsid w:val="006A61D6"/>
    <w:rsid w:val="006B02DD"/>
    <w:rsid w:val="006B0A83"/>
    <w:rsid w:val="006B37AB"/>
    <w:rsid w:val="006B5350"/>
    <w:rsid w:val="006B7351"/>
    <w:rsid w:val="006C07E4"/>
    <w:rsid w:val="006C0BED"/>
    <w:rsid w:val="006C5671"/>
    <w:rsid w:val="006C6588"/>
    <w:rsid w:val="006D0080"/>
    <w:rsid w:val="006D01D7"/>
    <w:rsid w:val="006D068D"/>
    <w:rsid w:val="006D4D0F"/>
    <w:rsid w:val="006D6A63"/>
    <w:rsid w:val="006D7F46"/>
    <w:rsid w:val="006E055B"/>
    <w:rsid w:val="006E21F7"/>
    <w:rsid w:val="006E233A"/>
    <w:rsid w:val="006E53DF"/>
    <w:rsid w:val="006E6552"/>
    <w:rsid w:val="006E681D"/>
    <w:rsid w:val="006F5B66"/>
    <w:rsid w:val="00703BBC"/>
    <w:rsid w:val="00705432"/>
    <w:rsid w:val="007059E6"/>
    <w:rsid w:val="007061A2"/>
    <w:rsid w:val="007066D6"/>
    <w:rsid w:val="007067A8"/>
    <w:rsid w:val="0071188A"/>
    <w:rsid w:val="007120C1"/>
    <w:rsid w:val="00712B09"/>
    <w:rsid w:val="00712B29"/>
    <w:rsid w:val="00714A27"/>
    <w:rsid w:val="00716DF6"/>
    <w:rsid w:val="0071735F"/>
    <w:rsid w:val="007205E4"/>
    <w:rsid w:val="0072230A"/>
    <w:rsid w:val="00722C7B"/>
    <w:rsid w:val="007252FC"/>
    <w:rsid w:val="007313BA"/>
    <w:rsid w:val="00731A36"/>
    <w:rsid w:val="00732F2D"/>
    <w:rsid w:val="0073576B"/>
    <w:rsid w:val="007360E2"/>
    <w:rsid w:val="007408A7"/>
    <w:rsid w:val="00741B65"/>
    <w:rsid w:val="007441F8"/>
    <w:rsid w:val="00744BD1"/>
    <w:rsid w:val="0074660B"/>
    <w:rsid w:val="00746FC0"/>
    <w:rsid w:val="007470F9"/>
    <w:rsid w:val="0075010F"/>
    <w:rsid w:val="00754283"/>
    <w:rsid w:val="007558D7"/>
    <w:rsid w:val="00755B26"/>
    <w:rsid w:val="00756046"/>
    <w:rsid w:val="00756A17"/>
    <w:rsid w:val="00757D12"/>
    <w:rsid w:val="00761263"/>
    <w:rsid w:val="0076686F"/>
    <w:rsid w:val="00775DBA"/>
    <w:rsid w:val="0077659F"/>
    <w:rsid w:val="0077788C"/>
    <w:rsid w:val="007819F8"/>
    <w:rsid w:val="00782F93"/>
    <w:rsid w:val="00783105"/>
    <w:rsid w:val="00783FC9"/>
    <w:rsid w:val="00786147"/>
    <w:rsid w:val="0079085D"/>
    <w:rsid w:val="00790F23"/>
    <w:rsid w:val="007962C6"/>
    <w:rsid w:val="007A1405"/>
    <w:rsid w:val="007A4B5E"/>
    <w:rsid w:val="007A4E8D"/>
    <w:rsid w:val="007A575F"/>
    <w:rsid w:val="007B1046"/>
    <w:rsid w:val="007B1510"/>
    <w:rsid w:val="007B1A78"/>
    <w:rsid w:val="007B3F91"/>
    <w:rsid w:val="007B4283"/>
    <w:rsid w:val="007B6F96"/>
    <w:rsid w:val="007C1797"/>
    <w:rsid w:val="007C1AE9"/>
    <w:rsid w:val="007C4B28"/>
    <w:rsid w:val="007C51D3"/>
    <w:rsid w:val="007D209B"/>
    <w:rsid w:val="007D3604"/>
    <w:rsid w:val="007D372F"/>
    <w:rsid w:val="007D5483"/>
    <w:rsid w:val="007D5B3B"/>
    <w:rsid w:val="007D64D0"/>
    <w:rsid w:val="007D6E33"/>
    <w:rsid w:val="007D7BF0"/>
    <w:rsid w:val="007E5BB1"/>
    <w:rsid w:val="007E653C"/>
    <w:rsid w:val="007F0A0E"/>
    <w:rsid w:val="007F0EA2"/>
    <w:rsid w:val="007F1646"/>
    <w:rsid w:val="007F1FC7"/>
    <w:rsid w:val="007F3DDE"/>
    <w:rsid w:val="007F3E51"/>
    <w:rsid w:val="007F5046"/>
    <w:rsid w:val="007F7D7F"/>
    <w:rsid w:val="0080202F"/>
    <w:rsid w:val="0080357E"/>
    <w:rsid w:val="00811497"/>
    <w:rsid w:val="00811D5E"/>
    <w:rsid w:val="00816A69"/>
    <w:rsid w:val="00822655"/>
    <w:rsid w:val="00823285"/>
    <w:rsid w:val="00830271"/>
    <w:rsid w:val="00830CF1"/>
    <w:rsid w:val="008348CF"/>
    <w:rsid w:val="00835C59"/>
    <w:rsid w:val="008366A6"/>
    <w:rsid w:val="008378D5"/>
    <w:rsid w:val="00840286"/>
    <w:rsid w:val="00842806"/>
    <w:rsid w:val="0084297B"/>
    <w:rsid w:val="00843378"/>
    <w:rsid w:val="0084345C"/>
    <w:rsid w:val="0084390F"/>
    <w:rsid w:val="00844BBB"/>
    <w:rsid w:val="00846D82"/>
    <w:rsid w:val="00847003"/>
    <w:rsid w:val="00857701"/>
    <w:rsid w:val="00861D61"/>
    <w:rsid w:val="00862B70"/>
    <w:rsid w:val="00863FD8"/>
    <w:rsid w:val="00864651"/>
    <w:rsid w:val="00865355"/>
    <w:rsid w:val="00866B2D"/>
    <w:rsid w:val="008672EB"/>
    <w:rsid w:val="0086789B"/>
    <w:rsid w:val="00867975"/>
    <w:rsid w:val="008729DC"/>
    <w:rsid w:val="00873190"/>
    <w:rsid w:val="0087449C"/>
    <w:rsid w:val="00874746"/>
    <w:rsid w:val="008756D2"/>
    <w:rsid w:val="00881D80"/>
    <w:rsid w:val="008821D0"/>
    <w:rsid w:val="00883C55"/>
    <w:rsid w:val="00886A7C"/>
    <w:rsid w:val="00886F36"/>
    <w:rsid w:val="008906DF"/>
    <w:rsid w:val="008911E8"/>
    <w:rsid w:val="00893204"/>
    <w:rsid w:val="008A1497"/>
    <w:rsid w:val="008A4513"/>
    <w:rsid w:val="008A4CF1"/>
    <w:rsid w:val="008A6887"/>
    <w:rsid w:val="008A6F21"/>
    <w:rsid w:val="008B14D1"/>
    <w:rsid w:val="008B1BD6"/>
    <w:rsid w:val="008B657B"/>
    <w:rsid w:val="008C0D56"/>
    <w:rsid w:val="008C132D"/>
    <w:rsid w:val="008C5A50"/>
    <w:rsid w:val="008C745D"/>
    <w:rsid w:val="008D2A0D"/>
    <w:rsid w:val="008E048E"/>
    <w:rsid w:val="008E0785"/>
    <w:rsid w:val="008E1161"/>
    <w:rsid w:val="008E2429"/>
    <w:rsid w:val="008E6911"/>
    <w:rsid w:val="008E793F"/>
    <w:rsid w:val="008E7A85"/>
    <w:rsid w:val="008F5AA7"/>
    <w:rsid w:val="008F5C8F"/>
    <w:rsid w:val="00903ED6"/>
    <w:rsid w:val="00904611"/>
    <w:rsid w:val="00907CD6"/>
    <w:rsid w:val="00913EC5"/>
    <w:rsid w:val="009142B6"/>
    <w:rsid w:val="00916B50"/>
    <w:rsid w:val="00922EB0"/>
    <w:rsid w:val="0092562C"/>
    <w:rsid w:val="00926DDE"/>
    <w:rsid w:val="0092731B"/>
    <w:rsid w:val="00930EEF"/>
    <w:rsid w:val="00935319"/>
    <w:rsid w:val="009358C6"/>
    <w:rsid w:val="00937D07"/>
    <w:rsid w:val="00940403"/>
    <w:rsid w:val="00940D5B"/>
    <w:rsid w:val="009415BF"/>
    <w:rsid w:val="0094181E"/>
    <w:rsid w:val="00943BAC"/>
    <w:rsid w:val="00944591"/>
    <w:rsid w:val="00947F96"/>
    <w:rsid w:val="009506D0"/>
    <w:rsid w:val="0095673A"/>
    <w:rsid w:val="00961671"/>
    <w:rsid w:val="00965BC3"/>
    <w:rsid w:val="00966BF3"/>
    <w:rsid w:val="0097084A"/>
    <w:rsid w:val="00970939"/>
    <w:rsid w:val="00970DE2"/>
    <w:rsid w:val="00973257"/>
    <w:rsid w:val="00982000"/>
    <w:rsid w:val="00984515"/>
    <w:rsid w:val="009845A3"/>
    <w:rsid w:val="00991C78"/>
    <w:rsid w:val="00991ECF"/>
    <w:rsid w:val="00992A66"/>
    <w:rsid w:val="00992D61"/>
    <w:rsid w:val="00993470"/>
    <w:rsid w:val="0099502D"/>
    <w:rsid w:val="0099628F"/>
    <w:rsid w:val="00996A7F"/>
    <w:rsid w:val="009A011C"/>
    <w:rsid w:val="009A0564"/>
    <w:rsid w:val="009A07BF"/>
    <w:rsid w:val="009A0E8E"/>
    <w:rsid w:val="009A402D"/>
    <w:rsid w:val="009A46AD"/>
    <w:rsid w:val="009A649E"/>
    <w:rsid w:val="009A7CC0"/>
    <w:rsid w:val="009A7EE8"/>
    <w:rsid w:val="009B34B3"/>
    <w:rsid w:val="009B6BF3"/>
    <w:rsid w:val="009B7449"/>
    <w:rsid w:val="009C0D19"/>
    <w:rsid w:val="009C2D2D"/>
    <w:rsid w:val="009C2FD1"/>
    <w:rsid w:val="009C3CEE"/>
    <w:rsid w:val="009C40B1"/>
    <w:rsid w:val="009C6407"/>
    <w:rsid w:val="009C747B"/>
    <w:rsid w:val="009C7E54"/>
    <w:rsid w:val="009D0FEB"/>
    <w:rsid w:val="009D3A50"/>
    <w:rsid w:val="009D60E5"/>
    <w:rsid w:val="009E3CBD"/>
    <w:rsid w:val="009E5EE1"/>
    <w:rsid w:val="009E67F8"/>
    <w:rsid w:val="009F0DA7"/>
    <w:rsid w:val="009F20A6"/>
    <w:rsid w:val="009F3731"/>
    <w:rsid w:val="009F4419"/>
    <w:rsid w:val="009F5437"/>
    <w:rsid w:val="009F764D"/>
    <w:rsid w:val="00A0049A"/>
    <w:rsid w:val="00A04441"/>
    <w:rsid w:val="00A0450C"/>
    <w:rsid w:val="00A153AF"/>
    <w:rsid w:val="00A16F6E"/>
    <w:rsid w:val="00A1718A"/>
    <w:rsid w:val="00A20A88"/>
    <w:rsid w:val="00A22174"/>
    <w:rsid w:val="00A22ED2"/>
    <w:rsid w:val="00A243CF"/>
    <w:rsid w:val="00A24E32"/>
    <w:rsid w:val="00A25F27"/>
    <w:rsid w:val="00A3306B"/>
    <w:rsid w:val="00A334DB"/>
    <w:rsid w:val="00A372EC"/>
    <w:rsid w:val="00A45F29"/>
    <w:rsid w:val="00A46C8F"/>
    <w:rsid w:val="00A470CD"/>
    <w:rsid w:val="00A47411"/>
    <w:rsid w:val="00A47B32"/>
    <w:rsid w:val="00A53C45"/>
    <w:rsid w:val="00A53D48"/>
    <w:rsid w:val="00A54E36"/>
    <w:rsid w:val="00A54EB2"/>
    <w:rsid w:val="00A55B0B"/>
    <w:rsid w:val="00A56245"/>
    <w:rsid w:val="00A63541"/>
    <w:rsid w:val="00A654BB"/>
    <w:rsid w:val="00A735AF"/>
    <w:rsid w:val="00A76731"/>
    <w:rsid w:val="00A76D43"/>
    <w:rsid w:val="00A80675"/>
    <w:rsid w:val="00A82100"/>
    <w:rsid w:val="00A8234D"/>
    <w:rsid w:val="00A837B3"/>
    <w:rsid w:val="00A83E76"/>
    <w:rsid w:val="00A84ABF"/>
    <w:rsid w:val="00A855A2"/>
    <w:rsid w:val="00A8685A"/>
    <w:rsid w:val="00A9005C"/>
    <w:rsid w:val="00A91639"/>
    <w:rsid w:val="00A91FFA"/>
    <w:rsid w:val="00A920C8"/>
    <w:rsid w:val="00A923B6"/>
    <w:rsid w:val="00A946E8"/>
    <w:rsid w:val="00A95161"/>
    <w:rsid w:val="00A967AF"/>
    <w:rsid w:val="00AA0866"/>
    <w:rsid w:val="00AA3D94"/>
    <w:rsid w:val="00AB354D"/>
    <w:rsid w:val="00AB41AB"/>
    <w:rsid w:val="00AC33BE"/>
    <w:rsid w:val="00AC34ED"/>
    <w:rsid w:val="00AC5083"/>
    <w:rsid w:val="00AD035C"/>
    <w:rsid w:val="00AD5BDD"/>
    <w:rsid w:val="00AD7D00"/>
    <w:rsid w:val="00AE21B3"/>
    <w:rsid w:val="00AE6BA0"/>
    <w:rsid w:val="00AE6CA3"/>
    <w:rsid w:val="00AF0797"/>
    <w:rsid w:val="00AF5577"/>
    <w:rsid w:val="00AF6FCD"/>
    <w:rsid w:val="00B02AD0"/>
    <w:rsid w:val="00B04423"/>
    <w:rsid w:val="00B0681F"/>
    <w:rsid w:val="00B12A47"/>
    <w:rsid w:val="00B12CBB"/>
    <w:rsid w:val="00B13449"/>
    <w:rsid w:val="00B169E8"/>
    <w:rsid w:val="00B16B87"/>
    <w:rsid w:val="00B2318D"/>
    <w:rsid w:val="00B24E25"/>
    <w:rsid w:val="00B3208C"/>
    <w:rsid w:val="00B37686"/>
    <w:rsid w:val="00B37694"/>
    <w:rsid w:val="00B42117"/>
    <w:rsid w:val="00B42FE9"/>
    <w:rsid w:val="00B43982"/>
    <w:rsid w:val="00B44D73"/>
    <w:rsid w:val="00B4564A"/>
    <w:rsid w:val="00B46D39"/>
    <w:rsid w:val="00B55D5D"/>
    <w:rsid w:val="00B576AD"/>
    <w:rsid w:val="00B61583"/>
    <w:rsid w:val="00B638BD"/>
    <w:rsid w:val="00B647EB"/>
    <w:rsid w:val="00B65353"/>
    <w:rsid w:val="00B658BC"/>
    <w:rsid w:val="00B66C46"/>
    <w:rsid w:val="00B7225C"/>
    <w:rsid w:val="00B72F50"/>
    <w:rsid w:val="00B73EDF"/>
    <w:rsid w:val="00B74613"/>
    <w:rsid w:val="00B75893"/>
    <w:rsid w:val="00B807A8"/>
    <w:rsid w:val="00B83E23"/>
    <w:rsid w:val="00B93780"/>
    <w:rsid w:val="00B937F4"/>
    <w:rsid w:val="00B95CED"/>
    <w:rsid w:val="00BA38BA"/>
    <w:rsid w:val="00BA4267"/>
    <w:rsid w:val="00BA5409"/>
    <w:rsid w:val="00BA6BB6"/>
    <w:rsid w:val="00BA7555"/>
    <w:rsid w:val="00BB079C"/>
    <w:rsid w:val="00BB378A"/>
    <w:rsid w:val="00BB78A3"/>
    <w:rsid w:val="00BC5CFD"/>
    <w:rsid w:val="00BC62E0"/>
    <w:rsid w:val="00BD2BD4"/>
    <w:rsid w:val="00BD2DAC"/>
    <w:rsid w:val="00BD42EE"/>
    <w:rsid w:val="00BD501D"/>
    <w:rsid w:val="00BD64A7"/>
    <w:rsid w:val="00BD6C8D"/>
    <w:rsid w:val="00BD77AB"/>
    <w:rsid w:val="00BE240E"/>
    <w:rsid w:val="00BE2DB4"/>
    <w:rsid w:val="00BE3D8B"/>
    <w:rsid w:val="00BE526B"/>
    <w:rsid w:val="00BE65B4"/>
    <w:rsid w:val="00BE69B9"/>
    <w:rsid w:val="00BF0C87"/>
    <w:rsid w:val="00BF0E19"/>
    <w:rsid w:val="00BF31C2"/>
    <w:rsid w:val="00C00E77"/>
    <w:rsid w:val="00C0142A"/>
    <w:rsid w:val="00C046F5"/>
    <w:rsid w:val="00C04804"/>
    <w:rsid w:val="00C06096"/>
    <w:rsid w:val="00C06805"/>
    <w:rsid w:val="00C1041B"/>
    <w:rsid w:val="00C15F1B"/>
    <w:rsid w:val="00C15FAE"/>
    <w:rsid w:val="00C1665D"/>
    <w:rsid w:val="00C16D12"/>
    <w:rsid w:val="00C23C39"/>
    <w:rsid w:val="00C27457"/>
    <w:rsid w:val="00C3099E"/>
    <w:rsid w:val="00C31336"/>
    <w:rsid w:val="00C35132"/>
    <w:rsid w:val="00C37ABB"/>
    <w:rsid w:val="00C40DEC"/>
    <w:rsid w:val="00C42E99"/>
    <w:rsid w:val="00C4640E"/>
    <w:rsid w:val="00C475F9"/>
    <w:rsid w:val="00C50770"/>
    <w:rsid w:val="00C516B7"/>
    <w:rsid w:val="00C51719"/>
    <w:rsid w:val="00C55950"/>
    <w:rsid w:val="00C55AD1"/>
    <w:rsid w:val="00C5725A"/>
    <w:rsid w:val="00C64244"/>
    <w:rsid w:val="00C65615"/>
    <w:rsid w:val="00C66B88"/>
    <w:rsid w:val="00C67099"/>
    <w:rsid w:val="00C72018"/>
    <w:rsid w:val="00C729EB"/>
    <w:rsid w:val="00C72F6E"/>
    <w:rsid w:val="00C74FDD"/>
    <w:rsid w:val="00C76723"/>
    <w:rsid w:val="00C779BD"/>
    <w:rsid w:val="00C800B1"/>
    <w:rsid w:val="00C87151"/>
    <w:rsid w:val="00C916B8"/>
    <w:rsid w:val="00C94BA7"/>
    <w:rsid w:val="00C94E3A"/>
    <w:rsid w:val="00C96E17"/>
    <w:rsid w:val="00C97D0B"/>
    <w:rsid w:val="00CA2E8A"/>
    <w:rsid w:val="00CA515F"/>
    <w:rsid w:val="00CA656E"/>
    <w:rsid w:val="00CA7B3A"/>
    <w:rsid w:val="00CB02EB"/>
    <w:rsid w:val="00CB035A"/>
    <w:rsid w:val="00CB16B2"/>
    <w:rsid w:val="00CB2958"/>
    <w:rsid w:val="00CB2C40"/>
    <w:rsid w:val="00CB581D"/>
    <w:rsid w:val="00CB7805"/>
    <w:rsid w:val="00CC19F7"/>
    <w:rsid w:val="00CC2B81"/>
    <w:rsid w:val="00CC33E7"/>
    <w:rsid w:val="00CC445E"/>
    <w:rsid w:val="00CC48EF"/>
    <w:rsid w:val="00CC5D3E"/>
    <w:rsid w:val="00CC60D4"/>
    <w:rsid w:val="00CC69FE"/>
    <w:rsid w:val="00CC6B21"/>
    <w:rsid w:val="00CC7F9A"/>
    <w:rsid w:val="00CD1394"/>
    <w:rsid w:val="00CD2454"/>
    <w:rsid w:val="00CD7242"/>
    <w:rsid w:val="00CD7262"/>
    <w:rsid w:val="00CD7E53"/>
    <w:rsid w:val="00CE3265"/>
    <w:rsid w:val="00CE6272"/>
    <w:rsid w:val="00CF234D"/>
    <w:rsid w:val="00CF660F"/>
    <w:rsid w:val="00D01B0E"/>
    <w:rsid w:val="00D0353D"/>
    <w:rsid w:val="00D0409D"/>
    <w:rsid w:val="00D0503F"/>
    <w:rsid w:val="00D06431"/>
    <w:rsid w:val="00D1005A"/>
    <w:rsid w:val="00D105B0"/>
    <w:rsid w:val="00D1141E"/>
    <w:rsid w:val="00D12D46"/>
    <w:rsid w:val="00D13B42"/>
    <w:rsid w:val="00D14E9D"/>
    <w:rsid w:val="00D20D5D"/>
    <w:rsid w:val="00D20DB6"/>
    <w:rsid w:val="00D27B7B"/>
    <w:rsid w:val="00D32B8D"/>
    <w:rsid w:val="00D33047"/>
    <w:rsid w:val="00D36C8B"/>
    <w:rsid w:val="00D37DB4"/>
    <w:rsid w:val="00D40D33"/>
    <w:rsid w:val="00D41D0B"/>
    <w:rsid w:val="00D430FB"/>
    <w:rsid w:val="00D43928"/>
    <w:rsid w:val="00D447F4"/>
    <w:rsid w:val="00D4607D"/>
    <w:rsid w:val="00D46603"/>
    <w:rsid w:val="00D46762"/>
    <w:rsid w:val="00D470FD"/>
    <w:rsid w:val="00D57C7C"/>
    <w:rsid w:val="00D602AD"/>
    <w:rsid w:val="00D605E5"/>
    <w:rsid w:val="00D646E1"/>
    <w:rsid w:val="00D657F4"/>
    <w:rsid w:val="00D67E00"/>
    <w:rsid w:val="00D70D4A"/>
    <w:rsid w:val="00D70D76"/>
    <w:rsid w:val="00D7478A"/>
    <w:rsid w:val="00D74F72"/>
    <w:rsid w:val="00D830DB"/>
    <w:rsid w:val="00D8621B"/>
    <w:rsid w:val="00D86BEB"/>
    <w:rsid w:val="00D87614"/>
    <w:rsid w:val="00D90B84"/>
    <w:rsid w:val="00D92F07"/>
    <w:rsid w:val="00D93E69"/>
    <w:rsid w:val="00DA5209"/>
    <w:rsid w:val="00DB4DE0"/>
    <w:rsid w:val="00DB5119"/>
    <w:rsid w:val="00DB60FE"/>
    <w:rsid w:val="00DC18A7"/>
    <w:rsid w:val="00DC2C25"/>
    <w:rsid w:val="00DC4705"/>
    <w:rsid w:val="00DC670A"/>
    <w:rsid w:val="00DD1221"/>
    <w:rsid w:val="00DE26EC"/>
    <w:rsid w:val="00DE2D8D"/>
    <w:rsid w:val="00DE384E"/>
    <w:rsid w:val="00DE52D6"/>
    <w:rsid w:val="00DE7707"/>
    <w:rsid w:val="00DF5124"/>
    <w:rsid w:val="00E00A48"/>
    <w:rsid w:val="00E02339"/>
    <w:rsid w:val="00E03E6D"/>
    <w:rsid w:val="00E06D65"/>
    <w:rsid w:val="00E101C1"/>
    <w:rsid w:val="00E113D1"/>
    <w:rsid w:val="00E17635"/>
    <w:rsid w:val="00E2088F"/>
    <w:rsid w:val="00E21083"/>
    <w:rsid w:val="00E2195E"/>
    <w:rsid w:val="00E21E5D"/>
    <w:rsid w:val="00E22703"/>
    <w:rsid w:val="00E2470F"/>
    <w:rsid w:val="00E25E49"/>
    <w:rsid w:val="00E27095"/>
    <w:rsid w:val="00E33518"/>
    <w:rsid w:val="00E42C59"/>
    <w:rsid w:val="00E46DFF"/>
    <w:rsid w:val="00E47265"/>
    <w:rsid w:val="00E4758A"/>
    <w:rsid w:val="00E50659"/>
    <w:rsid w:val="00E521DF"/>
    <w:rsid w:val="00E60295"/>
    <w:rsid w:val="00E61DC3"/>
    <w:rsid w:val="00E62AD8"/>
    <w:rsid w:val="00E62F98"/>
    <w:rsid w:val="00E639EC"/>
    <w:rsid w:val="00E705D2"/>
    <w:rsid w:val="00E70EA3"/>
    <w:rsid w:val="00E71177"/>
    <w:rsid w:val="00E713FE"/>
    <w:rsid w:val="00E71845"/>
    <w:rsid w:val="00E72EB7"/>
    <w:rsid w:val="00E73198"/>
    <w:rsid w:val="00E731D0"/>
    <w:rsid w:val="00E7393E"/>
    <w:rsid w:val="00E76493"/>
    <w:rsid w:val="00E7702B"/>
    <w:rsid w:val="00E77769"/>
    <w:rsid w:val="00E82C75"/>
    <w:rsid w:val="00E85AD0"/>
    <w:rsid w:val="00E868A3"/>
    <w:rsid w:val="00E92A52"/>
    <w:rsid w:val="00E93338"/>
    <w:rsid w:val="00E9470D"/>
    <w:rsid w:val="00EA1CDF"/>
    <w:rsid w:val="00EA3599"/>
    <w:rsid w:val="00EB559A"/>
    <w:rsid w:val="00EB59E3"/>
    <w:rsid w:val="00EB7B16"/>
    <w:rsid w:val="00EC050E"/>
    <w:rsid w:val="00EC366B"/>
    <w:rsid w:val="00EC4205"/>
    <w:rsid w:val="00EC58D6"/>
    <w:rsid w:val="00EC63C7"/>
    <w:rsid w:val="00ED026A"/>
    <w:rsid w:val="00ED1AE9"/>
    <w:rsid w:val="00ED54BB"/>
    <w:rsid w:val="00ED6663"/>
    <w:rsid w:val="00EE1C86"/>
    <w:rsid w:val="00EE7AFD"/>
    <w:rsid w:val="00EF2F80"/>
    <w:rsid w:val="00EF32D2"/>
    <w:rsid w:val="00EF4DD4"/>
    <w:rsid w:val="00EF7966"/>
    <w:rsid w:val="00EF7BBC"/>
    <w:rsid w:val="00F02076"/>
    <w:rsid w:val="00F04361"/>
    <w:rsid w:val="00F07456"/>
    <w:rsid w:val="00F1547B"/>
    <w:rsid w:val="00F15ACC"/>
    <w:rsid w:val="00F205E0"/>
    <w:rsid w:val="00F20A8A"/>
    <w:rsid w:val="00F2261A"/>
    <w:rsid w:val="00F2405D"/>
    <w:rsid w:val="00F27188"/>
    <w:rsid w:val="00F30A40"/>
    <w:rsid w:val="00F36A24"/>
    <w:rsid w:val="00F422AD"/>
    <w:rsid w:val="00F44259"/>
    <w:rsid w:val="00F44D53"/>
    <w:rsid w:val="00F51962"/>
    <w:rsid w:val="00F52FB3"/>
    <w:rsid w:val="00F5668B"/>
    <w:rsid w:val="00F56B07"/>
    <w:rsid w:val="00F67334"/>
    <w:rsid w:val="00F750D2"/>
    <w:rsid w:val="00F7522E"/>
    <w:rsid w:val="00F770D1"/>
    <w:rsid w:val="00F81B62"/>
    <w:rsid w:val="00F8592F"/>
    <w:rsid w:val="00F92E71"/>
    <w:rsid w:val="00F934F5"/>
    <w:rsid w:val="00F94B63"/>
    <w:rsid w:val="00F95E99"/>
    <w:rsid w:val="00F97CE7"/>
    <w:rsid w:val="00FA0CF3"/>
    <w:rsid w:val="00FA189D"/>
    <w:rsid w:val="00FA2905"/>
    <w:rsid w:val="00FB2084"/>
    <w:rsid w:val="00FB2CCB"/>
    <w:rsid w:val="00FB34FF"/>
    <w:rsid w:val="00FB3CF8"/>
    <w:rsid w:val="00FB3D3D"/>
    <w:rsid w:val="00FB41CB"/>
    <w:rsid w:val="00FB52B8"/>
    <w:rsid w:val="00FC0A53"/>
    <w:rsid w:val="00FC267E"/>
    <w:rsid w:val="00FC45B1"/>
    <w:rsid w:val="00FC48D8"/>
    <w:rsid w:val="00FC4C1F"/>
    <w:rsid w:val="00FC7A91"/>
    <w:rsid w:val="00FC7D87"/>
    <w:rsid w:val="00FD5EA2"/>
    <w:rsid w:val="00FE413D"/>
    <w:rsid w:val="00FE5444"/>
    <w:rsid w:val="00FE5748"/>
    <w:rsid w:val="00FE5973"/>
    <w:rsid w:val="00FE7206"/>
    <w:rsid w:val="00FF01AC"/>
    <w:rsid w:val="00FF02C3"/>
    <w:rsid w:val="00FF0522"/>
    <w:rsid w:val="00FF1080"/>
    <w:rsid w:val="00FF1D86"/>
    <w:rsid w:val="00FF318F"/>
    <w:rsid w:val="00FF5E7F"/>
    <w:rsid w:val="00FF5FDF"/>
    <w:rsid w:val="01722330"/>
    <w:rsid w:val="035267A2"/>
    <w:rsid w:val="07F13FAE"/>
    <w:rsid w:val="08716C71"/>
    <w:rsid w:val="09B3229D"/>
    <w:rsid w:val="0AC10F0E"/>
    <w:rsid w:val="0C3C24E6"/>
    <w:rsid w:val="0FD92ACB"/>
    <w:rsid w:val="132A2A6A"/>
    <w:rsid w:val="143516C6"/>
    <w:rsid w:val="15705828"/>
    <w:rsid w:val="17AD5D29"/>
    <w:rsid w:val="1BF9122C"/>
    <w:rsid w:val="1C874B92"/>
    <w:rsid w:val="1F444EB4"/>
    <w:rsid w:val="1F902CB1"/>
    <w:rsid w:val="201544B5"/>
    <w:rsid w:val="20157CA1"/>
    <w:rsid w:val="20AB5A82"/>
    <w:rsid w:val="229E48DB"/>
    <w:rsid w:val="231345C9"/>
    <w:rsid w:val="24F76807"/>
    <w:rsid w:val="26284BE7"/>
    <w:rsid w:val="2717265C"/>
    <w:rsid w:val="274A5031"/>
    <w:rsid w:val="27F475AE"/>
    <w:rsid w:val="27F51441"/>
    <w:rsid w:val="294B278F"/>
    <w:rsid w:val="2A9926FC"/>
    <w:rsid w:val="2B1A4D1A"/>
    <w:rsid w:val="2B3C438D"/>
    <w:rsid w:val="2B6C7C6C"/>
    <w:rsid w:val="2C370BC7"/>
    <w:rsid w:val="2C642EEC"/>
    <w:rsid w:val="2E310CF9"/>
    <w:rsid w:val="30404D62"/>
    <w:rsid w:val="31D0376A"/>
    <w:rsid w:val="320F39A1"/>
    <w:rsid w:val="327A3B2E"/>
    <w:rsid w:val="34E93E19"/>
    <w:rsid w:val="34FD720F"/>
    <w:rsid w:val="35E93D08"/>
    <w:rsid w:val="36665186"/>
    <w:rsid w:val="38A96623"/>
    <w:rsid w:val="38F90665"/>
    <w:rsid w:val="39E63884"/>
    <w:rsid w:val="3A706705"/>
    <w:rsid w:val="3C88242C"/>
    <w:rsid w:val="3D785FFC"/>
    <w:rsid w:val="3DB37FCB"/>
    <w:rsid w:val="3FF95D3D"/>
    <w:rsid w:val="413936AC"/>
    <w:rsid w:val="41AA3E3F"/>
    <w:rsid w:val="420A6C2F"/>
    <w:rsid w:val="431C742A"/>
    <w:rsid w:val="45A6273A"/>
    <w:rsid w:val="4608545C"/>
    <w:rsid w:val="46E44FA8"/>
    <w:rsid w:val="492D341F"/>
    <w:rsid w:val="52DD4EB3"/>
    <w:rsid w:val="536B59DF"/>
    <w:rsid w:val="547431D2"/>
    <w:rsid w:val="55C514DD"/>
    <w:rsid w:val="58D2085F"/>
    <w:rsid w:val="59D14FBA"/>
    <w:rsid w:val="5B70435F"/>
    <w:rsid w:val="5BB24978"/>
    <w:rsid w:val="5C8C3BA0"/>
    <w:rsid w:val="60683399"/>
    <w:rsid w:val="658C2E7C"/>
    <w:rsid w:val="67656CB9"/>
    <w:rsid w:val="6B0F1DA2"/>
    <w:rsid w:val="6E6E472E"/>
    <w:rsid w:val="6EA94D51"/>
    <w:rsid w:val="6FD44A65"/>
    <w:rsid w:val="71B132B0"/>
    <w:rsid w:val="723637B5"/>
    <w:rsid w:val="729A01E8"/>
    <w:rsid w:val="73AB5D40"/>
    <w:rsid w:val="753C5586"/>
    <w:rsid w:val="76373238"/>
    <w:rsid w:val="777A05E8"/>
    <w:rsid w:val="78C0027C"/>
    <w:rsid w:val="7ACB4CB6"/>
    <w:rsid w:val="7B0D3A43"/>
    <w:rsid w:val="7B221A0A"/>
    <w:rsid w:val="7B2D697B"/>
    <w:rsid w:val="7BAD4BC6"/>
    <w:rsid w:val="7CF36E72"/>
    <w:rsid w:val="7D126BCC"/>
    <w:rsid w:val="7D3C2AE2"/>
    <w:rsid w:val="7EF976A3"/>
    <w:rsid w:val="7FD21358"/>
    <w:rsid w:val="DACF8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8"/>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9"/>
    <w:qFormat/>
    <w:uiPriority w:val="0"/>
    <w:pPr>
      <w:keepNext/>
      <w:keepLines/>
      <w:spacing w:before="280" w:after="290" w:line="372" w:lineRule="auto"/>
      <w:outlineLvl w:val="4"/>
    </w:pPr>
    <w:rPr>
      <w:b/>
      <w:sz w:val="28"/>
    </w:rPr>
  </w:style>
  <w:style w:type="paragraph" w:styleId="8">
    <w:name w:val="heading 6"/>
    <w:basedOn w:val="1"/>
    <w:next w:val="1"/>
    <w:link w:val="7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link w:val="6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toc 7"/>
    <w:basedOn w:val="1"/>
    <w:next w:val="1"/>
    <w:qFormat/>
    <w:uiPriority w:val="39"/>
    <w:pPr>
      <w:ind w:left="1260"/>
      <w:jc w:val="left"/>
    </w:pPr>
    <w:rPr>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line="360" w:lineRule="auto"/>
    </w:pPr>
    <w:rPr>
      <w:rFonts w:ascii="Cambria" w:hAnsi="Cambria" w:eastAsia="黑体" w:cs="宋体"/>
      <w:sz w:val="20"/>
      <w:szCs w:val="20"/>
    </w:rPr>
  </w:style>
  <w:style w:type="paragraph" w:styleId="15">
    <w:name w:val="Document Map"/>
    <w:basedOn w:val="1"/>
    <w:link w:val="90"/>
    <w:qFormat/>
    <w:uiPriority w:val="0"/>
    <w:pPr>
      <w:shd w:val="clear" w:color="auto" w:fill="000080"/>
    </w:pPr>
    <w:rPr>
      <w:rFonts w:asciiTheme="minorHAnsi" w:hAnsiTheme="minorHAnsi" w:cstheme="minorBidi"/>
    </w:rPr>
  </w:style>
  <w:style w:type="paragraph" w:styleId="16">
    <w:name w:val="annotation text"/>
    <w:basedOn w:val="1"/>
    <w:link w:val="79"/>
    <w:unhideWhenUsed/>
    <w:qFormat/>
    <w:uiPriority w:val="0"/>
    <w:pPr>
      <w:jc w:val="left"/>
    </w:pPr>
  </w:style>
  <w:style w:type="paragraph" w:styleId="17">
    <w:name w:val="Body Text 3"/>
    <w:basedOn w:val="1"/>
    <w:link w:val="102"/>
    <w:qFormat/>
    <w:uiPriority w:val="0"/>
    <w:rPr>
      <w:rFonts w:ascii="宋体"/>
      <w:sz w:val="24"/>
      <w:szCs w:val="20"/>
    </w:rPr>
  </w:style>
  <w:style w:type="paragraph" w:styleId="18">
    <w:name w:val="Body Text"/>
    <w:basedOn w:val="1"/>
    <w:next w:val="1"/>
    <w:link w:val="97"/>
    <w:unhideWhenUsed/>
    <w:qFormat/>
    <w:uiPriority w:val="0"/>
    <w:pPr>
      <w:spacing w:after="120"/>
    </w:pPr>
  </w:style>
  <w:style w:type="paragraph" w:styleId="19">
    <w:name w:val="Body Text Indent"/>
    <w:basedOn w:val="1"/>
    <w:next w:val="1"/>
    <w:link w:val="100"/>
    <w:qFormat/>
    <w:uiPriority w:val="0"/>
    <w:pPr>
      <w:spacing w:after="120"/>
      <w:ind w:left="420" w:leftChars="200"/>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spacing w:line="360" w:lineRule="auto"/>
      <w:ind w:left="420"/>
      <w:jc w:val="left"/>
    </w:pPr>
    <w:rPr>
      <w:iCs/>
      <w:sz w:val="20"/>
      <w:szCs w:val="20"/>
    </w:rPr>
  </w:style>
  <w:style w:type="paragraph" w:styleId="22">
    <w:name w:val="Plain Text"/>
    <w:basedOn w:val="1"/>
    <w:link w:val="86"/>
    <w:qFormat/>
    <w:uiPriority w:val="0"/>
    <w:rPr>
      <w:rFonts w:ascii="宋体" w:hAnsi="Courier New" w:eastAsiaTheme="minorEastAsia" w:cstheme="minorBidi"/>
      <w:szCs w:val="22"/>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95"/>
    <w:qFormat/>
    <w:uiPriority w:val="0"/>
    <w:rPr>
      <w:sz w:val="24"/>
      <w:szCs w:val="20"/>
    </w:rPr>
  </w:style>
  <w:style w:type="paragraph" w:styleId="25">
    <w:name w:val="Body Text Indent 2"/>
    <w:basedOn w:val="1"/>
    <w:link w:val="184"/>
    <w:qFormat/>
    <w:uiPriority w:val="0"/>
    <w:pPr>
      <w:tabs>
        <w:tab w:val="left" w:pos="525"/>
      </w:tabs>
      <w:spacing w:line="240" w:lineRule="atLeast"/>
      <w:ind w:firstLine="630"/>
    </w:pPr>
    <w:rPr>
      <w:rFonts w:ascii="仿宋_GB2312" w:hAnsi="Arial Narrow" w:eastAsia="仿宋_GB2312" w:cs="宋体"/>
      <w:sz w:val="28"/>
      <w:szCs w:val="20"/>
    </w:rPr>
  </w:style>
  <w:style w:type="paragraph" w:styleId="26">
    <w:name w:val="Balloon Text"/>
    <w:basedOn w:val="1"/>
    <w:link w:val="96"/>
    <w:qFormat/>
    <w:uiPriority w:val="0"/>
    <w:rPr>
      <w:sz w:val="18"/>
      <w:szCs w:val="18"/>
    </w:rPr>
  </w:style>
  <w:style w:type="paragraph" w:styleId="27">
    <w:name w:val="footer"/>
    <w:basedOn w:val="1"/>
    <w:link w:val="75"/>
    <w:unhideWhenUsed/>
    <w:qFormat/>
    <w:uiPriority w:val="99"/>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ind w:left="155" w:leftChars="74"/>
      <w:jc w:val="left"/>
    </w:pPr>
    <w:rPr>
      <w:b/>
      <w:bCs/>
      <w:caps/>
      <w:sz w:val="20"/>
      <w:szCs w:val="20"/>
    </w:rPr>
  </w:style>
  <w:style w:type="paragraph" w:styleId="31">
    <w:name w:val="toc 4"/>
    <w:basedOn w:val="1"/>
    <w:next w:val="1"/>
    <w:qFormat/>
    <w:uiPriority w:val="39"/>
    <w:pPr>
      <w:spacing w:line="360" w:lineRule="auto"/>
      <w:ind w:left="629"/>
      <w:jc w:val="left"/>
    </w:pPr>
    <w:rPr>
      <w:sz w:val="18"/>
      <w:szCs w:val="18"/>
    </w:rPr>
  </w:style>
  <w:style w:type="paragraph" w:styleId="32">
    <w:name w:val="Subtitle"/>
    <w:next w:val="1"/>
    <w:link w:val="128"/>
    <w:qFormat/>
    <w:uiPriority w:val="11"/>
    <w:pPr>
      <w:adjustRightInd w:val="0"/>
      <w:snapToGrid w:val="0"/>
      <w:ind w:left="708" w:leftChars="295"/>
      <w:outlineLvl w:val="1"/>
    </w:pPr>
    <w:rPr>
      <w:rFonts w:ascii="宋体" w:hAnsi="宋体" w:cs="Times New Roman" w:eastAsiaTheme="minorEastAsia"/>
      <w:b/>
      <w:bCs/>
      <w:kern w:val="28"/>
      <w:sz w:val="24"/>
      <w:szCs w:val="32"/>
      <w:lang w:val="en-US" w:eastAsia="zh-CN" w:bidi="ar-SA"/>
    </w:rPr>
  </w:style>
  <w:style w:type="paragraph" w:styleId="33">
    <w:name w:val="footnote text"/>
    <w:basedOn w:val="1"/>
    <w:unhideWhenUsed/>
    <w:qFormat/>
    <w:uiPriority w:val="0"/>
    <w:pPr>
      <w:snapToGrid w:val="0"/>
    </w:pPr>
    <w:rPr>
      <w:sz w:val="18"/>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99"/>
    <w:qFormat/>
    <w:uiPriority w:val="0"/>
    <w:pPr>
      <w:spacing w:after="120"/>
      <w:ind w:left="420" w:leftChars="200"/>
    </w:pPr>
    <w:rPr>
      <w:sz w:val="16"/>
      <w:szCs w:val="16"/>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135"/>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szCs w:val="22"/>
    </w:rPr>
  </w:style>
  <w:style w:type="paragraph" w:styleId="39">
    <w:name w:val="HTML Preformatted"/>
    <w:basedOn w:val="1"/>
    <w:link w:val="1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eastAsiaTheme="minorEastAsia"/>
      <w:sz w:val="24"/>
    </w:rPr>
  </w:style>
  <w:style w:type="paragraph" w:styleId="40">
    <w:name w:val="Normal (Web)"/>
    <w:basedOn w:val="1"/>
    <w:qFormat/>
    <w:uiPriority w:val="0"/>
    <w:pPr>
      <w:widowControl/>
      <w:wordWrap w:val="0"/>
      <w:spacing w:before="100" w:beforeAutospacing="1" w:after="100" w:afterAutospacing="1" w:line="320" w:lineRule="atLeast"/>
      <w:jc w:val="left"/>
    </w:pPr>
    <w:rPr>
      <w:rFonts w:ascii="宋体"/>
      <w:kern w:val="0"/>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8"/>
    <w:qFormat/>
    <w:uiPriority w:val="0"/>
    <w:pPr>
      <w:jc w:val="both"/>
    </w:pPr>
    <w:rPr>
      <w:rFonts w:asciiTheme="minorHAnsi" w:hAnsiTheme="minorHAnsi" w:cstheme="minorBidi"/>
      <w:b/>
      <w:bCs/>
    </w:rPr>
  </w:style>
  <w:style w:type="paragraph" w:styleId="44">
    <w:name w:val="Body Text First Indent"/>
    <w:basedOn w:val="18"/>
    <w:next w:val="45"/>
    <w:link w:val="81"/>
    <w:qFormat/>
    <w:uiPriority w:val="0"/>
    <w:pPr>
      <w:spacing w:line="312" w:lineRule="auto"/>
      <w:ind w:firstLine="420"/>
    </w:pPr>
    <w:rPr>
      <w:rFonts w:asciiTheme="minorHAnsi" w:hAnsiTheme="minorHAnsi" w:cstheme="minorBidi"/>
    </w:rPr>
  </w:style>
  <w:style w:type="paragraph" w:styleId="45">
    <w:name w:val="Body Text First Indent 2"/>
    <w:basedOn w:val="19"/>
    <w:next w:val="1"/>
    <w:link w:val="190"/>
    <w:semiHidden/>
    <w:unhideWhenUsed/>
    <w:qFormat/>
    <w:uiPriority w:val="99"/>
    <w:pPr>
      <w:ind w:firstLine="420" w:firstLineChars="200"/>
    </w:pPr>
  </w:style>
  <w:style w:type="table" w:styleId="47">
    <w:name w:val="Table Grid"/>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800080"/>
      <w:u w:val="none"/>
    </w:rPr>
  </w:style>
  <w:style w:type="character" w:styleId="52">
    <w:name w:val="Emphasis"/>
    <w:qFormat/>
    <w:uiPriority w:val="20"/>
    <w:rPr>
      <w:b/>
    </w:rPr>
  </w:style>
  <w:style w:type="character" w:styleId="53">
    <w:name w:val="HTML Definition"/>
    <w:unhideWhenUsed/>
    <w:qFormat/>
    <w:uiPriority w:val="99"/>
  </w:style>
  <w:style w:type="character" w:styleId="54">
    <w:name w:val="HTML Typewriter"/>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unhideWhenUsed/>
    <w:qFormat/>
    <w:uiPriority w:val="99"/>
  </w:style>
  <w:style w:type="character" w:styleId="57">
    <w:name w:val="Hyperlink"/>
    <w:qFormat/>
    <w:uiPriority w:val="99"/>
    <w:rPr>
      <w:color w:val="0000FF"/>
      <w:u w:val="none"/>
    </w:rPr>
  </w:style>
  <w:style w:type="character" w:styleId="58">
    <w:name w:val="HTML Code"/>
    <w:unhideWhenUsed/>
    <w:qFormat/>
    <w:uiPriority w:val="99"/>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unhideWhenUsed/>
    <w:qFormat/>
    <w:uiPriority w:val="99"/>
  </w:style>
  <w:style w:type="character" w:styleId="61">
    <w:name w:val="footnote reference"/>
    <w:qFormat/>
    <w:uiPriority w:val="0"/>
    <w:rPr>
      <w:vertAlign w:val="superscript"/>
    </w:rPr>
  </w:style>
  <w:style w:type="character" w:styleId="62">
    <w:name w:val="HTML Keyboard"/>
    <w:unhideWhenUsed/>
    <w:qFormat/>
    <w:uiPriority w:val="99"/>
    <w:rPr>
      <w:rFonts w:ascii="monospace" w:hAnsi="monospace" w:eastAsia="monospace" w:cs="monospace"/>
      <w:sz w:val="20"/>
    </w:rPr>
  </w:style>
  <w:style w:type="character" w:styleId="63">
    <w:name w:val="HTML Sample"/>
    <w:unhideWhenUsed/>
    <w:qFormat/>
    <w:uiPriority w:val="99"/>
    <w:rPr>
      <w:rFonts w:hint="default" w:ascii="monospace" w:hAnsi="monospace" w:eastAsia="monospace" w:cs="monospace"/>
    </w:rPr>
  </w:style>
  <w:style w:type="character" w:customStyle="1" w:styleId="64">
    <w:name w:val="Default Char Char"/>
    <w:link w:val="2"/>
    <w:qFormat/>
    <w:uiPriority w:val="0"/>
    <w:rPr>
      <w:rFonts w:ascii="宋体" w:hAnsi="Times New Roman" w:eastAsia="宋体" w:cs="Times New Roman"/>
      <w:color w:val="000000"/>
      <w:kern w:val="0"/>
      <w:sz w:val="24"/>
      <w:szCs w:val="20"/>
    </w:rPr>
  </w:style>
  <w:style w:type="character" w:customStyle="1" w:styleId="65">
    <w:name w:val="标题 1 字符"/>
    <w:basedOn w:val="48"/>
    <w:link w:val="3"/>
    <w:qFormat/>
    <w:uiPriority w:val="0"/>
    <w:rPr>
      <w:rFonts w:ascii="Times New Roman" w:hAnsi="Times New Roman" w:eastAsia="宋体" w:cs="Times New Roman"/>
      <w:b/>
      <w:bCs/>
      <w:kern w:val="44"/>
      <w:sz w:val="44"/>
      <w:szCs w:val="44"/>
    </w:rPr>
  </w:style>
  <w:style w:type="character" w:customStyle="1" w:styleId="66">
    <w:name w:val="标题 2 字符"/>
    <w:basedOn w:val="48"/>
    <w:link w:val="4"/>
    <w:qFormat/>
    <w:uiPriority w:val="9"/>
    <w:rPr>
      <w:rFonts w:ascii="Arial" w:hAnsi="Arial" w:eastAsia="黑体" w:cs="Times New Roman"/>
      <w:b/>
      <w:bCs/>
      <w:sz w:val="32"/>
      <w:szCs w:val="32"/>
    </w:rPr>
  </w:style>
  <w:style w:type="character" w:customStyle="1" w:styleId="67">
    <w:name w:val="标题 3 字符"/>
    <w:basedOn w:val="48"/>
    <w:link w:val="5"/>
    <w:qFormat/>
    <w:uiPriority w:val="0"/>
    <w:rPr>
      <w:rFonts w:ascii="黑体" w:hAnsi="宋体" w:eastAsia="黑体" w:cs="Times New Roman"/>
      <w:bCs/>
      <w:sz w:val="28"/>
      <w:szCs w:val="28"/>
    </w:rPr>
  </w:style>
  <w:style w:type="character" w:customStyle="1" w:styleId="68">
    <w:name w:val="标题 4 字符"/>
    <w:basedOn w:val="48"/>
    <w:link w:val="6"/>
    <w:qFormat/>
    <w:uiPriority w:val="0"/>
    <w:rPr>
      <w:rFonts w:ascii="Arial" w:hAnsi="Arial" w:eastAsia="黑体" w:cs="Times New Roman"/>
      <w:b/>
      <w:bCs/>
      <w:sz w:val="28"/>
      <w:szCs w:val="28"/>
    </w:rPr>
  </w:style>
  <w:style w:type="character" w:customStyle="1" w:styleId="69">
    <w:name w:val="标题 5 字符"/>
    <w:basedOn w:val="48"/>
    <w:link w:val="7"/>
    <w:qFormat/>
    <w:uiPriority w:val="0"/>
    <w:rPr>
      <w:rFonts w:ascii="Times New Roman" w:hAnsi="Times New Roman" w:eastAsia="宋体" w:cs="Times New Roman"/>
      <w:b/>
      <w:sz w:val="28"/>
      <w:szCs w:val="24"/>
    </w:rPr>
  </w:style>
  <w:style w:type="character" w:customStyle="1" w:styleId="70">
    <w:name w:val="标题 6 字符"/>
    <w:basedOn w:val="48"/>
    <w:link w:val="8"/>
    <w:qFormat/>
    <w:uiPriority w:val="0"/>
    <w:rPr>
      <w:rFonts w:ascii="Arial" w:hAnsi="Arial" w:eastAsia="黑体" w:cs="Times New Roman"/>
      <w:b/>
      <w:bCs/>
      <w:kern w:val="0"/>
      <w:sz w:val="24"/>
      <w:szCs w:val="24"/>
    </w:rPr>
  </w:style>
  <w:style w:type="character" w:customStyle="1" w:styleId="71">
    <w:name w:val="标题 7 字符"/>
    <w:basedOn w:val="48"/>
    <w:link w:val="9"/>
    <w:qFormat/>
    <w:uiPriority w:val="0"/>
    <w:rPr>
      <w:rFonts w:ascii="Times New Roman" w:hAnsi="Times New Roman" w:eastAsia="宋体" w:cs="Times New Roman"/>
      <w:b/>
      <w:bCs/>
      <w:kern w:val="0"/>
      <w:sz w:val="24"/>
      <w:szCs w:val="24"/>
    </w:rPr>
  </w:style>
  <w:style w:type="character" w:customStyle="1" w:styleId="72">
    <w:name w:val="标题 8 字符"/>
    <w:basedOn w:val="48"/>
    <w:link w:val="10"/>
    <w:qFormat/>
    <w:uiPriority w:val="0"/>
    <w:rPr>
      <w:rFonts w:ascii="Arial" w:hAnsi="Arial" w:eastAsia="黑体" w:cs="Times New Roman"/>
      <w:kern w:val="0"/>
      <w:sz w:val="24"/>
      <w:szCs w:val="24"/>
    </w:rPr>
  </w:style>
  <w:style w:type="character" w:customStyle="1" w:styleId="73">
    <w:name w:val="标题 9 字符"/>
    <w:basedOn w:val="48"/>
    <w:link w:val="11"/>
    <w:qFormat/>
    <w:uiPriority w:val="0"/>
    <w:rPr>
      <w:rFonts w:ascii="Arial" w:hAnsi="Arial" w:eastAsia="黑体" w:cs="Times New Roman"/>
      <w:kern w:val="0"/>
      <w:szCs w:val="21"/>
    </w:rPr>
  </w:style>
  <w:style w:type="character" w:customStyle="1" w:styleId="74">
    <w:name w:val="页眉 字符"/>
    <w:basedOn w:val="48"/>
    <w:link w:val="29"/>
    <w:qFormat/>
    <w:uiPriority w:val="0"/>
    <w:rPr>
      <w:sz w:val="18"/>
      <w:szCs w:val="18"/>
    </w:rPr>
  </w:style>
  <w:style w:type="character" w:customStyle="1" w:styleId="75">
    <w:name w:val="页脚 字符"/>
    <w:basedOn w:val="48"/>
    <w:link w:val="27"/>
    <w:qFormat/>
    <w:uiPriority w:val="99"/>
    <w:rPr>
      <w:sz w:val="18"/>
      <w:szCs w:val="18"/>
    </w:rPr>
  </w:style>
  <w:style w:type="character" w:customStyle="1" w:styleId="76">
    <w:name w:val="纯文本 Char1"/>
    <w:qFormat/>
    <w:uiPriority w:val="99"/>
    <w:rPr>
      <w:rFonts w:ascii="宋体" w:hAnsi="Courier New" w:cs="Courier New"/>
      <w:kern w:val="2"/>
      <w:sz w:val="21"/>
      <w:szCs w:val="21"/>
    </w:rPr>
  </w:style>
  <w:style w:type="character" w:customStyle="1" w:styleId="77">
    <w:name w:val="mini-outputtext1"/>
    <w:basedOn w:val="48"/>
    <w:qFormat/>
    <w:uiPriority w:val="0"/>
  </w:style>
  <w:style w:type="character" w:customStyle="1" w:styleId="78">
    <w:name w:val="批注主题 字符"/>
    <w:link w:val="43"/>
    <w:qFormat/>
    <w:uiPriority w:val="0"/>
    <w:rPr>
      <w:rFonts w:eastAsia="宋体"/>
      <w:b/>
      <w:bCs/>
      <w:szCs w:val="24"/>
    </w:rPr>
  </w:style>
  <w:style w:type="character" w:customStyle="1" w:styleId="79">
    <w:name w:val="批注文字 字符1"/>
    <w:basedOn w:val="48"/>
    <w:link w:val="16"/>
    <w:qFormat/>
    <w:uiPriority w:val="0"/>
    <w:rPr>
      <w:rFonts w:ascii="Times New Roman" w:hAnsi="Times New Roman" w:eastAsia="宋体" w:cs="Times New Roman"/>
      <w:szCs w:val="24"/>
    </w:rPr>
  </w:style>
  <w:style w:type="character" w:customStyle="1" w:styleId="80">
    <w:name w:val="font51"/>
    <w:qFormat/>
    <w:uiPriority w:val="0"/>
    <w:rPr>
      <w:rFonts w:hint="eastAsia" w:ascii="微软雅黑" w:hAnsi="微软雅黑" w:eastAsia="微软雅黑" w:cs="微软雅黑"/>
      <w:color w:val="000000"/>
      <w:sz w:val="18"/>
      <w:szCs w:val="18"/>
      <w:u w:val="none"/>
    </w:rPr>
  </w:style>
  <w:style w:type="character" w:customStyle="1" w:styleId="81">
    <w:name w:val="正文文本首行缩进 字符"/>
    <w:basedOn w:val="82"/>
    <w:link w:val="44"/>
    <w:qFormat/>
    <w:uiPriority w:val="0"/>
    <w:rPr>
      <w:rFonts w:eastAsia="宋体"/>
      <w:kern w:val="2"/>
      <w:sz w:val="21"/>
      <w:szCs w:val="24"/>
      <w:lang w:val="en-US" w:eastAsia="zh-CN" w:bidi="ar-SA"/>
    </w:rPr>
  </w:style>
  <w:style w:type="character" w:customStyle="1" w:styleId="82">
    <w:name w:val="正文文本 字符"/>
    <w:qFormat/>
    <w:uiPriority w:val="0"/>
    <w:rPr>
      <w:rFonts w:eastAsia="宋体"/>
      <w:kern w:val="2"/>
      <w:sz w:val="21"/>
      <w:szCs w:val="24"/>
      <w:lang w:val="en-US" w:eastAsia="zh-CN" w:bidi="ar-SA"/>
    </w:rPr>
  </w:style>
  <w:style w:type="character" w:customStyle="1" w:styleId="83">
    <w:name w:val="apple-converted-space"/>
    <w:basedOn w:val="48"/>
    <w:qFormat/>
    <w:uiPriority w:val="0"/>
  </w:style>
  <w:style w:type="character" w:customStyle="1" w:styleId="84">
    <w:name w:val="font161"/>
    <w:qFormat/>
    <w:uiPriority w:val="0"/>
    <w:rPr>
      <w:b/>
      <w:bCs/>
      <w:sz w:val="32"/>
      <w:szCs w:val="32"/>
    </w:rPr>
  </w:style>
  <w:style w:type="character" w:customStyle="1" w:styleId="85">
    <w:name w:val="font01"/>
    <w:qFormat/>
    <w:uiPriority w:val="0"/>
    <w:rPr>
      <w:rFonts w:hint="eastAsia" w:ascii="微软雅黑" w:hAnsi="微软雅黑" w:eastAsia="微软雅黑" w:cs="微软雅黑"/>
      <w:color w:val="000000"/>
      <w:sz w:val="20"/>
      <w:szCs w:val="20"/>
      <w:u w:val="none"/>
    </w:rPr>
  </w:style>
  <w:style w:type="character" w:customStyle="1" w:styleId="86">
    <w:name w:val="纯文本 字符"/>
    <w:link w:val="22"/>
    <w:qFormat/>
    <w:uiPriority w:val="0"/>
    <w:rPr>
      <w:rFonts w:ascii="宋体" w:hAnsi="Courier New"/>
    </w:rPr>
  </w:style>
  <w:style w:type="character" w:customStyle="1" w:styleId="87">
    <w:name w:val="HTML Markup"/>
    <w:qFormat/>
    <w:uiPriority w:val="0"/>
    <w:rPr>
      <w:vanish/>
      <w:color w:val="FF0000"/>
    </w:rPr>
  </w:style>
  <w:style w:type="character" w:customStyle="1" w:styleId="88">
    <w:name w:val="font11"/>
    <w:qFormat/>
    <w:uiPriority w:val="0"/>
    <w:rPr>
      <w:rFonts w:hint="eastAsia" w:ascii="微软雅黑" w:hAnsi="微软雅黑" w:eastAsia="微软雅黑" w:cs="微软雅黑"/>
      <w:color w:val="000000"/>
      <w:sz w:val="20"/>
      <w:szCs w:val="20"/>
      <w:u w:val="none"/>
    </w:rPr>
  </w:style>
  <w:style w:type="character" w:customStyle="1" w:styleId="89">
    <w:name w:val="批注文字 字符"/>
    <w:qFormat/>
    <w:uiPriority w:val="0"/>
    <w:rPr>
      <w:rFonts w:eastAsia="宋体"/>
      <w:kern w:val="2"/>
      <w:sz w:val="21"/>
      <w:szCs w:val="24"/>
      <w:lang w:val="en-US" w:eastAsia="zh-CN" w:bidi="ar-SA"/>
    </w:rPr>
  </w:style>
  <w:style w:type="character" w:customStyle="1" w:styleId="90">
    <w:name w:val="文档结构图 字符"/>
    <w:link w:val="15"/>
    <w:qFormat/>
    <w:uiPriority w:val="0"/>
    <w:rPr>
      <w:rFonts w:eastAsia="宋体"/>
      <w:szCs w:val="24"/>
      <w:shd w:val="clear" w:color="auto" w:fill="000080"/>
    </w:rPr>
  </w:style>
  <w:style w:type="character" w:customStyle="1" w:styleId="91">
    <w:name w:val="未处理的提及1"/>
    <w:unhideWhenUsed/>
    <w:qFormat/>
    <w:uiPriority w:val="99"/>
    <w:rPr>
      <w:color w:val="605E5C"/>
      <w:shd w:val="clear" w:color="auto" w:fill="E1DFDD"/>
    </w:rPr>
  </w:style>
  <w:style w:type="character" w:customStyle="1" w:styleId="92">
    <w:name w:val="纯文本 字符1"/>
    <w:basedOn w:val="48"/>
    <w:semiHidden/>
    <w:qFormat/>
    <w:uiPriority w:val="99"/>
    <w:rPr>
      <w:rFonts w:hAnsi="Courier New" w:cs="Courier New" w:asciiTheme="minorEastAsia"/>
      <w:szCs w:val="24"/>
    </w:rPr>
  </w:style>
  <w:style w:type="character" w:customStyle="1" w:styleId="93">
    <w:name w:val="文档结构图 字符1"/>
    <w:basedOn w:val="48"/>
    <w:semiHidden/>
    <w:qFormat/>
    <w:uiPriority w:val="99"/>
    <w:rPr>
      <w:rFonts w:ascii="Microsoft YaHei UI" w:hAnsi="Times New Roman" w:eastAsia="Microsoft YaHei UI" w:cs="Times New Roman"/>
      <w:sz w:val="18"/>
      <w:szCs w:val="18"/>
    </w:rPr>
  </w:style>
  <w:style w:type="character" w:customStyle="1" w:styleId="94">
    <w:name w:val="批注主题 字符1"/>
    <w:basedOn w:val="79"/>
    <w:semiHidden/>
    <w:qFormat/>
    <w:uiPriority w:val="99"/>
    <w:rPr>
      <w:rFonts w:ascii="Times New Roman" w:hAnsi="Times New Roman" w:eastAsia="宋体" w:cs="Times New Roman"/>
      <w:b/>
      <w:bCs/>
      <w:szCs w:val="24"/>
    </w:rPr>
  </w:style>
  <w:style w:type="character" w:customStyle="1" w:styleId="95">
    <w:name w:val="日期 字符"/>
    <w:basedOn w:val="48"/>
    <w:link w:val="24"/>
    <w:qFormat/>
    <w:uiPriority w:val="0"/>
    <w:rPr>
      <w:rFonts w:ascii="Times New Roman" w:hAnsi="Times New Roman" w:eastAsia="宋体" w:cs="Times New Roman"/>
      <w:sz w:val="24"/>
      <w:szCs w:val="20"/>
    </w:rPr>
  </w:style>
  <w:style w:type="character" w:customStyle="1" w:styleId="96">
    <w:name w:val="批注框文本 字符"/>
    <w:basedOn w:val="48"/>
    <w:link w:val="26"/>
    <w:qFormat/>
    <w:uiPriority w:val="0"/>
    <w:rPr>
      <w:rFonts w:ascii="Times New Roman" w:hAnsi="Times New Roman" w:eastAsia="宋体" w:cs="Times New Roman"/>
      <w:sz w:val="18"/>
      <w:szCs w:val="18"/>
    </w:rPr>
  </w:style>
  <w:style w:type="character" w:customStyle="1" w:styleId="97">
    <w:name w:val="正文文本 字符1"/>
    <w:basedOn w:val="48"/>
    <w:link w:val="18"/>
    <w:qFormat/>
    <w:uiPriority w:val="0"/>
    <w:rPr>
      <w:rFonts w:ascii="Times New Roman" w:hAnsi="Times New Roman" w:eastAsia="宋体" w:cs="Times New Roman"/>
      <w:szCs w:val="24"/>
    </w:rPr>
  </w:style>
  <w:style w:type="character" w:customStyle="1" w:styleId="98">
    <w:name w:val="正文文本首行缩进 字符1"/>
    <w:basedOn w:val="97"/>
    <w:semiHidden/>
    <w:qFormat/>
    <w:uiPriority w:val="99"/>
    <w:rPr>
      <w:rFonts w:ascii="Times New Roman" w:hAnsi="Times New Roman" w:eastAsia="宋体" w:cs="Times New Roman"/>
      <w:szCs w:val="24"/>
    </w:rPr>
  </w:style>
  <w:style w:type="character" w:customStyle="1" w:styleId="99">
    <w:name w:val="正文文本缩进 3 字符"/>
    <w:basedOn w:val="48"/>
    <w:link w:val="35"/>
    <w:qFormat/>
    <w:uiPriority w:val="0"/>
    <w:rPr>
      <w:rFonts w:ascii="Times New Roman" w:hAnsi="Times New Roman" w:eastAsia="宋体" w:cs="Times New Roman"/>
      <w:sz w:val="16"/>
      <w:szCs w:val="16"/>
    </w:rPr>
  </w:style>
  <w:style w:type="character" w:customStyle="1" w:styleId="100">
    <w:name w:val="正文文本缩进 字符"/>
    <w:basedOn w:val="48"/>
    <w:link w:val="19"/>
    <w:qFormat/>
    <w:uiPriority w:val="0"/>
    <w:rPr>
      <w:rFonts w:ascii="Times New Roman" w:hAnsi="Times New Roman" w:eastAsia="宋体" w:cs="Times New Roman"/>
      <w:szCs w:val="24"/>
    </w:rPr>
  </w:style>
  <w:style w:type="character" w:customStyle="1" w:styleId="101">
    <w:name w:val="标题 字符"/>
    <w:basedOn w:val="48"/>
    <w:link w:val="42"/>
    <w:qFormat/>
    <w:uiPriority w:val="0"/>
    <w:rPr>
      <w:rFonts w:ascii="Arial" w:hAnsi="Arial" w:eastAsia="宋体" w:cs="Times New Roman"/>
      <w:b/>
      <w:kern w:val="0"/>
      <w:sz w:val="32"/>
      <w:szCs w:val="20"/>
    </w:rPr>
  </w:style>
  <w:style w:type="character" w:customStyle="1" w:styleId="102">
    <w:name w:val="正文文本 3 字符"/>
    <w:basedOn w:val="48"/>
    <w:link w:val="17"/>
    <w:qFormat/>
    <w:uiPriority w:val="0"/>
    <w:rPr>
      <w:rFonts w:ascii="宋体" w:hAnsi="Times New Roman" w:eastAsia="宋体" w:cs="Times New Roman"/>
      <w:sz w:val="24"/>
      <w:szCs w:val="20"/>
    </w:rPr>
  </w:style>
  <w:style w:type="paragraph" w:customStyle="1" w:styleId="103">
    <w:name w:val="表格文字"/>
    <w:basedOn w:val="1"/>
    <w:next w:val="18"/>
    <w:qFormat/>
    <w:uiPriority w:val="0"/>
    <w:pPr>
      <w:adjustRightInd w:val="0"/>
      <w:spacing w:line="420" w:lineRule="atLeast"/>
      <w:jc w:val="left"/>
      <w:textAlignment w:val="baseline"/>
    </w:pPr>
    <w:rPr>
      <w:kern w:val="0"/>
      <w:szCs w:val="20"/>
    </w:rPr>
  </w:style>
  <w:style w:type="paragraph" w:customStyle="1" w:styleId="104">
    <w:name w:val="样式2"/>
    <w:basedOn w:val="5"/>
    <w:qFormat/>
    <w:uiPriority w:val="0"/>
    <w:rPr>
      <w:i/>
    </w:rPr>
  </w:style>
  <w:style w:type="paragraph" w:customStyle="1" w:styleId="105">
    <w:name w:val="Char1"/>
    <w:basedOn w:val="1"/>
    <w:qFormat/>
    <w:uiPriority w:val="0"/>
    <w:pPr>
      <w:tabs>
        <w:tab w:val="left" w:pos="360"/>
      </w:tabs>
    </w:pPr>
    <w:rPr>
      <w:sz w:val="24"/>
    </w:rPr>
  </w:style>
  <w:style w:type="paragraph" w:customStyle="1" w:styleId="106">
    <w:name w:val="1"/>
    <w:basedOn w:val="1"/>
    <w:qFormat/>
    <w:uiPriority w:val="0"/>
  </w:style>
  <w:style w:type="paragraph" w:customStyle="1" w:styleId="10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样式1"/>
    <w:basedOn w:val="1"/>
    <w:next w:val="6"/>
    <w:link w:val="109"/>
    <w:qFormat/>
    <w:uiPriority w:val="0"/>
    <w:pPr>
      <w:spacing w:line="360" w:lineRule="auto"/>
      <w:ind w:firstLine="420" w:firstLineChars="200"/>
    </w:pPr>
    <w:rPr>
      <w:rFonts w:ascii="宋体" w:hAnsi="宋体"/>
      <w:szCs w:val="21"/>
    </w:rPr>
  </w:style>
  <w:style w:type="character" w:customStyle="1" w:styleId="109">
    <w:name w:val="样式1 字符"/>
    <w:link w:val="108"/>
    <w:qFormat/>
    <w:uiPriority w:val="0"/>
    <w:rPr>
      <w:rFonts w:ascii="宋体" w:hAnsi="宋体" w:eastAsia="宋体" w:cs="Times New Roman"/>
      <w:szCs w:val="21"/>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Table Paragraph"/>
    <w:basedOn w:val="1"/>
    <w:qFormat/>
    <w:uiPriority w:val="1"/>
    <w:pPr>
      <w:jc w:val="left"/>
    </w:pPr>
    <w:rPr>
      <w:rFonts w:ascii="宋体" w:hAnsi="宋体" w:cs="宋体"/>
      <w:kern w:val="0"/>
      <w:sz w:val="22"/>
      <w:szCs w:val="22"/>
      <w:lang w:eastAsia="en-US"/>
    </w:rPr>
  </w:style>
  <w:style w:type="paragraph" w:customStyle="1" w:styleId="113">
    <w:name w:val="Char"/>
    <w:basedOn w:val="1"/>
    <w:qFormat/>
    <w:uiPriority w:val="0"/>
    <w:pPr>
      <w:tabs>
        <w:tab w:val="left" w:pos="360"/>
      </w:tabs>
    </w:pPr>
    <w:rPr>
      <w:sz w:val="24"/>
    </w:rPr>
  </w:style>
  <w:style w:type="paragraph" w:customStyle="1" w:styleId="114">
    <w:name w:val="修订1"/>
    <w:qFormat/>
    <w:uiPriority w:val="99"/>
    <w:rPr>
      <w:rFonts w:ascii="Times New Roman" w:hAnsi="Times New Roman" w:eastAsia="宋体" w:cs="Times New Roman"/>
      <w:kern w:val="2"/>
      <w:sz w:val="21"/>
      <w:szCs w:val="24"/>
      <w:lang w:val="en-US" w:eastAsia="zh-CN" w:bidi="ar-SA"/>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6">
    <w:name w:val="Char4"/>
    <w:basedOn w:val="1"/>
    <w:qFormat/>
    <w:uiPriority w:val="0"/>
    <w:pPr>
      <w:spacing w:line="360" w:lineRule="auto"/>
      <w:ind w:firstLine="200" w:firstLineChars="200"/>
    </w:pPr>
    <w:rPr>
      <w:rFonts w:ascii="宋体" w:hAnsi="宋体" w:cs="宋体"/>
      <w:sz w:val="24"/>
    </w:rPr>
  </w:style>
  <w:style w:type="paragraph" w:customStyle="1" w:styleId="117">
    <w:name w:val="p0"/>
    <w:basedOn w:val="118"/>
    <w:qFormat/>
    <w:uiPriority w:val="0"/>
    <w:pPr>
      <w:widowControl/>
    </w:pPr>
    <w:rPr>
      <w:kern w:val="0"/>
      <w:szCs w:val="21"/>
    </w:rPr>
  </w:style>
  <w:style w:type="paragraph" w:customStyle="1" w:styleId="118">
    <w:name w:val="正文1"/>
    <w:next w:val="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文本1"/>
    <w:basedOn w:val="118"/>
    <w:qFormat/>
    <w:uiPriority w:val="99"/>
    <w:rPr>
      <w:rFonts w:eastAsia="楷体_GB2312"/>
      <w:sz w:val="28"/>
    </w:rPr>
  </w:style>
  <w:style w:type="paragraph" w:customStyle="1" w:styleId="120">
    <w:name w:val="blockquote"/>
    <w:basedOn w:val="1"/>
    <w:qFormat/>
    <w:uiPriority w:val="0"/>
    <w:pPr>
      <w:widowControl/>
      <w:spacing w:before="100" w:beforeAutospacing="1" w:after="100" w:afterAutospacing="1"/>
      <w:jc w:val="left"/>
    </w:pPr>
    <w:rPr>
      <w:rFonts w:ascii="宋体" w:cs="宋体"/>
      <w:kern w:val="0"/>
    </w:rPr>
  </w:style>
  <w:style w:type="paragraph" w:customStyle="1" w:styleId="12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修订2"/>
    <w:qFormat/>
    <w:uiPriority w:val="99"/>
    <w:rPr>
      <w:rFonts w:ascii="Times New Roman" w:hAnsi="Times New Roman" w:eastAsia="宋体" w:cs="Times New Roman"/>
      <w:kern w:val="2"/>
      <w:sz w:val="21"/>
      <w:szCs w:val="24"/>
      <w:lang w:val="en-US" w:eastAsia="zh-CN" w:bidi="ar-SA"/>
    </w:rPr>
  </w:style>
  <w:style w:type="paragraph" w:customStyle="1" w:styleId="123">
    <w:name w:val="列表段落1"/>
    <w:basedOn w:val="1"/>
    <w:unhideWhenUsed/>
    <w:qFormat/>
    <w:uiPriority w:val="0"/>
    <w:pPr>
      <w:ind w:firstLine="420" w:firstLineChars="200"/>
    </w:pPr>
  </w:style>
  <w:style w:type="paragraph" w:customStyle="1" w:styleId="1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5">
    <w:name w:val="Char1 Char Char"/>
    <w:basedOn w:val="1"/>
    <w:qFormat/>
    <w:uiPriority w:val="0"/>
    <w:pPr>
      <w:widowControl/>
      <w:spacing w:after="160" w:line="240" w:lineRule="exact"/>
      <w:ind w:firstLine="704" w:firstLineChars="200"/>
      <w:jc w:val="left"/>
    </w:pPr>
    <w:rPr>
      <w:szCs w:val="20"/>
    </w:rPr>
  </w:style>
  <w:style w:type="paragraph" w:customStyle="1" w:styleId="126">
    <w:name w:val="样式 标题 3 + (中文) 黑体 小四 非加粗 段前: 7.8 磅 段后: 0 磅 行距: 固定值 20 磅"/>
    <w:basedOn w:val="5"/>
    <w:next w:val="113"/>
    <w:qFormat/>
    <w:uiPriority w:val="0"/>
    <w:pPr>
      <w:spacing w:before="0" w:after="0" w:line="400" w:lineRule="exact"/>
    </w:pPr>
    <w:rPr>
      <w:rFonts w:cs="宋体"/>
      <w:bCs w:val="0"/>
      <w:sz w:val="24"/>
      <w:szCs w:val="20"/>
    </w:rPr>
  </w:style>
  <w:style w:type="character" w:customStyle="1" w:styleId="127">
    <w:name w:val="refer-count"/>
    <w:basedOn w:val="48"/>
    <w:qFormat/>
    <w:uiPriority w:val="0"/>
  </w:style>
  <w:style w:type="character" w:customStyle="1" w:styleId="128">
    <w:name w:val="副标题 字符"/>
    <w:link w:val="32"/>
    <w:qFormat/>
    <w:uiPriority w:val="11"/>
    <w:rPr>
      <w:rFonts w:ascii="宋体" w:hAnsi="宋体" w:cs="Times New Roman"/>
      <w:b/>
      <w:bCs/>
      <w:kern w:val="28"/>
      <w:sz w:val="24"/>
      <w:szCs w:val="32"/>
    </w:rPr>
  </w:style>
  <w:style w:type="character" w:customStyle="1" w:styleId="129">
    <w:name w:val="未处理的提及3"/>
    <w:unhideWhenUsed/>
    <w:qFormat/>
    <w:uiPriority w:val="99"/>
    <w:rPr>
      <w:color w:val="605E5C"/>
      <w:shd w:val="clear" w:color="auto" w:fill="E1DFDD"/>
    </w:rPr>
  </w:style>
  <w:style w:type="character" w:styleId="130">
    <w:name w:val="Placeholder Text"/>
    <w:unhideWhenUsed/>
    <w:qFormat/>
    <w:uiPriority w:val="99"/>
    <w:rPr>
      <w:color w:val="808080"/>
    </w:rPr>
  </w:style>
  <w:style w:type="character" w:customStyle="1" w:styleId="131">
    <w:name w:val="content"/>
    <w:basedOn w:val="48"/>
    <w:qFormat/>
    <w:uiPriority w:val="0"/>
  </w:style>
  <w:style w:type="character" w:customStyle="1" w:styleId="132">
    <w:name w:val="search-in-page-highlight-item"/>
    <w:basedOn w:val="48"/>
    <w:qFormat/>
    <w:uiPriority w:val="0"/>
  </w:style>
  <w:style w:type="character" w:customStyle="1" w:styleId="133">
    <w:name w:val="未处理的提及11"/>
    <w:unhideWhenUsed/>
    <w:qFormat/>
    <w:uiPriority w:val="99"/>
    <w:rPr>
      <w:color w:val="605E5C"/>
      <w:shd w:val="clear" w:color="auto" w:fill="E1DFDD"/>
    </w:rPr>
  </w:style>
  <w:style w:type="character" w:customStyle="1" w:styleId="134">
    <w:name w:val="law-parenthese"/>
    <w:basedOn w:val="48"/>
    <w:qFormat/>
    <w:uiPriority w:val="0"/>
  </w:style>
  <w:style w:type="character" w:customStyle="1" w:styleId="135">
    <w:name w:val="正文文本 2 字符"/>
    <w:link w:val="38"/>
    <w:qFormat/>
    <w:uiPriority w:val="99"/>
    <w:rPr>
      <w:rFonts w:ascii="Calibri" w:hAnsi="Calibri" w:eastAsia="宋体" w:cs="Times New Roman"/>
      <w:sz w:val="24"/>
    </w:rPr>
  </w:style>
  <w:style w:type="character" w:customStyle="1" w:styleId="136">
    <w:name w:val="search-in-page-highlight-wrapper"/>
    <w:basedOn w:val="48"/>
    <w:qFormat/>
    <w:uiPriority w:val="0"/>
  </w:style>
  <w:style w:type="character" w:customStyle="1" w:styleId="137">
    <w:name w:val="HTML 预设格式 字符"/>
    <w:link w:val="39"/>
    <w:qFormat/>
    <w:uiPriority w:val="99"/>
    <w:rPr>
      <w:rFonts w:ascii="宋体" w:hAnsi="宋体" w:cs="宋体"/>
      <w:sz w:val="24"/>
      <w:szCs w:val="24"/>
    </w:rPr>
  </w:style>
  <w:style w:type="character" w:customStyle="1" w:styleId="138">
    <w:name w:val="未处理的提及2"/>
    <w:unhideWhenUsed/>
    <w:qFormat/>
    <w:uiPriority w:val="99"/>
    <w:rPr>
      <w:color w:val="605E5C"/>
      <w:shd w:val="clear" w:color="auto" w:fill="E1DFDD"/>
    </w:rPr>
  </w:style>
  <w:style w:type="paragraph" w:customStyle="1" w:styleId="139">
    <w:name w:val="专用标题2"/>
    <w:basedOn w:val="4"/>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140">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41">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42">
    <w:name w:val="TOC 标题1"/>
    <w:basedOn w:val="3"/>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bCs w:val="0"/>
      <w:color w:val="2E75B5"/>
      <w:kern w:val="0"/>
      <w:sz w:val="32"/>
      <w:szCs w:val="32"/>
    </w:rPr>
  </w:style>
  <w:style w:type="paragraph" w:customStyle="1" w:styleId="143">
    <w:name w:val="Char Char Char Char Char Char Char Char Char Char Char Char Char"/>
    <w:basedOn w:val="1"/>
    <w:qFormat/>
    <w:uiPriority w:val="0"/>
    <w:rPr>
      <w:rFonts w:ascii="宋体" w:hAnsi="宋体"/>
      <w:sz w:val="24"/>
    </w:rPr>
  </w:style>
  <w:style w:type="paragraph" w:customStyle="1" w:styleId="144">
    <w:name w:val="Title 5"/>
    <w:next w:val="145"/>
    <w:qFormat/>
    <w:uiPriority w:val="0"/>
    <w:pPr>
      <w:numPr>
        <w:ilvl w:val="0"/>
        <w:numId w:val="2"/>
      </w:numPr>
      <w:ind w:left="1701" w:hanging="426"/>
      <w:jc w:val="both"/>
    </w:pPr>
    <w:rPr>
      <w:rFonts w:ascii="Times New Roman" w:hAnsi="Times New Roman" w:eastAsia="宋体" w:cs="Times New Roman"/>
      <w:kern w:val="2"/>
      <w:sz w:val="24"/>
      <w:szCs w:val="24"/>
      <w:lang w:val="en-US" w:eastAsia="zh-CN" w:bidi="ar-SA"/>
    </w:rPr>
  </w:style>
  <w:style w:type="paragraph" w:customStyle="1" w:styleId="145">
    <w:name w:val="Title 5 Chinese"/>
    <w:qFormat/>
    <w:uiPriority w:val="0"/>
    <w:pPr>
      <w:ind w:left="1701"/>
    </w:pPr>
    <w:rPr>
      <w:rFonts w:ascii="Times New Roman" w:hAnsi="Times New Roman" w:eastAsia="宋体" w:cs="Times New Roman"/>
      <w:kern w:val="2"/>
      <w:sz w:val="24"/>
      <w:szCs w:val="24"/>
      <w:lang w:val="en-US" w:eastAsia="zh-CN" w:bidi="ar-SA"/>
    </w:rPr>
  </w:style>
  <w:style w:type="character" w:customStyle="1" w:styleId="146">
    <w:name w:val="正文文本 2 字符1"/>
    <w:basedOn w:val="48"/>
    <w:semiHidden/>
    <w:qFormat/>
    <w:uiPriority w:val="99"/>
    <w:rPr>
      <w:rFonts w:ascii="Times New Roman" w:hAnsi="Times New Roman" w:eastAsia="宋体" w:cs="Times New Roman"/>
      <w:szCs w:val="24"/>
    </w:rPr>
  </w:style>
  <w:style w:type="paragraph" w:customStyle="1" w:styleId="147">
    <w:name w:val="通用标题7"/>
    <w:basedOn w:val="1"/>
    <w:qFormat/>
    <w:uiPriority w:val="0"/>
    <w:pPr>
      <w:widowControl/>
      <w:numPr>
        <w:ilvl w:val="5"/>
        <w:numId w:val="3"/>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styleId="148">
    <w:name w:val="List Paragraph"/>
    <w:basedOn w:val="1"/>
    <w:qFormat/>
    <w:uiPriority w:val="99"/>
    <w:pPr>
      <w:widowControl/>
      <w:numPr>
        <w:ilvl w:val="0"/>
        <w:numId w:val="1"/>
      </w:numPr>
      <w:tabs>
        <w:tab w:val="left" w:pos="993"/>
      </w:tabs>
      <w:adjustRightInd w:val="0"/>
      <w:snapToGrid w:val="0"/>
      <w:spacing w:after="120" w:afterLines="50" w:line="360" w:lineRule="auto"/>
      <w:ind w:firstLine="504"/>
    </w:pPr>
    <w:rPr>
      <w:rFonts w:ascii="宋体" w:hAnsi="宋体" w:cs="宋体"/>
      <w:kern w:val="0"/>
      <w:sz w:val="24"/>
      <w:szCs w:val="20"/>
    </w:rPr>
  </w:style>
  <w:style w:type="paragraph" w:customStyle="1" w:styleId="149">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character" w:customStyle="1" w:styleId="150">
    <w:name w:val="HTML 预设格式 字符1"/>
    <w:basedOn w:val="48"/>
    <w:semiHidden/>
    <w:qFormat/>
    <w:uiPriority w:val="99"/>
    <w:rPr>
      <w:rFonts w:ascii="Courier New" w:hAnsi="Courier New" w:eastAsia="宋体" w:cs="Courier New"/>
      <w:sz w:val="20"/>
      <w:szCs w:val="20"/>
    </w:rPr>
  </w:style>
  <w:style w:type="paragraph" w:customStyle="1" w:styleId="151">
    <w:name w:val="附件标题"/>
    <w:basedOn w:val="4"/>
    <w:next w:val="1"/>
    <w:qFormat/>
    <w:uiPriority w:val="0"/>
    <w:pPr>
      <w:widowControl/>
      <w:numPr>
        <w:ilvl w:val="0"/>
        <w:numId w:val="4"/>
      </w:numPr>
      <w:tabs>
        <w:tab w:val="left" w:pos="1134"/>
      </w:tabs>
      <w:wordWrap w:val="0"/>
      <w:topLinePunct/>
      <w:adjustRightInd w:val="0"/>
      <w:snapToGrid w:val="0"/>
      <w:spacing w:before="0" w:after="120" w:afterLines="50" w:line="360" w:lineRule="auto"/>
      <w:ind w:firstLine="0"/>
      <w:jc w:val="center"/>
    </w:pPr>
    <w:rPr>
      <w:rFonts w:ascii="黑体" w:hAnsi="黑体"/>
      <w:bCs w:val="0"/>
      <w:kern w:val="0"/>
      <w:sz w:val="30"/>
      <w:szCs w:val="30"/>
    </w:rPr>
  </w:style>
  <w:style w:type="paragraph" w:customStyle="1" w:styleId="152">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153">
    <w:name w:val="List ALPHA CAPS 1"/>
    <w:basedOn w:val="1"/>
    <w:next w:val="18"/>
    <w:qFormat/>
    <w:uiPriority w:val="0"/>
    <w:pPr>
      <w:widowControl/>
      <w:numPr>
        <w:ilvl w:val="0"/>
        <w:numId w:val="5"/>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154">
    <w:name w:val="TOC 标题2"/>
    <w:basedOn w:val="3"/>
    <w:next w:val="1"/>
    <w:qFormat/>
    <w:uiPriority w:val="0"/>
    <w:pPr>
      <w:spacing w:before="260" w:after="260" w:line="413" w:lineRule="auto"/>
      <w:jc w:val="center"/>
    </w:pPr>
    <w:rPr>
      <w:rFonts w:ascii="宋体" w:hAnsi="宋体"/>
      <w:sz w:val="36"/>
      <w:lang w:val="zh-CN"/>
    </w:rPr>
  </w:style>
  <w:style w:type="character" w:customStyle="1" w:styleId="155">
    <w:name w:val="副标题 字符1"/>
    <w:basedOn w:val="48"/>
    <w:qFormat/>
    <w:uiPriority w:val="11"/>
    <w:rPr>
      <w:b/>
      <w:bCs/>
      <w:kern w:val="28"/>
      <w:sz w:val="32"/>
      <w:szCs w:val="32"/>
    </w:rPr>
  </w:style>
  <w:style w:type="paragraph" w:customStyle="1" w:styleId="156">
    <w:name w:val="专用标题4"/>
    <w:basedOn w:val="6"/>
    <w:next w:val="1"/>
    <w:qFormat/>
    <w:uiPriority w:val="0"/>
    <w:pPr>
      <w:widowControl/>
      <w:numPr>
        <w:ilvl w:val="2"/>
        <w:numId w:val="6"/>
      </w:numPr>
      <w:adjustRightInd w:val="0"/>
      <w:snapToGrid w:val="0"/>
      <w:spacing w:before="0" w:after="0" w:line="240" w:lineRule="auto"/>
      <w:jc w:val="left"/>
    </w:pPr>
    <w:rPr>
      <w:rFonts w:eastAsia="宋体"/>
      <w:b w:val="0"/>
      <w:bCs w:val="0"/>
      <w:szCs w:val="22"/>
    </w:rPr>
  </w:style>
  <w:style w:type="paragraph" w:customStyle="1" w:styleId="157">
    <w:name w:val="LIST ALPHA CAPS 2"/>
    <w:basedOn w:val="1"/>
    <w:next w:val="38"/>
    <w:qFormat/>
    <w:uiPriority w:val="0"/>
    <w:pPr>
      <w:widowControl/>
      <w:numPr>
        <w:ilvl w:val="1"/>
        <w:numId w:val="5"/>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158">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59">
    <w:name w:val="Title 4"/>
    <w:next w:val="158"/>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160">
    <w:name w:val="通用标题6"/>
    <w:basedOn w:val="1"/>
    <w:qFormat/>
    <w:uiPriority w:val="0"/>
    <w:pPr>
      <w:widowControl/>
      <w:numPr>
        <w:ilvl w:val="4"/>
        <w:numId w:val="8"/>
      </w:numPr>
      <w:tabs>
        <w:tab w:val="left" w:pos="993"/>
      </w:tabs>
      <w:adjustRightInd w:val="0"/>
      <w:snapToGrid w:val="0"/>
      <w:spacing w:after="120" w:afterLines="50" w:line="360" w:lineRule="auto"/>
      <w:ind w:firstLine="0"/>
    </w:pPr>
    <w:rPr>
      <w:rFonts w:ascii="宋体" w:hAnsi="宋体"/>
      <w:kern w:val="0"/>
      <w:sz w:val="24"/>
      <w:szCs w:val="20"/>
    </w:rPr>
  </w:style>
  <w:style w:type="paragraph" w:customStyle="1" w:styleId="161">
    <w:name w:val="协议书标题2"/>
    <w:basedOn w:val="4"/>
    <w:next w:val="1"/>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jc w:val="left"/>
    </w:pPr>
    <w:rPr>
      <w:rFonts w:ascii="宋体" w:hAnsi="宋体" w:eastAsia="宋体"/>
      <w:bCs w:val="0"/>
      <w:kern w:val="0"/>
      <w:sz w:val="24"/>
      <w:szCs w:val="20"/>
    </w:rPr>
  </w:style>
  <w:style w:type="paragraph" w:customStyle="1" w:styleId="162">
    <w:name w:val="样式3"/>
    <w:next w:val="1"/>
    <w:qFormat/>
    <w:uiPriority w:val="0"/>
    <w:pPr>
      <w:numPr>
        <w:ilvl w:val="2"/>
        <w:numId w:val="10"/>
      </w:numPr>
    </w:pPr>
    <w:rPr>
      <w:rFonts w:ascii="Times New Roman" w:hAnsi="Times New Roman" w:eastAsia="宋体" w:cs="Times New Roman"/>
      <w:bCs/>
      <w:kern w:val="2"/>
      <w:sz w:val="24"/>
      <w:szCs w:val="24"/>
      <w:lang w:val="en-US" w:eastAsia="zh-CN" w:bidi="ar-SA"/>
    </w:rPr>
  </w:style>
  <w:style w:type="paragraph" w:customStyle="1" w:styleId="16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64">
    <w:name w:val="专用标题3"/>
    <w:basedOn w:val="5"/>
    <w:qFormat/>
    <w:uiPriority w:val="0"/>
    <w:pPr>
      <w:widowControl/>
      <w:numPr>
        <w:ilvl w:val="1"/>
        <w:numId w:val="6"/>
      </w:numPr>
      <w:wordWrap w:val="0"/>
      <w:topLinePunct/>
      <w:adjustRightInd w:val="0"/>
      <w:snapToGrid w:val="0"/>
      <w:spacing w:before="0" w:after="120" w:afterLines="50" w:line="360" w:lineRule="auto"/>
      <w:ind w:firstLine="0" w:firstLineChars="0"/>
      <w:jc w:val="left"/>
    </w:pPr>
    <w:rPr>
      <w:rFonts w:ascii="宋体" w:eastAsia="宋体"/>
      <w:b/>
      <w:bCs w:val="0"/>
      <w:kern w:val="0"/>
      <w:sz w:val="24"/>
      <w:szCs w:val="20"/>
    </w:rPr>
  </w:style>
  <w:style w:type="paragraph" w:customStyle="1" w:styleId="165">
    <w:name w:val="通用标题5"/>
    <w:qFormat/>
    <w:uiPriority w:val="0"/>
    <w:pPr>
      <w:widowControl w:val="0"/>
      <w:numPr>
        <w:ilvl w:val="3"/>
        <w:numId w:val="11"/>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66">
    <w:name w:val="LIST ALPHA CAPS 3"/>
    <w:basedOn w:val="1"/>
    <w:next w:val="17"/>
    <w:qFormat/>
    <w:uiPriority w:val="0"/>
    <w:pPr>
      <w:widowControl/>
      <w:numPr>
        <w:ilvl w:val="2"/>
        <w:numId w:val="5"/>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167">
    <w:name w:val="通用标题2"/>
    <w:basedOn w:val="4"/>
    <w:next w:val="1"/>
    <w:qFormat/>
    <w:uiPriority w:val="0"/>
    <w:pPr>
      <w:keepNext w:val="0"/>
      <w:keepLines w:val="0"/>
      <w:widowControl/>
      <w:tabs>
        <w:tab w:val="left" w:pos="993"/>
      </w:tabs>
      <w:wordWrap w:val="0"/>
      <w:topLinePunct/>
      <w:adjustRightInd w:val="0"/>
      <w:snapToGrid w:val="0"/>
      <w:spacing w:before="0" w:after="120" w:afterLines="50" w:line="360" w:lineRule="auto"/>
    </w:pPr>
    <w:rPr>
      <w:rFonts w:ascii="黑体" w:hAnsi="黑体"/>
      <w:bCs w:val="0"/>
      <w:kern w:val="0"/>
      <w:sz w:val="28"/>
      <w:szCs w:val="20"/>
    </w:rPr>
  </w:style>
  <w:style w:type="paragraph" w:customStyle="1" w:styleId="16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69">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170">
    <w:name w:val="附件标题1"/>
    <w:next w:val="1"/>
    <w:qFormat/>
    <w:uiPriority w:val="0"/>
    <w:p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171">
    <w:name w:val="通用标题3"/>
    <w:next w:val="1"/>
    <w:qFormat/>
    <w:uiPriority w:val="0"/>
    <w:pPr>
      <w:widowControl w:val="0"/>
      <w:numPr>
        <w:ilvl w:val="1"/>
        <w:numId w:val="11"/>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172">
    <w:name w:val="网格型1"/>
    <w:basedOn w:val="46"/>
    <w:qFormat/>
    <w:uiPriority w:val="39"/>
    <w:rPr>
      <w:rFonts w:ascii="Calibri" w:hAnsi="Calibri"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3">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74">
    <w:name w:val="_Style 69"/>
    <w:basedOn w:val="1"/>
    <w:next w:val="1"/>
    <w:qFormat/>
    <w:uiPriority w:val="0"/>
    <w:pPr>
      <w:pBdr>
        <w:bottom w:val="single" w:color="auto" w:sz="6" w:space="1"/>
      </w:pBdr>
      <w:snapToGrid w:val="0"/>
      <w:spacing w:line="360" w:lineRule="auto"/>
      <w:jc w:val="center"/>
    </w:pPr>
    <w:rPr>
      <w:rFonts w:ascii="Arial"/>
      <w:vanish/>
      <w:sz w:val="16"/>
    </w:rPr>
  </w:style>
  <w:style w:type="paragraph" w:customStyle="1" w:styleId="175">
    <w:name w:val="_Style 37"/>
    <w:basedOn w:val="1"/>
    <w:next w:val="1"/>
    <w:qFormat/>
    <w:uiPriority w:val="0"/>
    <w:pPr>
      <w:pBdr>
        <w:bottom w:val="single" w:color="auto" w:sz="6" w:space="1"/>
      </w:pBdr>
      <w:snapToGrid w:val="0"/>
      <w:spacing w:line="360" w:lineRule="auto"/>
      <w:jc w:val="center"/>
    </w:pPr>
    <w:rPr>
      <w:rFonts w:ascii="Arial"/>
      <w:vanish/>
      <w:sz w:val="16"/>
    </w:rPr>
  </w:style>
  <w:style w:type="paragraph" w:customStyle="1" w:styleId="176">
    <w:name w:val="_Style 61"/>
    <w:basedOn w:val="1"/>
    <w:next w:val="1"/>
    <w:qFormat/>
    <w:uiPriority w:val="0"/>
    <w:pPr>
      <w:pBdr>
        <w:bottom w:val="single" w:color="auto" w:sz="6" w:space="1"/>
      </w:pBdr>
      <w:snapToGrid w:val="0"/>
      <w:spacing w:line="360" w:lineRule="auto"/>
      <w:jc w:val="center"/>
    </w:pPr>
    <w:rPr>
      <w:rFonts w:ascii="Arial"/>
      <w:vanish/>
      <w:sz w:val="16"/>
    </w:rPr>
  </w:style>
  <w:style w:type="paragraph" w:customStyle="1" w:styleId="177">
    <w:name w:val="标题2"/>
    <w:basedOn w:val="1"/>
    <w:link w:val="195"/>
    <w:qFormat/>
    <w:uiPriority w:val="0"/>
    <w:pPr>
      <w:widowControl/>
      <w:snapToGrid w:val="0"/>
      <w:spacing w:line="360" w:lineRule="auto"/>
      <w:outlineLvl w:val="1"/>
    </w:pPr>
    <w:rPr>
      <w:rFonts w:ascii="Calibri" w:hAnsi="Calibri" w:eastAsia="黑体"/>
      <w:b/>
      <w:sz w:val="28"/>
      <w:lang w:bidi="en-US"/>
    </w:rPr>
  </w:style>
  <w:style w:type="paragraph" w:customStyle="1" w:styleId="178">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7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8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
    <w:name w:val="Blockquote"/>
    <w:basedOn w:val="1"/>
    <w:qFormat/>
    <w:uiPriority w:val="0"/>
    <w:pPr>
      <w:autoSpaceDE w:val="0"/>
      <w:autoSpaceDN w:val="0"/>
      <w:adjustRightInd w:val="0"/>
      <w:snapToGrid w:val="0"/>
      <w:spacing w:before="100" w:after="100" w:line="360" w:lineRule="auto"/>
      <w:ind w:left="360" w:right="360"/>
      <w:jc w:val="left"/>
    </w:pPr>
    <w:rPr>
      <w:kern w:val="0"/>
      <w:sz w:val="24"/>
    </w:rPr>
  </w:style>
  <w:style w:type="character" w:customStyle="1" w:styleId="182">
    <w:name w:val="font61"/>
    <w:basedOn w:val="48"/>
    <w:qFormat/>
    <w:uiPriority w:val="0"/>
    <w:rPr>
      <w:rFonts w:hint="eastAsia" w:ascii="宋体" w:hAnsi="宋体" w:eastAsia="宋体" w:cs="宋体"/>
      <w:color w:val="000000"/>
      <w:sz w:val="20"/>
      <w:szCs w:val="20"/>
      <w:u w:val="none"/>
    </w:rPr>
  </w:style>
  <w:style w:type="character" w:customStyle="1" w:styleId="183">
    <w:name w:val="Char Char6"/>
    <w:basedOn w:val="48"/>
    <w:qFormat/>
    <w:uiPriority w:val="0"/>
    <w:rPr>
      <w:rFonts w:ascii="宋体" w:hAnsi="宋体" w:eastAsia="宋体" w:cs="宋体"/>
      <w:b/>
      <w:bCs/>
      <w:kern w:val="2"/>
      <w:sz w:val="21"/>
      <w:szCs w:val="21"/>
      <w:lang w:val="en-US" w:eastAsia="zh-CN" w:bidi="ar-SA"/>
    </w:rPr>
  </w:style>
  <w:style w:type="character" w:customStyle="1" w:styleId="184">
    <w:name w:val="正文文本缩进 2 字符"/>
    <w:basedOn w:val="48"/>
    <w:link w:val="25"/>
    <w:qFormat/>
    <w:uiPriority w:val="0"/>
    <w:rPr>
      <w:rFonts w:ascii="仿宋_GB2312" w:hAnsi="Arial Narrow" w:eastAsia="仿宋_GB2312" w:cs="宋体"/>
      <w:sz w:val="28"/>
      <w:szCs w:val="20"/>
    </w:rPr>
  </w:style>
  <w:style w:type="paragraph" w:customStyle="1" w:styleId="185">
    <w:name w:val="表格字体-居中"/>
    <w:basedOn w:val="1"/>
    <w:next w:val="1"/>
    <w:qFormat/>
    <w:uiPriority w:val="0"/>
    <w:pPr>
      <w:jc w:val="center"/>
    </w:pPr>
    <w:rPr>
      <w:rFonts w:ascii="宋体" w:hAnsi="宋体" w:cs="宋体"/>
      <w:szCs w:val="21"/>
    </w:rPr>
  </w:style>
  <w:style w:type="paragraph" w:customStyle="1" w:styleId="186">
    <w:name w:val="表格字体-靠左"/>
    <w:basedOn w:val="185"/>
    <w:next w:val="1"/>
    <w:qFormat/>
    <w:uiPriority w:val="0"/>
    <w:pPr>
      <w:ind w:firstLine="280" w:firstLineChars="100"/>
      <w:jc w:val="left"/>
    </w:pPr>
  </w:style>
  <w:style w:type="paragraph" w:customStyle="1" w:styleId="187">
    <w:name w:val="图形文字"/>
    <w:basedOn w:val="1"/>
    <w:qFormat/>
    <w:uiPriority w:val="0"/>
    <w:pPr>
      <w:spacing w:line="360" w:lineRule="auto"/>
    </w:pPr>
    <w:rPr>
      <w:rFonts w:ascii="宋体" w:hAnsi="宋体" w:cs="宋体"/>
      <w:szCs w:val="21"/>
    </w:rPr>
  </w:style>
  <w:style w:type="paragraph" w:customStyle="1" w:styleId="188">
    <w:name w:val="前附表正文-三级正文"/>
    <w:next w:val="1"/>
    <w:qFormat/>
    <w:uiPriority w:val="0"/>
    <w:pPr>
      <w:numPr>
        <w:ilvl w:val="2"/>
        <w:numId w:val="3"/>
      </w:numPr>
      <w:tabs>
        <w:tab w:val="left" w:pos="170"/>
      </w:tabs>
      <w:spacing w:line="360" w:lineRule="auto"/>
      <w:jc w:val="both"/>
    </w:pPr>
    <w:rPr>
      <w:rFonts w:ascii="Calibri" w:hAnsi="Calibri" w:eastAsia="宋体" w:cs="Times New Roman"/>
      <w:sz w:val="24"/>
      <w:lang w:val="en-US" w:eastAsia="zh-CN" w:bidi="ar-SA"/>
    </w:rPr>
  </w:style>
  <w:style w:type="paragraph" w:customStyle="1" w:styleId="189">
    <w:name w:val="修订21"/>
    <w:qFormat/>
    <w:uiPriority w:val="0"/>
    <w:rPr>
      <w:rFonts w:ascii="Times New Roman" w:hAnsi="Times New Roman" w:eastAsia="宋体" w:cs="Times New Roman"/>
      <w:kern w:val="2"/>
      <w:sz w:val="21"/>
      <w:szCs w:val="24"/>
      <w:lang w:val="en-US" w:eastAsia="zh-CN" w:bidi="ar-SA"/>
    </w:rPr>
  </w:style>
  <w:style w:type="character" w:customStyle="1" w:styleId="190">
    <w:name w:val="正文文本首行缩进 2 字符"/>
    <w:basedOn w:val="100"/>
    <w:link w:val="45"/>
    <w:semiHidden/>
    <w:qFormat/>
    <w:uiPriority w:val="99"/>
    <w:rPr>
      <w:rFonts w:ascii="Times New Roman" w:hAnsi="Times New Roman" w:eastAsia="宋体" w:cs="Times New Roman"/>
      <w:kern w:val="2"/>
      <w:sz w:val="21"/>
      <w:szCs w:val="24"/>
    </w:rPr>
  </w:style>
  <w:style w:type="paragraph" w:customStyle="1" w:styleId="191">
    <w:name w:val="普通文本"/>
    <w:basedOn w:val="1"/>
    <w:qFormat/>
    <w:uiPriority w:val="0"/>
    <w:pPr>
      <w:overflowPunct w:val="0"/>
      <w:autoSpaceDE w:val="0"/>
      <w:autoSpaceDN w:val="0"/>
      <w:adjustRightInd w:val="0"/>
      <w:snapToGrid w:val="0"/>
      <w:spacing w:line="300" w:lineRule="auto"/>
      <w:ind w:left="120" w:leftChars="50" w:right="240" w:rightChars="100" w:firstLine="560" w:firstLineChars="200"/>
      <w:jc w:val="left"/>
    </w:pPr>
    <w:rPr>
      <w:rFonts w:ascii="仿宋_GB2312" w:hAnsi="Calibri" w:eastAsia="仿宋_GB2312"/>
      <w:sz w:val="28"/>
      <w:szCs w:val="20"/>
      <w:lang w:val="zh-CN"/>
    </w:rPr>
  </w:style>
  <w:style w:type="paragraph" w:customStyle="1" w:styleId="192">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193">
    <w:name w:val="标题 2 字符1"/>
    <w:basedOn w:val="48"/>
    <w:qFormat/>
    <w:uiPriority w:val="9"/>
    <w:rPr>
      <w:rFonts w:ascii="Arial" w:hAnsi="Arial" w:eastAsia="黑体"/>
      <w:b/>
      <w:bCs/>
      <w:kern w:val="2"/>
      <w:sz w:val="32"/>
      <w:szCs w:val="32"/>
      <w:lang w:val="en-US" w:eastAsia="zh-CN" w:bidi="ar-SA"/>
    </w:rPr>
  </w:style>
  <w:style w:type="character" w:customStyle="1" w:styleId="194">
    <w:name w:val="未处理的提及4"/>
    <w:basedOn w:val="48"/>
    <w:semiHidden/>
    <w:unhideWhenUsed/>
    <w:qFormat/>
    <w:uiPriority w:val="99"/>
    <w:rPr>
      <w:color w:val="605E5C"/>
      <w:shd w:val="clear" w:color="auto" w:fill="E1DFDD"/>
    </w:rPr>
  </w:style>
  <w:style w:type="character" w:customStyle="1" w:styleId="195">
    <w:name w:val="标题2 Char"/>
    <w:basedOn w:val="193"/>
    <w:link w:val="177"/>
    <w:qFormat/>
    <w:uiPriority w:val="0"/>
    <w:rPr>
      <w:rFonts w:ascii="Calibri" w:hAnsi="Calibri" w:eastAsia="黑体" w:cs="Times New Roman"/>
      <w:bCs w:val="0"/>
      <w:kern w:val="2"/>
      <w:sz w:val="28"/>
      <w:szCs w:val="24"/>
      <w:lang w:val="en-US" w:eastAsia="zh-CN" w:bidi="en-US"/>
    </w:rPr>
  </w:style>
  <w:style w:type="character" w:customStyle="1" w:styleId="196">
    <w:name w:val="font41"/>
    <w:qFormat/>
    <w:uiPriority w:val="0"/>
    <w:rPr>
      <w:rFonts w:hint="eastAsia" w:ascii="宋体" w:hAnsi="宋体" w:eastAsia="宋体" w:cs="宋体"/>
      <w:color w:val="000000"/>
      <w:sz w:val="24"/>
      <w:szCs w:val="24"/>
      <w:u w:val="none"/>
    </w:rPr>
  </w:style>
  <w:style w:type="paragraph" w:customStyle="1" w:styleId="197">
    <w:name w:val="列出段落1"/>
    <w:basedOn w:val="1"/>
    <w:unhideWhenUsed/>
    <w:qFormat/>
    <w:uiPriority w:val="0"/>
    <w:pPr>
      <w:ind w:firstLine="420" w:firstLineChars="200"/>
    </w:pPr>
  </w:style>
  <w:style w:type="paragraph" w:customStyle="1" w:styleId="198">
    <w:name w:val="标题 11"/>
    <w:basedOn w:val="118"/>
    <w:next w:val="118"/>
    <w:qFormat/>
    <w:uiPriority w:val="0"/>
    <w:pPr>
      <w:keepNext/>
      <w:keepLines/>
      <w:spacing w:before="340" w:after="330" w:line="578" w:lineRule="auto"/>
      <w:jc w:val="center"/>
      <w:outlineLvl w:val="0"/>
    </w:pPr>
    <w:rPr>
      <w:b/>
      <w:bCs/>
      <w:sz w:val="44"/>
      <w:szCs w:val="44"/>
    </w:rPr>
  </w:style>
  <w:style w:type="paragraph" w:customStyle="1" w:styleId="199">
    <w:name w:val="style4"/>
    <w:basedOn w:val="1"/>
    <w:next w:val="200"/>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列出段落11"/>
    <w:basedOn w:val="1"/>
    <w:qFormat/>
    <w:uiPriority w:val="0"/>
    <w:pPr>
      <w:spacing w:line="240" w:lineRule="auto"/>
      <w:ind w:firstLine="42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E1203-E053-454B-B56E-63C3BBF684BB}">
  <ds:schemaRefs/>
</ds:datastoreItem>
</file>

<file path=docProps/app.xml><?xml version="1.0" encoding="utf-8"?>
<Properties xmlns="http://schemas.openxmlformats.org/officeDocument/2006/extended-properties" xmlns:vt="http://schemas.openxmlformats.org/officeDocument/2006/docPropsVTypes">
  <Template>Normal</Template>
  <Pages>116</Pages>
  <Words>46869</Words>
  <Characters>49729</Characters>
  <Lines>972</Lines>
  <Paragraphs>273</Paragraphs>
  <TotalTime>1</TotalTime>
  <ScaleCrop>false</ScaleCrop>
  <LinksUpToDate>false</LinksUpToDate>
  <CharactersWithSpaces>59787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2023-05-04T01:19:00Z</dcterms:created>
  <dc:creator>hua haiyan</dc:creator>
  <cp:lastModifiedBy>一帆风顺</cp:lastModifiedBy>
  <cp:lastPrinted>2023-05-04T04:31:00Z</cp:lastPrinted>
  <dcterms:modified xsi:type="dcterms:W3CDTF">2023-07-13T12:23:59Z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D438AD769F6245418611D4DE74255C1A_13</vt:lpwstr>
  </property>
</Properties>
</file>