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asciiTheme="minorEastAsia" w:hAnsiTheme="minorEastAsia" w:eastAsiaTheme="minorEastAsia" w:cstheme="minorEastAsia"/>
          <w:color w:val="auto"/>
          <w:highlight w:val="none"/>
        </w:rPr>
      </w:pPr>
      <w:bookmarkStart w:id="0" w:name="_Toc281574833"/>
    </w:p>
    <w:p>
      <w:pPr>
        <w:snapToGrid w:val="0"/>
        <w:spacing w:line="360" w:lineRule="auto"/>
        <w:jc w:val="center"/>
        <w:rPr>
          <w:rFonts w:hint="eastAsia" w:asciiTheme="minorEastAsia" w:hAnsiTheme="minorEastAsia" w:eastAsiaTheme="minorEastAsia" w:cstheme="minorEastAsia"/>
          <w:b/>
          <w:color w:val="auto"/>
          <w:sz w:val="84"/>
          <w:szCs w:val="84"/>
          <w:highlight w:val="none"/>
          <w:lang w:val="en-US" w:eastAsia="zh-CN"/>
        </w:rPr>
      </w:pPr>
      <w:r>
        <w:rPr>
          <w:rFonts w:hint="eastAsia" w:asciiTheme="minorEastAsia" w:hAnsiTheme="minorEastAsia" w:eastAsiaTheme="minorEastAsia" w:cstheme="minorEastAsia"/>
          <w:b/>
          <w:color w:val="auto"/>
          <w:sz w:val="48"/>
          <w:szCs w:val="48"/>
          <w:highlight w:val="none"/>
          <w:lang w:eastAsia="zh-CN"/>
        </w:rPr>
        <w:t>博爱县应急管理局“应急小站”采购项目</w:t>
      </w:r>
    </w:p>
    <w:p>
      <w:pPr>
        <w:snapToGrid w:val="0"/>
        <w:spacing w:line="360" w:lineRule="auto"/>
        <w:jc w:val="center"/>
        <w:rPr>
          <w:rFonts w:asciiTheme="minorEastAsia" w:hAnsiTheme="minorEastAsia" w:eastAsiaTheme="minorEastAsia" w:cstheme="minorEastAsia"/>
          <w:b/>
          <w:color w:val="auto"/>
          <w:sz w:val="84"/>
          <w:szCs w:val="84"/>
          <w:highlight w:val="none"/>
          <w:lang w:eastAsia="zh-CN"/>
        </w:rPr>
      </w:pPr>
      <w:r>
        <w:rPr>
          <w:rFonts w:hint="eastAsia" w:asciiTheme="minorEastAsia" w:hAnsiTheme="minorEastAsia" w:eastAsiaTheme="minorEastAsia" w:cstheme="minorEastAsia"/>
          <w:b/>
          <w:color w:val="auto"/>
          <w:sz w:val="84"/>
          <w:szCs w:val="84"/>
          <w:highlight w:val="none"/>
          <w:lang w:val="en-US" w:eastAsia="zh-CN"/>
        </w:rPr>
        <w:t>招标</w:t>
      </w:r>
      <w:r>
        <w:rPr>
          <w:rFonts w:hint="eastAsia" w:asciiTheme="minorEastAsia" w:hAnsiTheme="minorEastAsia" w:eastAsiaTheme="minorEastAsia" w:cstheme="minorEastAsia"/>
          <w:b/>
          <w:color w:val="auto"/>
          <w:sz w:val="84"/>
          <w:szCs w:val="84"/>
          <w:highlight w:val="none"/>
          <w:lang w:eastAsia="zh-CN"/>
        </w:rPr>
        <w:t>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p>
    <w:p>
      <w:pPr>
        <w:snapToGrid w:val="0"/>
        <w:spacing w:line="360" w:lineRule="auto"/>
        <w:ind w:firstLine="2313" w:firstLineChars="800"/>
        <w:rPr>
          <w:rFonts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lang w:eastAsia="zh-CN"/>
        </w:rPr>
        <w:t>采购编号：博政采购〔2023〕</w:t>
      </w:r>
      <w:r>
        <w:rPr>
          <w:rFonts w:hint="eastAsia" w:asciiTheme="minorEastAsia" w:hAnsiTheme="minorEastAsia" w:eastAsiaTheme="minorEastAsia" w:cstheme="minorEastAsia"/>
          <w:b/>
          <w:color w:val="auto"/>
          <w:spacing w:val="-6"/>
          <w:sz w:val="30"/>
          <w:szCs w:val="30"/>
          <w:highlight w:val="none"/>
          <w:lang w:val="en-US" w:eastAsia="zh-CN"/>
        </w:rPr>
        <w:t>68</w:t>
      </w:r>
      <w:r>
        <w:rPr>
          <w:rFonts w:hint="eastAsia" w:asciiTheme="minorEastAsia" w:hAnsiTheme="minorEastAsia" w:eastAsiaTheme="minorEastAsia" w:cstheme="minorEastAsia"/>
          <w:b/>
          <w:color w:val="auto"/>
          <w:spacing w:val="-6"/>
          <w:sz w:val="30"/>
          <w:szCs w:val="30"/>
          <w:highlight w:val="none"/>
          <w:lang w:eastAsia="zh-CN"/>
        </w:rPr>
        <w:t>号</w:t>
      </w:r>
    </w:p>
    <w:p>
      <w:pPr>
        <w:snapToGrid w:val="0"/>
        <w:spacing w:line="360" w:lineRule="auto"/>
        <w:ind w:firstLine="2397" w:firstLineChars="746"/>
        <w:jc w:val="both"/>
        <w:rPr>
          <w:rFonts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z w:val="32"/>
          <w:szCs w:val="32"/>
          <w:highlight w:val="none"/>
          <w:u w:val="double"/>
          <w:lang w:eastAsia="zh-CN"/>
        </w:rPr>
        <w:t>该项目全额面向中小企业采购</w:t>
      </w:r>
    </w:p>
    <w:p>
      <w:pPr>
        <w:snapToGrid w:val="0"/>
        <w:spacing w:line="360" w:lineRule="auto"/>
        <w:jc w:val="center"/>
        <w:rPr>
          <w:rFonts w:asciiTheme="minorEastAsia" w:hAnsiTheme="minorEastAsia" w:eastAsiaTheme="minorEastAsia" w:cstheme="minorEastAsia"/>
          <w:b/>
          <w:color w:val="auto"/>
          <w:spacing w:val="-6"/>
          <w:sz w:val="32"/>
          <w:szCs w:val="32"/>
          <w:highlight w:val="none"/>
          <w:lang w:eastAsia="zh-CN"/>
        </w:rPr>
      </w:pPr>
      <w:r>
        <w:rPr>
          <w:color w:val="auto"/>
          <w:highlight w:val="none"/>
        </w:rPr>
        <w:drawing>
          <wp:inline distT="0" distB="0" distL="114300" distR="114300">
            <wp:extent cx="2095500" cy="243840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2095500" cy="2438400"/>
                    </a:xfrm>
                    <a:prstGeom prst="rect">
                      <a:avLst/>
                    </a:prstGeom>
                    <a:noFill/>
                    <a:ln>
                      <a:noFill/>
                    </a:ln>
                  </pic:spPr>
                </pic:pic>
              </a:graphicData>
            </a:graphic>
          </wp:inline>
        </w:drawing>
      </w:r>
    </w:p>
    <w:p>
      <w:pPr>
        <w:snapToGrid w:val="0"/>
        <w:spacing w:line="360" w:lineRule="auto"/>
        <w:rPr>
          <w:rFonts w:hint="eastAsia" w:asciiTheme="minorEastAsia" w:hAnsiTheme="minorEastAsia" w:eastAsiaTheme="minorEastAsia" w:cstheme="minorEastAsia"/>
          <w:b/>
          <w:bCs/>
          <w:color w:val="auto"/>
          <w:sz w:val="32"/>
          <w:szCs w:val="32"/>
          <w:highlight w:val="none"/>
          <w:lang w:eastAsia="zh-CN"/>
        </w:rPr>
      </w:pPr>
    </w:p>
    <w:p>
      <w:pPr>
        <w:pStyle w:val="2"/>
        <w:rPr>
          <w:rFonts w:hint="eastAsia" w:asciiTheme="minorEastAsia" w:hAnsiTheme="minorEastAsia" w:eastAsiaTheme="minorEastAsia" w:cstheme="minorEastAsia"/>
          <w:b/>
          <w:bCs/>
          <w:color w:val="auto"/>
          <w:sz w:val="32"/>
          <w:szCs w:val="32"/>
          <w:highlight w:val="none"/>
          <w:lang w:eastAsia="zh-CN"/>
        </w:rPr>
      </w:pPr>
    </w:p>
    <w:p>
      <w:pPr>
        <w:rPr>
          <w:rFonts w:hint="eastAsia"/>
          <w:color w:val="auto"/>
          <w:highlight w:val="none"/>
          <w:lang w:eastAsia="zh-CN"/>
        </w:rPr>
      </w:pPr>
    </w:p>
    <w:p>
      <w:pPr>
        <w:snapToGrid w:val="0"/>
        <w:spacing w:line="360" w:lineRule="auto"/>
        <w:ind w:firstLine="643" w:firstLineChars="2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采 购 人：博爱县应急管理局</w:t>
      </w:r>
    </w:p>
    <w:p>
      <w:pPr>
        <w:snapToGrid w:val="0"/>
        <w:spacing w:line="360" w:lineRule="auto"/>
        <w:ind w:firstLine="643" w:firstLineChars="200"/>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代理机构：河南四方建设管理有限公司</w:t>
      </w:r>
    </w:p>
    <w:p>
      <w:pPr>
        <w:snapToGrid w:val="0"/>
        <w:spacing w:line="360" w:lineRule="auto"/>
        <w:ind w:firstLine="643" w:firstLineChars="200"/>
        <w:rPr>
          <w:rFonts w:asciiTheme="minorEastAsia" w:hAnsiTheme="minorEastAsia" w:eastAsiaTheme="minorEastAsia" w:cstheme="minorEastAsia"/>
          <w:b/>
          <w:bCs/>
          <w:color w:val="auto"/>
          <w:sz w:val="32"/>
          <w:szCs w:val="32"/>
          <w:highlight w:val="none"/>
          <w:lang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lang w:eastAsia="zh-CN"/>
        </w:rPr>
        <w:t>日    期：二〇二三年</w:t>
      </w:r>
      <w:r>
        <w:rPr>
          <w:rFonts w:hint="eastAsia" w:asciiTheme="minorEastAsia" w:hAnsiTheme="minorEastAsia" w:eastAsiaTheme="minorEastAsia" w:cstheme="minorEastAsia"/>
          <w:b/>
          <w:bCs/>
          <w:color w:val="auto"/>
          <w:sz w:val="32"/>
          <w:szCs w:val="32"/>
          <w:highlight w:val="none"/>
          <w:lang w:val="en-US" w:eastAsia="zh-CN"/>
        </w:rPr>
        <w:t>八</w:t>
      </w:r>
      <w:r>
        <w:rPr>
          <w:rFonts w:hint="eastAsia" w:asciiTheme="minorEastAsia" w:hAnsiTheme="minorEastAsia" w:eastAsiaTheme="minorEastAsia" w:cstheme="minorEastAsia"/>
          <w:b/>
          <w:bCs/>
          <w:color w:val="auto"/>
          <w:sz w:val="32"/>
          <w:szCs w:val="32"/>
          <w:highlight w:val="none"/>
          <w:lang w:eastAsia="zh-CN"/>
        </w:rPr>
        <w:t>月</w:t>
      </w:r>
    </w:p>
    <w:p>
      <w:pPr>
        <w:jc w:val="center"/>
        <w:rPr>
          <w:rFonts w:asciiTheme="minorEastAsia" w:hAnsiTheme="minorEastAsia" w:eastAsiaTheme="minorEastAsia" w:cstheme="minorEastAsia"/>
          <w:b/>
          <w:bCs/>
          <w:color w:val="auto"/>
          <w:sz w:val="32"/>
          <w:szCs w:val="32"/>
          <w:highlight w:val="none"/>
        </w:rPr>
      </w:pPr>
    </w:p>
    <w:p>
      <w:pPr>
        <w:jc w:val="center"/>
        <w:outlineLvl w:val="0"/>
        <w:rPr>
          <w:rFonts w:asciiTheme="minorEastAsia" w:hAnsiTheme="minorEastAsia" w:eastAsiaTheme="minorEastAsia" w:cstheme="minorEastAsia"/>
          <w:b/>
          <w:bCs/>
          <w:color w:val="auto"/>
          <w:sz w:val="44"/>
          <w:szCs w:val="44"/>
          <w:highlight w:val="none"/>
        </w:rPr>
      </w:pPr>
      <w:bookmarkStart w:id="1" w:name="_Toc25319"/>
      <w:r>
        <w:rPr>
          <w:rFonts w:hint="eastAsia" w:asciiTheme="minorEastAsia" w:hAnsiTheme="minorEastAsia" w:eastAsiaTheme="minorEastAsia" w:cstheme="minorEastAsia"/>
          <w:b/>
          <w:bCs/>
          <w:color w:val="auto"/>
          <w:sz w:val="44"/>
          <w:szCs w:val="44"/>
          <w:highlight w:val="none"/>
        </w:rPr>
        <w:t>目     录</w:t>
      </w:r>
      <w:bookmarkEnd w:id="1"/>
    </w:p>
    <w:sdt>
      <w:sdtPr>
        <w:rPr>
          <w:rFonts w:ascii="宋体" w:hAnsi="宋体"/>
          <w:b/>
          <w:color w:val="auto"/>
          <w:highlight w:val="none"/>
        </w:rPr>
        <w:id w:val="147475469"/>
        <w15:color w:val="DBDBDB"/>
        <w:docPartObj>
          <w:docPartGallery w:val="Table of Contents"/>
          <w:docPartUnique/>
        </w:docPartObj>
      </w:sdtPr>
      <w:sdtEndPr>
        <w:rPr>
          <w:rFonts w:asciiTheme="minorEastAsia" w:hAnsiTheme="minorEastAsia" w:eastAsiaTheme="minorEastAsia" w:cstheme="minorEastAsia"/>
          <w:b/>
          <w:bCs/>
          <w:color w:val="auto"/>
          <w:sz w:val="32"/>
          <w:szCs w:val="32"/>
          <w:highlight w:val="none"/>
        </w:rPr>
      </w:sdtEndPr>
      <w:sdtContent>
        <w:p>
          <w:pPr>
            <w:jc w:val="center"/>
            <w:rPr>
              <w:color w:val="auto"/>
              <w:highlight w:val="none"/>
            </w:rPr>
          </w:pPr>
        </w:p>
        <w:p>
          <w:pPr>
            <w:pStyle w:val="64"/>
            <w:tabs>
              <w:tab w:val="right" w:leader="dot" w:pos="9880"/>
            </w:tabs>
            <w:rPr>
              <w:color w:val="auto"/>
              <w:highlight w:val="none"/>
            </w:rPr>
          </w:pPr>
          <w:r>
            <w:rPr>
              <w:rFonts w:asciiTheme="minorEastAsia" w:hAnsiTheme="minorEastAsia" w:eastAsiaTheme="minorEastAsia" w:cstheme="minorEastAsia"/>
              <w:bCs/>
              <w:color w:val="auto"/>
              <w:highlight w:val="none"/>
            </w:rPr>
            <w:fldChar w:fldCharType="begin"/>
          </w:r>
          <w:r>
            <w:rPr>
              <w:rFonts w:asciiTheme="minorEastAsia" w:hAnsiTheme="minorEastAsia" w:eastAsiaTheme="minorEastAsia" w:cstheme="minorEastAsia"/>
              <w:bCs/>
              <w:color w:val="auto"/>
              <w:highlight w:val="none"/>
            </w:rPr>
            <w:instrText xml:space="preserve">TOC \o "1-1" \h \u </w:instrText>
          </w:r>
          <w:r>
            <w:rPr>
              <w:rFonts w:asciiTheme="minorEastAsia" w:hAnsiTheme="minorEastAsia" w:eastAsiaTheme="minorEastAsia" w:cstheme="minorEastAsia"/>
              <w:bCs/>
              <w:color w:val="auto"/>
              <w:highlight w:val="none"/>
            </w:rPr>
            <w:fldChar w:fldCharType="separate"/>
          </w:r>
          <w:r>
            <w:rPr>
              <w:color w:val="auto"/>
              <w:highlight w:val="none"/>
            </w:rPr>
            <w:fldChar w:fldCharType="begin"/>
          </w:r>
          <w:r>
            <w:rPr>
              <w:color w:val="auto"/>
              <w:highlight w:val="none"/>
            </w:rPr>
            <w:instrText xml:space="preserve"> HYPERLINK \l "_Toc25319" </w:instrText>
          </w:r>
          <w:r>
            <w:rPr>
              <w:color w:val="auto"/>
              <w:highlight w:val="none"/>
            </w:rPr>
            <w:fldChar w:fldCharType="separate"/>
          </w:r>
          <w:r>
            <w:rPr>
              <w:rFonts w:hint="eastAsia" w:asciiTheme="minorEastAsia" w:hAnsiTheme="minorEastAsia" w:eastAsiaTheme="minorEastAsia" w:cstheme="minorEastAsia"/>
              <w:bCs/>
              <w:color w:val="auto"/>
              <w:szCs w:val="44"/>
              <w:highlight w:val="none"/>
            </w:rPr>
            <w:t>目     录</w:t>
          </w:r>
          <w:r>
            <w:rPr>
              <w:color w:val="auto"/>
              <w:highlight w:val="none"/>
            </w:rPr>
            <w:tab/>
          </w:r>
          <w:r>
            <w:rPr>
              <w:color w:val="auto"/>
              <w:highlight w:val="none"/>
            </w:rPr>
            <w:fldChar w:fldCharType="begin"/>
          </w:r>
          <w:r>
            <w:rPr>
              <w:color w:val="auto"/>
              <w:highlight w:val="none"/>
            </w:rPr>
            <w:instrText xml:space="preserve"> PAGEREF _Toc25319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"_Toc2173" </w:instrText>
          </w:r>
          <w:r>
            <w:rPr>
              <w:color w:val="auto"/>
              <w:highlight w:val="none"/>
            </w:rPr>
            <w:fldChar w:fldCharType="separate"/>
          </w:r>
          <w:r>
            <w:rPr>
              <w:rFonts w:hint="eastAsia"/>
              <w:color w:val="auto"/>
              <w:highlight w:val="none"/>
            </w:rPr>
            <w:t>重要事项提示</w:t>
          </w:r>
          <w:r>
            <w:rPr>
              <w:color w:val="auto"/>
              <w:highlight w:val="none"/>
            </w:rPr>
            <w:tab/>
          </w:r>
          <w:r>
            <w:rPr>
              <w:color w:val="auto"/>
              <w:highlight w:val="none"/>
            </w:rPr>
            <w:fldChar w:fldCharType="begin"/>
          </w:r>
          <w:r>
            <w:rPr>
              <w:color w:val="auto"/>
              <w:highlight w:val="none"/>
            </w:rPr>
            <w:instrText xml:space="preserve"> PAGEREF _Toc2173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"_Toc24751" </w:instrText>
          </w:r>
          <w:r>
            <w:rPr>
              <w:color w:val="auto"/>
              <w:highlight w:val="none"/>
            </w:rPr>
            <w:fldChar w:fldCharType="separate"/>
          </w:r>
          <w:r>
            <w:rPr>
              <w:rFonts w:hint="eastAsia"/>
              <w:color w:val="auto"/>
              <w:highlight w:val="none"/>
            </w:rPr>
            <w:t xml:space="preserve">第一章 </w:t>
          </w:r>
          <w:r>
            <w:rPr>
              <w:rFonts w:hint="eastAsia" w:asciiTheme="minorEastAsia" w:hAnsiTheme="minorEastAsia" w:eastAsiaTheme="minorEastAsia" w:cstheme="minorEastAsia"/>
              <w:bCs/>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_Toc24751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"_Toc27816" </w:instrText>
          </w:r>
          <w:r>
            <w:rPr>
              <w:color w:val="auto"/>
              <w:highlight w:val="none"/>
            </w:rPr>
            <w:fldChar w:fldCharType="separate"/>
          </w:r>
          <w:r>
            <w:rPr>
              <w:rFonts w:hint="eastAsia" w:asciiTheme="minorEastAsia" w:hAnsiTheme="minorEastAsia" w:eastAsiaTheme="minorEastAsia" w:cstheme="minorEastAsia"/>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_Toc27816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"_Toc31932"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_Toc31932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"_Toc7029"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 总则</w:t>
          </w:r>
          <w:r>
            <w:rPr>
              <w:color w:val="auto"/>
              <w:highlight w:val="none"/>
            </w:rPr>
            <w:tab/>
          </w:r>
          <w:r>
            <w:rPr>
              <w:color w:val="auto"/>
              <w:highlight w:val="none"/>
            </w:rPr>
            <w:fldChar w:fldCharType="begin"/>
          </w:r>
          <w:r>
            <w:rPr>
              <w:color w:val="auto"/>
              <w:highlight w:val="none"/>
            </w:rPr>
            <w:instrText xml:space="preserve"> PAGEREF _Toc7029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"_Toc20888"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2. 招标文件</w:t>
          </w:r>
          <w:r>
            <w:rPr>
              <w:color w:val="auto"/>
              <w:highlight w:val="none"/>
            </w:rPr>
            <w:tab/>
          </w:r>
          <w:r>
            <w:rPr>
              <w:color w:val="auto"/>
              <w:highlight w:val="none"/>
            </w:rPr>
            <w:fldChar w:fldCharType="begin"/>
          </w:r>
          <w:r>
            <w:rPr>
              <w:color w:val="auto"/>
              <w:highlight w:val="none"/>
            </w:rPr>
            <w:instrText xml:space="preserve"> PAGEREF _Toc20888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"_Toc15031"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3. 投标文件</w:t>
          </w:r>
          <w:r>
            <w:rPr>
              <w:color w:val="auto"/>
              <w:highlight w:val="none"/>
            </w:rPr>
            <w:tab/>
          </w:r>
          <w:r>
            <w:rPr>
              <w:color w:val="auto"/>
              <w:highlight w:val="none"/>
            </w:rPr>
            <w:fldChar w:fldCharType="begin"/>
          </w:r>
          <w:r>
            <w:rPr>
              <w:color w:val="auto"/>
              <w:highlight w:val="none"/>
            </w:rPr>
            <w:instrText xml:space="preserve"> PAGEREF _Toc15031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"_Toc21879"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4. 投标</w:t>
          </w:r>
          <w:r>
            <w:rPr>
              <w:color w:val="auto"/>
              <w:highlight w:val="none"/>
            </w:rPr>
            <w:tab/>
          </w:r>
          <w:r>
            <w:rPr>
              <w:color w:val="auto"/>
              <w:highlight w:val="none"/>
            </w:rPr>
            <w:fldChar w:fldCharType="begin"/>
          </w:r>
          <w:r>
            <w:rPr>
              <w:color w:val="auto"/>
              <w:highlight w:val="none"/>
            </w:rPr>
            <w:instrText xml:space="preserve"> PAGEREF _Toc21879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"_Toc22737"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5. 开标</w:t>
          </w:r>
          <w:r>
            <w:rPr>
              <w:color w:val="auto"/>
              <w:highlight w:val="none"/>
            </w:rPr>
            <w:tab/>
          </w:r>
          <w:r>
            <w:rPr>
              <w:color w:val="auto"/>
              <w:highlight w:val="none"/>
            </w:rPr>
            <w:fldChar w:fldCharType="begin"/>
          </w:r>
          <w:r>
            <w:rPr>
              <w:color w:val="auto"/>
              <w:highlight w:val="none"/>
            </w:rPr>
            <w:instrText xml:space="preserve"> PAGEREF _Toc22737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"_Toc4643"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6. 评标</w:t>
          </w:r>
          <w:r>
            <w:rPr>
              <w:color w:val="auto"/>
              <w:highlight w:val="none"/>
            </w:rPr>
            <w:tab/>
          </w:r>
          <w:r>
            <w:rPr>
              <w:color w:val="auto"/>
              <w:highlight w:val="none"/>
            </w:rPr>
            <w:fldChar w:fldCharType="begin"/>
          </w:r>
          <w:r>
            <w:rPr>
              <w:color w:val="auto"/>
              <w:highlight w:val="none"/>
            </w:rPr>
            <w:instrText xml:space="preserve"> PAGEREF _Toc4643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"_Toc8566"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7. 合同授予</w:t>
          </w:r>
          <w:r>
            <w:rPr>
              <w:color w:val="auto"/>
              <w:highlight w:val="none"/>
            </w:rPr>
            <w:tab/>
          </w:r>
          <w:r>
            <w:rPr>
              <w:color w:val="auto"/>
              <w:highlight w:val="none"/>
            </w:rPr>
            <w:fldChar w:fldCharType="begin"/>
          </w:r>
          <w:r>
            <w:rPr>
              <w:color w:val="auto"/>
              <w:highlight w:val="none"/>
            </w:rPr>
            <w:instrText xml:space="preserve"> PAGEREF _Toc8566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"_Toc29014"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8. 重新招标</w:t>
          </w:r>
          <w:r>
            <w:rPr>
              <w:color w:val="auto"/>
              <w:highlight w:val="none"/>
            </w:rPr>
            <w:tab/>
          </w:r>
          <w:r>
            <w:rPr>
              <w:color w:val="auto"/>
              <w:highlight w:val="none"/>
            </w:rPr>
            <w:fldChar w:fldCharType="begin"/>
          </w:r>
          <w:r>
            <w:rPr>
              <w:color w:val="auto"/>
              <w:highlight w:val="none"/>
            </w:rPr>
            <w:instrText xml:space="preserve"> PAGEREF _Toc29014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"_Toc14622"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9. 纪律和监督</w:t>
          </w:r>
          <w:r>
            <w:rPr>
              <w:color w:val="auto"/>
              <w:highlight w:val="none"/>
            </w:rPr>
            <w:tab/>
          </w:r>
          <w:r>
            <w:rPr>
              <w:color w:val="auto"/>
              <w:highlight w:val="none"/>
            </w:rPr>
            <w:fldChar w:fldCharType="begin"/>
          </w:r>
          <w:r>
            <w:rPr>
              <w:color w:val="auto"/>
              <w:highlight w:val="none"/>
            </w:rPr>
            <w:instrText xml:space="preserve"> PAGEREF _Toc14622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"_Toc26812" </w:instrText>
          </w:r>
          <w:r>
            <w:rPr>
              <w:color w:val="auto"/>
              <w:highlight w:val="none"/>
            </w:rPr>
            <w:fldChar w:fldCharType="separate"/>
          </w:r>
          <w:r>
            <w:rPr>
              <w:rFonts w:hint="eastAsia" w:asciiTheme="minorEastAsia" w:hAnsiTheme="minorEastAsia" w:eastAsiaTheme="minorEastAsia" w:cstheme="minorEastAsia"/>
              <w:color w:val="auto"/>
              <w:szCs w:val="24"/>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_Toc26812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"_Toc32119"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第三章 </w:t>
          </w:r>
          <w:r>
            <w:rPr>
              <w:rFonts w:hint="eastAsia" w:asciiTheme="minorEastAsia" w:hAnsiTheme="minorEastAsia" w:eastAsiaTheme="minorEastAsia" w:cstheme="minorEastAsia"/>
              <w:color w:val="auto"/>
              <w:szCs w:val="36"/>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_Toc32119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"_Toc27443" </w:instrText>
          </w:r>
          <w:r>
            <w:rPr>
              <w:color w:val="auto"/>
              <w:highlight w:val="none"/>
            </w:rPr>
            <w:fldChar w:fldCharType="separate"/>
          </w:r>
          <w:r>
            <w:rPr>
              <w:rFonts w:asciiTheme="minorEastAsia" w:hAnsiTheme="minorEastAsia" w:eastAsiaTheme="minorEastAsia" w:cstheme="minorEastAsia"/>
              <w:color w:val="auto"/>
              <w:szCs w:val="36"/>
              <w:highlight w:val="none"/>
            </w:rPr>
            <w:t xml:space="preserve">第四章 </w:t>
          </w:r>
          <w:r>
            <w:rPr>
              <w:rFonts w:hint="eastAsia" w:asciiTheme="minorEastAsia" w:hAnsiTheme="minorEastAsia" w:eastAsiaTheme="minorEastAsia" w:cstheme="minorEastAsia"/>
              <w:color w:val="auto"/>
              <w:szCs w:val="36"/>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_Toc27443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"_Toc6692" </w:instrText>
          </w:r>
          <w:r>
            <w:rPr>
              <w:color w:val="auto"/>
              <w:highlight w:val="none"/>
            </w:rPr>
            <w:fldChar w:fldCharType="separate"/>
          </w:r>
          <w:r>
            <w:rPr>
              <w:bCs/>
              <w:color w:val="auto"/>
              <w:szCs w:val="32"/>
              <w:highlight w:val="none"/>
            </w:rPr>
            <w:t xml:space="preserve">第五章 </w:t>
          </w:r>
          <w:r>
            <w:rPr>
              <w:rFonts w:hint="eastAsia"/>
              <w:bCs/>
              <w:color w:val="auto"/>
              <w:szCs w:val="32"/>
              <w:highlight w:val="none"/>
            </w:rPr>
            <w:t>采购内容及技术要求</w:t>
          </w:r>
          <w:r>
            <w:rPr>
              <w:color w:val="auto"/>
              <w:highlight w:val="none"/>
            </w:rPr>
            <w:tab/>
          </w:r>
          <w:r>
            <w:rPr>
              <w:color w:val="auto"/>
              <w:highlight w:val="none"/>
            </w:rPr>
            <w:fldChar w:fldCharType="begin"/>
          </w:r>
          <w:r>
            <w:rPr>
              <w:color w:val="auto"/>
              <w:highlight w:val="none"/>
            </w:rPr>
            <w:instrText xml:space="preserve"> PAGEREF _Toc6692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"_Toc28947" </w:instrText>
          </w:r>
          <w:r>
            <w:rPr>
              <w:color w:val="auto"/>
              <w:highlight w:val="none"/>
            </w:rPr>
            <w:fldChar w:fldCharType="separate"/>
          </w:r>
          <w:r>
            <w:rPr>
              <w:rFonts w:hint="eastAsia"/>
              <w:color w:val="auto"/>
              <w:szCs w:val="32"/>
              <w:highlight w:val="none"/>
            </w:rPr>
            <w:t>第六章 质疑与投诉</w:t>
          </w:r>
          <w:r>
            <w:rPr>
              <w:color w:val="auto"/>
              <w:highlight w:val="none"/>
            </w:rPr>
            <w:tab/>
          </w:r>
          <w:r>
            <w:rPr>
              <w:color w:val="auto"/>
              <w:highlight w:val="none"/>
            </w:rPr>
            <w:fldChar w:fldCharType="begin"/>
          </w:r>
          <w:r>
            <w:rPr>
              <w:color w:val="auto"/>
              <w:highlight w:val="none"/>
            </w:rPr>
            <w:instrText xml:space="preserve"> PAGEREF _Toc28947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"_Toc7285" </w:instrText>
          </w:r>
          <w:r>
            <w:rPr>
              <w:color w:val="auto"/>
              <w:highlight w:val="none"/>
            </w:rPr>
            <w:fldChar w:fldCharType="separate"/>
          </w:r>
          <w:r>
            <w:rPr>
              <w:rFonts w:asciiTheme="majorEastAsia" w:hAnsiTheme="majorEastAsia" w:eastAsiaTheme="majorEastAsia" w:cstheme="majorEastAsia"/>
              <w:bCs/>
              <w:color w:val="auto"/>
              <w:szCs w:val="32"/>
              <w:highlight w:val="none"/>
            </w:rPr>
            <w:t>第七章 履约验收</w:t>
          </w:r>
          <w:r>
            <w:rPr>
              <w:color w:val="auto"/>
              <w:highlight w:val="none"/>
            </w:rPr>
            <w:tab/>
          </w:r>
          <w:r>
            <w:rPr>
              <w:color w:val="auto"/>
              <w:highlight w:val="none"/>
            </w:rPr>
            <w:fldChar w:fldCharType="begin"/>
          </w:r>
          <w:r>
            <w:rPr>
              <w:color w:val="auto"/>
              <w:highlight w:val="none"/>
            </w:rPr>
            <w:instrText xml:space="preserve"> PAGEREF _Toc7285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"_Toc14191" </w:instrText>
          </w:r>
          <w:r>
            <w:rPr>
              <w:color w:val="auto"/>
              <w:highlight w:val="none"/>
            </w:rPr>
            <w:fldChar w:fldCharType="separate"/>
          </w:r>
          <w:r>
            <w:rPr>
              <w:rFonts w:hint="eastAsia" w:asciiTheme="minorEastAsia" w:hAnsiTheme="minorEastAsia" w:eastAsiaTheme="minorEastAsia" w:cstheme="minorEastAsia"/>
              <w:color w:val="auto"/>
              <w:szCs w:val="36"/>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_Toc14191 \h </w:instrText>
          </w:r>
          <w:r>
            <w:rPr>
              <w:color w:val="auto"/>
              <w:highlight w:val="none"/>
            </w:rPr>
            <w:fldChar w:fldCharType="separate"/>
          </w:r>
          <w:r>
            <w:rPr>
              <w:color w:val="auto"/>
              <w:highlight w:val="none"/>
            </w:rPr>
            <w:t>- 39 -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"_Toc7574" </w:instrText>
          </w:r>
          <w:r>
            <w:rPr>
              <w:color w:val="auto"/>
              <w:highlight w:val="none"/>
            </w:rPr>
            <w:fldChar w:fldCharType="separate"/>
          </w:r>
          <w:r>
            <w:rPr>
              <w:rFonts w:hint="eastAsia" w:ascii="宋体" w:hAnsi="宋体" w:cs="宋体"/>
              <w:color w:val="auto"/>
              <w:szCs w:val="36"/>
              <w:highlight w:val="none"/>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_Toc7574 \h </w:instrText>
          </w:r>
          <w:r>
            <w:rPr>
              <w:color w:val="auto"/>
              <w:highlight w:val="none"/>
            </w:rPr>
            <w:fldChar w:fldCharType="separate"/>
          </w:r>
          <w:r>
            <w:rPr>
              <w:color w:val="auto"/>
              <w:highlight w:val="none"/>
            </w:rPr>
            <w:t>- 55 -</w:t>
          </w:r>
          <w:r>
            <w:rPr>
              <w:color w:val="auto"/>
              <w:highlight w:val="none"/>
            </w:rPr>
            <w:fldChar w:fldCharType="end"/>
          </w:r>
          <w:r>
            <w:rPr>
              <w:color w:val="auto"/>
              <w:highlight w:val="none"/>
            </w:rPr>
            <w:fldChar w:fldCharType="end"/>
          </w:r>
        </w:p>
        <w:p>
          <w:pPr>
            <w:pStyle w:val="64"/>
            <w:tabs>
              <w:tab w:val="right" w:leader="dot" w:pos="9880"/>
            </w:tabs>
            <w:rPr>
              <w:color w:val="auto"/>
              <w:highlight w:val="none"/>
            </w:rPr>
          </w:pPr>
          <w:r>
            <w:rPr>
              <w:color w:val="auto"/>
              <w:highlight w:val="none"/>
            </w:rPr>
            <w:fldChar w:fldCharType="begin"/>
          </w:r>
          <w:r>
            <w:rPr>
              <w:color w:val="auto"/>
              <w:highlight w:val="none"/>
            </w:rPr>
            <w:instrText xml:space="preserve"> HYPERLINK \l "_Toc30161" </w:instrText>
          </w:r>
          <w:r>
            <w:rPr>
              <w:color w:val="auto"/>
              <w:highlight w:val="none"/>
            </w:rPr>
            <w:fldChar w:fldCharType="separate"/>
          </w:r>
          <w:r>
            <w:rPr>
              <w:rFonts w:hint="eastAsia" w:ascii="宋体" w:hAnsi="宋体"/>
              <w:color w:val="auto"/>
              <w:szCs w:val="32"/>
              <w:highlight w:val="none"/>
            </w:rPr>
            <w:t>焦作市政府采购合同融资合作企业</w:t>
          </w:r>
          <w:r>
            <w:rPr>
              <w:color w:val="auto"/>
              <w:highlight w:val="none"/>
            </w:rPr>
            <w:tab/>
          </w:r>
          <w:r>
            <w:rPr>
              <w:color w:val="auto"/>
              <w:highlight w:val="none"/>
            </w:rPr>
            <w:fldChar w:fldCharType="begin"/>
          </w:r>
          <w:r>
            <w:rPr>
              <w:color w:val="auto"/>
              <w:highlight w:val="none"/>
            </w:rPr>
            <w:instrText xml:space="preserve"> PAGEREF _Toc30161 \h </w:instrText>
          </w:r>
          <w:r>
            <w:rPr>
              <w:color w:val="auto"/>
              <w:highlight w:val="none"/>
            </w:rPr>
            <w:fldChar w:fldCharType="separate"/>
          </w:r>
          <w:r>
            <w:rPr>
              <w:color w:val="auto"/>
              <w:highlight w:val="none"/>
            </w:rPr>
            <w:t>- 55 -</w:t>
          </w:r>
          <w:r>
            <w:rPr>
              <w:color w:val="auto"/>
              <w:highlight w:val="none"/>
            </w:rPr>
            <w:fldChar w:fldCharType="end"/>
          </w:r>
          <w:r>
            <w:rPr>
              <w:color w:val="auto"/>
              <w:highlight w:val="none"/>
            </w:rPr>
            <w:fldChar w:fldCharType="end"/>
          </w:r>
        </w:p>
        <w:p>
          <w:pPr>
            <w:pStyle w:val="25"/>
            <w:spacing w:line="360" w:lineRule="auto"/>
            <w:ind w:right="-63" w:rightChars="-30"/>
            <w:outlineLvl w:val="9"/>
            <w:rPr>
              <w:rFonts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fldChar w:fldCharType="end"/>
          </w:r>
        </w:p>
      </w:sdtContent>
    </w:sdt>
    <w:p>
      <w:pPr>
        <w:pStyle w:val="25"/>
        <w:spacing w:line="360" w:lineRule="auto"/>
        <w:ind w:right="-63" w:rightChars="-30"/>
        <w:outlineLvl w:val="9"/>
        <w:rPr>
          <w:rFonts w:asciiTheme="minorEastAsia" w:hAnsiTheme="minorEastAsia" w:eastAsiaTheme="minorEastAsia" w:cstheme="minorEastAsia"/>
          <w:bCs/>
          <w:color w:val="auto"/>
          <w:highlight w:val="none"/>
        </w:rPr>
      </w:pPr>
    </w:p>
    <w:p>
      <w:pPr>
        <w:pStyle w:val="25"/>
        <w:spacing w:line="360" w:lineRule="auto"/>
        <w:ind w:right="-63" w:rightChars="-30"/>
        <w:outlineLvl w:val="9"/>
        <w:rPr>
          <w:rFonts w:asciiTheme="minorEastAsia" w:hAnsiTheme="minorEastAsia" w:eastAsiaTheme="minorEastAsia" w:cstheme="minorEastAsia"/>
          <w:bCs/>
          <w:color w:val="auto"/>
          <w:highlight w:val="none"/>
        </w:rPr>
      </w:pPr>
    </w:p>
    <w:p>
      <w:pPr>
        <w:pStyle w:val="5"/>
        <w:rPr>
          <w:rFonts w:ascii="宋体" w:hAnsi="宋体" w:cs="宋体"/>
          <w:color w:val="auto"/>
          <w:highlight w:val="none"/>
        </w:rPr>
      </w:pPr>
      <w:bookmarkStart w:id="2" w:name="_Toc2173"/>
      <w:bookmarkStart w:id="3" w:name="_Toc27735"/>
      <w:r>
        <w:rPr>
          <w:rFonts w:hint="eastAsia"/>
          <w:color w:val="auto"/>
          <w:highlight w:val="none"/>
        </w:rPr>
        <w:t>重要事项提示</w:t>
      </w:r>
      <w:bookmarkEnd w:id="2"/>
      <w:bookmarkEnd w:id="3"/>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各潜在供应商：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1、采购文件应通过焦作市公共资源交易中心网站会员系统进行网上下载；未使用</w:t>
      </w:r>
      <w:r>
        <w:rPr>
          <w:rFonts w:hint="eastAsia" w:ascii="宋体" w:hAnsi="宋体"/>
          <w:bCs/>
          <w:color w:val="auto"/>
          <w:kern w:val="0"/>
          <w:sz w:val="24"/>
          <w:highlight w:val="none"/>
        </w:rPr>
        <w:t>企业 CA 密匙</w:t>
      </w:r>
      <w:r>
        <w:rPr>
          <w:rFonts w:hint="eastAsia" w:ascii="宋体" w:hAnsi="宋体" w:cs="宋体"/>
          <w:color w:val="auto"/>
          <w:sz w:val="24"/>
          <w:highlight w:val="none"/>
        </w:rPr>
        <w:t>登录焦作市公共资源交易中心网站会员系统进行网上下载文件的，投标视为无效；</w:t>
      </w:r>
    </w:p>
    <w:p>
      <w:pPr>
        <w:pStyle w:val="24"/>
        <w:spacing w:before="0" w:beforeAutospacing="0" w:after="0" w:afterAutospacing="0" w:line="360" w:lineRule="auto"/>
        <w:ind w:firstLine="480" w:firstLineChars="200"/>
        <w:jc w:val="both"/>
        <w:rPr>
          <w:color w:val="auto"/>
          <w:highlight w:val="none"/>
        </w:rPr>
      </w:pPr>
      <w:r>
        <w:rPr>
          <w:rFonts w:hint="eastAsia"/>
          <w:color w:val="auto"/>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4"/>
        <w:spacing w:before="0" w:beforeAutospacing="0" w:after="0" w:afterAutospacing="0" w:line="360" w:lineRule="auto"/>
        <w:ind w:firstLine="480" w:firstLineChars="200"/>
        <w:jc w:val="both"/>
        <w:rPr>
          <w:color w:val="auto"/>
          <w:highlight w:val="none"/>
        </w:rPr>
      </w:pPr>
      <w:r>
        <w:rPr>
          <w:rFonts w:hint="eastAsia"/>
          <w:color w:val="auto"/>
          <w:highlight w:val="none"/>
        </w:rPr>
        <w:t>供应商无需到现场参加开标会议，无需到达现场提交原件资料。供应商应当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24"/>
        <w:numPr>
          <w:ilvl w:val="0"/>
          <w:numId w:val="2"/>
        </w:numPr>
        <w:spacing w:before="0" w:beforeAutospacing="0" w:after="0" w:afterAutospacing="0" w:line="360" w:lineRule="auto"/>
        <w:ind w:firstLine="480" w:firstLineChars="200"/>
        <w:jc w:val="both"/>
        <w:rPr>
          <w:color w:val="auto"/>
          <w:highlight w:val="none"/>
        </w:rPr>
      </w:pPr>
      <w:r>
        <w:rPr>
          <w:rFonts w:hint="eastAsia"/>
          <w:color w:val="auto"/>
          <w:highlight w:val="none"/>
        </w:rPr>
        <w:t>有下列情形之一的，将作为自动放弃、无效投标或废标处理：</w:t>
      </w:r>
    </w:p>
    <w:p>
      <w:pPr>
        <w:pStyle w:val="24"/>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在投标文件中对同一采购项目有两个或多个报价，且未声明哪一个有效的；</w:t>
      </w:r>
    </w:p>
    <w:p>
      <w:pPr>
        <w:pStyle w:val="24"/>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响应文件的关键内容（采购报价、</w:t>
      </w:r>
      <w:r>
        <w:rPr>
          <w:rFonts w:hint="eastAsia"/>
          <w:color w:val="auto"/>
          <w:highlight w:val="none"/>
        </w:rPr>
        <w:t>供货期</w:t>
      </w:r>
      <w:r>
        <w:rPr>
          <w:rFonts w:hint="eastAsia" w:cs="Times New Roman"/>
          <w:color w:val="auto"/>
          <w:highlight w:val="none"/>
        </w:rPr>
        <w:t>、质量标准、品牌、型号等）未填写或填写字迹模糊无法辨认的；</w:t>
      </w:r>
    </w:p>
    <w:p>
      <w:pPr>
        <w:pStyle w:val="24"/>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采购报价超出控制价的；</w:t>
      </w:r>
    </w:p>
    <w:p>
      <w:pPr>
        <w:pStyle w:val="24"/>
        <w:numPr>
          <w:ilvl w:val="0"/>
          <w:numId w:val="3"/>
        </w:numPr>
        <w:spacing w:before="0" w:beforeAutospacing="0" w:after="0" w:afterAutospacing="0" w:line="360" w:lineRule="auto"/>
        <w:ind w:left="-60" w:leftChars="0" w:firstLine="480" w:firstLineChars="0"/>
        <w:jc w:val="both"/>
        <w:rPr>
          <w:rFonts w:cs="Times New Roman"/>
          <w:color w:val="auto"/>
          <w:highlight w:val="none"/>
        </w:rPr>
      </w:pPr>
      <w:r>
        <w:rPr>
          <w:rFonts w:hint="eastAsia" w:cs="Times New Roman"/>
          <w:color w:val="auto"/>
          <w:highlight w:val="none"/>
        </w:rPr>
        <w:t>投标文件中附有采购人不能接受的条件的；</w:t>
      </w:r>
    </w:p>
    <w:p>
      <w:pPr>
        <w:pStyle w:val="24"/>
        <w:numPr>
          <w:ilvl w:val="0"/>
          <w:numId w:val="3"/>
        </w:numPr>
        <w:spacing w:before="0" w:beforeAutospacing="0" w:after="0" w:afterAutospacing="0" w:line="360" w:lineRule="auto"/>
        <w:ind w:left="-60" w:leftChars="0" w:firstLine="480" w:firstLineChars="0"/>
        <w:jc w:val="both"/>
        <w:rPr>
          <w:color w:val="auto"/>
          <w:highlight w:val="none"/>
        </w:rPr>
      </w:pPr>
      <w:r>
        <w:rPr>
          <w:rFonts w:hint="eastAsia" w:cs="Times New Roman"/>
          <w:color w:val="auto"/>
          <w:highlight w:val="none"/>
        </w:rPr>
        <w:t>投标文件有明显不符合采购文件其它要求和有关法律法规的；</w:t>
      </w:r>
    </w:p>
    <w:p>
      <w:pPr>
        <w:pStyle w:val="24"/>
        <w:numPr>
          <w:ilvl w:val="0"/>
          <w:numId w:val="3"/>
        </w:numPr>
        <w:spacing w:before="0" w:beforeAutospacing="0" w:after="0" w:afterAutospacing="0" w:line="360" w:lineRule="auto"/>
        <w:ind w:left="-60" w:leftChars="0" w:firstLine="480" w:firstLineChars="0"/>
        <w:jc w:val="both"/>
        <w:rPr>
          <w:color w:val="auto"/>
          <w:highlight w:val="none"/>
        </w:rPr>
      </w:pPr>
      <w:r>
        <w:rPr>
          <w:rFonts w:hint="eastAsia" w:cs="Times New Roman"/>
          <w:color w:val="auto"/>
          <w:highlight w:val="none"/>
        </w:rPr>
        <w:t>如因两个或两个以上供应商使用同一台计算或同一个IP上传响应文件，被不见面开标系统提示为“投标文件制作机器码一致”的，则视其投标无效。若经查实有《政府采购法实施条例》第七十四条情形，监管部门将依法做出处理；</w:t>
      </w:r>
    </w:p>
    <w:p>
      <w:pPr>
        <w:pStyle w:val="24"/>
        <w:numPr>
          <w:ilvl w:val="0"/>
          <w:numId w:val="3"/>
        </w:numPr>
        <w:spacing w:before="0" w:beforeAutospacing="0" w:after="0" w:afterAutospacing="0" w:line="360" w:lineRule="auto"/>
        <w:ind w:left="-60" w:leftChars="0" w:firstLine="480" w:firstLineChars="0"/>
        <w:jc w:val="both"/>
        <w:rPr>
          <w:color w:val="auto"/>
          <w:highlight w:val="none"/>
        </w:rPr>
      </w:pPr>
      <w:r>
        <w:rPr>
          <w:rFonts w:hint="eastAsia"/>
          <w:color w:val="auto"/>
          <w:highlight w:val="none"/>
        </w:rPr>
        <w:t>在评标过程中，评标委员会发现投标单位的报价明显低于其它采购报价，使得其采购报价可能低于其个别成本的，应当要求该供应商作出书面说明并提供相关证明材料。供应商不能合理说明或者不能提供相关证明材料的，由评标委员会认定该供应商以低于成本报价竞标的。</w:t>
      </w:r>
    </w:p>
    <w:p>
      <w:pPr>
        <w:rPr>
          <w:rFonts w:ascii="宋体" w:hAnsi="宋体" w:cs="宋体"/>
          <w:color w:val="auto"/>
          <w:sz w:val="32"/>
          <w:szCs w:val="32"/>
          <w:highlight w:val="none"/>
        </w:rPr>
      </w:pPr>
    </w:p>
    <w:p>
      <w:pPr>
        <w:rPr>
          <w:rFonts w:ascii="宋体" w:hAnsi="宋体" w:cs="宋体"/>
          <w:color w:val="auto"/>
          <w:sz w:val="32"/>
          <w:szCs w:val="32"/>
          <w:highlight w:val="none"/>
        </w:rPr>
      </w:pPr>
    </w:p>
    <w:p>
      <w:pPr>
        <w:rPr>
          <w:rFonts w:ascii="宋体" w:hAnsi="宋体" w:cs="宋体"/>
          <w:b/>
          <w:bCs/>
          <w:color w:val="auto"/>
          <w:sz w:val="32"/>
          <w:szCs w:val="32"/>
          <w:highlight w:val="none"/>
        </w:rPr>
      </w:pPr>
    </w:p>
    <w:p>
      <w:pPr>
        <w:jc w:val="center"/>
        <w:rPr>
          <w:rFonts w:asciiTheme="minorEastAsia" w:hAnsiTheme="minorEastAsia" w:eastAsiaTheme="minorEastAsia" w:cstheme="minorEastAsia"/>
          <w:b/>
          <w:bCs/>
          <w:color w:val="auto"/>
          <w:sz w:val="32"/>
          <w:szCs w:val="32"/>
          <w:highlight w:val="none"/>
        </w:rPr>
      </w:pPr>
    </w:p>
    <w:p>
      <w:pPr>
        <w:pStyle w:val="25"/>
        <w:spacing w:line="360" w:lineRule="auto"/>
        <w:ind w:right="-63" w:rightChars="-30"/>
        <w:jc w:val="both"/>
        <w:outlineLvl w:val="9"/>
        <w:rPr>
          <w:rFonts w:asciiTheme="minorEastAsia" w:hAnsiTheme="minorEastAsia" w:eastAsiaTheme="minorEastAsia" w:cstheme="minorEastAsia"/>
          <w:bCs/>
          <w:color w:val="auto"/>
          <w:highlight w:val="none"/>
        </w:rPr>
      </w:pPr>
    </w:p>
    <w:p>
      <w:pPr>
        <w:rPr>
          <w:rFonts w:asciiTheme="minorEastAsia" w:hAnsiTheme="minorEastAsia" w:eastAsiaTheme="minorEastAsia" w:cstheme="minorEastAsia"/>
          <w:bCs/>
          <w:color w:val="auto"/>
          <w:highlight w:val="none"/>
        </w:rPr>
      </w:pPr>
    </w:p>
    <w:p>
      <w:pPr>
        <w:pStyle w:val="13"/>
        <w:rPr>
          <w:rFonts w:asciiTheme="minorEastAsia" w:hAnsiTheme="minorEastAsia" w:eastAsiaTheme="minorEastAsia" w:cstheme="minorEastAsia"/>
          <w:bCs/>
          <w:color w:val="auto"/>
          <w:highlight w:val="none"/>
        </w:rPr>
      </w:pPr>
    </w:p>
    <w:p>
      <w:pPr>
        <w:pStyle w:val="23"/>
        <w:rPr>
          <w:rFonts w:asciiTheme="minorEastAsia" w:hAnsiTheme="minorEastAsia" w:eastAsiaTheme="minorEastAsia" w:cstheme="minorEastAsia"/>
          <w:bCs/>
          <w:color w:val="auto"/>
          <w:highlight w:val="none"/>
        </w:rPr>
      </w:pPr>
    </w:p>
    <w:p>
      <w:pPr>
        <w:pStyle w:val="13"/>
        <w:rPr>
          <w:rFonts w:asciiTheme="minorEastAsia" w:hAnsiTheme="minorEastAsia" w:eastAsiaTheme="minorEastAsia" w:cstheme="minorEastAsia"/>
          <w:bCs/>
          <w:color w:val="auto"/>
          <w:highlight w:val="none"/>
        </w:rPr>
      </w:pPr>
    </w:p>
    <w:p>
      <w:pPr>
        <w:pStyle w:val="13"/>
        <w:rPr>
          <w:color w:val="auto"/>
          <w:highlight w:val="none"/>
        </w:rPr>
      </w:pPr>
    </w:p>
    <w:p>
      <w:pPr>
        <w:pStyle w:val="23"/>
        <w:rPr>
          <w:color w:val="auto"/>
          <w:highlight w:val="none"/>
        </w:rPr>
      </w:pPr>
    </w:p>
    <w:p>
      <w:pPr>
        <w:pStyle w:val="23"/>
        <w:rPr>
          <w:color w:val="auto"/>
          <w:highlight w:val="none"/>
        </w:rPr>
      </w:pPr>
    </w:p>
    <w:p>
      <w:pPr>
        <w:pStyle w:val="13"/>
        <w:rPr>
          <w:color w:val="auto"/>
          <w:highlight w:val="none"/>
        </w:rPr>
      </w:pPr>
    </w:p>
    <w:p>
      <w:pPr>
        <w:pStyle w:val="14"/>
      </w:pPr>
    </w:p>
    <w:p>
      <w:pPr>
        <w:pStyle w:val="25"/>
        <w:numPr>
          <w:ilvl w:val="0"/>
          <w:numId w:val="4"/>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4" w:name="_Toc23622"/>
      <w:bookmarkStart w:id="5" w:name="_Toc24751"/>
      <w:r>
        <w:rPr>
          <w:rFonts w:hint="eastAsia" w:asciiTheme="minorEastAsia" w:hAnsiTheme="minorEastAsia" w:eastAsiaTheme="minorEastAsia" w:cstheme="minorEastAsia"/>
          <w:bCs/>
          <w:color w:val="auto"/>
          <w:highlight w:val="none"/>
        </w:rPr>
        <w:t>招标公告</w:t>
      </w:r>
      <w:bookmarkEnd w:id="4"/>
      <w:bookmarkEnd w:id="5"/>
    </w:p>
    <w:p>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eastAsia="zh-CN"/>
        </w:rPr>
        <w:t>博爱县应急管理局“应急小站”采购项目</w:t>
      </w:r>
      <w:r>
        <w:rPr>
          <w:rFonts w:hint="eastAsia" w:asciiTheme="minorEastAsia" w:hAnsiTheme="minorEastAsia" w:eastAsiaTheme="minorEastAsia" w:cstheme="minorEastAsia"/>
          <w:b/>
          <w:bCs/>
          <w:color w:val="auto"/>
          <w:sz w:val="32"/>
          <w:szCs w:val="32"/>
          <w:highlight w:val="none"/>
        </w:rPr>
        <w:t>招标公告（不见面开标）</w:t>
      </w:r>
    </w:p>
    <w:tbl>
      <w:tblPr>
        <w:tblStyle w:val="28"/>
        <w:tblW w:w="9620"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9620" w:type="dxa"/>
          </w:tcPr>
          <w:p>
            <w:pPr>
              <w:pStyle w:val="2"/>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博爱县应急管理局“应急小站”采购项目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kern w:val="0"/>
                <w:sz w:val="24"/>
                <w:highlight w:val="none"/>
                <w:u w:val="single"/>
              </w:rPr>
              <w:t>2023年</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4</w:t>
            </w:r>
            <w:r>
              <w:rPr>
                <w:rFonts w:hint="eastAsia" w:ascii="宋体" w:hAnsi="宋体" w:cs="宋体"/>
                <w:color w:val="auto"/>
                <w:kern w:val="0"/>
                <w:sz w:val="24"/>
                <w:highlight w:val="none"/>
                <w:u w:val="single"/>
              </w:rPr>
              <w:t>日上午9点00分</w:t>
            </w:r>
            <w:r>
              <w:rPr>
                <w:rFonts w:hint="eastAsia" w:ascii="宋体" w:hAnsi="宋体" w:cs="宋体"/>
                <w:color w:val="auto"/>
                <w:sz w:val="24"/>
                <w:highlight w:val="none"/>
                <w:u w:val="single"/>
              </w:rPr>
              <w:t>（北京时间）</w:t>
            </w:r>
            <w:r>
              <w:rPr>
                <w:rFonts w:hint="eastAsia" w:ascii="宋体" w:hAnsi="宋体" w:cs="宋体"/>
                <w:color w:val="auto"/>
                <w:sz w:val="24"/>
                <w:highlight w:val="none"/>
              </w:rPr>
              <w:t>前提交响应文件。</w:t>
            </w:r>
          </w:p>
        </w:tc>
      </w:tr>
    </w:tbl>
    <w:p>
      <w:pPr>
        <w:pStyle w:val="43"/>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项目名称：博爱县应急管理局“应急小站”采购项目</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采购方式：公开招标</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资金来源：</w:t>
      </w:r>
      <w:r>
        <w:rPr>
          <w:rFonts w:hint="eastAsia" w:ascii="宋体" w:hAnsi="宋体" w:eastAsia="宋体" w:cs="宋体"/>
          <w:color w:val="auto"/>
          <w:sz w:val="24"/>
          <w:highlight w:val="none"/>
          <w:shd w:val="clear" w:color="auto" w:fill="FFFFFF"/>
          <w:lang w:val="en-US" w:eastAsia="zh-CN"/>
        </w:rPr>
        <w:t>自筹</w:t>
      </w:r>
      <w:r>
        <w:rPr>
          <w:rFonts w:hint="eastAsia" w:ascii="宋体" w:hAnsi="宋体" w:eastAsia="宋体" w:cs="宋体"/>
          <w:color w:val="auto"/>
          <w:sz w:val="24"/>
          <w:highlight w:val="none"/>
          <w:shd w:val="clear" w:color="auto" w:fill="FFFFFF"/>
          <w:lang w:eastAsia="zh-CN"/>
        </w:rPr>
        <w:t>资金</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eastAsia="zh-CN"/>
        </w:rPr>
        <w:t>预算金额</w:t>
      </w:r>
      <w:r>
        <w:rPr>
          <w:rFonts w:hint="eastAsia" w:ascii="宋体" w:hAnsi="宋体" w:eastAsia="宋体" w:cs="宋体"/>
          <w:color w:val="auto"/>
          <w:sz w:val="24"/>
          <w:highlight w:val="none"/>
          <w:shd w:val="clear" w:color="auto" w:fill="FFFFFF"/>
          <w:lang w:val="en-US" w:eastAsia="zh-CN"/>
        </w:rPr>
        <w:t>：2000156.8元。</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采购内容：</w:t>
      </w:r>
      <w:r>
        <w:rPr>
          <w:rFonts w:hint="eastAsia" w:ascii="宋体" w:hAnsi="宋体" w:eastAsia="宋体" w:cs="宋体"/>
          <w:color w:val="auto"/>
          <w:sz w:val="24"/>
          <w:highlight w:val="none"/>
          <w:shd w:val="clear" w:color="auto" w:fill="FFFFFF"/>
          <w:lang w:val="en-US" w:eastAsia="zh-CN"/>
        </w:rPr>
        <w:t>采购</w:t>
      </w:r>
      <w:r>
        <w:rPr>
          <w:rFonts w:hint="default" w:ascii="宋体" w:hAnsi="宋体" w:eastAsia="宋体" w:cs="宋体"/>
          <w:color w:val="auto"/>
          <w:sz w:val="24"/>
          <w:highlight w:val="none"/>
          <w:shd w:val="clear" w:color="auto" w:fill="FFFFFF"/>
          <w:lang w:val="en-US" w:eastAsia="zh-CN"/>
        </w:rPr>
        <w:t>应急小站</w:t>
      </w:r>
      <w:r>
        <w:rPr>
          <w:rFonts w:hint="eastAsia" w:ascii="宋体" w:hAnsi="宋体" w:eastAsia="宋体" w:cs="宋体"/>
          <w:color w:val="auto"/>
          <w:sz w:val="24"/>
          <w:highlight w:val="none"/>
          <w:shd w:val="clear" w:color="auto" w:fill="FFFFFF"/>
          <w:lang w:val="en-US" w:eastAsia="zh-CN"/>
        </w:rPr>
        <w:t>物资（详见招标文件）</w:t>
      </w:r>
      <w:r>
        <w:rPr>
          <w:rFonts w:hint="eastAsia" w:ascii="宋体" w:hAnsi="宋体" w:eastAsia="宋体" w:cs="宋体"/>
          <w:color w:val="auto"/>
          <w:sz w:val="24"/>
          <w:highlight w:val="none"/>
          <w:shd w:val="clear" w:color="auto" w:fill="FFFFFF"/>
          <w:lang w:eastAsia="zh-CN"/>
        </w:rPr>
        <w:t>。</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供货期：合同签订后30日历天</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eastAsia="zh-CN"/>
        </w:rPr>
        <w:t>质量标准：合格，符合国家及行业规范标准。</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符合《中华人民共和国政府采购法》第二十二条之规定；</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落实政府采购政策需满足的资格要求：促进政府强制采购节能产品及环境标志产品优先采购，</w:t>
      </w:r>
      <w:r>
        <w:rPr>
          <w:rFonts w:hint="eastAsia" w:ascii="宋体" w:hAnsi="宋体" w:eastAsia="宋体" w:cs="宋体"/>
          <w:color w:val="auto"/>
          <w:sz w:val="24"/>
          <w:highlight w:val="none"/>
          <w:shd w:val="clear" w:color="auto" w:fill="FFFFFF"/>
          <w:lang w:eastAsia="zh-CN"/>
        </w:rPr>
        <w:t>该项目全额面向中小企业采购，供应商需提供中小企业声明函</w:t>
      </w:r>
      <w:r>
        <w:rPr>
          <w:rFonts w:hint="eastAsia" w:ascii="宋体" w:hAnsi="宋体" w:eastAsia="宋体" w:cs="宋体"/>
          <w:color w:val="auto"/>
          <w:sz w:val="24"/>
          <w:highlight w:val="none"/>
          <w:shd w:val="clear" w:color="auto" w:fill="FFFFFF"/>
        </w:rPr>
        <w:t>。</w:t>
      </w:r>
    </w:p>
    <w:p>
      <w:pPr>
        <w:widowControl/>
        <w:spacing w:line="440" w:lineRule="exact"/>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w:t>
      </w:r>
      <w:r>
        <w:rPr>
          <w:rFonts w:hint="eastAsia" w:ascii="宋体" w:hAnsi="宋体" w:cs="宋体"/>
          <w:color w:val="auto"/>
          <w:sz w:val="24"/>
          <w:highlight w:val="none"/>
          <w:shd w:val="clear" w:color="auto" w:fill="FFFFFF"/>
          <w:lang w:eastAsia="zh-CN"/>
        </w:rPr>
        <w:t>.</w:t>
      </w:r>
      <w:bookmarkStart w:id="316" w:name="_GoBack"/>
      <w:bookmarkEnd w:id="316"/>
      <w:r>
        <w:rPr>
          <w:rFonts w:hint="eastAsia" w:ascii="宋体" w:hAnsi="宋体" w:eastAsia="宋体" w:cs="宋体"/>
          <w:color w:val="auto"/>
          <w:sz w:val="24"/>
          <w:highlight w:val="none"/>
          <w:shd w:val="clear" w:color="auto" w:fill="FFFFFF"/>
        </w:rPr>
        <w:t>本项目的特定资格要求：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3.3本项目不接受联合体投标；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3.4资格审查方式：资格后审。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24"/>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1.时间：</w:t>
      </w:r>
      <w:r>
        <w:rPr>
          <w:rFonts w:hint="eastAsia"/>
          <w:color w:val="auto"/>
          <w:highlight w:val="none"/>
          <w:u w:val="single"/>
        </w:rPr>
        <w:t>2023年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15</w:t>
      </w:r>
      <w:r>
        <w:rPr>
          <w:rFonts w:hint="eastAsia"/>
          <w:color w:val="auto"/>
          <w:highlight w:val="none"/>
          <w:u w:val="single"/>
        </w:rPr>
        <w:t>日至2023年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日（北京时间）</w:t>
      </w:r>
      <w:r>
        <w:rPr>
          <w:rFonts w:hint="eastAsia"/>
          <w:color w:val="auto"/>
          <w:highlight w:val="none"/>
        </w:rPr>
        <w:t>；</w:t>
      </w:r>
    </w:p>
    <w:p>
      <w:pPr>
        <w:pStyle w:val="24"/>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shd w:val="clear" w:color="auto" w:fill="FFFFFF"/>
        </w:rPr>
      </w:pPr>
      <w:r>
        <w:rPr>
          <w:rFonts w:hint="eastAsia"/>
          <w:color w:val="auto"/>
          <w:highlight w:val="none"/>
        </w:rPr>
        <w:t>2.</w:t>
      </w:r>
      <w:r>
        <w:rPr>
          <w:rFonts w:hint="eastAsia" w:ascii="宋体" w:hAnsi="宋体" w:eastAsia="宋体" w:cs="宋体"/>
          <w:color w:val="auto"/>
          <w:highlight w:val="none"/>
          <w:shd w:val="clear" w:color="auto" w:fill="FFFFFF"/>
        </w:rPr>
        <w:t>地点：凡有意参加投标者，请登录焦作市公共资源交易中心网站会员系统进行网上下载。（联系电话：0391-3568920，QQ：232850725、361532918（群）；</w:t>
      </w:r>
    </w:p>
    <w:p>
      <w:pPr>
        <w:pStyle w:val="24"/>
        <w:shd w:val="clear" w:color="auto" w:fill="FFFFFF"/>
        <w:autoSpaceDE w:val="0"/>
        <w:spacing w:before="0" w:beforeAutospacing="0" w:after="0" w:afterAutospacing="0" w:line="440" w:lineRule="atLeast"/>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3.方式：网上下载；</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s="宋体"/>
          <w:color w:val="auto"/>
          <w:kern w:val="0"/>
          <w:sz w:val="24"/>
          <w:highlight w:val="none"/>
          <w:u w:val="single"/>
        </w:rPr>
        <w:t>2023年</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4</w:t>
      </w:r>
      <w:r>
        <w:rPr>
          <w:rFonts w:hint="eastAsia" w:ascii="宋体" w:hAnsi="宋体" w:cs="宋体"/>
          <w:color w:val="auto"/>
          <w:kern w:val="0"/>
          <w:sz w:val="24"/>
          <w:highlight w:val="none"/>
          <w:u w:val="single"/>
        </w:rPr>
        <w:t>日上午9点00分（北京时间）</w:t>
      </w:r>
      <w:r>
        <w:rPr>
          <w:rFonts w:hint="eastAsia" w:ascii="宋体" w:hAnsi="宋体" w:cs="宋体"/>
          <w:color w:val="auto"/>
          <w:kern w:val="0"/>
          <w:sz w:val="24"/>
          <w:highlight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u w:val="single"/>
        </w:rPr>
        <w:t>2023年</w:t>
      </w:r>
      <w:r>
        <w:rPr>
          <w:rFonts w:hint="eastAsia" w:ascii="宋体" w:hAnsi="宋体" w:cs="宋体"/>
          <w:color w:val="auto"/>
          <w:kern w:val="0"/>
          <w:sz w:val="24"/>
          <w:highlight w:val="none"/>
          <w:u w:val="single"/>
          <w:lang w:val="en-US" w:eastAsia="zh-CN"/>
        </w:rPr>
        <w:t>9</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4</w:t>
      </w:r>
      <w:r>
        <w:rPr>
          <w:rFonts w:hint="eastAsia" w:ascii="宋体" w:hAnsi="宋体" w:cs="宋体"/>
          <w:color w:val="auto"/>
          <w:kern w:val="0"/>
          <w:sz w:val="24"/>
          <w:highlight w:val="none"/>
          <w:u w:val="single"/>
        </w:rPr>
        <w:t>日上午9点00分（北京时间）</w:t>
      </w:r>
      <w:r>
        <w:rPr>
          <w:rFonts w:hint="eastAsia" w:ascii="宋体" w:hAnsi="宋体" w:cs="宋体"/>
          <w:color w:val="auto"/>
          <w:kern w:val="0"/>
          <w:sz w:val="24"/>
          <w:highlight w:val="none"/>
        </w:rPr>
        <w:t>；</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adjustRightInd w:val="0"/>
        <w:snapToGri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其他补充事宜</w:t>
      </w:r>
    </w:p>
    <w:p>
      <w:pPr>
        <w:pStyle w:val="24"/>
        <w:shd w:val="clear" w:color="auto" w:fill="FFFFFF"/>
        <w:autoSpaceDE w:val="0"/>
        <w:spacing w:before="0" w:beforeAutospacing="0" w:after="0" w:afterAutospacing="0" w:line="440" w:lineRule="exact"/>
        <w:ind w:firstLine="480" w:firstLineChars="200"/>
        <w:rPr>
          <w:rFonts w:hint="eastAsia" w:ascii="宋体" w:hAnsi="宋体" w:eastAsia="宋体" w:cs="宋体"/>
          <w:bCs/>
          <w:color w:val="auto"/>
          <w:highlight w:val="none"/>
        </w:rPr>
      </w:pPr>
      <w:r>
        <w:rPr>
          <w:rFonts w:hint="eastAsia"/>
          <w:color w:val="auto"/>
          <w:highlight w:val="none"/>
          <w:shd w:val="clear" w:color="auto" w:fill="FFFFFF"/>
        </w:rPr>
        <w:t>1.本次本公告在</w:t>
      </w:r>
      <w:r>
        <w:rPr>
          <w:rFonts w:hint="eastAsia"/>
          <w:bCs/>
          <w:color w:val="auto"/>
          <w:highlight w:val="none"/>
        </w:rPr>
        <w:t>中国招标投标公共服务平</w:t>
      </w:r>
      <w:r>
        <w:rPr>
          <w:rFonts w:hint="eastAsia" w:ascii="宋体" w:hAnsi="宋体" w:eastAsia="宋体" w:cs="宋体"/>
          <w:bCs/>
          <w:color w:val="auto"/>
          <w:highlight w:val="none"/>
        </w:rPr>
        <w:t>台、中国政府采购网河南分网、焦作市政府采购网、焦作市公共资源交易中心网、博爱县人民政府网、博爱县公共资源交易中心网http://www.baxggzyjyzx.cn/上发布。</w:t>
      </w:r>
    </w:p>
    <w:p>
      <w:pPr>
        <w:pStyle w:val="24"/>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24"/>
        <w:spacing w:beforeAutospacing="0" w:afterAutospacing="0" w:line="440" w:lineRule="exact"/>
        <w:ind w:firstLine="468" w:firstLineChars="195"/>
        <w:jc w:val="both"/>
        <w:rPr>
          <w:color w:val="auto"/>
          <w:highlight w:val="none"/>
        </w:rPr>
      </w:pPr>
      <w:r>
        <w:rPr>
          <w:rFonts w:hint="eastAsia"/>
          <w:color w:val="auto"/>
          <w:highlight w:val="none"/>
        </w:rPr>
        <w:t>3.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博爱县应急管理局</w:t>
      </w:r>
    </w:p>
    <w:p>
      <w:pPr>
        <w:adjustRightInd w:val="0"/>
        <w:snapToGrid w:val="0"/>
        <w:spacing w:line="440" w:lineRule="exact"/>
        <w:ind w:firstLine="480" w:firstLineChars="200"/>
        <w:rPr>
          <w:rFonts w:ascii="宋体" w:hAnsi="宋体" w:cs="宋体"/>
          <w:bCs/>
          <w:color w:val="auto"/>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lang w:eastAsia="zh-CN"/>
        </w:rPr>
        <w:t>博爱县鸿昌街道办事处团结路与劳动西街交叉口向东50米</w:t>
      </w:r>
      <w:r>
        <w:rPr>
          <w:rFonts w:hint="eastAsia" w:ascii="宋体" w:hAnsi="宋体" w:cs="宋体"/>
          <w:color w:val="auto"/>
          <w:kern w:val="0"/>
          <w:sz w:val="24"/>
          <w:highlight w:val="none"/>
        </w:rPr>
        <w:t xml:space="preserve"> </w:t>
      </w:r>
    </w:p>
    <w:p>
      <w:pPr>
        <w:adjustRightInd w:val="0"/>
        <w:snapToGrid w:val="0"/>
        <w:spacing w:line="440" w:lineRule="exact"/>
        <w:ind w:firstLine="480" w:firstLineChars="200"/>
        <w:rPr>
          <w:rFonts w:hint="default" w:ascii="宋体" w:hAnsi="宋体" w:cs="宋体"/>
          <w:color w:val="auto"/>
          <w:kern w:val="0"/>
          <w:sz w:val="24"/>
          <w:highlight w:val="none"/>
          <w:lang w:val="en-US"/>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王女士</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lang w:val="en-US" w:eastAsia="zh-CN"/>
        </w:rPr>
        <w:t>16627992213</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河南四方建设管理有限公司</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Theme="minorEastAsia" w:hAnsiTheme="minorEastAsia" w:eastAsiaTheme="minorEastAsia" w:cstheme="minorEastAsia"/>
          <w:color w:val="auto"/>
          <w:sz w:val="24"/>
          <w:szCs w:val="24"/>
          <w:highlight w:val="none"/>
          <w:lang w:val="en-US" w:eastAsia="zh-CN" w:bidi="ar-SA"/>
        </w:rPr>
        <w:t>郑州市航海东路1394号富田财富广场1号楼1515</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张</w:t>
      </w:r>
      <w:r>
        <w:rPr>
          <w:rFonts w:hint="eastAsia" w:ascii="宋体" w:hAnsi="宋体" w:cs="宋体"/>
          <w:color w:val="auto"/>
          <w:sz w:val="24"/>
          <w:highlight w:val="none"/>
        </w:rPr>
        <w:t>先生</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w:t>
      </w:r>
      <w:r>
        <w:rPr>
          <w:rFonts w:hint="eastAsia" w:asciiTheme="minorEastAsia" w:hAnsiTheme="minorEastAsia" w:eastAsiaTheme="minorEastAsia" w:cstheme="minorEastAsia"/>
          <w:color w:val="auto"/>
          <w:sz w:val="24"/>
          <w:szCs w:val="24"/>
          <w:highlight w:val="none"/>
          <w:lang w:val="en-US" w:eastAsia="zh-CN" w:bidi="ar-SA"/>
        </w:rPr>
        <w:t>18695863052</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r>
        <w:rPr>
          <w:rFonts w:hint="eastAsia" w:ascii="宋体" w:hAnsi="宋体" w:cs="宋体"/>
          <w:color w:val="auto"/>
          <w:sz w:val="24"/>
          <w:highlight w:val="none"/>
        </w:rPr>
        <w:tab/>
      </w:r>
    </w:p>
    <w:p>
      <w:pPr>
        <w:adjustRightInd w:val="0"/>
        <w:snapToGrid w:val="0"/>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王女士</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电话：</w:t>
      </w:r>
      <w:r>
        <w:rPr>
          <w:rFonts w:hint="eastAsia" w:ascii="宋体" w:hAnsi="宋体" w:cs="宋体"/>
          <w:color w:val="auto"/>
          <w:kern w:val="0"/>
          <w:sz w:val="24"/>
          <w:highlight w:val="none"/>
          <w:lang w:val="en-US" w:eastAsia="zh-CN"/>
        </w:rPr>
        <w:t>16627992213</w:t>
      </w: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博爱县应急管理局</w:t>
      </w: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采购代理机构：</w:t>
      </w:r>
      <w:r>
        <w:rPr>
          <w:rFonts w:hint="eastAsia" w:ascii="宋体" w:hAnsi="宋体" w:cs="宋体"/>
          <w:color w:val="auto"/>
          <w:sz w:val="24"/>
          <w:highlight w:val="none"/>
          <w:shd w:val="clear" w:color="auto" w:fill="FFFFFF"/>
          <w:lang w:eastAsia="zh-CN"/>
        </w:rPr>
        <w:t>河南四方建设管理有限公司</w:t>
      </w:r>
    </w:p>
    <w:p>
      <w:pPr>
        <w:widowControl/>
        <w:spacing w:line="440" w:lineRule="exact"/>
        <w:ind w:left="2940" w:firstLine="420"/>
        <w:rPr>
          <w:color w:val="auto"/>
          <w:highlight w:val="none"/>
        </w:rPr>
      </w:pPr>
      <w:r>
        <w:rPr>
          <w:rFonts w:hint="eastAsia" w:ascii="宋体" w:hAnsi="宋体" w:cs="宋体"/>
          <w:color w:val="auto"/>
          <w:sz w:val="24"/>
          <w:highlight w:val="none"/>
        </w:rPr>
        <w:t>发布时间：2023年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w:t>
      </w:r>
    </w:p>
    <w:p>
      <w:pPr>
        <w:rPr>
          <w:color w:val="auto"/>
          <w:highlight w:val="none"/>
        </w:rPr>
      </w:pPr>
    </w:p>
    <w:p>
      <w:pPr>
        <w:widowControl/>
        <w:spacing w:line="440" w:lineRule="exact"/>
        <w:ind w:left="2940" w:firstLine="420"/>
        <w:rPr>
          <w:color w:val="auto"/>
          <w:highlight w:val="none"/>
        </w:rPr>
      </w:pPr>
    </w:p>
    <w:p>
      <w:pPr>
        <w:rPr>
          <w:color w:val="auto"/>
          <w:highlight w:val="none"/>
        </w:rPr>
      </w:pPr>
    </w:p>
    <w:p>
      <w:pPr>
        <w:rPr>
          <w:color w:val="auto"/>
          <w:highlight w:val="none"/>
        </w:rPr>
      </w:pPr>
    </w:p>
    <w:p>
      <w:pPr>
        <w:pStyle w:val="13"/>
        <w:rPr>
          <w:rFonts w:asciiTheme="minorEastAsia" w:hAnsiTheme="minorEastAsia" w:eastAsiaTheme="minorEastAsia" w:cstheme="minorEastAsia"/>
          <w:b/>
          <w:color w:val="auto"/>
          <w:sz w:val="32"/>
          <w:szCs w:val="32"/>
          <w:highlight w:val="none"/>
        </w:rPr>
      </w:pPr>
    </w:p>
    <w:p>
      <w:pPr>
        <w:pStyle w:val="23"/>
        <w:rPr>
          <w:rFonts w:asciiTheme="minorEastAsia" w:hAnsiTheme="minorEastAsia" w:eastAsiaTheme="minorEastAsia" w:cstheme="minorEastAsia"/>
          <w:b/>
          <w:color w:val="auto"/>
          <w:sz w:val="32"/>
          <w:szCs w:val="32"/>
          <w:highlight w:val="none"/>
        </w:rPr>
      </w:pPr>
    </w:p>
    <w:p>
      <w:pPr>
        <w:pStyle w:val="13"/>
        <w:rPr>
          <w:rFonts w:asciiTheme="minorEastAsia" w:hAnsiTheme="minorEastAsia" w:eastAsiaTheme="minorEastAsia" w:cstheme="minorEastAsia"/>
          <w:b/>
          <w:color w:val="auto"/>
          <w:sz w:val="32"/>
          <w:szCs w:val="32"/>
          <w:highlight w:val="none"/>
        </w:rPr>
      </w:pPr>
    </w:p>
    <w:p>
      <w:pPr>
        <w:pStyle w:val="39"/>
        <w:rPr>
          <w:color w:val="auto"/>
          <w:highlight w:val="none"/>
        </w:rPr>
      </w:pPr>
    </w:p>
    <w:p>
      <w:pPr>
        <w:pStyle w:val="13"/>
        <w:rPr>
          <w:color w:val="auto"/>
          <w:highlight w:val="none"/>
        </w:rPr>
      </w:pPr>
    </w:p>
    <w:p>
      <w:pPr>
        <w:pStyle w:val="23"/>
        <w:rPr>
          <w:color w:val="auto"/>
          <w:highlight w:val="none"/>
        </w:rPr>
      </w:pPr>
    </w:p>
    <w:p>
      <w:pPr>
        <w:pStyle w:val="13"/>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bookmarkStart w:id="6" w:name="_Toc21974"/>
      <w:bookmarkStart w:id="7" w:name="_Toc27816"/>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第二章  供应商须知</w:t>
      </w:r>
      <w:bookmarkEnd w:id="6"/>
      <w:bookmarkEnd w:id="7"/>
    </w:p>
    <w:bookmarkEnd w:id="0"/>
    <w:p>
      <w:pPr>
        <w:pStyle w:val="25"/>
        <w:spacing w:before="0" w:after="0" w:line="360" w:lineRule="auto"/>
        <w:ind w:right="-23" w:rightChars="-11"/>
        <w:outlineLvl w:val="1"/>
        <w:rPr>
          <w:rFonts w:asciiTheme="minorEastAsia" w:hAnsiTheme="minorEastAsia" w:eastAsiaTheme="minorEastAsia" w:cstheme="minorEastAsia"/>
          <w:color w:val="auto"/>
          <w:sz w:val="30"/>
          <w:szCs w:val="30"/>
          <w:highlight w:val="none"/>
        </w:rPr>
      </w:pPr>
      <w:bookmarkStart w:id="8" w:name="_Toc9161"/>
      <w:bookmarkStart w:id="9" w:name="_Toc14655"/>
      <w:bookmarkStart w:id="10" w:name="_Toc31932"/>
      <w:bookmarkStart w:id="11" w:name="_Toc426369478"/>
      <w:bookmarkStart w:id="12" w:name="_Toc32497"/>
      <w:bookmarkStart w:id="13" w:name="_Toc403122490"/>
      <w:r>
        <w:rPr>
          <w:rFonts w:hint="eastAsia" w:asciiTheme="minorEastAsia" w:hAnsiTheme="minorEastAsia" w:eastAsiaTheme="minorEastAsia" w:cstheme="minorEastAsia"/>
          <w:color w:val="auto"/>
          <w:sz w:val="30"/>
          <w:szCs w:val="30"/>
          <w:highlight w:val="none"/>
        </w:rPr>
        <w:t>供应商须知前附表</w:t>
      </w:r>
      <w:bookmarkEnd w:id="8"/>
      <w:bookmarkEnd w:id="9"/>
      <w:bookmarkEnd w:id="10"/>
      <w:bookmarkEnd w:id="11"/>
      <w:bookmarkEnd w:id="12"/>
      <w:bookmarkEnd w:id="13"/>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17"/>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17"/>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w:t>
            </w:r>
          </w:p>
        </w:tc>
        <w:tc>
          <w:tcPr>
            <w:tcW w:w="6112" w:type="dxa"/>
            <w:vAlign w:val="center"/>
          </w:tcPr>
          <w:p>
            <w:pPr>
              <w:pStyle w:val="17"/>
              <w:spacing w:line="360" w:lineRule="exact"/>
              <w:rPr>
                <w:rFonts w:hint="eastAsia"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名称：</w:t>
            </w:r>
            <w:r>
              <w:rPr>
                <w:rFonts w:hint="eastAsia" w:asciiTheme="minorEastAsia" w:hAnsiTheme="minorEastAsia" w:eastAsiaTheme="minorEastAsia" w:cstheme="minorEastAsia"/>
                <w:color w:val="auto"/>
                <w:highlight w:val="none"/>
                <w:lang w:eastAsia="zh-CN"/>
              </w:rPr>
              <w:t>博爱县应急管理局</w:t>
            </w:r>
          </w:p>
          <w:p>
            <w:pPr>
              <w:pStyle w:val="17"/>
              <w:spacing w:line="360" w:lineRule="exact"/>
              <w:rPr>
                <w:rFonts w:hint="default"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联系人：</w:t>
            </w:r>
            <w:r>
              <w:rPr>
                <w:rFonts w:hint="eastAsia" w:asciiTheme="minorEastAsia" w:hAnsiTheme="minorEastAsia" w:eastAsiaTheme="minorEastAsia" w:cstheme="minorEastAsia"/>
                <w:color w:val="auto"/>
                <w:highlight w:val="none"/>
                <w:lang w:val="en-US" w:eastAsia="zh-CN"/>
              </w:rPr>
              <w:t>王女士</w:t>
            </w:r>
          </w:p>
          <w:p>
            <w:pPr>
              <w:pStyle w:val="17"/>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lang w:val="en-US" w:eastAsia="zh-CN"/>
              </w:rPr>
              <w:t>16627992213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lang w:eastAsia="zh-CN"/>
              </w:rPr>
            </w:pPr>
            <w:r>
              <w:rPr>
                <w:rFonts w:asciiTheme="minorEastAsia" w:hAnsiTheme="minorEastAsia" w:eastAsiaTheme="minorEastAsia" w:cstheme="minorEastAsia"/>
                <w:color w:val="auto"/>
                <w:highlight w:val="none"/>
              </w:rPr>
              <w:t>采购代理机</w:t>
            </w:r>
            <w:r>
              <w:rPr>
                <w:rFonts w:hint="eastAsia" w:asciiTheme="minorEastAsia" w:hAnsiTheme="minorEastAsia" w:eastAsiaTheme="minorEastAsia" w:cstheme="minorEastAsia"/>
                <w:color w:val="auto"/>
                <w:highlight w:val="none"/>
                <w:lang w:eastAsia="zh-CN"/>
              </w:rPr>
              <w:t xml:space="preserve">构：河南四方建设管理有限公司 </w:t>
            </w:r>
          </w:p>
          <w:p>
            <w:pPr>
              <w:pStyle w:val="17"/>
              <w:spacing w:line="3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联系人：</w:t>
            </w:r>
            <w:r>
              <w:rPr>
                <w:rFonts w:hint="eastAsia" w:asciiTheme="minorEastAsia" w:hAnsiTheme="minorEastAsia" w:eastAsiaTheme="minorEastAsia" w:cstheme="minorEastAsia"/>
                <w:color w:val="auto"/>
                <w:highlight w:val="none"/>
                <w:lang w:val="en-US" w:eastAsia="zh-CN"/>
              </w:rPr>
              <w:t>张</w:t>
            </w:r>
            <w:r>
              <w:rPr>
                <w:rFonts w:hint="eastAsia" w:asciiTheme="minorEastAsia" w:hAnsiTheme="minorEastAsia" w:eastAsiaTheme="minorEastAsia" w:cstheme="minorEastAsia"/>
                <w:color w:val="auto"/>
                <w:highlight w:val="none"/>
                <w:lang w:eastAsia="zh-CN"/>
              </w:rPr>
              <w:t>先生</w:t>
            </w:r>
          </w:p>
          <w:p>
            <w:pPr>
              <w:pStyle w:val="17"/>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电话：</w:t>
            </w:r>
            <w:r>
              <w:rPr>
                <w:rFonts w:hint="eastAsia" w:asciiTheme="minorEastAsia" w:hAnsiTheme="minorEastAsia" w:eastAsiaTheme="minorEastAsia" w:cstheme="minorEastAsia"/>
                <w:color w:val="auto"/>
                <w:highlight w:val="none"/>
                <w:lang w:val="en-US" w:eastAsia="zh-CN"/>
              </w:rPr>
              <w:t>18695863052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Cs/>
                <w:iCs/>
                <w:color w:val="auto"/>
                <w:szCs w:val="21"/>
                <w:highlight w:val="none"/>
                <w:lang w:eastAsia="zh-CN"/>
              </w:rPr>
              <w:t>博爱县应急管理局“应急小站”采购项目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17"/>
              <w:spacing w:line="360" w:lineRule="exact"/>
              <w:rPr>
                <w:rFonts w:hint="default" w:asciiTheme="minorEastAsia" w:hAnsiTheme="minorEastAsia" w:eastAsiaTheme="minorEastAsia" w:cstheme="minorEastAsia"/>
                <w:i/>
                <w:iCs/>
                <w:color w:val="auto"/>
                <w:highlight w:val="none"/>
              </w:rPr>
            </w:pPr>
            <w:r>
              <w:rPr>
                <w:rFonts w:hint="eastAsia" w:asciiTheme="minorEastAsia" w:hAnsiTheme="minorEastAsia" w:eastAsiaTheme="minorEastAsia" w:cstheme="minorEastAsia"/>
                <w:color w:val="auto"/>
                <w:highlight w:val="none"/>
                <w:lang w:val="en-US" w:eastAsia="zh-CN"/>
              </w:rPr>
              <w:t>自筹</w:t>
            </w:r>
            <w:r>
              <w:rPr>
                <w:rFonts w:asciiTheme="minorEastAsia" w:hAnsiTheme="minorEastAsia" w:eastAsiaTheme="minorEastAsia" w:cstheme="minorEastAsia"/>
                <w:color w:val="auto"/>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资金落实情况</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pStyle w:val="17"/>
              <w:spacing w:line="360" w:lineRule="exact"/>
              <w:ind w:firstLine="420" w:firstLineChars="20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bCs/>
                <w:iCs/>
                <w:color w:val="auto"/>
                <w:highlight w:val="none"/>
              </w:rPr>
              <w:t>采购内容</w:t>
            </w:r>
          </w:p>
        </w:tc>
        <w:tc>
          <w:tcPr>
            <w:tcW w:w="6112" w:type="dxa"/>
          </w:tcPr>
          <w:p>
            <w:pPr>
              <w:pStyle w:val="17"/>
              <w:spacing w:line="36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采购</w:t>
            </w:r>
            <w:r>
              <w:rPr>
                <w:rFonts w:hint="default" w:asciiTheme="minorEastAsia" w:hAnsiTheme="minorEastAsia" w:eastAsiaTheme="minorEastAsia" w:cstheme="minorEastAsia"/>
                <w:color w:val="auto"/>
                <w:highlight w:val="none"/>
                <w:lang w:val="en-US" w:eastAsia="zh-CN"/>
              </w:rPr>
              <w:t>应急小站</w:t>
            </w:r>
            <w:r>
              <w:rPr>
                <w:rFonts w:hint="eastAsia" w:asciiTheme="minorEastAsia" w:hAnsiTheme="minorEastAsia" w:eastAsiaTheme="minorEastAsia" w:cstheme="minorEastAsia"/>
                <w:color w:val="auto"/>
                <w:highlight w:val="none"/>
                <w:lang w:val="en-US" w:eastAsia="zh-CN"/>
              </w:rPr>
              <w:t>物资（详见第五章“采购内容及技术要求”）</w:t>
            </w:r>
            <w:r>
              <w:rPr>
                <w:rFonts w:hint="default"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17"/>
              <w:spacing w:line="360" w:lineRule="exact"/>
              <w:jc w:val="center"/>
              <w:rPr>
                <w:rFonts w:hint="default" w:hAnsi="宋体" w:cs="宋体"/>
                <w:color w:val="auto"/>
                <w:kern w:val="0"/>
                <w:highlight w:val="none"/>
              </w:rPr>
            </w:pPr>
            <w:r>
              <w:rPr>
                <w:rFonts w:asciiTheme="minorEastAsia" w:hAnsiTheme="minorEastAsia" w:eastAsiaTheme="minorEastAsia" w:cstheme="minorEastAsia"/>
                <w:bCs/>
                <w:iCs/>
                <w:color w:val="auto"/>
                <w:highlight w:val="none"/>
              </w:rPr>
              <w:t>供货期</w:t>
            </w:r>
          </w:p>
        </w:tc>
        <w:tc>
          <w:tcPr>
            <w:tcW w:w="6112" w:type="dxa"/>
            <w:vAlign w:val="center"/>
          </w:tcPr>
          <w:p>
            <w:pPr>
              <w:adjustRightInd w:val="0"/>
              <w:snapToGrid w:val="0"/>
              <w:spacing w:line="56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17"/>
              <w:spacing w:line="360" w:lineRule="exact"/>
              <w:jc w:val="center"/>
              <w:rPr>
                <w:rFonts w:hint="default" w:hAnsi="宋体" w:cs="宋体"/>
                <w:color w:val="auto"/>
                <w:kern w:val="0"/>
                <w:highlight w:val="none"/>
              </w:rPr>
            </w:pPr>
            <w:r>
              <w:rPr>
                <w:rFonts w:hint="default" w:hAnsi="宋体" w:cs="宋体"/>
                <w:color w:val="auto"/>
                <w:kern w:val="0"/>
                <w:highlight w:val="none"/>
              </w:rPr>
              <w:t>质量标准</w:t>
            </w:r>
          </w:p>
        </w:tc>
        <w:tc>
          <w:tcPr>
            <w:tcW w:w="6112" w:type="dxa"/>
            <w:vAlign w:val="center"/>
          </w:tcPr>
          <w:p>
            <w:pPr>
              <w:spacing w:line="400" w:lineRule="exact"/>
              <w:rPr>
                <w:rFonts w:ascii="宋体" w:hAnsi="宋体" w:cs="宋体"/>
                <w:color w:val="auto"/>
                <w:kern w:val="0"/>
                <w:szCs w:val="21"/>
                <w:highlight w:val="none"/>
              </w:rPr>
            </w:pPr>
            <w:r>
              <w:rPr>
                <w:rFonts w:ascii="宋体" w:hAnsi="宋体" w:cs="宋体"/>
                <w:color w:val="auto"/>
                <w:kern w:val="0"/>
                <w:szCs w:val="21"/>
                <w:highlight w:val="none"/>
              </w:rPr>
              <w:t>合格，符合国家</w:t>
            </w:r>
            <w:r>
              <w:rPr>
                <w:rFonts w:hint="eastAsia" w:ascii="宋体" w:hAnsi="宋体" w:cs="宋体"/>
                <w:color w:val="auto"/>
                <w:kern w:val="0"/>
                <w:szCs w:val="21"/>
                <w:highlight w:val="none"/>
              </w:rPr>
              <w:t>及</w:t>
            </w:r>
            <w:r>
              <w:rPr>
                <w:rFonts w:ascii="宋体" w:hAnsi="宋体" w:cs="宋体"/>
                <w:color w:val="auto"/>
                <w:kern w:val="0"/>
                <w:szCs w:val="21"/>
                <w:highlight w:val="none"/>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17"/>
              <w:spacing w:line="360" w:lineRule="exact"/>
              <w:jc w:val="center"/>
              <w:rPr>
                <w:rFonts w:hint="default" w:hAnsi="宋体" w:cs="宋体"/>
                <w:color w:val="auto"/>
                <w:kern w:val="0"/>
                <w:highlight w:val="none"/>
              </w:rPr>
            </w:pPr>
            <w:r>
              <w:rPr>
                <w:rFonts w:hAnsi="宋体" w:cs="宋体"/>
                <w:color w:val="auto"/>
                <w:kern w:val="0"/>
                <w:highlight w:val="none"/>
              </w:rPr>
              <w:t>质保期</w:t>
            </w:r>
          </w:p>
        </w:tc>
        <w:tc>
          <w:tcPr>
            <w:tcW w:w="6112" w:type="dxa"/>
            <w:vAlign w:val="center"/>
          </w:tcPr>
          <w:p>
            <w:pPr>
              <w:spacing w:line="400" w:lineRule="exact"/>
              <w:rPr>
                <w:rFonts w:ascii="宋体" w:hAnsi="宋体" w:cs="宋体"/>
                <w:color w:val="auto"/>
                <w:kern w:val="0"/>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pStyle w:val="17"/>
              <w:spacing w:line="3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1、符合《中华人民共和国政府采购法》第二十二条之规定；</w:t>
            </w:r>
          </w:p>
          <w:p>
            <w:pPr>
              <w:pStyle w:val="17"/>
              <w:spacing w:line="3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w:t>
            </w:r>
            <w:r>
              <w:rPr>
                <w:rFonts w:hint="eastAsia" w:asciiTheme="minorEastAsia" w:hAnsiTheme="minorEastAsia" w:eastAsiaTheme="minorEastAsia" w:cstheme="minorEastAsia"/>
                <w:color w:val="auto"/>
                <w:highlight w:val="none"/>
                <w:lang w:eastAsia="zh-CN"/>
              </w:rPr>
              <w:t>促进政府强制采购节能产品及环境标志产品优先采购，该项目全额面向中小企业采购，供应商需提供中小企业声明函</w:t>
            </w:r>
            <w:r>
              <w:rPr>
                <w:rFonts w:hint="eastAsia" w:asciiTheme="minorEastAsia" w:hAnsiTheme="minorEastAsia" w:eastAsiaTheme="minorEastAsia" w:cstheme="minorEastAsia"/>
                <w:color w:val="auto"/>
                <w:highlight w:val="none"/>
              </w:rPr>
              <w:t>。</w:t>
            </w:r>
          </w:p>
          <w:p>
            <w:pPr>
              <w:pStyle w:val="17"/>
              <w:spacing w:line="3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pPr>
              <w:pStyle w:val="17"/>
              <w:spacing w:line="3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3.1供应商须具有有效的营业执照，并具有实施完成本项目的经营实力和完善的售后服务体系；</w:t>
            </w:r>
          </w:p>
          <w:p>
            <w:pPr>
              <w:pStyle w:val="17"/>
              <w:spacing w:line="3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 </w:t>
            </w:r>
          </w:p>
          <w:p>
            <w:pPr>
              <w:pStyle w:val="17"/>
              <w:spacing w:line="3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3.3本项目不接受联合体投标；</w:t>
            </w:r>
          </w:p>
          <w:p>
            <w:pPr>
              <w:pStyle w:val="17"/>
              <w:spacing w:line="360" w:lineRule="exact"/>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3.4资格审查方式：资格后审</w:t>
            </w:r>
            <w:r>
              <w:rPr>
                <w:rFonts w:hint="eastAsia" w:ascii="宋体" w:hAnsi="宋体" w:cs="宋体"/>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17"/>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Cs w:val="21"/>
                <w:highlight w:val="none"/>
              </w:rPr>
              <w:t>2023年</w:t>
            </w:r>
            <w:r>
              <w:rPr>
                <w:rFonts w:hint="eastAsia" w:ascii="宋体" w:hAnsi="宋体" w:cs="宋体"/>
                <w:b/>
                <w:bCs/>
                <w:color w:val="auto"/>
                <w:kern w:val="0"/>
                <w:szCs w:val="21"/>
                <w:highlight w:val="none"/>
                <w:lang w:val="en-US" w:eastAsia="zh-CN"/>
              </w:rPr>
              <w:t>9</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日上午9点00分（北京时间）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 所有要求供应商加盖公章的地方都须加盖供应商单位的 CA 印章。</w:t>
            </w:r>
          </w:p>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2要求法定代表人签字或盖章的，法定代表人在签字或盖章的地方上传手写签名的扫描件或加盖法定代表人CA印章。</w:t>
            </w:r>
          </w:p>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17"/>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本项目采用“远程不见面”开标方式，远程开标大厅网址为http://122.112.246.33/BidOpening/bidopeninghallaction/hall/login。供应商不需到开标现场参加开标会议，不需提交原件资料等。 </w:t>
            </w:r>
          </w:p>
          <w:p>
            <w:pPr>
              <w:pStyle w:val="17"/>
              <w:spacing w:line="400" w:lineRule="exact"/>
              <w:rPr>
                <w:rFonts w:hint="default" w:hAnsi="宋体"/>
                <w:color w:val="auto"/>
                <w:highlight w:val="none"/>
              </w:rPr>
            </w:pPr>
            <w:r>
              <w:rPr>
                <w:rFonts w:hAnsi="宋体"/>
                <w:color w:val="auto"/>
                <w:highlight w:val="none"/>
              </w:rPr>
              <w:t>（1）电子投标文件的递交</w:t>
            </w:r>
          </w:p>
          <w:p>
            <w:pPr>
              <w:pStyle w:val="17"/>
              <w:spacing w:line="400" w:lineRule="exact"/>
              <w:rPr>
                <w:rFonts w:hint="default" w:hAnsi="宋体"/>
                <w:color w:val="auto"/>
                <w:highlight w:val="none"/>
              </w:rPr>
            </w:pPr>
            <w:r>
              <w:rPr>
                <w:rFonts w:hAnsi="宋体"/>
                <w:color w:val="auto"/>
                <w:highlight w:val="none"/>
              </w:rPr>
              <w:t>a、各供应商应在投标截止时间前上传加密的电子投标文件</w:t>
            </w:r>
          </w:p>
          <w:p>
            <w:pPr>
              <w:pStyle w:val="17"/>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格式）到会员系统的指定位置。上传时必须得到电脑“上传成功”的确认回复。请供应商在上传时认真检查上传投标文件是否完整、正确。</w:t>
            </w:r>
          </w:p>
          <w:p>
            <w:pPr>
              <w:pStyle w:val="17"/>
              <w:spacing w:line="400" w:lineRule="exact"/>
              <w:rPr>
                <w:rFonts w:hint="default"/>
                <w:color w:val="auto"/>
                <w:highlight w:val="none"/>
              </w:rPr>
            </w:pPr>
            <w:r>
              <w:rPr>
                <w:rFonts w:hAnsi="宋体"/>
                <w:color w:val="auto"/>
                <w:highlight w:val="none"/>
              </w:rPr>
              <w:t>b、如系统故故障需上传非加密文件时，供应商应按照采购人指示将非加密文件递交给采购人。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17"/>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评标委员会构成：由采购人代表1名和政府采购专家库中随机抽</w:t>
            </w:r>
          </w:p>
          <w:p>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取的评审专家4名共5人组成。</w:t>
            </w:r>
            <w:r>
              <w:rPr>
                <w:rFonts w:hint="eastAsia" w:ascii="宋体" w:hAnsi="宋体"/>
                <w:b/>
                <w:bCs/>
                <w:color w:val="auto"/>
                <w:szCs w:val="21"/>
                <w:highlight w:val="none"/>
              </w:rPr>
              <w:t>注</w:t>
            </w:r>
            <w:r>
              <w:rPr>
                <w:rFonts w:hint="eastAsia" w:ascii="宋体" w:hAnsi="宋体"/>
                <w:color w:val="auto"/>
                <w:szCs w:val="21"/>
                <w:highlight w:val="none"/>
              </w:rPr>
              <w:t>：</w:t>
            </w:r>
            <w:r>
              <w:rPr>
                <w:rFonts w:hint="eastAsia" w:ascii="宋体" w:hAnsi="宋体"/>
                <w:b/>
                <w:bCs/>
                <w:color w:val="auto"/>
                <w:szCs w:val="21"/>
                <w:highlight w:val="none"/>
                <w:u w:val="single"/>
              </w:rPr>
              <w:t>根据《财政部令第87号》第四十五条规定，采购人代表不得担任评标委员会组长。</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7"/>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vAlign w:val="bottom"/>
          </w:tcPr>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1、本项目预算金额为：</w:t>
            </w:r>
            <w:r>
              <w:rPr>
                <w:rFonts w:hint="eastAsia" w:asciiTheme="minorEastAsia" w:hAnsiTheme="minorEastAsia" w:eastAsiaTheme="minorEastAsia" w:cstheme="minorEastAsia"/>
                <w:color w:val="auto"/>
                <w:szCs w:val="21"/>
                <w:highlight w:val="none"/>
                <w:lang w:val="en-US" w:eastAsia="zh-CN"/>
              </w:rPr>
              <w:t>2000156.8</w:t>
            </w:r>
            <w:r>
              <w:rPr>
                <w:rFonts w:hint="eastAsia" w:asciiTheme="minorEastAsia" w:hAnsiTheme="minorEastAsia" w:eastAsiaTheme="minorEastAsia" w:cstheme="minorEastAsia"/>
                <w:color w:val="auto"/>
                <w:szCs w:val="21"/>
                <w:highlight w:val="none"/>
              </w:rPr>
              <w:t>元。</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spacing w:line="440" w:lineRule="exac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1对中</w:t>
            </w:r>
            <w:r>
              <w:rPr>
                <w:rFonts w:hint="eastAsia" w:ascii="宋体" w:hAnsi="宋体" w:eastAsia="宋体" w:cs="宋体"/>
                <w:color w:val="auto"/>
                <w:kern w:val="0"/>
                <w:szCs w:val="21"/>
                <w:highlight w:val="none"/>
              </w:rPr>
              <w:t>小型或微型企业投标的扶持：</w:t>
            </w:r>
            <w:r>
              <w:rPr>
                <w:rFonts w:hint="eastAsia" w:ascii="宋体" w:hAnsi="宋体" w:eastAsia="宋体" w:cs="宋体"/>
                <w:color w:val="auto"/>
                <w:kern w:val="0"/>
                <w:szCs w:val="21"/>
                <w:highlight w:val="none"/>
                <w:lang w:eastAsia="zh-CN"/>
              </w:rPr>
              <w:t>该项目全额面向中小企业采购，供应商需提供中小企业声明函</w:t>
            </w:r>
            <w:r>
              <w:rPr>
                <w:rFonts w:hint="eastAsia" w:ascii="宋体" w:hAnsi="宋体" w:eastAsia="宋体" w:cs="宋体"/>
                <w:color w:val="auto"/>
                <w:kern w:val="0"/>
                <w:szCs w:val="21"/>
                <w:highlight w:val="none"/>
              </w:rPr>
              <w:t>。</w:t>
            </w:r>
          </w:p>
          <w:p>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按照《政府采购促进中小企业发展管理办法》有关规定，中小企业的标准为：</w:t>
            </w:r>
          </w:p>
          <w:p>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2.1提供本企业制造的货物、承担的工程或者服务，或者提供其他中小企业制造的货物，不包括提供或使用大型企业注册商标的货物；</w:t>
            </w:r>
          </w:p>
          <w:p>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2.2本规定所称中小企业划分标准，是指国务院有关部门根据企业从业人员、营业收入、资产总额等指标制定的中小企业划型标准（工信部联企业﹝2011﹞300号）；</w:t>
            </w:r>
          </w:p>
          <w:p>
            <w:pPr>
              <w:spacing w:line="440" w:lineRule="exact"/>
              <w:rPr>
                <w:rFonts w:hint="eastAsia" w:ascii="宋体" w:hAnsi="宋体" w:eastAsia="宋体" w:cs="宋体"/>
                <w:bCs/>
                <w:color w:val="auto"/>
                <w:highlight w:val="none"/>
              </w:rPr>
            </w:pPr>
            <w:r>
              <w:rPr>
                <w:rFonts w:hint="eastAsia" w:ascii="宋体" w:hAnsi="宋体" w:cs="宋体"/>
                <w:color w:val="auto"/>
                <w:kern w:val="0"/>
                <w:szCs w:val="21"/>
                <w:highlight w:val="none"/>
              </w:rPr>
              <w:t>2.3</w:t>
            </w:r>
            <w:r>
              <w:rPr>
                <w:rFonts w:hint="eastAsia" w:ascii="宋体" w:hAnsi="宋体" w:eastAsia="宋体" w:cs="宋体"/>
                <w:bCs/>
                <w:color w:val="auto"/>
                <w:highlight w:val="none"/>
              </w:rPr>
              <w:t>小型、微型企业提供有中型企业制造的货物的，视同为中型企业；小型、微型、中型企业提供有大型企业制造的货物的，视同为大型企业。</w:t>
            </w:r>
          </w:p>
          <w:p>
            <w:pPr>
              <w:spacing w:line="440" w:lineRule="exact"/>
              <w:rPr>
                <w:rFonts w:asciiTheme="minorEastAsia" w:hAnsiTheme="minorEastAsia" w:eastAsiaTheme="minorEastAsia" w:cstheme="minorEastAsia"/>
                <w:color w:val="auto"/>
                <w:szCs w:val="21"/>
                <w:highlight w:val="none"/>
              </w:rPr>
            </w:pPr>
            <w:r>
              <w:rPr>
                <w:rFonts w:hint="eastAsia" w:ascii="宋体" w:hAnsi="宋体" w:eastAsia="宋体" w:cs="宋体"/>
                <w:bCs/>
                <w:color w:val="auto"/>
                <w:highlight w:val="none"/>
              </w:rPr>
              <w:t>3、根据财政部司法部《关于政府采购支持监狱企业发展有关问题的通知》（财库〔2014〕68号）和财政部民政部中国残疾人联合会《关于促进残疾人就业政府采购政策的通知》（财库〔2017〕141号）规定；</w:t>
            </w:r>
            <w:r>
              <w:rPr>
                <w:rFonts w:hint="eastAsia" w:ascii="宋体" w:hAnsi="宋体" w:eastAsia="宋体" w:cs="宋体"/>
                <w:bCs/>
                <w:color w:val="auto"/>
                <w:highlight w:val="none"/>
                <w:lang w:eastAsia="zh-CN"/>
              </w:rPr>
              <w:t>监狱企业和残疾人福利性单位视同小型、微型企业</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440" w:lineRule="exact"/>
              <w:jc w:val="center"/>
              <w:rPr>
                <w:rFonts w:ascii="宋体" w:hAnsi="宋体" w:cs="宋体"/>
                <w:bCs/>
                <w:color w:val="auto"/>
                <w:highlight w:val="none"/>
              </w:rPr>
            </w:pPr>
            <w:r>
              <w:rPr>
                <w:rFonts w:hint="eastAsia" w:ascii="宋体" w:hAnsi="宋体" w:cs="宋体"/>
                <w:bCs/>
                <w:color w:val="auto"/>
                <w:highlight w:val="none"/>
              </w:rPr>
              <w:t>付款方式</w:t>
            </w:r>
          </w:p>
        </w:tc>
        <w:tc>
          <w:tcPr>
            <w:tcW w:w="6112" w:type="dxa"/>
            <w:vAlign w:val="center"/>
          </w:tcPr>
          <w:p>
            <w:pPr>
              <w:spacing w:line="440" w:lineRule="exact"/>
              <w:rPr>
                <w:rFonts w:hint="eastAsia" w:ascii="宋体" w:hAnsi="宋体" w:cs="宋体" w:eastAsiaTheme="minorEastAsia"/>
                <w:bCs/>
                <w:color w:val="auto"/>
                <w:highlight w:val="none"/>
                <w:lang w:val="en-US" w:eastAsia="zh-CN"/>
              </w:rPr>
            </w:pPr>
            <w:r>
              <w:rPr>
                <w:rFonts w:hint="eastAsia" w:asciiTheme="minorEastAsia" w:hAnsiTheme="minorEastAsia" w:eastAsiaTheme="minorEastAsia" w:cstheme="minorEastAsia"/>
                <w:color w:val="auto"/>
                <w:highlight w:val="none"/>
              </w:rPr>
              <w:t>签订合同</w:t>
            </w:r>
            <w:r>
              <w:rPr>
                <w:rFonts w:hint="eastAsia" w:asciiTheme="minorEastAsia" w:hAnsiTheme="minorEastAsia" w:eastAsiaTheme="minorEastAsia" w:cstheme="minorEastAsia"/>
                <w:color w:val="auto"/>
                <w:highlight w:val="none"/>
                <w:lang w:val="en-US" w:eastAsia="zh-CN"/>
              </w:rPr>
              <w:t>完成供货</w:t>
            </w:r>
            <w:r>
              <w:rPr>
                <w:rFonts w:hint="eastAsia" w:asciiTheme="minorEastAsia" w:hAnsiTheme="minorEastAsia" w:eastAsiaTheme="minorEastAsia" w:cstheme="minorEastAsia"/>
                <w:color w:val="auto"/>
                <w:highlight w:val="none"/>
              </w:rPr>
              <w:t>后支付合同价的</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0%，验收合格后支付至合同价的</w:t>
            </w:r>
            <w:r>
              <w:rPr>
                <w:rFonts w:hint="eastAsia" w:asciiTheme="minorEastAsia" w:hAnsiTheme="minorEastAsia" w:eastAsiaTheme="minorEastAsia" w:cstheme="minorEastAsia"/>
                <w:color w:val="auto"/>
                <w:highlight w:val="none"/>
                <w:lang w:val="en-US" w:eastAsia="zh-CN"/>
              </w:rPr>
              <w:t>100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w:t>
            </w:r>
          </w:p>
        </w:tc>
        <w:tc>
          <w:tcPr>
            <w:tcW w:w="2318" w:type="dxa"/>
            <w:vAlign w:val="center"/>
          </w:tcPr>
          <w:p>
            <w:pPr>
              <w:spacing w:line="440" w:lineRule="exact"/>
              <w:jc w:val="center"/>
              <w:rPr>
                <w:rFonts w:ascii="宋体" w:hAnsi="宋体" w:cs="宋体"/>
                <w:bCs/>
                <w:color w:val="auto"/>
                <w:highlight w:val="none"/>
              </w:rPr>
            </w:pPr>
            <w:r>
              <w:rPr>
                <w:rFonts w:hint="eastAsia" w:ascii="宋体" w:hAnsi="宋体" w:cs="宋体"/>
                <w:bCs/>
                <w:color w:val="auto"/>
                <w:highlight w:val="none"/>
              </w:rPr>
              <w:t>供货要求</w:t>
            </w:r>
          </w:p>
        </w:tc>
        <w:tc>
          <w:tcPr>
            <w:tcW w:w="6112" w:type="dxa"/>
            <w:vAlign w:val="center"/>
          </w:tcPr>
          <w:p>
            <w:pPr>
              <w:numPr>
                <w:ilvl w:val="0"/>
                <w:numId w:val="5"/>
              </w:numPr>
              <w:spacing w:line="440" w:lineRule="exact"/>
              <w:rPr>
                <w:rFonts w:hint="default"/>
                <w:color w:val="auto"/>
                <w:highlight w:val="none"/>
                <w:lang w:val="en-US" w:eastAsia="zh-CN"/>
              </w:rPr>
            </w:pPr>
            <w:r>
              <w:rPr>
                <w:rFonts w:hint="eastAsia"/>
                <w:color w:val="auto"/>
                <w:highlight w:val="none"/>
              </w:rPr>
              <w:t>若因中标人原因不能按期按质供货的，将扣除中标人2万元的违约金，同时每超过一天另扣除合同金额的千分之一。</w:t>
            </w:r>
          </w:p>
          <w:p>
            <w:pPr>
              <w:pStyle w:val="2"/>
              <w:ind w:left="0" w:leftChars="0" w:firstLine="0" w:firstLineChars="0"/>
              <w:rPr>
                <w:rFonts w:hint="default" w:eastAsia="宋体"/>
                <w:color w:val="auto"/>
                <w:highlight w:val="none"/>
                <w:lang w:val="en-US" w:eastAsia="zh-CN"/>
              </w:rPr>
            </w:pPr>
            <w:r>
              <w:rPr>
                <w:rFonts w:hint="eastAsia"/>
                <w:color w:val="auto"/>
                <w:highlight w:val="none"/>
                <w:lang w:val="en-US" w:eastAsia="zh-CN"/>
              </w:rPr>
              <w:t>2、中标人在供货时，应按照采购人要求在货物上印制指定LOGO。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spacing w:line="440" w:lineRule="exact"/>
              <w:rPr>
                <w:color w:val="auto"/>
                <w:highlight w:val="none"/>
              </w:rPr>
            </w:pPr>
            <w:r>
              <w:rPr>
                <w:rFonts w:hint="eastAsia" w:ascii="宋体" w:hAnsi="宋体" w:cs="宋体"/>
                <w:bCs/>
                <w:color w:val="auto"/>
                <w:highlight w:val="none"/>
              </w:rPr>
              <w:t>参照豫招协[2023]002号《河南省招标代理服务收费指导意见》中的标准收取，由</w:t>
            </w:r>
            <w:r>
              <w:rPr>
                <w:rFonts w:hint="eastAsia" w:ascii="宋体" w:hAnsi="宋体" w:cs="宋体"/>
                <w:bCs/>
                <w:color w:val="auto"/>
                <w:highlight w:val="none"/>
                <w:lang w:val="en-US" w:eastAsia="zh-CN"/>
              </w:rPr>
              <w:t>中标</w:t>
            </w:r>
            <w:r>
              <w:rPr>
                <w:rFonts w:hint="eastAsia" w:ascii="宋体" w:hAnsi="宋体" w:cs="宋体"/>
                <w:bCs/>
                <w:color w:val="auto"/>
                <w:highlight w:val="none"/>
              </w:rPr>
              <w:t>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ascii="宋体" w:hAnsi="宋体" w:cs="宋体"/>
                <w:bCs/>
                <w:color w:val="auto"/>
                <w:highlight w:val="none"/>
              </w:rPr>
            </w:pPr>
            <w:r>
              <w:rPr>
                <w:rFonts w:hint="eastAsia" w:ascii="宋体" w:hAnsi="宋体" w:cs="宋体"/>
                <w:bCs/>
                <w:color w:val="auto"/>
                <w:highlight w:val="none"/>
              </w:rPr>
              <w:t>认定为不响应招标文件的其它条件</w:t>
            </w:r>
          </w:p>
        </w:tc>
        <w:tc>
          <w:tcPr>
            <w:tcW w:w="6112" w:type="dxa"/>
            <w:vAlign w:val="center"/>
          </w:tcPr>
          <w:p>
            <w:pPr>
              <w:pStyle w:val="2"/>
              <w:ind w:firstLine="0" w:firstLineChars="0"/>
              <w:rPr>
                <w:rFonts w:ascii="宋体" w:hAnsi="宋体" w:cs="宋体"/>
                <w:bCs/>
                <w:color w:val="auto"/>
                <w:highlight w:val="none"/>
              </w:rPr>
            </w:pPr>
            <w:r>
              <w:rPr>
                <w:rFonts w:hint="eastAsia" w:ascii="宋体" w:hAnsi="宋体" w:cs="宋体"/>
                <w:bCs/>
                <w:color w:val="auto"/>
                <w:highlight w:val="none"/>
              </w:rPr>
              <w:t>1、未按招标文件明示的规定签字盖章的；</w:t>
            </w:r>
          </w:p>
          <w:p>
            <w:pPr>
              <w:pStyle w:val="2"/>
              <w:ind w:firstLine="0" w:firstLineChars="0"/>
              <w:rPr>
                <w:rFonts w:ascii="宋体" w:hAnsi="宋体" w:cs="宋体"/>
                <w:bCs/>
                <w:color w:val="auto"/>
                <w:highlight w:val="none"/>
              </w:rPr>
            </w:pPr>
            <w:r>
              <w:rPr>
                <w:rFonts w:hint="eastAsia" w:ascii="宋体" w:hAnsi="宋体" w:cs="宋体"/>
                <w:bCs/>
                <w:color w:val="auto"/>
                <w:highlight w:val="none"/>
              </w:rPr>
              <w:t>2、投标文件的关键内容（供货期、质量标准、品牌、型号等）未填写或填写字迹模糊、达不到采购要求的；</w:t>
            </w:r>
          </w:p>
          <w:p>
            <w:pPr>
              <w:pStyle w:val="2"/>
              <w:ind w:firstLine="0" w:firstLineChars="0"/>
              <w:rPr>
                <w:rFonts w:ascii="宋体" w:hAnsi="宋体" w:cs="宋体"/>
                <w:bCs/>
                <w:color w:val="auto"/>
                <w:highlight w:val="none"/>
              </w:rPr>
            </w:pPr>
            <w:r>
              <w:rPr>
                <w:rFonts w:hint="eastAsia" w:ascii="宋体" w:hAnsi="宋体" w:cs="宋体"/>
                <w:bCs/>
                <w:color w:val="auto"/>
                <w:highlight w:val="none"/>
              </w:rPr>
              <w:t>3、投标报价超出招标控制价的；</w:t>
            </w:r>
          </w:p>
          <w:p>
            <w:pPr>
              <w:pStyle w:val="2"/>
              <w:ind w:firstLine="0" w:firstLineChars="0"/>
              <w:rPr>
                <w:rFonts w:ascii="宋体" w:hAnsi="宋体" w:cs="宋体"/>
                <w:bCs/>
                <w:color w:val="auto"/>
                <w:highlight w:val="none"/>
              </w:rPr>
            </w:pPr>
            <w:r>
              <w:rPr>
                <w:rFonts w:hint="eastAsia" w:ascii="宋体" w:hAnsi="宋体" w:cs="宋体"/>
                <w:bCs/>
                <w:color w:val="auto"/>
                <w:highlight w:val="none"/>
              </w:rPr>
              <w:t>4、供应商递交两份或多份内容不同的投标文件，或在一份投标文件中对同一招标项目有两个或多个报价，且未声明哪一个有效的；</w:t>
            </w:r>
          </w:p>
          <w:p>
            <w:pPr>
              <w:pStyle w:val="2"/>
              <w:ind w:firstLine="0" w:firstLineChars="0"/>
              <w:rPr>
                <w:rFonts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、未按要求在报价明细表中标明品牌、型号及技术参数的。</w:t>
            </w:r>
          </w:p>
          <w:p>
            <w:pPr>
              <w:pStyle w:val="2"/>
              <w:ind w:firstLine="0" w:firstLineChars="0"/>
              <w:rPr>
                <w:rFonts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、附有采购人不能接受的条件的；</w:t>
            </w:r>
          </w:p>
          <w:p>
            <w:pPr>
              <w:pStyle w:val="2"/>
              <w:ind w:firstLine="0" w:firstLineChars="0"/>
              <w:rPr>
                <w:rFonts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、评标过程中，如因两个或两个以上供应商在同一台计算或同一个IP上传响应文件，而被不见面开标系统提示为“投标文件制作机器码一致”的，则视其投标无效。</w:t>
            </w:r>
          </w:p>
          <w:p>
            <w:pPr>
              <w:pStyle w:val="2"/>
              <w:ind w:firstLine="0" w:firstLineChars="0"/>
              <w:rPr>
                <w:rFonts w:ascii="宋体" w:hAnsi="宋体" w:cs="宋体"/>
                <w:bCs/>
                <w:color w:val="auto"/>
                <w:highlight w:val="none"/>
              </w:rPr>
            </w:pPr>
            <w:r>
              <w:rPr>
                <w:rFonts w:hint="eastAsia" w:ascii="宋体" w:hAnsi="宋体" w:cs="宋体"/>
                <w:bCs/>
                <w:color w:val="auto"/>
                <w:highlight w:val="none"/>
                <w:lang w:val="en-US" w:eastAsia="zh-CN"/>
              </w:rPr>
              <w:t>8</w:t>
            </w:r>
            <w:r>
              <w:rPr>
                <w:rFonts w:hint="eastAsia" w:ascii="宋体" w:hAnsi="宋体" w:cs="宋体"/>
                <w:bCs/>
                <w:color w:val="auto"/>
                <w:highlight w:val="none"/>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pStyle w:val="2"/>
              <w:tabs>
                <w:tab w:val="left" w:pos="1268"/>
              </w:tabs>
              <w:ind w:firstLine="0" w:firstLineChars="0"/>
              <w:rPr>
                <w:rFonts w:ascii="宋体" w:hAnsi="宋体" w:cs="宋体"/>
                <w:bCs/>
                <w:color w:val="auto"/>
                <w:highlight w:val="none"/>
              </w:rPr>
            </w:pPr>
            <w:r>
              <w:rPr>
                <w:rFonts w:hint="eastAsia" w:asciiTheme="minorEastAsia" w:hAnsiTheme="minorEastAsia" w:eastAsiaTheme="minorEastAsia" w:cstheme="minorEastAsia"/>
                <w:color w:val="auto"/>
                <w:szCs w:val="21"/>
                <w:highlight w:val="none"/>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2"/>
              <w:rPr>
                <w:rFonts w:ascii="宋体" w:hAnsi="宋体" w:cs="宋体"/>
                <w:bCs/>
                <w:color w:val="auto"/>
                <w:highlight w:val="none"/>
              </w:rPr>
            </w:pPr>
            <w:r>
              <w:rPr>
                <w:rFonts w:hint="eastAsia" w:asciiTheme="minorEastAsia" w:hAnsiTheme="minorEastAsia" w:eastAsiaTheme="minorEastAsia" w:cstheme="minorEastAsia"/>
                <w:color w:val="auto"/>
                <w:szCs w:val="21"/>
                <w:highlight w:val="none"/>
              </w:rPr>
              <w:t>本项目采购货物在质保期内属于货物质量问题的，成交供应商应免费维修，不能维修的应及时更换新货物，供应商须针对质保期内的质量问题提供承诺函。</w:t>
            </w:r>
          </w:p>
        </w:tc>
      </w:tr>
    </w:tbl>
    <w:p>
      <w:pPr>
        <w:pStyle w:val="25"/>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4" w:name="_Toc23082"/>
      <w:bookmarkStart w:id="15" w:name="_Toc9048"/>
      <w:bookmarkStart w:id="16" w:name="_Toc403122491"/>
      <w:bookmarkStart w:id="17" w:name="_Toc7029"/>
      <w:bookmarkStart w:id="18" w:name="_Toc23576"/>
      <w:bookmarkStart w:id="19" w:name="_Toc426369479"/>
      <w:bookmarkStart w:id="20" w:name="_Toc403122503"/>
      <w:bookmarkStart w:id="21" w:name="_Toc26894"/>
      <w:bookmarkStart w:id="22" w:name="_Toc426369491"/>
      <w:r>
        <w:rPr>
          <w:rFonts w:hint="eastAsia" w:asciiTheme="minorEastAsia" w:hAnsiTheme="minorEastAsia" w:eastAsiaTheme="minorEastAsia" w:cstheme="minorEastAsia"/>
          <w:color w:val="auto"/>
          <w:sz w:val="24"/>
          <w:szCs w:val="24"/>
          <w:highlight w:val="none"/>
        </w:rPr>
        <w:t>1. 总则</w:t>
      </w:r>
      <w:bookmarkEnd w:id="14"/>
      <w:bookmarkEnd w:id="15"/>
      <w:bookmarkEnd w:id="16"/>
      <w:bookmarkEnd w:id="17"/>
      <w:bookmarkEnd w:id="18"/>
      <w:bookmarkEnd w:id="1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3" w:name="_Toc279599771"/>
      <w:bookmarkStart w:id="24" w:name="_Toc403122492"/>
      <w:bookmarkStart w:id="25" w:name="_Toc274249575"/>
      <w:bookmarkStart w:id="26" w:name="_Toc426369480"/>
      <w:r>
        <w:rPr>
          <w:rFonts w:hint="eastAsia" w:asciiTheme="minorEastAsia" w:hAnsiTheme="minorEastAsia" w:eastAsiaTheme="minorEastAsia" w:cstheme="minorEastAsia"/>
          <w:b/>
          <w:bCs/>
          <w:color w:val="auto"/>
          <w:sz w:val="24"/>
          <w:highlight w:val="none"/>
        </w:rPr>
        <w:t>1.1 项目概况</w:t>
      </w:r>
      <w:bookmarkEnd w:id="23"/>
      <w:bookmarkEnd w:id="24"/>
      <w:bookmarkEnd w:id="25"/>
      <w:bookmarkEnd w:id="2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7" w:name="_Toc279599772"/>
      <w:bookmarkStart w:id="28" w:name="_Toc426369481"/>
      <w:bookmarkStart w:id="29" w:name="_Toc274249576"/>
      <w:bookmarkStart w:id="30" w:name="_Toc403122493"/>
      <w:r>
        <w:rPr>
          <w:rFonts w:hint="eastAsia" w:asciiTheme="minorEastAsia" w:hAnsiTheme="minorEastAsia" w:eastAsiaTheme="minorEastAsia" w:cstheme="minorEastAsia"/>
          <w:b/>
          <w:bCs/>
          <w:color w:val="auto"/>
          <w:sz w:val="24"/>
          <w:highlight w:val="none"/>
        </w:rPr>
        <w:t>1.2 资金来源和落实情况</w:t>
      </w:r>
      <w:bookmarkEnd w:id="27"/>
      <w:bookmarkEnd w:id="28"/>
      <w:bookmarkEnd w:id="29"/>
      <w:bookmarkEnd w:id="3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1" w:name="_Toc426369482"/>
      <w:bookmarkStart w:id="32" w:name="_Toc403122494"/>
      <w:bookmarkStart w:id="33" w:name="_Toc279599773"/>
      <w:bookmarkStart w:id="34" w:name="_Toc274249577"/>
      <w:r>
        <w:rPr>
          <w:rFonts w:hint="eastAsia" w:asciiTheme="minorEastAsia" w:hAnsiTheme="minorEastAsia" w:eastAsiaTheme="minorEastAsia" w:cstheme="minorEastAsia"/>
          <w:b/>
          <w:bCs/>
          <w:color w:val="auto"/>
          <w:sz w:val="24"/>
          <w:highlight w:val="none"/>
        </w:rPr>
        <w:t>1.3 采购内容、供货期和质量</w:t>
      </w:r>
      <w:bookmarkEnd w:id="31"/>
      <w:bookmarkEnd w:id="32"/>
      <w:bookmarkEnd w:id="33"/>
      <w:bookmarkEnd w:id="34"/>
      <w:r>
        <w:rPr>
          <w:rFonts w:hint="eastAsia" w:asciiTheme="minorEastAsia" w:hAnsiTheme="minorEastAsia" w:eastAsiaTheme="minorEastAsia" w:cstheme="minorEastAsia"/>
          <w:b/>
          <w:bCs/>
          <w:color w:val="auto"/>
          <w:sz w:val="24"/>
          <w:highlight w:val="none"/>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5" w:name="_Toc426369483"/>
      <w:bookmarkStart w:id="36" w:name="_Toc403122495"/>
      <w:bookmarkStart w:id="37" w:name="_Toc279599774"/>
      <w:bookmarkStart w:id="38" w:name="_Toc274249578"/>
      <w:r>
        <w:rPr>
          <w:rFonts w:hint="eastAsia" w:asciiTheme="minorEastAsia" w:hAnsiTheme="minorEastAsia" w:eastAsiaTheme="minorEastAsia" w:cstheme="minorEastAsia"/>
          <w:b/>
          <w:bCs/>
          <w:color w:val="auto"/>
          <w:sz w:val="24"/>
          <w:highlight w:val="none"/>
        </w:rPr>
        <w:t>1.4 供应商资格要求</w:t>
      </w:r>
      <w:bookmarkEnd w:id="35"/>
      <w:bookmarkEnd w:id="36"/>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9" w:name="_Toc279599775"/>
      <w:bookmarkStart w:id="40" w:name="_Toc274249579"/>
      <w:bookmarkStart w:id="41" w:name="_Toc403122496"/>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2" w:name="_Toc426369484"/>
      <w:r>
        <w:rPr>
          <w:rFonts w:hint="eastAsia" w:asciiTheme="minorEastAsia" w:hAnsiTheme="minorEastAsia" w:eastAsiaTheme="minorEastAsia" w:cstheme="minorEastAsia"/>
          <w:b/>
          <w:bCs/>
          <w:color w:val="auto"/>
          <w:sz w:val="24"/>
          <w:highlight w:val="none"/>
        </w:rPr>
        <w:t>1.5 费用承担</w:t>
      </w:r>
      <w:bookmarkEnd w:id="39"/>
      <w:bookmarkEnd w:id="40"/>
      <w:bookmarkEnd w:id="41"/>
      <w:bookmarkEnd w:id="4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3" w:name="_Toc426369485"/>
      <w:bookmarkStart w:id="44" w:name="_Toc403122497"/>
      <w:r>
        <w:rPr>
          <w:rFonts w:hint="eastAsia" w:asciiTheme="minorEastAsia" w:hAnsiTheme="minorEastAsia" w:eastAsiaTheme="minorEastAsia" w:cstheme="minorEastAsia"/>
          <w:b/>
          <w:bCs/>
          <w:color w:val="auto"/>
          <w:sz w:val="24"/>
          <w:highlight w:val="none"/>
        </w:rPr>
        <w:t>1.6 保密</w:t>
      </w:r>
      <w:bookmarkEnd w:id="43"/>
      <w:bookmarkEnd w:id="4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274249581"/>
      <w:bookmarkStart w:id="46" w:name="_Toc279599777"/>
      <w:bookmarkStart w:id="47" w:name="_Toc403122498"/>
      <w:bookmarkStart w:id="48" w:name="_Toc426369486"/>
      <w:r>
        <w:rPr>
          <w:rFonts w:hint="eastAsia" w:asciiTheme="minorEastAsia" w:hAnsiTheme="minorEastAsia" w:eastAsiaTheme="minorEastAsia" w:cstheme="minorEastAsia"/>
          <w:b/>
          <w:bCs/>
          <w:color w:val="auto"/>
          <w:sz w:val="24"/>
          <w:highlight w:val="none"/>
        </w:rPr>
        <w:t>1.7 语言文字</w:t>
      </w:r>
      <w:bookmarkEnd w:id="45"/>
      <w:bookmarkEnd w:id="46"/>
      <w:bookmarkEnd w:id="47"/>
      <w:bookmarkEnd w:id="48"/>
      <w:r>
        <w:rPr>
          <w:rFonts w:hint="eastAsia" w:asciiTheme="minorEastAsia" w:hAnsiTheme="minorEastAsia" w:eastAsiaTheme="minorEastAsia" w:cstheme="minorEastAsia"/>
          <w:b/>
          <w:bCs/>
          <w:color w:val="auto"/>
          <w:sz w:val="24"/>
          <w:highlight w:val="none"/>
        </w:rPr>
        <w:t xml:space="preserve">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采购文件以及供应商与采购人、采购代理机构就有关投标事宜的所有来往函电均应使用简体中文书写。</w:t>
      </w:r>
    </w:p>
    <w:p>
      <w:pPr>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1.7.2原版为外文的证书类文件，以及由外国人做出的本人签名、外国公司的名称或外国印章等可以是外文，但应当提供中文翻译文件并加盖供应商公章。必要时评标委员会可以要求供应商提供附有公证书的中文翻译文件或者与原版文件签章相一致的中文翻译文件</w:t>
      </w:r>
      <w:bookmarkStart w:id="49" w:name="_Toc426369487"/>
      <w:bookmarkStart w:id="50" w:name="_Toc403122499"/>
    </w:p>
    <w:p>
      <w:pPr>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9"/>
      <w:bookmarkEnd w:id="5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1" w:name="_Toc403122500"/>
      <w:bookmarkStart w:id="52" w:name="_Toc426369488"/>
      <w:bookmarkStart w:id="53" w:name="_Toc279599779"/>
      <w:bookmarkStart w:id="54" w:name="_Toc274249583"/>
      <w:r>
        <w:rPr>
          <w:rFonts w:hint="eastAsia" w:asciiTheme="minorEastAsia" w:hAnsiTheme="minorEastAsia" w:eastAsiaTheme="minorEastAsia" w:cstheme="minorEastAsia"/>
          <w:b/>
          <w:bCs/>
          <w:color w:val="auto"/>
          <w:sz w:val="24"/>
          <w:highlight w:val="none"/>
        </w:rPr>
        <w:t>1.9 踏勘现场</w:t>
      </w:r>
      <w:bookmarkEnd w:id="51"/>
      <w:bookmarkEnd w:id="52"/>
      <w:bookmarkEnd w:id="53"/>
      <w:bookmarkEnd w:id="5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5" w:name="_Toc279599780"/>
      <w:bookmarkStart w:id="56" w:name="_Toc274249584"/>
      <w:bookmarkStart w:id="57" w:name="_Toc403122501"/>
      <w:bookmarkStart w:id="58" w:name="_Toc426369489"/>
      <w:r>
        <w:rPr>
          <w:rFonts w:hint="eastAsia" w:asciiTheme="minorEastAsia" w:hAnsiTheme="minorEastAsia" w:eastAsiaTheme="minorEastAsia" w:cstheme="minorEastAsia"/>
          <w:b/>
          <w:bCs/>
          <w:color w:val="auto"/>
          <w:sz w:val="24"/>
          <w:highlight w:val="none"/>
        </w:rPr>
        <w:t>1.10 投标预备会</w:t>
      </w:r>
      <w:bookmarkEnd w:id="55"/>
      <w:bookmarkEnd w:id="56"/>
      <w:bookmarkEnd w:id="57"/>
      <w:bookmarkEnd w:id="5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403122502"/>
      <w:bookmarkStart w:id="60" w:name="_Toc279599781"/>
      <w:bookmarkStart w:id="61" w:name="_Toc426369490"/>
      <w:bookmarkStart w:id="62" w:name="_Toc274249585"/>
      <w:r>
        <w:rPr>
          <w:rFonts w:hint="eastAsia" w:asciiTheme="minorEastAsia" w:hAnsiTheme="minorEastAsia" w:eastAsiaTheme="minorEastAsia" w:cstheme="minorEastAsia"/>
          <w:b/>
          <w:bCs/>
          <w:color w:val="auto"/>
          <w:sz w:val="24"/>
          <w:highlight w:val="none"/>
        </w:rPr>
        <w:t>1.11 分包</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25"/>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63" w:name="_Toc28663"/>
      <w:bookmarkStart w:id="64" w:name="_Toc9121"/>
      <w:bookmarkStart w:id="65" w:name="_Toc20888"/>
      <w:r>
        <w:rPr>
          <w:rFonts w:hint="eastAsia" w:asciiTheme="minorEastAsia" w:hAnsiTheme="minorEastAsia" w:eastAsiaTheme="minorEastAsia" w:cstheme="minorEastAsia"/>
          <w:color w:val="auto"/>
          <w:sz w:val="24"/>
          <w:szCs w:val="24"/>
          <w:highlight w:val="none"/>
        </w:rPr>
        <w:t>2. 招标文件</w:t>
      </w:r>
      <w:bookmarkEnd w:id="20"/>
      <w:bookmarkEnd w:id="21"/>
      <w:bookmarkEnd w:id="22"/>
      <w:bookmarkEnd w:id="63"/>
      <w:bookmarkEnd w:id="64"/>
      <w:bookmarkEnd w:id="6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6" w:name="_Toc274249587"/>
      <w:bookmarkStart w:id="67" w:name="_Toc279599783"/>
      <w:bookmarkStart w:id="68" w:name="_Toc403122504"/>
      <w:bookmarkStart w:id="69" w:name="_Toc426369492"/>
      <w:r>
        <w:rPr>
          <w:rFonts w:hint="eastAsia" w:asciiTheme="minorEastAsia" w:hAnsiTheme="minorEastAsia" w:eastAsiaTheme="minorEastAsia" w:cstheme="minorEastAsia"/>
          <w:b/>
          <w:bCs/>
          <w:color w:val="auto"/>
          <w:sz w:val="24"/>
          <w:highlight w:val="none"/>
        </w:rPr>
        <w:t>2.1 招标文件的组成</w:t>
      </w:r>
      <w:bookmarkEnd w:id="66"/>
      <w:bookmarkEnd w:id="67"/>
      <w:bookmarkEnd w:id="68"/>
      <w:bookmarkEnd w:id="6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0" w:name="_Toc274249588"/>
      <w:bookmarkStart w:id="71" w:name="_Toc426369493"/>
      <w:bookmarkStart w:id="72" w:name="_Toc279599784"/>
      <w:bookmarkStart w:id="73" w:name="_Toc403122505"/>
      <w:r>
        <w:rPr>
          <w:rFonts w:hint="eastAsia" w:asciiTheme="minorEastAsia" w:hAnsiTheme="minorEastAsia" w:eastAsiaTheme="minorEastAsia" w:cstheme="minorEastAsia"/>
          <w:b/>
          <w:bCs/>
          <w:color w:val="auto"/>
          <w:sz w:val="24"/>
          <w:highlight w:val="none"/>
        </w:rPr>
        <w:t>2.2 招标文件的澄清</w:t>
      </w:r>
      <w:bookmarkEnd w:id="70"/>
      <w:bookmarkEnd w:id="71"/>
      <w:bookmarkEnd w:id="72"/>
      <w:bookmarkEnd w:id="73"/>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4" w:name="_Toc426369494"/>
      <w:bookmarkStart w:id="75" w:name="_Toc274249589"/>
      <w:bookmarkStart w:id="76" w:name="_Toc403122506"/>
      <w:bookmarkStart w:id="77" w:name="_Toc279599785"/>
      <w:r>
        <w:rPr>
          <w:rFonts w:hint="eastAsia" w:asciiTheme="minorEastAsia" w:hAnsiTheme="minorEastAsia" w:eastAsiaTheme="minorEastAsia" w:cstheme="minorEastAsia"/>
          <w:b/>
          <w:bCs/>
          <w:color w:val="auto"/>
          <w:sz w:val="24"/>
          <w:highlight w:val="none"/>
        </w:rPr>
        <w:t>2.3 招标文件的修改</w:t>
      </w:r>
      <w:bookmarkEnd w:id="74"/>
      <w:bookmarkEnd w:id="75"/>
      <w:bookmarkEnd w:id="76"/>
      <w:bookmarkEnd w:id="7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8" w:name="_Toc403122507"/>
      <w:bookmarkStart w:id="79" w:name="_Toc23265"/>
      <w:bookmarkStart w:id="80" w:name="_Toc426369495"/>
    </w:p>
    <w:p>
      <w:pPr>
        <w:pStyle w:val="25"/>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81" w:name="_Toc15031"/>
      <w:bookmarkStart w:id="82" w:name="_Toc13865"/>
      <w:bookmarkStart w:id="83" w:name="_Toc22914"/>
      <w:r>
        <w:rPr>
          <w:rFonts w:hint="eastAsia" w:asciiTheme="minorEastAsia" w:hAnsiTheme="minorEastAsia" w:eastAsiaTheme="minorEastAsia" w:cstheme="minorEastAsia"/>
          <w:color w:val="auto"/>
          <w:sz w:val="24"/>
          <w:szCs w:val="24"/>
          <w:highlight w:val="none"/>
        </w:rPr>
        <w:t>3. 投标文件</w:t>
      </w:r>
      <w:bookmarkEnd w:id="78"/>
      <w:bookmarkEnd w:id="79"/>
      <w:bookmarkEnd w:id="80"/>
      <w:bookmarkEnd w:id="81"/>
      <w:bookmarkEnd w:id="82"/>
      <w:bookmarkEnd w:id="8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403122508"/>
      <w:bookmarkStart w:id="85" w:name="_Toc426369496"/>
      <w:bookmarkStart w:id="86" w:name="_Toc274249591"/>
      <w:bookmarkStart w:id="87" w:name="_Toc279599787"/>
      <w:r>
        <w:rPr>
          <w:rFonts w:hint="eastAsia" w:asciiTheme="minorEastAsia" w:hAnsiTheme="minorEastAsia" w:eastAsiaTheme="minorEastAsia" w:cstheme="minorEastAsia"/>
          <w:b/>
          <w:bCs/>
          <w:color w:val="auto"/>
          <w:sz w:val="24"/>
          <w:highlight w:val="none"/>
        </w:rPr>
        <w:t>3.1 投标文件的组成</w:t>
      </w:r>
      <w:bookmarkEnd w:id="84"/>
      <w:bookmarkEnd w:id="85"/>
      <w:bookmarkEnd w:id="86"/>
      <w:bookmarkEnd w:id="8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8" w:name="_Toc279599788"/>
      <w:bookmarkStart w:id="89" w:name="_Toc403122509"/>
      <w:bookmarkStart w:id="90" w:name="_Toc426369497"/>
      <w:bookmarkStart w:id="91" w:name="_Toc274249592"/>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四、项目实施方案等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五、供应商的资格证明</w:t>
      </w:r>
      <w:r>
        <w:rPr>
          <w:rFonts w:hint="eastAsia" w:ascii="宋体" w:hAnsi="宋体" w:cs="宋体"/>
          <w:color w:val="auto"/>
          <w:szCs w:val="21"/>
          <w:highlight w:val="none"/>
          <w:lang w:eastAsia="zh-CN"/>
        </w:rPr>
        <w:t>承诺函</w:t>
      </w:r>
      <w:r>
        <w:rPr>
          <w:rFonts w:hint="eastAsia" w:ascii="宋体" w:hAnsi="宋体" w:cs="宋体"/>
          <w:color w:val="auto"/>
          <w:szCs w:val="21"/>
          <w:highlight w:val="none"/>
        </w:rPr>
        <w:t>；</w:t>
      </w:r>
    </w:p>
    <w:p>
      <w:pPr>
        <w:pStyle w:val="27"/>
        <w:spacing w:line="440" w:lineRule="exact"/>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六、供应商服务承诺和优惠承诺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九、残疾人福利性单位声明函（如有）；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十、招标文件要求的或供应商认为需要加以说明的其他内容。</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注：1、符合《政府采购法》第二十二条规定的资格条件，按照采购文件约定提供资格承诺，不再提供资质资料，主要包括供应商</w:t>
      </w:r>
      <w:r>
        <w:rPr>
          <w:rFonts w:hint="eastAsia" w:ascii="宋体" w:hAnsi="宋体" w:eastAsia="宋体" w:cs="宋体"/>
          <w:b/>
          <w:bCs/>
          <w:color w:val="auto"/>
          <w:sz w:val="24"/>
          <w:highlight w:val="none"/>
          <w:lang w:eastAsia="zh-CN"/>
        </w:rPr>
        <w:t>在</w:t>
      </w:r>
      <w:r>
        <w:rPr>
          <w:rFonts w:hint="eastAsia" w:ascii="宋体" w:hAnsi="宋体" w:eastAsia="宋体" w:cs="宋体"/>
          <w:b/>
          <w:bCs/>
          <w:color w:val="auto"/>
          <w:sz w:val="24"/>
          <w:highlight w:val="none"/>
        </w:rPr>
        <w:t>响应文件中无需再提供营业执照、财务状况报告、依法缴纳税收和社会保障资金、具有履行合同所必须的设备和专业技术能力、参加政府采购活动前三年内</w:t>
      </w:r>
      <w:r>
        <w:rPr>
          <w:rFonts w:hint="eastAsia" w:ascii="宋体" w:hAnsi="宋体" w:cs="宋体"/>
          <w:b/>
          <w:bCs/>
          <w:color w:val="auto"/>
          <w:sz w:val="24"/>
          <w:highlight w:val="none"/>
          <w:lang w:val="en-US" w:eastAsia="zh-CN"/>
        </w:rPr>
        <w:t>在</w:t>
      </w:r>
      <w:r>
        <w:rPr>
          <w:rFonts w:hint="eastAsia" w:ascii="宋体" w:hAnsi="宋体" w:eastAsia="宋体" w:cs="宋体"/>
          <w:b/>
          <w:bCs/>
          <w:color w:val="auto"/>
          <w:sz w:val="24"/>
          <w:highlight w:val="none"/>
        </w:rPr>
        <w:t>经营活动中没有重大违法纪律相关证明材料。</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eastAsia="zh-CN"/>
        </w:rPr>
        <w:t>中标</w:t>
      </w:r>
      <w:r>
        <w:rPr>
          <w:rFonts w:hint="eastAsia" w:ascii="宋体" w:hAnsi="宋体" w:eastAsia="宋体" w:cs="宋体"/>
          <w:b/>
          <w:bCs/>
          <w:color w:val="auto"/>
          <w:sz w:val="24"/>
          <w:highlight w:val="none"/>
        </w:rPr>
        <w:t>人在签订合同前需向采购人提供资格证明材料，资格证明材料包括： 营业执照、财务状况报告、依法缴纳税收和社会保障资金、具有履行合同所必须的设备和专业技术能力、参加政府采购活动前三年内在经营活动中没有重大违法纪律相关证明材料；</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8"/>
      <w:bookmarkEnd w:id="89"/>
      <w:bookmarkEnd w:id="90"/>
      <w:bookmarkEnd w:id="91"/>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2" w:name="_Toc274249593"/>
      <w:bookmarkStart w:id="93" w:name="_Toc426369498"/>
      <w:bookmarkStart w:id="94" w:name="_Toc403122510"/>
      <w:bookmarkStart w:id="95" w:name="_Toc279599789"/>
      <w:r>
        <w:rPr>
          <w:rFonts w:hint="eastAsia" w:asciiTheme="minorEastAsia" w:hAnsiTheme="minorEastAsia" w:eastAsiaTheme="minorEastAsia" w:cstheme="minorEastAsia"/>
          <w:b/>
          <w:bCs/>
          <w:color w:val="auto"/>
          <w:sz w:val="24"/>
          <w:highlight w:val="none"/>
        </w:rPr>
        <w:t>3.3 投标有效期</w:t>
      </w:r>
      <w:bookmarkEnd w:id="92"/>
      <w:bookmarkEnd w:id="93"/>
      <w:bookmarkEnd w:id="94"/>
      <w:bookmarkEnd w:id="95"/>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426369501"/>
      <w:bookmarkStart w:id="97" w:name="_Toc274249595"/>
      <w:bookmarkStart w:id="98" w:name="_Toc279599791"/>
      <w:bookmarkStart w:id="99" w:name="_Toc403122512"/>
      <w:r>
        <w:rPr>
          <w:rFonts w:hint="eastAsia" w:asciiTheme="minorEastAsia" w:hAnsiTheme="minorEastAsia" w:eastAsiaTheme="minorEastAsia" w:cstheme="minorEastAsia"/>
          <w:b/>
          <w:bCs/>
          <w:color w:val="auto"/>
          <w:sz w:val="24"/>
          <w:highlight w:val="none"/>
        </w:rPr>
        <w:t>3.5 资格审查资料</w:t>
      </w:r>
      <w:bookmarkEnd w:id="96"/>
      <w:bookmarkEnd w:id="97"/>
      <w:bookmarkEnd w:id="98"/>
      <w:bookmarkEnd w:id="99"/>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依据“供应商须知前附表”中的要求提交相应的资格证明文件，作为投标文件的一部分，以证明其有资格进行投标和有能力履行合同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0" w:name="_Toc274249596"/>
      <w:bookmarkStart w:id="101" w:name="_Toc403122513"/>
      <w:bookmarkStart w:id="102" w:name="_Toc426369502"/>
      <w:bookmarkStart w:id="103" w:name="_Toc279599792"/>
      <w:r>
        <w:rPr>
          <w:rFonts w:hint="eastAsia" w:asciiTheme="minorEastAsia" w:hAnsiTheme="minorEastAsia" w:eastAsiaTheme="minorEastAsia" w:cstheme="minorEastAsia"/>
          <w:b/>
          <w:bCs/>
          <w:color w:val="auto"/>
          <w:sz w:val="24"/>
          <w:highlight w:val="none"/>
        </w:rPr>
        <w:t>3.6 备选投标方案</w:t>
      </w:r>
      <w:bookmarkEnd w:id="100"/>
      <w:bookmarkEnd w:id="101"/>
      <w:bookmarkEnd w:id="102"/>
      <w:bookmarkEnd w:id="103"/>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4" w:name="_Toc279599793"/>
      <w:bookmarkStart w:id="105" w:name="_Toc403122514"/>
      <w:bookmarkStart w:id="106" w:name="_Toc274249597"/>
      <w:bookmarkStart w:id="107" w:name="_Toc426369503"/>
      <w:r>
        <w:rPr>
          <w:rFonts w:hint="eastAsia" w:asciiTheme="minorEastAsia" w:hAnsiTheme="minorEastAsia" w:eastAsiaTheme="minorEastAsia" w:cstheme="minorEastAsia"/>
          <w:b/>
          <w:bCs/>
          <w:color w:val="auto"/>
          <w:sz w:val="24"/>
          <w:highlight w:val="none"/>
        </w:rPr>
        <w:t>3.7 投标文件的编制</w:t>
      </w:r>
      <w:bookmarkEnd w:id="104"/>
      <w:bookmarkEnd w:id="105"/>
      <w:bookmarkEnd w:id="106"/>
      <w:bookmarkEnd w:id="10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投标文件应当对招标文件有关供货期、投标有效期、质量标准、采购要求及服务内容、等实质性内容作出响应。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w:t>
      </w:r>
    </w:p>
    <w:p>
      <w:pPr>
        <w:pStyle w:val="25"/>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08" w:name="_Toc31809"/>
      <w:bookmarkStart w:id="109" w:name="_Toc30100"/>
      <w:bookmarkStart w:id="110" w:name="_Toc21879"/>
      <w:bookmarkStart w:id="111" w:name="_Toc26998"/>
      <w:bookmarkStart w:id="112" w:name="_Toc426369504"/>
      <w:bookmarkStart w:id="113" w:name="_Toc403122515"/>
      <w:r>
        <w:rPr>
          <w:rFonts w:hint="eastAsia" w:asciiTheme="minorEastAsia" w:hAnsiTheme="minorEastAsia" w:eastAsiaTheme="minorEastAsia" w:cstheme="minorEastAsia"/>
          <w:color w:val="auto"/>
          <w:sz w:val="24"/>
          <w:szCs w:val="24"/>
          <w:highlight w:val="none"/>
        </w:rPr>
        <w:t>4. 投标</w:t>
      </w:r>
      <w:bookmarkEnd w:id="108"/>
      <w:bookmarkEnd w:id="109"/>
      <w:bookmarkEnd w:id="110"/>
      <w:bookmarkEnd w:id="111"/>
      <w:bookmarkEnd w:id="112"/>
      <w:bookmarkEnd w:id="11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4" w:name="_Toc403122516"/>
      <w:bookmarkStart w:id="115" w:name="_Toc426369505"/>
      <w:bookmarkStart w:id="116" w:name="_Toc274249599"/>
      <w:bookmarkStart w:id="117" w:name="_Toc279599795"/>
      <w:r>
        <w:rPr>
          <w:rFonts w:hint="eastAsia" w:asciiTheme="minorEastAsia" w:hAnsiTheme="minorEastAsia" w:eastAsiaTheme="minorEastAsia" w:cstheme="minorEastAsia"/>
          <w:b/>
          <w:bCs/>
          <w:color w:val="auto"/>
          <w:sz w:val="24"/>
          <w:highlight w:val="none"/>
        </w:rPr>
        <w:t>4.1 投标文件的密封和标记</w:t>
      </w:r>
      <w:bookmarkEnd w:id="114"/>
      <w:bookmarkEnd w:id="115"/>
      <w:bookmarkEnd w:id="116"/>
      <w:bookmarkEnd w:id="117"/>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8" w:name="_Toc274249600"/>
      <w:bookmarkStart w:id="119" w:name="_Toc426369506"/>
      <w:bookmarkStart w:id="120" w:name="_Toc279599796"/>
      <w:bookmarkStart w:id="121" w:name="_Toc403122517"/>
      <w:r>
        <w:rPr>
          <w:rFonts w:hint="eastAsia" w:asciiTheme="minorEastAsia" w:hAnsiTheme="minorEastAsia" w:eastAsiaTheme="minorEastAsia" w:cstheme="minorEastAsia"/>
          <w:b/>
          <w:bCs/>
          <w:color w:val="auto"/>
          <w:sz w:val="24"/>
          <w:highlight w:val="none"/>
        </w:rPr>
        <w:t>4.2 投标文件的递交</w:t>
      </w:r>
      <w:bookmarkEnd w:id="118"/>
      <w:bookmarkEnd w:id="119"/>
      <w:bookmarkEnd w:id="120"/>
      <w:bookmarkEnd w:id="121"/>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22" w:name="_Hlt26954754"/>
      <w:bookmarkEnd w:id="122"/>
      <w:bookmarkStart w:id="123" w:name="_Hlt26954862"/>
      <w:bookmarkEnd w:id="12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279599797"/>
      <w:bookmarkStart w:id="125" w:name="_Toc403122518"/>
      <w:bookmarkStart w:id="126" w:name="_Toc426369507"/>
      <w:bookmarkStart w:id="127" w:name="_Toc274249601"/>
      <w:r>
        <w:rPr>
          <w:rFonts w:hint="eastAsia" w:asciiTheme="minorEastAsia" w:hAnsiTheme="minorEastAsia" w:eastAsiaTheme="minorEastAsia" w:cstheme="minorEastAsia"/>
          <w:b/>
          <w:bCs/>
          <w:color w:val="auto"/>
          <w:sz w:val="24"/>
          <w:highlight w:val="none"/>
        </w:rPr>
        <w:t>4.3 投标文件的修改与撤回</w:t>
      </w:r>
      <w:bookmarkEnd w:id="124"/>
      <w:bookmarkEnd w:id="125"/>
      <w:bookmarkEnd w:id="126"/>
      <w:bookmarkEnd w:id="12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25"/>
        <w:spacing w:before="120" w:after="120" w:line="500" w:lineRule="exact"/>
        <w:ind w:right="-1029" w:rightChars="-490" w:firstLine="482" w:firstLineChars="200"/>
        <w:jc w:val="left"/>
        <w:outlineLvl w:val="1"/>
        <w:rPr>
          <w:rFonts w:asciiTheme="minorEastAsia" w:hAnsiTheme="minorEastAsia" w:eastAsiaTheme="minorEastAsia" w:cstheme="minorEastAsia"/>
          <w:color w:val="auto"/>
          <w:sz w:val="24"/>
          <w:szCs w:val="24"/>
          <w:highlight w:val="none"/>
        </w:rPr>
      </w:pPr>
      <w:bookmarkStart w:id="128" w:name="_Toc22737"/>
      <w:bookmarkStart w:id="129" w:name="_Toc426369508"/>
      <w:bookmarkStart w:id="130" w:name="_Toc5457"/>
      <w:bookmarkStart w:id="131" w:name="_Toc18170"/>
      <w:bookmarkStart w:id="132" w:name="_Toc32449"/>
      <w:bookmarkStart w:id="133" w:name="_Toc403122519"/>
      <w:r>
        <w:rPr>
          <w:rFonts w:hint="eastAsia" w:asciiTheme="minorEastAsia" w:hAnsiTheme="minorEastAsia" w:eastAsiaTheme="minorEastAsia" w:cstheme="minorEastAsia"/>
          <w:color w:val="auto"/>
          <w:sz w:val="24"/>
          <w:szCs w:val="24"/>
          <w:highlight w:val="none"/>
        </w:rPr>
        <w:t>5. 开标</w:t>
      </w:r>
      <w:bookmarkEnd w:id="128"/>
      <w:bookmarkEnd w:id="129"/>
      <w:bookmarkEnd w:id="130"/>
      <w:bookmarkEnd w:id="131"/>
      <w:bookmarkEnd w:id="132"/>
      <w:bookmarkEnd w:id="13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.1采购人在规定的投标截止时间（开标时间）和供应商须知前附表规定的地点公开开标。本项目采用“远程不见面”的开标方式,载明远程开标大厅网址（http://122.112.246.33/BidOpening/bidopeninghallaction/hall/login ）。供应商无需到现场参加开标会议，无需到达现场提交原件资料。供应商应当在线准时参加开标活动并进行文件解密、答疑澄清等。在规定时间内投标文件未解密的供应商，视为放弃投标。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5.1.2供应商不足3家的，不得开标。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4" w:name="_Toc279599799"/>
      <w:bookmarkStart w:id="135" w:name="_Toc403122520"/>
      <w:bookmarkStart w:id="136" w:name="_Toc426369509"/>
      <w:bookmarkStart w:id="137" w:name="_Toc274249603"/>
      <w:r>
        <w:rPr>
          <w:rFonts w:hint="eastAsia" w:asciiTheme="minorEastAsia" w:hAnsiTheme="minorEastAsia" w:eastAsiaTheme="minorEastAsia" w:cstheme="minorEastAsia"/>
          <w:b/>
          <w:bCs/>
          <w:color w:val="auto"/>
          <w:sz w:val="24"/>
          <w:highlight w:val="none"/>
        </w:rPr>
        <w:t>5.2 开标时间和地点</w:t>
      </w:r>
      <w:bookmarkEnd w:id="134"/>
      <w:bookmarkEnd w:id="135"/>
      <w:bookmarkEnd w:id="136"/>
      <w:bookmarkEnd w:id="13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38" w:name="_Toc403122521"/>
      <w:bookmarkStart w:id="139" w:name="_Toc274249604"/>
      <w:bookmarkStart w:id="140" w:name="_Toc279599800"/>
      <w:bookmarkStart w:id="141" w:name="_Toc426369510"/>
      <w:r>
        <w:rPr>
          <w:rFonts w:hint="eastAsia" w:asciiTheme="minorEastAsia" w:hAnsiTheme="minorEastAsia" w:eastAsiaTheme="minorEastAsia" w:cstheme="minorEastAsia"/>
          <w:b/>
          <w:bCs/>
          <w:color w:val="auto"/>
          <w:sz w:val="24"/>
          <w:highlight w:val="none"/>
        </w:rPr>
        <w:t>5.3开标程序</w:t>
      </w:r>
      <w:bookmarkEnd w:id="138"/>
      <w:bookmarkEnd w:id="139"/>
      <w:bookmarkEnd w:id="140"/>
      <w:bookmarkEnd w:id="141"/>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）供应商代表、采购人、监标人等有关人员在开标记录上签字确认；</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630" w:firstLineChars="3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（2）供应商未按供应商须知前附表规定的时间内解密投标文件的；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42"/>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43" w:name="_Toc12881"/>
      <w:bookmarkStart w:id="144" w:name="_Toc21662"/>
      <w:bookmarkStart w:id="145" w:name="_Toc426369512"/>
      <w:bookmarkStart w:id="146" w:name="_Toc403122522"/>
      <w:r>
        <w:rPr>
          <w:rFonts w:hint="eastAsia" w:asciiTheme="minorEastAsia" w:hAnsiTheme="minorEastAsia" w:eastAsiaTheme="minorEastAsia" w:cstheme="minorEastAsia"/>
          <w:color w:val="auto"/>
          <w:szCs w:val="21"/>
          <w:highlight w:val="none"/>
        </w:rPr>
        <w:t>5.4.1</w:t>
      </w:r>
      <w:r>
        <w:rPr>
          <w:rFonts w:hint="eastAsia" w:asciiTheme="minorEastAsia" w:hAnsiTheme="minorEastAsia" w:eastAsiaTheme="minorEastAsia" w:cstheme="minorEastAsia"/>
          <w:color w:val="auto"/>
          <w:szCs w:val="21"/>
          <w:highlight w:val="none"/>
          <w:lang w:val="zh-CN"/>
        </w:rPr>
        <w:t>供应商对开标有异议的，应当在开标现场提出（</w:t>
      </w:r>
      <w:bookmarkStart w:id="147" w:name="_Toc12998"/>
      <w:r>
        <w:rPr>
          <w:rFonts w:hint="eastAsia" w:asciiTheme="minorEastAsia" w:hAnsiTheme="minorEastAsia" w:eastAsiaTheme="minorEastAsia" w:cstheme="minorEastAsia"/>
          <w:color w:val="auto"/>
          <w:szCs w:val="21"/>
          <w:highlight w:val="none"/>
          <w:lang w:val="zh-CN"/>
        </w:rPr>
        <w:t>语音异议</w:t>
      </w:r>
      <w:bookmarkEnd w:id="147"/>
      <w:r>
        <w:rPr>
          <w:rFonts w:hint="eastAsia" w:asciiTheme="minorEastAsia" w:hAnsiTheme="minorEastAsia" w:eastAsiaTheme="minorEastAsia" w:cstheme="minorEastAsia"/>
          <w:color w:val="auto"/>
          <w:szCs w:val="21"/>
          <w:highlight w:val="none"/>
          <w:lang w:val="zh-CN"/>
        </w:rPr>
        <w:t>、</w:t>
      </w:r>
      <w:bookmarkStart w:id="148" w:name="_Toc20745"/>
      <w:r>
        <w:rPr>
          <w:rFonts w:hint="eastAsia" w:asciiTheme="minorEastAsia" w:hAnsiTheme="minorEastAsia" w:eastAsiaTheme="minorEastAsia" w:cstheme="minorEastAsia"/>
          <w:color w:val="auto"/>
          <w:szCs w:val="21"/>
          <w:highlight w:val="none"/>
          <w:lang w:val="zh-CN"/>
        </w:rPr>
        <w:t>文字异议</w:t>
      </w:r>
      <w:bookmarkEnd w:id="14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49" w:name="_Toc9927"/>
      <w:bookmarkStart w:id="150" w:name="_Toc13445"/>
      <w:r>
        <w:rPr>
          <w:rFonts w:hint="eastAsia" w:asciiTheme="minorEastAsia" w:hAnsiTheme="minorEastAsia" w:eastAsiaTheme="minorEastAsia" w:cstheme="minorEastAsia"/>
          <w:b/>
          <w:bCs/>
          <w:color w:val="auto"/>
          <w:szCs w:val="21"/>
          <w:highlight w:val="none"/>
        </w:rPr>
        <w:t>5.资格审查工作</w:t>
      </w:r>
      <w:bookmarkEnd w:id="149"/>
      <w:bookmarkEnd w:id="150"/>
    </w:p>
    <w:p>
      <w:pPr>
        <w:spacing w:line="400" w:lineRule="exact"/>
        <w:ind w:firstLine="420" w:firstLineChars="200"/>
        <w:rPr>
          <w:rFonts w:asciiTheme="minorEastAsia" w:hAnsiTheme="minorEastAsia" w:eastAsiaTheme="minorEastAsia" w:cstheme="minorEastAsia"/>
          <w:color w:val="auto"/>
          <w:szCs w:val="21"/>
          <w:highlight w:val="none"/>
        </w:rPr>
      </w:pPr>
      <w:bookmarkStart w:id="151" w:name="_Toc25275"/>
      <w:bookmarkStart w:id="152" w:name="_Toc22488"/>
      <w:bookmarkStart w:id="153" w:name="_Toc25448"/>
      <w:bookmarkStart w:id="154" w:name="_Toc18803"/>
      <w:bookmarkStart w:id="155" w:name="_Toc18888"/>
      <w:bookmarkStart w:id="156" w:name="_Toc18806"/>
      <w:bookmarkStart w:id="157" w:name="_Toc15919"/>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1"/>
      <w:bookmarkEnd w:id="152"/>
      <w:bookmarkEnd w:id="153"/>
      <w:bookmarkEnd w:id="154"/>
      <w:bookmarkEnd w:id="155"/>
      <w:bookmarkEnd w:id="156"/>
      <w:bookmarkEnd w:id="157"/>
    </w:p>
    <w:p>
      <w:pPr>
        <w:pStyle w:val="25"/>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58" w:name="_Toc4643"/>
      <w:bookmarkStart w:id="159" w:name="_Toc6889"/>
      <w:r>
        <w:rPr>
          <w:rFonts w:hint="eastAsia" w:asciiTheme="minorEastAsia" w:hAnsiTheme="minorEastAsia" w:eastAsiaTheme="minorEastAsia" w:cstheme="minorEastAsia"/>
          <w:color w:val="auto"/>
          <w:sz w:val="24"/>
          <w:szCs w:val="24"/>
          <w:highlight w:val="none"/>
        </w:rPr>
        <w:t>6. 评标</w:t>
      </w:r>
      <w:bookmarkEnd w:id="143"/>
      <w:bookmarkEnd w:id="144"/>
      <w:bookmarkEnd w:id="145"/>
      <w:bookmarkEnd w:id="146"/>
      <w:bookmarkEnd w:id="158"/>
      <w:bookmarkEnd w:id="159"/>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0" w:name="_Toc279599802"/>
      <w:bookmarkStart w:id="161" w:name="_Toc426369513"/>
      <w:bookmarkStart w:id="162" w:name="_Toc274249606"/>
      <w:bookmarkStart w:id="163" w:name="_Toc403122523"/>
      <w:r>
        <w:rPr>
          <w:rFonts w:hint="eastAsia" w:asciiTheme="minorEastAsia" w:hAnsiTheme="minorEastAsia" w:eastAsiaTheme="minorEastAsia" w:cstheme="minorEastAsia"/>
          <w:b/>
          <w:bCs/>
          <w:color w:val="auto"/>
          <w:sz w:val="24"/>
          <w:highlight w:val="none"/>
        </w:rPr>
        <w:t>6.1 评标委员会</w:t>
      </w:r>
      <w:bookmarkEnd w:id="160"/>
      <w:bookmarkEnd w:id="161"/>
      <w:bookmarkEnd w:id="162"/>
      <w:bookmarkEnd w:id="16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4" w:name="_Toc403122524"/>
      <w:bookmarkStart w:id="165" w:name="_Toc274249607"/>
      <w:bookmarkStart w:id="166" w:name="_Toc426369514"/>
      <w:bookmarkStart w:id="167" w:name="_Toc279599803"/>
      <w:r>
        <w:rPr>
          <w:rFonts w:hint="eastAsia" w:asciiTheme="minorEastAsia" w:hAnsiTheme="minorEastAsia" w:eastAsiaTheme="minorEastAsia" w:cstheme="minorEastAsia"/>
          <w:b/>
          <w:bCs/>
          <w:color w:val="auto"/>
          <w:sz w:val="24"/>
          <w:highlight w:val="none"/>
        </w:rPr>
        <w:t>6.2 评标原则</w:t>
      </w:r>
      <w:bookmarkEnd w:id="164"/>
      <w:bookmarkEnd w:id="165"/>
      <w:bookmarkEnd w:id="166"/>
      <w:bookmarkEnd w:id="167"/>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color w:val="auto"/>
          <w:szCs w:val="21"/>
          <w:highlight w:val="none"/>
        </w:rPr>
      </w:pPr>
      <w:bookmarkStart w:id="168" w:name="_Toc274249608"/>
      <w:bookmarkStart w:id="169" w:name="_Toc426369515"/>
      <w:bookmarkStart w:id="170" w:name="_Toc403122525"/>
      <w:bookmarkStart w:id="171" w:name="_Toc279599804"/>
      <w:r>
        <w:rPr>
          <w:rFonts w:hint="eastAsia" w:asciiTheme="minorEastAsia" w:hAnsiTheme="minorEastAsia" w:eastAsiaTheme="minorEastAsia" w:cstheme="minorEastAsia"/>
          <w:b/>
          <w:bCs/>
          <w:color w:val="auto"/>
          <w:sz w:val="24"/>
          <w:highlight w:val="none"/>
        </w:rPr>
        <w:t>6.3 评标</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6.3.1在评审过程中，评标委员会发现供应商有下列情形之一的，视为供应商相互串通投标，按照无效投标处理并依据法律、法规追究其相关责任。具体表现形式如下：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同供应商的投标文件由同一单位或者个人编制；</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（2）不同供应商委托同一单位或者个人办理投标事宜；</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（3）不同供应商的投标文件载明的项目管理成员或者联系人员为同一人；</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（4）不同供应商的投标文件异常一致或者投标报价呈规律性差异；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）有证据证明供应商与采购人、采购代理机构或者其他供应商串通的其他情形；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6.3.3评标时，评标委员会各成员应当独立对每个供应商的投标文件进行评价，并汇总每个供应商的得分。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（2）要求供应商对投标文件有关事项作出澄清或者说明；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（1）符合专业条件的供应商或者对招标文件作实质响应的供应商不足三家的；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（4）因重大变故，采购任务取消的。废标后，采购人应当将废标理由通知所有供应商。</w:t>
      </w:r>
    </w:p>
    <w:p>
      <w:pPr>
        <w:pStyle w:val="25"/>
        <w:spacing w:before="120" w:after="120" w:line="500" w:lineRule="exact"/>
        <w:ind w:right="-1029" w:rightChars="-490" w:firstLine="482" w:firstLineChars="200"/>
        <w:jc w:val="both"/>
        <w:outlineLvl w:val="1"/>
        <w:rPr>
          <w:color w:val="auto"/>
          <w:highlight w:val="none"/>
        </w:rPr>
      </w:pPr>
      <w:bookmarkStart w:id="172" w:name="_Toc403122526"/>
      <w:bookmarkStart w:id="173" w:name="_Toc426369516"/>
      <w:bookmarkStart w:id="174" w:name="_Toc26569"/>
      <w:bookmarkStart w:id="175" w:name="_Toc17811"/>
      <w:bookmarkStart w:id="176" w:name="_Toc22968"/>
      <w:bookmarkStart w:id="177" w:name="_Toc8566"/>
      <w:r>
        <w:rPr>
          <w:rFonts w:hint="eastAsia" w:asciiTheme="minorEastAsia" w:hAnsiTheme="minorEastAsia" w:eastAsiaTheme="minorEastAsia" w:cstheme="minorEastAsia"/>
          <w:color w:val="auto"/>
          <w:sz w:val="24"/>
          <w:szCs w:val="24"/>
          <w:highlight w:val="none"/>
        </w:rPr>
        <w:t>7. 合同授予</w:t>
      </w:r>
      <w:bookmarkEnd w:id="172"/>
      <w:bookmarkEnd w:id="173"/>
      <w:bookmarkEnd w:id="174"/>
      <w:bookmarkEnd w:id="175"/>
      <w:bookmarkEnd w:id="176"/>
      <w:bookmarkEnd w:id="17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8" w:name="_Toc403122527"/>
      <w:bookmarkStart w:id="179" w:name="_Toc274249610"/>
      <w:bookmarkStart w:id="180" w:name="_Toc279599806"/>
      <w:bookmarkStart w:id="181" w:name="_Toc426369517"/>
      <w:r>
        <w:rPr>
          <w:rFonts w:hint="eastAsia" w:asciiTheme="minorEastAsia" w:hAnsiTheme="minorEastAsia" w:eastAsiaTheme="minorEastAsia" w:cstheme="minorEastAsia"/>
          <w:b/>
          <w:bCs/>
          <w:color w:val="auto"/>
          <w:sz w:val="24"/>
          <w:highlight w:val="none"/>
        </w:rPr>
        <w:t>7.1 定标方式</w:t>
      </w:r>
      <w:bookmarkEnd w:id="178"/>
      <w:bookmarkEnd w:id="179"/>
      <w:bookmarkEnd w:id="180"/>
      <w:bookmarkEnd w:id="18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中标或者成交供应商拒绝与采购人签订合同的，采购人可以按照评审报告推荐的中标或者成交候选人名单排序，确定下一候选人为中标或者成交供应商，也可以重新开展政府采购活动。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2" w:name="_Toc274249611"/>
      <w:bookmarkStart w:id="183" w:name="_Toc426369518"/>
      <w:bookmarkStart w:id="184" w:name="_Toc279599807"/>
      <w:bookmarkStart w:id="185" w:name="_Toc403122528"/>
      <w:r>
        <w:rPr>
          <w:rFonts w:hint="eastAsia" w:asciiTheme="minorEastAsia" w:hAnsiTheme="minorEastAsia" w:eastAsiaTheme="minorEastAsia" w:cstheme="minorEastAsia"/>
          <w:b/>
          <w:bCs/>
          <w:color w:val="auto"/>
          <w:sz w:val="24"/>
          <w:highlight w:val="none"/>
        </w:rPr>
        <w:t>7.2 中标通知</w:t>
      </w:r>
      <w:bookmarkEnd w:id="182"/>
      <w:bookmarkEnd w:id="183"/>
      <w:bookmarkEnd w:id="184"/>
      <w:bookmarkEnd w:id="185"/>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在本章第3.3款规定的投标有效期内，采购人以书面形式向中标人发出中标通知书，同时将中标结果通知未中标的供应商。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6" w:name="_Toc279599808"/>
      <w:bookmarkStart w:id="187" w:name="_Toc311550376"/>
      <w:bookmarkStart w:id="188" w:name="_Toc274249612"/>
      <w:bookmarkStart w:id="189" w:name="_Toc403122529"/>
      <w:bookmarkStart w:id="190" w:name="_Toc426369519"/>
      <w:r>
        <w:rPr>
          <w:rFonts w:hint="eastAsia" w:asciiTheme="minorEastAsia" w:hAnsiTheme="minorEastAsia" w:eastAsiaTheme="minorEastAsia" w:cstheme="minorEastAsia"/>
          <w:b/>
          <w:bCs/>
          <w:color w:val="auto"/>
          <w:sz w:val="24"/>
          <w:highlight w:val="none"/>
        </w:rPr>
        <w:t>7.3履约</w:t>
      </w:r>
      <w:bookmarkEnd w:id="186"/>
      <w:bookmarkEnd w:id="187"/>
      <w:bookmarkEnd w:id="188"/>
      <w:r>
        <w:rPr>
          <w:rFonts w:hint="eastAsia" w:asciiTheme="minorEastAsia" w:hAnsiTheme="minorEastAsia" w:eastAsiaTheme="minorEastAsia" w:cstheme="minorEastAsia"/>
          <w:b/>
          <w:bCs/>
          <w:color w:val="auto"/>
          <w:sz w:val="24"/>
          <w:highlight w:val="none"/>
        </w:rPr>
        <w:t>保证金</w:t>
      </w:r>
      <w:bookmarkEnd w:id="189"/>
      <w:bookmarkEnd w:id="19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1" w:name="_Toc403122530"/>
      <w:bookmarkStart w:id="192" w:name="_Toc274249613"/>
      <w:bookmarkStart w:id="193" w:name="_Toc279599809"/>
      <w:bookmarkStart w:id="194" w:name="_Toc426369520"/>
      <w:r>
        <w:rPr>
          <w:rFonts w:hint="eastAsia" w:asciiTheme="minorEastAsia" w:hAnsiTheme="minorEastAsia" w:eastAsiaTheme="minorEastAsia" w:cstheme="minorEastAsia"/>
          <w:b/>
          <w:bCs/>
          <w:color w:val="auto"/>
          <w:sz w:val="24"/>
          <w:highlight w:val="none"/>
        </w:rPr>
        <w:t>7.4 签订合同</w:t>
      </w:r>
      <w:bookmarkEnd w:id="191"/>
      <w:bookmarkEnd w:id="192"/>
      <w:bookmarkEnd w:id="193"/>
      <w:bookmarkEnd w:id="19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25"/>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195" w:name="_Toc30009"/>
      <w:bookmarkStart w:id="196" w:name="_Toc10541"/>
      <w:bookmarkStart w:id="197" w:name="_Toc29014"/>
      <w:bookmarkStart w:id="198" w:name="_Toc10417"/>
      <w:bookmarkStart w:id="199" w:name="_Toc403122531"/>
      <w:bookmarkStart w:id="200" w:name="_Toc426369521"/>
      <w:r>
        <w:rPr>
          <w:rFonts w:hint="eastAsia" w:asciiTheme="minorEastAsia" w:hAnsiTheme="minorEastAsia" w:eastAsiaTheme="minorEastAsia" w:cstheme="minorEastAsia"/>
          <w:color w:val="auto"/>
          <w:sz w:val="24"/>
          <w:szCs w:val="24"/>
          <w:highlight w:val="none"/>
        </w:rPr>
        <w:t>8. 重新招标</w:t>
      </w:r>
      <w:bookmarkEnd w:id="195"/>
      <w:bookmarkEnd w:id="196"/>
      <w:bookmarkEnd w:id="197"/>
      <w:bookmarkEnd w:id="198"/>
      <w:bookmarkEnd w:id="199"/>
      <w:bookmarkEnd w:id="20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279599811"/>
      <w:bookmarkStart w:id="202" w:name="_Toc274249615"/>
      <w:bookmarkStart w:id="203" w:name="_Toc403122532"/>
      <w:bookmarkStart w:id="204" w:name="_Toc426369522"/>
      <w:r>
        <w:rPr>
          <w:rFonts w:hint="eastAsia" w:asciiTheme="minorEastAsia" w:hAnsiTheme="minorEastAsia" w:eastAsiaTheme="minorEastAsia" w:cstheme="minorEastAsia"/>
          <w:b/>
          <w:bCs/>
          <w:color w:val="auto"/>
          <w:sz w:val="24"/>
          <w:highlight w:val="none"/>
        </w:rPr>
        <w:t>8.1 重新招标</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25"/>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05" w:name="_Toc10372"/>
      <w:bookmarkStart w:id="206" w:name="_Toc403122533"/>
      <w:bookmarkStart w:id="207" w:name="_Toc14622"/>
      <w:bookmarkStart w:id="208" w:name="_Toc3760"/>
      <w:bookmarkStart w:id="209" w:name="_Toc27398"/>
      <w:bookmarkStart w:id="210" w:name="_Toc426369523"/>
      <w:r>
        <w:rPr>
          <w:rFonts w:hint="eastAsia" w:asciiTheme="minorEastAsia" w:hAnsiTheme="minorEastAsia" w:eastAsiaTheme="minorEastAsia" w:cstheme="minorEastAsia"/>
          <w:color w:val="auto"/>
          <w:sz w:val="24"/>
          <w:szCs w:val="24"/>
          <w:highlight w:val="none"/>
        </w:rPr>
        <w:t>9. 纪律和监督</w:t>
      </w:r>
      <w:bookmarkEnd w:id="205"/>
      <w:bookmarkEnd w:id="206"/>
      <w:bookmarkEnd w:id="207"/>
      <w:bookmarkEnd w:id="208"/>
      <w:bookmarkEnd w:id="209"/>
      <w:bookmarkEnd w:id="210"/>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1" w:name="_Toc403122534"/>
      <w:bookmarkStart w:id="212" w:name="_Toc274249618"/>
      <w:bookmarkStart w:id="213" w:name="_Toc279599814"/>
      <w:bookmarkStart w:id="214" w:name="_Toc426369524"/>
      <w:r>
        <w:rPr>
          <w:rFonts w:hint="eastAsia" w:asciiTheme="minorEastAsia" w:hAnsiTheme="minorEastAsia" w:eastAsiaTheme="minorEastAsia" w:cstheme="minorEastAsia"/>
          <w:b/>
          <w:bCs/>
          <w:color w:val="auto"/>
          <w:sz w:val="24"/>
          <w:highlight w:val="none"/>
        </w:rPr>
        <w:t>9.1 对采购人的纪律要求</w:t>
      </w:r>
      <w:bookmarkEnd w:id="211"/>
      <w:bookmarkEnd w:id="212"/>
      <w:bookmarkEnd w:id="213"/>
      <w:bookmarkEnd w:id="21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5" w:name="_Toc403122535"/>
      <w:bookmarkStart w:id="216" w:name="_Toc274249619"/>
      <w:bookmarkStart w:id="217" w:name="_Toc279599815"/>
      <w:bookmarkStart w:id="218" w:name="_Toc426369525"/>
      <w:r>
        <w:rPr>
          <w:rFonts w:hint="eastAsia" w:asciiTheme="minorEastAsia" w:hAnsiTheme="minorEastAsia" w:eastAsiaTheme="minorEastAsia" w:cstheme="minorEastAsia"/>
          <w:b/>
          <w:bCs/>
          <w:color w:val="auto"/>
          <w:sz w:val="24"/>
          <w:highlight w:val="none"/>
        </w:rPr>
        <w:t>9.2 对供应商的纪律要求</w:t>
      </w:r>
      <w:bookmarkEnd w:id="215"/>
      <w:bookmarkEnd w:id="216"/>
      <w:bookmarkEnd w:id="217"/>
      <w:bookmarkEnd w:id="21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9" w:name="_Toc403122536"/>
      <w:bookmarkStart w:id="220" w:name="_Toc426369526"/>
      <w:bookmarkStart w:id="221" w:name="_Toc279599816"/>
      <w:bookmarkStart w:id="222" w:name="_Toc274249620"/>
      <w:r>
        <w:rPr>
          <w:rFonts w:hint="eastAsia" w:asciiTheme="minorEastAsia" w:hAnsiTheme="minorEastAsia" w:eastAsiaTheme="minorEastAsia" w:cstheme="minorEastAsia"/>
          <w:b/>
          <w:bCs/>
          <w:color w:val="auto"/>
          <w:sz w:val="24"/>
          <w:highlight w:val="none"/>
        </w:rPr>
        <w:t>9.3 对评标委员会成员的纪律要求</w:t>
      </w:r>
      <w:bookmarkEnd w:id="219"/>
      <w:bookmarkEnd w:id="220"/>
      <w:bookmarkEnd w:id="221"/>
      <w:bookmarkEnd w:id="22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3" w:name="_Toc274249621"/>
      <w:bookmarkStart w:id="224" w:name="_Toc426369527"/>
      <w:bookmarkStart w:id="225" w:name="_Toc403122537"/>
      <w:bookmarkStart w:id="226" w:name="_Toc279599817"/>
      <w:r>
        <w:rPr>
          <w:rFonts w:hint="eastAsia" w:asciiTheme="minorEastAsia" w:hAnsiTheme="minorEastAsia" w:eastAsiaTheme="minorEastAsia" w:cstheme="minorEastAsia"/>
          <w:b/>
          <w:bCs/>
          <w:color w:val="auto"/>
          <w:sz w:val="24"/>
          <w:highlight w:val="none"/>
        </w:rPr>
        <w:t>9.4 对与评标活动有关的工作人员的纪律要求</w:t>
      </w:r>
      <w:bookmarkEnd w:id="223"/>
      <w:bookmarkEnd w:id="224"/>
      <w:bookmarkEnd w:id="225"/>
      <w:bookmarkEnd w:id="22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27" w:name="_Toc274249622"/>
      <w:bookmarkStart w:id="228" w:name="_Toc279599818"/>
      <w:bookmarkStart w:id="229" w:name="_Toc403122538"/>
      <w:bookmarkStart w:id="230" w:name="_Toc426369528"/>
      <w:r>
        <w:rPr>
          <w:rFonts w:hint="eastAsia" w:asciiTheme="minorEastAsia" w:hAnsiTheme="minorEastAsia" w:eastAsiaTheme="minorEastAsia" w:cstheme="minorEastAsia"/>
          <w:b/>
          <w:bCs/>
          <w:color w:val="auto"/>
          <w:sz w:val="24"/>
          <w:highlight w:val="none"/>
        </w:rPr>
        <w:t>9.5 投诉</w:t>
      </w:r>
      <w:bookmarkEnd w:id="227"/>
      <w:bookmarkEnd w:id="228"/>
      <w:bookmarkEnd w:id="229"/>
      <w:bookmarkEnd w:id="23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25"/>
        <w:spacing w:before="120" w:after="120" w:line="500" w:lineRule="exact"/>
        <w:ind w:right="-1029" w:rightChars="-490" w:firstLine="482" w:firstLineChars="200"/>
        <w:jc w:val="both"/>
        <w:outlineLvl w:val="1"/>
        <w:rPr>
          <w:rFonts w:asciiTheme="minorEastAsia" w:hAnsiTheme="minorEastAsia" w:eastAsiaTheme="minorEastAsia" w:cstheme="minorEastAsia"/>
          <w:color w:val="auto"/>
          <w:sz w:val="24"/>
          <w:szCs w:val="24"/>
          <w:highlight w:val="none"/>
        </w:rPr>
      </w:pPr>
      <w:bookmarkStart w:id="231" w:name="_Toc403122539"/>
      <w:bookmarkStart w:id="232" w:name="_Toc26812"/>
      <w:bookmarkStart w:id="233" w:name="_Toc10880"/>
      <w:bookmarkStart w:id="234" w:name="_Toc13281"/>
      <w:bookmarkStart w:id="235" w:name="_Toc25080"/>
      <w:bookmarkStart w:id="236" w:name="_Toc426369529"/>
      <w:r>
        <w:rPr>
          <w:rFonts w:hint="eastAsia" w:asciiTheme="minorEastAsia" w:hAnsiTheme="minorEastAsia" w:eastAsiaTheme="minorEastAsia" w:cstheme="minorEastAsia"/>
          <w:color w:val="auto"/>
          <w:sz w:val="24"/>
          <w:szCs w:val="24"/>
          <w:highlight w:val="none"/>
        </w:rPr>
        <w:t>10. 需要补充的其他内容</w:t>
      </w:r>
      <w:bookmarkEnd w:id="231"/>
      <w:bookmarkEnd w:id="232"/>
      <w:bookmarkEnd w:id="233"/>
      <w:bookmarkEnd w:id="234"/>
      <w:bookmarkEnd w:id="235"/>
      <w:bookmarkEnd w:id="236"/>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（1）无论投标结果如何，供应商应自行承担所有参与投标的全部费用，采购人和采购代理机构在任何情况下均无义务和责任承担上述费用。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36"/>
        <w:ind w:firstLine="482" w:firstLineChars="200"/>
        <w:rPr>
          <w:rFonts w:asciiTheme="minorEastAsia" w:hAnsiTheme="minorEastAsia" w:eastAsiaTheme="minorEastAsia" w:cstheme="minorEastAsia"/>
          <w:b/>
          <w:bCs/>
          <w:color w:val="auto"/>
          <w:kern w:val="2"/>
          <w:sz w:val="24"/>
          <w:highlight w:val="none"/>
        </w:rPr>
      </w:pPr>
      <w:r>
        <w:rPr>
          <w:rFonts w:hint="eastAsia" w:asciiTheme="minorEastAsia" w:hAnsiTheme="minorEastAsia" w:eastAsiaTheme="minorEastAsia" w:cstheme="minorEastAsia"/>
          <w:b/>
          <w:bCs/>
          <w:color w:val="auto"/>
          <w:kern w:val="2"/>
          <w:sz w:val="24"/>
          <w:highlight w:val="none"/>
        </w:rPr>
        <w:t>10.2本招标文件未尽事宜，按《中华人民共和国政府采购法》等法律法规的有关规定执行。</w:t>
      </w:r>
    </w:p>
    <w:p>
      <w:pPr>
        <w:pStyle w:val="13"/>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5"/>
        <w:numPr>
          <w:ilvl w:val="0"/>
          <w:numId w:val="7"/>
        </w:numPr>
        <w:spacing w:line="600" w:lineRule="exact"/>
        <w:ind w:right="-63" w:rightChars="-30"/>
        <w:rPr>
          <w:rFonts w:asciiTheme="minorEastAsia" w:hAnsiTheme="minorEastAsia" w:eastAsiaTheme="minorEastAsia" w:cstheme="minorEastAsia"/>
          <w:color w:val="auto"/>
          <w:sz w:val="36"/>
          <w:szCs w:val="36"/>
          <w:highlight w:val="none"/>
        </w:rPr>
      </w:pPr>
      <w:bookmarkStart w:id="237" w:name="_Toc426369530"/>
      <w:bookmarkStart w:id="238" w:name="_Toc28433"/>
      <w:bookmarkStart w:id="239" w:name="_Toc403122540"/>
      <w:bookmarkStart w:id="240" w:name="_Toc8251"/>
      <w:bookmarkStart w:id="241" w:name="_Toc32119"/>
      <w:r>
        <w:rPr>
          <w:rFonts w:hint="eastAsia" w:asciiTheme="minorEastAsia" w:hAnsiTheme="minorEastAsia" w:eastAsiaTheme="minorEastAsia" w:cstheme="minorEastAsia"/>
          <w:color w:val="auto"/>
          <w:sz w:val="36"/>
          <w:szCs w:val="36"/>
          <w:highlight w:val="none"/>
        </w:rPr>
        <w:t>评标办法</w:t>
      </w:r>
      <w:bookmarkEnd w:id="237"/>
      <w:bookmarkEnd w:id="238"/>
      <w:bookmarkEnd w:id="239"/>
      <w:r>
        <w:rPr>
          <w:rFonts w:hint="eastAsia" w:asciiTheme="minorEastAsia" w:hAnsiTheme="minorEastAsia" w:eastAsiaTheme="minorEastAsia" w:cstheme="minorEastAsia"/>
          <w:color w:val="auto"/>
          <w:sz w:val="36"/>
          <w:szCs w:val="36"/>
          <w:highlight w:val="none"/>
        </w:rPr>
        <w:t>（综合评分法）</w:t>
      </w:r>
      <w:bookmarkEnd w:id="240"/>
      <w:bookmarkEnd w:id="241"/>
    </w:p>
    <w:p>
      <w:pPr>
        <w:pStyle w:val="44"/>
        <w:spacing w:line="540" w:lineRule="exact"/>
        <w:jc w:val="center"/>
        <w:outlineLvl w:val="1"/>
        <w:rPr>
          <w:rFonts w:asciiTheme="minorEastAsia" w:hAnsiTheme="minorEastAsia" w:eastAsiaTheme="minorEastAsia" w:cstheme="minorEastAsia"/>
          <w:b/>
          <w:bCs/>
          <w:color w:val="auto"/>
          <w:sz w:val="28"/>
          <w:szCs w:val="28"/>
          <w:highlight w:val="none"/>
        </w:rPr>
      </w:pPr>
      <w:bookmarkStart w:id="242" w:name="_Toc9561"/>
      <w:bookmarkStart w:id="243" w:name="_Toc30933"/>
      <w:bookmarkStart w:id="244" w:name="_Toc21885"/>
      <w:bookmarkStart w:id="245" w:name="_Toc29947"/>
      <w:bookmarkStart w:id="246" w:name="_Toc17859"/>
      <w:bookmarkStart w:id="247" w:name="_Toc16529"/>
      <w:bookmarkStart w:id="248" w:name="_Toc2761070"/>
      <w:r>
        <w:rPr>
          <w:rFonts w:hint="eastAsia" w:asciiTheme="minorEastAsia" w:hAnsiTheme="minorEastAsia" w:eastAsiaTheme="minorEastAsia" w:cstheme="minorEastAsia"/>
          <w:b/>
          <w:bCs/>
          <w:color w:val="auto"/>
          <w:sz w:val="28"/>
          <w:szCs w:val="28"/>
          <w:highlight w:val="none"/>
        </w:rPr>
        <w:t>评分办法前附表</w:t>
      </w:r>
      <w:bookmarkEnd w:id="242"/>
      <w:bookmarkEnd w:id="243"/>
      <w:bookmarkEnd w:id="244"/>
      <w:bookmarkEnd w:id="245"/>
      <w:bookmarkEnd w:id="246"/>
    </w:p>
    <w:bookmarkEnd w:id="247"/>
    <w:tbl>
      <w:tblPr>
        <w:tblStyle w:val="28"/>
        <w:tblpPr w:leftFromText="180" w:rightFromText="180" w:vertAnchor="text" w:horzAnchor="page" w:tblpX="1443" w:tblpY="363"/>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95"/>
        <w:gridCol w:w="2175"/>
        <w:gridCol w:w="5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807" w:type="dxa"/>
            <w:noWrap w:val="0"/>
            <w:vAlign w:val="center"/>
          </w:tcPr>
          <w:p>
            <w:pPr>
              <w:spacing w:line="560" w:lineRule="exact"/>
              <w:jc w:val="center"/>
              <w:rPr>
                <w:rFonts w:ascii="宋体" w:hAnsi="宋体" w:cs="宋体"/>
                <w:b/>
                <w:color w:val="auto"/>
                <w:szCs w:val="21"/>
                <w:highlight w:val="none"/>
              </w:rPr>
            </w:pPr>
            <w:bookmarkStart w:id="249" w:name="_Toc31084"/>
            <w:bookmarkStart w:id="250" w:name="_Toc426369531"/>
            <w:bookmarkStart w:id="251" w:name="_Toc403122541"/>
            <w:r>
              <w:rPr>
                <w:rFonts w:hint="eastAsia" w:ascii="宋体" w:hAnsi="宋体" w:cs="宋体"/>
                <w:b/>
                <w:bCs/>
                <w:color w:val="auto"/>
                <w:kern w:val="0"/>
                <w:szCs w:val="21"/>
                <w:highlight w:val="none"/>
              </w:rPr>
              <w:t>审查主体</w:t>
            </w:r>
          </w:p>
        </w:tc>
        <w:tc>
          <w:tcPr>
            <w:tcW w:w="3270" w:type="dxa"/>
            <w:gridSpan w:val="2"/>
            <w:noWrap w:val="0"/>
            <w:vAlign w:val="center"/>
          </w:tcPr>
          <w:p>
            <w:pPr>
              <w:spacing w:line="56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123" w:type="dxa"/>
            <w:noWrap w:val="0"/>
            <w:vAlign w:val="center"/>
          </w:tcPr>
          <w:p>
            <w:pPr>
              <w:tabs>
                <w:tab w:val="left" w:pos="417"/>
                <w:tab w:val="center" w:pos="2999"/>
              </w:tabs>
              <w:spacing w:line="560" w:lineRule="exact"/>
              <w:jc w:val="left"/>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b/>
                <w:color w:val="auto"/>
                <w:szCs w:val="21"/>
                <w:highlight w:val="none"/>
              </w:rPr>
              <w:tab/>
            </w: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exact"/>
        </w:trPr>
        <w:tc>
          <w:tcPr>
            <w:tcW w:w="807" w:type="dxa"/>
            <w:vMerge w:val="restart"/>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资格审查小组</w:t>
            </w:r>
          </w:p>
        </w:tc>
        <w:tc>
          <w:tcPr>
            <w:tcW w:w="1095" w:type="dxa"/>
            <w:vMerge w:val="restart"/>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一、资格评审标准</w:t>
            </w:r>
          </w:p>
        </w:tc>
        <w:tc>
          <w:tcPr>
            <w:tcW w:w="2175" w:type="dxa"/>
            <w:noWrap w:val="0"/>
            <w:vAlign w:val="center"/>
          </w:tcPr>
          <w:p>
            <w:pPr>
              <w:spacing w:line="56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营业执照、税务登记证、组织机构代码证</w:t>
            </w:r>
          </w:p>
        </w:tc>
        <w:tc>
          <w:tcPr>
            <w:tcW w:w="5123" w:type="dxa"/>
            <w:noWrap w:val="0"/>
            <w:vAlign w:val="center"/>
          </w:tcPr>
          <w:p>
            <w:pPr>
              <w:spacing w:line="560" w:lineRule="exact"/>
              <w:rPr>
                <w:rFonts w:hint="eastAsia" w:ascii="宋体" w:hAnsi="宋体" w:cs="宋体"/>
                <w:color w:val="auto"/>
                <w:szCs w:val="21"/>
                <w:highlight w:val="none"/>
              </w:rPr>
            </w:pPr>
            <w:r>
              <w:rPr>
                <w:rFonts w:hint="eastAsia" w:ascii="宋体" w:hAnsi="宋体" w:cs="宋体"/>
                <w:color w:val="auto"/>
                <w:szCs w:val="21"/>
                <w:highlight w:val="none"/>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807" w:type="dxa"/>
            <w:vMerge w:val="continue"/>
            <w:noWrap w:val="0"/>
            <w:vAlign w:val="center"/>
          </w:tcPr>
          <w:p>
            <w:pPr>
              <w:spacing w:line="560" w:lineRule="exact"/>
              <w:jc w:val="center"/>
              <w:rPr>
                <w:rFonts w:ascii="宋体" w:hAnsi="宋体" w:cs="宋体"/>
                <w:color w:val="auto"/>
                <w:szCs w:val="21"/>
                <w:highlight w:val="none"/>
              </w:rPr>
            </w:pPr>
          </w:p>
        </w:tc>
        <w:tc>
          <w:tcPr>
            <w:tcW w:w="1095" w:type="dxa"/>
            <w:vMerge w:val="continue"/>
            <w:noWrap w:val="0"/>
            <w:vAlign w:val="center"/>
          </w:tcPr>
          <w:p>
            <w:pPr>
              <w:spacing w:line="560" w:lineRule="exact"/>
              <w:jc w:val="center"/>
              <w:rPr>
                <w:rFonts w:ascii="宋体" w:hAnsi="宋体" w:cs="宋体"/>
                <w:color w:val="auto"/>
                <w:szCs w:val="21"/>
                <w:highlight w:val="none"/>
              </w:rPr>
            </w:pPr>
          </w:p>
        </w:tc>
        <w:tc>
          <w:tcPr>
            <w:tcW w:w="2175" w:type="dxa"/>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法定代表人证明或法人授权委托书</w:t>
            </w:r>
          </w:p>
        </w:tc>
        <w:tc>
          <w:tcPr>
            <w:tcW w:w="5123" w:type="dxa"/>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pPr>
              <w:spacing w:line="560" w:lineRule="exact"/>
              <w:jc w:val="center"/>
              <w:rPr>
                <w:rFonts w:ascii="宋体" w:hAnsi="宋体" w:cs="宋体"/>
                <w:color w:val="auto"/>
                <w:szCs w:val="21"/>
                <w:highlight w:val="none"/>
              </w:rPr>
            </w:pPr>
          </w:p>
        </w:tc>
        <w:tc>
          <w:tcPr>
            <w:tcW w:w="1095" w:type="dxa"/>
            <w:vMerge w:val="continue"/>
            <w:noWrap w:val="0"/>
            <w:vAlign w:val="center"/>
          </w:tcPr>
          <w:p>
            <w:pPr>
              <w:spacing w:line="560" w:lineRule="exact"/>
              <w:jc w:val="center"/>
              <w:rPr>
                <w:rFonts w:ascii="宋体" w:hAnsi="宋体" w:cs="宋体"/>
                <w:color w:val="auto"/>
                <w:szCs w:val="21"/>
                <w:highlight w:val="none"/>
              </w:rPr>
            </w:pPr>
          </w:p>
        </w:tc>
        <w:tc>
          <w:tcPr>
            <w:tcW w:w="2175" w:type="dxa"/>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5123" w:type="dxa"/>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bottom w:val="single" w:color="auto" w:sz="4" w:space="0"/>
            </w:tcBorders>
            <w:noWrap w:val="0"/>
            <w:vAlign w:val="center"/>
          </w:tcPr>
          <w:p>
            <w:pPr>
              <w:spacing w:line="560" w:lineRule="exact"/>
              <w:jc w:val="center"/>
              <w:rPr>
                <w:rFonts w:ascii="宋体" w:hAnsi="宋体" w:cs="宋体"/>
                <w:color w:val="auto"/>
                <w:szCs w:val="21"/>
                <w:highlight w:val="none"/>
              </w:rPr>
            </w:pPr>
          </w:p>
        </w:tc>
        <w:tc>
          <w:tcPr>
            <w:tcW w:w="1095" w:type="dxa"/>
            <w:vMerge w:val="continue"/>
            <w:tcBorders>
              <w:bottom w:val="single" w:color="auto" w:sz="4" w:space="0"/>
            </w:tcBorders>
            <w:noWrap w:val="0"/>
            <w:vAlign w:val="center"/>
          </w:tcPr>
          <w:p>
            <w:pPr>
              <w:spacing w:line="560" w:lineRule="exact"/>
              <w:jc w:val="center"/>
              <w:rPr>
                <w:rFonts w:ascii="宋体" w:hAnsi="宋体" w:cs="宋体"/>
                <w:color w:val="auto"/>
                <w:szCs w:val="21"/>
                <w:highlight w:val="none"/>
              </w:rPr>
            </w:pPr>
          </w:p>
        </w:tc>
        <w:tc>
          <w:tcPr>
            <w:tcW w:w="2175" w:type="dxa"/>
            <w:tcBorders>
              <w:bottom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123" w:type="dxa"/>
            <w:tcBorders>
              <w:bottom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二、形式评审标准</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1095" w:type="dxa"/>
            <w:vMerge w:val="restart"/>
            <w:tcBorders>
              <w:top w:val="single" w:color="auto" w:sz="4" w:space="0"/>
              <w:left w:val="single" w:color="auto" w:sz="4" w:space="0"/>
              <w:right w:val="single" w:color="auto" w:sz="4" w:space="0"/>
            </w:tcBorders>
            <w:noWrap w:val="0"/>
            <w:vAlign w:val="top"/>
          </w:tcPr>
          <w:p>
            <w:pPr>
              <w:spacing w:line="560" w:lineRule="exact"/>
              <w:rPr>
                <w:rFonts w:hint="eastAsia" w:ascii="宋体" w:hAnsi="宋体" w:cs="宋体"/>
                <w:color w:val="auto"/>
                <w:szCs w:val="21"/>
                <w:highlight w:val="none"/>
              </w:rPr>
            </w:pPr>
          </w:p>
          <w:p>
            <w:pPr>
              <w:spacing w:line="560" w:lineRule="exact"/>
              <w:rPr>
                <w:rFonts w:hint="eastAsia" w:ascii="宋体" w:hAnsi="宋体" w:cs="宋体"/>
                <w:color w:val="auto"/>
                <w:szCs w:val="21"/>
                <w:highlight w:val="none"/>
              </w:rPr>
            </w:pPr>
          </w:p>
          <w:p>
            <w:pPr>
              <w:spacing w:line="560" w:lineRule="exact"/>
              <w:rPr>
                <w:rFonts w:ascii="宋体" w:hAnsi="宋体" w:cs="宋体"/>
                <w:color w:val="auto"/>
                <w:szCs w:val="21"/>
                <w:highlight w:val="none"/>
              </w:rPr>
            </w:pPr>
            <w:r>
              <w:rPr>
                <w:rFonts w:hint="eastAsia" w:ascii="宋体" w:hAnsi="宋体" w:cs="宋体"/>
                <w:color w:val="auto"/>
                <w:szCs w:val="21"/>
                <w:highlight w:val="none"/>
              </w:rPr>
              <w:t>三、响应性评审标准</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bCs/>
                <w:iCs/>
                <w:color w:val="auto"/>
                <w:szCs w:val="21"/>
                <w:highlight w:val="none"/>
              </w:rPr>
              <w:t>供货期</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_GB2312" w:hAnsi="宋体" w:eastAsia="仿宋_GB2312"/>
                <w:color w:val="auto"/>
                <w:sz w:val="32"/>
                <w:szCs w:val="32"/>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质  量</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合格，符合国家及行业规范标准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商务报价</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1095" w:type="dxa"/>
            <w:vMerge w:val="continue"/>
            <w:tcBorders>
              <w:left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技术标准和要求</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符合第五章“采购内容及要求”规定，若不符合第五章技术标准和要求规定，将不再进行评审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807"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1095" w:type="dxa"/>
            <w:vMerge w:val="continue"/>
            <w:tcBorders>
              <w:left w:val="single" w:color="auto" w:sz="4" w:space="0"/>
              <w:bottom w:val="single" w:color="auto" w:sz="4" w:space="0"/>
              <w:right w:val="single" w:color="auto" w:sz="4" w:space="0"/>
            </w:tcBorders>
            <w:noWrap w:val="0"/>
            <w:vAlign w:val="top"/>
          </w:tcPr>
          <w:p>
            <w:pPr>
              <w:spacing w:line="560" w:lineRule="exact"/>
              <w:rPr>
                <w:rFonts w:ascii="宋体" w:hAnsi="宋体" w:cs="宋体"/>
                <w:color w:val="auto"/>
                <w:szCs w:val="21"/>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color w:val="auto"/>
                <w:szCs w:val="21"/>
                <w:highlight w:val="none"/>
              </w:rPr>
            </w:pPr>
            <w:r>
              <w:rPr>
                <w:rFonts w:hint="eastAsia" w:ascii="宋体" w:hAnsi="宋体" w:cs="宋体"/>
                <w:color w:val="auto"/>
                <w:szCs w:val="21"/>
                <w:highlight w:val="none"/>
              </w:rPr>
              <w:t>投标文件的其他响应</w:t>
            </w:r>
          </w:p>
        </w:tc>
        <w:tc>
          <w:tcPr>
            <w:tcW w:w="51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s="宋体"/>
                <w:color w:val="auto"/>
                <w:szCs w:val="21"/>
                <w:highlight w:val="none"/>
              </w:rPr>
            </w:pPr>
            <w:r>
              <w:rPr>
                <w:rFonts w:hint="eastAsia" w:ascii="宋体" w:hAnsi="宋体" w:cs="宋体"/>
                <w:color w:val="auto"/>
                <w:szCs w:val="21"/>
                <w:highlight w:val="none"/>
              </w:rPr>
              <w:t>符合法律、法规和招标文件中规定的其他实质性要求的</w:t>
            </w:r>
          </w:p>
        </w:tc>
      </w:tr>
    </w:tbl>
    <w:p>
      <w:pPr>
        <w:widowControl/>
        <w:jc w:val="center"/>
        <w:rPr>
          <w:rFonts w:hint="eastAsia" w:ascii="宋体" w:hAnsi="宋体" w:cs="宋体"/>
          <w:b/>
          <w:color w:val="auto"/>
          <w:sz w:val="24"/>
          <w:szCs w:val="24"/>
          <w:highlight w:val="none"/>
        </w:rPr>
      </w:pPr>
    </w:p>
    <w:p>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p>
      <w:pPr>
        <w:widowControl/>
        <w:jc w:val="left"/>
        <w:rPr>
          <w:rFonts w:ascii="宋体" w:hAnsi="宋体" w:cs="宋体"/>
          <w:color w:val="auto"/>
          <w:sz w:val="24"/>
          <w:szCs w:val="24"/>
          <w:highlight w:val="none"/>
        </w:rPr>
      </w:pPr>
    </w:p>
    <w:tbl>
      <w:tblPr>
        <w:tblStyle w:val="2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951"/>
        <w:gridCol w:w="1638"/>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30" w:type="dxa"/>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89" w:type="dxa"/>
            <w:gridSpan w:val="2"/>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5751" w:type="dxa"/>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30" w:type="dxa"/>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89" w:type="dxa"/>
            <w:gridSpan w:val="2"/>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c>
          <w:tcPr>
            <w:tcW w:w="5751" w:type="dxa"/>
            <w:noWrap w:val="0"/>
            <w:vAlign w:val="center"/>
          </w:tcPr>
          <w:p>
            <w:pPr>
              <w:spacing w:line="560" w:lineRule="exact"/>
              <w:rPr>
                <w:rFonts w:hint="eastAsia"/>
                <w:color w:val="auto"/>
                <w:highlight w:val="none"/>
                <w:lang w:val="zh-CN"/>
              </w:rPr>
            </w:pPr>
            <w:r>
              <w:rPr>
                <w:rFonts w:hint="eastAsia"/>
                <w:color w:val="auto"/>
                <w:highlight w:val="none"/>
                <w:lang w:val="zh-CN"/>
              </w:rPr>
              <w:t>投标报价分采用低价优先法计算，即满足招标文件要求且投标报价最低的为评审基准价，其价格分为满分（即</w:t>
            </w:r>
            <w:r>
              <w:rPr>
                <w:rFonts w:hint="eastAsia"/>
                <w:color w:val="auto"/>
                <w:highlight w:val="none"/>
                <w:lang w:val="en-US" w:eastAsia="zh-CN"/>
              </w:rPr>
              <w:t>35</w:t>
            </w:r>
            <w:r>
              <w:rPr>
                <w:rFonts w:hint="eastAsia"/>
                <w:color w:val="auto"/>
                <w:highlight w:val="none"/>
                <w:lang w:val="zh-CN"/>
              </w:rPr>
              <w:t>分）。其他投标人的价格分统一按照下列公式计算：</w:t>
            </w:r>
          </w:p>
          <w:p>
            <w:pPr>
              <w:spacing w:line="560" w:lineRule="exact"/>
              <w:rPr>
                <w:rFonts w:hint="eastAsia"/>
                <w:color w:val="auto"/>
                <w:highlight w:val="none"/>
                <w:lang w:val="zh-CN"/>
              </w:rPr>
            </w:pPr>
            <w:r>
              <w:rPr>
                <w:rFonts w:hint="eastAsia"/>
                <w:color w:val="auto"/>
                <w:highlight w:val="none"/>
                <w:lang w:val="zh-CN"/>
              </w:rPr>
              <w:t>报价得分=(评标基准价／投标报价)×价格权值（</w:t>
            </w:r>
            <w:r>
              <w:rPr>
                <w:rFonts w:hint="eastAsia"/>
                <w:color w:val="auto"/>
                <w:highlight w:val="none"/>
                <w:lang w:val="en-US" w:eastAsia="zh-CN"/>
              </w:rPr>
              <w:t>35</w:t>
            </w:r>
            <w:r>
              <w:rPr>
                <w:rFonts w:hint="eastAsia"/>
                <w:color w:val="auto"/>
                <w:highlight w:val="none"/>
                <w:lang w:val="zh-CN"/>
              </w:rPr>
              <w:t>分）</w:t>
            </w:r>
          </w:p>
          <w:p>
            <w:pPr>
              <w:spacing w:line="560" w:lineRule="exact"/>
              <w:rPr>
                <w:rFonts w:hint="eastAsia"/>
                <w:color w:val="auto"/>
                <w:highlight w:val="none"/>
              </w:rPr>
            </w:pPr>
            <w:r>
              <w:rPr>
                <w:rFonts w:hint="eastAsia" w:ascii="宋体" w:hAnsi="宋体" w:eastAsia="宋体" w:cs="宋体"/>
                <w:color w:val="auto"/>
                <w:sz w:val="21"/>
                <w:szCs w:val="21"/>
                <w:highlight w:val="none"/>
                <w:lang w:val="zh-CN"/>
              </w:rPr>
              <w:t>（价格分计算保留小数点后两位）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930" w:type="dxa"/>
            <w:vMerge w:val="restart"/>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51" w:type="dxa"/>
            <w:vMerge w:val="restart"/>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技术部分评分（</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638" w:type="dxa"/>
            <w:noWrap w:val="0"/>
            <w:vAlign w:val="center"/>
          </w:tcPr>
          <w:p>
            <w:pPr>
              <w:pStyle w:val="2"/>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技术参数</w:t>
            </w:r>
          </w:p>
          <w:p>
            <w:pPr>
              <w:pStyle w:val="2"/>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w:t>
            </w:r>
          </w:p>
        </w:tc>
        <w:tc>
          <w:tcPr>
            <w:tcW w:w="5751" w:type="dxa"/>
            <w:noWrap w:val="0"/>
            <w:vAlign w:val="center"/>
          </w:tcPr>
          <w:p>
            <w:pPr>
              <w:pStyle w:val="2"/>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lang w:val="en-US" w:eastAsia="zh-CN"/>
              </w:rPr>
              <w:t>投标产品参数必</w:t>
            </w:r>
            <w:r>
              <w:rPr>
                <w:rFonts w:hint="eastAsia" w:ascii="宋体" w:hAnsi="宋体" w:eastAsia="宋体" w:cs="宋体"/>
                <w:color w:val="auto"/>
                <w:sz w:val="21"/>
                <w:szCs w:val="21"/>
                <w:highlight w:val="none"/>
                <w:lang w:val="en-US" w:eastAsia="zh-CN"/>
              </w:rPr>
              <w:t>须完全满足招标文件参数，完全满足的得40分。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930" w:type="dxa"/>
            <w:vMerge w:val="continue"/>
            <w:noWrap w:val="0"/>
            <w:vAlign w:val="center"/>
          </w:tcPr>
          <w:p>
            <w:pPr>
              <w:widowControl/>
              <w:jc w:val="left"/>
              <w:rPr>
                <w:rFonts w:hint="eastAsia" w:ascii="宋体" w:hAnsi="宋体" w:eastAsia="宋体" w:cs="宋体"/>
                <w:color w:val="auto"/>
                <w:sz w:val="21"/>
                <w:szCs w:val="21"/>
                <w:highlight w:val="none"/>
              </w:rPr>
            </w:pPr>
          </w:p>
        </w:tc>
        <w:tc>
          <w:tcPr>
            <w:tcW w:w="951" w:type="dxa"/>
            <w:vMerge w:val="continue"/>
            <w:noWrap w:val="0"/>
            <w:vAlign w:val="center"/>
          </w:tcPr>
          <w:p>
            <w:pPr>
              <w:widowControl/>
              <w:jc w:val="left"/>
              <w:rPr>
                <w:rFonts w:hint="eastAsia" w:ascii="宋体" w:hAnsi="宋体" w:eastAsia="宋体" w:cs="宋体"/>
                <w:color w:val="auto"/>
                <w:sz w:val="21"/>
                <w:szCs w:val="21"/>
                <w:highlight w:val="none"/>
              </w:rPr>
            </w:pPr>
          </w:p>
        </w:tc>
        <w:tc>
          <w:tcPr>
            <w:tcW w:w="1638" w:type="dxa"/>
            <w:noWrap w:val="0"/>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ascii="宋体-WinCharSetFFFF-H" w:hAnsi="宋体-WinCharSetFFFF-H" w:eastAsia="宋体-WinCharSetFFFF-H" w:cs="宋体-WinCharSetFFFF-H"/>
                <w:color w:val="auto"/>
                <w:kern w:val="0"/>
                <w:sz w:val="20"/>
                <w:szCs w:val="20"/>
                <w:highlight w:val="none"/>
                <w:lang w:val="en-US" w:eastAsia="zh-CN" w:bidi="ar"/>
              </w:rPr>
              <w:t>投标</w:t>
            </w:r>
            <w:r>
              <w:rPr>
                <w:rFonts w:hint="default" w:ascii="宋体-WinCharSetFFFF-H" w:hAnsi="宋体-WinCharSetFFFF-H" w:eastAsia="宋体-WinCharSetFFFF-H" w:cs="宋体-WinCharSetFFFF-H"/>
                <w:color w:val="auto"/>
                <w:kern w:val="0"/>
                <w:sz w:val="20"/>
                <w:szCs w:val="20"/>
                <w:highlight w:val="none"/>
                <w:lang w:val="en-US" w:eastAsia="zh-CN" w:bidi="ar"/>
              </w:rPr>
              <w:t>货物</w:t>
            </w:r>
            <w:r>
              <w:rPr>
                <w:rFonts w:hint="eastAsia" w:ascii="宋体-WinCharSetFFFF-H" w:hAnsi="宋体-WinCharSetFFFF-H" w:eastAsia="宋体-WinCharSetFFFF-H" w:cs="宋体-WinCharSetFFFF-H"/>
                <w:color w:val="auto"/>
                <w:kern w:val="0"/>
                <w:sz w:val="20"/>
                <w:szCs w:val="20"/>
                <w:highlight w:val="none"/>
                <w:lang w:val="en-US" w:eastAsia="zh-CN" w:bidi="ar"/>
              </w:rPr>
              <w:t>实用性</w:t>
            </w:r>
            <w:r>
              <w:rPr>
                <w:rFonts w:hint="eastAsia"/>
                <w:color w:val="auto"/>
                <w:highlight w:val="none"/>
                <w:lang w:val="en-US" w:eastAsia="zh-CN"/>
              </w:rPr>
              <w:t>、耐用性</w:t>
            </w:r>
            <w:r>
              <w:rPr>
                <w:rFonts w:hint="eastAsia" w:ascii="宋体-WinCharSetFFFF-H" w:hAnsi="宋体-WinCharSetFFFF-H" w:eastAsia="宋体-WinCharSetFFFF-H" w:cs="宋体-WinCharSetFFFF-H"/>
                <w:color w:val="auto"/>
                <w:kern w:val="0"/>
                <w:sz w:val="20"/>
                <w:szCs w:val="20"/>
                <w:highlight w:val="none"/>
                <w:lang w:val="en-US" w:eastAsia="zh-CN" w:bidi="ar"/>
              </w:rPr>
              <w:t>（5分）</w:t>
            </w:r>
            <w:r>
              <w:rPr>
                <w:rFonts w:hint="default" w:ascii="宋体-WinCharSetFFFF-H" w:hAnsi="宋体-WinCharSetFFFF-H" w:eastAsia="宋体-WinCharSetFFFF-H" w:cs="宋体-WinCharSetFFFF-H"/>
                <w:color w:val="auto"/>
                <w:kern w:val="0"/>
                <w:sz w:val="20"/>
                <w:szCs w:val="20"/>
                <w:highlight w:val="none"/>
                <w:lang w:val="en-US" w:eastAsia="zh-CN" w:bidi="ar"/>
              </w:rPr>
              <w:t xml:space="preserve"> </w:t>
            </w:r>
          </w:p>
        </w:tc>
        <w:tc>
          <w:tcPr>
            <w:tcW w:w="57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tLeast"/>
              <w:ind w:left="0" w:leftChars="0" w:firstLine="0" w:firstLineChars="0"/>
              <w:jc w:val="left"/>
              <w:textAlignment w:val="auto"/>
              <w:rPr>
                <w:rFonts w:hint="eastAsia"/>
                <w:color w:val="auto"/>
                <w:highlight w:val="none"/>
                <w:lang w:val="en-US" w:eastAsia="zh-CN"/>
              </w:rPr>
            </w:pPr>
            <w:r>
              <w:rPr>
                <w:rFonts w:hint="eastAsia"/>
                <w:color w:val="auto"/>
                <w:highlight w:val="none"/>
                <w:lang w:val="en-US" w:eastAsia="zh-CN"/>
              </w:rPr>
              <w:t>根据投标人投标货物的</w:t>
            </w:r>
            <w:r>
              <w:rPr>
                <w:rFonts w:hint="eastAsia" w:ascii="宋体-WinCharSetFFFF-H" w:hAnsi="宋体-WinCharSetFFFF-H" w:eastAsia="宋体-WinCharSetFFFF-H" w:cs="宋体-WinCharSetFFFF-H"/>
                <w:color w:val="auto"/>
                <w:kern w:val="0"/>
                <w:sz w:val="20"/>
                <w:szCs w:val="20"/>
                <w:highlight w:val="none"/>
                <w:lang w:val="en-US" w:eastAsia="zh-CN" w:bidi="ar"/>
              </w:rPr>
              <w:t>实用性</w:t>
            </w:r>
            <w:r>
              <w:rPr>
                <w:rFonts w:hint="eastAsia"/>
                <w:color w:val="auto"/>
                <w:highlight w:val="none"/>
                <w:lang w:val="en-US" w:eastAsia="zh-CN"/>
              </w:rPr>
              <w:t>、耐用性进行评比：</w:t>
            </w:r>
          </w:p>
          <w:p>
            <w:pPr>
              <w:keepNext w:val="0"/>
              <w:keepLines w:val="0"/>
              <w:pageBreakBefore w:val="0"/>
              <w:widowControl/>
              <w:suppressLineNumbers w:val="0"/>
              <w:kinsoku/>
              <w:wordWrap/>
              <w:overflowPunct/>
              <w:topLinePunct w:val="0"/>
              <w:autoSpaceDE/>
              <w:autoSpaceDN/>
              <w:bidi w:val="0"/>
              <w:adjustRightInd w:val="0"/>
              <w:snapToGrid w:val="0"/>
              <w:spacing w:line="360" w:lineRule="atLeast"/>
              <w:ind w:left="0" w:leftChars="0" w:firstLine="0" w:firstLineChars="0"/>
              <w:jc w:val="left"/>
              <w:textAlignment w:val="auto"/>
              <w:rPr>
                <w:rFonts w:hint="eastAsia"/>
                <w:color w:val="auto"/>
                <w:highlight w:val="none"/>
                <w:lang w:val="en-US" w:eastAsia="zh-CN"/>
              </w:rPr>
            </w:pPr>
            <w:r>
              <w:rPr>
                <w:rFonts w:hint="eastAsia"/>
                <w:color w:val="auto"/>
                <w:highlight w:val="none"/>
                <w:lang w:val="en-US" w:eastAsia="zh-CN"/>
              </w:rPr>
              <w:t>投标产品</w:t>
            </w:r>
            <w:r>
              <w:rPr>
                <w:rFonts w:hint="eastAsia" w:ascii="宋体-WinCharSetFFFF-H" w:hAnsi="宋体-WinCharSetFFFF-H" w:eastAsia="宋体-WinCharSetFFFF-H" w:cs="宋体-WinCharSetFFFF-H"/>
                <w:color w:val="auto"/>
                <w:kern w:val="0"/>
                <w:sz w:val="20"/>
                <w:szCs w:val="20"/>
                <w:highlight w:val="none"/>
                <w:lang w:val="en-US" w:eastAsia="zh-CN" w:bidi="ar"/>
              </w:rPr>
              <w:t>实用性</w:t>
            </w:r>
            <w:r>
              <w:rPr>
                <w:rFonts w:hint="eastAsia"/>
                <w:color w:val="auto"/>
                <w:highlight w:val="none"/>
                <w:lang w:val="en-US" w:eastAsia="zh-CN"/>
              </w:rPr>
              <w:t>、耐用性高的，得5分；</w:t>
            </w:r>
          </w:p>
          <w:p>
            <w:pPr>
              <w:keepNext w:val="0"/>
              <w:keepLines w:val="0"/>
              <w:pageBreakBefore w:val="0"/>
              <w:widowControl/>
              <w:suppressLineNumbers w:val="0"/>
              <w:kinsoku/>
              <w:wordWrap/>
              <w:overflowPunct/>
              <w:topLinePunct w:val="0"/>
              <w:autoSpaceDE/>
              <w:autoSpaceDN/>
              <w:bidi w:val="0"/>
              <w:adjustRightInd w:val="0"/>
              <w:snapToGrid w:val="0"/>
              <w:spacing w:line="360" w:lineRule="atLeast"/>
              <w:ind w:left="0" w:leftChars="0" w:firstLine="0" w:firstLineChars="0"/>
              <w:jc w:val="left"/>
              <w:textAlignment w:val="auto"/>
              <w:rPr>
                <w:rFonts w:hint="eastAsia"/>
                <w:color w:val="auto"/>
                <w:highlight w:val="none"/>
                <w:lang w:val="en-US" w:eastAsia="zh-CN"/>
              </w:rPr>
            </w:pPr>
            <w:r>
              <w:rPr>
                <w:rFonts w:hint="eastAsia"/>
                <w:color w:val="auto"/>
                <w:highlight w:val="none"/>
                <w:lang w:val="en-US" w:eastAsia="zh-CN"/>
              </w:rPr>
              <w:t>投标产品</w:t>
            </w:r>
            <w:r>
              <w:rPr>
                <w:rFonts w:hint="eastAsia" w:ascii="宋体-WinCharSetFFFF-H" w:hAnsi="宋体-WinCharSetFFFF-H" w:eastAsia="宋体-WinCharSetFFFF-H" w:cs="宋体-WinCharSetFFFF-H"/>
                <w:color w:val="auto"/>
                <w:kern w:val="0"/>
                <w:sz w:val="20"/>
                <w:szCs w:val="20"/>
                <w:highlight w:val="none"/>
                <w:lang w:val="en-US" w:eastAsia="zh-CN" w:bidi="ar"/>
              </w:rPr>
              <w:t>实用性</w:t>
            </w:r>
            <w:r>
              <w:rPr>
                <w:rFonts w:hint="eastAsia"/>
                <w:color w:val="auto"/>
                <w:highlight w:val="none"/>
                <w:lang w:val="en-US" w:eastAsia="zh-CN"/>
              </w:rPr>
              <w:t>、耐用性高的，得 3 分；</w:t>
            </w:r>
          </w:p>
          <w:p>
            <w:pPr>
              <w:keepNext w:val="0"/>
              <w:keepLines w:val="0"/>
              <w:pageBreakBefore w:val="0"/>
              <w:widowControl/>
              <w:suppressLineNumbers w:val="0"/>
              <w:kinsoku/>
              <w:wordWrap/>
              <w:overflowPunct/>
              <w:topLinePunct w:val="0"/>
              <w:autoSpaceDE/>
              <w:autoSpaceDN/>
              <w:bidi w:val="0"/>
              <w:adjustRightInd w:val="0"/>
              <w:snapToGrid w:val="0"/>
              <w:spacing w:line="360" w:lineRule="atLeast"/>
              <w:ind w:left="0" w:leftChars="0" w:firstLine="0" w:firstLineChars="0"/>
              <w:jc w:val="left"/>
              <w:textAlignment w:val="auto"/>
              <w:rPr>
                <w:rFonts w:hint="eastAsia"/>
                <w:color w:val="auto"/>
                <w:highlight w:val="none"/>
                <w:lang w:val="en-US" w:eastAsia="zh-CN"/>
              </w:rPr>
            </w:pPr>
            <w:r>
              <w:rPr>
                <w:rFonts w:hint="eastAsia"/>
                <w:color w:val="auto"/>
                <w:highlight w:val="none"/>
                <w:lang w:val="en-US" w:eastAsia="zh-CN"/>
              </w:rPr>
              <w:t>投标产品</w:t>
            </w:r>
            <w:r>
              <w:rPr>
                <w:rFonts w:hint="eastAsia" w:ascii="宋体-WinCharSetFFFF-H" w:hAnsi="宋体-WinCharSetFFFF-H" w:eastAsia="宋体-WinCharSetFFFF-H" w:cs="宋体-WinCharSetFFFF-H"/>
                <w:color w:val="auto"/>
                <w:kern w:val="0"/>
                <w:sz w:val="20"/>
                <w:szCs w:val="20"/>
                <w:highlight w:val="none"/>
                <w:lang w:val="en-US" w:eastAsia="zh-CN" w:bidi="ar"/>
              </w:rPr>
              <w:t>实用性</w:t>
            </w:r>
            <w:r>
              <w:rPr>
                <w:rFonts w:hint="eastAsia"/>
                <w:color w:val="auto"/>
                <w:highlight w:val="none"/>
                <w:lang w:val="en-US" w:eastAsia="zh-CN"/>
              </w:rPr>
              <w:t>、耐用性一般的，得 1 分。</w:t>
            </w:r>
          </w:p>
          <w:p>
            <w:pPr>
              <w:pStyle w:val="13"/>
              <w:rPr>
                <w:rFonts w:hint="eastAsia"/>
                <w:color w:val="auto"/>
                <w:highlight w:val="none"/>
              </w:rPr>
            </w:pPr>
            <w:r>
              <w:rPr>
                <w:rFonts w:hint="eastAsia" w:ascii="宋体-WinCharSetFFFF-H" w:hAnsi="宋体-WinCharSetFFFF-H" w:eastAsia="宋体-WinCharSetFFFF-H" w:cs="宋体-WinCharSetFFFF-H"/>
                <w:color w:val="auto"/>
                <w:kern w:val="0"/>
                <w:sz w:val="20"/>
                <w:szCs w:val="20"/>
                <w:highlight w:val="none"/>
                <w:lang w:val="en-US" w:eastAsia="zh-CN" w:bidi="ar"/>
              </w:rPr>
              <w:t>注：以上不累计得分，如有缺项则该项得0分。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930" w:type="dxa"/>
            <w:vMerge w:val="continue"/>
            <w:noWrap w:val="0"/>
            <w:vAlign w:val="center"/>
          </w:tcPr>
          <w:p>
            <w:pPr>
              <w:widowControl/>
              <w:jc w:val="left"/>
              <w:rPr>
                <w:rFonts w:hint="eastAsia" w:ascii="宋体" w:hAnsi="宋体" w:eastAsia="宋体" w:cs="宋体"/>
                <w:color w:val="auto"/>
                <w:sz w:val="21"/>
                <w:szCs w:val="21"/>
                <w:highlight w:val="none"/>
              </w:rPr>
            </w:pPr>
          </w:p>
        </w:tc>
        <w:tc>
          <w:tcPr>
            <w:tcW w:w="951" w:type="dxa"/>
            <w:vMerge w:val="continue"/>
            <w:noWrap w:val="0"/>
            <w:vAlign w:val="center"/>
          </w:tcPr>
          <w:p>
            <w:pPr>
              <w:widowControl/>
              <w:jc w:val="left"/>
              <w:rPr>
                <w:rFonts w:hint="eastAsia" w:ascii="宋体" w:hAnsi="宋体" w:eastAsia="宋体" w:cs="宋体"/>
                <w:color w:val="auto"/>
                <w:sz w:val="21"/>
                <w:szCs w:val="21"/>
                <w:highlight w:val="none"/>
              </w:rPr>
            </w:pPr>
          </w:p>
        </w:tc>
        <w:tc>
          <w:tcPr>
            <w:tcW w:w="1638" w:type="dxa"/>
            <w:noWrap w:val="0"/>
            <w:vAlign w:val="center"/>
          </w:tcPr>
          <w:p>
            <w:pPr>
              <w:pStyle w:val="2"/>
              <w:ind w:left="0" w:leftChars="0" w:firstLine="0" w:firstLineChars="0"/>
              <w:jc w:val="center"/>
              <w:rPr>
                <w:rFonts w:ascii="宋体-WinCharSetFFFF-H" w:hAnsi="宋体-WinCharSetFFFF-H" w:eastAsia="宋体-WinCharSetFFFF-H" w:cs="宋体-WinCharSetFFFF-H"/>
                <w:color w:val="auto"/>
                <w:kern w:val="0"/>
                <w:sz w:val="20"/>
                <w:szCs w:val="20"/>
                <w:highlight w:val="none"/>
                <w:lang w:val="en-US" w:eastAsia="zh-CN" w:bidi="ar"/>
              </w:rPr>
            </w:pPr>
            <w:r>
              <w:rPr>
                <w:rFonts w:hint="eastAsia" w:ascii="宋体" w:hAnsi="宋体" w:eastAsia="宋体" w:cs="宋体"/>
                <w:color w:val="auto"/>
                <w:sz w:val="21"/>
                <w:szCs w:val="21"/>
                <w:highlight w:val="none"/>
                <w:lang w:val="en-US" w:eastAsia="zh-CN"/>
              </w:rPr>
              <w:t>供货方案（</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75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tLeast"/>
              <w:ind w:left="0" w:leftChars="0" w:firstLine="0" w:firstLineChars="0"/>
              <w:jc w:val="left"/>
              <w:textAlignment w:val="auto"/>
              <w:rPr>
                <w:rFonts w:hint="eastAsia" w:ascii="宋体-WinCharSetFFFF-H" w:hAnsi="宋体-WinCharSetFFFF-H" w:eastAsia="宋体-WinCharSetFFFF-H" w:cs="宋体-WinCharSetFFFF-H"/>
                <w:color w:val="auto"/>
                <w:kern w:val="0"/>
                <w:sz w:val="20"/>
                <w:szCs w:val="20"/>
                <w:highlight w:val="none"/>
                <w:lang w:val="en-US" w:eastAsia="zh-CN" w:bidi="ar"/>
              </w:rPr>
            </w:pPr>
            <w:r>
              <w:rPr>
                <w:rFonts w:hint="eastAsia" w:ascii="宋体-WinCharSetFFFF-H" w:hAnsi="宋体-WinCharSetFFFF-H" w:eastAsia="宋体-WinCharSetFFFF-H" w:cs="宋体-WinCharSetFFFF-H"/>
                <w:color w:val="auto"/>
                <w:kern w:val="0"/>
                <w:sz w:val="20"/>
                <w:szCs w:val="20"/>
                <w:highlight w:val="none"/>
                <w:lang w:val="en-US" w:eastAsia="zh-CN" w:bidi="ar"/>
              </w:rPr>
              <w:t>内容细致、有针对性、切实可行得5分；</w:t>
            </w:r>
          </w:p>
          <w:p>
            <w:pPr>
              <w:keepNext w:val="0"/>
              <w:keepLines w:val="0"/>
              <w:pageBreakBefore w:val="0"/>
              <w:widowControl/>
              <w:suppressLineNumbers w:val="0"/>
              <w:kinsoku/>
              <w:wordWrap/>
              <w:overflowPunct/>
              <w:topLinePunct w:val="0"/>
              <w:autoSpaceDE/>
              <w:autoSpaceDN/>
              <w:bidi w:val="0"/>
              <w:adjustRightInd w:val="0"/>
              <w:snapToGrid w:val="0"/>
              <w:spacing w:line="360" w:lineRule="atLeast"/>
              <w:ind w:left="0" w:leftChars="0" w:firstLine="0" w:firstLineChars="0"/>
              <w:jc w:val="left"/>
              <w:textAlignment w:val="auto"/>
              <w:rPr>
                <w:rFonts w:hint="eastAsia" w:ascii="宋体-WinCharSetFFFF-H" w:hAnsi="宋体-WinCharSetFFFF-H" w:eastAsia="宋体-WinCharSetFFFF-H" w:cs="宋体-WinCharSetFFFF-H"/>
                <w:color w:val="auto"/>
                <w:kern w:val="0"/>
                <w:sz w:val="20"/>
                <w:szCs w:val="20"/>
                <w:highlight w:val="none"/>
                <w:lang w:val="en-US" w:eastAsia="zh-CN" w:bidi="ar"/>
              </w:rPr>
            </w:pPr>
            <w:r>
              <w:rPr>
                <w:rFonts w:hint="eastAsia" w:ascii="宋体-WinCharSetFFFF-H" w:hAnsi="宋体-WinCharSetFFFF-H" w:eastAsia="宋体-WinCharSetFFFF-H" w:cs="宋体-WinCharSetFFFF-H"/>
                <w:color w:val="auto"/>
                <w:kern w:val="0"/>
                <w:sz w:val="20"/>
                <w:szCs w:val="20"/>
                <w:highlight w:val="none"/>
                <w:lang w:val="en-US" w:eastAsia="zh-CN" w:bidi="ar"/>
              </w:rPr>
              <w:t>内容基本全面、合理、可行得3分；</w:t>
            </w:r>
          </w:p>
          <w:p>
            <w:pPr>
              <w:keepNext w:val="0"/>
              <w:keepLines w:val="0"/>
              <w:pageBreakBefore w:val="0"/>
              <w:widowControl/>
              <w:suppressLineNumbers w:val="0"/>
              <w:kinsoku/>
              <w:wordWrap/>
              <w:overflowPunct/>
              <w:topLinePunct w:val="0"/>
              <w:autoSpaceDE/>
              <w:autoSpaceDN/>
              <w:bidi w:val="0"/>
              <w:adjustRightInd w:val="0"/>
              <w:snapToGrid w:val="0"/>
              <w:spacing w:line="360" w:lineRule="atLeast"/>
              <w:ind w:left="0" w:leftChars="0" w:firstLine="0" w:firstLineChars="0"/>
              <w:jc w:val="left"/>
              <w:textAlignment w:val="auto"/>
              <w:rPr>
                <w:rFonts w:hint="eastAsia" w:ascii="宋体-WinCharSetFFFF-H" w:hAnsi="宋体-WinCharSetFFFF-H" w:eastAsia="宋体-WinCharSetFFFF-H" w:cs="宋体-WinCharSetFFFF-H"/>
                <w:color w:val="auto"/>
                <w:kern w:val="0"/>
                <w:sz w:val="20"/>
                <w:szCs w:val="20"/>
                <w:highlight w:val="none"/>
                <w:lang w:val="en-US" w:eastAsia="zh-CN" w:bidi="ar"/>
              </w:rPr>
            </w:pPr>
            <w:r>
              <w:rPr>
                <w:rFonts w:hint="eastAsia" w:ascii="宋体-WinCharSetFFFF-H" w:hAnsi="宋体-WinCharSetFFFF-H" w:eastAsia="宋体-WinCharSetFFFF-H" w:cs="宋体-WinCharSetFFFF-H"/>
                <w:color w:val="auto"/>
                <w:kern w:val="0"/>
                <w:sz w:val="20"/>
                <w:szCs w:val="20"/>
                <w:highlight w:val="none"/>
                <w:lang w:val="en-US" w:eastAsia="zh-CN" w:bidi="ar"/>
              </w:rPr>
              <w:t>内容不全或个别内容不可行得1分；</w:t>
            </w:r>
          </w:p>
          <w:p>
            <w:pPr>
              <w:keepNext w:val="0"/>
              <w:keepLines w:val="0"/>
              <w:pageBreakBefore w:val="0"/>
              <w:widowControl/>
              <w:suppressLineNumbers w:val="0"/>
              <w:kinsoku/>
              <w:wordWrap/>
              <w:overflowPunct/>
              <w:topLinePunct w:val="0"/>
              <w:autoSpaceDE/>
              <w:autoSpaceDN/>
              <w:bidi w:val="0"/>
              <w:adjustRightInd w:val="0"/>
              <w:snapToGrid w:val="0"/>
              <w:spacing w:line="360" w:lineRule="atLeast"/>
              <w:ind w:left="0" w:leftChars="0" w:firstLine="0" w:firstLineChars="0"/>
              <w:jc w:val="left"/>
              <w:textAlignment w:val="auto"/>
              <w:rPr>
                <w:rFonts w:hint="eastAsia" w:ascii="宋体-WinCharSetFFFF-H" w:hAnsi="宋体-WinCharSetFFFF-H" w:eastAsia="宋体-WinCharSetFFFF-H" w:cs="宋体-WinCharSetFFFF-H"/>
                <w:color w:val="auto"/>
                <w:kern w:val="0"/>
                <w:sz w:val="20"/>
                <w:szCs w:val="20"/>
                <w:highlight w:val="none"/>
                <w:lang w:val="en-US" w:eastAsia="zh-CN" w:bidi="ar"/>
              </w:rPr>
            </w:pPr>
            <w:r>
              <w:rPr>
                <w:rFonts w:hint="eastAsia" w:ascii="宋体-WinCharSetFFFF-H" w:hAnsi="宋体-WinCharSetFFFF-H" w:eastAsia="宋体-WinCharSetFFFF-H" w:cs="宋体-WinCharSetFFFF-H"/>
                <w:color w:val="auto"/>
                <w:kern w:val="0"/>
                <w:sz w:val="20"/>
                <w:szCs w:val="20"/>
                <w:highlight w:val="none"/>
                <w:lang w:val="en-US" w:eastAsia="zh-CN" w:bidi="ar"/>
              </w:rPr>
              <w:t>注：以上不累计得分，如有缺项则该项得0分。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930" w:type="dxa"/>
            <w:vMerge w:val="continue"/>
            <w:noWrap w:val="0"/>
            <w:vAlign w:val="center"/>
          </w:tcPr>
          <w:p>
            <w:pPr>
              <w:widowControl/>
              <w:jc w:val="left"/>
              <w:rPr>
                <w:rFonts w:hint="eastAsia" w:ascii="宋体" w:hAnsi="宋体" w:eastAsia="宋体" w:cs="宋体"/>
                <w:color w:val="auto"/>
                <w:sz w:val="21"/>
                <w:szCs w:val="21"/>
                <w:highlight w:val="none"/>
              </w:rPr>
            </w:pPr>
          </w:p>
        </w:tc>
        <w:tc>
          <w:tcPr>
            <w:tcW w:w="951" w:type="dxa"/>
            <w:vMerge w:val="continue"/>
            <w:noWrap w:val="0"/>
            <w:vAlign w:val="center"/>
          </w:tcPr>
          <w:p>
            <w:pPr>
              <w:widowControl/>
              <w:jc w:val="left"/>
              <w:rPr>
                <w:rFonts w:hint="eastAsia" w:ascii="宋体" w:hAnsi="宋体" w:eastAsia="宋体" w:cs="宋体"/>
                <w:color w:val="auto"/>
                <w:sz w:val="21"/>
                <w:szCs w:val="21"/>
                <w:highlight w:val="none"/>
              </w:rPr>
            </w:pPr>
          </w:p>
        </w:tc>
        <w:tc>
          <w:tcPr>
            <w:tcW w:w="1638" w:type="dxa"/>
            <w:noWrap w:val="0"/>
            <w:vAlign w:val="center"/>
          </w:tcPr>
          <w:p>
            <w:pPr>
              <w:pStyle w:val="23"/>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b w:val="0"/>
                <w:bCs w:val="0"/>
                <w:color w:val="auto"/>
                <w:sz w:val="21"/>
                <w:szCs w:val="21"/>
                <w:highlight w:val="none"/>
                <w:lang w:val="en-US" w:eastAsia="zh-CN" w:bidi="zh-CN"/>
              </w:rPr>
              <w:t>质量保证（</w:t>
            </w:r>
            <w:r>
              <w:rPr>
                <w:rFonts w:hint="eastAsia" w:ascii="宋体" w:cs="宋体"/>
                <w:b w:val="0"/>
                <w:bCs w:val="0"/>
                <w:color w:val="auto"/>
                <w:sz w:val="21"/>
                <w:szCs w:val="21"/>
                <w:highlight w:val="none"/>
                <w:lang w:val="en-US" w:eastAsia="zh-CN" w:bidi="zh-CN"/>
              </w:rPr>
              <w:t>5</w:t>
            </w:r>
            <w:r>
              <w:rPr>
                <w:rFonts w:hint="eastAsia" w:ascii="宋体" w:eastAsia="宋体" w:cs="宋体"/>
                <w:b w:val="0"/>
                <w:bCs w:val="0"/>
                <w:color w:val="auto"/>
                <w:sz w:val="21"/>
                <w:szCs w:val="21"/>
                <w:highlight w:val="none"/>
                <w:lang w:val="en-US" w:eastAsia="zh-CN" w:bidi="zh-CN"/>
              </w:rPr>
              <w:t>分）</w:t>
            </w:r>
          </w:p>
        </w:tc>
        <w:tc>
          <w:tcPr>
            <w:tcW w:w="5751"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color w:val="auto"/>
                <w:highlight w:val="none"/>
                <w:lang w:val="en-US" w:eastAsia="zh-CN"/>
              </w:rPr>
            </w:pPr>
            <w:r>
              <w:rPr>
                <w:rFonts w:hint="eastAsia"/>
                <w:color w:val="auto"/>
                <w:highlight w:val="none"/>
                <w:lang w:val="en-US" w:eastAsia="zh-CN"/>
              </w:rPr>
              <w:t>投标人对投产品质量保证先进性、安全性等全面合理可行的得5分；</w:t>
            </w:r>
          </w:p>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color w:val="auto"/>
                <w:highlight w:val="none"/>
                <w:lang w:val="en-US" w:eastAsia="zh-CN"/>
              </w:rPr>
            </w:pPr>
            <w:r>
              <w:rPr>
                <w:rFonts w:hint="eastAsia"/>
                <w:color w:val="auto"/>
                <w:highlight w:val="none"/>
                <w:lang w:val="en-US" w:eastAsia="zh-CN"/>
              </w:rPr>
              <w:t>投标人对投产品质量保证先进性、安全性等基本合理可行的得3分；</w:t>
            </w:r>
          </w:p>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color w:val="auto"/>
                <w:highlight w:val="none"/>
                <w:lang w:val="en-US" w:eastAsia="zh-CN"/>
              </w:rPr>
            </w:pPr>
            <w:r>
              <w:rPr>
                <w:rFonts w:hint="eastAsia"/>
                <w:color w:val="auto"/>
                <w:highlight w:val="none"/>
                <w:lang w:val="en-US" w:eastAsia="zh-CN"/>
              </w:rPr>
              <w:t>投标人对投产品质量保证先进性、安全性等不够全面，个别不合理不可行的得1分；</w:t>
            </w:r>
          </w:p>
          <w:p>
            <w:pPr>
              <w:pStyle w:val="13"/>
              <w:rPr>
                <w:rFonts w:hint="eastAsia" w:ascii="宋体" w:hAnsi="宋体" w:eastAsia="宋体" w:cs="宋体"/>
                <w:color w:val="auto"/>
                <w:kern w:val="2"/>
                <w:sz w:val="21"/>
                <w:szCs w:val="21"/>
                <w:highlight w:val="none"/>
                <w:lang w:val="en-US" w:eastAsia="zh-CN" w:bidi="ar-SA"/>
              </w:rPr>
            </w:pPr>
            <w:r>
              <w:rPr>
                <w:rFonts w:hint="default"/>
                <w:color w:val="auto"/>
                <w:highlight w:val="none"/>
                <w:lang w:val="en-US" w:eastAsia="zh-CN"/>
              </w:rPr>
              <w:t>注：以上不累计得分，如有缺项则该项得0分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0" w:type="dxa"/>
            <w:vMerge w:val="restart"/>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51" w:type="dxa"/>
            <w:vMerge w:val="restart"/>
            <w:noWrap w:val="0"/>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商务部分评分（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638" w:type="dxa"/>
            <w:noWrap w:val="0"/>
            <w:vAlign w:val="center"/>
          </w:tcPr>
          <w:p>
            <w:pPr>
              <w:pStyle w:val="2"/>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751"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投标人提供完善的售后服务计划。根据投标人提供的售后服务计划可行性、响应时间、到达现场时间等，内容细致、有针对性、切实可行得</w:t>
            </w:r>
            <w:r>
              <w:rPr>
                <w:rFonts w:hint="default" w:cs="宋体"/>
                <w:color w:val="auto"/>
                <w:highlight w:val="none"/>
                <w:lang w:val="en-US" w:eastAsia="zh-CN"/>
              </w:rPr>
              <w:t>5</w:t>
            </w:r>
            <w:r>
              <w:rPr>
                <w:rFonts w:hint="eastAsia" w:ascii="宋体" w:hAnsi="宋体" w:eastAsia="宋体" w:cs="宋体"/>
                <w:color w:val="auto"/>
                <w:highlight w:val="none"/>
                <w:lang w:val="en-US" w:eastAsia="zh-CN"/>
              </w:rPr>
              <w:t>分；</w:t>
            </w:r>
          </w:p>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内容基本全面、合理、可行得</w:t>
            </w:r>
            <w:r>
              <w:rPr>
                <w:rFonts w:hint="eastAsia" w:cs="宋体"/>
                <w:color w:val="auto"/>
                <w:highlight w:val="none"/>
                <w:lang w:val="en-US" w:eastAsia="zh-CN"/>
              </w:rPr>
              <w:t>3</w:t>
            </w:r>
            <w:r>
              <w:rPr>
                <w:rFonts w:hint="eastAsia" w:ascii="宋体" w:hAnsi="宋体" w:eastAsia="宋体" w:cs="宋体"/>
                <w:color w:val="auto"/>
                <w:highlight w:val="none"/>
                <w:lang w:val="en-US" w:eastAsia="zh-CN"/>
              </w:rPr>
              <w:t>分；</w:t>
            </w:r>
          </w:p>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内容不全或个别内容不可行得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pPr>
              <w:pStyle w:val="27"/>
              <w:adjustRightInd w:val="0"/>
              <w:snapToGrid w:val="0"/>
              <w:spacing w:line="420" w:lineRule="atLeast"/>
              <w:ind w:left="0" w:leftChars="0" w:firstLine="0" w:firstLineChars="0"/>
              <w:jc w:val="left"/>
              <w:rPr>
                <w:rFonts w:hint="eastAsia" w:ascii="宋体" w:hAnsi="宋体" w:eastAsia="宋体" w:cs="宋体"/>
                <w:color w:val="auto"/>
                <w:sz w:val="21"/>
                <w:szCs w:val="21"/>
                <w:highlight w:val="none"/>
              </w:rPr>
            </w:pPr>
            <w:r>
              <w:rPr>
                <w:rFonts w:hint="eastAsia" w:ascii="Times New Roman" w:hAnsi="Times New Roman" w:eastAsia="宋体" w:cs="Times New Roman"/>
                <w:color w:val="auto"/>
                <w:kern w:val="2"/>
                <w:sz w:val="21"/>
                <w:szCs w:val="24"/>
                <w:highlight w:val="none"/>
                <w:lang w:val="en-US" w:eastAsia="zh-CN" w:bidi="ar-SA"/>
              </w:rPr>
              <w:t>注：以上不累计得分，如有缺项则该项得0分。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30" w:type="dxa"/>
            <w:vMerge w:val="continue"/>
            <w:noWrap w:val="0"/>
            <w:vAlign w:val="center"/>
          </w:tcPr>
          <w:p>
            <w:pPr>
              <w:widowControl/>
              <w:jc w:val="left"/>
              <w:rPr>
                <w:rFonts w:hint="eastAsia" w:ascii="宋体" w:hAnsi="宋体" w:eastAsia="宋体" w:cs="宋体"/>
                <w:color w:val="auto"/>
                <w:sz w:val="21"/>
                <w:szCs w:val="21"/>
                <w:highlight w:val="none"/>
              </w:rPr>
            </w:pPr>
          </w:p>
        </w:tc>
        <w:tc>
          <w:tcPr>
            <w:tcW w:w="951" w:type="dxa"/>
            <w:vMerge w:val="continue"/>
            <w:noWrap w:val="0"/>
            <w:vAlign w:val="center"/>
          </w:tcPr>
          <w:p>
            <w:pPr>
              <w:widowControl/>
              <w:jc w:val="left"/>
              <w:rPr>
                <w:rFonts w:hint="eastAsia" w:ascii="宋体" w:hAnsi="宋体" w:eastAsia="宋体" w:cs="宋体"/>
                <w:color w:val="auto"/>
                <w:sz w:val="21"/>
                <w:szCs w:val="21"/>
                <w:highlight w:val="none"/>
              </w:rPr>
            </w:pPr>
          </w:p>
        </w:tc>
        <w:tc>
          <w:tcPr>
            <w:tcW w:w="1638" w:type="dxa"/>
            <w:noWrap w:val="0"/>
            <w:vAlign w:val="center"/>
          </w:tcPr>
          <w:p>
            <w:pPr>
              <w:pageBreakBefore w:val="0"/>
              <w:wordWrap/>
              <w:topLinePunct w:val="0"/>
              <w:bidi w:val="0"/>
              <w:adjustRightInd w:val="0"/>
              <w:snapToGrid w:val="0"/>
              <w:spacing w:line="420" w:lineRule="atLeast"/>
              <w:ind w:right="0" w:rightChars="0"/>
              <w:jc w:val="center"/>
              <w:rPr>
                <w:rFonts w:hint="eastAsia" w:cs="宋体"/>
                <w:color w:val="auto"/>
                <w:spacing w:val="0"/>
                <w:kern w:val="21"/>
                <w:sz w:val="22"/>
                <w:szCs w:val="22"/>
                <w:highlight w:val="none"/>
                <w:lang w:val="en-US" w:eastAsia="zh-CN"/>
              </w:rPr>
            </w:pPr>
            <w:r>
              <w:rPr>
                <w:rFonts w:hint="eastAsia" w:cs="宋体"/>
                <w:color w:val="auto"/>
                <w:spacing w:val="0"/>
                <w:kern w:val="21"/>
                <w:sz w:val="22"/>
                <w:szCs w:val="22"/>
                <w:highlight w:val="none"/>
                <w:lang w:val="en-US" w:eastAsia="zh-CN"/>
              </w:rPr>
              <w:t>企业业绩</w:t>
            </w:r>
          </w:p>
          <w:p>
            <w:pPr>
              <w:pageBreakBefore w:val="0"/>
              <w:wordWrap/>
              <w:topLinePunct w:val="0"/>
              <w:bidi w:val="0"/>
              <w:adjustRightInd w:val="0"/>
              <w:snapToGrid w:val="0"/>
              <w:spacing w:line="420" w:lineRule="atLeast"/>
              <w:ind w:right="0" w:rightChars="0"/>
              <w:jc w:val="center"/>
              <w:rPr>
                <w:rFonts w:hint="eastAsia" w:ascii="宋体" w:hAnsi="宋体" w:eastAsia="宋体" w:cs="宋体"/>
                <w:color w:val="auto"/>
                <w:sz w:val="21"/>
                <w:szCs w:val="21"/>
                <w:highlight w:val="none"/>
              </w:rPr>
            </w:pPr>
            <w:r>
              <w:rPr>
                <w:rFonts w:hint="eastAsia" w:cs="宋体"/>
                <w:color w:val="auto"/>
                <w:spacing w:val="0"/>
                <w:kern w:val="21"/>
                <w:sz w:val="22"/>
                <w:szCs w:val="22"/>
                <w:highlight w:val="none"/>
                <w:lang w:val="en-US" w:eastAsia="zh-CN"/>
              </w:rPr>
              <w:t>（5分）</w:t>
            </w:r>
          </w:p>
        </w:tc>
        <w:tc>
          <w:tcPr>
            <w:tcW w:w="5751"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eastAsia="宋体" w:cs="宋体"/>
                <w:color w:val="auto"/>
                <w:highlight w:val="none"/>
                <w:lang w:val="en-US" w:eastAsia="zh-CN"/>
              </w:rPr>
            </w:pPr>
            <w:r>
              <w:rPr>
                <w:rFonts w:hint="eastAsia" w:cs="宋体"/>
                <w:color w:val="auto"/>
                <w:spacing w:val="0"/>
                <w:sz w:val="22"/>
                <w:szCs w:val="22"/>
                <w:highlight w:val="none"/>
                <w:lang w:val="en-US" w:eastAsia="zh-CN"/>
              </w:rPr>
              <w:t>供应商2018年1月1日以来有类似业绩的得5分（提供中标通知书、合同，扫描件清晰可见，且不得遮挡涂黑，</w:t>
            </w:r>
            <w:r>
              <w:rPr>
                <w:rFonts w:hint="eastAsia" w:ascii="宋体" w:hAnsi="宋体" w:eastAsia="宋体" w:cs="宋体"/>
                <w:color w:val="auto"/>
                <w:highlight w:val="none"/>
                <w:lang w:val="en-US" w:eastAsia="zh-CN"/>
              </w:rPr>
              <w:t>时间以签订合同时间为准，</w:t>
            </w:r>
            <w:r>
              <w:rPr>
                <w:rFonts w:hint="eastAsia" w:cs="宋体"/>
                <w:color w:val="auto"/>
                <w:spacing w:val="0"/>
                <w:sz w:val="22"/>
                <w:szCs w:val="22"/>
                <w:highlight w:val="none"/>
                <w:lang w:val="en-US" w:eastAsia="zh-CN"/>
              </w:rPr>
              <w:t>否则不得分）</w:t>
            </w:r>
          </w:p>
        </w:tc>
      </w:tr>
    </w:tbl>
    <w:p>
      <w:pPr>
        <w:pStyle w:val="33"/>
        <w:spacing w:line="560" w:lineRule="exact"/>
        <w:rPr>
          <w:rFonts w:hint="eastAsia"/>
          <w:color w:val="auto"/>
          <w:highlight w:val="none"/>
        </w:rPr>
      </w:pP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评标方法</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评标采用综合评分法。评标委员会对满足招标文件实质要求的投标文件，根据本章第2.2款规定的评分标准进行打分，并按得分由高到低顺序排序，推荐前1-3名为中标候选人，但投标报价低于其成本的除外。综合评分相等时，以投标报价低的优先；投标报价也相等的，由招标人自行确定。</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评审标准</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 初步评审标准</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形式评审标准：见评标办法前附表。</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资格评审标准：见评标办法前附表。</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响应性评审标准：见评标办法前附表。</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2.1.4分值构成与评分标准</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（1）报价标：见评标办法前附表；</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（2）技术标：见评标办法前附表；</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（3）商务标：见评标办法前附表；</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（4）售后标：见评标办法前附表。</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2.2详细评审标准</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详细评审标准：见评标办法前附表。</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3.评标程序</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3.1初步评审</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3.1.1 评标委员会可以要求投标人提交第二章“投标人须知”第3.5.1项至第3.5.5项规定的有关证明。评标委员会依据本章第2.1款规定的标准对投标文件进行初步评审。有一项不符合评审标准的，作废标处理。 </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3.1.2 投标人有以下情形之一的，其投标作废标处理：</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（1）第二章“投标人须知”第1.4.3项规定的任何一种情形的；</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（2）串通投标或弄虚作假或有其他违法行为的；</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（3）不按评标委员会要求澄清、说明或补正的。 </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3.1.3 投标报价有算术错误的，评标委员会按以下原则对投标报价进行修正，修正的价格经投标人书面确认后具有约束力。投标人不接受修正价格的，其投标作废标处理。</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（1）投标文件中的大写金额与小写金额不一致的，以大写金额为准；</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（2）总价金额与依据单价计算出的结果不一致的，以单价金额为准修正总价，但单价金额小数点有明显错误的除外。</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 详细评审</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3.2.1 评标委员会按本章第2.2款规定的量化因素和标准进行价格折算，计算出评标价，并编制价格比较一览表。</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3.2.2 评标委员会发现投标人的报价明显低于其他投标报价，或者在设有标底明显低于标底，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 投标文件的澄清和补正</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3.3.2 澄清、说明和补正不得改变投标文件的实质性内容（算术性错误修正的除外）。投标人的书面澄清、说明和补正属于投标文件的组成部分。 </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3.3.3 评标委员会对投标人提交的澄清、说明或补正有疑问的，可以要求投标进一步澄清、说明或补正，直至满足评标委员会的要求。 </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 评标结果</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3.4.1 除第二章“投标人须知”前附表授权直接确定中标人外，评标委员会按照得分由高到低的顺序推荐中标候选人。 </w:t>
      </w:r>
    </w:p>
    <w:p>
      <w:pPr>
        <w:pStyle w:val="33"/>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3.4.2 评标委员会完成评标后，应当向招标人提交书面评标报告。</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Cs/>
          <w:color w:val="auto"/>
          <w:kern w:val="0"/>
          <w:szCs w:val="21"/>
          <w:highlight w:val="none"/>
        </w:rPr>
        <w:br w:type="page"/>
      </w:r>
    </w:p>
    <w:p>
      <w:pPr>
        <w:pStyle w:val="25"/>
        <w:numPr>
          <w:ilvl w:val="0"/>
          <w:numId w:val="7"/>
        </w:numPr>
        <w:spacing w:line="600" w:lineRule="exact"/>
        <w:ind w:right="-63" w:rightChars="-3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52" w:name="_Toc7325"/>
      <w:bookmarkStart w:id="253" w:name="_Toc27443"/>
      <w:r>
        <w:rPr>
          <w:rFonts w:hint="eastAsia" w:asciiTheme="minorEastAsia" w:hAnsiTheme="minorEastAsia" w:eastAsiaTheme="minorEastAsia" w:cstheme="minorEastAsia"/>
          <w:color w:val="auto"/>
          <w:sz w:val="36"/>
          <w:szCs w:val="36"/>
          <w:highlight w:val="none"/>
        </w:rPr>
        <w:t>合同条款及格式</w:t>
      </w:r>
      <w:bookmarkEnd w:id="249"/>
      <w:bookmarkEnd w:id="250"/>
      <w:bookmarkEnd w:id="251"/>
      <w:bookmarkEnd w:id="252"/>
      <w:bookmarkEnd w:id="253"/>
    </w:p>
    <w:p>
      <w:pPr>
        <w:rPr>
          <w:color w:val="auto"/>
          <w:highlight w:val="none"/>
        </w:rPr>
      </w:pPr>
      <w:r>
        <w:rPr>
          <w:rFonts w:hint="eastAsia"/>
          <w:color w:val="auto"/>
          <w:highlight w:val="none"/>
        </w:rPr>
        <w:t xml:space="preserve">                             </w:t>
      </w:r>
      <w:r>
        <w:rPr>
          <w:rFonts w:hint="eastAsia"/>
          <w:color w:val="auto"/>
          <w:sz w:val="28"/>
          <w:szCs w:val="28"/>
          <w:highlight w:val="none"/>
        </w:rPr>
        <w:t xml:space="preserve">    </w:t>
      </w:r>
      <w:r>
        <w:rPr>
          <w:rFonts w:hint="eastAsia"/>
          <w:b/>
          <w:bCs/>
          <w:color w:val="auto"/>
          <w:sz w:val="28"/>
          <w:szCs w:val="28"/>
          <w:highlight w:val="none"/>
        </w:rPr>
        <w:t xml:space="preserve">  （仅供参考）</w:t>
      </w:r>
    </w:p>
    <w:p>
      <w:pPr>
        <w:adjustRightInd w:val="0"/>
        <w:spacing w:line="360" w:lineRule="auto"/>
        <w:ind w:firstLine="480" w:firstLineChars="200"/>
        <w:textAlignment w:val="baseline"/>
        <w:rPr>
          <w:rFonts w:ascii="宋体" w:hAnsi="宋体" w:cs="宋体"/>
          <w:color w:val="auto"/>
          <w:sz w:val="24"/>
          <w:highlight w:val="none"/>
        </w:rPr>
      </w:pPr>
      <w:bookmarkStart w:id="254" w:name="_Toc12807"/>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甲方：（采购单位）</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乙方：（供应商 ）</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甲、乙双方持采购人、采购代理公司签发的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乙方提供的货物达到乙方响应文件及澄清中的技术标准。（售后服务要求按采购文件及响应性文件相应条款制订）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乙方应于2023年 月 日前按甲方要求在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（甲方指定地点）将货物运送达到验收条件。货物运送产生的费用由乙方负责。由甲方组织相关人员进行验收。</w:t>
      </w:r>
    </w:p>
    <w:p>
      <w:pPr>
        <w:numPr>
          <w:ilvl w:val="0"/>
          <w:numId w:val="8"/>
        </w:numPr>
        <w:adjustRightInd w:val="0"/>
        <w:spacing w:line="360" w:lineRule="auto"/>
        <w:ind w:firstLine="48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宋体" w:hAnsi="宋体" w:cs="宋体"/>
          <w:bCs/>
          <w:color w:val="auto"/>
          <w:highlight w:val="none"/>
        </w:rPr>
        <w:t>。</w:t>
      </w:r>
    </w:p>
    <w:p>
      <w:pPr>
        <w:numPr>
          <w:ilvl w:val="0"/>
          <w:numId w:val="8"/>
        </w:numPr>
        <w:adjustRightInd w:val="0"/>
        <w:spacing w:line="360" w:lineRule="auto"/>
        <w:ind w:firstLine="48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签约时间：                     签约地点：</w:t>
      </w:r>
    </w:p>
    <w:p>
      <w:pPr>
        <w:adjustRightInd w:val="0"/>
        <w:spacing w:line="360" w:lineRule="auto"/>
        <w:ind w:firstLine="422" w:firstLineChars="200"/>
        <w:textAlignment w:val="baseline"/>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重要提示：以上合同文本作为签订合同的重要依据，涉及付款方式、供应商名称等实质性内容不得变更。</w:t>
      </w: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rFonts w:asciiTheme="minorEastAsia" w:hAnsiTheme="minorEastAsia" w:eastAsiaTheme="minorEastAsia" w:cstheme="minorEastAsia"/>
          <w:b/>
          <w:bCs/>
          <w:color w:val="auto"/>
          <w:sz w:val="21"/>
          <w:szCs w:val="21"/>
          <w:highlight w:val="none"/>
        </w:rPr>
      </w:pPr>
    </w:p>
    <w:p>
      <w:pPr>
        <w:pStyle w:val="12"/>
        <w:jc w:val="center"/>
        <w:rPr>
          <w:b/>
          <w:bCs/>
          <w:color w:val="auto"/>
          <w:sz w:val="32"/>
          <w:szCs w:val="32"/>
          <w:highlight w:val="none"/>
        </w:rPr>
      </w:pPr>
    </w:p>
    <w:p>
      <w:pPr>
        <w:pStyle w:val="12"/>
        <w:numPr>
          <w:ilvl w:val="0"/>
          <w:numId w:val="7"/>
        </w:numPr>
        <w:jc w:val="center"/>
        <w:outlineLvl w:val="0"/>
        <w:rPr>
          <w:b/>
          <w:bCs/>
          <w:color w:val="auto"/>
          <w:sz w:val="32"/>
          <w:szCs w:val="32"/>
          <w:highlight w:val="none"/>
        </w:rPr>
      </w:pPr>
      <w:r>
        <w:rPr>
          <w:rFonts w:hint="eastAsia"/>
          <w:b/>
          <w:bCs/>
          <w:color w:val="auto"/>
          <w:sz w:val="32"/>
          <w:szCs w:val="32"/>
          <w:highlight w:val="none"/>
        </w:rPr>
        <w:t xml:space="preserve">  </w:t>
      </w:r>
      <w:bookmarkStart w:id="255" w:name="_Toc6692"/>
      <w:r>
        <w:rPr>
          <w:rFonts w:hint="eastAsia"/>
          <w:b/>
          <w:bCs/>
          <w:color w:val="auto"/>
          <w:sz w:val="32"/>
          <w:szCs w:val="32"/>
          <w:highlight w:val="none"/>
        </w:rPr>
        <w:t>采购内容及技术要求</w:t>
      </w:r>
      <w:bookmarkEnd w:id="255"/>
    </w:p>
    <w:tbl>
      <w:tblPr>
        <w:tblStyle w:val="28"/>
        <w:tblW w:w="101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1160"/>
        <w:gridCol w:w="630"/>
        <w:gridCol w:w="830"/>
        <w:gridCol w:w="6358"/>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物资名称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单位</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数量</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功能参数</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绝缘剪断钳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89</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剪柄全部采用绝缘材质包裹，耐电压≥3000V </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2.标准：符合GB8407-1987</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3.最大剪切：线缆≥12mm</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4.特性：剪刃口硬度HRC55-60。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千斤顶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93</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1.规格：32T</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2.型式：手动液压</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3.最低调度：≤ 235mm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救援斧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121</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1.材质：45#高碳钢淬火</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2.斧柄长度：≥84.7cm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3.斧头长：≥ 8.0 cm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4.斧背厚度：≥2.6 cm</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5.斧刃宽度：≥11.5 cm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钢锯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1.规格：12/300mm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2.型式：钢板制调节式</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3.材质：铝合金</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撬棍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119</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1.规格：叉型锻造撬棍、长度100cm、直径26mm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2.重量：≥2kg</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3.材质：碳钢</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铁锤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139</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1.规格：3磅</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2.手柄长度：400cm木质</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3.锤头材质：高碳钢</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铁镐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149</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1.主体材质：铁；把柄材质：木质；把柄长：80-90cm </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2.头长：55cm;镐头宽：5cm。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铁锹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485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1.主体材质：铁；把柄材质：木质；把柄长：80-90cm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2.铲头长：30cm;铲头宽：33cm;铲头重：≥1.5kg</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3.厚度：≥4mm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大锤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94</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1.减震抗弯6-12磅八角锤，手柄长度≥95cm,握手处 有橡胶手柄</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2.材质：合金钢</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安全绳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 .规格：长20m</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2.材质：航空钢丝+尼龙高强纤维。10mm加粗主绳 3mm钢丝内芯。自带缓降装置，内置加粗防火钢丝安全性高。外层采用涤纶材质，耐磨程度与防滑脱落 性能强。绳子两端带自锁式八字环，破断强度不低于 30KN,安全有保障。</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警示带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1.材质：涤纶12丝</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2.宽度：≥3.5cm</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3.长度：≥50米</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货架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219</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1.尺寸(长*宽*高):200cm*50cm*200cm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2.承重：≥100kg/层</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3.立柱厚度(长×宽×高):≥50mm*25mm*0.6mm 型钢</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4.横梁厚度(长×宽×高):≥50mm*25mm*0.6mm 型钢</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5.层板厚度：≥0.30mm厚冷轧钢板</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6.标配：4层</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7.表面处理：喷粉烤漆酸洗碳化防腐处理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望远镜</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87</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1.倍率：7×</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 口径：50mm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3.出瞳直径：≥7.1mm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4.出瞳距离：≥19.2mm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5.视场：≥6.9</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6.千米视野：≥126m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7.最近对焦：4.3m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8.调焦系统：中调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9.棱镜材质：BAK4</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10.屈光度调节：±4dpt</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11.镀膜方式：FMC多层镀膜</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12.瞳距范围：56mm～74mm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13.防水：充氮防水</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14.净重：≥598g</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15.工作温度： -40℃~+60℃</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16.尺寸：≤189*183*69</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手动破拆组合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36</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1.标配为：冲击器、切割头、起钉器、长宽凿、长窄 凿、长冲头、短窄凿、短冲头</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2.冲击行程：≥442mm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3.冲击头硬度(HRC):≥51</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4.重量：≥18.7kg</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5.冲击锤重量：≥6.5kg</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6.尺寸(长*宽*高):≥782*72*70mm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牵拉器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1.最大起吊重量：≥3200kg</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2.拖拽重量：≥5000kg</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3.起品高度：≥20m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4.钢缆直径：≥16mm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5.重量：≥27kg</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6.尺寸：≥720×320×140mm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7.速度：≥3m/min</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8.钢丝绳断裂强度：≥15300kg</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9.工作温度： -20℃~60℃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手动液压剪扩器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大开口距离：≥160mm</w:t>
            </w:r>
          </w:p>
          <w:p>
            <w:pPr>
              <w:keepNext w:val="0"/>
              <w:keepLines w:val="0"/>
              <w:widowControl/>
              <w:numPr>
                <w:ilvl w:val="0"/>
                <w:numId w:val="1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2.额定工作压力：63MPa</w:t>
            </w:r>
          </w:p>
          <w:p>
            <w:pPr>
              <w:keepNext w:val="0"/>
              <w:keepLines w:val="0"/>
              <w:widowControl/>
              <w:numPr>
                <w:ilvl w:val="0"/>
                <w:numId w:val="1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3.大剪断能力(Q235材料):10mm(钢板)φ20mm(圆钢) </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4.额定扩张力：≥24kN</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5.空载张开打压次数：≤9次</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6.空载闭合打压次数：≤11次</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7.手柄力：≤300N</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8.质量：≤10.5kg</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9.尺寸：≥长740×宽195×高175mm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强光手电</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加厚铝镁合金外壳</w:t>
            </w:r>
          </w:p>
          <w:p>
            <w:pPr>
              <w:keepNext w:val="0"/>
              <w:keepLines w:val="0"/>
              <w:widowControl/>
              <w:numPr>
                <w:ilvl w:val="0"/>
                <w:numId w:val="11"/>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2.工作电压：约3.8V</w:t>
            </w:r>
          </w:p>
          <w:p>
            <w:pPr>
              <w:keepNext w:val="0"/>
              <w:keepLines w:val="0"/>
              <w:widowControl/>
              <w:numPr>
                <w:ilvl w:val="0"/>
                <w:numId w:val="11"/>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3.工作电流：约2A</w:t>
            </w:r>
          </w:p>
          <w:p>
            <w:pPr>
              <w:keepNext w:val="0"/>
              <w:keepLines w:val="0"/>
              <w:widowControl/>
              <w:numPr>
                <w:ilvl w:val="0"/>
                <w:numId w:val="11"/>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4.光源寿命；≥10000小时</w:t>
            </w:r>
          </w:p>
          <w:p>
            <w:pPr>
              <w:keepNext w:val="0"/>
              <w:keepLines w:val="0"/>
              <w:widowControl/>
              <w:numPr>
                <w:ilvl w:val="0"/>
                <w:numId w:val="11"/>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 电池26650:4800mAh/3.7V;3档：强光(续航3小</w:t>
            </w:r>
          </w:p>
          <w:p>
            <w:pPr>
              <w:keepNext w:val="0"/>
              <w:keepLines w:val="0"/>
              <w:widowControl/>
              <w:numPr>
                <w:ilvl w:val="0"/>
                <w:numId w:val="11"/>
              </w:numPr>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时),弱光(续航10小时),闪光(续航3小时) </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6.射程：≥500米；亮度：≥500流明；充电时间：≥8小时</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筒式手电</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174</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1.外壳材质：塑料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2.光源：LED灯，寿命：≥100000小时</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3.按钮式开关</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4.供电：2节1号电池</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警示照明灯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84</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1.数量： 一套8个</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2.发光材料：发光二极管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3.电池：镍镉电池</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4.充电：12V/6.3A</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5.充电时间：≥3h</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6.保险丝：8A</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发电机（含照明灯具）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1.设备应符合GB 26755-2011、JB/T 10304-2001、GB 7000.1-2015相关标准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2.设备应由照明系统、发电机、底盘、升降杆、控制 面板组成</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3.设备采用5kw发电机，灯头功率≥2000W,光通量≥ 36000lm,灯头的防护等级应能符合GB/T4208-2017  中IP66的要求</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4.设备应具有良好的通过性能，底盘高度≥150mm  5.设备应由2个万向轮和2个定向轮组成，万向轮应 有刹车装置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6.设备应能不借助任何工具徒手完成组装，灯盘可 45°调节，灯盘与灯杆连接间隙应≥65mm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7.采用发电机组供电时， 一次注满燃油连续工作时间 应≥8小时</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8.应能通过发电机或外接AC220V/50HZ电源供电，并 具有良好的电源适应范围</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9.应选用伸缩气缸作为升降调节方式，最大升起高度 应≥3米</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10.设备升降杆架设好后在稳定风速为19m/s(8级)的  条件下应能正常工作，在稳定风速为2lm/s(9级)的条件下不应损坏</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11.设备支撑架应能承受100N的水平推力，照明设备 不应出现倾倒</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手持对讲机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161</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1.尺寸：≥128X5225mm(不含天线)</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2.重量：≥142g(含天线电池)</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3.显示：1.77英寸彩屏，分辨率128X160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 . 按键：对讲键(PTT)、M1、M2按键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5.指示灯：红灯发射，蓝灯接収</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6.扬声器：前置36mm专业振膜场声器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 .MIC:高敏度MIC</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8.卡座：双卡，自动切换网络</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9.外部接口：标准K头接口</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10. 电池：外置可拆卸软包锂电</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池，16.65Wh(4500mAh@3.7v)</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11.充电方式：Type — C  USB充电</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充电中亮红灯，充满亮蓝灯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12.网络支持：TDD-LTE Band34/38/39/40/4/ FDD-LTE Band1/3/5/8</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13.操作系统：深度定制Linux对讲操作系统</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14.对讲平台：标准出厂VVK股平台/同步支持市场主 流平台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15.定位：选配GPS</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16.工作温度： -20~+55摄氏度</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17.存储温度： -30~+70摄氏度</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扩音喇叭</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181</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1.录音功能：≥120秒高清晰录音</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 电源1800MAH锂电池</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3.频响范围100Hz— 10KHz</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4.可连续喊话18-22h</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5.传播距离250m以上</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6.尺寸(长*宽):≤135mm*205mm</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7.机壳材质ABS优质新料</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疏散警报器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1.电源220V,功率不低于2KW,转速不低于2500转/分 频率500赫兹，启动时间≤3s,平均声压级不低于120 分贝，铝合金材质。</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三合一口哨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1.材质：ABS材料、重量：≥17克</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2.功能：1. 口哨(有核设计，大大增加了哨子的响亮  度，尼龙挂绳);2.指北(南)针；3.温度计(环境温度 心中有数)</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铜锣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167</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1.材质：主要成分黄铜</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2.规格：直径30~50cm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救援头盔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445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主要用于消防员在抢险救援时对头部提供保护的专用 防护头盔；颜色：红色，边缘有带荧光反射标志；可 防止冲击、锐物、热辐射、火焰及灭火所用的化学泡 沫，质轻、可提供最大的保护。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抢险救援服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328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共三件套(上衣、裤子、帽子)</w:t>
            </w:r>
          </w:p>
          <w:p>
            <w:pPr>
              <w:keepNext w:val="0"/>
              <w:keepLines w:val="0"/>
              <w:widowControl/>
              <w:suppressLineNumbers w:val="0"/>
              <w:jc w:val="left"/>
              <w:textAlignment w:val="center"/>
              <w:rPr>
                <w:rStyle w:val="68"/>
                <w:color w:val="auto"/>
                <w:highlight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抢险救援服的阻燃性能应为：外层续燃时间0s, 损毁长度≤50mm,无熔融、滴落现象；其撕破强力应  为：经纬向≥100N:其断裂强力：经纬向≥800N;其他 性能应符合</w:t>
            </w:r>
            <w:r>
              <w:rPr>
                <w:rStyle w:val="67"/>
                <w:color w:val="auto"/>
                <w:highlight w:val="none"/>
                <w:lang w:val="en-US" w:eastAsia="zh-CN" w:bidi="ar"/>
              </w:rPr>
              <w:t>XF633-2006</w:t>
            </w:r>
            <w:r>
              <w:rPr>
                <w:rStyle w:val="68"/>
                <w:color w:val="auto"/>
                <w:highlight w:val="none"/>
                <w:lang w:val="en-US" w:eastAsia="zh-CN" w:bidi="ar"/>
              </w:rPr>
              <w:t>的相关规定。</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Style w:val="68"/>
                <w:color w:val="auto"/>
                <w:highlight w:val="none"/>
                <w:lang w:val="en-US" w:eastAsia="zh-CN" w:bidi="ar"/>
              </w:rPr>
              <w:t>特点：防火、防水、阻燃防辐射等性能强：适用 范围：消防救援、抢险救灾等专用。</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救援安全腰带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348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1.救援安全腰带的规格应为：厚度≥2.5mm,宽度 ≥50mm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2.材质：高强涤纶、钢制调节扣</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3.其他性能应符合XF494-2004的相关规定。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普通救援鞋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双</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398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1.面料：锦纶/尼龙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2.鞋底：橡胶</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3.适用环境：训练、攀岩、徒步</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防寒救援服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1.厚薄：加绒；防寒、防水、防风</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分体式雨服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752</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1.厚薄：常规；分体式雨服；防水布料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2.雨衣前后各一个高度反光条，在雨夜作业更具安全 性。面料采用涤纶布高密度环保面料，具有耐磨、超 强防水、防风、透气等特点</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3.不含对人体有毒有害物质，重金属超标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胶鞋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双</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660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 防水</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2.抗冲击性能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3.耐压力性</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4.帮高不低于35cm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5.舒适性：脚踝、脚跟处根据人体工学设计，减少磨 脚现象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6.防滑、防水、耐腐蚀、抓地力强</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7.PVC材质</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（防割、救援)手套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副</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828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1、线手套，带胶点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荧光马甲</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件</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490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1.高亮反光条，反光系数高，实测反光距离300m  </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2.双层，外边是牛津布，耐磨舒适，里边网布内衬</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救援防护镜</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431</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1.材质：聚乙烯</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2.功能：防风、防尘、防雾、阻燃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帐篷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顶</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235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1.尺寸：帐篷长≥3.7m,宽≥3.2m,边高≥1.75m,顶 高≥2.5m;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2.篷体、框架及配件(含三角桩、地钉、拉绳、维修包 等 )</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3.长方形双坡面直墙建筑样式，门开在山墙一侧，两侧墙各开方形窗户两个；</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4.主要材料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(1)面料为不低于333dtex×333dtex涤纶丝浅蓝色 PVC涂层布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(2)焊接钢管(通用杆、地杆、立杆)采用外径不  低于φ25mm±0.5mm×壁厚1.0mm±0. 1mm焊接钢 管；喷塑漆膜厚度≥35μm;喷塑漆膜耐腐蚀96h膜层不起泡，不脱落，无锈斑</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(3)焊接钢管(三通、四通等连接管件)采用外径为不低于φ28mm±0.5mm×壁厚1.0mm±0. 1mm焊 接钢管；喷塑漆膜厚度≥35μm;喷塑漆膜耐腐蚀96h 膜层不起泡，不脱落，无锈斑</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(4)阳蓬杆采用不低于φ19mm×1.0mm焊接钢管 喷塑颜色为白色；</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5.共一门四窗</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6.层布参数：层布单位面积质量≥350g/m²;层布断裂 强力径向≥1150N/5cm,纬向≥1000N/5cm;撕破强  力径向≥35N,纬向≥30N;静水压≥50kPa;阻燃性  能：损毁长度径向≤150mm,纬向≤150mm;阻燃性 能：续燃时间径向≤15s,纬向≤15s;阻燃性能：阴燃时间径向≤15s,纬向≤15s;熔融滴落物；不得引起脱脂棉燃烧或阴燃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7.白涤纶包芯绳断裂强力≥2500N;</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8.篷体印有"应急救灾"字样；</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9.成品样式、结构及主要尺寸、蓬体外观质量、蓬体 缝制质量、蓬体缝制、框架及金属配件、辅料、成品 防雨性能需符合MZ/T011.2-2010救灾帐篷第2部分： 12m²单帐篷规定。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折叠床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358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1.材质：床架铁、床垫帆布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 .尺寸：≥长180宽60高34</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3.功能：折叠、支架</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棉被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545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1.面料材质：纯棉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2.填充物主成分：化纤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3.尺寸：150×(210-220)</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4.重量：≥3.2斤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夏凉被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480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1.面料材质；化纤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2.填充物：柞蚕丝</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3.尺寸：150×200</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4.重量：3斤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防潮垫</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528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1.材质：铝膜</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2.类型：防汛救灾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净化水药片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瓶</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310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1.主要有效成份：二氧化氯</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2.规格：净重500g/瓶</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折叠担架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副</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1.可以折合方便携带，耐用铝制骨架轻便坚固，耐用 帆布不吸体液容易清洗</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2.长度：1.8m(打开),95cm(折叠)</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3.宽度：30cm</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4.重量：≥3.5kg</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应急救援包</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223</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1.材质：防水牛津布</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 内含：13个品种(医药包1套、手摇发电手电1个、 雨衣1套、口哨1个、折叠铲1把、反光衣1件、手  套1双、安全绳20米、防毒面具1套、多功能锤1 个、多功能电源1个、多功能军刀1把、斧头1把）</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84A消毒液</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件</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34</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1.规格：25L</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医用电动喷雾器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1.形式：背负式</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2.喷射距离：10-12m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3.药箱容积：≥10L</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4.工作功率：300W</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5.工作电压：24V</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6.工作时长：2.5小时</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塑料布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38</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1.材质：聚氯乙烯(PVC)为主选材料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2.规格：宽度2-3 m</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3.重量：25-30kg</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彩条布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56</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1.材质：聚乙烯和聚丙烯</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2.规格：2×100m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水壶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1.材质：铝</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2.容量：≥1L</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3.颜色：军绿色</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4.背带：55cm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5.壶口：直饮式</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6.质量：结实耐用，有背带可挎</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油桶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37</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1.容量：≥20L</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2.尺寸：≥395*224*345mm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3.重量：≥1.8KG</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4.所装燃料：汽油</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5.颜色：红色</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6.纯料与再生料比例：100%纯料</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灭火器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280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1.款式：手提干粉式</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2.灭火剂：75%ABC</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3.驱动气体：氮气</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4.工作压力：1.2Mpa</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5.喷射压力：2.5Mpa</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6.喷射时间：≥13S</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7.喷射距离：≥3.5m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8.灭火级别：2A、55B、C、E、F</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9.工作温度： -20℃-+55℃</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10.执行标准：GB4351-2005</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11.干粉净重：4kg</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消防头盔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1.材质：ABS增强塑料、铝箔复合型材料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2.功能：用于保护头部、面部、颈部</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3.特性：防尖锐物品、防坠物、防反光、耐热性能</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防火服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137</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1.高品质定制面料：TC6535防静电纱卡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2.反光条：3M高亮阻燃</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3.适用季节：春秋款，夏季款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消防过滤式综合面具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1.消防过滤式综合面具应符合GB 21976.6-2012的相 关规定 。</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2.视窗尺寸：110mm</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3.防护时间：≥30分钟</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消防手套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副</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1.消防手套的结构应为指尖可触摸</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2.其阻燃性能应为：外层续燃时间0s,阴燃时间0s  损毁长度≤50mm,无熔融、滴落现象；隔热层续燃时 间0s,阴燃时间0s,损毁长度≤80mm,无熔融、滴落 现象；其穿戴性能应为：穿戴时间≤5s;其他性能应 符合XF7-2004的相关规定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消防安全腰带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1.消防安全腰带应符合XF494-2004的规定。 </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2.材质：尼龙、热锻铝合金</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消防员灭火防护靴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件</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1.消防员灭火防护靴应符合XF6-2004的规定。</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消防腰斧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1.材质：45#,刃口硬度HRC48-56</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2.质量：≤1.0kg</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3.功能：平砍、尖劈、撬门窗、弯栅条</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背负式风力灭火机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1.二冲程机参数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2.发动机：层状扫气环保发动机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3.型式：背负式</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4.额定功率：2.7KW/6800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5.油箱容积：≥1.7L</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6.燃油比(汽油VS机油):25:1</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7.点火方式：电子打火</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8.风量：&gt;0.3 m³/s</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9.重量：≤10kg</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二号工具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190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1.手柄材质：直径3.5cm杂木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2.手柄长度：1.4m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3.橡胶规格：长45cm、宽1.8cm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4.橡胶厚度：4层</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5.捆绑方式：采用2道钢箍加固</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单双人船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艘</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1.产品类型：充气船</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2.材质：PVC</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3.最大乘员数：2人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4.气室：2个</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5.配置：气泵1个、划桨1副</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抽水泵</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92</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1.发动机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2.型号188</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3.型式单缸四冲程风冷</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4.排气量(cc)：≥389</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5.缸径*行程( mm)88*64</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6.额定功率(kw/r/pm)7.35/3600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7.起动系统手启动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8.机油容量(L)：≥1.1</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9.油箱容量(L) ：≥6.0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10.燃油：汽油</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11.水泵：出/入水口径(mm)100(4寸)最大扬程(m)42 吸水扬程(m)  8,最大流量：≥100 m³/h</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12.传动方式：直连传动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13.外包装尺寸(mm)：≥660*490*570</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14.毛重/净重(kg) 52/50</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进水管：8m钢丝软管；出水管：20m软管</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62</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编织袋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38899</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1.村质：PP聚丙烯、PE聚乙烯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2.编制厚度：100-220/m²</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3.规格：50×70、50×85,也可定制</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63</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防汛沙袋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18895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1.防汛专用沙袋</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2.材质：帆布或涤棉帆布</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3.规格：25×50或30×70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木桩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1820</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1.规格：直径10-20cm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救生衣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件</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1.面料：加厚牛津布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2.填充物：高密度聚乙烯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3.尺寸：≥50*40*4.5cm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4.承重：≤100KG的人均可使用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5.颜色：橘黄</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6.款式：系绳式</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66</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救生圈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374</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1.外壳为350D优质防水牛津布料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2.内心是高密度高浮力泡沫圈体</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3.尺寸：外径72CM,内径44CM. 自重：0.60KG,适合 体重140斤以上180斤以下使用</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4.浮力：≥12.5kg</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气压式喷雾壶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221</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1.材质：PE/PP塑料</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2.容量：2L~3L</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68</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冲锋舟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艘</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1.材质：PVC、铝合金底板</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2.规格：船体外长360-420cm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3.适配发动机：15-30HF</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4.基本配置：基本配置：2块座板、铝合金地板1套、划桨1副、 地板包1个、9升高压脚踏气泵1个、修理桶1个</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5.采用安全气阀，方便、安全、可靠。</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6.所有粘接部位全部采用优质胶水粘接，剥离强度以及耐高温、耐水解、耐寒、抗紫外线等性能均大大优于普通胶水，即使在阳光暴晒下，气船连接部位牢固性能得到充分保证。</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7.气艇材料色牢度高、布面颜色历久如新，耐磨护舷，使船体经久耐用。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8.▲撕裂强力:&gt;460N。</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9.▲中性盐雾试验48h无变色、无失光、无开裂、无起泡。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10.▲紫外人工气候老化试验48h无变色、无失光、无开裂、无起泡。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11.▲拉伸强度≧4500N/50mm。</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12.▲拉断伸长值≧29MM。</w:t>
            </w:r>
          </w:p>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注: 须提供冲锋舟取得省级以上（含省级）CMMA或CNAS认证的第三方检测机构的检测报告，须提供复印件加盖厂家公章。</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69</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标识牌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115</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微软雅黑" w:hAnsi="微软雅黑" w:eastAsia="微软雅黑" w:cs="微软雅黑"/>
                <w:i w:val="0"/>
                <w:iCs w:val="0"/>
                <w:color w:val="auto"/>
                <w:sz w:val="20"/>
                <w:szCs w:val="20"/>
                <w:highlight w:val="none"/>
                <w:u w:val="none"/>
                <w:lang w:val="en-US" w:eastAsia="zh-CN"/>
              </w:rPr>
            </w:pPr>
            <w:r>
              <w:rPr>
                <w:rFonts w:hint="eastAsia" w:ascii="微软雅黑" w:hAnsi="微软雅黑" w:eastAsia="微软雅黑" w:cs="微软雅黑"/>
                <w:i w:val="0"/>
                <w:iCs w:val="0"/>
                <w:color w:val="auto"/>
                <w:sz w:val="20"/>
                <w:szCs w:val="20"/>
                <w:highlight w:val="none"/>
                <w:u w:val="none"/>
                <w:lang w:val="en-US" w:eastAsia="zh-CN"/>
              </w:rPr>
              <w:t>尺寸：60</w:t>
            </w:r>
            <w:r>
              <w:rPr>
                <w:rFonts w:hint="eastAsia" w:ascii="微软雅黑" w:hAnsi="微软雅黑" w:eastAsia="微软雅黑" w:cs="微软雅黑"/>
                <w:i w:val="0"/>
                <w:iCs w:val="0"/>
                <w:color w:val="auto"/>
                <w:kern w:val="0"/>
                <w:sz w:val="20"/>
                <w:szCs w:val="20"/>
                <w:highlight w:val="none"/>
                <w:u w:val="none"/>
                <w:lang w:val="en-US" w:eastAsia="zh-CN" w:bidi="ar"/>
              </w:rPr>
              <w:t>×80cm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手电锯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42</w:t>
            </w:r>
          </w:p>
        </w:tc>
        <w:tc>
          <w:tcPr>
            <w:tcW w:w="6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锂电、汽油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20"/>
                <w:szCs w:val="20"/>
                <w:highlight w:val="none"/>
                <w:u w:val="none"/>
              </w:rPr>
            </w:pPr>
          </w:p>
        </w:tc>
      </w:tr>
    </w:tbl>
    <w:p>
      <w:pPr>
        <w:spacing w:line="560" w:lineRule="exact"/>
        <w:ind w:firstLine="482" w:firstLineChars="200"/>
        <w:rPr>
          <w:rFonts w:hint="eastAsia" w:ascii="宋体" w:hAnsi="宋体" w:cs="宋体"/>
          <w:b/>
          <w:bCs/>
          <w:color w:val="auto"/>
          <w:kern w:val="0"/>
          <w:sz w:val="24"/>
          <w:highlight w:val="none"/>
        </w:rPr>
      </w:pPr>
    </w:p>
    <w:p>
      <w:pPr>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注：本招标项目必须要实质性满足技术要求和商务要求：</w:t>
      </w:r>
    </w:p>
    <w:p>
      <w:pPr>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1、投标人提供的货物必须是原装全新、高于或等于招标文件规定技术参数的产品。</w:t>
      </w:r>
    </w:p>
    <w:p>
      <w:pPr>
        <w:spacing w:line="56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pPr>
        <w:pStyle w:val="13"/>
        <w:ind w:firstLine="496"/>
        <w:rPr>
          <w:rFonts w:hint="eastAsia"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rPr>
        <w:t>3.本项目核心产品：发电机(含照明灯具)、帐篷、冲锋舟。</w:t>
      </w:r>
    </w:p>
    <w:p>
      <w:pPr>
        <w:pStyle w:val="13"/>
        <w:ind w:firstLine="496"/>
        <w:rPr>
          <w:rFonts w:hint="eastAsia"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lang w:val="en-US" w:eastAsia="zh-CN"/>
        </w:rPr>
        <w:t>4.中标人在供货时，应按照采购人要求在货物上印制指定LOGO。</w:t>
      </w:r>
    </w:p>
    <w:p>
      <w:pPr>
        <w:pStyle w:val="13"/>
        <w:ind w:firstLine="496"/>
        <w:rPr>
          <w:rFonts w:hint="eastAsia"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lang w:val="en-US" w:eastAsia="zh-CN"/>
        </w:rPr>
        <w:t>5</w:t>
      </w:r>
      <w:r>
        <w:rPr>
          <w:rFonts w:hint="eastAsia" w:ascii="宋体" w:hAnsi="宋体" w:cs="宋体"/>
          <w:b/>
          <w:bCs/>
          <w:color w:val="auto"/>
          <w:spacing w:val="4"/>
          <w:sz w:val="24"/>
          <w:szCs w:val="24"/>
          <w:highlight w:val="none"/>
        </w:rPr>
        <w:t>.本标的所属行业：制造业</w:t>
      </w:r>
    </w:p>
    <w:bookmarkEnd w:id="254"/>
    <w:p>
      <w:pPr>
        <w:rPr>
          <w:rFonts w:hint="eastAsia"/>
          <w:color w:val="auto"/>
          <w:sz w:val="32"/>
          <w:szCs w:val="32"/>
          <w:highlight w:val="none"/>
        </w:rPr>
      </w:pPr>
      <w:bookmarkStart w:id="256" w:name="_Toc28947"/>
      <w:bookmarkStart w:id="257" w:name="_Toc403122572"/>
      <w:bookmarkStart w:id="258" w:name="_Toc426369533"/>
      <w:bookmarkStart w:id="259" w:name="_Toc7906"/>
      <w:r>
        <w:rPr>
          <w:rFonts w:hint="eastAsia"/>
          <w:color w:val="auto"/>
          <w:sz w:val="32"/>
          <w:szCs w:val="32"/>
          <w:highlight w:val="none"/>
        </w:rPr>
        <w:br w:type="page"/>
      </w:r>
    </w:p>
    <w:p>
      <w:pPr>
        <w:pStyle w:val="5"/>
        <w:spacing w:before="0" w:after="0" w:line="360" w:lineRule="auto"/>
        <w:ind w:firstLine="643" w:firstLineChars="200"/>
        <w:rPr>
          <w:color w:val="auto"/>
          <w:sz w:val="32"/>
          <w:szCs w:val="32"/>
          <w:highlight w:val="none"/>
        </w:rPr>
      </w:pPr>
      <w:r>
        <w:rPr>
          <w:rFonts w:hint="eastAsia"/>
          <w:color w:val="auto"/>
          <w:sz w:val="32"/>
          <w:szCs w:val="32"/>
          <w:highlight w:val="none"/>
        </w:rPr>
        <w:t>第六章 质疑与投诉</w:t>
      </w:r>
      <w:bookmarkEnd w:id="256"/>
    </w:p>
    <w:p>
      <w:pPr>
        <w:rPr>
          <w:color w:val="auto"/>
          <w:highlight w:val="none"/>
        </w:rPr>
      </w:pPr>
    </w:p>
    <w:p>
      <w:pPr>
        <w:pStyle w:val="6"/>
        <w:rPr>
          <w:rFonts w:ascii="宋体" w:hAnsi="宋体" w:cs="宋体"/>
          <w:b w:val="0"/>
          <w:bCs w:val="0"/>
          <w:color w:val="auto"/>
          <w:szCs w:val="21"/>
          <w:highlight w:val="none"/>
        </w:rPr>
      </w:pPr>
      <w:r>
        <w:rPr>
          <w:rFonts w:hint="eastAsia" w:ascii="宋体" w:hAnsi="宋体" w:cs="宋体"/>
          <w:color w:val="auto"/>
          <w:szCs w:val="21"/>
          <w:highlight w:val="none"/>
        </w:rPr>
        <w:t>一、质疑与答复</w:t>
      </w:r>
    </w:p>
    <w:p>
      <w:pPr>
        <w:pStyle w:val="27"/>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
        <w:spacing w:line="360" w:lineRule="auto"/>
        <w:rPr>
          <w:rFonts w:ascii="宋体" w:hAnsi="宋体" w:cs="宋体"/>
          <w:color w:val="auto"/>
          <w:szCs w:val="21"/>
          <w:highlight w:val="none"/>
        </w:rPr>
      </w:pPr>
      <w:r>
        <w:rPr>
          <w:rFonts w:hint="eastAsia" w:ascii="宋体" w:hAnsi="宋体" w:cs="宋体"/>
          <w:color w:val="auto"/>
          <w:szCs w:val="21"/>
          <w:highlight w:val="none"/>
        </w:rPr>
        <w:t>2. 供应商提出质疑应当提交质疑函和必要的证明材料。政府采购供应商质疑函范本下载地址：</w:t>
      </w:r>
    </w:p>
    <w:p>
      <w:pPr>
        <w:pStyle w:val="2"/>
        <w:spacing w:line="360" w:lineRule="auto"/>
        <w:ind w:left="420" w:leftChars="200" w:firstLine="0" w:firstLineChars="0"/>
        <w:rPr>
          <w:rFonts w:ascii="宋体" w:hAnsi="宋体" w:cs="宋体"/>
          <w:color w:val="auto"/>
          <w:szCs w:val="21"/>
          <w:highlight w:val="none"/>
        </w:rPr>
      </w:pP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31"/>
          <w:rFonts w:hint="eastAsia" w:ascii="宋体" w:hAnsi="宋体" w:cs="宋体"/>
          <w:color w:val="auto"/>
          <w:szCs w:val="21"/>
          <w:highlight w:val="none"/>
        </w:rPr>
        <w:t>http://download.ccgp.gov.cn/2018/zhiyihanfanben.zip；</w:t>
      </w:r>
      <w:r>
        <w:rPr>
          <w:rStyle w:val="31"/>
          <w:rFonts w:hint="eastAsia" w:ascii="宋体" w:hAnsi="宋体" w:cs="宋体"/>
          <w:color w:val="auto"/>
          <w:szCs w:val="21"/>
          <w:highlight w:val="none"/>
        </w:rPr>
        <w:fldChar w:fldCharType="end"/>
      </w:r>
    </w:p>
    <w:p>
      <w:pPr>
        <w:numPr>
          <w:ilvl w:val="0"/>
          <w:numId w:val="1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采购人、采购代理机构不得拒收质疑供应商在法定质疑期内发出的质疑函，应当在收到质疑函后7个工作日内作出答复，并以书面形式通知质疑供应商和其他有关供应商。</w:t>
      </w:r>
    </w:p>
    <w:p>
      <w:pPr>
        <w:numPr>
          <w:ilvl w:val="0"/>
          <w:numId w:val="1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供应商提出质疑应当提交质疑函和必要的证明材料。质疑函应当包括下列内容：</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供应商的姓名或者名称、地址、邮编、联系人及联系电话；</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质疑项目的名称、编号；</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具体、明确的质疑事项和与质疑事项相关的请求；</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事实依据；</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必要的法律依据；</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提出质疑的日期；</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获取招标文件的凭证；</w:t>
      </w:r>
    </w:p>
    <w:p>
      <w:pPr>
        <w:numPr>
          <w:ilvl w:val="1"/>
          <w:numId w:val="1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以上资料一式二份（采购人、采购代理机构各执一份）。</w:t>
      </w:r>
    </w:p>
    <w:p>
      <w:pPr>
        <w:numPr>
          <w:ilvl w:val="0"/>
          <w:numId w:val="1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供应商不得虚假质疑和恶意质疑，并对质疑内容的真实性承担责任。</w:t>
      </w:r>
    </w:p>
    <w:p>
      <w:pPr>
        <w:pStyle w:val="6"/>
        <w:rPr>
          <w:rFonts w:ascii="宋体" w:hAnsi="宋体" w:cs="宋体"/>
          <w:b w:val="0"/>
          <w:bCs w:val="0"/>
          <w:color w:val="auto"/>
          <w:szCs w:val="21"/>
          <w:highlight w:val="none"/>
        </w:rPr>
      </w:pPr>
      <w:r>
        <w:rPr>
          <w:rFonts w:hint="eastAsia" w:ascii="宋体" w:hAnsi="宋体" w:cs="宋体"/>
          <w:color w:val="auto"/>
          <w:szCs w:val="21"/>
          <w:highlight w:val="none"/>
        </w:rPr>
        <w:t>二、投诉与处理</w:t>
      </w:r>
    </w:p>
    <w:p>
      <w:pPr>
        <w:pStyle w:val="27"/>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2、质疑供应商对采购人、采购代理机构的答复不满意，或者采购人、采购代理机构未在规定时间内作出答复的，可以在答复期满后15个工作日内向财政部门提起投诉。</w:t>
      </w:r>
    </w:p>
    <w:p>
      <w:pPr>
        <w:pStyle w:val="27"/>
        <w:spacing w:line="360" w:lineRule="auto"/>
        <w:ind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7"/>
        <w:spacing w:line="360" w:lineRule="auto"/>
        <w:ind w:firstLine="640" w:firstLineChars="200"/>
        <w:rPr>
          <w:rFonts w:hint="default"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31"/>
          <w:rFonts w:ascii="宋体" w:hAnsi="宋体" w:eastAsia="宋体" w:cs="宋体"/>
          <w:color w:val="auto"/>
          <w:sz w:val="21"/>
          <w:szCs w:val="21"/>
          <w:highlight w:val="none"/>
        </w:rPr>
        <w:t>http://download.ccgp.gov.cn/2018/tousushufanben.zip</w:t>
      </w:r>
      <w:r>
        <w:rPr>
          <w:rStyle w:val="31"/>
          <w:rFonts w:ascii="宋体" w:hAnsi="宋体" w:eastAsia="宋体" w:cs="宋体"/>
          <w:color w:val="auto"/>
          <w:sz w:val="21"/>
          <w:szCs w:val="21"/>
          <w:highlight w:val="none"/>
        </w:rPr>
        <w:fldChar w:fldCharType="end"/>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财政部门自收到投诉之日起30个工作日内，对投诉事项作出处理决定并公示。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投诉人在全国范围12个月内三次以上投诉查无实据的，由财政部门列入不良行为记录名单。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投诉人有财政部94号令第三十七条情形的，属于虚假、恶意投诉，由财政部门列入不良行为记录名单，禁止其1至3年内参加政府采购活动。</w:t>
      </w:r>
    </w:p>
    <w:p>
      <w:pPr>
        <w:pStyle w:val="2"/>
        <w:spacing w:line="360" w:lineRule="auto"/>
        <w:rPr>
          <w:rFonts w:ascii="宋体" w:hAnsi="宋体" w:cs="宋体"/>
          <w:color w:val="auto"/>
          <w:szCs w:val="21"/>
          <w:highlight w:val="none"/>
        </w:rPr>
      </w:pPr>
    </w:p>
    <w:p>
      <w:pPr>
        <w:rPr>
          <w:rFonts w:ascii="宋体" w:hAnsi="宋体" w:cs="宋体"/>
          <w:b/>
          <w:bCs/>
          <w:color w:val="auto"/>
          <w:szCs w:val="21"/>
          <w:highlight w:val="none"/>
        </w:rPr>
      </w:pPr>
      <w:r>
        <w:rPr>
          <w:rFonts w:hint="eastAsia" w:ascii="宋体" w:hAnsi="宋体" w:cs="宋体"/>
          <w:color w:val="auto"/>
          <w:szCs w:val="21"/>
          <w:highlight w:val="none"/>
        </w:rPr>
        <w:t xml:space="preserve">投诉联系电话：0391-8683273  地址：博爱县机关综合办公楼主楼1213室 </w:t>
      </w:r>
    </w:p>
    <w:p>
      <w:pPr>
        <w:rPr>
          <w:rFonts w:ascii="宋体" w:hAnsi="宋体" w:cs="宋体"/>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highlight w:val="none"/>
        </w:rPr>
      </w:pPr>
    </w:p>
    <w:p>
      <w:pPr>
        <w:rPr>
          <w:color w:val="auto"/>
          <w:highlight w:val="none"/>
        </w:rPr>
      </w:pPr>
    </w:p>
    <w:p>
      <w:pPr>
        <w:pStyle w:val="13"/>
        <w:rPr>
          <w:color w:val="auto"/>
          <w:highlight w:val="none"/>
        </w:rPr>
      </w:pPr>
    </w:p>
    <w:p>
      <w:pPr>
        <w:pStyle w:val="23"/>
        <w:rPr>
          <w:color w:val="auto"/>
          <w:highlight w:val="none"/>
        </w:rPr>
      </w:pPr>
    </w:p>
    <w:p>
      <w:pPr>
        <w:pStyle w:val="13"/>
        <w:rPr>
          <w:color w:val="auto"/>
          <w:highlight w:val="none"/>
        </w:rPr>
      </w:pPr>
    </w:p>
    <w:p>
      <w:pPr>
        <w:pStyle w:val="23"/>
        <w:rPr>
          <w:color w:val="auto"/>
          <w:highlight w:val="none"/>
        </w:rPr>
      </w:pPr>
    </w:p>
    <w:p>
      <w:pPr>
        <w:pStyle w:val="13"/>
        <w:rPr>
          <w:color w:val="auto"/>
          <w:highlight w:val="none"/>
        </w:rPr>
      </w:pPr>
    </w:p>
    <w:p>
      <w:pPr>
        <w:pStyle w:val="23"/>
        <w:rPr>
          <w:color w:val="auto"/>
          <w:highlight w:val="none"/>
        </w:rPr>
      </w:pPr>
    </w:p>
    <w:p>
      <w:pPr>
        <w:pStyle w:val="23"/>
        <w:rPr>
          <w:color w:val="auto"/>
          <w:highlight w:val="none"/>
        </w:rPr>
      </w:pPr>
    </w:p>
    <w:p>
      <w:pPr>
        <w:pStyle w:val="27"/>
        <w:spacing w:line="360" w:lineRule="auto"/>
        <w:ind w:firstLine="643" w:firstLineChars="200"/>
        <w:jc w:val="center"/>
        <w:outlineLvl w:val="0"/>
        <w:rPr>
          <w:rFonts w:hint="default" w:asciiTheme="majorEastAsia" w:hAnsiTheme="majorEastAsia" w:eastAsiaTheme="majorEastAsia" w:cstheme="majorEastAsia"/>
          <w:b/>
          <w:bCs/>
          <w:color w:val="auto"/>
          <w:szCs w:val="32"/>
          <w:highlight w:val="none"/>
        </w:rPr>
      </w:pPr>
      <w:bookmarkStart w:id="260" w:name="_Toc7285"/>
      <w:r>
        <w:rPr>
          <w:rFonts w:asciiTheme="majorEastAsia" w:hAnsiTheme="majorEastAsia" w:eastAsiaTheme="majorEastAsia" w:cstheme="majorEastAsia"/>
          <w:b/>
          <w:bCs/>
          <w:color w:val="auto"/>
          <w:szCs w:val="32"/>
          <w:highlight w:val="none"/>
        </w:rPr>
        <w:t>第七章 履约验收</w:t>
      </w:r>
      <w:bookmarkEnd w:id="260"/>
    </w:p>
    <w:p>
      <w:pPr>
        <w:pStyle w:val="2"/>
        <w:rPr>
          <w:color w:val="auto"/>
          <w:highlight w:val="none"/>
        </w:rPr>
      </w:pPr>
    </w:p>
    <w:p>
      <w:pPr>
        <w:pStyle w:val="27"/>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供应商履约完成后，向采购人提出验收建议，采购人自收到验收建议之日起五个工作日内，采购人组织供应商参与，共同完成验收。技术复杂、专业性强等项目可适当延长验收时间。验收流程如下：</w:t>
      </w:r>
    </w:p>
    <w:p>
      <w:pPr>
        <w:pStyle w:val="27"/>
        <w:numPr>
          <w:ilvl w:val="0"/>
          <w:numId w:val="13"/>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7"/>
        <w:numPr>
          <w:ilvl w:val="0"/>
          <w:numId w:val="13"/>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7"/>
        <w:numPr>
          <w:ilvl w:val="0"/>
          <w:numId w:val="13"/>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7"/>
        <w:numPr>
          <w:ilvl w:val="0"/>
          <w:numId w:val="13"/>
        </w:numPr>
        <w:spacing w:line="360" w:lineRule="auto"/>
        <w:ind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3"/>
        <w:rPr>
          <w:rFonts w:asciiTheme="minorEastAsia" w:hAnsiTheme="minorEastAsia" w:eastAsiaTheme="minorEastAsia" w:cstheme="minorEastAsia"/>
          <w:color w:val="auto"/>
          <w:szCs w:val="21"/>
          <w:highlight w:val="none"/>
        </w:rPr>
      </w:pPr>
    </w:p>
    <w:p>
      <w:pPr>
        <w:pStyle w:val="23"/>
        <w:rPr>
          <w:rFonts w:asciiTheme="minorEastAsia" w:hAnsiTheme="minorEastAsia" w:eastAsiaTheme="minorEastAsia" w:cstheme="minorEastAsia"/>
          <w:color w:val="auto"/>
          <w:szCs w:val="21"/>
          <w:highlight w:val="none"/>
        </w:rPr>
      </w:pPr>
    </w:p>
    <w:p>
      <w:pPr>
        <w:pStyle w:val="13"/>
        <w:rPr>
          <w:rFonts w:asciiTheme="minorEastAsia" w:hAnsiTheme="minorEastAsia" w:eastAsiaTheme="minorEastAsia" w:cstheme="minorEastAsia"/>
          <w:color w:val="auto"/>
          <w:szCs w:val="21"/>
          <w:highlight w:val="none"/>
        </w:rPr>
      </w:pPr>
    </w:p>
    <w:p>
      <w:pPr>
        <w:pStyle w:val="23"/>
        <w:rPr>
          <w:rFonts w:asciiTheme="minorEastAsia" w:hAnsiTheme="minorEastAsia" w:eastAsiaTheme="minorEastAsia" w:cstheme="minorEastAsia"/>
          <w:color w:val="auto"/>
          <w:szCs w:val="21"/>
          <w:highlight w:val="none"/>
        </w:rPr>
      </w:pPr>
    </w:p>
    <w:p>
      <w:pPr>
        <w:pStyle w:val="13"/>
        <w:rPr>
          <w:rFonts w:asciiTheme="minorEastAsia" w:hAnsiTheme="minorEastAsia" w:eastAsiaTheme="minorEastAsia" w:cstheme="minorEastAsia"/>
          <w:color w:val="auto"/>
          <w:szCs w:val="21"/>
          <w:highlight w:val="none"/>
        </w:rPr>
      </w:pPr>
    </w:p>
    <w:p>
      <w:pPr>
        <w:pStyle w:val="23"/>
        <w:rPr>
          <w:rFonts w:asciiTheme="minorEastAsia" w:hAnsiTheme="minorEastAsia" w:eastAsiaTheme="minorEastAsia" w:cstheme="minorEastAsia"/>
          <w:color w:val="auto"/>
          <w:szCs w:val="21"/>
          <w:highlight w:val="none"/>
        </w:rPr>
      </w:pPr>
    </w:p>
    <w:p>
      <w:pPr>
        <w:pStyle w:val="13"/>
        <w:rPr>
          <w:color w:val="auto"/>
          <w:highlight w:val="none"/>
        </w:rPr>
      </w:pPr>
    </w:p>
    <w:p>
      <w:pPr>
        <w:pStyle w:val="13"/>
        <w:rPr>
          <w:color w:val="auto"/>
          <w:highlight w:val="none"/>
        </w:rPr>
      </w:pPr>
    </w:p>
    <w:p>
      <w:pPr>
        <w:pStyle w:val="25"/>
        <w:spacing w:line="600" w:lineRule="exact"/>
        <w:ind w:right="-63" w:rightChars="-30"/>
        <w:rPr>
          <w:rFonts w:asciiTheme="minorEastAsia" w:hAnsiTheme="minorEastAsia" w:eastAsiaTheme="minorEastAsia" w:cstheme="minorEastAsia"/>
          <w:color w:val="auto"/>
          <w:sz w:val="36"/>
          <w:szCs w:val="36"/>
          <w:highlight w:val="none"/>
        </w:rPr>
      </w:pPr>
      <w:bookmarkStart w:id="261" w:name="_Toc12999"/>
      <w:bookmarkStart w:id="262" w:name="_Toc14191"/>
      <w:r>
        <w:rPr>
          <w:rFonts w:hint="eastAsia" w:asciiTheme="minorEastAsia" w:hAnsiTheme="minorEastAsia" w:eastAsiaTheme="minorEastAsia" w:cstheme="minorEastAsia"/>
          <w:color w:val="auto"/>
          <w:sz w:val="36"/>
          <w:szCs w:val="36"/>
          <w:highlight w:val="none"/>
        </w:rPr>
        <w:t>第八章  投标文件格式</w:t>
      </w:r>
      <w:bookmarkEnd w:id="257"/>
      <w:bookmarkEnd w:id="258"/>
      <w:bookmarkEnd w:id="259"/>
      <w:bookmarkEnd w:id="261"/>
      <w:bookmarkEnd w:id="262"/>
    </w:p>
    <w:p>
      <w:pPr>
        <w:rPr>
          <w:rFonts w:asciiTheme="minorEastAsia" w:hAnsiTheme="minorEastAsia" w:eastAsiaTheme="minorEastAsia" w:cstheme="minorEastAsia"/>
          <w:color w:val="auto"/>
          <w:highlight w:val="none"/>
        </w:rPr>
      </w:pPr>
      <w:bookmarkStart w:id="263" w:name="_Toc27452"/>
      <w:bookmarkStart w:id="264" w:name="_Toc18905"/>
      <w:bookmarkStart w:id="265" w:name="_Toc402961301"/>
      <w:bookmarkStart w:id="266" w:name="_Toc403122573"/>
    </w:p>
    <w:bookmarkEnd w:id="263"/>
    <w:bookmarkEnd w:id="264"/>
    <w:bookmarkEnd w:id="265"/>
    <w:bookmarkEnd w:id="266"/>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10"/>
        <w:rPr>
          <w:color w:val="auto"/>
          <w:highlight w:val="none"/>
        </w:rPr>
      </w:pPr>
      <w:r>
        <w:rPr>
          <w:rFonts w:hint="eastAsia" w:asciiTheme="minorEastAsia" w:hAnsiTheme="minorEastAsia" w:eastAsiaTheme="minorEastAsia" w:cstheme="minorEastAsia"/>
          <w:color w:val="auto"/>
          <w:highlight w:val="none"/>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7"/>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17"/>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7"/>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pStyle w:val="2"/>
        <w:ind w:firstLine="883"/>
        <w:rPr>
          <w:rFonts w:asciiTheme="minorEastAsia" w:hAnsiTheme="minorEastAsia" w:eastAsiaTheme="minorEastAsia" w:cstheme="minorEastAsia"/>
          <w:b/>
          <w:bCs/>
          <w:color w:val="auto"/>
          <w:sz w:val="44"/>
          <w:szCs w:val="44"/>
          <w:highlight w:val="none"/>
        </w:rPr>
      </w:pPr>
    </w:p>
    <w:p>
      <w:pPr>
        <w:rPr>
          <w:rFonts w:asciiTheme="minorEastAsia" w:hAnsiTheme="minorEastAsia" w:eastAsiaTheme="minorEastAsia" w:cstheme="minorEastAsia"/>
          <w:b/>
          <w:bCs/>
          <w:color w:val="auto"/>
          <w:sz w:val="44"/>
          <w:szCs w:val="44"/>
          <w:highlight w:val="none"/>
        </w:rPr>
      </w:pPr>
    </w:p>
    <w:p>
      <w:pPr>
        <w:pStyle w:val="2"/>
        <w:rPr>
          <w:color w:val="auto"/>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spacing w:line="600" w:lineRule="exact"/>
        <w:jc w:val="center"/>
        <w:outlineLvl w:val="1"/>
        <w:rPr>
          <w:rFonts w:asciiTheme="minorEastAsia" w:hAnsiTheme="minorEastAsia" w:eastAsiaTheme="minorEastAsia" w:cstheme="minorEastAsia"/>
          <w:b/>
          <w:bCs/>
          <w:color w:val="auto"/>
          <w:sz w:val="28"/>
          <w:szCs w:val="28"/>
          <w:highlight w:val="none"/>
        </w:rPr>
      </w:pPr>
      <w:bookmarkStart w:id="267" w:name="_Toc31547"/>
      <w:bookmarkStart w:id="268"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69" w:name="_Toc1921"/>
      <w:r>
        <w:rPr>
          <w:rFonts w:hint="eastAsia" w:asciiTheme="minorEastAsia" w:hAnsiTheme="minorEastAsia" w:eastAsiaTheme="minorEastAsia" w:cstheme="minorEastAsia"/>
          <w:b/>
          <w:bCs/>
          <w:color w:val="auto"/>
          <w:sz w:val="30"/>
          <w:szCs w:val="30"/>
          <w:highlight w:val="none"/>
        </w:rPr>
        <w:t>一、投标函</w:t>
      </w:r>
      <w:bookmarkEnd w:id="267"/>
      <w:r>
        <w:rPr>
          <w:rFonts w:hint="eastAsia" w:asciiTheme="minorEastAsia" w:hAnsiTheme="minorEastAsia" w:eastAsiaTheme="minorEastAsia" w:cstheme="minorEastAsia"/>
          <w:b/>
          <w:bCs/>
          <w:color w:val="auto"/>
          <w:sz w:val="30"/>
          <w:szCs w:val="30"/>
          <w:highlight w:val="none"/>
        </w:rPr>
        <w:t>及开标一览表</w:t>
      </w:r>
      <w:bookmarkEnd w:id="268"/>
      <w:bookmarkEnd w:id="269"/>
    </w:p>
    <w:p>
      <w:pPr>
        <w:numPr>
          <w:ilvl w:val="0"/>
          <w:numId w:val="14"/>
        </w:numPr>
        <w:spacing w:line="600" w:lineRule="exact"/>
        <w:jc w:val="center"/>
        <w:outlineLvl w:val="2"/>
        <w:rPr>
          <w:rFonts w:asciiTheme="minorEastAsia" w:hAnsiTheme="minorEastAsia" w:eastAsiaTheme="minorEastAsia" w:cstheme="minorEastAsia"/>
          <w:b/>
          <w:color w:val="auto"/>
          <w:sz w:val="28"/>
          <w:szCs w:val="28"/>
          <w:highlight w:val="none"/>
        </w:rPr>
      </w:pPr>
      <w:bookmarkStart w:id="270" w:name="_Toc27218"/>
      <w:bookmarkStart w:id="271" w:name="_Toc12044"/>
      <w:bookmarkStart w:id="272" w:name="_Toc28684"/>
      <w:bookmarkStart w:id="273" w:name="_Toc600"/>
      <w:r>
        <w:rPr>
          <w:rFonts w:hint="eastAsia" w:asciiTheme="minorEastAsia" w:hAnsiTheme="minorEastAsia" w:eastAsiaTheme="minorEastAsia" w:cstheme="minorEastAsia"/>
          <w:b/>
          <w:color w:val="auto"/>
          <w:sz w:val="28"/>
          <w:szCs w:val="28"/>
          <w:highlight w:val="none"/>
        </w:rPr>
        <w:t>投标函</w:t>
      </w:r>
      <w:bookmarkEnd w:id="270"/>
      <w:bookmarkEnd w:id="271"/>
      <w:bookmarkEnd w:id="272"/>
      <w:bookmarkEnd w:id="273"/>
    </w:p>
    <w:p>
      <w:pPr>
        <w:pStyle w:val="2"/>
        <w:ind w:firstLine="0" w:firstLineChars="0"/>
        <w:rPr>
          <w:color w:val="auto"/>
          <w:highlight w:val="none"/>
        </w:rPr>
      </w:pPr>
    </w:p>
    <w:p>
      <w:pPr>
        <w:widowControl/>
        <w:spacing w:line="360" w:lineRule="auto"/>
        <w:ind w:firstLine="562" w:firstLineChars="200"/>
        <w:rPr>
          <w:rFonts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7"/>
        <w:spacing w:line="360" w:lineRule="auto"/>
        <w:ind w:firstLine="480" w:firstLineChars="200"/>
        <w:rPr>
          <w:rFonts w:hint="default" w:ascii="宋体" w:hAnsi="宋体" w:eastAsia="宋体"/>
          <w:color w:val="auto"/>
          <w:sz w:val="24"/>
          <w:highlight w:val="none"/>
        </w:rPr>
      </w:pPr>
      <w:r>
        <w:rPr>
          <w:rFonts w:ascii="宋体" w:hAnsi="宋体" w:eastAsia="宋体"/>
          <w:color w:val="auto"/>
          <w:sz w:val="24"/>
          <w:highlight w:val="none"/>
        </w:rPr>
        <w:t>我单位已收到的</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项目采购文件及有关纪要通知，现对参与投标及中标后工作，做出如下郑重承诺：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1、我方愿以总价为人民币（大写）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（小写）￥ </w:t>
      </w:r>
      <w:r>
        <w:rPr>
          <w:rFonts w:hint="eastAsia" w:ascii="宋体" w:hAnsi="宋体"/>
          <w:color w:val="auto"/>
          <w:sz w:val="24"/>
          <w:highlight w:val="none"/>
          <w:u w:val="single"/>
        </w:rPr>
        <w:t xml:space="preserve">           </w:t>
      </w:r>
      <w:r>
        <w:rPr>
          <w:rFonts w:hint="eastAsia" w:ascii="宋体" w:hAnsi="宋体"/>
          <w:color w:val="auto"/>
          <w:sz w:val="24"/>
          <w:highlight w:val="none"/>
        </w:rPr>
        <w:t>元，供货期：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，按合同约定实施和完成本项目。 </w:t>
      </w:r>
    </w:p>
    <w:p>
      <w:pPr>
        <w:widowControl/>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在响应性文件递交截止时间后至确定成交人的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，我单位不得要求退出竞标或者修改响应性文件。</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rPr>
          <w:color w:val="auto"/>
          <w:highlight w:val="none"/>
        </w:rPr>
      </w:pPr>
      <w:r>
        <w:rPr>
          <w:rFonts w:hint="eastAsia" w:ascii="宋体" w:hAnsi="宋体" w:cs="宋体"/>
          <w:color w:val="auto"/>
          <w:sz w:val="24"/>
          <w:highlight w:val="none"/>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供应商：（盖章）</w:t>
      </w:r>
    </w:p>
    <w:p>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widowControl/>
        <w:spacing w:line="360" w:lineRule="auto"/>
        <w:ind w:firstLine="480" w:firstLineChars="200"/>
        <w:rPr>
          <w:rFonts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74" w:name="_Toc31291"/>
      <w:bookmarkStart w:id="275" w:name="_Toc14778"/>
      <w:bookmarkStart w:id="276" w:name="_Toc208"/>
      <w:bookmarkStart w:id="277" w:name="_Toc9543"/>
      <w:r>
        <w:rPr>
          <w:rFonts w:hint="eastAsia" w:asciiTheme="minorEastAsia" w:hAnsiTheme="minorEastAsia" w:eastAsiaTheme="minorEastAsia" w:cstheme="minorEastAsia"/>
          <w:b/>
          <w:bCs/>
          <w:color w:val="auto"/>
          <w:sz w:val="28"/>
          <w:szCs w:val="28"/>
          <w:highlight w:val="none"/>
        </w:rPr>
        <w:t>（二） 开标一览表</w:t>
      </w:r>
      <w:bookmarkEnd w:id="274"/>
      <w:bookmarkEnd w:id="275"/>
      <w:bookmarkEnd w:id="276"/>
      <w:bookmarkEnd w:id="277"/>
    </w:p>
    <w:p>
      <w:pPr>
        <w:jc w:val="center"/>
        <w:rPr>
          <w:rFonts w:asciiTheme="minorEastAsia" w:hAnsiTheme="minorEastAsia" w:eastAsiaTheme="minorEastAsia" w:cstheme="minorEastAsia"/>
          <w:b/>
          <w:bCs/>
          <w:color w:val="auto"/>
          <w:sz w:val="28"/>
          <w:highlight w:val="none"/>
        </w:rPr>
      </w:pPr>
    </w:p>
    <w:tbl>
      <w:tblPr>
        <w:tblStyle w:val="28"/>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3"/>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供货期</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质保期</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3"/>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13"/>
        <w:rPr>
          <w:rFonts w:asciiTheme="minorEastAsia" w:hAnsiTheme="minorEastAsia" w:eastAsiaTheme="minorEastAsia" w:cstheme="minorEastAsia"/>
          <w:color w:val="auto"/>
          <w:sz w:val="24"/>
          <w:highlight w:val="none"/>
        </w:rPr>
      </w:pPr>
    </w:p>
    <w:p>
      <w:pPr>
        <w:pStyle w:val="25"/>
        <w:spacing w:before="120" w:after="120" w:line="500" w:lineRule="exact"/>
        <w:ind w:right="29" w:rightChars="14"/>
        <w:outlineLvl w:val="9"/>
        <w:rPr>
          <w:rFonts w:asciiTheme="minorEastAsia" w:hAnsiTheme="minorEastAsia" w:eastAsiaTheme="minorEastAsia" w:cstheme="minorEastAsia"/>
          <w:color w:val="auto"/>
          <w:sz w:val="24"/>
          <w:highlight w:val="none"/>
        </w:rPr>
      </w:pPr>
    </w:p>
    <w:p>
      <w:pPr>
        <w:pStyle w:val="25"/>
        <w:spacing w:before="120" w:after="120" w:line="500" w:lineRule="exact"/>
        <w:ind w:right="29" w:rightChars="14"/>
        <w:outlineLvl w:val="9"/>
        <w:rPr>
          <w:rFonts w:asciiTheme="minorEastAsia" w:hAnsiTheme="minorEastAsia" w:eastAsiaTheme="minorEastAsia" w:cstheme="minorEastAsia"/>
          <w:color w:val="auto"/>
          <w:sz w:val="24"/>
          <w:highlight w:val="none"/>
        </w:rPr>
        <w:sectPr>
          <w:headerReference r:id="rId5" w:type="default"/>
          <w:footerReference r:id="rId6"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（三）报价明细表</w:t>
      </w:r>
    </w:p>
    <w:p>
      <w:pPr>
        <w:spacing w:line="440" w:lineRule="exact"/>
        <w:ind w:firstLine="308" w:firstLineChars="147"/>
        <w:rPr>
          <w:rFonts w:ascii="宋体" w:hAnsi="宋体" w:cs="宋体"/>
          <w:bCs/>
          <w:color w:val="auto"/>
          <w:szCs w:val="21"/>
          <w:highlight w:val="none"/>
        </w:rPr>
      </w:pPr>
    </w:p>
    <w:tbl>
      <w:tblPr>
        <w:tblStyle w:val="28"/>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723" w:type="dxa"/>
            <w:vMerge w:val="restart"/>
            <w:tcBorders>
              <w:top w:val="single" w:color="auto" w:sz="4" w:space="0"/>
              <w:left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24"/>
              <w:widowControl w:val="0"/>
              <w:adjustRightInd w:val="0"/>
              <w:spacing w:before="0" w:beforeAutospacing="0" w:after="0" w:afterAutospacing="0" w:line="480" w:lineRule="exact"/>
              <w:ind w:firstLine="235" w:firstLineChars="98"/>
              <w:jc w:val="center"/>
              <w:rPr>
                <w:bCs/>
                <w:color w:val="auto"/>
                <w:highlight w:val="none"/>
              </w:rPr>
            </w:pPr>
          </w:p>
          <w:p>
            <w:pPr>
              <w:pStyle w:val="24"/>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24"/>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24"/>
              <w:widowControl w:val="0"/>
              <w:adjustRightInd w:val="0"/>
              <w:spacing w:before="0" w:beforeAutospacing="0" w:after="0" w:afterAutospacing="0" w:line="480" w:lineRule="exact"/>
              <w:jc w:val="both"/>
              <w:rPr>
                <w:bCs/>
                <w:color w:val="auto"/>
                <w:highlight w:val="none"/>
              </w:rPr>
            </w:pPr>
            <w:r>
              <w:rPr>
                <w:rFonts w:hint="eastAsia"/>
                <w:bCs/>
                <w:color w:val="auto"/>
                <w:highlight w:val="none"/>
              </w:rPr>
              <w:t xml:space="preserve"> </w:t>
            </w:r>
          </w:p>
          <w:p>
            <w:pPr>
              <w:pStyle w:val="24"/>
              <w:widowControl w:val="0"/>
              <w:adjustRightInd w:val="0"/>
              <w:spacing w:before="0" w:beforeAutospacing="0" w:after="0" w:afterAutospacing="0" w:line="480" w:lineRule="exact"/>
              <w:jc w:val="both"/>
              <w:rPr>
                <w:bCs/>
                <w:color w:val="auto"/>
                <w:highlight w:val="none"/>
              </w:rPr>
            </w:pPr>
            <w:r>
              <w:rPr>
                <w:rFonts w:hint="eastAsia"/>
                <w:bCs/>
                <w:color w:val="auto"/>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p>
        </w:tc>
        <w:tc>
          <w:tcPr>
            <w:tcW w:w="723" w:type="dxa"/>
            <w:vMerge w:val="continue"/>
            <w:tcBorders>
              <w:left w:val="single" w:color="auto" w:sz="4" w:space="0"/>
              <w:bottom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p>
        </w:tc>
        <w:tc>
          <w:tcPr>
            <w:tcW w:w="818" w:type="dxa"/>
            <w:vMerge w:val="continue"/>
            <w:tcBorders>
              <w:left w:val="single" w:color="auto" w:sz="4" w:space="0"/>
              <w:bottom w:val="single" w:color="auto" w:sz="4" w:space="0"/>
              <w:right w:val="single" w:color="auto" w:sz="4" w:space="0"/>
            </w:tcBorders>
            <w:noWrap/>
            <w:vAlign w:val="center"/>
          </w:tcPr>
          <w:p>
            <w:pPr>
              <w:pStyle w:val="24"/>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continue"/>
            <w:tcBorders>
              <w:left w:val="single" w:color="auto" w:sz="4" w:space="0"/>
              <w:bottom w:val="single" w:color="auto" w:sz="4" w:space="0"/>
              <w:right w:val="single" w:color="auto" w:sz="4" w:space="0"/>
            </w:tcBorders>
            <w:noWrap/>
            <w:vAlign w:val="center"/>
          </w:tcPr>
          <w:p>
            <w:pPr>
              <w:pStyle w:val="24"/>
              <w:widowControl w:val="0"/>
              <w:adjustRightInd w:val="0"/>
              <w:spacing w:before="0" w:beforeAutospacing="0" w:after="0" w:afterAutospacing="0" w:line="480" w:lineRule="exact"/>
              <w:jc w:val="center"/>
              <w:rPr>
                <w:bCs/>
                <w:color w:val="auto"/>
                <w:highlight w:val="none"/>
              </w:rPr>
            </w:pPr>
          </w:p>
        </w:tc>
        <w:tc>
          <w:tcPr>
            <w:tcW w:w="1142" w:type="dxa"/>
            <w:vMerge w:val="continue"/>
            <w:tcBorders>
              <w:left w:val="single" w:color="auto" w:sz="4" w:space="0"/>
              <w:bottom w:val="single" w:color="auto" w:sz="4" w:space="0"/>
              <w:right w:val="single" w:color="auto" w:sz="4" w:space="0"/>
            </w:tcBorders>
            <w:noWrap/>
          </w:tcPr>
          <w:p>
            <w:pPr>
              <w:pStyle w:val="24"/>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
                <w:color w:val="auto"/>
                <w:sz w:val="24"/>
                <w:highlight w:val="none"/>
              </w:rPr>
              <w:t>重要提示：1、本表的每一页须加盖企业印章；2、涉及有国家标准的产品，须填写名称、品牌、型号及技术参数、报价等本表内容（若品牌、型号等填写的与实际不符，按照无效标处理）。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供应商：（单位公章）</w:t>
      </w:r>
    </w:p>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法定代表人</w:t>
      </w:r>
      <w:r>
        <w:rPr>
          <w:rFonts w:hint="eastAsia" w:ascii="宋体" w:hAnsi="宋体" w:cs="宋体"/>
          <w:bCs/>
          <w:color w:val="auto"/>
          <w:sz w:val="24"/>
          <w:szCs w:val="20"/>
          <w:highlight w:val="none"/>
        </w:rPr>
        <w:t>或其委托代理人</w:t>
      </w:r>
      <w:r>
        <w:rPr>
          <w:rFonts w:hint="eastAsia" w:ascii="宋体" w:hAnsi="宋体" w:cs="宋体"/>
          <w:bCs/>
          <w:color w:val="auto"/>
          <w:sz w:val="24"/>
          <w:highlight w:val="none"/>
        </w:rPr>
        <w:t>：（签字或盖章）</w:t>
      </w:r>
    </w:p>
    <w:p>
      <w:pPr>
        <w:ind w:left="1050" w:leftChars="500"/>
        <w:jc w:val="right"/>
        <w:rPr>
          <w:rFonts w:ascii="宋体" w:hAnsi="宋体" w:cs="宋体"/>
          <w:bCs/>
          <w:color w:val="auto"/>
          <w:sz w:val="24"/>
          <w:highlight w:val="none"/>
        </w:rPr>
      </w:pPr>
      <w:r>
        <w:rPr>
          <w:rFonts w:hint="eastAsia" w:ascii="宋体" w:hAnsi="宋体" w:cs="宋体"/>
          <w:bCs/>
          <w:color w:val="auto"/>
          <w:sz w:val="24"/>
          <w:highlight w:val="none"/>
        </w:rPr>
        <w:t xml:space="preserve">                日  期：     年   月   日</w:t>
      </w:r>
    </w:p>
    <w:p>
      <w:pPr>
        <w:autoSpaceDE w:val="0"/>
        <w:autoSpaceDN w:val="0"/>
        <w:adjustRightInd w:val="0"/>
        <w:spacing w:line="440" w:lineRule="exact"/>
        <w:jc w:val="right"/>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（四）技术偏离表</w:t>
      </w:r>
    </w:p>
    <w:p>
      <w:pPr>
        <w:spacing w:line="440" w:lineRule="exact"/>
        <w:rPr>
          <w:rFonts w:ascii="宋体" w:hAnsi="宋体" w:cs="宋体"/>
          <w:color w:val="auto"/>
          <w:sz w:val="32"/>
          <w:highlight w:val="none"/>
        </w:rPr>
      </w:pPr>
    </w:p>
    <w:tbl>
      <w:tblPr>
        <w:tblStyle w:val="28"/>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24"/>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80" w:firstLineChars="200"/>
        <w:rPr>
          <w:rFonts w:ascii="宋体" w:hAnsi="宋体"/>
          <w:color w:val="auto"/>
          <w:sz w:val="24"/>
          <w:highlight w:val="none"/>
        </w:rPr>
      </w:pPr>
      <w:r>
        <w:rPr>
          <w:rFonts w:hint="eastAsia" w:ascii="宋体" w:hAnsi="宋体"/>
          <w:color w:val="auto"/>
          <w:sz w:val="24"/>
          <w:highlight w:val="none"/>
        </w:rPr>
        <w:t>注：供应商须对照招标文件技术规格，将自己所投的所有货物的功能、技术性能、配置等内容按照上表格式与招标文件要求逐条填写，</w:t>
      </w:r>
      <w:r>
        <w:rPr>
          <w:rFonts w:hint="eastAsia" w:ascii="宋体" w:hAnsi="宋体"/>
          <w:b/>
          <w:bCs/>
          <w:color w:val="auto"/>
          <w:sz w:val="24"/>
          <w:highlight w:val="none"/>
        </w:rPr>
        <w:t>供应商必须提供所投设备的具体参数值，并在偏离说明栏中标明技术及配置的实际响应情况</w:t>
      </w:r>
      <w:r>
        <w:rPr>
          <w:rFonts w:hint="eastAsia" w:ascii="宋体" w:hAnsi="宋体"/>
          <w:color w:val="auto"/>
          <w:sz w:val="24"/>
          <w:highlight w:val="none"/>
        </w:rPr>
        <w:t>：</w:t>
      </w:r>
    </w:p>
    <w:p>
      <w:pPr>
        <w:ind w:firstLine="480" w:firstLineChars="200"/>
        <w:rPr>
          <w:rFonts w:ascii="宋体" w:hAnsi="宋体"/>
          <w:color w:val="auto"/>
          <w:sz w:val="24"/>
          <w:highlight w:val="none"/>
        </w:rPr>
      </w:pPr>
      <w:r>
        <w:rPr>
          <w:rFonts w:hint="eastAsia" w:ascii="宋体" w:hAnsi="宋体"/>
          <w:color w:val="auto"/>
          <w:sz w:val="24"/>
          <w:highlight w:val="none"/>
        </w:rPr>
        <w:t>1、偏离说明栏中必须标明技术及配置的响应情况，整项货物及该项货物各部分相应情况须按下列要求填写，任何不真实响应都将按无效投标处理：</w:t>
      </w:r>
    </w:p>
    <w:p>
      <w:pPr>
        <w:numPr>
          <w:ilvl w:val="0"/>
          <w:numId w:val="15"/>
        </w:numPr>
        <w:ind w:firstLine="480" w:firstLineChars="200"/>
        <w:rPr>
          <w:rFonts w:ascii="宋体" w:hAnsi="宋体"/>
          <w:color w:val="auto"/>
          <w:sz w:val="24"/>
          <w:highlight w:val="none"/>
        </w:rPr>
      </w:pPr>
      <w:r>
        <w:rPr>
          <w:rFonts w:hint="eastAsia" w:ascii="宋体" w:hAnsi="宋体"/>
          <w:color w:val="auto"/>
          <w:sz w:val="24"/>
          <w:highlight w:val="none"/>
        </w:rPr>
        <w:t>对应项中的所有技术参数、性能和配置全部符合招标文件要求的才能填写“符合”；</w:t>
      </w:r>
    </w:p>
    <w:p>
      <w:pPr>
        <w:numPr>
          <w:ilvl w:val="0"/>
          <w:numId w:val="15"/>
        </w:numPr>
        <w:ind w:firstLine="480" w:firstLineChars="200"/>
        <w:rPr>
          <w:rFonts w:ascii="宋体" w:hAnsi="宋体"/>
          <w:color w:val="auto"/>
          <w:sz w:val="24"/>
          <w:highlight w:val="none"/>
        </w:rPr>
      </w:pPr>
      <w:r>
        <w:rPr>
          <w:rFonts w:hint="eastAsia" w:ascii="宋体" w:hAnsi="宋体"/>
          <w:color w:val="auto"/>
          <w:sz w:val="24"/>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宋体" w:hAnsi="宋体" w:cs="宋体"/>
          <w:color w:val="auto"/>
          <w:sz w:val="24"/>
          <w:highlight w:val="none"/>
        </w:rPr>
        <w:t>（盖章）：</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2"/>
        <w:ind w:firstLine="480"/>
        <w:rPr>
          <w:rFonts w:asciiTheme="minorEastAsia" w:hAnsiTheme="minorEastAsia" w:eastAsiaTheme="minorEastAsia" w:cstheme="minorEastAsia"/>
          <w:color w:val="auto"/>
          <w:sz w:val="24"/>
          <w:highlight w:val="none"/>
        </w:rPr>
      </w:pPr>
    </w:p>
    <w:p>
      <w:pPr>
        <w:pStyle w:val="25"/>
        <w:numPr>
          <w:ilvl w:val="0"/>
          <w:numId w:val="16"/>
        </w:numPr>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78" w:name="_Toc5614"/>
      <w:bookmarkStart w:id="279" w:name="_Toc2213"/>
      <w:bookmarkStart w:id="280" w:name="_Toc17935"/>
      <w:bookmarkStart w:id="281" w:name="_Toc26698"/>
      <w:r>
        <w:rPr>
          <w:rFonts w:hint="eastAsia" w:asciiTheme="minorEastAsia" w:hAnsiTheme="minorEastAsia" w:eastAsiaTheme="minorEastAsia" w:cstheme="minorEastAsia"/>
          <w:color w:val="auto"/>
          <w:sz w:val="30"/>
          <w:szCs w:val="30"/>
          <w:highlight w:val="none"/>
        </w:rPr>
        <w:t>法定代表人身份证明书</w:t>
      </w:r>
      <w:bookmarkEnd w:id="278"/>
      <w:bookmarkEnd w:id="279"/>
      <w:bookmarkEnd w:id="280"/>
      <w:bookmarkEnd w:id="281"/>
    </w:p>
    <w:p>
      <w:pPr>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ind w:firstLine="480" w:firstLineChars="200"/>
        <w:rPr>
          <w:color w:val="auto"/>
          <w:highlight w:val="none"/>
        </w:rPr>
      </w:pPr>
      <w:r>
        <w:rPr>
          <w:rFonts w:hint="eastAsia" w:ascii="宋体" w:hAnsi="宋体"/>
          <w:color w:val="auto"/>
          <w:sz w:val="24"/>
          <w:highlight w:val="none"/>
          <w:lang w:val="en-US" w:eastAsia="zh-CN"/>
        </w:rPr>
        <w:t>附：</w:t>
      </w:r>
      <w:r>
        <w:rPr>
          <w:rFonts w:hint="eastAsia" w:ascii="宋体" w:hAnsi="宋体"/>
          <w:color w:val="auto"/>
          <w:sz w:val="24"/>
          <w:highlight w:val="none"/>
        </w:rPr>
        <w:t>法定代表人身份证复印件（正</w:t>
      </w:r>
      <w:r>
        <w:rPr>
          <w:rFonts w:hint="eastAsia" w:ascii="宋体" w:hAnsi="宋体"/>
          <w:color w:val="auto"/>
          <w:sz w:val="24"/>
          <w:highlight w:val="none"/>
          <w:lang w:val="en-US" w:eastAsia="zh-CN"/>
        </w:rPr>
        <w:t>反</w:t>
      </w:r>
      <w:r>
        <w:rPr>
          <w:rFonts w:hint="eastAsia" w:ascii="宋体" w:hAnsi="宋体"/>
          <w:color w:val="auto"/>
          <w:sz w:val="24"/>
          <w:highlight w:val="none"/>
        </w:rPr>
        <w:t>面）</w:t>
      </w:r>
    </w:p>
    <w:p>
      <w:pPr>
        <w:rPr>
          <w:rFonts w:ascii="宋体" w:hAnsi="宋体"/>
          <w:color w:val="auto"/>
          <w:sz w:val="24"/>
          <w:highlight w:val="none"/>
        </w:rPr>
      </w:pPr>
    </w:p>
    <w:p>
      <w:pPr>
        <w:rPr>
          <w:color w:val="auto"/>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ind w:firstLine="5760" w:firstLineChars="2400"/>
        <w:rPr>
          <w:rFonts w:ascii="宋体" w:hAnsi="宋体"/>
          <w:color w:val="auto"/>
          <w:sz w:val="24"/>
          <w:highlight w:val="none"/>
        </w:rPr>
      </w:pPr>
    </w:p>
    <w:p>
      <w:pPr>
        <w:spacing w:line="360" w:lineRule="auto"/>
        <w:jc w:val="righ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pPr>
        <w:spacing w:line="360" w:lineRule="auto"/>
        <w:ind w:firstLine="5760" w:firstLineChars="2400"/>
        <w:jc w:val="right"/>
        <w:rPr>
          <w:rFonts w:ascii="宋体" w:hAnsi="宋体"/>
          <w:color w:val="auto"/>
          <w:sz w:val="24"/>
          <w:highlight w:val="none"/>
        </w:rPr>
      </w:pPr>
    </w:p>
    <w:p>
      <w:pPr>
        <w:spacing w:line="360" w:lineRule="auto"/>
        <w:ind w:firstLine="5760" w:firstLineChars="2400"/>
        <w:jc w:val="right"/>
        <w:rPr>
          <w:rFonts w:ascii="宋体" w:hAnsi="宋体"/>
          <w:color w:val="auto"/>
          <w:sz w:val="24"/>
          <w:highlight w:val="none"/>
        </w:rPr>
      </w:pPr>
      <w:r>
        <w:rPr>
          <w:rFonts w:hint="eastAsia" w:ascii="宋体" w:hAnsi="宋体"/>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30"/>
          <w:szCs w:val="30"/>
          <w:highlight w:val="none"/>
        </w:rPr>
      </w:pPr>
      <w:bookmarkStart w:id="282" w:name="_Toc6009"/>
      <w:bookmarkStart w:id="283" w:name="_Toc17980"/>
      <w:bookmarkStart w:id="284" w:name="_Toc15395"/>
      <w:bookmarkStart w:id="285" w:name="_Toc5815"/>
      <w:r>
        <w:rPr>
          <w:rFonts w:hint="eastAsia" w:asciiTheme="minorEastAsia" w:hAnsiTheme="minorEastAsia" w:eastAsiaTheme="minorEastAsia" w:cstheme="minorEastAsia"/>
          <w:color w:val="auto"/>
          <w:sz w:val="30"/>
          <w:szCs w:val="30"/>
          <w:highlight w:val="none"/>
        </w:rPr>
        <w:br w:type="page"/>
      </w:r>
    </w:p>
    <w:p>
      <w:pPr>
        <w:pStyle w:val="25"/>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三、授权委托书</w:t>
      </w:r>
      <w:bookmarkEnd w:id="282"/>
      <w:bookmarkEnd w:id="283"/>
      <w:bookmarkEnd w:id="284"/>
      <w:bookmarkEnd w:id="285"/>
    </w:p>
    <w:p>
      <w:pPr>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360" w:lineRule="auto"/>
        <w:ind w:firstLine="480" w:firstLineChars="200"/>
        <w:rPr>
          <w:rFonts w:ascii="宋体" w:hAnsi="宋体"/>
          <w:color w:val="auto"/>
          <w:sz w:val="24"/>
          <w:highlight w:val="none"/>
        </w:rPr>
      </w:pPr>
    </w:p>
    <w:p>
      <w:pPr>
        <w:rPr>
          <w:color w:val="auto"/>
          <w:highlight w:val="none"/>
        </w:rPr>
      </w:pPr>
      <w:r>
        <w:rPr>
          <w:rFonts w:hint="eastAsia" w:ascii="宋体" w:hAnsi="宋体"/>
          <w:color w:val="auto"/>
          <w:sz w:val="24"/>
          <w:highlight w:val="none"/>
          <w:lang w:val="en-US" w:eastAsia="zh-CN"/>
        </w:rPr>
        <w:t>附：</w:t>
      </w:r>
      <w:r>
        <w:rPr>
          <w:rFonts w:hint="eastAsia" w:ascii="宋体" w:hAnsi="宋体"/>
          <w:color w:val="auto"/>
          <w:sz w:val="24"/>
          <w:highlight w:val="none"/>
        </w:rPr>
        <w:t>委托代理人身份证复印件正</w:t>
      </w:r>
      <w:r>
        <w:rPr>
          <w:rFonts w:hint="eastAsia" w:ascii="宋体" w:hAnsi="宋体"/>
          <w:color w:val="auto"/>
          <w:sz w:val="24"/>
          <w:highlight w:val="none"/>
          <w:lang w:val="en-US" w:eastAsia="zh-CN"/>
        </w:rPr>
        <w:t>反</w:t>
      </w:r>
      <w:r>
        <w:rPr>
          <w:rFonts w:hint="eastAsia" w:ascii="宋体" w:hAnsi="宋体"/>
          <w:color w:val="auto"/>
          <w:sz w:val="24"/>
          <w:highlight w:val="none"/>
        </w:rPr>
        <w:t>面</w:t>
      </w:r>
    </w:p>
    <w:p>
      <w:pPr>
        <w:spacing w:line="360" w:lineRule="auto"/>
        <w:jc w:val="left"/>
        <w:rPr>
          <w:rFonts w:hint="eastAsia" w:ascii="宋体" w:hAnsi="宋体" w:eastAsia="宋体"/>
          <w:color w:val="auto"/>
          <w:sz w:val="24"/>
          <w:highlight w:val="none"/>
          <w:lang w:val="en-US" w:eastAsia="zh-CN"/>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ind w:firstLine="4560" w:firstLineChars="1900"/>
        <w:jc w:val="left"/>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spacing w:line="360" w:lineRule="auto"/>
        <w:ind w:firstLine="5040" w:firstLineChars="2100"/>
        <w:rPr>
          <w:rFonts w:ascii="宋体" w:hAnsi="宋体"/>
          <w:color w:val="auto"/>
          <w:sz w:val="24"/>
          <w:highlight w:val="none"/>
        </w:rPr>
      </w:pPr>
    </w:p>
    <w:p>
      <w:pPr>
        <w:spacing w:line="360" w:lineRule="auto"/>
        <w:ind w:firstLine="5040" w:firstLineChars="2100"/>
        <w:rPr>
          <w:rFonts w:asciiTheme="minorEastAsia" w:hAnsiTheme="minorEastAsia" w:eastAsiaTheme="minorEastAsia" w:cstheme="minorEastAsia"/>
          <w:color w:val="auto"/>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48"/>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kern w:val="2"/>
          <w:sz w:val="30"/>
          <w:szCs w:val="30"/>
          <w:highlight w:val="none"/>
        </w:rPr>
      </w:pPr>
    </w:p>
    <w:p>
      <w:pPr>
        <w:pStyle w:val="24"/>
        <w:widowControl w:val="0"/>
        <w:spacing w:before="120" w:beforeAutospacing="0" w:after="120" w:afterAutospacing="0" w:line="500" w:lineRule="exact"/>
        <w:ind w:right="29" w:rightChars="14"/>
        <w:jc w:val="both"/>
        <w:rPr>
          <w:rFonts w:asciiTheme="minorEastAsia" w:hAnsiTheme="minorEastAsia" w:eastAsiaTheme="minorEastAsia" w:cstheme="minorEastAsia"/>
          <w:b/>
          <w:bCs/>
          <w:color w:val="auto"/>
          <w:kern w:val="2"/>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bookmarkStart w:id="286" w:name="_Toc8304"/>
      <w:bookmarkStart w:id="287" w:name="_Toc25161"/>
    </w:p>
    <w:p>
      <w:pPr>
        <w:rPr>
          <w:rFonts w:hint="eastAsia"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p>
    <w:p>
      <w:pPr>
        <w:pStyle w:val="2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四、项目实施方案</w:t>
      </w:r>
      <w:bookmarkEnd w:id="286"/>
      <w:r>
        <w:rPr>
          <w:rFonts w:hint="eastAsia" w:asciiTheme="minorEastAsia" w:hAnsiTheme="minorEastAsia" w:eastAsiaTheme="minorEastAsia" w:cstheme="minorEastAsia"/>
          <w:b/>
          <w:color w:val="auto"/>
          <w:kern w:val="2"/>
          <w:sz w:val="30"/>
          <w:szCs w:val="30"/>
          <w:highlight w:val="none"/>
        </w:rPr>
        <w:t>等</w:t>
      </w:r>
      <w:bookmarkEnd w:id="287"/>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88" w:name="_Toc10043"/>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rPr>
          <w:rFonts w:hint="eastAsia" w:asciiTheme="minorEastAsia" w:hAnsiTheme="minorEastAsia" w:eastAsiaTheme="minorEastAsia" w:cstheme="minorEastAsia"/>
          <w:b/>
          <w:color w:val="auto"/>
          <w:kern w:val="2"/>
          <w:sz w:val="30"/>
          <w:szCs w:val="30"/>
          <w:highlight w:val="none"/>
        </w:rPr>
      </w:pPr>
      <w:bookmarkStart w:id="289" w:name="_Toc30146"/>
      <w:bookmarkStart w:id="290" w:name="_Toc20650"/>
      <w:bookmarkStart w:id="291" w:name="_Toc29492"/>
      <w:r>
        <w:rPr>
          <w:rFonts w:hint="eastAsia" w:asciiTheme="minorEastAsia" w:hAnsiTheme="minorEastAsia" w:eastAsiaTheme="minorEastAsia" w:cstheme="minorEastAsia"/>
          <w:b/>
          <w:color w:val="auto"/>
          <w:kern w:val="2"/>
          <w:sz w:val="30"/>
          <w:szCs w:val="30"/>
          <w:highlight w:val="none"/>
        </w:rPr>
        <w:br w:type="page"/>
      </w:r>
    </w:p>
    <w:p>
      <w:pPr>
        <w:overflowPunct w:val="0"/>
        <w:adjustRightInd w:val="0"/>
        <w:snapToGrid w:val="0"/>
        <w:spacing w:line="574" w:lineRule="exact"/>
        <w:jc w:val="center"/>
        <w:rPr>
          <w:rFonts w:hint="eastAsia" w:ascii="宋体" w:hAnsi="宋体" w:cs="宋体"/>
          <w:b/>
          <w:bCs/>
          <w:color w:val="auto"/>
          <w:sz w:val="32"/>
          <w:szCs w:val="32"/>
          <w:highlight w:val="none"/>
        </w:rPr>
      </w:pPr>
      <w:r>
        <w:rPr>
          <w:rFonts w:hint="eastAsia" w:asciiTheme="minorEastAsia" w:hAnsiTheme="minorEastAsia" w:eastAsiaTheme="minorEastAsia" w:cstheme="minorEastAsia"/>
          <w:b/>
          <w:color w:val="auto"/>
          <w:kern w:val="2"/>
          <w:sz w:val="30"/>
          <w:szCs w:val="30"/>
          <w:highlight w:val="none"/>
        </w:rPr>
        <w:t>五、</w:t>
      </w:r>
      <w:bookmarkEnd w:id="288"/>
      <w:bookmarkEnd w:id="289"/>
      <w:bookmarkEnd w:id="290"/>
      <w:bookmarkEnd w:id="291"/>
      <w:r>
        <w:rPr>
          <w:rFonts w:hint="eastAsia" w:ascii="宋体" w:hAnsi="宋体" w:cs="宋体"/>
          <w:b/>
          <w:bCs/>
          <w:color w:val="auto"/>
          <w:sz w:val="32"/>
          <w:szCs w:val="32"/>
          <w:highlight w:val="none"/>
        </w:rPr>
        <w:t>政府采购供应商资格信用承诺函</w:t>
      </w:r>
    </w:p>
    <w:p>
      <w:pPr>
        <w:spacing w:line="400" w:lineRule="exact"/>
        <w:jc w:val="left"/>
        <w:rPr>
          <w:color w:val="auto"/>
          <w:sz w:val="24"/>
          <w:highlight w:val="none"/>
        </w:rPr>
      </w:pP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致</w:t>
      </w:r>
      <w:r>
        <w:rPr>
          <w:rFonts w:hint="eastAsia" w:ascii="仿宋_GB2312" w:hAnsi="仿宋_GB2312" w:cs="仿宋_GB2312"/>
          <w:color w:val="auto"/>
          <w:sz w:val="24"/>
          <w:szCs w:val="24"/>
          <w:highlight w:val="none"/>
          <w:u w:val="single"/>
        </w:rPr>
        <w:t>（采购人）</w:t>
      </w:r>
      <w:r>
        <w:rPr>
          <w:rFonts w:hint="eastAsia" w:ascii="仿宋_GB2312" w:hAnsi="仿宋_GB2312" w:cs="仿宋_GB2312"/>
          <w:color w:val="auto"/>
          <w:sz w:val="24"/>
          <w:szCs w:val="24"/>
          <w:highlight w:val="none"/>
          <w:u w:val="single"/>
          <w:lang w:val="en-US" w:eastAsia="zh-CN"/>
        </w:rPr>
        <w:t xml:space="preserve">    </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供应商名称：</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统一社会信用代码：</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供应商地址：</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w:t>
      </w:r>
      <w:r>
        <w:rPr>
          <w:rFonts w:hint="eastAsia" w:ascii="仿宋_GB2312" w:hAnsi="仿宋_GB2312" w:cs="仿宋_GB2312"/>
          <w:color w:val="auto"/>
          <w:spacing w:val="6"/>
          <w:sz w:val="24"/>
          <w:szCs w:val="24"/>
          <w:highlight w:val="none"/>
        </w:rPr>
        <w:t>我单位具有符合采购文件资格要求独立承担民事责任的能力。</w:t>
      </w:r>
    </w:p>
    <w:p>
      <w:pPr>
        <w:overflowPunct w:val="0"/>
        <w:adjustRightInd w:val="0"/>
        <w:snapToGrid w:val="0"/>
        <w:spacing w:line="574" w:lineRule="exact"/>
        <w:ind w:firstLine="480" w:firstLineChars="200"/>
        <w:rPr>
          <w:rFonts w:hint="eastAsia" w:ascii="仿宋_GB2312" w:hAnsi="仿宋_GB2312" w:cs="仿宋_GB2312"/>
          <w:color w:val="auto"/>
          <w:sz w:val="24"/>
          <w:szCs w:val="24"/>
          <w:highlight w:val="none"/>
        </w:rPr>
      </w:pPr>
      <w:r>
        <w:rPr>
          <w:rFonts w:hint="eastAsia" w:ascii="Times New Roman" w:hAnsi="Times New Roman" w:cs="仿宋_GB2312"/>
          <w:color w:val="auto"/>
          <w:sz w:val="24"/>
          <w:szCs w:val="24"/>
          <w:highlight w:val="none"/>
        </w:rPr>
        <w:t>2</w:t>
      </w:r>
      <w:r>
        <w:rPr>
          <w:rFonts w:hint="eastAsia" w:ascii="仿宋_GB2312" w:hAnsi="仿宋_GB2312" w:cs="仿宋_GB2312"/>
          <w:color w:val="auto"/>
          <w:sz w:val="24"/>
          <w:szCs w:val="24"/>
          <w:highlight w:val="none"/>
        </w:rPr>
        <w:t>.我单位具有符合采购文件资格要求的财务状况报告。</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3</w:t>
      </w:r>
      <w:r>
        <w:rPr>
          <w:rFonts w:hint="eastAsia" w:ascii="仿宋_GB2312" w:hAnsi="仿宋_GB2312" w:cs="仿宋_GB2312"/>
          <w:color w:val="auto"/>
          <w:sz w:val="24"/>
          <w:szCs w:val="24"/>
          <w:highlight w:val="none"/>
        </w:rPr>
        <w:t>.我单位具有符合采购文件资格要求的依法缴纳税收和社会保障记录的良好记录。</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w:t>
      </w:r>
      <w:r>
        <w:rPr>
          <w:rFonts w:hint="eastAsia" w:ascii="Times New Roman" w:hAnsi="Times New Roman" w:cs="仿宋_GB2312"/>
          <w:color w:val="auto"/>
          <w:sz w:val="24"/>
          <w:szCs w:val="24"/>
          <w:highlight w:val="none"/>
        </w:rPr>
        <w:t>4</w:t>
      </w:r>
      <w:r>
        <w:rPr>
          <w:rFonts w:hint="eastAsia" w:ascii="仿宋_GB2312" w:hAnsi="仿宋_GB2312" w:cs="仿宋_GB2312"/>
          <w:color w:val="auto"/>
          <w:sz w:val="24"/>
          <w:szCs w:val="24"/>
          <w:highlight w:val="none"/>
        </w:rPr>
        <w:t>.我单位具有符合采购文件资格要求履行合同所必需的设备和专业技术能力。</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Times New Roman" w:hAnsi="Times New Roman" w:cs="仿宋_GB2312"/>
          <w:color w:val="auto"/>
          <w:sz w:val="24"/>
          <w:szCs w:val="24"/>
          <w:highlight w:val="none"/>
        </w:rPr>
        <w:t>5</w:t>
      </w:r>
      <w:r>
        <w:rPr>
          <w:rFonts w:hint="eastAsia" w:ascii="仿宋_GB2312" w:hAnsi="仿宋_GB2312" w:cs="仿宋_GB2312"/>
          <w:color w:val="auto"/>
          <w:sz w:val="24"/>
          <w:szCs w:val="24"/>
          <w:highlight w:val="none"/>
        </w:rPr>
        <w:t>.参加政府采购活动前三年内，在经营活动中没有重大违法记录。</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若我单位承诺不实，自愿承担提供虚假材料谋取中标、成交的法律责任。</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承诺供应商（全称并加盖公章）：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法定代表人或授权代表(签字或签章)：</w:t>
      </w:r>
      <w:r>
        <w:rPr>
          <w:rFonts w:hint="eastAsia" w:ascii="仿宋_GB2312" w:hAnsi="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rPr>
        <w:t xml:space="preserve">  </w:t>
      </w:r>
    </w:p>
    <w:p>
      <w:pPr>
        <w:overflowPunct w:val="0"/>
        <w:adjustRightInd w:val="0"/>
        <w:snapToGrid w:val="0"/>
        <w:spacing w:line="574" w:lineRule="exact"/>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日期：    年  月  日 </w:t>
      </w:r>
    </w:p>
    <w:p>
      <w:pPr>
        <w:overflowPunct w:val="0"/>
        <w:adjustRightInd w:val="0"/>
        <w:snapToGrid w:val="0"/>
        <w:spacing w:line="574" w:lineRule="exact"/>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
          <w:bCs/>
          <w:color w:val="auto"/>
          <w:sz w:val="24"/>
          <w:szCs w:val="24"/>
          <w:highlight w:val="none"/>
        </w:rPr>
        <w:t>注：</w:t>
      </w:r>
      <w:r>
        <w:rPr>
          <w:rFonts w:hint="eastAsia" w:ascii="Times New Roman" w:hAnsi="Times New Roman" w:cs="仿宋_GB2312"/>
          <w:color w:val="auto"/>
          <w:sz w:val="24"/>
          <w:szCs w:val="24"/>
          <w:highlight w:val="none"/>
        </w:rPr>
        <w:t>1</w:t>
      </w:r>
      <w:r>
        <w:rPr>
          <w:rFonts w:hint="eastAsia" w:ascii="仿宋_GB2312" w:hAnsi="仿宋_GB2312" w:cs="仿宋_GB2312"/>
          <w:color w:val="auto"/>
          <w:sz w:val="24"/>
          <w:szCs w:val="24"/>
          <w:highlight w:val="none"/>
        </w:rPr>
        <w:t>.供应商须在投标文件中按此模板提供承诺函，未提供视为未实质性响应招标文件要求，按无效投标处理。</w:t>
      </w:r>
    </w:p>
    <w:p>
      <w:pPr>
        <w:overflowPunct w:val="0"/>
        <w:adjustRightInd w:val="0"/>
        <w:snapToGrid w:val="0"/>
        <w:spacing w:line="574" w:lineRule="exact"/>
        <w:rPr>
          <w:rFonts w:hint="eastAsia"/>
          <w:color w:val="auto"/>
          <w:sz w:val="24"/>
          <w:szCs w:val="24"/>
          <w:highlight w:val="none"/>
        </w:rPr>
      </w:pPr>
      <w:r>
        <w:rPr>
          <w:rFonts w:hint="eastAsia" w:ascii="仿宋_GB2312" w:hAnsi="仿宋_GB2312" w:cs="仿宋_GB2312"/>
          <w:color w:val="auto"/>
          <w:sz w:val="24"/>
          <w:szCs w:val="24"/>
          <w:highlight w:val="none"/>
        </w:rPr>
        <w:t xml:space="preserve">     </w:t>
      </w:r>
    </w:p>
    <w:p>
      <w:pPr>
        <w:pStyle w:val="2"/>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7"/>
        <w:ind w:firstLine="281"/>
        <w:rPr>
          <w:rFonts w:hint="default" w:asciiTheme="minorEastAsia" w:hAnsiTheme="minorEastAsia" w:eastAsiaTheme="minorEastAsia" w:cstheme="minorEastAsia"/>
          <w:b/>
          <w:color w:val="auto"/>
          <w:sz w:val="28"/>
          <w:highlight w:val="none"/>
        </w:rPr>
      </w:pPr>
    </w:p>
    <w:p>
      <w:pPr>
        <w:pStyle w:val="2"/>
        <w:ind w:firstLine="562"/>
        <w:rPr>
          <w:rFonts w:asciiTheme="minorEastAsia" w:hAnsiTheme="minorEastAsia" w:eastAsiaTheme="minorEastAsia" w:cstheme="minorEastAsia"/>
          <w:b/>
          <w:color w:val="auto"/>
          <w:sz w:val="28"/>
          <w:highlight w:val="none"/>
        </w:rPr>
      </w:pPr>
    </w:p>
    <w:p>
      <w:pPr>
        <w:pStyle w:val="24"/>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color w:val="auto"/>
          <w:kern w:val="2"/>
          <w:sz w:val="30"/>
          <w:szCs w:val="30"/>
          <w:highlight w:val="none"/>
        </w:rPr>
      </w:pPr>
      <w:bookmarkStart w:id="292" w:name="_Toc4390"/>
      <w:bookmarkStart w:id="293" w:name="_Toc8330"/>
      <w:bookmarkStart w:id="294" w:name="_Toc6465"/>
      <w:bookmarkStart w:id="295" w:name="_Toc31553"/>
      <w:r>
        <w:rPr>
          <w:rFonts w:hint="eastAsia" w:asciiTheme="minorEastAsia" w:hAnsiTheme="minorEastAsia" w:eastAsiaTheme="minorEastAsia" w:cstheme="minorEastAsia"/>
          <w:b/>
          <w:color w:val="auto"/>
          <w:kern w:val="2"/>
          <w:sz w:val="30"/>
          <w:szCs w:val="30"/>
          <w:highlight w:val="none"/>
        </w:rPr>
        <w:t>六、供应商服务承诺和优惠承诺</w:t>
      </w:r>
      <w:bookmarkEnd w:id="292"/>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6" w:name="_Toc700"/>
      <w:r>
        <w:rPr>
          <w:rFonts w:hint="eastAsia" w:asciiTheme="minorEastAsia" w:hAnsiTheme="minorEastAsia" w:eastAsiaTheme="minorEastAsia" w:cstheme="minorEastAsia"/>
          <w:b/>
          <w:color w:val="auto"/>
          <w:kern w:val="2"/>
          <w:sz w:val="30"/>
          <w:szCs w:val="30"/>
          <w:highlight w:val="none"/>
        </w:rPr>
        <w:t>七、供应商所投产品属于当期政府采购清单规定的节能环保产品的</w:t>
      </w:r>
      <w:bookmarkEnd w:id="293"/>
      <w:bookmarkEnd w:id="296"/>
    </w:p>
    <w:p>
      <w:pPr>
        <w:pStyle w:val="2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7" w:name="_Toc18925"/>
      <w:bookmarkStart w:id="298" w:name="_Toc24210"/>
      <w:bookmarkStart w:id="299" w:name="_Toc28422"/>
      <w:bookmarkStart w:id="300" w:name="_Toc21287"/>
      <w:r>
        <w:rPr>
          <w:rFonts w:hint="eastAsia" w:asciiTheme="minorEastAsia" w:hAnsiTheme="minorEastAsia" w:eastAsiaTheme="minorEastAsia" w:cstheme="minorEastAsia"/>
          <w:b/>
          <w:color w:val="auto"/>
          <w:kern w:val="2"/>
          <w:sz w:val="30"/>
          <w:szCs w:val="30"/>
          <w:highlight w:val="none"/>
        </w:rPr>
        <w:t>证明材料</w:t>
      </w:r>
      <w:bookmarkEnd w:id="294"/>
      <w:bookmarkEnd w:id="297"/>
      <w:bookmarkEnd w:id="298"/>
      <w:bookmarkEnd w:id="299"/>
      <w:r>
        <w:rPr>
          <w:rFonts w:hint="eastAsia" w:asciiTheme="minorEastAsia" w:hAnsiTheme="minorEastAsia" w:eastAsiaTheme="minorEastAsia" w:cstheme="minorEastAsia"/>
          <w:b/>
          <w:color w:val="auto"/>
          <w:kern w:val="2"/>
          <w:sz w:val="30"/>
          <w:szCs w:val="30"/>
          <w:highlight w:val="none"/>
        </w:rPr>
        <w:t>（如有）</w:t>
      </w:r>
      <w:bookmarkEnd w:id="300"/>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bookmarkStart w:id="301" w:name="_Toc10717"/>
      <w:bookmarkStart w:id="302" w:name="_Toc23227"/>
      <w:bookmarkStart w:id="303" w:name="_Toc24850"/>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spacing w:before="120" w:beforeAutospacing="0" w:after="120" w:afterAutospacing="0" w:line="500" w:lineRule="exact"/>
        <w:ind w:right="29" w:rightChars="14"/>
        <w:jc w:val="center"/>
        <w:rPr>
          <w:rFonts w:asciiTheme="minorEastAsia" w:hAnsiTheme="minorEastAsia" w:eastAsiaTheme="minorEastAsia" w:cstheme="minorEastAsia"/>
          <w:b/>
          <w:color w:val="auto"/>
          <w:kern w:val="2"/>
          <w:sz w:val="30"/>
          <w:szCs w:val="30"/>
          <w:highlight w:val="none"/>
        </w:rPr>
      </w:pPr>
    </w:p>
    <w:p>
      <w:pPr>
        <w:pStyle w:val="2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kern w:val="2"/>
          <w:sz w:val="30"/>
          <w:szCs w:val="30"/>
          <w:highlight w:val="none"/>
        </w:rPr>
        <w:t>八、中小企业声明函（如有）</w:t>
      </w:r>
      <w:bookmarkEnd w:id="301"/>
      <w:bookmarkEnd w:id="302"/>
      <w:bookmarkEnd w:id="303"/>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 号）的规定，本公司 （联合体）参加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ascii="宋体" w:hAnsi="宋体" w:cs="宋体"/>
          <w:color w:val="auto"/>
          <w:sz w:val="24"/>
          <w:highlight w:val="none"/>
          <w:u w:val="single"/>
        </w:rPr>
        <w:t>（项目名称）</w:t>
      </w:r>
      <w:r>
        <w:rPr>
          <w:rFonts w:ascii="宋体" w:hAnsi="宋体" w:cs="宋体"/>
          <w:color w:val="auto"/>
          <w:sz w:val="24"/>
          <w:highlight w:val="none"/>
        </w:rPr>
        <w:t>采购活动，提供的货物全部由符合政策要求的中小企业制造。相关企业 （含联合体中的中小企业、签订分包意向协议的中小企业） 的具体情况如下：</w:t>
      </w:r>
    </w:p>
    <w:p>
      <w:pPr>
        <w:numPr>
          <w:ilvl w:val="0"/>
          <w:numId w:val="17"/>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（标的名称）</w:t>
      </w:r>
      <w:r>
        <w:rPr>
          <w:rFonts w:ascii="宋体" w:hAnsi="宋体" w:cs="宋体"/>
          <w:color w:val="auto"/>
          <w:sz w:val="24"/>
          <w:highlight w:val="none"/>
        </w:rPr>
        <w:t xml:space="preserve"> ，属于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 ，属于</w:t>
      </w:r>
      <w:r>
        <w:rPr>
          <w:rFonts w:ascii="宋体" w:hAnsi="宋体" w:cs="宋体"/>
          <w:color w:val="auto"/>
          <w:sz w:val="24"/>
          <w:highlight w:val="none"/>
          <w:u w:val="single"/>
        </w:rPr>
        <w:t>（中型企业、小 型企业、微型企业）</w:t>
      </w:r>
      <w:r>
        <w:rPr>
          <w:rFonts w:ascii="宋体" w:hAnsi="宋体" w:cs="宋体"/>
          <w:color w:val="auto"/>
          <w:sz w:val="24"/>
          <w:highlight w:val="none"/>
        </w:rPr>
        <w:t>；</w:t>
      </w:r>
    </w:p>
    <w:p>
      <w:pPr>
        <w:numPr>
          <w:ilvl w:val="0"/>
          <w:numId w:val="17"/>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 xml:space="preserve">（标的名称） </w:t>
      </w:r>
      <w:r>
        <w:rPr>
          <w:rFonts w:ascii="宋体" w:hAnsi="宋体" w:cs="宋体"/>
          <w:color w:val="auto"/>
          <w:sz w:val="24"/>
          <w:highlight w:val="none"/>
        </w:rPr>
        <w:t>，属于</w:t>
      </w:r>
      <w:r>
        <w:rPr>
          <w:rFonts w:ascii="宋体" w:hAnsi="宋体" w:cs="宋体"/>
          <w:color w:val="auto"/>
          <w:sz w:val="24"/>
          <w:highlight w:val="none"/>
          <w:u w:val="single"/>
        </w:rPr>
        <w:t>（采购文件中明确的所属行业）</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万元，属于</w:t>
      </w:r>
      <w:r>
        <w:rPr>
          <w:rFonts w:ascii="宋体" w:hAnsi="宋体" w:cs="宋体"/>
          <w:color w:val="auto"/>
          <w:sz w:val="24"/>
          <w:highlight w:val="none"/>
          <w:u w:val="single"/>
        </w:rPr>
        <w:t>（中型企业、小型 企业、微型企业）</w:t>
      </w:r>
      <w:r>
        <w:rPr>
          <w:rFonts w:ascii="宋体" w:hAnsi="宋体" w:cs="宋体"/>
          <w:color w:val="auto"/>
          <w:sz w:val="24"/>
          <w:highlight w:val="none"/>
        </w:rPr>
        <w:t>；</w:t>
      </w:r>
    </w:p>
    <w:p>
      <w:pPr>
        <w:spacing w:line="560" w:lineRule="exact"/>
        <w:ind w:left="525" w:leftChars="250"/>
        <w:rPr>
          <w:rFonts w:ascii="宋体" w:hAnsi="宋体" w:cs="宋体"/>
          <w:color w:val="auto"/>
          <w:sz w:val="24"/>
          <w:highlight w:val="none"/>
        </w:rPr>
      </w:pPr>
      <w:r>
        <w:rPr>
          <w:rFonts w:ascii="宋体" w:hAnsi="宋体" w:cs="宋体"/>
          <w:color w:val="auto"/>
          <w:sz w:val="24"/>
          <w:highlight w:val="none"/>
        </w:rPr>
        <w:t xml:space="preserve"> ……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highlight w:val="none"/>
        </w:rPr>
      </w:pPr>
    </w:p>
    <w:p>
      <w:pPr>
        <w:spacing w:line="560" w:lineRule="exact"/>
        <w:ind w:left="5" w:firstLine="518" w:firstLineChars="216"/>
        <w:rPr>
          <w:rFonts w:ascii="宋体" w:hAnsi="宋体" w:cs="宋体"/>
          <w:color w:val="auto"/>
          <w:sz w:val="24"/>
          <w:highlight w:val="none"/>
        </w:rPr>
      </w:pP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企业名称（盖章）：</w:t>
      </w:r>
    </w:p>
    <w:p>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 xml:space="preserve"> 日 期： </w:t>
      </w:r>
    </w:p>
    <w:p>
      <w:pPr>
        <w:spacing w:line="560" w:lineRule="exact"/>
        <w:ind w:left="5" w:firstLine="518" w:firstLineChars="216"/>
        <w:rPr>
          <w:rFonts w:ascii="宋体" w:hAnsi="宋体" w:cs="宋体"/>
          <w:color w:val="auto"/>
          <w:sz w:val="24"/>
          <w:highlight w:val="none"/>
        </w:rPr>
      </w:pPr>
      <w:r>
        <w:rPr>
          <w:rFonts w:hint="eastAsia" w:ascii="宋体" w:hAnsi="宋体" w:cs="宋体"/>
          <w:color w:val="auto"/>
          <w:sz w:val="24"/>
          <w:highlight w:val="none"/>
        </w:rPr>
        <w:t>注：1、</w:t>
      </w:r>
      <w:r>
        <w:rPr>
          <w:rFonts w:ascii="宋体" w:hAnsi="宋体" w:cs="宋体"/>
          <w:color w:val="auto"/>
          <w:sz w:val="24"/>
          <w:highlight w:val="none"/>
        </w:rPr>
        <w:t>从业人员、营业收入、资产总额填报上一年度数据，无上一年度数据的新成立企业可不填报。</w:t>
      </w:r>
    </w:p>
    <w:p>
      <w:pPr>
        <w:pStyle w:val="2"/>
        <w:ind w:firstLine="480"/>
        <w:rPr>
          <w:rFonts w:ascii="宋体"/>
          <w:color w:val="auto"/>
          <w:highlight w:val="none"/>
        </w:rPr>
      </w:pPr>
      <w:r>
        <w:rPr>
          <w:rFonts w:hint="eastAsia" w:ascii="宋体" w:hAnsi="宋体" w:cs="宋体"/>
          <w:color w:val="auto"/>
          <w:sz w:val="24"/>
          <w:highlight w:val="none"/>
        </w:rPr>
        <w:t>2、供应商提供的声明函将在中标后随中标公告一并公示，若声明函内容不实的，将依照《政府采购法》等国家有关规定追究相应责任。</w:t>
      </w:r>
      <w:bookmarkStart w:id="304" w:name="_Toc309736882"/>
      <w:bookmarkStart w:id="305" w:name="_Toc12390"/>
      <w:bookmarkStart w:id="306" w:name="_Toc352061202"/>
    </w:p>
    <w:bookmarkEnd w:id="304"/>
    <w:bookmarkEnd w:id="305"/>
    <w:bookmarkEnd w:id="306"/>
    <w:p>
      <w:pPr>
        <w:pStyle w:val="24"/>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307" w:name="_Toc20881"/>
      <w:bookmarkStart w:id="308" w:name="_Toc11708"/>
      <w:bookmarkStart w:id="309" w:name="_Toc14292"/>
      <w:bookmarkStart w:id="310" w:name="_Toc30170"/>
      <w:r>
        <w:rPr>
          <w:rFonts w:hint="eastAsia" w:asciiTheme="minorEastAsia" w:hAnsiTheme="minorEastAsia" w:eastAsiaTheme="minorEastAsia" w:cstheme="minorEastAsia"/>
          <w:b/>
          <w:color w:val="auto"/>
          <w:kern w:val="2"/>
          <w:sz w:val="30"/>
          <w:szCs w:val="30"/>
          <w:highlight w:val="none"/>
        </w:rPr>
        <w:t>九、残疾人福利性单位声明函（如有）</w:t>
      </w:r>
      <w:bookmarkEnd w:id="307"/>
      <w:bookmarkEnd w:id="308"/>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p>
      <w:pPr>
        <w:spacing w:after="758" w:afterLines="200"/>
        <w:ind w:firstLine="2259" w:firstLineChars="750"/>
        <w:rPr>
          <w:rFonts w:asciiTheme="minorEastAsia" w:hAnsiTheme="minorEastAsia" w:eastAsiaTheme="minorEastAsia" w:cstheme="minorEastAsia"/>
          <w:b/>
          <w:color w:val="auto"/>
          <w:sz w:val="30"/>
          <w:szCs w:val="30"/>
          <w:highlight w:val="none"/>
        </w:rPr>
      </w:pPr>
    </w:p>
    <w:bookmarkEnd w:id="295"/>
    <w:bookmarkEnd w:id="309"/>
    <w:bookmarkEnd w:id="310"/>
    <w:p>
      <w:pPr>
        <w:rPr>
          <w:rFonts w:ascii="Times New Roman" w:hAnsi="Times New Roman" w:eastAsia="仿宋"/>
          <w:color w:val="auto"/>
          <w:sz w:val="32"/>
          <w:szCs w:val="32"/>
          <w:highlight w:val="none"/>
          <w:shd w:val="clear" w:color="FFFFFF" w:fill="D9D9D9"/>
        </w:rPr>
      </w:pPr>
    </w:p>
    <w:p>
      <w:pPr>
        <w:rPr>
          <w:color w:val="auto"/>
          <w:highlight w:val="none"/>
          <w:shd w:val="clear" w:color="FFFFFF" w:fill="D9D9D9"/>
        </w:rPr>
      </w:pPr>
    </w:p>
    <w:p>
      <w:pPr>
        <w:rPr>
          <w:rFonts w:asciiTheme="minorEastAsia" w:hAnsiTheme="minorEastAsia" w:eastAsiaTheme="minorEastAsia" w:cstheme="minorEastAsia"/>
          <w:b/>
          <w:color w:val="auto"/>
          <w:sz w:val="30"/>
          <w:szCs w:val="30"/>
          <w:highlight w:val="none"/>
          <w:shd w:val="clear" w:color="FFFFFF" w:fill="D9D9D9"/>
        </w:rPr>
      </w:pPr>
    </w:p>
    <w:p>
      <w:pPr>
        <w:pStyle w:val="24"/>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11" w:name="_Toc16608"/>
      <w:bookmarkStart w:id="312" w:name="_Toc18605"/>
      <w:r>
        <w:rPr>
          <w:rFonts w:hint="eastAsia" w:asciiTheme="minorEastAsia" w:hAnsiTheme="minorEastAsia" w:eastAsiaTheme="minorEastAsia" w:cstheme="minorEastAsia"/>
          <w:b/>
          <w:color w:val="auto"/>
          <w:kern w:val="2"/>
          <w:sz w:val="30"/>
          <w:szCs w:val="30"/>
          <w:highlight w:val="none"/>
        </w:rPr>
        <w:t>十、招标文件要求的或供应商认为须提交的其他材料</w:t>
      </w:r>
      <w:bookmarkEnd w:id="311"/>
      <w:bookmarkEnd w:id="312"/>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53"/>
        <w:rPr>
          <w:rFonts w:asciiTheme="minorEastAsia" w:hAnsiTheme="minorEastAsia" w:eastAsiaTheme="minorEastAsia" w:cstheme="minorEastAsia"/>
          <w:b/>
          <w:bCs/>
          <w:color w:val="auto"/>
          <w:kern w:val="0"/>
          <w:sz w:val="32"/>
          <w:szCs w:val="32"/>
          <w:highlight w:val="none"/>
        </w:rPr>
      </w:pPr>
    </w:p>
    <w:p>
      <w:pPr>
        <w:spacing w:line="440" w:lineRule="exact"/>
        <w:jc w:val="cente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r>
        <w:rPr>
          <w:rFonts w:ascii="宋体" w:hAnsi="宋体" w:cs="宋体"/>
          <w:color w:val="auto"/>
          <w:kern w:val="0"/>
          <w:sz w:val="24"/>
          <w:highlight w:val="none"/>
        </w:rPr>
        <w:br w:type="page"/>
      </w:r>
    </w:p>
    <w:p>
      <w:pPr>
        <w:spacing w:line="360" w:lineRule="auto"/>
        <w:jc w:val="center"/>
        <w:rPr>
          <w:rFonts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highlight w:val="none"/>
          <w:u w:val="single"/>
        </w:rPr>
        <w:t>6%</w:t>
      </w:r>
      <w:r>
        <w:rPr>
          <w:rFonts w:hint="eastAsia" w:asciiTheme="minorEastAsia" w:hAnsiTheme="minorEastAsia" w:eastAsiaTheme="minorEastAsia" w:cstheme="minorEastAsia"/>
          <w:color w:val="auto"/>
          <w:sz w:val="24"/>
          <w:highlight w:val="none"/>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四、合同签订时限。自中标通知书发出之日起</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地址：博爱县发展大道188号机关综合办公楼主楼1213室</w:t>
      </w:r>
    </w:p>
    <w:p>
      <w:pPr>
        <w:spacing w:line="440" w:lineRule="exact"/>
        <w:jc w:val="cente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p>
    <w:p>
      <w:pPr>
        <w:rPr>
          <w:rFonts w:ascii="宋体" w:hAnsi="宋体" w:cs="宋体"/>
          <w:color w:val="auto"/>
          <w:sz w:val="36"/>
          <w:szCs w:val="36"/>
          <w:highlight w:val="none"/>
        </w:rPr>
      </w:pPr>
    </w:p>
    <w:p>
      <w:pPr>
        <w:rPr>
          <w:rFonts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p>
    <w:p>
      <w:pPr>
        <w:pStyle w:val="5"/>
        <w:spacing w:line="480" w:lineRule="exact"/>
        <w:rPr>
          <w:rFonts w:ascii="宋体" w:hAnsi="宋体" w:cs="宋体"/>
          <w:color w:val="auto"/>
          <w:sz w:val="36"/>
          <w:szCs w:val="36"/>
          <w:highlight w:val="none"/>
        </w:rPr>
      </w:pPr>
      <w:bookmarkStart w:id="313" w:name="_Toc7574"/>
      <w:r>
        <w:rPr>
          <w:rFonts w:hint="eastAsia" w:ascii="宋体" w:hAnsi="宋体" w:cs="宋体"/>
          <w:color w:val="auto"/>
          <w:sz w:val="36"/>
          <w:szCs w:val="36"/>
          <w:highlight w:val="none"/>
        </w:rPr>
        <w:t>河南省政府采购合同融资政策告知函</w:t>
      </w:r>
      <w:bookmarkEnd w:id="313"/>
    </w:p>
    <w:p>
      <w:pPr>
        <w:pStyle w:val="5"/>
        <w:spacing w:line="400" w:lineRule="exact"/>
        <w:jc w:val="both"/>
        <w:rPr>
          <w:rFonts w:ascii="宋体" w:hAnsi="宋体" w:cs="宋体"/>
          <w:color w:val="auto"/>
          <w:sz w:val="24"/>
          <w:highlight w:val="none"/>
        </w:rPr>
      </w:pPr>
      <w:bookmarkStart w:id="314" w:name="_Toc4905"/>
      <w:r>
        <w:rPr>
          <w:rFonts w:hint="eastAsia" w:ascii="宋体" w:hAnsi="宋体" w:cs="宋体"/>
          <w:color w:val="auto"/>
          <w:sz w:val="24"/>
          <w:highlight w:val="none"/>
        </w:rPr>
        <w:t>各供应商：</w:t>
      </w:r>
      <w:bookmarkEnd w:id="314"/>
    </w:p>
    <w:p>
      <w:pPr>
        <w:pStyle w:val="5"/>
        <w:spacing w:line="400" w:lineRule="exact"/>
        <w:jc w:val="both"/>
        <w:rPr>
          <w:rFonts w:ascii="宋体" w:hAnsi="宋体" w:cs="宋体"/>
          <w:color w:val="auto"/>
          <w:sz w:val="24"/>
          <w:highlight w:val="none"/>
        </w:rPr>
      </w:pPr>
      <w:r>
        <w:rPr>
          <w:rFonts w:hint="eastAsia" w:ascii="宋体" w:hAnsi="宋体" w:cs="宋体"/>
          <w:color w:val="auto"/>
          <w:sz w:val="24"/>
          <w:highlight w:val="none"/>
        </w:rPr>
        <w:t>欢迎贵公司参与河南省政府采购活动！</w:t>
      </w:r>
    </w:p>
    <w:p>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00" w:lineRule="exact"/>
        <w:ind w:firstLine="420" w:firstLineChars="175"/>
        <w:rPr>
          <w:rFonts w:ascii="宋体" w:hAnsi="宋体" w:cs="宋体"/>
          <w:bCs/>
          <w:color w:val="auto"/>
          <w:sz w:val="24"/>
          <w:highlight w:val="none"/>
        </w:rPr>
      </w:pPr>
      <w:r>
        <w:rPr>
          <w:rFonts w:hint="eastAsia" w:ascii="宋体" w:hAnsi="宋体" w:cs="宋体"/>
          <w:bCs/>
          <w:color w:val="auto"/>
          <w:sz w:val="24"/>
          <w:highlight w:val="none"/>
        </w:rPr>
        <w:t xml:space="preserve"> 贷款渠道和提供贷款的金融机构，可在河南省政府采购网“河南省政府采购合同融资平台”查询联系。</w:t>
      </w:r>
    </w:p>
    <w:p>
      <w:pPr>
        <w:spacing w:line="420" w:lineRule="exact"/>
        <w:ind w:firstLine="2168" w:firstLineChars="675"/>
        <w:outlineLvl w:val="0"/>
        <w:rPr>
          <w:rFonts w:ascii="宋体" w:hAnsi="宋体"/>
          <w:b/>
          <w:color w:val="auto"/>
          <w:sz w:val="32"/>
          <w:szCs w:val="32"/>
          <w:highlight w:val="none"/>
        </w:rPr>
      </w:pPr>
      <w:bookmarkStart w:id="315" w:name="_Toc30161"/>
      <w:r>
        <w:rPr>
          <w:rFonts w:hint="eastAsia" w:ascii="宋体" w:hAnsi="宋体"/>
          <w:b/>
          <w:color w:val="auto"/>
          <w:sz w:val="32"/>
          <w:szCs w:val="32"/>
          <w:highlight w:val="none"/>
        </w:rPr>
        <w:t>焦作市政府采购合同融资合作企业</w:t>
      </w:r>
      <w:bookmarkEnd w:id="315"/>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80"/>
        <w:gridCol w:w="193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96"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80"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93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689"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93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689"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93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689"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6"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933"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689"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宋体-WinCharSetFFFF-H">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nThickMediumGap" w:color="auto" w:sz="18" w:space="1"/>
      </w:pBdr>
    </w:pPr>
  </w:p>
  <w:p>
    <w:pPr>
      <w:pStyle w:val="19"/>
      <w:wordWrap w:val="0"/>
      <w:jc w:val="right"/>
      <w:rPr>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p>
                        <w:p>
                          <w:pPr>
                            <w:pStyle w:val="1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9"/>
                    </w:pPr>
                  </w:p>
                  <w:p>
                    <w:pPr>
                      <w:pStyle w:val="1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6"/>
        <w:szCs w:val="22"/>
      </w:rPr>
    </w:pPr>
    <w:r>
      <w:rPr>
        <w:sz w:val="20"/>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9B62F"/>
    <w:multiLevelType w:val="singleLevel"/>
    <w:tmpl w:val="85A9B62F"/>
    <w:lvl w:ilvl="0" w:tentative="0">
      <w:start w:val="1"/>
      <w:numFmt w:val="decimal"/>
      <w:suff w:val="nothing"/>
      <w:lvlText w:val="%1、"/>
      <w:lvlJc w:val="left"/>
    </w:lvl>
  </w:abstractNum>
  <w:abstractNum w:abstractNumId="1">
    <w:nsid w:val="9FB039FA"/>
    <w:multiLevelType w:val="singleLevel"/>
    <w:tmpl w:val="9FB039FA"/>
    <w:lvl w:ilvl="0" w:tentative="0">
      <w:start w:val="2"/>
      <w:numFmt w:val="chineseCounting"/>
      <w:suff w:val="nothing"/>
      <w:lvlText w:val="%1、"/>
      <w:lvlJc w:val="left"/>
      <w:rPr>
        <w:rFonts w:hint="eastAsia"/>
      </w:rPr>
    </w:lvl>
  </w:abstractNum>
  <w:abstractNum w:abstractNumId="2">
    <w:nsid w:val="A2C6ACF8"/>
    <w:multiLevelType w:val="singleLevel"/>
    <w:tmpl w:val="A2C6ACF8"/>
    <w:lvl w:ilvl="0" w:tentative="0">
      <w:start w:val="1"/>
      <w:numFmt w:val="decimal"/>
      <w:suff w:val="nothing"/>
      <w:lvlText w:val="（%1）"/>
      <w:lvlJc w:val="left"/>
      <w:pPr>
        <w:ind w:left="420" w:firstLine="0"/>
      </w:pPr>
      <w:rPr>
        <w:rFonts w:hint="default"/>
        <w:b w:val="0"/>
        <w:bCs w:val="0"/>
      </w:rPr>
    </w:lvl>
  </w:abstractNum>
  <w:abstractNum w:abstractNumId="3">
    <w:nsid w:val="A58974FB"/>
    <w:multiLevelType w:val="singleLevel"/>
    <w:tmpl w:val="A58974FB"/>
    <w:lvl w:ilvl="0" w:tentative="0">
      <w:start w:val="1"/>
      <w:numFmt w:val="decimal"/>
      <w:suff w:val="space"/>
      <w:lvlText w:val="%1."/>
      <w:lvlJc w:val="left"/>
    </w:lvl>
  </w:abstractNum>
  <w:abstractNum w:abstractNumId="4">
    <w:nsid w:val="B7CCEAB9"/>
    <w:multiLevelType w:val="singleLevel"/>
    <w:tmpl w:val="B7CCEAB9"/>
    <w:lvl w:ilvl="0" w:tentative="0">
      <w:start w:val="1"/>
      <w:numFmt w:val="decimal"/>
      <w:suff w:val="space"/>
      <w:lvlText w:val="%1."/>
      <w:lvlJc w:val="left"/>
      <w:pPr>
        <w:ind w:left="600" w:firstLine="0"/>
      </w:pPr>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F64AA928"/>
    <w:multiLevelType w:val="singleLevel"/>
    <w:tmpl w:val="F64AA928"/>
    <w:lvl w:ilvl="0" w:tentative="0">
      <w:start w:val="1"/>
      <w:numFmt w:val="decimal"/>
      <w:lvlText w:val="%1."/>
      <w:lvlJc w:val="left"/>
      <w:pPr>
        <w:tabs>
          <w:tab w:val="left" w:pos="312"/>
        </w:tabs>
      </w:pPr>
    </w:lvl>
  </w:abstractNum>
  <w:abstractNum w:abstractNumId="7">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46235DC"/>
    <w:multiLevelType w:val="singleLevel"/>
    <w:tmpl w:val="046235DC"/>
    <w:lvl w:ilvl="0" w:tentative="0">
      <w:start w:val="1"/>
      <w:numFmt w:val="decimal"/>
      <w:lvlText w:val="%1."/>
      <w:lvlJc w:val="left"/>
      <w:pPr>
        <w:tabs>
          <w:tab w:val="left" w:pos="312"/>
        </w:tabs>
      </w:pPr>
    </w:lvl>
  </w:abstractNum>
  <w:abstractNum w:abstractNumId="9">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1A95204D"/>
    <w:multiLevelType w:val="singleLevel"/>
    <w:tmpl w:val="1A95204D"/>
    <w:lvl w:ilvl="0" w:tentative="0">
      <w:start w:val="1"/>
      <w:numFmt w:val="decimal"/>
      <w:lvlText w:val="%1."/>
      <w:lvlJc w:val="left"/>
      <w:pPr>
        <w:tabs>
          <w:tab w:val="left" w:pos="312"/>
        </w:tabs>
      </w:pPr>
    </w:lvl>
  </w:abstractNum>
  <w:abstractNum w:abstractNumId="11">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2E675402"/>
    <w:multiLevelType w:val="singleLevel"/>
    <w:tmpl w:val="2E675402"/>
    <w:lvl w:ilvl="0" w:tentative="0">
      <w:start w:val="1"/>
      <w:numFmt w:val="chineseCounting"/>
      <w:suff w:val="nothing"/>
      <w:lvlText w:val="（%1）"/>
      <w:lvlJc w:val="left"/>
      <w:rPr>
        <w:rFonts w:hint="eastAsia"/>
      </w:rPr>
    </w:lvl>
  </w:abstractNum>
  <w:abstractNum w:abstractNumId="13">
    <w:nsid w:val="59CCA2E1"/>
    <w:multiLevelType w:val="singleLevel"/>
    <w:tmpl w:val="59CCA2E1"/>
    <w:lvl w:ilvl="0" w:tentative="0">
      <w:start w:val="1"/>
      <w:numFmt w:val="decimal"/>
      <w:suff w:val="nothing"/>
      <w:lvlText w:val="（%1）"/>
      <w:lvlJc w:val="left"/>
    </w:lvl>
  </w:abstractNum>
  <w:abstractNum w:abstractNumId="14">
    <w:nsid w:val="5A693C2F"/>
    <w:multiLevelType w:val="singleLevel"/>
    <w:tmpl w:val="5A693C2F"/>
    <w:lvl w:ilvl="0" w:tentative="0">
      <w:start w:val="3"/>
      <w:numFmt w:val="chineseCounting"/>
      <w:suff w:val="space"/>
      <w:lvlText w:val="第%1章"/>
      <w:lvlJc w:val="left"/>
    </w:lvl>
  </w:abstractNum>
  <w:abstractNum w:abstractNumId="15">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6">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9"/>
  </w:num>
  <w:num w:numId="2">
    <w:abstractNumId w:val="5"/>
  </w:num>
  <w:num w:numId="3">
    <w:abstractNumId w:val="2"/>
  </w:num>
  <w:num w:numId="4">
    <w:abstractNumId w:val="15"/>
  </w:num>
  <w:num w:numId="5">
    <w:abstractNumId w:val="0"/>
  </w:num>
  <w:num w:numId="6">
    <w:abstractNumId w:val="7"/>
  </w:num>
  <w:num w:numId="7">
    <w:abstractNumId w:val="14"/>
  </w:num>
  <w:num w:numId="8">
    <w:abstractNumId w:val="16"/>
  </w:num>
  <w:num w:numId="9">
    <w:abstractNumId w:val="6"/>
  </w:num>
  <w:num w:numId="10">
    <w:abstractNumId w:val="8"/>
  </w:num>
  <w:num w:numId="11">
    <w:abstractNumId w:val="10"/>
  </w:num>
  <w:num w:numId="12">
    <w:abstractNumId w:val="11"/>
  </w:num>
  <w:num w:numId="13">
    <w:abstractNumId w:val="3"/>
  </w:num>
  <w:num w:numId="14">
    <w:abstractNumId w:val="12"/>
  </w:num>
  <w:num w:numId="15">
    <w:abstractNumId w:val="1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CF3BAF"/>
    <w:rsid w:val="00013DD1"/>
    <w:rsid w:val="000547C6"/>
    <w:rsid w:val="00081779"/>
    <w:rsid w:val="001E6661"/>
    <w:rsid w:val="00205DE3"/>
    <w:rsid w:val="002075F5"/>
    <w:rsid w:val="00227539"/>
    <w:rsid w:val="00236004"/>
    <w:rsid w:val="00261DC9"/>
    <w:rsid w:val="00272A9F"/>
    <w:rsid w:val="00281BCC"/>
    <w:rsid w:val="0034193D"/>
    <w:rsid w:val="00382698"/>
    <w:rsid w:val="00387019"/>
    <w:rsid w:val="0042593E"/>
    <w:rsid w:val="0044589E"/>
    <w:rsid w:val="00451A98"/>
    <w:rsid w:val="00471CF0"/>
    <w:rsid w:val="004856FA"/>
    <w:rsid w:val="004B78BE"/>
    <w:rsid w:val="004E3BC3"/>
    <w:rsid w:val="004E4875"/>
    <w:rsid w:val="00536F66"/>
    <w:rsid w:val="005542F2"/>
    <w:rsid w:val="005A2870"/>
    <w:rsid w:val="005E14C7"/>
    <w:rsid w:val="005F220F"/>
    <w:rsid w:val="00631E63"/>
    <w:rsid w:val="00651B64"/>
    <w:rsid w:val="00651BA7"/>
    <w:rsid w:val="00656FFA"/>
    <w:rsid w:val="00666E50"/>
    <w:rsid w:val="006B2CA3"/>
    <w:rsid w:val="006C7E0E"/>
    <w:rsid w:val="00712D43"/>
    <w:rsid w:val="007145D8"/>
    <w:rsid w:val="00783CF9"/>
    <w:rsid w:val="007C65BE"/>
    <w:rsid w:val="007E2B28"/>
    <w:rsid w:val="00826247"/>
    <w:rsid w:val="00850F37"/>
    <w:rsid w:val="008672C4"/>
    <w:rsid w:val="00884C5F"/>
    <w:rsid w:val="008B741E"/>
    <w:rsid w:val="008D2851"/>
    <w:rsid w:val="008D29D1"/>
    <w:rsid w:val="008D314A"/>
    <w:rsid w:val="009368F4"/>
    <w:rsid w:val="009A0E66"/>
    <w:rsid w:val="009B3631"/>
    <w:rsid w:val="009F60C5"/>
    <w:rsid w:val="00A52CAF"/>
    <w:rsid w:val="00AD577B"/>
    <w:rsid w:val="00B32984"/>
    <w:rsid w:val="00B34D9F"/>
    <w:rsid w:val="00BC19AF"/>
    <w:rsid w:val="00BF3DA8"/>
    <w:rsid w:val="00C63E59"/>
    <w:rsid w:val="00C86DE2"/>
    <w:rsid w:val="00C93CF9"/>
    <w:rsid w:val="00C94A06"/>
    <w:rsid w:val="00C94AF7"/>
    <w:rsid w:val="00C95C63"/>
    <w:rsid w:val="00CF3BAF"/>
    <w:rsid w:val="00DE7C62"/>
    <w:rsid w:val="00E61A34"/>
    <w:rsid w:val="00ED32EC"/>
    <w:rsid w:val="00F165F0"/>
    <w:rsid w:val="00F16816"/>
    <w:rsid w:val="00F5227C"/>
    <w:rsid w:val="00FB3E02"/>
    <w:rsid w:val="00FC0F08"/>
    <w:rsid w:val="015A0ED7"/>
    <w:rsid w:val="01930027"/>
    <w:rsid w:val="019C74BD"/>
    <w:rsid w:val="01A249C3"/>
    <w:rsid w:val="01A90C02"/>
    <w:rsid w:val="01CD0413"/>
    <w:rsid w:val="0224187C"/>
    <w:rsid w:val="024768DF"/>
    <w:rsid w:val="024D2FC2"/>
    <w:rsid w:val="02534437"/>
    <w:rsid w:val="02A079AD"/>
    <w:rsid w:val="02AD7AC3"/>
    <w:rsid w:val="02B2279A"/>
    <w:rsid w:val="02C572FD"/>
    <w:rsid w:val="02D346FD"/>
    <w:rsid w:val="02DF753E"/>
    <w:rsid w:val="038F5EB4"/>
    <w:rsid w:val="03EF01A2"/>
    <w:rsid w:val="04035DC5"/>
    <w:rsid w:val="041F1D93"/>
    <w:rsid w:val="04351B1E"/>
    <w:rsid w:val="046F0DBE"/>
    <w:rsid w:val="04730C9A"/>
    <w:rsid w:val="049A5F70"/>
    <w:rsid w:val="04B80A56"/>
    <w:rsid w:val="04F44273"/>
    <w:rsid w:val="05476DA0"/>
    <w:rsid w:val="0587053C"/>
    <w:rsid w:val="0598227A"/>
    <w:rsid w:val="05CF063D"/>
    <w:rsid w:val="061F1094"/>
    <w:rsid w:val="064662A5"/>
    <w:rsid w:val="06494301"/>
    <w:rsid w:val="064B3EA8"/>
    <w:rsid w:val="0681360C"/>
    <w:rsid w:val="06F1337E"/>
    <w:rsid w:val="06F2019A"/>
    <w:rsid w:val="07310D7F"/>
    <w:rsid w:val="074D4119"/>
    <w:rsid w:val="07997BA5"/>
    <w:rsid w:val="08161B2A"/>
    <w:rsid w:val="08355432"/>
    <w:rsid w:val="083A174E"/>
    <w:rsid w:val="083B347B"/>
    <w:rsid w:val="083D3697"/>
    <w:rsid w:val="0885658D"/>
    <w:rsid w:val="08910593"/>
    <w:rsid w:val="08B6562F"/>
    <w:rsid w:val="09102B5A"/>
    <w:rsid w:val="09217513"/>
    <w:rsid w:val="098B21E0"/>
    <w:rsid w:val="0A3D6877"/>
    <w:rsid w:val="0A645EB1"/>
    <w:rsid w:val="0A8B4CEF"/>
    <w:rsid w:val="0AFE4F5A"/>
    <w:rsid w:val="0B057D70"/>
    <w:rsid w:val="0B2D5070"/>
    <w:rsid w:val="0B440CBC"/>
    <w:rsid w:val="0B664CB3"/>
    <w:rsid w:val="0B7902B3"/>
    <w:rsid w:val="0B8C1399"/>
    <w:rsid w:val="0BE37935"/>
    <w:rsid w:val="0C051155"/>
    <w:rsid w:val="0C076843"/>
    <w:rsid w:val="0C1427EF"/>
    <w:rsid w:val="0C2D57D1"/>
    <w:rsid w:val="0C350433"/>
    <w:rsid w:val="0C732807"/>
    <w:rsid w:val="0CD05128"/>
    <w:rsid w:val="0D270828"/>
    <w:rsid w:val="0D3E11DD"/>
    <w:rsid w:val="0D792EC2"/>
    <w:rsid w:val="0D81592D"/>
    <w:rsid w:val="0D8716C8"/>
    <w:rsid w:val="0D974D65"/>
    <w:rsid w:val="0E651252"/>
    <w:rsid w:val="0E8C0D4D"/>
    <w:rsid w:val="0EA33B28"/>
    <w:rsid w:val="0EA67121"/>
    <w:rsid w:val="0EDC105C"/>
    <w:rsid w:val="0EDE6CBA"/>
    <w:rsid w:val="0EF32EFA"/>
    <w:rsid w:val="0F0410E0"/>
    <w:rsid w:val="0FAC4AEB"/>
    <w:rsid w:val="0FDE2EA6"/>
    <w:rsid w:val="0FE73EE9"/>
    <w:rsid w:val="100420C3"/>
    <w:rsid w:val="1012372A"/>
    <w:rsid w:val="10544429"/>
    <w:rsid w:val="10586A77"/>
    <w:rsid w:val="107D20E4"/>
    <w:rsid w:val="114E3064"/>
    <w:rsid w:val="11920A50"/>
    <w:rsid w:val="119A56B6"/>
    <w:rsid w:val="119B16ED"/>
    <w:rsid w:val="11A25357"/>
    <w:rsid w:val="11B34CF4"/>
    <w:rsid w:val="11F2782C"/>
    <w:rsid w:val="120C0D33"/>
    <w:rsid w:val="120F18F1"/>
    <w:rsid w:val="12253216"/>
    <w:rsid w:val="12486EC1"/>
    <w:rsid w:val="1298264D"/>
    <w:rsid w:val="12B30AE2"/>
    <w:rsid w:val="12F25439"/>
    <w:rsid w:val="12F64B6E"/>
    <w:rsid w:val="134734DE"/>
    <w:rsid w:val="13732E71"/>
    <w:rsid w:val="13767A5D"/>
    <w:rsid w:val="143C687A"/>
    <w:rsid w:val="144162BD"/>
    <w:rsid w:val="144353ED"/>
    <w:rsid w:val="14860849"/>
    <w:rsid w:val="14E629C1"/>
    <w:rsid w:val="152E231F"/>
    <w:rsid w:val="15545B7C"/>
    <w:rsid w:val="159D7523"/>
    <w:rsid w:val="16493207"/>
    <w:rsid w:val="16504596"/>
    <w:rsid w:val="165F3BC6"/>
    <w:rsid w:val="166D59E0"/>
    <w:rsid w:val="16997753"/>
    <w:rsid w:val="169D288C"/>
    <w:rsid w:val="179C380B"/>
    <w:rsid w:val="17AC6DF4"/>
    <w:rsid w:val="183D74A2"/>
    <w:rsid w:val="188C4F4A"/>
    <w:rsid w:val="196A7BE4"/>
    <w:rsid w:val="19EE17C2"/>
    <w:rsid w:val="19EF2318"/>
    <w:rsid w:val="1A1025AF"/>
    <w:rsid w:val="1A2B26E2"/>
    <w:rsid w:val="1A3B0CC2"/>
    <w:rsid w:val="1A6B60E2"/>
    <w:rsid w:val="1A913822"/>
    <w:rsid w:val="1B0F127C"/>
    <w:rsid w:val="1B33310F"/>
    <w:rsid w:val="1BD529D4"/>
    <w:rsid w:val="1BE9127A"/>
    <w:rsid w:val="1C211654"/>
    <w:rsid w:val="1C2D32A0"/>
    <w:rsid w:val="1C753023"/>
    <w:rsid w:val="1C9363D1"/>
    <w:rsid w:val="1CC37618"/>
    <w:rsid w:val="1CD57C9C"/>
    <w:rsid w:val="1D1E6C5C"/>
    <w:rsid w:val="1D2A77A9"/>
    <w:rsid w:val="1D5A65E9"/>
    <w:rsid w:val="1DC13FCB"/>
    <w:rsid w:val="1DDA0B91"/>
    <w:rsid w:val="1DE803B4"/>
    <w:rsid w:val="1E212A6F"/>
    <w:rsid w:val="1E360353"/>
    <w:rsid w:val="1E4779B9"/>
    <w:rsid w:val="1E7C3987"/>
    <w:rsid w:val="1E921418"/>
    <w:rsid w:val="1E9D4BA7"/>
    <w:rsid w:val="1EB33136"/>
    <w:rsid w:val="1EE937D9"/>
    <w:rsid w:val="1EF55393"/>
    <w:rsid w:val="1F111512"/>
    <w:rsid w:val="1F3F59B3"/>
    <w:rsid w:val="1FA91310"/>
    <w:rsid w:val="1FBB33A3"/>
    <w:rsid w:val="1FCF0C21"/>
    <w:rsid w:val="1FD46237"/>
    <w:rsid w:val="202F637F"/>
    <w:rsid w:val="2049129F"/>
    <w:rsid w:val="20E259AF"/>
    <w:rsid w:val="218872DA"/>
    <w:rsid w:val="21935C7E"/>
    <w:rsid w:val="219C4D8C"/>
    <w:rsid w:val="21A96F53"/>
    <w:rsid w:val="21B767CB"/>
    <w:rsid w:val="22821933"/>
    <w:rsid w:val="22851F14"/>
    <w:rsid w:val="22937A29"/>
    <w:rsid w:val="22E0486C"/>
    <w:rsid w:val="22E7389D"/>
    <w:rsid w:val="2307024E"/>
    <w:rsid w:val="236C0699"/>
    <w:rsid w:val="23A75A11"/>
    <w:rsid w:val="23C21A0E"/>
    <w:rsid w:val="23F17EB7"/>
    <w:rsid w:val="24364D63"/>
    <w:rsid w:val="24581EC9"/>
    <w:rsid w:val="245D7AC3"/>
    <w:rsid w:val="246511FA"/>
    <w:rsid w:val="24845123"/>
    <w:rsid w:val="255249D2"/>
    <w:rsid w:val="26211AAB"/>
    <w:rsid w:val="264840A1"/>
    <w:rsid w:val="2671382C"/>
    <w:rsid w:val="26AB160B"/>
    <w:rsid w:val="26AF355A"/>
    <w:rsid w:val="26D40659"/>
    <w:rsid w:val="27070CA1"/>
    <w:rsid w:val="27144052"/>
    <w:rsid w:val="27301079"/>
    <w:rsid w:val="27B228CA"/>
    <w:rsid w:val="27CF39BA"/>
    <w:rsid w:val="27E6688C"/>
    <w:rsid w:val="287019A1"/>
    <w:rsid w:val="28BD1C36"/>
    <w:rsid w:val="291F753F"/>
    <w:rsid w:val="29AD1F3E"/>
    <w:rsid w:val="29FC7FCE"/>
    <w:rsid w:val="2A1118F0"/>
    <w:rsid w:val="2A334727"/>
    <w:rsid w:val="2AA84457"/>
    <w:rsid w:val="2ABE19E5"/>
    <w:rsid w:val="2B2362C5"/>
    <w:rsid w:val="2B24082E"/>
    <w:rsid w:val="2B68396E"/>
    <w:rsid w:val="2B9A5BB7"/>
    <w:rsid w:val="2C0F6119"/>
    <w:rsid w:val="2C5243EF"/>
    <w:rsid w:val="2CF34593"/>
    <w:rsid w:val="2D1E0486"/>
    <w:rsid w:val="2D4759F0"/>
    <w:rsid w:val="2D4B17C9"/>
    <w:rsid w:val="2DA17287"/>
    <w:rsid w:val="2DEF0B6D"/>
    <w:rsid w:val="2E400AF3"/>
    <w:rsid w:val="2E7164C1"/>
    <w:rsid w:val="2ECE479A"/>
    <w:rsid w:val="2ED658FB"/>
    <w:rsid w:val="2ED80964"/>
    <w:rsid w:val="2F3D38F1"/>
    <w:rsid w:val="2F662BA9"/>
    <w:rsid w:val="2FA713A3"/>
    <w:rsid w:val="2FEE0502"/>
    <w:rsid w:val="30204B81"/>
    <w:rsid w:val="3054090C"/>
    <w:rsid w:val="305F7D9F"/>
    <w:rsid w:val="30766F52"/>
    <w:rsid w:val="308873CF"/>
    <w:rsid w:val="30A7457C"/>
    <w:rsid w:val="310034FD"/>
    <w:rsid w:val="311B58CA"/>
    <w:rsid w:val="312875A3"/>
    <w:rsid w:val="315C20A8"/>
    <w:rsid w:val="315E08FB"/>
    <w:rsid w:val="327012C3"/>
    <w:rsid w:val="32AC094E"/>
    <w:rsid w:val="32DD09B1"/>
    <w:rsid w:val="335A371D"/>
    <w:rsid w:val="336B5FF6"/>
    <w:rsid w:val="3398566D"/>
    <w:rsid w:val="339B530E"/>
    <w:rsid w:val="33B71CA0"/>
    <w:rsid w:val="34375174"/>
    <w:rsid w:val="34490FA6"/>
    <w:rsid w:val="34771645"/>
    <w:rsid w:val="34BF0E0C"/>
    <w:rsid w:val="351D2B32"/>
    <w:rsid w:val="35400F5E"/>
    <w:rsid w:val="356103C1"/>
    <w:rsid w:val="35624307"/>
    <w:rsid w:val="35EF40B4"/>
    <w:rsid w:val="36F2243E"/>
    <w:rsid w:val="37316346"/>
    <w:rsid w:val="376D0FF4"/>
    <w:rsid w:val="379522F8"/>
    <w:rsid w:val="37BB5BE3"/>
    <w:rsid w:val="37C3064D"/>
    <w:rsid w:val="37C94B02"/>
    <w:rsid w:val="37FC6202"/>
    <w:rsid w:val="385E298D"/>
    <w:rsid w:val="38C51FA1"/>
    <w:rsid w:val="38C56745"/>
    <w:rsid w:val="38ED5B17"/>
    <w:rsid w:val="391F5908"/>
    <w:rsid w:val="3AAA205E"/>
    <w:rsid w:val="3AC405E4"/>
    <w:rsid w:val="3B27182E"/>
    <w:rsid w:val="3B5755D8"/>
    <w:rsid w:val="3B680882"/>
    <w:rsid w:val="3C3E4D0D"/>
    <w:rsid w:val="3C5740DD"/>
    <w:rsid w:val="3C647525"/>
    <w:rsid w:val="3C806CA2"/>
    <w:rsid w:val="3C875BD5"/>
    <w:rsid w:val="3C887232"/>
    <w:rsid w:val="3CDE308C"/>
    <w:rsid w:val="3D3F6549"/>
    <w:rsid w:val="3D6E3B32"/>
    <w:rsid w:val="3DA476DF"/>
    <w:rsid w:val="3DA9026A"/>
    <w:rsid w:val="3E007463"/>
    <w:rsid w:val="3E3D322B"/>
    <w:rsid w:val="3E8D79E9"/>
    <w:rsid w:val="3E8E1D06"/>
    <w:rsid w:val="3E9B73AF"/>
    <w:rsid w:val="3F51170A"/>
    <w:rsid w:val="3FA505CC"/>
    <w:rsid w:val="3FD66319"/>
    <w:rsid w:val="40291242"/>
    <w:rsid w:val="40507902"/>
    <w:rsid w:val="405204BF"/>
    <w:rsid w:val="407A6954"/>
    <w:rsid w:val="407C1AED"/>
    <w:rsid w:val="40AE6405"/>
    <w:rsid w:val="40E2372C"/>
    <w:rsid w:val="411F627D"/>
    <w:rsid w:val="416F7716"/>
    <w:rsid w:val="4176039B"/>
    <w:rsid w:val="417B430D"/>
    <w:rsid w:val="41A82C28"/>
    <w:rsid w:val="420C4EF5"/>
    <w:rsid w:val="42181E5B"/>
    <w:rsid w:val="421F4DB9"/>
    <w:rsid w:val="42881AA6"/>
    <w:rsid w:val="42E02E33"/>
    <w:rsid w:val="42F65BA4"/>
    <w:rsid w:val="434C47FE"/>
    <w:rsid w:val="4364501E"/>
    <w:rsid w:val="43B40E65"/>
    <w:rsid w:val="43D4281E"/>
    <w:rsid w:val="4453447A"/>
    <w:rsid w:val="44E855CD"/>
    <w:rsid w:val="44F64D49"/>
    <w:rsid w:val="459B770E"/>
    <w:rsid w:val="45D313A6"/>
    <w:rsid w:val="45D94A67"/>
    <w:rsid w:val="45E375FE"/>
    <w:rsid w:val="462E1DF2"/>
    <w:rsid w:val="46307118"/>
    <w:rsid w:val="46316751"/>
    <w:rsid w:val="46642C04"/>
    <w:rsid w:val="46880C8C"/>
    <w:rsid w:val="46C978C9"/>
    <w:rsid w:val="46FF153C"/>
    <w:rsid w:val="47195F8F"/>
    <w:rsid w:val="471C20EE"/>
    <w:rsid w:val="472509CB"/>
    <w:rsid w:val="472D2551"/>
    <w:rsid w:val="473C24B5"/>
    <w:rsid w:val="478A2A55"/>
    <w:rsid w:val="479E38D8"/>
    <w:rsid w:val="47EB734B"/>
    <w:rsid w:val="486E372E"/>
    <w:rsid w:val="48934AEB"/>
    <w:rsid w:val="48C93BB0"/>
    <w:rsid w:val="490377B4"/>
    <w:rsid w:val="492E33C0"/>
    <w:rsid w:val="495261A3"/>
    <w:rsid w:val="495D6F47"/>
    <w:rsid w:val="498A0C86"/>
    <w:rsid w:val="499A379E"/>
    <w:rsid w:val="4A0550BC"/>
    <w:rsid w:val="4A0B4816"/>
    <w:rsid w:val="4A107CDA"/>
    <w:rsid w:val="4A79782A"/>
    <w:rsid w:val="4AA303C5"/>
    <w:rsid w:val="4AE901CC"/>
    <w:rsid w:val="4AF33166"/>
    <w:rsid w:val="4B36226E"/>
    <w:rsid w:val="4BD54C5B"/>
    <w:rsid w:val="4C4814B5"/>
    <w:rsid w:val="4CD16F98"/>
    <w:rsid w:val="4CD722EC"/>
    <w:rsid w:val="4D8C494F"/>
    <w:rsid w:val="4DAB6BDA"/>
    <w:rsid w:val="4E4C44BA"/>
    <w:rsid w:val="4E7C3AE4"/>
    <w:rsid w:val="4EB6646D"/>
    <w:rsid w:val="4F2A2BCF"/>
    <w:rsid w:val="4F4B71E8"/>
    <w:rsid w:val="4F5E692A"/>
    <w:rsid w:val="4FA766A8"/>
    <w:rsid w:val="4FDA48F5"/>
    <w:rsid w:val="50414974"/>
    <w:rsid w:val="504413AB"/>
    <w:rsid w:val="50964CC0"/>
    <w:rsid w:val="51171D45"/>
    <w:rsid w:val="51404F43"/>
    <w:rsid w:val="519805C3"/>
    <w:rsid w:val="51B11685"/>
    <w:rsid w:val="51F82BBB"/>
    <w:rsid w:val="522B7DE8"/>
    <w:rsid w:val="522D3402"/>
    <w:rsid w:val="527728CF"/>
    <w:rsid w:val="52DC6BD6"/>
    <w:rsid w:val="52DD21C1"/>
    <w:rsid w:val="52EB6588"/>
    <w:rsid w:val="53157C48"/>
    <w:rsid w:val="53AC11E6"/>
    <w:rsid w:val="542D2B1D"/>
    <w:rsid w:val="5472334E"/>
    <w:rsid w:val="54CE480A"/>
    <w:rsid w:val="54D77655"/>
    <w:rsid w:val="551C7980"/>
    <w:rsid w:val="5549056E"/>
    <w:rsid w:val="55C81AB9"/>
    <w:rsid w:val="55FF6EF7"/>
    <w:rsid w:val="56325CFA"/>
    <w:rsid w:val="5664557C"/>
    <w:rsid w:val="568D6675"/>
    <w:rsid w:val="56BB3C75"/>
    <w:rsid w:val="56C3089C"/>
    <w:rsid w:val="56DE7067"/>
    <w:rsid w:val="570955B4"/>
    <w:rsid w:val="5725657E"/>
    <w:rsid w:val="57527C3E"/>
    <w:rsid w:val="5783793E"/>
    <w:rsid w:val="57CC2BA0"/>
    <w:rsid w:val="580956C4"/>
    <w:rsid w:val="587B1836"/>
    <w:rsid w:val="58DC41BC"/>
    <w:rsid w:val="58DC7930"/>
    <w:rsid w:val="58DF3A45"/>
    <w:rsid w:val="59257C80"/>
    <w:rsid w:val="597C73A7"/>
    <w:rsid w:val="598D26AC"/>
    <w:rsid w:val="599F77C9"/>
    <w:rsid w:val="59C95F43"/>
    <w:rsid w:val="59DE214B"/>
    <w:rsid w:val="59F53571"/>
    <w:rsid w:val="5A0045B8"/>
    <w:rsid w:val="5A772767"/>
    <w:rsid w:val="5A93268F"/>
    <w:rsid w:val="5AB2046A"/>
    <w:rsid w:val="5AC82B93"/>
    <w:rsid w:val="5AE14D89"/>
    <w:rsid w:val="5AE6318E"/>
    <w:rsid w:val="5AFB13A2"/>
    <w:rsid w:val="5B540305"/>
    <w:rsid w:val="5BFF13ED"/>
    <w:rsid w:val="5C8E651C"/>
    <w:rsid w:val="5CD33E9F"/>
    <w:rsid w:val="5CF914BA"/>
    <w:rsid w:val="5D120EE1"/>
    <w:rsid w:val="5D3A5D7E"/>
    <w:rsid w:val="5D7C6FEB"/>
    <w:rsid w:val="5DB443B5"/>
    <w:rsid w:val="5DC012A8"/>
    <w:rsid w:val="5DCA7D57"/>
    <w:rsid w:val="5E1A7EE8"/>
    <w:rsid w:val="5E313880"/>
    <w:rsid w:val="5E803BCC"/>
    <w:rsid w:val="5E8A187A"/>
    <w:rsid w:val="5EAE4FD3"/>
    <w:rsid w:val="5F09244A"/>
    <w:rsid w:val="5F6E0C40"/>
    <w:rsid w:val="5F9177D9"/>
    <w:rsid w:val="5FD41D53"/>
    <w:rsid w:val="5FFB5C83"/>
    <w:rsid w:val="600C2AB9"/>
    <w:rsid w:val="600F02EA"/>
    <w:rsid w:val="602A334A"/>
    <w:rsid w:val="60B25AEA"/>
    <w:rsid w:val="60CC0704"/>
    <w:rsid w:val="6116564E"/>
    <w:rsid w:val="615C6151"/>
    <w:rsid w:val="61626B32"/>
    <w:rsid w:val="61BD2A1D"/>
    <w:rsid w:val="62047871"/>
    <w:rsid w:val="622B3906"/>
    <w:rsid w:val="62494283"/>
    <w:rsid w:val="628428BC"/>
    <w:rsid w:val="62EF46F3"/>
    <w:rsid w:val="63213A50"/>
    <w:rsid w:val="64102296"/>
    <w:rsid w:val="642B7DAF"/>
    <w:rsid w:val="646D3E65"/>
    <w:rsid w:val="64914748"/>
    <w:rsid w:val="64AB754F"/>
    <w:rsid w:val="64C104A9"/>
    <w:rsid w:val="64C53799"/>
    <w:rsid w:val="64C93ECA"/>
    <w:rsid w:val="64CA3CB4"/>
    <w:rsid w:val="64CB0731"/>
    <w:rsid w:val="64EC0669"/>
    <w:rsid w:val="65044496"/>
    <w:rsid w:val="65693C54"/>
    <w:rsid w:val="65714A10"/>
    <w:rsid w:val="65776156"/>
    <w:rsid w:val="65811558"/>
    <w:rsid w:val="65B705EA"/>
    <w:rsid w:val="65EF7DA6"/>
    <w:rsid w:val="6653420D"/>
    <w:rsid w:val="66B77D63"/>
    <w:rsid w:val="66BA6E26"/>
    <w:rsid w:val="66F10A4A"/>
    <w:rsid w:val="67477DD7"/>
    <w:rsid w:val="67895BD4"/>
    <w:rsid w:val="67923FAF"/>
    <w:rsid w:val="67997816"/>
    <w:rsid w:val="67A856DC"/>
    <w:rsid w:val="67AB689B"/>
    <w:rsid w:val="682E6AFE"/>
    <w:rsid w:val="6843464A"/>
    <w:rsid w:val="68A501F9"/>
    <w:rsid w:val="68AF4719"/>
    <w:rsid w:val="68B476C6"/>
    <w:rsid w:val="69194288"/>
    <w:rsid w:val="69676C0C"/>
    <w:rsid w:val="698D10CC"/>
    <w:rsid w:val="69AE1092"/>
    <w:rsid w:val="69C959DF"/>
    <w:rsid w:val="6A334D67"/>
    <w:rsid w:val="6A576495"/>
    <w:rsid w:val="6A753B41"/>
    <w:rsid w:val="6A8433D5"/>
    <w:rsid w:val="6AC00E8A"/>
    <w:rsid w:val="6AC515DC"/>
    <w:rsid w:val="6AD36995"/>
    <w:rsid w:val="6BA30B8B"/>
    <w:rsid w:val="6BB205D7"/>
    <w:rsid w:val="6BC664F4"/>
    <w:rsid w:val="6BD36CF4"/>
    <w:rsid w:val="6BF57693"/>
    <w:rsid w:val="6C046B2A"/>
    <w:rsid w:val="6CDE2D6D"/>
    <w:rsid w:val="6D0A63C2"/>
    <w:rsid w:val="6D163809"/>
    <w:rsid w:val="6D2120C6"/>
    <w:rsid w:val="6D2917A9"/>
    <w:rsid w:val="6D2C01D4"/>
    <w:rsid w:val="6D4E6E2B"/>
    <w:rsid w:val="6D514B1A"/>
    <w:rsid w:val="6DAF2C40"/>
    <w:rsid w:val="6DCD6F00"/>
    <w:rsid w:val="6DD70987"/>
    <w:rsid w:val="6DD85753"/>
    <w:rsid w:val="6DDE05B9"/>
    <w:rsid w:val="6E6C0E13"/>
    <w:rsid w:val="6E8615C7"/>
    <w:rsid w:val="6E886FBB"/>
    <w:rsid w:val="6EA23ED2"/>
    <w:rsid w:val="6EA4707E"/>
    <w:rsid w:val="6EDD1581"/>
    <w:rsid w:val="6EE37D9F"/>
    <w:rsid w:val="6F33431F"/>
    <w:rsid w:val="6F627C19"/>
    <w:rsid w:val="6F64384D"/>
    <w:rsid w:val="6FD71E92"/>
    <w:rsid w:val="6FE0340A"/>
    <w:rsid w:val="70227EC6"/>
    <w:rsid w:val="703F60A8"/>
    <w:rsid w:val="70822713"/>
    <w:rsid w:val="70B46F74"/>
    <w:rsid w:val="70E02081"/>
    <w:rsid w:val="714E772A"/>
    <w:rsid w:val="71FB028A"/>
    <w:rsid w:val="724B5262"/>
    <w:rsid w:val="72875C50"/>
    <w:rsid w:val="729130E1"/>
    <w:rsid w:val="729539BC"/>
    <w:rsid w:val="72D134DE"/>
    <w:rsid w:val="72FD1EE3"/>
    <w:rsid w:val="732A3CF3"/>
    <w:rsid w:val="73900C02"/>
    <w:rsid w:val="73940F35"/>
    <w:rsid w:val="73BE334D"/>
    <w:rsid w:val="73D253BE"/>
    <w:rsid w:val="746C5BB4"/>
    <w:rsid w:val="74E538AA"/>
    <w:rsid w:val="74EB0EC0"/>
    <w:rsid w:val="74EB26E9"/>
    <w:rsid w:val="74F6102E"/>
    <w:rsid w:val="7529519B"/>
    <w:rsid w:val="75360D61"/>
    <w:rsid w:val="75AB44BA"/>
    <w:rsid w:val="75CC203F"/>
    <w:rsid w:val="75F6021B"/>
    <w:rsid w:val="76263B40"/>
    <w:rsid w:val="767D2702"/>
    <w:rsid w:val="76A52F33"/>
    <w:rsid w:val="76AD3EE0"/>
    <w:rsid w:val="76B40FB3"/>
    <w:rsid w:val="772B05F4"/>
    <w:rsid w:val="77463913"/>
    <w:rsid w:val="778154D2"/>
    <w:rsid w:val="77B3710F"/>
    <w:rsid w:val="77F14B39"/>
    <w:rsid w:val="784E6FD5"/>
    <w:rsid w:val="7982320E"/>
    <w:rsid w:val="79992F3A"/>
    <w:rsid w:val="79AE33E5"/>
    <w:rsid w:val="79EC68CF"/>
    <w:rsid w:val="7A3E3951"/>
    <w:rsid w:val="7A921700"/>
    <w:rsid w:val="7A9D7487"/>
    <w:rsid w:val="7ADF7850"/>
    <w:rsid w:val="7B2C0F5F"/>
    <w:rsid w:val="7B447C52"/>
    <w:rsid w:val="7B5641A4"/>
    <w:rsid w:val="7BBF4CC5"/>
    <w:rsid w:val="7BC167E5"/>
    <w:rsid w:val="7BE44282"/>
    <w:rsid w:val="7BEB23A7"/>
    <w:rsid w:val="7C1A207B"/>
    <w:rsid w:val="7C30076C"/>
    <w:rsid w:val="7C452B24"/>
    <w:rsid w:val="7C4E0379"/>
    <w:rsid w:val="7C537629"/>
    <w:rsid w:val="7C601C17"/>
    <w:rsid w:val="7C9712F4"/>
    <w:rsid w:val="7CC04CEF"/>
    <w:rsid w:val="7CC83F86"/>
    <w:rsid w:val="7CCA3711"/>
    <w:rsid w:val="7D1F193A"/>
    <w:rsid w:val="7D2E5A63"/>
    <w:rsid w:val="7D86745E"/>
    <w:rsid w:val="7D9A12A0"/>
    <w:rsid w:val="7DE00C30"/>
    <w:rsid w:val="7DEE4676"/>
    <w:rsid w:val="7DFE187A"/>
    <w:rsid w:val="7E0706D0"/>
    <w:rsid w:val="7E331077"/>
    <w:rsid w:val="7E6D055E"/>
    <w:rsid w:val="7E8A7362"/>
    <w:rsid w:val="7ED25A6D"/>
    <w:rsid w:val="7EF95A5A"/>
    <w:rsid w:val="7F2E09F5"/>
    <w:rsid w:val="7F531E4A"/>
    <w:rsid w:val="7F6F10F3"/>
    <w:rsid w:val="7FBC4125"/>
    <w:rsid w:val="7FCA3A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6">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7">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ind w:firstLine="560" w:firstLineChars="200"/>
    </w:pPr>
    <w:rPr>
      <w:rFonts w:ascii="Times New Roman" w:hAnsi="Times New Roman"/>
    </w:rPr>
  </w:style>
  <w:style w:type="paragraph" w:styleId="4">
    <w:name w:val="envelope return"/>
    <w:basedOn w:val="1"/>
    <w:qFormat/>
    <w:uiPriority w:val="99"/>
    <w:pPr>
      <w:snapToGrid w:val="0"/>
    </w:pPr>
    <w:rPr>
      <w:rFonts w:ascii="Arial" w:hAnsi="Arial" w:cs="Arial"/>
    </w:rPr>
  </w:style>
  <w:style w:type="paragraph" w:styleId="8">
    <w:name w:val="Normal Indent"/>
    <w:basedOn w:val="1"/>
    <w:unhideWhenUsed/>
    <w:qFormat/>
    <w:uiPriority w:val="99"/>
    <w:pPr>
      <w:ind w:firstLine="420"/>
    </w:pPr>
    <w:rPr>
      <w:rFonts w:ascii="Calibri" w:hAnsi="Calibri"/>
      <w:szCs w:val="20"/>
    </w:rPr>
  </w:style>
  <w:style w:type="paragraph" w:styleId="9">
    <w:name w:val="caption"/>
    <w:basedOn w:val="1"/>
    <w:next w:val="1"/>
    <w:qFormat/>
    <w:uiPriority w:val="0"/>
    <w:rPr>
      <w:rFonts w:ascii="Arial" w:hAnsi="Arial" w:eastAsia="黑体" w:cstheme="minorBidi"/>
      <w:sz w:val="20"/>
    </w:rPr>
  </w:style>
  <w:style w:type="paragraph" w:styleId="10">
    <w:name w:val="toa heading"/>
    <w:basedOn w:val="1"/>
    <w:next w:val="1"/>
    <w:unhideWhenUsed/>
    <w:qFormat/>
    <w:uiPriority w:val="99"/>
    <w:pPr>
      <w:spacing w:before="120"/>
    </w:pPr>
    <w:rPr>
      <w:rFonts w:ascii="Arial" w:hAnsi="Arial" w:cs="Arial"/>
      <w:sz w:val="24"/>
    </w:rPr>
  </w:style>
  <w:style w:type="paragraph" w:styleId="11">
    <w:name w:val="annotation text"/>
    <w:basedOn w:val="1"/>
    <w:link w:val="59"/>
    <w:qFormat/>
    <w:uiPriority w:val="0"/>
    <w:pPr>
      <w:jc w:val="left"/>
    </w:pPr>
  </w:style>
  <w:style w:type="paragraph" w:styleId="12">
    <w:name w:val="Body Text 3"/>
    <w:basedOn w:val="1"/>
    <w:unhideWhenUsed/>
    <w:qFormat/>
    <w:uiPriority w:val="0"/>
    <w:pPr>
      <w:spacing w:after="120"/>
    </w:pPr>
    <w:rPr>
      <w:rFonts w:ascii="Times New Roman" w:hAnsi="Times New Roman"/>
      <w:sz w:val="16"/>
      <w:szCs w:val="16"/>
    </w:rPr>
  </w:style>
  <w:style w:type="paragraph" w:styleId="13">
    <w:name w:val="Body Text"/>
    <w:basedOn w:val="1"/>
    <w:next w:val="14"/>
    <w:qFormat/>
    <w:uiPriority w:val="0"/>
    <w:rPr>
      <w:rFonts w:ascii="Times New Roman" w:hAnsi="Times New Roman"/>
    </w:rPr>
  </w:style>
  <w:style w:type="paragraph" w:customStyle="1" w:styleId="14">
    <w:name w:val="Default"/>
    <w:basedOn w:val="1"/>
    <w:next w:val="15"/>
    <w:qFormat/>
    <w:uiPriority w:val="0"/>
    <w:pPr>
      <w:autoSpaceDE w:val="0"/>
      <w:autoSpaceDN w:val="0"/>
      <w:adjustRightInd w:val="0"/>
      <w:jc w:val="left"/>
    </w:pPr>
    <w:rPr>
      <w:rFonts w:hint="eastAsia" w:ascii="宋体" w:hAnsi="Calibri"/>
      <w:color w:val="000000"/>
      <w:kern w:val="0"/>
      <w:sz w:val="24"/>
    </w:rPr>
  </w:style>
  <w:style w:type="paragraph" w:customStyle="1" w:styleId="15">
    <w:name w:val="正文 A"/>
    <w:next w:val="14"/>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16">
    <w:name w:val="toc 3"/>
    <w:basedOn w:val="1"/>
    <w:next w:val="1"/>
    <w:qFormat/>
    <w:uiPriority w:val="0"/>
    <w:pPr>
      <w:ind w:left="840" w:leftChars="400"/>
    </w:pPr>
  </w:style>
  <w:style w:type="paragraph" w:styleId="17">
    <w:name w:val="Plain Text"/>
    <w:basedOn w:val="1"/>
    <w:qFormat/>
    <w:uiPriority w:val="0"/>
    <w:rPr>
      <w:rFonts w:hint="eastAsia" w:ascii="宋体" w:hAnsi="Courier New"/>
      <w:szCs w:val="21"/>
    </w:rPr>
  </w:style>
  <w:style w:type="paragraph" w:styleId="18">
    <w:name w:val="Balloon Text"/>
    <w:basedOn w:val="1"/>
    <w:link w:val="6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1">
    <w:name w:val="toc 1"/>
    <w:basedOn w:val="1"/>
    <w:next w:val="1"/>
    <w:qFormat/>
    <w:uiPriority w:val="0"/>
    <w:rPr>
      <w:rFonts w:ascii="Times New Roman" w:hAnsi="Times New Roman"/>
    </w:rPr>
  </w:style>
  <w:style w:type="paragraph" w:styleId="22">
    <w:name w:val="toc 2"/>
    <w:basedOn w:val="1"/>
    <w:next w:val="1"/>
    <w:qFormat/>
    <w:uiPriority w:val="0"/>
    <w:pPr>
      <w:ind w:left="420" w:leftChars="200"/>
    </w:pPr>
  </w:style>
  <w:style w:type="paragraph" w:styleId="23">
    <w:name w:val="Body Text 2"/>
    <w:basedOn w:val="1"/>
    <w:next w:val="13"/>
    <w:unhideWhenUsed/>
    <w:qFormat/>
    <w:uiPriority w:val="0"/>
    <w:pPr>
      <w:spacing w:after="120" w:line="480" w:lineRule="auto"/>
    </w:pPr>
    <w:rPr>
      <w:rFonts w:ascii="Times New Roman" w:hAnsi="Times New Roman"/>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6">
    <w:name w:val="annotation subject"/>
    <w:basedOn w:val="11"/>
    <w:next w:val="11"/>
    <w:link w:val="60"/>
    <w:qFormat/>
    <w:uiPriority w:val="0"/>
    <w:rPr>
      <w:b/>
      <w:bCs/>
    </w:rPr>
  </w:style>
  <w:style w:type="paragraph" w:styleId="27">
    <w:name w:val="Body Text First Indent"/>
    <w:basedOn w:val="13"/>
    <w:next w:val="1"/>
    <w:unhideWhenUsed/>
    <w:qFormat/>
    <w:uiPriority w:val="0"/>
    <w:pPr>
      <w:ind w:firstLine="420" w:firstLineChars="100"/>
    </w:pPr>
    <w:rPr>
      <w:rFonts w:hint="eastAsia" w:ascii="楷体_GB2312" w:eastAsia="楷体_GB2312"/>
      <w:sz w:val="32"/>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rFonts w:cs="Times New Roman"/>
      <w:color w:val="0000FF"/>
      <w:u w:val="single"/>
    </w:rPr>
  </w:style>
  <w:style w:type="character" w:styleId="32">
    <w:name w:val="annotation reference"/>
    <w:basedOn w:val="30"/>
    <w:qFormat/>
    <w:uiPriority w:val="0"/>
    <w:rPr>
      <w:sz w:val="21"/>
      <w:szCs w:val="21"/>
    </w:rPr>
  </w:style>
  <w:style w:type="paragraph" w:customStyle="1" w:styleId="33">
    <w:name w:val="无间隔1"/>
    <w:basedOn w:val="1"/>
    <w:next w:val="34"/>
    <w:qFormat/>
    <w:uiPriority w:val="0"/>
    <w:pPr>
      <w:spacing w:line="400" w:lineRule="exact"/>
    </w:pPr>
    <w:rPr>
      <w:sz w:val="24"/>
    </w:rPr>
  </w:style>
  <w:style w:type="paragraph" w:customStyle="1" w:styleId="34">
    <w:name w:val="正文（首行缩进） Char"/>
    <w:basedOn w:val="1"/>
    <w:next w:val="35"/>
    <w:qFormat/>
    <w:uiPriority w:val="0"/>
    <w:pPr>
      <w:spacing w:line="360" w:lineRule="auto"/>
      <w:ind w:firstLine="480"/>
    </w:pPr>
    <w:rPr>
      <w:rFonts w:ascii="Arial" w:eastAsia="宋体"/>
      <w:color w:val="000000"/>
      <w:sz w:val="24"/>
    </w:rPr>
  </w:style>
  <w:style w:type="paragraph" w:customStyle="1" w:styleId="35">
    <w:name w:val="2号黑体加粗"/>
    <w:basedOn w:val="1"/>
    <w:next w:val="36"/>
    <w:qFormat/>
    <w:uiPriority w:val="0"/>
    <w:pPr>
      <w:jc w:val="center"/>
    </w:pPr>
    <w:rPr>
      <w:rFonts w:ascii="Calibri" w:eastAsia="黑体"/>
      <w:b/>
      <w:sz w:val="44"/>
    </w:rPr>
  </w:style>
  <w:style w:type="paragraph" w:customStyle="1" w:styleId="36">
    <w:name w:val="表格文字"/>
    <w:basedOn w:val="1"/>
    <w:next w:val="1"/>
    <w:qFormat/>
    <w:uiPriority w:val="0"/>
    <w:pPr>
      <w:adjustRightInd w:val="0"/>
      <w:spacing w:line="420" w:lineRule="atLeast"/>
      <w:jc w:val="left"/>
      <w:textAlignment w:val="baseline"/>
    </w:pPr>
    <w:rPr>
      <w:kern w:val="0"/>
    </w:rPr>
  </w:style>
  <w:style w:type="paragraph" w:customStyle="1" w:styleId="37">
    <w:name w:val="style4"/>
    <w:basedOn w:val="38"/>
    <w:next w:val="39"/>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Body Text First Indent1"/>
    <w:basedOn w:val="13"/>
    <w:qFormat/>
    <w:uiPriority w:val="0"/>
    <w:pPr>
      <w:ind w:firstLine="420" w:firstLineChars="100"/>
    </w:pPr>
  </w:style>
  <w:style w:type="paragraph" w:customStyle="1" w:styleId="4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p0"/>
    <w:basedOn w:val="45"/>
    <w:qFormat/>
    <w:uiPriority w:val="0"/>
    <w:pPr>
      <w:widowControl/>
    </w:pPr>
    <w:rPr>
      <w:kern w:val="0"/>
      <w:szCs w:val="21"/>
    </w:rPr>
  </w:style>
  <w:style w:type="paragraph" w:customStyle="1" w:styleId="45">
    <w:name w:val="正文1"/>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1"/>
    <w:basedOn w:val="45"/>
    <w:qFormat/>
    <w:uiPriority w:val="99"/>
    <w:rPr>
      <w:rFonts w:eastAsia="楷体_GB2312"/>
      <w:sz w:val="28"/>
    </w:rPr>
  </w:style>
  <w:style w:type="character" w:customStyle="1" w:styleId="47">
    <w:name w:val="NormalCharacter"/>
    <w:qFormat/>
    <w:uiPriority w:val="0"/>
    <w:rPr>
      <w:rFonts w:ascii="Book Antiqua" w:hAnsi="Book Antiqua" w:eastAsia="宋体" w:cs="Times New Roman"/>
      <w:kern w:val="2"/>
      <w:sz w:val="21"/>
      <w:szCs w:val="24"/>
      <w:lang w:val="en-US" w:eastAsia="zh-CN" w:bidi="ar-SA"/>
    </w:rPr>
  </w:style>
  <w:style w:type="paragraph" w:customStyle="1" w:styleId="48">
    <w:name w:val="BodyText1I"/>
    <w:basedOn w:val="49"/>
    <w:next w:val="51"/>
    <w:qFormat/>
    <w:uiPriority w:val="0"/>
    <w:pPr>
      <w:ind w:firstLine="420" w:firstLineChars="100"/>
    </w:pPr>
    <w:rPr>
      <w:rFonts w:ascii="楷体_GB2312"/>
      <w:sz w:val="32"/>
    </w:rPr>
  </w:style>
  <w:style w:type="paragraph" w:customStyle="1" w:styleId="49">
    <w:name w:val="BodyText"/>
    <w:basedOn w:val="1"/>
    <w:next w:val="50"/>
    <w:qFormat/>
    <w:uiPriority w:val="0"/>
    <w:pPr>
      <w:textAlignment w:val="baseline"/>
    </w:pPr>
    <w:rPr>
      <w:rFonts w:ascii="Calibri" w:hAnsi="Calibri" w:eastAsia="楷体_GB2312"/>
      <w:kern w:val="0"/>
      <w:sz w:val="28"/>
    </w:rPr>
  </w:style>
  <w:style w:type="paragraph" w:customStyle="1" w:styleId="50">
    <w:name w:val="BodyText2"/>
    <w:basedOn w:val="1"/>
    <w:next w:val="49"/>
    <w:qFormat/>
    <w:uiPriority w:val="0"/>
    <w:pPr>
      <w:spacing w:after="120" w:line="480" w:lineRule="auto"/>
      <w:textAlignment w:val="baseline"/>
    </w:pPr>
  </w:style>
  <w:style w:type="paragraph" w:customStyle="1" w:styleId="51">
    <w:name w:val="BodyText1I2"/>
    <w:basedOn w:val="52"/>
    <w:qFormat/>
    <w:uiPriority w:val="0"/>
    <w:pPr>
      <w:ind w:firstLine="420" w:firstLineChars="200"/>
    </w:pPr>
  </w:style>
  <w:style w:type="paragraph" w:customStyle="1" w:styleId="52">
    <w:name w:val="BodyTextIndent"/>
    <w:basedOn w:val="1"/>
    <w:qFormat/>
    <w:uiPriority w:val="0"/>
    <w:pPr>
      <w:spacing w:after="120"/>
      <w:ind w:left="420" w:leftChars="200"/>
      <w:textAlignment w:val="baseline"/>
    </w:pPr>
  </w:style>
  <w:style w:type="paragraph" w:customStyle="1" w:styleId="53">
    <w:name w:val="TOAHeading"/>
    <w:basedOn w:val="1"/>
    <w:next w:val="1"/>
    <w:qFormat/>
    <w:uiPriority w:val="0"/>
    <w:pPr>
      <w:spacing w:before="120"/>
      <w:textAlignment w:val="baseline"/>
    </w:pPr>
    <w:rPr>
      <w:rFonts w:ascii="Arial" w:hAnsi="Arial"/>
      <w:sz w:val="24"/>
      <w:szCs w:val="22"/>
    </w:rPr>
  </w:style>
  <w:style w:type="paragraph" w:customStyle="1" w:styleId="54">
    <w:name w:val="Table Paragraph"/>
    <w:basedOn w:val="1"/>
    <w:qFormat/>
    <w:uiPriority w:val="1"/>
    <w:rPr>
      <w:rFonts w:ascii="宋体" w:hAnsi="宋体" w:cs="宋体"/>
      <w:lang w:val="zh-CN" w:bidi="zh-CN"/>
    </w:rPr>
  </w:style>
  <w:style w:type="paragraph" w:styleId="55">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6">
    <w:name w:val="_Style 41"/>
    <w:basedOn w:val="1"/>
    <w:next w:val="55"/>
    <w:qFormat/>
    <w:uiPriority w:val="34"/>
    <w:pPr>
      <w:ind w:firstLine="420" w:firstLineChars="200"/>
    </w:pPr>
    <w:rPr>
      <w:rFonts w:ascii="等线" w:hAnsi="等线" w:eastAsia="等线"/>
      <w:szCs w:val="22"/>
    </w:rPr>
  </w:style>
  <w:style w:type="paragraph" w:customStyle="1" w:styleId="57">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批注文字 字符"/>
    <w:basedOn w:val="30"/>
    <w:link w:val="11"/>
    <w:qFormat/>
    <w:uiPriority w:val="0"/>
    <w:rPr>
      <w:rFonts w:ascii="Book Antiqua" w:hAnsi="Book Antiqua"/>
      <w:kern w:val="2"/>
      <w:sz w:val="21"/>
      <w:szCs w:val="24"/>
    </w:rPr>
  </w:style>
  <w:style w:type="character" w:customStyle="1" w:styleId="60">
    <w:name w:val="批注主题 字符"/>
    <w:basedOn w:val="59"/>
    <w:link w:val="26"/>
    <w:qFormat/>
    <w:uiPriority w:val="0"/>
    <w:rPr>
      <w:rFonts w:ascii="Book Antiqua" w:hAnsi="Book Antiqua"/>
      <w:b/>
      <w:bCs/>
      <w:kern w:val="2"/>
      <w:sz w:val="21"/>
      <w:szCs w:val="24"/>
    </w:rPr>
  </w:style>
  <w:style w:type="character" w:customStyle="1" w:styleId="61">
    <w:name w:val="批注框文本 字符"/>
    <w:basedOn w:val="30"/>
    <w:link w:val="18"/>
    <w:qFormat/>
    <w:uiPriority w:val="0"/>
    <w:rPr>
      <w:rFonts w:ascii="Book Antiqua" w:hAnsi="Book Antiqua"/>
      <w:kern w:val="2"/>
      <w:sz w:val="18"/>
      <w:szCs w:val="18"/>
    </w:rPr>
  </w:style>
  <w:style w:type="paragraph" w:customStyle="1" w:styleId="62">
    <w:name w:val="修订1"/>
    <w:hidden/>
    <w:semiHidden/>
    <w:qFormat/>
    <w:uiPriority w:val="99"/>
    <w:rPr>
      <w:rFonts w:ascii="Book Antiqua" w:hAnsi="Book Antiqua" w:eastAsia="宋体" w:cs="Times New Roman"/>
      <w:kern w:val="2"/>
      <w:sz w:val="21"/>
      <w:szCs w:val="24"/>
      <w:lang w:val="en-US" w:eastAsia="zh-CN" w:bidi="ar-SA"/>
    </w:rPr>
  </w:style>
  <w:style w:type="paragraph" w:customStyle="1" w:styleId="63">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64">
    <w:name w:val="WPSOffice手动目录 1"/>
    <w:qFormat/>
    <w:uiPriority w:val="0"/>
    <w:rPr>
      <w:rFonts w:ascii="Times New Roman" w:hAnsi="Times New Roman" w:eastAsia="宋体" w:cs="Times New Roman"/>
      <w:lang w:val="en-US" w:eastAsia="zh-CN" w:bidi="ar-SA"/>
    </w:rPr>
  </w:style>
  <w:style w:type="paragraph" w:customStyle="1" w:styleId="65">
    <w:name w:val="正文文本首行缩进 21"/>
    <w:basedOn w:val="66"/>
    <w:qFormat/>
    <w:uiPriority w:val="0"/>
    <w:pPr>
      <w:ind w:firstLine="420" w:firstLineChars="200"/>
    </w:pPr>
  </w:style>
  <w:style w:type="paragraph" w:customStyle="1" w:styleId="66">
    <w:name w:val="正文文本缩进1"/>
    <w:basedOn w:val="1"/>
    <w:qFormat/>
    <w:uiPriority w:val="0"/>
    <w:pPr>
      <w:spacing w:after="120"/>
      <w:ind w:left="420" w:leftChars="200"/>
    </w:pPr>
  </w:style>
  <w:style w:type="character" w:customStyle="1" w:styleId="67">
    <w:name w:val="font41"/>
    <w:basedOn w:val="30"/>
    <w:qFormat/>
    <w:uiPriority w:val="0"/>
    <w:rPr>
      <w:rFonts w:hint="eastAsia" w:ascii="微软雅黑" w:hAnsi="微软雅黑" w:eastAsia="微软雅黑" w:cs="微软雅黑"/>
      <w:b/>
      <w:bCs/>
      <w:color w:val="000000"/>
      <w:sz w:val="20"/>
      <w:szCs w:val="20"/>
      <w:u w:val="none"/>
    </w:rPr>
  </w:style>
  <w:style w:type="character" w:customStyle="1" w:styleId="68">
    <w:name w:val="font31"/>
    <w:basedOn w:val="30"/>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25404</Words>
  <Characters>28870</Characters>
  <Lines>225</Lines>
  <Paragraphs>63</Paragraphs>
  <TotalTime>4</TotalTime>
  <ScaleCrop>false</ScaleCrop>
  <LinksUpToDate>false</LinksUpToDate>
  <CharactersWithSpaces>30960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2023-03-01T00:37:00Z</dcterms:created>
  <dc:creator>DELL</dc:creator>
  <cp:lastModifiedBy>张琰</cp:lastModifiedBy>
  <cp:lastPrinted>2023-04-18T07:16:00Z</cp:lastPrinted>
  <dcterms:modified xsi:type="dcterms:W3CDTF">2023-08-14T09:06:03Z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7FA9A2D596B14F6081A66E2C47FE23DF</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ies>
</file>